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jc w:val="center"/>
        <w:rPr>
          <w:rFonts w:ascii="Times New Roman" w:hAnsi="Times New Roman"/>
          <w:b/>
          <w:spacing w:val="-11"/>
          <w:sz w:val="52"/>
          <w:szCs w:val="52"/>
        </w:rPr>
      </w:pPr>
    </w:p>
    <w:p>
      <w:pPr>
        <w:spacing w:before="120" w:beforeLines="50"/>
        <w:jc w:val="center"/>
        <w:rPr>
          <w:rFonts w:ascii="Times New Roman" w:hAnsi="Times New Roman"/>
          <w:b/>
          <w:spacing w:val="-11"/>
          <w:sz w:val="52"/>
          <w:szCs w:val="52"/>
        </w:rPr>
      </w:pPr>
      <w:r>
        <w:rPr>
          <w:rFonts w:hint="eastAsia" w:ascii="Times New Roman" w:hAnsi="Times New Roman"/>
          <w:b/>
          <w:spacing w:val="-11"/>
          <w:sz w:val="52"/>
          <w:szCs w:val="52"/>
        </w:rPr>
        <w:t>朱家尖大桥航标养护维修项目</w:t>
      </w:r>
    </w:p>
    <w:p>
      <w:pPr>
        <w:pStyle w:val="3"/>
        <w:rPr>
          <w:rFonts w:ascii="Times New Roman" w:hAnsi="Times New Roman"/>
          <w:b/>
          <w:spacing w:val="12"/>
          <w:sz w:val="44"/>
          <w:szCs w:val="44"/>
        </w:rPr>
      </w:pPr>
    </w:p>
    <w:p>
      <w:pPr>
        <w:pStyle w:val="3"/>
        <w:rPr>
          <w:rFonts w:ascii="Times New Roman" w:hAnsi="Times New Roman"/>
          <w:b/>
          <w:spacing w:val="12"/>
          <w:sz w:val="44"/>
          <w:szCs w:val="44"/>
        </w:rPr>
      </w:pPr>
    </w:p>
    <w:p>
      <w:pPr>
        <w:pStyle w:val="3"/>
        <w:rPr>
          <w:rFonts w:ascii="Times New Roman" w:hAnsi="Times New Roman"/>
          <w:b/>
          <w:spacing w:val="12"/>
          <w:sz w:val="44"/>
          <w:szCs w:val="44"/>
        </w:rPr>
      </w:pPr>
    </w:p>
    <w:p>
      <w:pPr>
        <w:spacing w:after="156"/>
        <w:jc w:val="center"/>
        <w:outlineLvl w:val="0"/>
        <w:rPr>
          <w:rFonts w:ascii="Times New Roman" w:hAnsi="Times New Roman"/>
          <w:b/>
          <w:spacing w:val="12"/>
          <w:sz w:val="44"/>
          <w:szCs w:val="44"/>
        </w:rPr>
      </w:pPr>
    </w:p>
    <w:p>
      <w:pPr>
        <w:spacing w:before="120" w:beforeLines="50"/>
        <w:jc w:val="center"/>
        <w:rPr>
          <w:rFonts w:ascii="Times New Roman" w:hAnsi="Times New Roman"/>
          <w:b/>
          <w:sz w:val="52"/>
          <w:szCs w:val="52"/>
        </w:rPr>
      </w:pPr>
      <w:r>
        <w:rPr>
          <w:rFonts w:ascii="Times New Roman" w:hAnsi="Times New Roman"/>
          <w:b/>
          <w:sz w:val="52"/>
          <w:szCs w:val="52"/>
        </w:rPr>
        <w:t>公开招标采购文件</w:t>
      </w:r>
    </w:p>
    <w:p>
      <w:pPr>
        <w:jc w:val="center"/>
        <w:outlineLvl w:val="0"/>
        <w:rPr>
          <w:rFonts w:ascii="Times New Roman" w:hAnsi="Times New Roman"/>
          <w:b/>
          <w:szCs w:val="21"/>
        </w:rPr>
      </w:pPr>
    </w:p>
    <w:p>
      <w:pPr>
        <w:jc w:val="center"/>
        <w:outlineLvl w:val="0"/>
        <w:rPr>
          <w:rFonts w:ascii="Times New Roman" w:hAnsi="Times New Roman"/>
          <w:b/>
          <w:szCs w:val="21"/>
        </w:rPr>
      </w:pPr>
    </w:p>
    <w:p>
      <w:pPr>
        <w:jc w:val="center"/>
        <w:outlineLvl w:val="0"/>
        <w:rPr>
          <w:rFonts w:ascii="Times New Roman" w:hAnsi="Times New Roman"/>
          <w:b/>
          <w:szCs w:val="21"/>
        </w:rPr>
      </w:pPr>
    </w:p>
    <w:p>
      <w:pPr>
        <w:jc w:val="center"/>
        <w:outlineLvl w:val="0"/>
        <w:rPr>
          <w:rFonts w:ascii="Times New Roman" w:hAnsi="Times New Roman"/>
          <w:b/>
          <w:szCs w:val="21"/>
        </w:rPr>
      </w:pPr>
    </w:p>
    <w:p>
      <w:pPr>
        <w:jc w:val="center"/>
        <w:outlineLvl w:val="0"/>
        <w:rPr>
          <w:rFonts w:ascii="Times New Roman" w:hAnsi="Times New Roman"/>
          <w:b/>
          <w:szCs w:val="21"/>
        </w:rPr>
      </w:pPr>
    </w:p>
    <w:p>
      <w:pPr>
        <w:snapToGrid w:val="0"/>
        <w:spacing w:before="120" w:beforeLines="50" w:line="360" w:lineRule="auto"/>
        <w:rPr>
          <w:rFonts w:ascii="Times New Roman" w:hAnsi="Times New Roman"/>
          <w:b/>
          <w:sz w:val="30"/>
          <w:szCs w:val="72"/>
        </w:rPr>
      </w:pPr>
    </w:p>
    <w:p>
      <w:pPr>
        <w:pStyle w:val="3"/>
        <w:rPr>
          <w:rFonts w:ascii="Times New Roman" w:hAnsi="Times New Roman"/>
        </w:rPr>
      </w:pPr>
    </w:p>
    <w:p>
      <w:pPr>
        <w:pStyle w:val="3"/>
        <w:rPr>
          <w:rFonts w:ascii="Times New Roman" w:hAnsi="Times New Roman"/>
        </w:rPr>
      </w:pPr>
    </w:p>
    <w:p>
      <w:pPr>
        <w:pStyle w:val="3"/>
        <w:rPr>
          <w:rFonts w:ascii="Times New Roman" w:hAnsi="Times New Roman"/>
        </w:rPr>
      </w:pPr>
    </w:p>
    <w:p>
      <w:pPr>
        <w:pStyle w:val="3"/>
        <w:rPr>
          <w:rFonts w:ascii="Times New Roman" w:hAnsi="Times New Roman"/>
        </w:rPr>
      </w:pPr>
    </w:p>
    <w:p>
      <w:pPr>
        <w:widowControl/>
        <w:spacing w:line="360" w:lineRule="auto"/>
        <w:ind w:firstLine="1506" w:firstLineChars="500"/>
        <w:jc w:val="left"/>
        <w:rPr>
          <w:rFonts w:ascii="宋体" w:hAnsi="宋体" w:cs="宋体"/>
          <w:b/>
          <w:color w:val="0000FF"/>
          <w:sz w:val="30"/>
          <w:szCs w:val="72"/>
        </w:rPr>
      </w:pPr>
      <w:r>
        <w:rPr>
          <w:rFonts w:hint="eastAsia" w:ascii="宋体" w:hAnsi="宋体" w:cs="宋体"/>
          <w:b/>
          <w:sz w:val="30"/>
          <w:szCs w:val="72"/>
        </w:rPr>
        <w:t>项目</w:t>
      </w:r>
      <w:r>
        <w:rPr>
          <w:rFonts w:hint="eastAsia" w:ascii="宋体" w:hAnsi="宋体" w:cs="宋体"/>
          <w:b/>
          <w:spacing w:val="-11"/>
          <w:sz w:val="30"/>
          <w:szCs w:val="72"/>
        </w:rPr>
        <w:t>编号：ZJFZ-03045-2021</w:t>
      </w:r>
    </w:p>
    <w:p>
      <w:pPr>
        <w:spacing w:before="120" w:beforeLines="50" w:line="360" w:lineRule="auto"/>
        <w:ind w:left="2524" w:leftChars="700" w:hanging="1054" w:hangingChars="350"/>
        <w:rPr>
          <w:rFonts w:ascii="宋体" w:hAnsi="宋体" w:cs="宋体"/>
          <w:b/>
          <w:sz w:val="30"/>
          <w:szCs w:val="72"/>
        </w:rPr>
      </w:pPr>
      <w:r>
        <w:rPr>
          <w:rFonts w:hint="eastAsia" w:ascii="宋体" w:hAnsi="宋体" w:cs="宋体"/>
          <w:b/>
          <w:sz w:val="30"/>
          <w:szCs w:val="72"/>
        </w:rPr>
        <w:t>项目名称：</w:t>
      </w:r>
      <w:r>
        <w:rPr>
          <w:rFonts w:hint="eastAsia" w:ascii="宋体" w:hAnsi="宋体" w:cs="宋体"/>
          <w:b/>
          <w:spacing w:val="-11"/>
          <w:sz w:val="30"/>
          <w:szCs w:val="72"/>
        </w:rPr>
        <w:t>朱家尖大桥航标养护维修项目</w:t>
      </w:r>
    </w:p>
    <w:p>
      <w:pPr>
        <w:snapToGrid w:val="0"/>
        <w:spacing w:before="120" w:beforeLines="50" w:line="360" w:lineRule="auto"/>
        <w:ind w:left="2524" w:leftChars="700" w:hanging="1054" w:hangingChars="350"/>
        <w:rPr>
          <w:rFonts w:ascii="宋体" w:hAnsi="宋体" w:cs="宋体"/>
          <w:b/>
          <w:sz w:val="30"/>
          <w:szCs w:val="72"/>
        </w:rPr>
      </w:pPr>
      <w:r>
        <w:rPr>
          <w:rFonts w:hint="eastAsia" w:ascii="宋体" w:hAnsi="宋体" w:cs="宋体"/>
          <w:b/>
          <w:sz w:val="30"/>
          <w:szCs w:val="72"/>
        </w:rPr>
        <w:t>采购人：舟山市普陀山公路与运输管理中心</w:t>
      </w:r>
    </w:p>
    <w:p>
      <w:pPr>
        <w:snapToGrid w:val="0"/>
        <w:spacing w:before="120" w:beforeLines="50" w:line="360" w:lineRule="auto"/>
        <w:ind w:firstLine="1412" w:firstLineChars="469"/>
        <w:rPr>
          <w:rFonts w:ascii="宋体" w:hAnsi="宋体" w:cs="宋体"/>
          <w:b/>
          <w:sz w:val="30"/>
          <w:szCs w:val="72"/>
        </w:rPr>
      </w:pPr>
      <w:r>
        <w:rPr>
          <w:rFonts w:hint="eastAsia" w:ascii="宋体" w:hAnsi="宋体" w:cs="宋体"/>
          <w:b/>
          <w:sz w:val="30"/>
          <w:szCs w:val="72"/>
        </w:rPr>
        <w:t>采购代理机构：浙江方舟工程造价咨询有限公司</w:t>
      </w:r>
    </w:p>
    <w:p>
      <w:pPr>
        <w:pStyle w:val="3"/>
        <w:spacing w:line="360" w:lineRule="auto"/>
        <w:ind w:firstLine="1506" w:firstLineChars="500"/>
        <w:rPr>
          <w:rFonts w:ascii="Times New Roman" w:hAnsi="Times New Roman"/>
        </w:rPr>
        <w:sectPr>
          <w:pgSz w:w="11906" w:h="16838"/>
          <w:pgMar w:top="1304" w:right="1106" w:bottom="1304" w:left="1531" w:header="1304" w:footer="1304" w:gutter="0"/>
          <w:pgNumType w:start="1"/>
          <w:cols w:space="720" w:num="1"/>
        </w:sectPr>
      </w:pPr>
      <w:r>
        <w:rPr>
          <w:rFonts w:hint="eastAsia" w:ascii="宋体" w:hAnsi="宋体" w:cs="宋体"/>
          <w:b/>
          <w:sz w:val="30"/>
          <w:szCs w:val="72"/>
        </w:rPr>
        <w:t>时    间：二〇二一年七月</w:t>
      </w:r>
    </w:p>
    <w:p>
      <w:pPr>
        <w:pStyle w:val="43"/>
        <w:spacing w:before="159" w:after="159" w:line="360" w:lineRule="auto"/>
        <w:jc w:val="center"/>
        <w:rPr>
          <w:rFonts w:ascii="Times New Roman" w:hAnsi="Times New Roman"/>
          <w:b/>
          <w:bCs/>
          <w:sz w:val="32"/>
          <w:szCs w:val="32"/>
        </w:rPr>
      </w:pPr>
      <w:r>
        <w:rPr>
          <w:rFonts w:ascii="Times New Roman" w:hAnsi="Times New Roman"/>
          <w:b/>
          <w:bCs/>
          <w:sz w:val="32"/>
          <w:szCs w:val="32"/>
        </w:rPr>
        <w:t>目录</w:t>
      </w:r>
    </w:p>
    <w:p>
      <w:pPr>
        <w:spacing w:line="480" w:lineRule="auto"/>
        <w:rPr>
          <w:rFonts w:ascii="Times New Roman" w:hAnsi="Times New Roman"/>
          <w:sz w:val="28"/>
          <w:szCs w:val="28"/>
        </w:rPr>
      </w:pPr>
      <w:r>
        <w:rPr>
          <w:rFonts w:ascii="Times New Roman" w:hAnsi="Times New Roman"/>
          <w:sz w:val="28"/>
          <w:szCs w:val="28"/>
        </w:rPr>
        <w:t>第一章采购公告</w:t>
      </w:r>
    </w:p>
    <w:p>
      <w:pPr>
        <w:spacing w:line="480" w:lineRule="auto"/>
        <w:rPr>
          <w:rFonts w:ascii="Times New Roman" w:hAnsi="Times New Roman"/>
          <w:sz w:val="28"/>
          <w:szCs w:val="28"/>
        </w:rPr>
      </w:pPr>
      <w:r>
        <w:rPr>
          <w:rFonts w:ascii="Times New Roman" w:hAnsi="Times New Roman"/>
          <w:sz w:val="28"/>
          <w:szCs w:val="28"/>
        </w:rPr>
        <w:t>第二章采购需求</w:t>
      </w:r>
    </w:p>
    <w:p>
      <w:pPr>
        <w:spacing w:line="480" w:lineRule="auto"/>
        <w:rPr>
          <w:rFonts w:ascii="Times New Roman" w:hAnsi="Times New Roman"/>
          <w:sz w:val="28"/>
          <w:szCs w:val="28"/>
        </w:rPr>
      </w:pPr>
      <w:r>
        <w:rPr>
          <w:rFonts w:ascii="Times New Roman" w:hAnsi="Times New Roman"/>
          <w:sz w:val="28"/>
          <w:szCs w:val="28"/>
        </w:rPr>
        <w:t>第三章投标人须知</w:t>
      </w:r>
    </w:p>
    <w:p>
      <w:pPr>
        <w:spacing w:before="120" w:line="480" w:lineRule="auto"/>
        <w:ind w:firstLine="1120" w:firstLineChars="400"/>
        <w:rPr>
          <w:rFonts w:ascii="Times New Roman" w:hAnsi="Times New Roman"/>
          <w:sz w:val="28"/>
          <w:szCs w:val="28"/>
        </w:rPr>
      </w:pPr>
      <w:r>
        <w:rPr>
          <w:rFonts w:ascii="Times New Roman" w:hAnsi="Times New Roman"/>
          <w:sz w:val="28"/>
          <w:szCs w:val="28"/>
        </w:rPr>
        <w:t>前附表</w:t>
      </w:r>
    </w:p>
    <w:p>
      <w:pPr>
        <w:spacing w:before="120" w:line="480" w:lineRule="auto"/>
        <w:ind w:firstLine="560" w:firstLineChars="200"/>
        <w:rPr>
          <w:rFonts w:ascii="Times New Roman" w:hAnsi="Times New Roman"/>
          <w:sz w:val="28"/>
          <w:szCs w:val="28"/>
        </w:rPr>
      </w:pPr>
      <w:r>
        <w:rPr>
          <w:rFonts w:ascii="Times New Roman" w:hAnsi="Times New Roman"/>
          <w:sz w:val="28"/>
          <w:szCs w:val="28"/>
        </w:rPr>
        <w:t>一、总则</w:t>
      </w:r>
    </w:p>
    <w:p>
      <w:pPr>
        <w:spacing w:before="120" w:line="480" w:lineRule="auto"/>
        <w:ind w:firstLine="560" w:firstLineChars="200"/>
        <w:rPr>
          <w:rFonts w:ascii="Times New Roman" w:hAnsi="Times New Roman"/>
          <w:sz w:val="28"/>
          <w:szCs w:val="28"/>
        </w:rPr>
      </w:pPr>
      <w:r>
        <w:rPr>
          <w:rFonts w:ascii="Times New Roman" w:hAnsi="Times New Roman"/>
          <w:sz w:val="28"/>
          <w:szCs w:val="28"/>
        </w:rPr>
        <w:t>二、</w:t>
      </w:r>
      <w:r>
        <w:rPr>
          <w:rFonts w:hint="eastAsia" w:ascii="Times New Roman" w:hAnsi="Times New Roman"/>
          <w:sz w:val="28"/>
          <w:szCs w:val="28"/>
        </w:rPr>
        <w:t>招标</w:t>
      </w:r>
      <w:r>
        <w:rPr>
          <w:rFonts w:ascii="Times New Roman" w:hAnsi="Times New Roman"/>
          <w:sz w:val="28"/>
          <w:szCs w:val="28"/>
        </w:rPr>
        <w:t>文件</w:t>
      </w:r>
    </w:p>
    <w:p>
      <w:pPr>
        <w:spacing w:before="120" w:line="480" w:lineRule="auto"/>
        <w:ind w:firstLine="560" w:firstLineChars="200"/>
        <w:rPr>
          <w:rFonts w:ascii="Times New Roman" w:hAnsi="Times New Roman"/>
          <w:sz w:val="28"/>
          <w:szCs w:val="28"/>
        </w:rPr>
      </w:pPr>
      <w:r>
        <w:rPr>
          <w:rFonts w:ascii="Times New Roman" w:hAnsi="Times New Roman"/>
          <w:sz w:val="28"/>
          <w:szCs w:val="28"/>
        </w:rPr>
        <w:t>三、投标文件的编制</w:t>
      </w:r>
    </w:p>
    <w:p>
      <w:pPr>
        <w:spacing w:before="120" w:line="480" w:lineRule="auto"/>
        <w:ind w:firstLine="560" w:firstLineChars="200"/>
        <w:rPr>
          <w:rFonts w:ascii="Times New Roman" w:hAnsi="Times New Roman"/>
          <w:sz w:val="28"/>
          <w:szCs w:val="28"/>
        </w:rPr>
      </w:pPr>
      <w:r>
        <w:rPr>
          <w:rFonts w:ascii="Times New Roman" w:hAnsi="Times New Roman"/>
          <w:sz w:val="28"/>
          <w:szCs w:val="28"/>
        </w:rPr>
        <w:t>四、开标</w:t>
      </w:r>
    </w:p>
    <w:p>
      <w:pPr>
        <w:spacing w:before="120" w:line="480" w:lineRule="auto"/>
        <w:ind w:firstLine="560" w:firstLineChars="200"/>
        <w:rPr>
          <w:rFonts w:ascii="Times New Roman" w:hAnsi="Times New Roman"/>
        </w:rPr>
      </w:pPr>
      <w:r>
        <w:rPr>
          <w:rFonts w:ascii="Times New Roman" w:hAnsi="Times New Roman"/>
          <w:sz w:val="28"/>
          <w:szCs w:val="28"/>
        </w:rPr>
        <w:t>五、评标</w:t>
      </w:r>
    </w:p>
    <w:p>
      <w:pPr>
        <w:spacing w:before="120" w:line="480" w:lineRule="auto"/>
        <w:ind w:firstLine="560" w:firstLineChars="200"/>
        <w:rPr>
          <w:rFonts w:ascii="宋体" w:hAnsi="宋体" w:cs="宋体"/>
          <w:sz w:val="28"/>
          <w:szCs w:val="28"/>
        </w:rPr>
      </w:pPr>
      <w:r>
        <w:rPr>
          <w:rFonts w:hint="eastAsia" w:ascii="宋体" w:hAnsi="宋体" w:cs="宋体"/>
          <w:sz w:val="28"/>
          <w:szCs w:val="28"/>
        </w:rPr>
        <w:t>六、废标</w:t>
      </w:r>
    </w:p>
    <w:p>
      <w:pPr>
        <w:spacing w:before="120" w:line="480" w:lineRule="auto"/>
        <w:ind w:firstLine="560" w:firstLineChars="200"/>
        <w:rPr>
          <w:rFonts w:ascii="宋体" w:hAnsi="宋体" w:cs="宋体"/>
          <w:sz w:val="28"/>
          <w:szCs w:val="28"/>
        </w:rPr>
      </w:pPr>
      <w:r>
        <w:rPr>
          <w:rFonts w:hint="eastAsia" w:ascii="宋体" w:hAnsi="宋体" w:cs="宋体"/>
          <w:sz w:val="28"/>
          <w:szCs w:val="28"/>
        </w:rPr>
        <w:t>七、定标</w:t>
      </w:r>
    </w:p>
    <w:p>
      <w:pPr>
        <w:spacing w:before="120" w:line="480" w:lineRule="auto"/>
        <w:ind w:firstLine="560" w:firstLineChars="200"/>
        <w:rPr>
          <w:rFonts w:ascii="宋体" w:hAnsi="宋体" w:cs="宋体"/>
          <w:sz w:val="28"/>
          <w:szCs w:val="28"/>
        </w:rPr>
      </w:pPr>
      <w:r>
        <w:rPr>
          <w:rFonts w:hint="eastAsia" w:ascii="宋体" w:hAnsi="宋体" w:cs="宋体"/>
          <w:sz w:val="28"/>
          <w:szCs w:val="28"/>
        </w:rPr>
        <w:t>八、合同授予</w:t>
      </w:r>
    </w:p>
    <w:p>
      <w:pPr>
        <w:spacing w:before="120" w:line="480" w:lineRule="auto"/>
        <w:ind w:firstLine="140" w:firstLineChars="50"/>
        <w:rPr>
          <w:rFonts w:ascii="宋体" w:hAnsi="宋体" w:cs="宋体"/>
          <w:sz w:val="28"/>
          <w:szCs w:val="28"/>
        </w:rPr>
      </w:pPr>
      <w:r>
        <w:rPr>
          <w:rFonts w:hint="eastAsia" w:ascii="宋体" w:hAnsi="宋体" w:cs="宋体"/>
          <w:sz w:val="28"/>
          <w:szCs w:val="28"/>
        </w:rPr>
        <w:t>第四章  评标办法及标准</w:t>
      </w:r>
    </w:p>
    <w:p>
      <w:pPr>
        <w:spacing w:before="120" w:line="480" w:lineRule="auto"/>
        <w:ind w:firstLine="140" w:firstLineChars="50"/>
        <w:rPr>
          <w:rFonts w:ascii="宋体" w:hAnsi="宋体" w:cs="宋体"/>
          <w:sz w:val="28"/>
          <w:szCs w:val="28"/>
        </w:rPr>
      </w:pPr>
      <w:r>
        <w:rPr>
          <w:rFonts w:hint="eastAsia" w:ascii="宋体" w:hAnsi="宋体" w:cs="宋体"/>
          <w:sz w:val="28"/>
          <w:szCs w:val="28"/>
        </w:rPr>
        <w:t>第五章  合同主要条款</w:t>
      </w:r>
    </w:p>
    <w:p>
      <w:pPr>
        <w:spacing w:before="120" w:line="480" w:lineRule="auto"/>
        <w:ind w:firstLine="140" w:firstLineChars="50"/>
        <w:rPr>
          <w:rFonts w:ascii="宋体" w:hAnsi="宋体" w:cs="宋体"/>
          <w:sz w:val="24"/>
        </w:rPr>
      </w:pPr>
      <w:r>
        <w:rPr>
          <w:rFonts w:hint="eastAsia" w:ascii="宋体" w:hAnsi="宋体" w:cs="宋体"/>
          <w:sz w:val="28"/>
          <w:szCs w:val="28"/>
        </w:rPr>
        <w:t>第六章  投标文件组成</w:t>
      </w:r>
    </w:p>
    <w:p>
      <w:pPr>
        <w:rPr>
          <w:rFonts w:ascii="Times New Roman" w:hAnsi="Times New Roman"/>
        </w:rPr>
      </w:pPr>
    </w:p>
    <w:p>
      <w:pPr>
        <w:pStyle w:val="3"/>
        <w:rPr>
          <w:rFonts w:ascii="Times New Roman" w:hAnsi="Times New Roman"/>
        </w:rPr>
      </w:pPr>
    </w:p>
    <w:p>
      <w:pPr>
        <w:pStyle w:val="2"/>
        <w:ind w:firstLine="0" w:firstLineChars="0"/>
      </w:pPr>
    </w:p>
    <w:p>
      <w:pPr>
        <w:spacing w:line="360" w:lineRule="auto"/>
        <w:jc w:val="center"/>
        <w:rPr>
          <w:rFonts w:ascii="Times New Roman" w:hAnsi="Times New Roman"/>
          <w:b/>
          <w:sz w:val="30"/>
          <w:szCs w:val="30"/>
        </w:rPr>
      </w:pPr>
      <w:bookmarkStart w:id="0" w:name="OLE_LINK1"/>
    </w:p>
    <w:p>
      <w:pPr>
        <w:spacing w:line="360" w:lineRule="auto"/>
        <w:jc w:val="center"/>
        <w:rPr>
          <w:rFonts w:ascii="Times New Roman" w:hAnsi="Times New Roman"/>
          <w:b/>
          <w:szCs w:val="30"/>
        </w:rPr>
      </w:pPr>
      <w:r>
        <w:rPr>
          <w:rFonts w:hint="eastAsia" w:ascii="Times New Roman" w:hAnsi="Times New Roman"/>
          <w:b/>
          <w:sz w:val="30"/>
          <w:szCs w:val="30"/>
        </w:rPr>
        <w:t>第一章</w:t>
      </w:r>
      <w:r>
        <w:rPr>
          <w:rFonts w:ascii="Times New Roman" w:hAnsi="Times New Roman"/>
          <w:b/>
          <w:sz w:val="30"/>
          <w:szCs w:val="30"/>
        </w:rPr>
        <w:t>采购公告</w:t>
      </w:r>
      <w:bookmarkEnd w:id="0"/>
    </w:p>
    <w:tbl>
      <w:tblPr>
        <w:tblStyle w:val="26"/>
        <w:tblW w:w="9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00" w:type="dxa"/>
          </w:tcPr>
          <w:p>
            <w:pPr>
              <w:pStyle w:val="22"/>
              <w:widowControl/>
              <w:spacing w:before="0" w:beforeAutospacing="0" w:after="0" w:afterAutospacing="0" w:line="360" w:lineRule="auto"/>
              <w:jc w:val="center"/>
              <w:rPr>
                <w:rFonts w:ascii="宋体" w:hAnsi="宋体" w:cs="宋体"/>
                <w:sz w:val="21"/>
                <w:szCs w:val="21"/>
              </w:rPr>
            </w:pPr>
            <w:r>
              <w:rPr>
                <w:rFonts w:hint="eastAsia" w:ascii="宋体" w:hAnsi="宋体" w:cs="宋体"/>
                <w:sz w:val="21"/>
                <w:szCs w:val="21"/>
              </w:rPr>
              <w:t>项目概况</w:t>
            </w:r>
          </w:p>
          <w:p>
            <w:pPr>
              <w:pStyle w:val="22"/>
              <w:widowControl/>
              <w:adjustRightInd w:val="0"/>
              <w:snapToGrid w:val="0"/>
              <w:spacing w:before="0" w:beforeAutospacing="0" w:after="0" w:afterAutospacing="0" w:line="360" w:lineRule="auto"/>
              <w:jc w:val="both"/>
              <w:rPr>
                <w:rFonts w:ascii="宋体" w:hAnsi="宋体" w:cs="宋体"/>
                <w:sz w:val="21"/>
                <w:szCs w:val="21"/>
              </w:rPr>
            </w:pPr>
            <w:r>
              <w:rPr>
                <w:rFonts w:hint="eastAsia" w:ascii="宋体" w:hAnsi="宋体" w:cs="宋体"/>
                <w:sz w:val="21"/>
                <w:szCs w:val="21"/>
              </w:rPr>
              <w:t xml:space="preserve">   </w:t>
            </w:r>
            <w:r>
              <w:rPr>
                <w:rFonts w:hint="eastAsia" w:ascii="宋体" w:hAnsi="宋体" w:cs="宋体"/>
                <w:sz w:val="21"/>
                <w:szCs w:val="21"/>
                <w:u w:val="single"/>
              </w:rPr>
              <w:t>朱家尖大桥航标养护维修项目</w:t>
            </w:r>
            <w:r>
              <w:rPr>
                <w:rFonts w:hint="eastAsia" w:ascii="宋体" w:hAnsi="宋体" w:cs="宋体"/>
                <w:sz w:val="21"/>
                <w:szCs w:val="21"/>
              </w:rPr>
              <w:t>的潜在投标人应在浙江省政府采购网</w:t>
            </w:r>
            <w:r>
              <w:rPr>
                <w:rFonts w:hint="eastAsia" w:ascii="宋体" w:hAnsi="宋体" w:cs="宋体"/>
                <w:sz w:val="21"/>
                <w:szCs w:val="21"/>
                <w:u w:val="single"/>
              </w:rPr>
              <w:t>zfcg.czt.zj.gov.cn</w:t>
            </w:r>
            <w:r>
              <w:rPr>
                <w:rFonts w:hint="eastAsia" w:ascii="宋体" w:hAnsi="宋体" w:cs="宋体"/>
                <w:sz w:val="21"/>
                <w:szCs w:val="21"/>
              </w:rPr>
              <w:t>（用“政采云”注册账号、密码登录系统后获取采购文件）获取招标文件，并于</w:t>
            </w:r>
            <w:r>
              <w:rPr>
                <w:rFonts w:hint="eastAsia" w:ascii="宋体" w:hAnsi="宋体" w:cs="宋体"/>
                <w:sz w:val="21"/>
                <w:szCs w:val="21"/>
                <w:u w:val="single"/>
              </w:rPr>
              <w:t>202</w:t>
            </w:r>
            <w:r>
              <w:rPr>
                <w:rFonts w:ascii="宋体" w:hAnsi="宋体" w:cs="宋体"/>
                <w:sz w:val="21"/>
                <w:szCs w:val="21"/>
                <w:u w:val="single"/>
              </w:rPr>
              <w:t>1</w:t>
            </w:r>
            <w:r>
              <w:rPr>
                <w:rFonts w:hint="eastAsia" w:ascii="宋体" w:hAnsi="宋体" w:cs="宋体"/>
                <w:sz w:val="21"/>
                <w:szCs w:val="21"/>
                <w:u w:val="single"/>
              </w:rPr>
              <w:t>年月日</w:t>
            </w:r>
            <w:r>
              <w:rPr>
                <w:rFonts w:ascii="宋体" w:hAnsi="宋体" w:cs="宋体"/>
                <w:sz w:val="21"/>
                <w:szCs w:val="21"/>
                <w:u w:val="single"/>
              </w:rPr>
              <w:t xml:space="preserve"> 00</w:t>
            </w:r>
            <w:r>
              <w:rPr>
                <w:rFonts w:hint="eastAsia" w:ascii="宋体" w:hAnsi="宋体" w:cs="宋体"/>
                <w:sz w:val="21"/>
                <w:szCs w:val="21"/>
                <w:u w:val="single"/>
              </w:rPr>
              <w:t>点</w:t>
            </w:r>
            <w:r>
              <w:rPr>
                <w:rFonts w:ascii="宋体" w:hAnsi="宋体" w:cs="宋体"/>
                <w:sz w:val="21"/>
                <w:szCs w:val="21"/>
                <w:u w:val="single"/>
              </w:rPr>
              <w:t>00</w:t>
            </w:r>
            <w:r>
              <w:rPr>
                <w:rFonts w:hint="eastAsia" w:ascii="宋体" w:hAnsi="宋体" w:cs="宋体"/>
                <w:sz w:val="21"/>
                <w:szCs w:val="21"/>
                <w:u w:val="single"/>
              </w:rPr>
              <w:t>分</w:t>
            </w:r>
            <w:r>
              <w:rPr>
                <w:rFonts w:hint="eastAsia" w:ascii="宋体" w:hAnsi="宋体" w:cs="宋体"/>
                <w:sz w:val="21"/>
                <w:szCs w:val="21"/>
              </w:rPr>
              <w:t>（北京时间）前提交（上传）响应文件。</w:t>
            </w:r>
          </w:p>
        </w:tc>
      </w:tr>
    </w:tbl>
    <w:p>
      <w:pPr>
        <w:pStyle w:val="22"/>
        <w:widowControl/>
        <w:spacing w:before="0" w:beforeAutospacing="0" w:after="0" w:afterAutospacing="0" w:line="360" w:lineRule="auto"/>
        <w:jc w:val="both"/>
        <w:rPr>
          <w:rStyle w:val="29"/>
          <w:rFonts w:cs="宋体"/>
        </w:rPr>
      </w:pPr>
      <w:r>
        <w:rPr>
          <w:rStyle w:val="29"/>
          <w:rFonts w:hint="eastAsia" w:ascii="宋体" w:hAnsi="宋体" w:cs="宋体"/>
          <w:sz w:val="21"/>
          <w:szCs w:val="21"/>
        </w:rPr>
        <w:t>一、项目基本情况</w:t>
      </w:r>
    </w:p>
    <w:p>
      <w:pPr>
        <w:pStyle w:val="22"/>
        <w:widowControl/>
        <w:spacing w:before="0" w:beforeAutospacing="0" w:after="0" w:afterAutospacing="0" w:line="360" w:lineRule="auto"/>
        <w:jc w:val="both"/>
        <w:rPr>
          <w:rStyle w:val="29"/>
          <w:rFonts w:cs="宋体"/>
        </w:rPr>
      </w:pPr>
      <w:r>
        <w:rPr>
          <w:rStyle w:val="29"/>
          <w:rFonts w:hint="eastAsia" w:cs="宋体"/>
        </w:rPr>
        <w:t>项目编号：ZJFZ-03045-2021</w:t>
      </w:r>
    </w:p>
    <w:p>
      <w:pPr>
        <w:pStyle w:val="22"/>
        <w:widowControl/>
        <w:spacing w:before="0" w:beforeAutospacing="0" w:after="0" w:afterAutospacing="0" w:line="360" w:lineRule="auto"/>
        <w:jc w:val="both"/>
        <w:rPr>
          <w:rStyle w:val="29"/>
          <w:rFonts w:cs="宋体"/>
        </w:rPr>
      </w:pPr>
      <w:r>
        <w:rPr>
          <w:rStyle w:val="29"/>
          <w:rFonts w:hint="eastAsia" w:cs="宋体"/>
        </w:rPr>
        <w:t>项目名称：朱家尖大桥航标养护维修项目</w:t>
      </w:r>
    </w:p>
    <w:p>
      <w:pPr>
        <w:pStyle w:val="22"/>
        <w:widowControl/>
        <w:spacing w:before="0" w:beforeAutospacing="0" w:after="0" w:afterAutospacing="0" w:line="360" w:lineRule="auto"/>
        <w:jc w:val="both"/>
        <w:rPr>
          <w:rStyle w:val="29"/>
          <w:rFonts w:cs="宋体"/>
        </w:rPr>
      </w:pPr>
      <w:r>
        <w:rPr>
          <w:rStyle w:val="29"/>
          <w:rFonts w:hint="eastAsia" w:cs="宋体"/>
        </w:rPr>
        <w:t>     预算金额（元）：</w:t>
      </w:r>
      <w:r>
        <w:rPr>
          <w:rStyle w:val="29"/>
          <w:rFonts w:cs="宋体"/>
        </w:rPr>
        <w:t>894250</w:t>
      </w:r>
    </w:p>
    <w:p>
      <w:pPr>
        <w:pStyle w:val="22"/>
        <w:widowControl/>
        <w:spacing w:before="0" w:beforeAutospacing="0" w:after="0" w:afterAutospacing="0" w:line="360" w:lineRule="auto"/>
        <w:jc w:val="both"/>
        <w:rPr>
          <w:rStyle w:val="29"/>
          <w:rFonts w:cs="宋体"/>
        </w:rPr>
      </w:pPr>
      <w:r>
        <w:rPr>
          <w:rStyle w:val="29"/>
          <w:rFonts w:hint="eastAsia" w:cs="宋体"/>
        </w:rPr>
        <w:t>     最高限价（元）：</w:t>
      </w:r>
      <w:r>
        <w:rPr>
          <w:rStyle w:val="29"/>
          <w:rFonts w:cs="宋体"/>
        </w:rPr>
        <w:t>894250</w:t>
      </w:r>
    </w:p>
    <w:p>
      <w:pPr>
        <w:pStyle w:val="22"/>
        <w:widowControl/>
        <w:spacing w:before="0" w:beforeAutospacing="0" w:after="0" w:afterAutospacing="0" w:line="360" w:lineRule="auto"/>
        <w:ind w:firstLine="480" w:firstLineChars="200"/>
        <w:jc w:val="both"/>
        <w:rPr>
          <w:rStyle w:val="29"/>
          <w:rFonts w:cs="宋体"/>
        </w:rPr>
      </w:pPr>
      <w:r>
        <w:rPr>
          <w:rStyle w:val="29"/>
          <w:rFonts w:hint="eastAsia" w:cs="宋体"/>
        </w:rPr>
        <w:t>采购需求：详见采购需求</w:t>
      </w:r>
      <w:r>
        <w:rPr>
          <w:rStyle w:val="29"/>
          <w:rFonts w:hint="eastAsia" w:cs="宋体"/>
        </w:rPr>
        <w:br w:type="textWrapping"/>
      </w:r>
      <w:r>
        <w:rPr>
          <w:rStyle w:val="29"/>
          <w:rFonts w:hint="eastAsia" w:cs="宋体"/>
        </w:rPr>
        <w:t>     简要规格描述或项目基本概况介绍、用途：详见采购需求 </w:t>
      </w:r>
      <w:r>
        <w:rPr>
          <w:rStyle w:val="29"/>
          <w:rFonts w:hint="eastAsia" w:cs="宋体"/>
        </w:rPr>
        <w:br w:type="textWrapping"/>
      </w:r>
      <w:r>
        <w:rPr>
          <w:rStyle w:val="29"/>
          <w:rFonts w:hint="eastAsia" w:cs="宋体"/>
        </w:rPr>
        <w:t>     备注：/</w:t>
      </w:r>
    </w:p>
    <w:p>
      <w:pPr>
        <w:pStyle w:val="22"/>
        <w:widowControl/>
        <w:spacing w:before="75" w:beforeAutospacing="0" w:after="75" w:afterAutospacing="0"/>
        <w:ind w:firstLine="480" w:firstLineChars="200"/>
        <w:rPr>
          <w:rStyle w:val="29"/>
          <w:rFonts w:cs="宋体"/>
        </w:rPr>
      </w:pPr>
      <w:r>
        <w:rPr>
          <w:rStyle w:val="29"/>
          <w:rFonts w:hint="eastAsia" w:cs="宋体"/>
        </w:rPr>
        <w:t>合同履约期限：1年</w:t>
      </w:r>
    </w:p>
    <w:p>
      <w:pPr>
        <w:ind w:firstLine="480" w:firstLineChars="200"/>
        <w:rPr>
          <w:rStyle w:val="29"/>
          <w:rFonts w:cs="宋体"/>
          <w:kern w:val="0"/>
          <w:sz w:val="24"/>
        </w:rPr>
      </w:pPr>
      <w:r>
        <w:rPr>
          <w:rStyle w:val="29"/>
          <w:rFonts w:hint="eastAsia" w:cs="宋体"/>
          <w:kern w:val="0"/>
          <w:sz w:val="24"/>
        </w:rPr>
        <w:t>本项目（否）接受联合体投标。</w:t>
      </w:r>
    </w:p>
    <w:p>
      <w:pPr>
        <w:pStyle w:val="22"/>
        <w:widowControl/>
        <w:spacing w:before="0" w:beforeAutospacing="0" w:after="0" w:afterAutospacing="0" w:line="360" w:lineRule="auto"/>
        <w:jc w:val="both"/>
        <w:rPr>
          <w:rStyle w:val="29"/>
          <w:rFonts w:cs="宋体"/>
        </w:rPr>
      </w:pPr>
      <w:r>
        <w:rPr>
          <w:rStyle w:val="29"/>
          <w:rFonts w:hint="eastAsia" w:ascii="宋体" w:hAnsi="宋体" w:cs="宋体"/>
          <w:sz w:val="21"/>
          <w:szCs w:val="21"/>
        </w:rPr>
        <w:t>二、申请人的资格要求：</w:t>
      </w:r>
    </w:p>
    <w:p>
      <w:pPr>
        <w:pStyle w:val="22"/>
        <w:widowControl/>
        <w:spacing w:before="0" w:beforeAutospacing="0" w:after="0" w:afterAutospacing="0" w:line="360" w:lineRule="auto"/>
        <w:jc w:val="both"/>
        <w:rPr>
          <w:rStyle w:val="29"/>
          <w:rFonts w:cs="宋体"/>
        </w:rPr>
      </w:pPr>
      <w:r>
        <w:rPr>
          <w:rStyle w:val="29"/>
          <w:rFonts w:hint="eastAsia" w:cs="宋体"/>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22"/>
        <w:widowControl/>
        <w:spacing w:before="0" w:beforeAutospacing="0" w:after="0" w:afterAutospacing="0" w:line="360" w:lineRule="auto"/>
        <w:jc w:val="both"/>
        <w:rPr>
          <w:rStyle w:val="29"/>
          <w:rFonts w:cs="宋体"/>
        </w:rPr>
      </w:pPr>
      <w:r>
        <w:rPr>
          <w:rStyle w:val="29"/>
          <w:rFonts w:hint="eastAsia" w:cs="宋体"/>
        </w:rPr>
        <w:t>2、</w:t>
      </w:r>
      <w:r>
        <w:rPr>
          <w:rStyle w:val="29"/>
          <w:rFonts w:cs="宋体"/>
        </w:rPr>
        <w:t>落实政府采购政策需满足的资格要求：无 </w:t>
      </w:r>
    </w:p>
    <w:p>
      <w:pPr>
        <w:snapToGrid w:val="0"/>
        <w:spacing w:line="360" w:lineRule="auto"/>
        <w:rPr>
          <w:rStyle w:val="29"/>
          <w:rFonts w:cs="宋体"/>
          <w:kern w:val="0"/>
          <w:sz w:val="24"/>
        </w:rPr>
      </w:pPr>
      <w:r>
        <w:rPr>
          <w:rStyle w:val="29"/>
          <w:rFonts w:cs="宋体"/>
          <w:kern w:val="0"/>
          <w:sz w:val="24"/>
        </w:rPr>
        <w:t>3</w:t>
      </w:r>
      <w:r>
        <w:rPr>
          <w:rStyle w:val="29"/>
          <w:rFonts w:hint="eastAsia" w:cs="宋体"/>
          <w:kern w:val="0"/>
          <w:sz w:val="24"/>
        </w:rPr>
        <w:t>、本项目的特定资格要求：投标人的经营范围应包括航标的维护、保养、管理等相关内容。</w:t>
      </w:r>
    </w:p>
    <w:p>
      <w:pPr>
        <w:pStyle w:val="22"/>
        <w:widowControl/>
        <w:spacing w:before="0" w:beforeAutospacing="0" w:after="0" w:afterAutospacing="0" w:line="360" w:lineRule="auto"/>
        <w:jc w:val="both"/>
        <w:rPr>
          <w:rStyle w:val="29"/>
          <w:rFonts w:cs="宋体"/>
        </w:rPr>
      </w:pPr>
      <w:r>
        <w:rPr>
          <w:rStyle w:val="29"/>
          <w:rFonts w:hint="eastAsia" w:ascii="宋体" w:hAnsi="宋体" w:cs="宋体"/>
          <w:sz w:val="21"/>
          <w:szCs w:val="21"/>
        </w:rPr>
        <w:t>三、获取（下载）采购文件</w:t>
      </w:r>
    </w:p>
    <w:p>
      <w:pPr>
        <w:pStyle w:val="22"/>
        <w:widowControl/>
        <w:spacing w:before="0" w:beforeAutospacing="0" w:after="0" w:afterAutospacing="0" w:line="360" w:lineRule="auto"/>
        <w:jc w:val="both"/>
        <w:rPr>
          <w:rStyle w:val="29"/>
          <w:rFonts w:cs="宋体"/>
        </w:rPr>
      </w:pPr>
      <w:r>
        <w:rPr>
          <w:rStyle w:val="29"/>
          <w:rFonts w:hint="eastAsia" w:cs="宋体"/>
        </w:rPr>
        <w:t>     时间：</w:t>
      </w:r>
      <w:r>
        <w:rPr>
          <w:rStyle w:val="29"/>
          <w:rFonts w:cs="宋体"/>
        </w:rPr>
        <w:t>/至2021年</w:t>
      </w:r>
      <w:r>
        <w:rPr>
          <w:rStyle w:val="29"/>
          <w:rFonts w:hint="eastAsia" w:cs="宋体"/>
        </w:rPr>
        <w:t>8</w:t>
      </w:r>
      <w:r>
        <w:rPr>
          <w:rStyle w:val="29"/>
          <w:rFonts w:cs="宋体"/>
        </w:rPr>
        <w:t>月</w:t>
      </w:r>
      <w:r>
        <w:rPr>
          <w:rStyle w:val="29"/>
          <w:rFonts w:hint="eastAsia" w:cs="宋体"/>
        </w:rPr>
        <w:t>11</w:t>
      </w:r>
      <w:r>
        <w:rPr>
          <w:rStyle w:val="29"/>
          <w:rFonts w:cs="宋体"/>
        </w:rPr>
        <w:t>日 ，每天上午00:00至12:00 ，下午12:00至23:59（北京时间，线上获取法定节假日均可，线下获取文件法定节假日除外）</w:t>
      </w:r>
    </w:p>
    <w:p>
      <w:pPr>
        <w:pStyle w:val="22"/>
        <w:widowControl/>
        <w:spacing w:before="0" w:beforeAutospacing="0" w:after="0" w:afterAutospacing="0" w:line="360" w:lineRule="auto"/>
        <w:ind w:firstLine="480" w:firstLineChars="200"/>
        <w:jc w:val="both"/>
        <w:rPr>
          <w:rStyle w:val="29"/>
          <w:rFonts w:cs="宋体"/>
        </w:rPr>
      </w:pPr>
      <w:r>
        <w:rPr>
          <w:rStyle w:val="29"/>
          <w:rFonts w:hint="eastAsia" w:cs="宋体"/>
        </w:rPr>
        <w:t>地点（网址）：浙江政府采购网http://zfcg.czt.zj.gov.cn/（用“政采云”注册账号、密码登录系统后获取招标文件）  </w:t>
      </w:r>
    </w:p>
    <w:p>
      <w:pPr>
        <w:pStyle w:val="22"/>
        <w:widowControl/>
        <w:spacing w:before="0" w:beforeAutospacing="0" w:after="0" w:afterAutospacing="0" w:line="360" w:lineRule="auto"/>
        <w:ind w:firstLine="720" w:firstLineChars="300"/>
        <w:jc w:val="both"/>
        <w:rPr>
          <w:rStyle w:val="29"/>
          <w:rFonts w:cs="宋体"/>
        </w:rPr>
      </w:pPr>
      <w:r>
        <w:rPr>
          <w:rStyle w:val="29"/>
          <w:rFonts w:hint="eastAsia" w:cs="宋体"/>
        </w:rPr>
        <w:t>方式：网上获取。免费注册网址：浙江政府采购网（供应商注册页面）：https://middle.zcygov.cn/settle-front/#/registry“政采云”，已经注册成功的供应商无需重复注册，本项目实行电子投标。投标人在使用系统进行投标的过程中涉及平台使用的任何问题可致电政采云平台技术支持热线：400-881-7190。 </w:t>
      </w:r>
    </w:p>
    <w:p>
      <w:pPr>
        <w:pStyle w:val="22"/>
        <w:widowControl/>
        <w:spacing w:before="0" w:beforeAutospacing="0" w:after="0" w:afterAutospacing="0" w:line="360" w:lineRule="auto"/>
        <w:jc w:val="both"/>
        <w:rPr>
          <w:rStyle w:val="29"/>
          <w:rFonts w:cs="宋体"/>
        </w:rPr>
      </w:pPr>
      <w:r>
        <w:rPr>
          <w:rStyle w:val="29"/>
          <w:rFonts w:hint="eastAsia" w:cs="宋体"/>
        </w:rPr>
        <w:t>    售价（元）：0 </w:t>
      </w:r>
    </w:p>
    <w:p>
      <w:pPr>
        <w:pStyle w:val="22"/>
        <w:widowControl/>
        <w:spacing w:before="0" w:beforeAutospacing="0" w:after="0" w:afterAutospacing="0" w:line="360" w:lineRule="auto"/>
        <w:jc w:val="both"/>
        <w:rPr>
          <w:rStyle w:val="29"/>
          <w:rFonts w:cs="宋体"/>
        </w:rPr>
      </w:pPr>
      <w:r>
        <w:rPr>
          <w:rStyle w:val="29"/>
          <w:rFonts w:hint="eastAsia" w:ascii="宋体" w:hAnsi="宋体" w:cs="宋体"/>
          <w:sz w:val="21"/>
          <w:szCs w:val="21"/>
        </w:rPr>
        <w:t>四、</w:t>
      </w:r>
      <w:r>
        <w:rPr>
          <w:rStyle w:val="29"/>
          <w:rFonts w:hint="eastAsia" w:cs="宋体"/>
        </w:rPr>
        <w:t>提交投标文件截止时间、开标时间和地点</w:t>
      </w:r>
    </w:p>
    <w:p>
      <w:pPr>
        <w:pStyle w:val="22"/>
        <w:widowControl/>
        <w:spacing w:before="0" w:beforeAutospacing="0" w:after="0" w:afterAutospacing="0" w:line="360" w:lineRule="auto"/>
        <w:jc w:val="both"/>
        <w:rPr>
          <w:rStyle w:val="29"/>
          <w:rFonts w:cs="宋体"/>
        </w:rPr>
      </w:pPr>
      <w:r>
        <w:rPr>
          <w:rStyle w:val="29"/>
          <w:rFonts w:cs="宋体"/>
        </w:rPr>
        <w:t>提交投标文件截止时间：2021年</w:t>
      </w:r>
      <w:r>
        <w:rPr>
          <w:rStyle w:val="29"/>
          <w:rFonts w:hint="eastAsia" w:cs="宋体"/>
        </w:rPr>
        <w:t>8</w:t>
      </w:r>
      <w:r>
        <w:rPr>
          <w:rStyle w:val="29"/>
          <w:rFonts w:cs="宋体"/>
        </w:rPr>
        <w:t>月</w:t>
      </w:r>
      <w:r>
        <w:rPr>
          <w:rStyle w:val="29"/>
          <w:rFonts w:hint="eastAsia" w:cs="宋体"/>
        </w:rPr>
        <w:t>11</w:t>
      </w:r>
      <w:r>
        <w:rPr>
          <w:rStyle w:val="29"/>
          <w:rFonts w:cs="宋体"/>
        </w:rPr>
        <w:t>日09:00（北京时间）</w:t>
      </w:r>
    </w:p>
    <w:p>
      <w:pPr>
        <w:pStyle w:val="22"/>
        <w:widowControl/>
        <w:spacing w:before="0" w:beforeAutospacing="0" w:after="0" w:afterAutospacing="0" w:line="360" w:lineRule="auto"/>
        <w:jc w:val="both"/>
        <w:rPr>
          <w:rStyle w:val="29"/>
          <w:rFonts w:cs="宋体"/>
        </w:rPr>
      </w:pPr>
      <w:r>
        <w:rPr>
          <w:rStyle w:val="29"/>
          <w:rFonts w:cs="宋体"/>
        </w:rPr>
        <w:t>投标地点（网址）：</w:t>
      </w:r>
      <w:r>
        <w:rPr>
          <w:rStyle w:val="29"/>
          <w:rFonts w:hint="eastAsia" w:cs="宋体"/>
        </w:rPr>
        <w:t>本项目不要求供应商授权代表参加现场开标、开启投标文件活动。投标人将加密的电子版投标文件于投标截止时间前上传到政采云系统中。投标人将备份投标文件于2021年8月10日17:00（北京时间）前通过邮寄或派人递送的方式送交到采购代理机构处（地址：舟山市定海区</w:t>
      </w:r>
      <w:r>
        <w:rPr>
          <w:rStyle w:val="29"/>
          <w:rFonts w:cs="宋体"/>
        </w:rPr>
        <w:t>临城街道长峙岛香樟园</w:t>
      </w:r>
      <w:r>
        <w:rPr>
          <w:rStyle w:val="29"/>
          <w:rFonts w:hint="eastAsia" w:cs="宋体"/>
        </w:rPr>
        <w:t>20幢13楼；联系人：应巧；联系方式：0580-</w:t>
      </w:r>
      <w:r>
        <w:rPr>
          <w:rStyle w:val="29"/>
          <w:rFonts w:cs="宋体"/>
        </w:rPr>
        <w:t>2047557</w:t>
      </w:r>
      <w:r>
        <w:rPr>
          <w:rStyle w:val="29"/>
          <w:rFonts w:hint="eastAsia" w:cs="宋体"/>
        </w:rPr>
        <w:t>），也可以在开标时间前送至开标地点（开标地点送交备份投标文件的联系方式：</w:t>
      </w:r>
      <w:r>
        <w:rPr>
          <w:rStyle w:val="29"/>
          <w:rFonts w:cs="宋体"/>
        </w:rPr>
        <w:t>13857226616</w:t>
      </w:r>
      <w:r>
        <w:rPr>
          <w:rStyle w:val="29"/>
          <w:rFonts w:hint="eastAsia" w:cs="宋体"/>
        </w:rPr>
        <w:t>），未按时送达的自行承担风险。备份投标文件须密封完好，并注明投标人单位名称。投标人未按规定递交的备份投标文件，采购人有权拒收。</w:t>
      </w:r>
    </w:p>
    <w:p>
      <w:pPr>
        <w:pStyle w:val="22"/>
        <w:widowControl/>
        <w:spacing w:before="0" w:beforeAutospacing="0" w:after="0" w:afterAutospacing="0" w:line="360" w:lineRule="auto"/>
        <w:jc w:val="both"/>
        <w:rPr>
          <w:rStyle w:val="29"/>
          <w:rFonts w:cs="宋体"/>
        </w:rPr>
      </w:pPr>
      <w:r>
        <w:rPr>
          <w:rStyle w:val="29"/>
          <w:rFonts w:cs="宋体"/>
        </w:rPr>
        <w:t>开标时间：2021年</w:t>
      </w:r>
      <w:r>
        <w:rPr>
          <w:rStyle w:val="29"/>
          <w:rFonts w:hint="eastAsia" w:cs="宋体"/>
        </w:rPr>
        <w:t>8</w:t>
      </w:r>
      <w:r>
        <w:rPr>
          <w:rStyle w:val="29"/>
          <w:rFonts w:cs="宋体"/>
        </w:rPr>
        <w:t>月</w:t>
      </w:r>
      <w:r>
        <w:rPr>
          <w:rStyle w:val="29"/>
          <w:rFonts w:hint="eastAsia" w:cs="宋体"/>
        </w:rPr>
        <w:t>11</w:t>
      </w:r>
      <w:r>
        <w:rPr>
          <w:rStyle w:val="29"/>
          <w:rFonts w:cs="宋体"/>
        </w:rPr>
        <w:t>日09:00</w:t>
      </w:r>
    </w:p>
    <w:p>
      <w:pPr>
        <w:spacing w:line="360" w:lineRule="auto"/>
        <w:rPr>
          <w:rStyle w:val="29"/>
          <w:rFonts w:cs="宋体"/>
          <w:kern w:val="0"/>
          <w:sz w:val="24"/>
        </w:rPr>
      </w:pPr>
      <w:r>
        <w:rPr>
          <w:rStyle w:val="29"/>
          <w:rFonts w:cs="宋体"/>
          <w:kern w:val="0"/>
          <w:sz w:val="24"/>
        </w:rPr>
        <w:t>开标地点（网址）：</w:t>
      </w:r>
      <w:r>
        <w:rPr>
          <w:rStyle w:val="29"/>
          <w:rFonts w:hint="eastAsia" w:cs="宋体"/>
          <w:kern w:val="0"/>
          <w:sz w:val="24"/>
        </w:rPr>
        <w:t>舟山市新城翁山路555号四楼舟山市公共资源交易中心开标室（大宗商品交易中心同幢西边）</w:t>
      </w:r>
      <w:r>
        <w:rPr>
          <w:rStyle w:val="29"/>
          <w:rFonts w:cs="宋体"/>
          <w:kern w:val="0"/>
          <w:sz w:val="24"/>
        </w:rPr>
        <w:t>    </w:t>
      </w:r>
    </w:p>
    <w:p>
      <w:pPr>
        <w:pStyle w:val="22"/>
        <w:widowControl/>
        <w:spacing w:before="0" w:beforeAutospacing="0" w:after="0" w:afterAutospacing="0" w:line="360" w:lineRule="auto"/>
        <w:jc w:val="both"/>
        <w:rPr>
          <w:rStyle w:val="29"/>
          <w:rFonts w:cs="宋体"/>
        </w:rPr>
      </w:pPr>
      <w:r>
        <w:rPr>
          <w:rStyle w:val="29"/>
          <w:rFonts w:hint="eastAsia" w:cs="宋体"/>
        </w:rPr>
        <w:t>五、公告期限 </w:t>
      </w:r>
    </w:p>
    <w:p>
      <w:pPr>
        <w:pStyle w:val="22"/>
        <w:widowControl/>
        <w:spacing w:before="0" w:beforeAutospacing="0" w:after="0" w:afterAutospacing="0" w:line="360" w:lineRule="auto"/>
        <w:jc w:val="both"/>
        <w:rPr>
          <w:rStyle w:val="29"/>
          <w:rFonts w:cs="宋体"/>
        </w:rPr>
      </w:pPr>
      <w:r>
        <w:rPr>
          <w:rStyle w:val="29"/>
          <w:rFonts w:cs="宋体"/>
          <w:sz w:val="21"/>
        </w:rPr>
        <w:t> </w:t>
      </w:r>
      <w:r>
        <w:rPr>
          <w:rStyle w:val="29"/>
          <w:rFonts w:cs="宋体"/>
        </w:rPr>
        <w:t>自本公告发布之日起5个工作日。</w:t>
      </w:r>
    </w:p>
    <w:p>
      <w:pPr>
        <w:pStyle w:val="22"/>
        <w:widowControl/>
        <w:spacing w:before="0" w:beforeAutospacing="0" w:after="0" w:afterAutospacing="0" w:line="360" w:lineRule="auto"/>
        <w:jc w:val="both"/>
        <w:rPr>
          <w:rStyle w:val="29"/>
          <w:rFonts w:cs="宋体"/>
        </w:rPr>
      </w:pPr>
      <w:r>
        <w:rPr>
          <w:rStyle w:val="29"/>
          <w:rFonts w:hint="eastAsia" w:cs="宋体"/>
        </w:rPr>
        <w:t>六、其他补充事宜</w:t>
      </w:r>
    </w:p>
    <w:p>
      <w:pPr>
        <w:pStyle w:val="22"/>
        <w:widowControl/>
        <w:spacing w:before="0" w:beforeAutospacing="0" w:after="0" w:afterAutospacing="0" w:line="360" w:lineRule="auto"/>
        <w:ind w:firstLine="360" w:firstLineChars="150"/>
        <w:jc w:val="both"/>
        <w:rPr>
          <w:rStyle w:val="29"/>
          <w:rFonts w:cs="宋体"/>
        </w:rPr>
      </w:pPr>
      <w:r>
        <w:rPr>
          <w:rStyle w:val="29"/>
          <w:rFonts w:hint="eastAsia" w:cs="宋体"/>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pStyle w:val="22"/>
        <w:widowControl/>
        <w:spacing w:before="0" w:beforeAutospacing="0" w:after="0" w:afterAutospacing="0" w:line="288" w:lineRule="auto"/>
        <w:ind w:firstLine="345"/>
        <w:rPr>
          <w:rStyle w:val="29"/>
          <w:rFonts w:cs="宋体"/>
        </w:rPr>
      </w:pPr>
      <w:r>
        <w:rPr>
          <w:rStyle w:val="29"/>
          <w:rFonts w:cs="宋体"/>
        </w:rPr>
        <w:t>2.其他事项：</w:t>
      </w:r>
    </w:p>
    <w:p>
      <w:pPr>
        <w:wordWrap w:val="0"/>
        <w:spacing w:line="360" w:lineRule="auto"/>
        <w:ind w:firstLine="480" w:firstLineChars="200"/>
        <w:rPr>
          <w:rStyle w:val="29"/>
          <w:rFonts w:cs="宋体"/>
          <w:sz w:val="24"/>
        </w:rPr>
      </w:pPr>
      <w:r>
        <w:rPr>
          <w:rStyle w:val="29"/>
          <w:rFonts w:hint="eastAsia" w:cs="宋体"/>
          <w:sz w:val="24"/>
        </w:rPr>
        <w:t>（1）投标文件的制作及递交：1）投标人须在线获取CA数字证书（完成CA数字证书办理预计一周左右，建议各投标人自行把握时间），并登陆“浙江政府采购网”（ http://zfcg.czt.zj.gov.cn/），进入“下载专区”下载“电子交易客户端”，制作投标文件。2）具体的投标文件加密上传等操作详见政采云平台操作指南（https://edu.zcygov.cn/luban/e-biding?utm=a0004.2ef5001f.0001.0109.da8b35e0da8611e98d8937b7ef8a3544）。3）根据《浙江省政府采购项目电子交易管理暂行办法》第二十条规定，本次投标允许投标人递交备份投标文件，仅提交备份投标文件的，投标无效。（2）投标人应在合同签订前成为浙江政府采购网正式注册供应商。</w:t>
      </w:r>
    </w:p>
    <w:p>
      <w:pPr>
        <w:pStyle w:val="22"/>
        <w:widowControl/>
        <w:spacing w:before="0" w:beforeAutospacing="0" w:after="0" w:afterAutospacing="0" w:line="360" w:lineRule="auto"/>
        <w:jc w:val="both"/>
        <w:rPr>
          <w:rStyle w:val="29"/>
          <w:rFonts w:cs="宋体"/>
        </w:rPr>
      </w:pPr>
      <w:r>
        <w:rPr>
          <w:rStyle w:val="29"/>
          <w:rFonts w:hint="eastAsia" w:cs="宋体"/>
        </w:rPr>
        <w:t>七、对本次采购提出询问、质疑、投诉，请按以下方式联系   </w:t>
      </w:r>
    </w:p>
    <w:p>
      <w:pPr>
        <w:pStyle w:val="22"/>
        <w:widowControl/>
        <w:spacing w:before="0" w:beforeAutospacing="0" w:after="0" w:afterAutospacing="0" w:line="360" w:lineRule="auto"/>
        <w:jc w:val="both"/>
        <w:rPr>
          <w:rStyle w:val="29"/>
          <w:rFonts w:cs="宋体"/>
        </w:rPr>
      </w:pPr>
      <w:r>
        <w:rPr>
          <w:rStyle w:val="29"/>
          <w:rFonts w:hint="eastAsia" w:cs="宋体"/>
        </w:rPr>
        <w:t xml:space="preserve"> 1.采购人信息</w:t>
      </w:r>
    </w:p>
    <w:p>
      <w:pPr>
        <w:pStyle w:val="22"/>
        <w:widowControl/>
        <w:spacing w:before="0" w:beforeAutospacing="0" w:after="0" w:afterAutospacing="0" w:line="360" w:lineRule="auto"/>
        <w:jc w:val="both"/>
        <w:rPr>
          <w:rStyle w:val="29"/>
          <w:rFonts w:cs="宋体"/>
        </w:rPr>
      </w:pPr>
      <w:r>
        <w:rPr>
          <w:rStyle w:val="29"/>
          <w:rFonts w:hint="eastAsia" w:cs="宋体"/>
        </w:rPr>
        <w:t>    名    称：舟山市普陀山公路与运输管理中心 </w:t>
      </w:r>
    </w:p>
    <w:p>
      <w:pPr>
        <w:widowControl/>
        <w:jc w:val="left"/>
        <w:rPr>
          <w:rStyle w:val="29"/>
          <w:rFonts w:cs="宋体"/>
          <w:sz w:val="24"/>
        </w:rPr>
      </w:pPr>
      <w:r>
        <w:rPr>
          <w:rStyle w:val="29"/>
          <w:rFonts w:hint="eastAsia" w:cs="宋体"/>
          <w:kern w:val="0"/>
          <w:sz w:val="24"/>
        </w:rPr>
        <w:t>    地    址：舟山市普陀区朱家尖金沙大道2258号</w:t>
      </w:r>
    </w:p>
    <w:p>
      <w:pPr>
        <w:pStyle w:val="22"/>
        <w:widowControl/>
        <w:spacing w:before="0" w:beforeAutospacing="0" w:after="0" w:afterAutospacing="0" w:line="360" w:lineRule="auto"/>
        <w:ind w:firstLine="360" w:firstLineChars="150"/>
        <w:jc w:val="both"/>
        <w:rPr>
          <w:rStyle w:val="29"/>
          <w:rFonts w:cs="宋体"/>
        </w:rPr>
      </w:pPr>
      <w:r>
        <w:rPr>
          <w:rStyle w:val="29"/>
          <w:rFonts w:hint="eastAsia" w:cs="宋体"/>
        </w:rPr>
        <w:t>传   真：</w:t>
      </w:r>
    </w:p>
    <w:p>
      <w:pPr>
        <w:pStyle w:val="22"/>
        <w:widowControl/>
        <w:spacing w:before="0" w:beforeAutospacing="0" w:after="0" w:afterAutospacing="0" w:line="360" w:lineRule="auto"/>
        <w:jc w:val="both"/>
        <w:rPr>
          <w:rStyle w:val="29"/>
          <w:rFonts w:cs="宋体"/>
        </w:rPr>
      </w:pPr>
      <w:r>
        <w:rPr>
          <w:rStyle w:val="29"/>
          <w:rFonts w:hint="eastAsia" w:cs="宋体"/>
        </w:rPr>
        <w:t>    项目联系人（询问）：陆先生</w:t>
      </w:r>
    </w:p>
    <w:p>
      <w:pPr>
        <w:pStyle w:val="22"/>
        <w:widowControl/>
        <w:spacing w:before="0" w:beforeAutospacing="0" w:after="0" w:afterAutospacing="0" w:line="360" w:lineRule="auto"/>
        <w:ind w:firstLine="345"/>
        <w:jc w:val="both"/>
        <w:rPr>
          <w:rStyle w:val="29"/>
          <w:rFonts w:cs="宋体"/>
        </w:rPr>
      </w:pPr>
      <w:r>
        <w:rPr>
          <w:rStyle w:val="29"/>
          <w:rFonts w:hint="eastAsia" w:cs="宋体"/>
        </w:rPr>
        <w:t>项目联系方式（询问）：0580-6870293</w:t>
      </w:r>
    </w:p>
    <w:p>
      <w:pPr>
        <w:pStyle w:val="22"/>
        <w:widowControl/>
        <w:spacing w:before="0" w:beforeAutospacing="0" w:after="0" w:afterAutospacing="0" w:line="360" w:lineRule="auto"/>
        <w:ind w:firstLine="345"/>
        <w:jc w:val="both"/>
        <w:rPr>
          <w:rStyle w:val="29"/>
          <w:rFonts w:cs="宋体"/>
        </w:rPr>
      </w:pPr>
      <w:r>
        <w:rPr>
          <w:rStyle w:val="29"/>
          <w:rFonts w:hint="eastAsia" w:cs="宋体"/>
        </w:rPr>
        <w:t>质疑联系人：李先生</w:t>
      </w:r>
    </w:p>
    <w:p>
      <w:pPr>
        <w:pStyle w:val="22"/>
        <w:widowControl/>
        <w:spacing w:before="0" w:beforeAutospacing="0" w:after="0" w:afterAutospacing="0" w:line="360" w:lineRule="auto"/>
        <w:ind w:firstLine="360" w:firstLineChars="150"/>
        <w:jc w:val="both"/>
        <w:rPr>
          <w:rStyle w:val="29"/>
          <w:rFonts w:cs="宋体"/>
        </w:rPr>
      </w:pPr>
      <w:r>
        <w:rPr>
          <w:rStyle w:val="29"/>
          <w:rFonts w:hint="eastAsia" w:cs="宋体"/>
        </w:rPr>
        <w:t>质疑联系方式： 13957218281　　　　　　</w:t>
      </w:r>
    </w:p>
    <w:p>
      <w:pPr>
        <w:pStyle w:val="22"/>
        <w:widowControl/>
        <w:spacing w:before="0" w:beforeAutospacing="0" w:after="0" w:afterAutospacing="0" w:line="360" w:lineRule="auto"/>
        <w:jc w:val="both"/>
        <w:rPr>
          <w:rStyle w:val="29"/>
          <w:rFonts w:cs="宋体"/>
        </w:rPr>
      </w:pPr>
      <w:r>
        <w:rPr>
          <w:rStyle w:val="29"/>
          <w:rFonts w:hint="eastAsia" w:cs="宋体"/>
        </w:rPr>
        <w:t>2.采购代理机构信息</w:t>
      </w:r>
    </w:p>
    <w:p>
      <w:pPr>
        <w:pStyle w:val="22"/>
        <w:widowControl/>
        <w:spacing w:before="0" w:beforeAutospacing="0" w:after="0" w:afterAutospacing="0" w:line="360" w:lineRule="auto"/>
        <w:jc w:val="both"/>
        <w:rPr>
          <w:rStyle w:val="29"/>
          <w:rFonts w:cs="宋体"/>
        </w:rPr>
      </w:pPr>
      <w:r>
        <w:rPr>
          <w:rStyle w:val="29"/>
          <w:rFonts w:hint="eastAsia" w:cs="宋体"/>
        </w:rPr>
        <w:t>    名    称：浙江方舟工程造价咨询有限公司 </w:t>
      </w:r>
    </w:p>
    <w:p>
      <w:pPr>
        <w:pStyle w:val="22"/>
        <w:widowControl/>
        <w:spacing w:before="0" w:beforeAutospacing="0" w:after="0" w:afterAutospacing="0" w:line="360" w:lineRule="auto"/>
        <w:jc w:val="both"/>
        <w:rPr>
          <w:rStyle w:val="29"/>
          <w:rFonts w:cs="宋体"/>
        </w:rPr>
      </w:pPr>
      <w:r>
        <w:rPr>
          <w:rStyle w:val="29"/>
          <w:rFonts w:hint="eastAsia" w:cs="宋体"/>
        </w:rPr>
        <w:t>    地    址：舟山市定海区临城街道长峙岛香樟园20幢13楼</w:t>
      </w:r>
    </w:p>
    <w:p>
      <w:pPr>
        <w:pStyle w:val="22"/>
        <w:widowControl/>
        <w:spacing w:before="0" w:beforeAutospacing="0" w:after="0" w:afterAutospacing="0" w:line="360" w:lineRule="auto"/>
        <w:jc w:val="both"/>
        <w:rPr>
          <w:rStyle w:val="29"/>
          <w:rFonts w:cs="宋体"/>
        </w:rPr>
      </w:pPr>
      <w:r>
        <w:rPr>
          <w:rStyle w:val="29"/>
          <w:rFonts w:hint="eastAsia" w:cs="宋体"/>
        </w:rPr>
        <w:t>    传     真：/  </w:t>
      </w:r>
    </w:p>
    <w:p>
      <w:pPr>
        <w:pStyle w:val="22"/>
        <w:widowControl/>
        <w:spacing w:before="0" w:beforeAutospacing="0" w:after="0" w:afterAutospacing="0" w:line="360" w:lineRule="auto"/>
        <w:jc w:val="both"/>
        <w:rPr>
          <w:rStyle w:val="29"/>
          <w:rFonts w:cs="宋体"/>
        </w:rPr>
      </w:pPr>
      <w:r>
        <w:rPr>
          <w:rStyle w:val="29"/>
          <w:rFonts w:hint="eastAsia" w:cs="宋体"/>
        </w:rPr>
        <w:t>    项目联系人（询问）：应巧</w:t>
      </w:r>
    </w:p>
    <w:p>
      <w:pPr>
        <w:pStyle w:val="22"/>
        <w:widowControl/>
        <w:spacing w:before="0" w:beforeAutospacing="0" w:after="0" w:afterAutospacing="0" w:line="360" w:lineRule="auto"/>
        <w:jc w:val="both"/>
        <w:rPr>
          <w:rStyle w:val="29"/>
          <w:rFonts w:cs="宋体"/>
        </w:rPr>
      </w:pPr>
      <w:r>
        <w:rPr>
          <w:rStyle w:val="29"/>
          <w:rFonts w:hint="eastAsia" w:cs="宋体"/>
        </w:rPr>
        <w:t>    项目联系方式（询问）：0580-2047557</w:t>
      </w:r>
    </w:p>
    <w:p>
      <w:pPr>
        <w:pStyle w:val="22"/>
        <w:widowControl/>
        <w:spacing w:before="0" w:beforeAutospacing="0" w:after="0" w:afterAutospacing="0" w:line="360" w:lineRule="auto"/>
        <w:jc w:val="both"/>
        <w:rPr>
          <w:rStyle w:val="29"/>
          <w:rFonts w:cs="宋体"/>
        </w:rPr>
      </w:pPr>
      <w:r>
        <w:rPr>
          <w:rStyle w:val="29"/>
          <w:rFonts w:hint="eastAsia" w:cs="宋体"/>
        </w:rPr>
        <w:t>    质疑联系人：沈鲁斌</w:t>
      </w:r>
    </w:p>
    <w:p>
      <w:pPr>
        <w:pStyle w:val="22"/>
        <w:widowControl/>
        <w:spacing w:before="0" w:beforeAutospacing="0" w:after="0" w:afterAutospacing="0" w:line="360" w:lineRule="auto"/>
        <w:jc w:val="both"/>
        <w:rPr>
          <w:rStyle w:val="29"/>
          <w:rFonts w:cs="宋体"/>
        </w:rPr>
      </w:pPr>
      <w:r>
        <w:rPr>
          <w:rStyle w:val="29"/>
          <w:rFonts w:hint="eastAsia" w:cs="宋体"/>
        </w:rPr>
        <w:t>    质疑联系方式：0580-2047557</w:t>
      </w:r>
      <w:r>
        <w:rPr>
          <w:rStyle w:val="29"/>
          <w:rFonts w:hint="eastAsia" w:cs="宋体"/>
        </w:rPr>
        <w:br w:type="textWrapping"/>
      </w:r>
      <w:r>
        <w:rPr>
          <w:rStyle w:val="29"/>
          <w:rFonts w:hint="eastAsia" w:cs="宋体"/>
        </w:rPr>
        <w:t>    3.同级政府采购监督管理部门</w:t>
      </w:r>
    </w:p>
    <w:p>
      <w:pPr>
        <w:pStyle w:val="22"/>
        <w:widowControl/>
        <w:spacing w:before="0" w:beforeAutospacing="0" w:after="0" w:afterAutospacing="0" w:line="360" w:lineRule="auto"/>
        <w:jc w:val="both"/>
        <w:rPr>
          <w:rStyle w:val="29"/>
          <w:rFonts w:cs="宋体"/>
        </w:rPr>
      </w:pPr>
      <w:r>
        <w:rPr>
          <w:rStyle w:val="29"/>
          <w:rFonts w:hint="eastAsia" w:cs="宋体"/>
        </w:rPr>
        <w:t>    名    称：舟山市财政局政府采购监管处 </w:t>
      </w:r>
    </w:p>
    <w:p>
      <w:pPr>
        <w:pStyle w:val="22"/>
        <w:widowControl/>
        <w:spacing w:before="0" w:beforeAutospacing="0" w:after="0" w:afterAutospacing="0" w:line="360" w:lineRule="auto"/>
        <w:jc w:val="both"/>
        <w:rPr>
          <w:rStyle w:val="29"/>
          <w:rFonts w:cs="宋体"/>
        </w:rPr>
      </w:pPr>
      <w:r>
        <w:rPr>
          <w:rStyle w:val="29"/>
          <w:rFonts w:hint="eastAsia" w:cs="宋体"/>
        </w:rPr>
        <w:t>    地    址：舟山市新城海天大道681号 </w:t>
      </w:r>
    </w:p>
    <w:p>
      <w:pPr>
        <w:pStyle w:val="22"/>
        <w:widowControl/>
        <w:spacing w:before="0" w:beforeAutospacing="0" w:after="0" w:afterAutospacing="0" w:line="360" w:lineRule="auto"/>
        <w:jc w:val="both"/>
        <w:rPr>
          <w:rStyle w:val="29"/>
          <w:rFonts w:cs="宋体"/>
        </w:rPr>
      </w:pPr>
      <w:r>
        <w:rPr>
          <w:rStyle w:val="29"/>
          <w:rFonts w:hint="eastAsia" w:cs="宋体"/>
        </w:rPr>
        <w:t>    传     真：0580-2282519 </w:t>
      </w:r>
    </w:p>
    <w:p>
      <w:pPr>
        <w:pStyle w:val="22"/>
        <w:widowControl/>
        <w:spacing w:before="0" w:beforeAutospacing="0" w:after="0" w:afterAutospacing="0" w:line="360" w:lineRule="auto"/>
        <w:jc w:val="both"/>
        <w:rPr>
          <w:rStyle w:val="29"/>
          <w:rFonts w:cs="宋体"/>
        </w:rPr>
      </w:pPr>
      <w:r>
        <w:rPr>
          <w:rStyle w:val="29"/>
          <w:rFonts w:hint="eastAsia" w:cs="宋体"/>
        </w:rPr>
        <w:t>    联系人：孙先生 </w:t>
      </w:r>
    </w:p>
    <w:p>
      <w:pPr>
        <w:pStyle w:val="22"/>
        <w:widowControl/>
        <w:spacing w:before="0" w:beforeAutospacing="0" w:after="0" w:afterAutospacing="0" w:line="360" w:lineRule="auto"/>
        <w:jc w:val="both"/>
        <w:rPr>
          <w:rStyle w:val="29"/>
          <w:rFonts w:cs="宋体"/>
        </w:rPr>
      </w:pPr>
      <w:r>
        <w:rPr>
          <w:rStyle w:val="29"/>
          <w:rFonts w:hint="eastAsia" w:cs="宋体"/>
        </w:rPr>
        <w:t>    监督投诉电话：0580-2282519</w:t>
      </w:r>
    </w:p>
    <w:p>
      <w:pPr>
        <w:pStyle w:val="22"/>
        <w:widowControl/>
        <w:spacing w:before="50" w:beforeAutospacing="0" w:after="50" w:afterAutospacing="0" w:line="360" w:lineRule="auto"/>
        <w:rPr>
          <w:rFonts w:ascii="宋体" w:hAnsi="宋体" w:cs="宋体"/>
        </w:rPr>
      </w:pPr>
      <w:r>
        <w:rPr>
          <w:rFonts w:hint="eastAsia" w:ascii="宋体" w:hAnsi="宋体" w:cs="宋体"/>
          <w:color w:val="000000"/>
        </w:rPr>
        <w:t>若对项目采购电子交易系统操作有疑问，可登录政采云（https://www.zcygov.cn/），点击右侧咨询小采，获取采小蜜智能服务管家帮助，或拨打政采云服务热线400-881-7190获取热线服务帮助。        </w:t>
      </w:r>
    </w:p>
    <w:p>
      <w:pPr>
        <w:pStyle w:val="22"/>
        <w:widowControl/>
        <w:spacing w:before="50" w:beforeAutospacing="0" w:after="50" w:afterAutospacing="0" w:line="360" w:lineRule="auto"/>
        <w:rPr>
          <w:rFonts w:ascii="宋体" w:hAnsi="宋体" w:cs="宋体"/>
          <w:color w:val="000000"/>
        </w:rPr>
      </w:pPr>
      <w:r>
        <w:rPr>
          <w:rFonts w:hint="eastAsia" w:ascii="宋体" w:hAnsi="宋体" w:cs="宋体"/>
          <w:color w:val="000000"/>
        </w:rPr>
        <w:t>CA问题联系电话（人工）：汇信CA 400-888-4636；天谷CA 400-087-8198。</w:t>
      </w:r>
    </w:p>
    <w:p>
      <w:pPr>
        <w:pStyle w:val="22"/>
        <w:widowControl/>
        <w:spacing w:before="50" w:beforeAutospacing="0" w:after="50" w:afterAutospacing="0" w:line="360" w:lineRule="auto"/>
        <w:rPr>
          <w:rFonts w:ascii="宋体" w:hAnsi="宋体" w:cs="宋体"/>
          <w:color w:val="000000"/>
        </w:rPr>
      </w:pPr>
    </w:p>
    <w:p>
      <w:pPr>
        <w:pStyle w:val="22"/>
        <w:widowControl/>
        <w:spacing w:before="50" w:beforeAutospacing="0" w:after="50" w:afterAutospacing="0" w:line="360" w:lineRule="auto"/>
        <w:rPr>
          <w:rFonts w:ascii="宋体" w:hAnsi="宋体" w:cs="宋体"/>
          <w:color w:val="000000"/>
        </w:rPr>
      </w:pPr>
    </w:p>
    <w:p>
      <w:pPr>
        <w:pStyle w:val="22"/>
        <w:widowControl/>
        <w:spacing w:before="50" w:beforeAutospacing="0" w:after="50" w:afterAutospacing="0" w:line="360" w:lineRule="auto"/>
        <w:rPr>
          <w:rFonts w:ascii="宋体" w:hAnsi="宋体" w:cs="宋体"/>
          <w:color w:val="000000"/>
        </w:rPr>
      </w:pPr>
    </w:p>
    <w:p>
      <w:pPr>
        <w:pStyle w:val="22"/>
        <w:widowControl/>
        <w:spacing w:before="50" w:beforeAutospacing="0" w:after="50" w:afterAutospacing="0" w:line="360" w:lineRule="auto"/>
        <w:rPr>
          <w:rFonts w:ascii="宋体" w:hAnsi="宋体" w:cs="宋体"/>
          <w:color w:val="000000"/>
        </w:rPr>
      </w:pPr>
    </w:p>
    <w:p>
      <w:pPr>
        <w:pStyle w:val="22"/>
        <w:widowControl/>
        <w:spacing w:before="50" w:beforeAutospacing="0" w:after="50" w:afterAutospacing="0" w:line="360" w:lineRule="auto"/>
        <w:rPr>
          <w:rFonts w:ascii="宋体" w:hAnsi="宋体" w:cs="宋体"/>
          <w:color w:val="000000"/>
        </w:rPr>
      </w:pPr>
    </w:p>
    <w:p>
      <w:pPr>
        <w:pStyle w:val="22"/>
        <w:widowControl/>
        <w:spacing w:before="50" w:beforeAutospacing="0" w:after="50" w:afterAutospacing="0" w:line="360" w:lineRule="auto"/>
        <w:rPr>
          <w:rFonts w:ascii="宋体" w:hAnsi="宋体" w:cs="宋体"/>
          <w:color w:val="000000"/>
        </w:rPr>
      </w:pPr>
    </w:p>
    <w:p>
      <w:pPr>
        <w:pStyle w:val="22"/>
        <w:widowControl/>
        <w:spacing w:before="50" w:beforeAutospacing="0" w:after="50" w:afterAutospacing="0" w:line="360" w:lineRule="auto"/>
        <w:rPr>
          <w:rFonts w:ascii="宋体" w:hAnsi="宋体" w:cs="宋体"/>
          <w:color w:val="000000"/>
        </w:rPr>
      </w:pPr>
    </w:p>
    <w:p>
      <w:pPr>
        <w:pStyle w:val="22"/>
        <w:widowControl/>
        <w:spacing w:before="50" w:beforeAutospacing="0" w:after="50" w:afterAutospacing="0" w:line="360" w:lineRule="auto"/>
        <w:rPr>
          <w:rFonts w:ascii="宋体" w:hAnsi="宋体" w:cs="宋体"/>
          <w:color w:val="000000"/>
        </w:rPr>
      </w:pPr>
    </w:p>
    <w:p>
      <w:pPr>
        <w:pStyle w:val="22"/>
        <w:widowControl/>
        <w:spacing w:before="50" w:beforeAutospacing="0" w:after="50" w:afterAutospacing="0" w:line="360" w:lineRule="auto"/>
        <w:rPr>
          <w:rFonts w:ascii="宋体" w:hAnsi="宋体" w:cs="宋体"/>
          <w:color w:val="000000"/>
        </w:rPr>
      </w:pPr>
    </w:p>
    <w:p>
      <w:pPr>
        <w:pStyle w:val="22"/>
        <w:widowControl/>
        <w:spacing w:before="50" w:beforeAutospacing="0" w:after="50" w:afterAutospacing="0" w:line="360" w:lineRule="auto"/>
        <w:rPr>
          <w:rFonts w:ascii="宋体" w:hAnsi="宋体" w:cs="宋体"/>
          <w:color w:val="000000"/>
        </w:rPr>
      </w:pPr>
    </w:p>
    <w:p>
      <w:pPr>
        <w:pStyle w:val="22"/>
        <w:widowControl/>
        <w:spacing w:before="50" w:beforeAutospacing="0" w:after="50" w:afterAutospacing="0" w:line="360" w:lineRule="auto"/>
        <w:rPr>
          <w:rFonts w:ascii="宋体" w:hAnsi="宋体" w:cs="宋体"/>
          <w:color w:val="000000"/>
        </w:rPr>
      </w:pPr>
    </w:p>
    <w:p>
      <w:pPr>
        <w:pStyle w:val="22"/>
        <w:widowControl/>
        <w:spacing w:before="50" w:beforeAutospacing="0" w:after="50" w:afterAutospacing="0" w:line="360" w:lineRule="auto"/>
        <w:rPr>
          <w:rFonts w:ascii="宋体" w:hAnsi="宋体" w:cs="宋体"/>
          <w:color w:val="000000"/>
        </w:rPr>
      </w:pPr>
    </w:p>
    <w:p>
      <w:pPr>
        <w:pStyle w:val="22"/>
        <w:widowControl/>
        <w:spacing w:before="50" w:beforeAutospacing="0" w:after="50" w:afterAutospacing="0" w:line="360" w:lineRule="auto"/>
        <w:rPr>
          <w:rFonts w:ascii="宋体" w:hAnsi="宋体" w:cs="宋体"/>
          <w:color w:val="000000"/>
        </w:rPr>
      </w:pPr>
    </w:p>
    <w:p>
      <w:pPr>
        <w:pStyle w:val="22"/>
        <w:widowControl/>
        <w:spacing w:before="50" w:beforeAutospacing="0" w:after="50" w:afterAutospacing="0" w:line="360" w:lineRule="auto"/>
        <w:rPr>
          <w:rFonts w:ascii="宋体" w:hAnsi="宋体" w:cs="宋体"/>
          <w:color w:val="000000"/>
        </w:rPr>
      </w:pPr>
    </w:p>
    <w:p>
      <w:pPr>
        <w:pStyle w:val="22"/>
        <w:widowControl/>
        <w:spacing w:before="50" w:beforeAutospacing="0" w:after="50" w:afterAutospacing="0" w:line="360" w:lineRule="auto"/>
        <w:rPr>
          <w:rFonts w:ascii="宋体" w:hAnsi="宋体" w:cs="宋体"/>
          <w:color w:val="000000"/>
        </w:rPr>
      </w:pPr>
    </w:p>
    <w:p>
      <w:pPr>
        <w:pStyle w:val="22"/>
        <w:widowControl/>
        <w:spacing w:before="50" w:beforeAutospacing="0" w:after="50" w:afterAutospacing="0" w:line="360" w:lineRule="auto"/>
        <w:rPr>
          <w:rFonts w:ascii="宋体" w:hAnsi="宋体" w:cs="宋体"/>
          <w:color w:val="000000"/>
        </w:rPr>
      </w:pPr>
    </w:p>
    <w:p>
      <w:pPr>
        <w:pStyle w:val="22"/>
        <w:widowControl/>
        <w:spacing w:before="50" w:beforeAutospacing="0" w:after="50" w:afterAutospacing="0" w:line="360" w:lineRule="auto"/>
        <w:rPr>
          <w:rFonts w:ascii="宋体" w:hAnsi="宋体" w:cs="宋体"/>
          <w:color w:val="000000"/>
        </w:rPr>
      </w:pPr>
    </w:p>
    <w:p>
      <w:pPr>
        <w:pStyle w:val="22"/>
        <w:widowControl/>
        <w:spacing w:before="50" w:beforeAutospacing="0" w:after="50" w:afterAutospacing="0" w:line="360" w:lineRule="auto"/>
        <w:rPr>
          <w:rFonts w:ascii="宋体" w:hAnsi="宋体" w:cs="宋体"/>
          <w:color w:val="000000"/>
        </w:rPr>
      </w:pPr>
    </w:p>
    <w:p>
      <w:pPr>
        <w:pStyle w:val="22"/>
        <w:widowControl/>
        <w:spacing w:before="50" w:beforeAutospacing="0" w:after="50" w:afterAutospacing="0" w:line="360" w:lineRule="auto"/>
        <w:rPr>
          <w:rFonts w:ascii="宋体" w:hAnsi="宋体" w:cs="宋体"/>
          <w:color w:val="000000"/>
        </w:rPr>
      </w:pPr>
    </w:p>
    <w:p>
      <w:pPr>
        <w:pStyle w:val="22"/>
        <w:widowControl/>
        <w:spacing w:before="50" w:beforeAutospacing="0" w:after="50" w:afterAutospacing="0" w:line="360" w:lineRule="auto"/>
        <w:rPr>
          <w:rFonts w:ascii="宋体" w:hAnsi="宋体" w:cs="宋体"/>
          <w:color w:val="000000"/>
        </w:rPr>
      </w:pPr>
    </w:p>
    <w:p>
      <w:pPr>
        <w:pStyle w:val="22"/>
        <w:widowControl/>
        <w:spacing w:before="50" w:beforeAutospacing="0" w:after="50" w:afterAutospacing="0" w:line="360" w:lineRule="auto"/>
        <w:rPr>
          <w:rFonts w:ascii="宋体" w:hAnsi="宋体" w:cs="宋体"/>
          <w:color w:val="000000"/>
        </w:rPr>
      </w:pPr>
    </w:p>
    <w:p>
      <w:pPr>
        <w:pStyle w:val="22"/>
        <w:widowControl/>
        <w:spacing w:before="50" w:beforeAutospacing="0" w:after="50" w:afterAutospacing="0" w:line="360" w:lineRule="auto"/>
        <w:rPr>
          <w:rFonts w:ascii="宋体" w:hAnsi="宋体" w:cs="宋体"/>
        </w:rPr>
      </w:pPr>
    </w:p>
    <w:p>
      <w:pPr>
        <w:numPr>
          <w:ilvl w:val="0"/>
          <w:numId w:val="1"/>
        </w:numPr>
        <w:spacing w:line="360" w:lineRule="auto"/>
        <w:ind w:firstLine="3171" w:firstLineChars="1128"/>
        <w:jc w:val="left"/>
        <w:outlineLvl w:val="1"/>
        <w:rPr>
          <w:rFonts w:ascii="宋体" w:hAnsi="宋体" w:cs="宋体"/>
          <w:b/>
          <w:sz w:val="28"/>
          <w:szCs w:val="28"/>
        </w:rPr>
      </w:pPr>
      <w:r>
        <w:rPr>
          <w:rFonts w:hint="eastAsia" w:ascii="宋体" w:hAnsi="宋体" w:cs="宋体"/>
          <w:b/>
          <w:sz w:val="28"/>
          <w:szCs w:val="28"/>
        </w:rPr>
        <w:t>采购需求</w:t>
      </w:r>
    </w:p>
    <w:p>
      <w:pPr>
        <w:autoSpaceDE w:val="0"/>
        <w:autoSpaceDN w:val="0"/>
        <w:adjustRightInd w:val="0"/>
        <w:snapToGrid w:val="0"/>
        <w:spacing w:line="360" w:lineRule="auto"/>
        <w:rPr>
          <w:rFonts w:ascii="宋体" w:hAnsi="宋体"/>
          <w:b/>
          <w:kern w:val="0"/>
          <w:szCs w:val="21"/>
        </w:rPr>
      </w:pPr>
      <w:r>
        <w:rPr>
          <w:rFonts w:hint="eastAsia" w:ascii="宋体" w:hAnsi="宋体"/>
          <w:b/>
          <w:kern w:val="0"/>
          <w:szCs w:val="21"/>
        </w:rPr>
        <w:t>一、采购内容及具体要求</w:t>
      </w:r>
    </w:p>
    <w:p>
      <w:pPr>
        <w:spacing w:line="360" w:lineRule="auto"/>
        <w:ind w:firstLine="316" w:firstLineChars="150"/>
        <w:rPr>
          <w:rFonts w:ascii="宋体" w:hAnsi="宋体" w:cs="宋体"/>
          <w:b/>
          <w:szCs w:val="21"/>
        </w:rPr>
      </w:pPr>
      <w:r>
        <w:rPr>
          <w:rFonts w:hint="eastAsia" w:ascii="宋体" w:hAnsi="宋体" w:cs="宋体"/>
          <w:b/>
          <w:szCs w:val="21"/>
        </w:rPr>
        <w:t>1、项目背景</w:t>
      </w:r>
    </w:p>
    <w:p>
      <w:pPr>
        <w:spacing w:line="360" w:lineRule="auto"/>
        <w:ind w:firstLine="360" w:firstLineChars="150"/>
        <w:rPr>
          <w:rFonts w:ascii="宋体" w:hAnsi="宋体" w:cs="宋体"/>
          <w:color w:val="000000" w:themeColor="text1"/>
          <w:sz w:val="24"/>
        </w:rPr>
      </w:pPr>
      <w:r>
        <w:rPr>
          <w:rFonts w:hint="eastAsia" w:ascii="宋体" w:hAnsi="宋体"/>
          <w:kern w:val="0"/>
          <w:sz w:val="24"/>
        </w:rPr>
        <w:t>朱家尖大桥及</w:t>
      </w:r>
      <w:r>
        <w:rPr>
          <w:rFonts w:hint="eastAsia" w:ascii="宋体" w:hAnsi="宋体" w:cs="宋体"/>
          <w:sz w:val="24"/>
        </w:rPr>
        <w:t>附近海域情况较为特殊，是重要的航道，为保障</w:t>
      </w:r>
      <w:r>
        <w:rPr>
          <w:rFonts w:hint="eastAsia" w:ascii="宋体" w:hAnsi="宋体"/>
          <w:kern w:val="0"/>
          <w:sz w:val="24"/>
        </w:rPr>
        <w:t>朱家尖大桥</w:t>
      </w:r>
      <w:r>
        <w:rPr>
          <w:rFonts w:hint="eastAsia" w:ascii="宋体" w:hAnsi="宋体" w:cs="宋体"/>
          <w:sz w:val="24"/>
        </w:rPr>
        <w:t>的自身安全和附近海域船舶航行安全，对</w:t>
      </w:r>
      <w:r>
        <w:rPr>
          <w:rFonts w:hint="eastAsia" w:ascii="宋体" w:hAnsi="宋体"/>
          <w:kern w:val="0"/>
          <w:sz w:val="24"/>
        </w:rPr>
        <w:t>朱家尖大桥</w:t>
      </w:r>
      <w:r>
        <w:rPr>
          <w:rFonts w:hint="eastAsia" w:ascii="宋体" w:hAnsi="宋体" w:cs="宋体"/>
          <w:sz w:val="24"/>
        </w:rPr>
        <w:t>航标的日常维护巡检工作是航标管理的重要组成部分，本项目通过对</w:t>
      </w:r>
      <w:r>
        <w:rPr>
          <w:rFonts w:hint="eastAsia" w:ascii="宋体" w:hAnsi="宋体"/>
          <w:kern w:val="0"/>
          <w:sz w:val="24"/>
        </w:rPr>
        <w:t>朱家尖大桥</w:t>
      </w:r>
      <w:r>
        <w:rPr>
          <w:rFonts w:hint="eastAsia" w:ascii="宋体" w:hAnsi="宋体" w:cs="宋体"/>
          <w:sz w:val="24"/>
        </w:rPr>
        <w:t>和附近海面</w:t>
      </w:r>
      <w:r>
        <w:rPr>
          <w:rFonts w:hint="eastAsia" w:ascii="宋体" w:hAnsi="宋体" w:cs="宋体"/>
          <w:color w:val="000000" w:themeColor="text1"/>
          <w:sz w:val="24"/>
        </w:rPr>
        <w:t>的航标进行维护、巡检、抢修等，确保航标的正常发光运行。</w:t>
      </w:r>
    </w:p>
    <w:p>
      <w:pPr>
        <w:snapToGrid w:val="0"/>
        <w:spacing w:line="360" w:lineRule="auto"/>
        <w:ind w:firstLine="422" w:firstLineChars="200"/>
        <w:rPr>
          <w:rFonts w:ascii="宋体" w:hAnsi="宋体"/>
          <w:b/>
          <w:bCs/>
          <w:color w:val="000000" w:themeColor="text1"/>
          <w:kern w:val="0"/>
          <w:szCs w:val="21"/>
        </w:rPr>
      </w:pPr>
      <w:r>
        <w:rPr>
          <w:rFonts w:hint="eastAsia" w:ascii="宋体" w:hAnsi="宋体"/>
          <w:b/>
          <w:bCs/>
          <w:color w:val="000000" w:themeColor="text1"/>
          <w:kern w:val="0"/>
          <w:szCs w:val="21"/>
        </w:rPr>
        <w:t>2、航标养护维修范围内容</w:t>
      </w:r>
    </w:p>
    <w:p>
      <w:pPr>
        <w:snapToGrid w:val="0"/>
        <w:spacing w:line="360" w:lineRule="auto"/>
        <w:ind w:firstLine="480" w:firstLineChars="200"/>
        <w:rPr>
          <w:rFonts w:ascii="宋体" w:hAnsi="宋体"/>
          <w:color w:val="000000" w:themeColor="text1"/>
          <w:kern w:val="0"/>
          <w:sz w:val="24"/>
        </w:rPr>
      </w:pPr>
      <w:r>
        <w:rPr>
          <w:rFonts w:hint="eastAsia" w:ascii="宋体" w:hAnsi="宋体"/>
          <w:color w:val="000000" w:themeColor="text1"/>
          <w:kern w:val="0"/>
          <w:sz w:val="24"/>
        </w:rPr>
        <w:t>本项目要求养护维修舟山市朱家尖大桥（观音大桥）灯浮8座，朱家尖大桥警示灯桩16座，朱家尖大桥桥涵标10座。</w:t>
      </w:r>
    </w:p>
    <w:p>
      <w:pPr>
        <w:snapToGrid w:val="0"/>
        <w:spacing w:line="360" w:lineRule="auto"/>
        <w:ind w:firstLine="480" w:firstLineChars="200"/>
        <w:rPr>
          <w:rFonts w:ascii="宋体" w:hAnsi="宋体"/>
          <w:color w:val="000000" w:themeColor="text1"/>
          <w:kern w:val="0"/>
          <w:sz w:val="24"/>
        </w:rPr>
      </w:pPr>
      <w:r>
        <w:rPr>
          <w:rFonts w:hint="eastAsia" w:ascii="宋体" w:hAnsi="宋体"/>
          <w:bCs/>
          <w:color w:val="000000" w:themeColor="text1"/>
          <w:kern w:val="0"/>
          <w:sz w:val="24"/>
        </w:rPr>
        <w:t>航标应</w:t>
      </w:r>
      <w:r>
        <w:rPr>
          <w:rFonts w:hint="eastAsia" w:ascii="宋体" w:hAnsi="宋体" w:cs="宋体"/>
          <w:bCs/>
          <w:color w:val="000000" w:themeColor="text1"/>
          <w:sz w:val="24"/>
        </w:rPr>
        <w:t>按《沿海导助航工程维护技术规范》JTS/T320-5-2020、</w:t>
      </w:r>
      <w:r>
        <w:rPr>
          <w:rFonts w:hint="eastAsia" w:ascii="宋体" w:hAnsi="宋体" w:cs="宋体"/>
          <w:color w:val="000000" w:themeColor="text1"/>
          <w:sz w:val="24"/>
        </w:rPr>
        <w:t>《海区航标维护质量考核标准》、《东海海区航标维护质量检查办法》等相关技术标准及规范进行技术管理和维护，并按时完成航标日常维护工作。</w:t>
      </w:r>
      <w:r>
        <w:rPr>
          <w:rFonts w:hint="eastAsia" w:ascii="宋体" w:hAnsi="宋体"/>
          <w:bCs/>
          <w:color w:val="000000" w:themeColor="text1"/>
          <w:kern w:val="0"/>
          <w:sz w:val="24"/>
        </w:rPr>
        <w:t>维护保养</w:t>
      </w:r>
      <w:r>
        <w:rPr>
          <w:rFonts w:hint="eastAsia" w:ascii="宋体" w:hAnsi="宋体" w:cs="宋体"/>
          <w:color w:val="000000" w:themeColor="text1"/>
          <w:sz w:val="24"/>
        </w:rPr>
        <w:t>主要内容包括：航标维护、航标巡检、航标抢修等。通过预防性发现并排除航标故障，持续保持航标设备处于良好工作状态，使航标设备达到</w:t>
      </w:r>
      <w:r>
        <w:rPr>
          <w:rFonts w:hint="eastAsia" w:ascii="新宋体" w:hAnsi="新宋体" w:eastAsia="新宋体"/>
          <w:color w:val="000000" w:themeColor="text1"/>
          <w:kern w:val="0"/>
          <w:sz w:val="24"/>
        </w:rPr>
        <w:t>标位准确、灯质正常、涂色鲜明、结构良好的工作状态。</w:t>
      </w:r>
    </w:p>
    <w:p>
      <w:pPr>
        <w:pStyle w:val="3"/>
        <w:ind w:firstLine="422" w:firstLineChars="200"/>
        <w:rPr>
          <w:rFonts w:ascii="宋体" w:hAnsi="宋体"/>
          <w:b/>
          <w:szCs w:val="21"/>
        </w:rPr>
      </w:pPr>
      <w:r>
        <w:rPr>
          <w:rFonts w:hint="eastAsia" w:ascii="宋体" w:hAnsi="宋体"/>
          <w:b/>
          <w:szCs w:val="21"/>
        </w:rPr>
        <w:t>3、朱家尖大桥航标具体参数</w:t>
      </w:r>
    </w:p>
    <w:tbl>
      <w:tblPr>
        <w:tblStyle w:val="26"/>
        <w:tblW w:w="935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1478"/>
        <w:gridCol w:w="827"/>
        <w:gridCol w:w="694"/>
        <w:gridCol w:w="1791"/>
        <w:gridCol w:w="1896"/>
        <w:gridCol w:w="978"/>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序号</w:t>
            </w:r>
          </w:p>
        </w:tc>
        <w:tc>
          <w:tcPr>
            <w:tcW w:w="1539"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编号</w:t>
            </w:r>
          </w:p>
        </w:tc>
        <w:tc>
          <w:tcPr>
            <w:tcW w:w="85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标志  类别</w:t>
            </w:r>
          </w:p>
        </w:tc>
        <w:tc>
          <w:tcPr>
            <w:tcW w:w="709"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射程　　　　海里　　　　　　　　　　　　　　　　　　　　　　　　　　　　　　　　　　　　　　　　　　　　　　　　　　　　　　　　　　　　　　　　</w:t>
            </w:r>
          </w:p>
        </w:tc>
        <w:tc>
          <w:tcPr>
            <w:tcW w:w="3544" w:type="dxa"/>
            <w:gridSpan w:val="2"/>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位　置</w:t>
            </w:r>
          </w:p>
        </w:tc>
        <w:tc>
          <w:tcPr>
            <w:tcW w:w="99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灯质</w:t>
            </w:r>
          </w:p>
        </w:tc>
        <w:tc>
          <w:tcPr>
            <w:tcW w:w="99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vMerge w:val="continue"/>
            <w:vAlign w:val="center"/>
          </w:tcPr>
          <w:p>
            <w:pPr>
              <w:widowControl/>
              <w:jc w:val="left"/>
              <w:rPr>
                <w:rFonts w:ascii="宋体" w:hAnsi="宋体" w:cs="宋体"/>
                <w:color w:val="000000"/>
                <w:kern w:val="0"/>
                <w:szCs w:val="21"/>
              </w:rPr>
            </w:pPr>
          </w:p>
        </w:tc>
        <w:tc>
          <w:tcPr>
            <w:tcW w:w="1539" w:type="dxa"/>
            <w:vMerge w:val="continue"/>
            <w:vAlign w:val="center"/>
          </w:tcPr>
          <w:p>
            <w:pPr>
              <w:widowControl/>
              <w:jc w:val="left"/>
              <w:rPr>
                <w:rFonts w:ascii="宋体" w:hAnsi="宋体" w:cs="宋体"/>
                <w:color w:val="000000"/>
                <w:kern w:val="0"/>
                <w:szCs w:val="21"/>
              </w:rPr>
            </w:pPr>
          </w:p>
        </w:tc>
        <w:tc>
          <w:tcPr>
            <w:tcW w:w="850" w:type="dxa"/>
            <w:vMerge w:val="continue"/>
            <w:vAlign w:val="center"/>
          </w:tcPr>
          <w:p>
            <w:pPr>
              <w:widowControl/>
              <w:jc w:val="left"/>
              <w:rPr>
                <w:rFonts w:ascii="宋体" w:hAnsi="宋体" w:cs="宋体"/>
                <w:color w:val="000000"/>
                <w:kern w:val="0"/>
                <w:szCs w:val="21"/>
              </w:rPr>
            </w:pPr>
          </w:p>
        </w:tc>
        <w:tc>
          <w:tcPr>
            <w:tcW w:w="709" w:type="dxa"/>
            <w:vMerge w:val="continue"/>
            <w:vAlign w:val="center"/>
          </w:tcPr>
          <w:p>
            <w:pPr>
              <w:widowControl/>
              <w:jc w:val="left"/>
              <w:rPr>
                <w:rFonts w:ascii="宋体" w:hAnsi="宋体" w:cs="宋体"/>
                <w:color w:val="000000"/>
                <w:kern w:val="0"/>
                <w:szCs w:val="21"/>
              </w:rPr>
            </w:pPr>
          </w:p>
        </w:tc>
        <w:tc>
          <w:tcPr>
            <w:tcW w:w="17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北纬</w:t>
            </w:r>
          </w:p>
        </w:tc>
        <w:tc>
          <w:tcPr>
            <w:tcW w:w="1843"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东径</w:t>
            </w:r>
          </w:p>
        </w:tc>
        <w:tc>
          <w:tcPr>
            <w:tcW w:w="992" w:type="dxa"/>
            <w:vMerge w:val="continue"/>
            <w:vAlign w:val="center"/>
          </w:tcPr>
          <w:p>
            <w:pPr>
              <w:widowControl/>
              <w:jc w:val="left"/>
              <w:rPr>
                <w:rFonts w:ascii="宋体" w:hAnsi="宋体" w:cs="宋体"/>
                <w:color w:val="000000"/>
                <w:kern w:val="0"/>
                <w:szCs w:val="21"/>
              </w:rPr>
            </w:pPr>
          </w:p>
        </w:tc>
        <w:tc>
          <w:tcPr>
            <w:tcW w:w="992"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3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一</w:t>
            </w:r>
          </w:p>
        </w:tc>
        <w:tc>
          <w:tcPr>
            <w:tcW w:w="153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灯浮</w:t>
            </w:r>
          </w:p>
        </w:tc>
        <w:tc>
          <w:tcPr>
            <w:tcW w:w="85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7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843"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1-8号标志同步闪光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3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53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朱家尖大桥1号</w:t>
            </w:r>
          </w:p>
        </w:tc>
        <w:tc>
          <w:tcPr>
            <w:tcW w:w="85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右侧标</w:t>
            </w:r>
          </w:p>
        </w:tc>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7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29°58′09.2″N</w:t>
            </w:r>
          </w:p>
        </w:tc>
        <w:tc>
          <w:tcPr>
            <w:tcW w:w="1843"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122°20′12.5″E</w:t>
            </w:r>
          </w:p>
        </w:tc>
        <w:tc>
          <w:tcPr>
            <w:tcW w:w="99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闪绿4秒</w:t>
            </w:r>
          </w:p>
        </w:tc>
        <w:tc>
          <w:tcPr>
            <w:tcW w:w="992"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3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53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朱家尖大桥3号</w:t>
            </w:r>
          </w:p>
        </w:tc>
        <w:tc>
          <w:tcPr>
            <w:tcW w:w="850" w:type="dxa"/>
            <w:vMerge w:val="continue"/>
            <w:vAlign w:val="center"/>
          </w:tcPr>
          <w:p>
            <w:pPr>
              <w:widowControl/>
              <w:jc w:val="left"/>
              <w:rPr>
                <w:rFonts w:ascii="宋体" w:hAnsi="宋体" w:cs="宋体"/>
                <w:color w:val="000000"/>
                <w:kern w:val="0"/>
                <w:szCs w:val="21"/>
              </w:rPr>
            </w:pPr>
          </w:p>
        </w:tc>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7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29°57′54.0″N</w:t>
            </w:r>
          </w:p>
        </w:tc>
        <w:tc>
          <w:tcPr>
            <w:tcW w:w="1843"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122°20′01.2″E </w:t>
            </w:r>
          </w:p>
        </w:tc>
        <w:tc>
          <w:tcPr>
            <w:tcW w:w="992" w:type="dxa"/>
            <w:vMerge w:val="continue"/>
            <w:vAlign w:val="center"/>
          </w:tcPr>
          <w:p>
            <w:pPr>
              <w:widowControl/>
              <w:jc w:val="left"/>
              <w:rPr>
                <w:rFonts w:ascii="宋体" w:hAnsi="宋体" w:cs="宋体"/>
                <w:color w:val="000000"/>
                <w:kern w:val="0"/>
                <w:szCs w:val="21"/>
              </w:rPr>
            </w:pPr>
          </w:p>
        </w:tc>
        <w:tc>
          <w:tcPr>
            <w:tcW w:w="992"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30" w:type="dxa"/>
            <w:tcBorders>
              <w:bottom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539" w:type="dxa"/>
            <w:tcBorders>
              <w:bottom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朱家尖大桥5号</w:t>
            </w:r>
          </w:p>
        </w:tc>
        <w:tc>
          <w:tcPr>
            <w:tcW w:w="850" w:type="dxa"/>
            <w:vMerge w:val="continue"/>
            <w:tcBorders>
              <w:bottom w:val="single" w:color="auto" w:sz="4" w:space="0"/>
            </w:tcBorders>
            <w:vAlign w:val="center"/>
          </w:tcPr>
          <w:p>
            <w:pPr>
              <w:widowControl/>
              <w:jc w:val="left"/>
              <w:rPr>
                <w:rFonts w:ascii="宋体" w:hAnsi="宋体" w:cs="宋体"/>
                <w:color w:val="000000"/>
                <w:kern w:val="0"/>
                <w:szCs w:val="21"/>
              </w:rPr>
            </w:pPr>
          </w:p>
        </w:tc>
        <w:tc>
          <w:tcPr>
            <w:tcW w:w="709" w:type="dxa"/>
            <w:tcBorders>
              <w:bottom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701" w:type="dxa"/>
            <w:tcBorders>
              <w:bottom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29°57′24.7″N</w:t>
            </w:r>
          </w:p>
        </w:tc>
        <w:tc>
          <w:tcPr>
            <w:tcW w:w="1843" w:type="dxa"/>
            <w:tcBorders>
              <w:bottom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122°19′36.6″E</w:t>
            </w:r>
          </w:p>
        </w:tc>
        <w:tc>
          <w:tcPr>
            <w:tcW w:w="992" w:type="dxa"/>
            <w:vMerge w:val="continue"/>
            <w:tcBorders>
              <w:bottom w:val="single" w:color="auto" w:sz="4" w:space="0"/>
            </w:tcBorders>
            <w:vAlign w:val="center"/>
          </w:tcPr>
          <w:p>
            <w:pPr>
              <w:widowControl/>
              <w:jc w:val="left"/>
              <w:rPr>
                <w:rFonts w:ascii="宋体" w:hAnsi="宋体" w:cs="宋体"/>
                <w:color w:val="000000"/>
                <w:kern w:val="0"/>
                <w:szCs w:val="21"/>
              </w:rPr>
            </w:pPr>
          </w:p>
        </w:tc>
        <w:tc>
          <w:tcPr>
            <w:tcW w:w="992" w:type="dxa"/>
            <w:vMerge w:val="continue"/>
            <w:tcBorders>
              <w:bottom w:val="single" w:color="auto" w:sz="4" w:space="0"/>
            </w:tcBorders>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朱家尖大桥7号</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29°57′10.7″N</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122°19′23.5″E</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1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朱家尖大桥2号</w:t>
            </w:r>
          </w:p>
        </w:tc>
        <w:tc>
          <w:tcPr>
            <w:tcW w:w="8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左侧标</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29°57′56.0″N</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122°20′28.0″E</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闪红4秒</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1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朱家尖大桥4号</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29°57′48.4″N</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122°20′10.0″E</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1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朱家尖大桥6号</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29°57′19.1″N</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122°19′45.4″E</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1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朱家尖大桥8号</w:t>
            </w: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29°57′10.2″N</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122°19′40.5″E</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二</w:t>
            </w:r>
          </w:p>
        </w:tc>
        <w:tc>
          <w:tcPr>
            <w:tcW w:w="1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非通航孔防撞墩　　　　　　　　　　　　　　　　　　　　　　　　　　　　　　　　　　　　　　　　　　　　　　　　　　　　　　　　　　　　　　　　　　　　　　　　　　　　　　　　　　　　　　　　　　　　　　　　　　　　　　　　　　　　　　警示灯桩</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朱家尖大桥11号　　　　　　　　　　　　　　　　　　　　　　　　　　　　　　　　　　　　　　　　　　　　　　　　　　　　　　　　　</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警示标</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29°57′29.2″N</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122°20′17.8″E</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莫（C）黄12秒</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11-18号标志同步闪光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朱家尖大桥12号　　　　　　　　　　　　　　　　　　　　　　　　　　　　　　　　　　　　　　　　　　　　　　　　　　　　　　　　　</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警示标</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29°57′18.7″N</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122°20′09.0″E</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莫（C）黄12秒</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朱家尖大桥13号　　　　　　　　　　　　　　　　　　　　　　　　　　　　　　　　　　　　　　　　　　　　　　　　　　　　　　　　　</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警示标</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29°57′37.6″N</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122°20′04.6″E</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莫（C）黄12秒</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朱家尖大桥14号　　　　　　　　　　　　　　　　　　　　　　　　　　　　　　　　　　　　　　　　　　　　　　　　　　　　　　　　　</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警示标</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29°57′27.1″N</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122°19′55.8″E</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莫（C）黄12秒</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1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朱家尖大桥15号　　　　　　　　　　　　　　　　　　　　　　　　　　　　　　　　　　　　　　　　　　　　　　　　　　　　　　　　　</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警示标</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29°57′46.2″N </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122°19′51.0″E</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莫（C）黄12秒</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1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朱家尖大桥16号　　　　　　　　　　　　　　　　　　　　　　　　　　　　　　　　　　　　　　　　　　　　　　　　　　　　　　　　　</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警示标</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29°57′35.7″N </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122°19′42.2″E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莫（C）黄12秒</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1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朱家尖大桥17号　　　　　　　　　　　　　　　　　　　　　　　　　　　　　　　　　　　　　　　　　　　　　　　　　　　　　　　　　</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警示标</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29°57′56.9″N</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122°19′33.3″E</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莫（C）黄12秒</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1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朱家尖大桥18号　　　　　　　　　　　　　　　　　　　　　　　　　　　　　　　　　　　　　　　　　　　　　　　　　　　　　　　　　</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警示标</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29°57′45.7″N</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122°19′25.8″E</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莫（C）黄12秒</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三</w:t>
            </w:r>
          </w:p>
        </w:tc>
        <w:tc>
          <w:tcPr>
            <w:tcW w:w="1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通航孔桥墩　　　　　　　　　　　　　　　　　　　　　　　　　　　　　　　　　　　　　　　　　　　　　　　　　　　　　　　　　　　　　　　　　　　　　　　　　　　　　　　　　　　　　　　　　　　　　　　　　　　　　　　　　　　　　　警示灯桩</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朱家尖大桥21号　　　　　　　　　　　　　　　　　　　　　　　　　　　　　　　　　　　　　　　　　　　　　　　　　　　　　　　　　</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警示标</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29°57′34.6″N</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122°19′58.4″E</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连续快闪，  黄光</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8座桥墩警示标志同步闪光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30" w:type="dxa"/>
            <w:tcBorders>
              <w:top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539" w:type="dxa"/>
            <w:tcBorders>
              <w:top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朱家尖大桥22号　　　　　　　　　　　　　　　　　　　　　　　　　　　　　　　　　　　　　　　　　　　　　　　　　　　　　　　　　</w:t>
            </w:r>
          </w:p>
        </w:tc>
        <w:tc>
          <w:tcPr>
            <w:tcW w:w="850" w:type="dxa"/>
            <w:tcBorders>
              <w:top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警示标</w:t>
            </w:r>
          </w:p>
        </w:tc>
        <w:tc>
          <w:tcPr>
            <w:tcW w:w="709" w:type="dxa"/>
            <w:tcBorders>
              <w:top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701" w:type="dxa"/>
            <w:tcBorders>
              <w:top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29°57′33.7″N</w:t>
            </w:r>
          </w:p>
        </w:tc>
        <w:tc>
          <w:tcPr>
            <w:tcW w:w="1843" w:type="dxa"/>
            <w:tcBorders>
              <w:top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122°19′57.6″E</w:t>
            </w:r>
          </w:p>
        </w:tc>
        <w:tc>
          <w:tcPr>
            <w:tcW w:w="992" w:type="dxa"/>
            <w:tcBorders>
              <w:top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连续快闪，  黄光</w:t>
            </w:r>
          </w:p>
        </w:tc>
        <w:tc>
          <w:tcPr>
            <w:tcW w:w="992" w:type="dxa"/>
            <w:vMerge w:val="continue"/>
            <w:tcBorders>
              <w:top w:val="single" w:color="auto" w:sz="4" w:space="0"/>
            </w:tcBorders>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30" w:type="dxa"/>
            <w:tcBorders>
              <w:bottom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539" w:type="dxa"/>
            <w:tcBorders>
              <w:bottom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朱家尖大桥25号　　　　　　　　　　　　　　　　　　　　　　　　　　　　　　　　　　　　　　　　　　　　　　　　　　　　　　　　　</w:t>
            </w:r>
          </w:p>
        </w:tc>
        <w:tc>
          <w:tcPr>
            <w:tcW w:w="850" w:type="dxa"/>
            <w:tcBorders>
              <w:bottom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警示标</w:t>
            </w:r>
          </w:p>
        </w:tc>
        <w:tc>
          <w:tcPr>
            <w:tcW w:w="709" w:type="dxa"/>
            <w:tcBorders>
              <w:bottom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701" w:type="dxa"/>
            <w:tcBorders>
              <w:bottom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29°57′36.2″N</w:t>
            </w:r>
          </w:p>
        </w:tc>
        <w:tc>
          <w:tcPr>
            <w:tcW w:w="1843" w:type="dxa"/>
            <w:tcBorders>
              <w:bottom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122°19′56.2″E</w:t>
            </w:r>
          </w:p>
        </w:tc>
        <w:tc>
          <w:tcPr>
            <w:tcW w:w="992" w:type="dxa"/>
            <w:tcBorders>
              <w:bottom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连续快闪，  黄光</w:t>
            </w:r>
          </w:p>
        </w:tc>
        <w:tc>
          <w:tcPr>
            <w:tcW w:w="992" w:type="dxa"/>
            <w:vMerge w:val="continue"/>
            <w:tcBorders>
              <w:bottom w:val="single" w:color="auto" w:sz="4" w:space="0"/>
            </w:tcBorders>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朱家尖大桥26号　　　　　　　　　　　　　　　　　　　　　　　　　　　　　　　　　　　　　　　　　　　　　　　　　　　　　　　　　</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警示标</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29°57′35.1″N</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122°19′55.3″E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连续快闪，  黄光</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1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朱家尖大桥33号　　　　　　　　　　　　　　　　　　　　　　　　　　　　　　　　　　　　　　　　　　　　　　　　　　　　　　　　　</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警示标</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29°57′38.8″N</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122°19′52.0″E</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连续快闪，  黄光</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1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朱家尖大桥34号　　　　　　　　　　　　　　　　　　　　　　　　　　　　　　　　　　　　　　　　　　　　　　　　　　　　　　　　　</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警示标</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29°57′37.8″N</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122°19′51.1″E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连续快闪，  黄光</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1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朱家尖大桥37号　　　　　　　　　　　　　　　　　　　　　　　　　　　　　　　　　　　　　　　　　　　　　　　　　　　　　　　　　</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警示标</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29°57′40.1″N </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122°19′49.6″E</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连续快闪，  黄光</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1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朱家尖大桥38号　　　　　　　　　　　　　　　　　　　　　　　　　　　　　　　　　　　　　　　　　　　　　　　　　　　　　　　　　</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警示标</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29°57′39.3″N</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122°19′48.9″E</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连续快闪，  黄光</w:t>
            </w:r>
          </w:p>
        </w:tc>
        <w:tc>
          <w:tcPr>
            <w:tcW w:w="9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四</w:t>
            </w:r>
          </w:p>
        </w:tc>
        <w:tc>
          <w:tcPr>
            <w:tcW w:w="15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桥涵标</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30" w:type="dxa"/>
            <w:tcBorders>
              <w:top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539" w:type="dxa"/>
            <w:tcBorders>
              <w:top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朱家尖大桥29号</w:t>
            </w:r>
          </w:p>
        </w:tc>
        <w:tc>
          <w:tcPr>
            <w:tcW w:w="850" w:type="dxa"/>
            <w:vMerge w:val="restart"/>
            <w:tcBorders>
              <w:top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主通航桥孔双向通航中央标</w:t>
            </w:r>
          </w:p>
        </w:tc>
        <w:tc>
          <w:tcPr>
            <w:tcW w:w="709" w:type="dxa"/>
            <w:tcBorders>
              <w:top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701" w:type="dxa"/>
            <w:tcBorders>
              <w:top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29°57′37.4″N </w:t>
            </w:r>
          </w:p>
        </w:tc>
        <w:tc>
          <w:tcPr>
            <w:tcW w:w="1843" w:type="dxa"/>
            <w:tcBorders>
              <w:top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122°19′54.0″E</w:t>
            </w:r>
          </w:p>
        </w:tc>
        <w:tc>
          <w:tcPr>
            <w:tcW w:w="992" w:type="dxa"/>
            <w:vMerge w:val="restart"/>
            <w:tcBorders>
              <w:top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定绿，形状为两平行上下绿色箭头</w:t>
            </w:r>
          </w:p>
        </w:tc>
        <w:tc>
          <w:tcPr>
            <w:tcW w:w="992" w:type="dxa"/>
            <w:tcBorders>
              <w:top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3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153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朱家尖大桥30号</w:t>
            </w:r>
          </w:p>
        </w:tc>
        <w:tc>
          <w:tcPr>
            <w:tcW w:w="850" w:type="dxa"/>
            <w:vMerge w:val="continue"/>
            <w:vAlign w:val="center"/>
          </w:tcPr>
          <w:p>
            <w:pPr>
              <w:widowControl/>
              <w:jc w:val="left"/>
              <w:rPr>
                <w:rFonts w:ascii="宋体" w:hAnsi="宋体" w:cs="宋体"/>
                <w:color w:val="000000"/>
                <w:kern w:val="0"/>
                <w:szCs w:val="21"/>
              </w:rPr>
            </w:pPr>
          </w:p>
        </w:tc>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7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29°57′36.5″N</w:t>
            </w:r>
          </w:p>
        </w:tc>
        <w:tc>
          <w:tcPr>
            <w:tcW w:w="1843"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122°19′53.3″E </w:t>
            </w:r>
          </w:p>
        </w:tc>
        <w:tc>
          <w:tcPr>
            <w:tcW w:w="992" w:type="dxa"/>
            <w:vMerge w:val="continue"/>
            <w:vAlign w:val="center"/>
          </w:tcPr>
          <w:p>
            <w:pPr>
              <w:widowControl/>
              <w:jc w:val="left"/>
              <w:rPr>
                <w:rFonts w:ascii="宋体" w:hAnsi="宋体" w:cs="宋体"/>
                <w:color w:val="000000"/>
                <w:kern w:val="0"/>
                <w:szCs w:val="21"/>
              </w:rPr>
            </w:pPr>
          </w:p>
        </w:tc>
        <w:tc>
          <w:tcPr>
            <w:tcW w:w="992"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3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53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朱家尖大桥27号</w:t>
            </w:r>
          </w:p>
        </w:tc>
        <w:tc>
          <w:tcPr>
            <w:tcW w:w="85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主通航桥孔左侧标</w:t>
            </w:r>
          </w:p>
        </w:tc>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7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29°57′36.3″N</w:t>
            </w:r>
          </w:p>
        </w:tc>
        <w:tc>
          <w:tcPr>
            <w:tcW w:w="1843"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122°19′55.7″E</w:t>
            </w:r>
          </w:p>
        </w:tc>
        <w:tc>
          <w:tcPr>
            <w:tcW w:w="99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红光，单闪，　　　　　　　　　　　　　　　　　周期4s</w:t>
            </w:r>
          </w:p>
        </w:tc>
        <w:tc>
          <w:tcPr>
            <w:tcW w:w="99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27号与31号，28号与32号标志同步闪光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3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153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朱家尖大桥28号</w:t>
            </w:r>
          </w:p>
        </w:tc>
        <w:tc>
          <w:tcPr>
            <w:tcW w:w="850" w:type="dxa"/>
            <w:vMerge w:val="continue"/>
            <w:vAlign w:val="center"/>
          </w:tcPr>
          <w:p>
            <w:pPr>
              <w:widowControl/>
              <w:jc w:val="left"/>
              <w:rPr>
                <w:rFonts w:ascii="宋体" w:hAnsi="宋体" w:cs="宋体"/>
                <w:color w:val="000000"/>
                <w:kern w:val="0"/>
                <w:szCs w:val="21"/>
              </w:rPr>
            </w:pPr>
          </w:p>
        </w:tc>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7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29°57′35.4″N</w:t>
            </w:r>
          </w:p>
        </w:tc>
        <w:tc>
          <w:tcPr>
            <w:tcW w:w="1843"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122°19′54.9″E</w:t>
            </w:r>
          </w:p>
        </w:tc>
        <w:tc>
          <w:tcPr>
            <w:tcW w:w="992" w:type="dxa"/>
            <w:vMerge w:val="continue"/>
            <w:vAlign w:val="center"/>
          </w:tcPr>
          <w:p>
            <w:pPr>
              <w:widowControl/>
              <w:jc w:val="left"/>
              <w:rPr>
                <w:rFonts w:ascii="宋体" w:hAnsi="宋体" w:cs="宋体"/>
                <w:color w:val="000000"/>
                <w:kern w:val="0"/>
                <w:szCs w:val="21"/>
              </w:rPr>
            </w:pPr>
          </w:p>
        </w:tc>
        <w:tc>
          <w:tcPr>
            <w:tcW w:w="992"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3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153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朱家尖大桥31号</w:t>
            </w:r>
          </w:p>
        </w:tc>
        <w:tc>
          <w:tcPr>
            <w:tcW w:w="850"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主通航桥孔右侧标</w:t>
            </w:r>
          </w:p>
        </w:tc>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7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29°57′38.5″N</w:t>
            </w:r>
          </w:p>
        </w:tc>
        <w:tc>
          <w:tcPr>
            <w:tcW w:w="1843"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122°19′52.4″E </w:t>
            </w:r>
          </w:p>
        </w:tc>
        <w:tc>
          <w:tcPr>
            <w:tcW w:w="99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绿光，单闪，　　　　　　　　　　　　　　　　周期4s</w:t>
            </w:r>
          </w:p>
        </w:tc>
        <w:tc>
          <w:tcPr>
            <w:tcW w:w="992"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3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w:t>
            </w:r>
          </w:p>
        </w:tc>
        <w:tc>
          <w:tcPr>
            <w:tcW w:w="153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朱家尖大桥32号</w:t>
            </w:r>
          </w:p>
        </w:tc>
        <w:tc>
          <w:tcPr>
            <w:tcW w:w="850" w:type="dxa"/>
            <w:vMerge w:val="continue"/>
            <w:vAlign w:val="center"/>
          </w:tcPr>
          <w:p>
            <w:pPr>
              <w:widowControl/>
              <w:jc w:val="left"/>
              <w:rPr>
                <w:rFonts w:ascii="宋体" w:hAnsi="宋体" w:cs="宋体"/>
                <w:color w:val="000000"/>
                <w:kern w:val="0"/>
                <w:szCs w:val="21"/>
              </w:rPr>
            </w:pPr>
          </w:p>
        </w:tc>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17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29°57′37.5″N</w:t>
            </w:r>
          </w:p>
        </w:tc>
        <w:tc>
          <w:tcPr>
            <w:tcW w:w="1843"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122°19′51.6″E</w:t>
            </w:r>
          </w:p>
        </w:tc>
        <w:tc>
          <w:tcPr>
            <w:tcW w:w="992" w:type="dxa"/>
            <w:vMerge w:val="continue"/>
            <w:vAlign w:val="center"/>
          </w:tcPr>
          <w:p>
            <w:pPr>
              <w:widowControl/>
              <w:jc w:val="left"/>
              <w:rPr>
                <w:rFonts w:ascii="宋体" w:hAnsi="宋体" w:cs="宋体"/>
                <w:color w:val="000000"/>
                <w:kern w:val="0"/>
                <w:szCs w:val="21"/>
              </w:rPr>
            </w:pPr>
          </w:p>
        </w:tc>
        <w:tc>
          <w:tcPr>
            <w:tcW w:w="992"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73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7</w:t>
            </w:r>
          </w:p>
        </w:tc>
        <w:tc>
          <w:tcPr>
            <w:tcW w:w="153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朱家尖大桥23号</w:t>
            </w:r>
          </w:p>
        </w:tc>
        <w:tc>
          <w:tcPr>
            <w:tcW w:w="85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东副通航孔禁航标</w:t>
            </w:r>
          </w:p>
        </w:tc>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7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29°57′34.4″N</w:t>
            </w:r>
          </w:p>
        </w:tc>
        <w:tc>
          <w:tcPr>
            <w:tcW w:w="1843"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 122°19′57.3″E</w:t>
            </w:r>
          </w:p>
        </w:tc>
        <w:tc>
          <w:tcPr>
            <w:tcW w:w="992"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定红，形状叉形</w:t>
            </w:r>
          </w:p>
        </w:tc>
        <w:tc>
          <w:tcPr>
            <w:tcW w:w="992" w:type="dxa"/>
            <w:vMerge w:val="continue"/>
            <w:vAlign w:val="center"/>
          </w:tcPr>
          <w:p>
            <w:pPr>
              <w:widowControl/>
              <w:jc w:val="left"/>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73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153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朱家尖大桥24号</w:t>
            </w:r>
          </w:p>
        </w:tc>
        <w:tc>
          <w:tcPr>
            <w:tcW w:w="85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东副通航孔单向　　　　　　　　通航标</w:t>
            </w:r>
          </w:p>
        </w:tc>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7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29°57′34.3″N </w:t>
            </w:r>
          </w:p>
        </w:tc>
        <w:tc>
          <w:tcPr>
            <w:tcW w:w="1843"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122°19′56.6″E</w:t>
            </w:r>
          </w:p>
        </w:tc>
        <w:tc>
          <w:tcPr>
            <w:tcW w:w="992"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定绿，形状为绿色向上箭头</w:t>
            </w:r>
          </w:p>
        </w:tc>
        <w:tc>
          <w:tcPr>
            <w:tcW w:w="992"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3" w:hRule="atLeast"/>
        </w:trPr>
        <w:tc>
          <w:tcPr>
            <w:tcW w:w="73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9</w:t>
            </w:r>
          </w:p>
        </w:tc>
        <w:tc>
          <w:tcPr>
            <w:tcW w:w="153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朱家尖大桥35号</w:t>
            </w:r>
          </w:p>
        </w:tc>
        <w:tc>
          <w:tcPr>
            <w:tcW w:w="85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西副通航孔单向　　　　　　　　　　　通航标</w:t>
            </w:r>
          </w:p>
        </w:tc>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7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29°57′39.5″N</w:t>
            </w:r>
          </w:p>
        </w:tc>
        <w:tc>
          <w:tcPr>
            <w:tcW w:w="1843"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122°19′50.8″E</w:t>
            </w:r>
          </w:p>
        </w:tc>
        <w:tc>
          <w:tcPr>
            <w:tcW w:w="992"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定绿，形状为绿色向上箭头</w:t>
            </w:r>
          </w:p>
        </w:tc>
        <w:tc>
          <w:tcPr>
            <w:tcW w:w="992"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73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153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朱家尖大桥36号</w:t>
            </w:r>
          </w:p>
        </w:tc>
        <w:tc>
          <w:tcPr>
            <w:tcW w:w="850"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西副通航孔禁航标</w:t>
            </w:r>
          </w:p>
        </w:tc>
        <w:tc>
          <w:tcPr>
            <w:tcW w:w="709"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170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xml:space="preserve">29°57′38.5″N </w:t>
            </w:r>
          </w:p>
        </w:tc>
        <w:tc>
          <w:tcPr>
            <w:tcW w:w="1843"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122°19′50.1″E</w:t>
            </w:r>
          </w:p>
        </w:tc>
        <w:tc>
          <w:tcPr>
            <w:tcW w:w="992"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定红，形状叉形</w:t>
            </w:r>
          </w:p>
        </w:tc>
        <w:tc>
          <w:tcPr>
            <w:tcW w:w="992"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bl>
    <w:p>
      <w:pPr>
        <w:pStyle w:val="3"/>
        <w:ind w:firstLine="210"/>
      </w:pPr>
    </w:p>
    <w:p>
      <w:pPr>
        <w:snapToGrid w:val="0"/>
        <w:spacing w:line="360" w:lineRule="auto"/>
        <w:ind w:firstLine="422" w:firstLineChars="200"/>
        <w:rPr>
          <w:rFonts w:ascii="宋体" w:hAnsi="宋体"/>
          <w:b/>
          <w:bCs/>
          <w:kern w:val="0"/>
          <w:szCs w:val="21"/>
        </w:rPr>
      </w:pPr>
      <w:r>
        <w:rPr>
          <w:rFonts w:hint="eastAsia" w:ascii="宋体" w:hAnsi="宋体"/>
          <w:b/>
          <w:bCs/>
          <w:kern w:val="0"/>
          <w:szCs w:val="21"/>
        </w:rPr>
        <w:t>4、维护保养管理要求：</w:t>
      </w:r>
    </w:p>
    <w:p>
      <w:pPr>
        <w:snapToGrid w:val="0"/>
        <w:spacing w:line="360" w:lineRule="auto"/>
        <w:ind w:firstLine="480" w:firstLineChars="200"/>
        <w:rPr>
          <w:rFonts w:ascii="宋体" w:hAnsi="宋体"/>
          <w:color w:val="FF0000"/>
          <w:kern w:val="0"/>
          <w:sz w:val="24"/>
        </w:rPr>
      </w:pPr>
      <w:r>
        <w:rPr>
          <w:rFonts w:hint="eastAsia" w:ascii="宋体" w:hAnsi="宋体"/>
          <w:kern w:val="0"/>
          <w:sz w:val="24"/>
        </w:rPr>
        <w:t>（1）投标供应商应严格按照</w:t>
      </w:r>
      <w:r>
        <w:rPr>
          <w:rFonts w:hint="eastAsia" w:ascii="宋体" w:hAnsi="宋体" w:cs="宋体"/>
          <w:bCs/>
          <w:sz w:val="24"/>
        </w:rPr>
        <w:t>《沿海导助航工程维护技术规范》JTS/T320-5-2020、</w:t>
      </w:r>
      <w:r>
        <w:rPr>
          <w:rFonts w:hint="eastAsia" w:ascii="宋体" w:hAnsi="宋体"/>
          <w:kern w:val="0"/>
          <w:sz w:val="24"/>
        </w:rPr>
        <w:t>《海区航标作业管理规则》、《航标维护巡检作业规范》、</w:t>
      </w:r>
      <w:r>
        <w:rPr>
          <w:rFonts w:hint="eastAsia" w:ascii="宋体" w:hAnsi="宋体" w:cs="宋体"/>
          <w:sz w:val="24"/>
        </w:rPr>
        <w:t>《海区航标固定建(构)筑物维护标准》</w:t>
      </w:r>
      <w:r>
        <w:rPr>
          <w:rFonts w:hint="eastAsia" w:ascii="宋体" w:hAnsi="宋体"/>
          <w:kern w:val="0"/>
          <w:sz w:val="24"/>
        </w:rPr>
        <w:t>进行维护巡检。</w:t>
      </w:r>
    </w:p>
    <w:p>
      <w:pPr>
        <w:snapToGrid w:val="0"/>
        <w:spacing w:line="360" w:lineRule="auto"/>
        <w:ind w:firstLine="480" w:firstLineChars="200"/>
        <w:rPr>
          <w:rFonts w:ascii="宋体" w:hAnsi="宋体"/>
          <w:color w:val="000000" w:themeColor="text1"/>
          <w:kern w:val="0"/>
          <w:sz w:val="24"/>
        </w:rPr>
      </w:pPr>
      <w:r>
        <w:rPr>
          <w:rFonts w:hint="eastAsia" w:ascii="宋体" w:hAnsi="宋体"/>
          <w:kern w:val="0"/>
          <w:sz w:val="24"/>
        </w:rPr>
        <w:t>（2）投标供应商负责航标维护巡检补给工作，对航标的外观、钢结构装置、连接设备、灯架、电池、灯器及电器设备、供电线路等进行常规性的维护和检查，使其达到</w:t>
      </w:r>
      <w:r>
        <w:rPr>
          <w:rFonts w:hint="eastAsia" w:ascii="新宋体" w:hAnsi="新宋体" w:eastAsia="新宋体"/>
          <w:kern w:val="0"/>
          <w:sz w:val="24"/>
        </w:rPr>
        <w:t>标位准确、灯质正常、涂色鲜明、结</w:t>
      </w:r>
      <w:r>
        <w:rPr>
          <w:rFonts w:hint="eastAsia" w:ascii="新宋体" w:hAnsi="新宋体" w:eastAsia="新宋体"/>
          <w:color w:val="000000" w:themeColor="text1"/>
          <w:kern w:val="0"/>
          <w:sz w:val="24"/>
        </w:rPr>
        <w:t>构良好的工作状态，</w:t>
      </w:r>
      <w:r>
        <w:rPr>
          <w:rFonts w:hint="eastAsia" w:ascii="宋体" w:hAnsi="宋体"/>
          <w:color w:val="000000" w:themeColor="text1"/>
          <w:kern w:val="0"/>
          <w:sz w:val="24"/>
        </w:rPr>
        <w:t>质量达到</w:t>
      </w:r>
      <w:r>
        <w:rPr>
          <w:rFonts w:hint="eastAsia" w:ascii="宋体" w:hAnsi="宋体"/>
          <w:color w:val="000000" w:themeColor="text1"/>
          <w:kern w:val="0"/>
          <w:sz w:val="24"/>
          <w:u w:val="single"/>
        </w:rPr>
        <w:t>国家标准</w:t>
      </w:r>
      <w:r>
        <w:rPr>
          <w:rFonts w:hint="eastAsia" w:ascii="宋体" w:hAnsi="宋体"/>
          <w:color w:val="000000" w:themeColor="text1"/>
          <w:kern w:val="0"/>
          <w:sz w:val="24"/>
        </w:rPr>
        <w:t>。维护和检查过程中所需的材料由投标供应商负责。</w:t>
      </w:r>
    </w:p>
    <w:p>
      <w:pPr>
        <w:snapToGrid w:val="0"/>
        <w:spacing w:line="360" w:lineRule="auto"/>
        <w:ind w:firstLine="480" w:firstLineChars="200"/>
        <w:rPr>
          <w:rFonts w:ascii="宋体" w:hAnsi="宋体"/>
          <w:color w:val="000000" w:themeColor="text1"/>
          <w:kern w:val="0"/>
          <w:sz w:val="24"/>
        </w:rPr>
      </w:pPr>
      <w:r>
        <w:rPr>
          <w:rFonts w:hint="eastAsia" w:ascii="宋体" w:hAnsi="宋体"/>
          <w:color w:val="000000" w:themeColor="text1"/>
          <w:kern w:val="0"/>
          <w:sz w:val="24"/>
        </w:rPr>
        <w:t>（3）投标供应商应严格按照航标保养周期要求，对灯浮标进行及时起吊检修，并对浮身、灯架及锚系设备等进行全面维修保养，同时承担对浮身、灯架及锚系设备等进行全面维修保养所发生的一切费用。</w:t>
      </w:r>
    </w:p>
    <w:p>
      <w:pPr>
        <w:snapToGrid w:val="0"/>
        <w:spacing w:line="360" w:lineRule="auto"/>
        <w:ind w:firstLine="480" w:firstLineChars="200"/>
        <w:rPr>
          <w:rFonts w:ascii="宋体" w:hAnsi="宋体"/>
          <w:color w:val="000000" w:themeColor="text1"/>
          <w:kern w:val="0"/>
          <w:sz w:val="24"/>
        </w:rPr>
      </w:pPr>
      <w:r>
        <w:rPr>
          <w:rFonts w:hint="eastAsia" w:ascii="宋体" w:hAnsi="宋体"/>
          <w:kern w:val="0"/>
          <w:sz w:val="24"/>
        </w:rPr>
        <w:t>（4）</w:t>
      </w:r>
      <w:r>
        <w:rPr>
          <w:rFonts w:hint="eastAsia" w:ascii="宋体" w:hAnsi="宋体"/>
          <w:bCs/>
          <w:color w:val="000000" w:themeColor="text1"/>
          <w:kern w:val="0"/>
          <w:sz w:val="24"/>
        </w:rPr>
        <w:t>标志发光正常率达到部颁标准的99.6%</w:t>
      </w:r>
      <w:r>
        <w:rPr>
          <w:rFonts w:hint="eastAsia" w:ascii="宋体" w:hAnsi="宋体"/>
          <w:color w:val="000000" w:themeColor="text1"/>
          <w:kern w:val="0"/>
          <w:sz w:val="24"/>
        </w:rPr>
        <w:t>。航标如熄灭，应及时修复，在气象条件允许下保证在12小时内恢复发光。</w:t>
      </w:r>
    </w:p>
    <w:p>
      <w:pPr>
        <w:snapToGrid w:val="0"/>
        <w:spacing w:line="360" w:lineRule="auto"/>
        <w:ind w:firstLine="480" w:firstLineChars="200"/>
        <w:rPr>
          <w:rFonts w:ascii="宋体" w:hAnsi="宋体"/>
          <w:color w:val="000000" w:themeColor="text1"/>
          <w:kern w:val="0"/>
          <w:sz w:val="24"/>
        </w:rPr>
      </w:pPr>
      <w:r>
        <w:rPr>
          <w:rFonts w:hint="eastAsia" w:ascii="宋体" w:hAnsi="宋体"/>
          <w:bCs/>
          <w:color w:val="000000" w:themeColor="text1"/>
          <w:kern w:val="0"/>
          <w:sz w:val="24"/>
        </w:rPr>
        <w:t>（5）</w:t>
      </w:r>
      <w:r>
        <w:rPr>
          <w:rFonts w:hint="eastAsia" w:ascii="宋体" w:hAnsi="宋体"/>
          <w:color w:val="000000" w:themeColor="text1"/>
          <w:kern w:val="0"/>
          <w:sz w:val="24"/>
        </w:rPr>
        <w:t>航标因事故或自然灾害造成的损坏（如被盗、人为破坏、被撞、台风或大潮所造成的灯浮丢失、移位及沉没等）应</w:t>
      </w:r>
      <w:r>
        <w:rPr>
          <w:rFonts w:hint="eastAsia" w:ascii="宋体" w:hAnsi="宋体"/>
          <w:bCs/>
          <w:color w:val="000000" w:themeColor="text1"/>
          <w:kern w:val="0"/>
          <w:sz w:val="24"/>
        </w:rPr>
        <w:t>及时进行抢修并修复完善，如遇特殊情况无法及时修复时，应协助业主发布航行警告</w:t>
      </w:r>
      <w:r>
        <w:rPr>
          <w:rFonts w:hint="eastAsia" w:ascii="宋体" w:hAnsi="宋体"/>
          <w:color w:val="000000" w:themeColor="text1"/>
          <w:kern w:val="0"/>
          <w:sz w:val="24"/>
        </w:rPr>
        <w:t>，供应商自行注意报价风险。</w:t>
      </w:r>
    </w:p>
    <w:p>
      <w:pPr>
        <w:snapToGrid w:val="0"/>
        <w:spacing w:line="360" w:lineRule="auto"/>
        <w:ind w:firstLine="480" w:firstLineChars="200"/>
        <w:rPr>
          <w:rFonts w:ascii="宋体" w:hAnsi="宋体"/>
          <w:color w:val="000000" w:themeColor="text1"/>
          <w:kern w:val="0"/>
          <w:sz w:val="24"/>
        </w:rPr>
      </w:pPr>
      <w:r>
        <w:rPr>
          <w:rFonts w:hint="eastAsia" w:ascii="宋体" w:hAnsi="宋体"/>
          <w:color w:val="000000" w:themeColor="text1"/>
          <w:kern w:val="0"/>
          <w:sz w:val="24"/>
        </w:rPr>
        <w:t>（6）雷达应答器由投标供应商负责免费检查，出现任何故障都由投标供应商负责立即修复，供应商自行注意报价风险。</w:t>
      </w:r>
    </w:p>
    <w:p>
      <w:pPr>
        <w:snapToGrid w:val="0"/>
        <w:spacing w:line="360" w:lineRule="auto"/>
        <w:ind w:firstLine="480" w:firstLineChars="200"/>
        <w:rPr>
          <w:rFonts w:ascii="宋体" w:hAnsi="宋体"/>
          <w:color w:val="000000" w:themeColor="text1"/>
          <w:kern w:val="0"/>
          <w:sz w:val="24"/>
        </w:rPr>
      </w:pPr>
      <w:r>
        <w:rPr>
          <w:rFonts w:hint="eastAsia" w:ascii="宋体" w:hAnsi="宋体"/>
          <w:color w:val="000000" w:themeColor="text1"/>
          <w:kern w:val="0"/>
          <w:sz w:val="24"/>
        </w:rPr>
        <w:t>（7）投标供应商维护提供的产品应符合相应标准和技术规范；</w:t>
      </w:r>
      <w:r>
        <w:rPr>
          <w:rFonts w:hint="eastAsia"/>
          <w:color w:val="000000" w:themeColor="text1"/>
          <w:sz w:val="24"/>
        </w:rPr>
        <w:t>新采购的航标灯须接入海事平台网络</w:t>
      </w:r>
      <w:r>
        <w:rPr>
          <w:rFonts w:hint="eastAsia" w:ascii="宋体" w:hAnsi="宋体"/>
          <w:color w:val="000000" w:themeColor="text1"/>
          <w:kern w:val="0"/>
          <w:sz w:val="24"/>
        </w:rPr>
        <w:t>，</w:t>
      </w:r>
      <w:r>
        <w:rPr>
          <w:rFonts w:hint="eastAsia"/>
          <w:color w:val="000000" w:themeColor="text1"/>
          <w:sz w:val="24"/>
        </w:rPr>
        <w:t>受海事局网络监控。</w:t>
      </w:r>
    </w:p>
    <w:p>
      <w:pPr>
        <w:adjustRightInd w:val="0"/>
        <w:snapToGrid w:val="0"/>
        <w:spacing w:line="360" w:lineRule="auto"/>
        <w:ind w:firstLine="588" w:firstLineChars="245"/>
        <w:rPr>
          <w:rFonts w:ascii="宋体" w:hAnsi="宋体"/>
          <w:bCs/>
          <w:color w:val="000000" w:themeColor="text1"/>
          <w:kern w:val="0"/>
          <w:sz w:val="24"/>
        </w:rPr>
      </w:pPr>
      <w:r>
        <w:rPr>
          <w:rFonts w:hint="eastAsia" w:ascii="宋体" w:hAnsi="宋体"/>
          <w:bCs/>
          <w:color w:val="000000" w:themeColor="text1"/>
          <w:kern w:val="0"/>
          <w:sz w:val="24"/>
        </w:rPr>
        <w:t>（8）</w:t>
      </w:r>
      <w:r>
        <w:rPr>
          <w:rFonts w:hint="eastAsia" w:ascii="宋体" w:hAnsi="宋体"/>
          <w:color w:val="000000" w:themeColor="text1"/>
          <w:kern w:val="0"/>
          <w:sz w:val="24"/>
        </w:rPr>
        <w:t>投标供应商</w:t>
      </w:r>
      <w:r>
        <w:rPr>
          <w:rFonts w:hint="eastAsia" w:ascii="宋体" w:hAnsi="宋体"/>
          <w:bCs/>
          <w:color w:val="000000" w:themeColor="text1"/>
          <w:kern w:val="0"/>
          <w:sz w:val="24"/>
        </w:rPr>
        <w:t>承担因自身工作人员操作失误所造成的损失。投标供应商在对航标进行维护、巡检、抢修等工作时，应切实增强安全意识，做好安全防护工作，严格遵守各项操作规程，确保工作船舶、车辆、设施设备及工作人员的安全，如发生安全事故或对大桥及其附属设施设备造成损坏，由此产生的一切责任和损失均由</w:t>
      </w:r>
      <w:r>
        <w:rPr>
          <w:rFonts w:hint="eastAsia" w:ascii="宋体" w:hAnsi="宋体"/>
          <w:color w:val="000000" w:themeColor="text1"/>
          <w:kern w:val="0"/>
          <w:sz w:val="24"/>
        </w:rPr>
        <w:t>投标供应商负责承担。</w:t>
      </w:r>
    </w:p>
    <w:p>
      <w:pPr>
        <w:snapToGrid w:val="0"/>
        <w:spacing w:line="360" w:lineRule="auto"/>
        <w:ind w:firstLine="480" w:firstLineChars="200"/>
        <w:rPr>
          <w:rFonts w:ascii="宋体" w:hAnsi="宋体"/>
          <w:color w:val="000000" w:themeColor="text1"/>
          <w:kern w:val="0"/>
          <w:sz w:val="24"/>
        </w:rPr>
      </w:pPr>
      <w:r>
        <w:rPr>
          <w:rFonts w:hint="eastAsia" w:ascii="宋体" w:hAnsi="宋体"/>
          <w:color w:val="000000" w:themeColor="text1"/>
          <w:kern w:val="0"/>
          <w:sz w:val="24"/>
        </w:rPr>
        <w:t>（9</w:t>
      </w:r>
      <w:r>
        <w:rPr>
          <w:rFonts w:ascii="宋体" w:hAnsi="宋体"/>
          <w:color w:val="000000" w:themeColor="text1"/>
          <w:kern w:val="0"/>
          <w:sz w:val="24"/>
        </w:rPr>
        <w:t>）</w:t>
      </w:r>
      <w:r>
        <w:rPr>
          <w:rFonts w:hint="eastAsia" w:ascii="宋体" w:hAnsi="宋体"/>
          <w:color w:val="000000" w:themeColor="text1"/>
          <w:kern w:val="0"/>
          <w:sz w:val="24"/>
        </w:rPr>
        <w:t>建立航标维护的技术档案。</w:t>
      </w:r>
    </w:p>
    <w:p>
      <w:pPr>
        <w:snapToGrid w:val="0"/>
        <w:spacing w:line="360" w:lineRule="auto"/>
        <w:ind w:firstLine="480" w:firstLineChars="200"/>
        <w:rPr>
          <w:rFonts w:ascii="宋体" w:hAnsi="宋体"/>
          <w:color w:val="000000" w:themeColor="text1"/>
          <w:kern w:val="0"/>
          <w:sz w:val="24"/>
        </w:rPr>
      </w:pPr>
      <w:r>
        <w:rPr>
          <w:rFonts w:hint="eastAsia" w:ascii="宋体" w:hAnsi="宋体"/>
          <w:color w:val="000000" w:themeColor="text1"/>
          <w:kern w:val="0"/>
          <w:sz w:val="24"/>
        </w:rPr>
        <w:t>（10）建立航标维护的台账制度，投标供应商需做好航标维护记录，</w:t>
      </w:r>
      <w:r>
        <w:rPr>
          <w:rFonts w:ascii="宋体" w:hAnsi="宋体"/>
          <w:color w:val="000000" w:themeColor="text1"/>
          <w:sz w:val="24"/>
        </w:rPr>
        <w:t>每个月出具一份航标巡检月报表，报告航标运行是否正常以及对航标维修过后的记录</w:t>
      </w:r>
      <w:r>
        <w:rPr>
          <w:rFonts w:hint="eastAsia" w:ascii="宋体" w:hAnsi="宋体"/>
          <w:color w:val="000000" w:themeColor="text1"/>
          <w:sz w:val="24"/>
        </w:rPr>
        <w:t>，</w:t>
      </w:r>
      <w:r>
        <w:rPr>
          <w:rFonts w:hint="eastAsia" w:ascii="宋体" w:hAnsi="宋体"/>
          <w:color w:val="000000" w:themeColor="text1"/>
          <w:kern w:val="0"/>
          <w:sz w:val="24"/>
        </w:rPr>
        <w:t>并将维护记录</w:t>
      </w:r>
      <w:r>
        <w:rPr>
          <w:rFonts w:ascii="宋体" w:hAnsi="宋体"/>
          <w:color w:val="000000" w:themeColor="text1"/>
          <w:sz w:val="24"/>
        </w:rPr>
        <w:t>月报表</w:t>
      </w:r>
      <w:r>
        <w:rPr>
          <w:rFonts w:hint="eastAsia" w:ascii="宋体" w:hAnsi="宋体"/>
          <w:color w:val="000000" w:themeColor="text1"/>
          <w:kern w:val="0"/>
          <w:sz w:val="24"/>
        </w:rPr>
        <w:t>报采购人备案。</w:t>
      </w:r>
    </w:p>
    <w:p>
      <w:pPr>
        <w:adjustRightInd w:val="0"/>
        <w:snapToGrid w:val="0"/>
        <w:spacing w:line="360" w:lineRule="auto"/>
        <w:ind w:firstLine="588" w:firstLineChars="245"/>
        <w:rPr>
          <w:rFonts w:ascii="宋体" w:hAnsi="宋体"/>
          <w:color w:val="000000" w:themeColor="text1"/>
          <w:kern w:val="0"/>
          <w:sz w:val="24"/>
        </w:rPr>
      </w:pPr>
      <w:r>
        <w:rPr>
          <w:rFonts w:hint="eastAsia" w:ascii="宋体" w:hAnsi="宋体"/>
          <w:color w:val="000000" w:themeColor="text1"/>
          <w:kern w:val="0"/>
          <w:sz w:val="24"/>
        </w:rPr>
        <w:t>（11）投标供应商在合同签订后5个工作日内，需对航标进行一次全面检查，并与前航标养护维修单位完成交接手续，以使航标完好延续，保证航标正常工作。合同到期后，如航标养护维修单位变更，投标供应商应对朱家尖大桥（观音大桥）航标进行一次全面检查，在航标完好且正常工作的情况下，与新航标养护维修单位完成交接手续。</w:t>
      </w:r>
    </w:p>
    <w:p>
      <w:pPr>
        <w:snapToGrid w:val="0"/>
        <w:spacing w:line="360" w:lineRule="auto"/>
        <w:ind w:firstLine="480" w:firstLineChars="200"/>
        <w:rPr>
          <w:rFonts w:ascii="宋体" w:hAnsi="宋体"/>
          <w:bCs/>
          <w:color w:val="000000" w:themeColor="text1"/>
          <w:kern w:val="0"/>
          <w:sz w:val="24"/>
        </w:rPr>
      </w:pPr>
      <w:r>
        <w:rPr>
          <w:rFonts w:hint="eastAsia" w:ascii="宋体" w:hAnsi="宋体"/>
          <w:bCs/>
          <w:color w:val="000000" w:themeColor="text1"/>
          <w:kern w:val="0"/>
          <w:sz w:val="24"/>
        </w:rPr>
        <w:t>（12）</w:t>
      </w:r>
      <w:r>
        <w:rPr>
          <w:rFonts w:hint="eastAsia" w:ascii="宋体" w:hAnsi="宋体"/>
          <w:color w:val="000000" w:themeColor="text1"/>
          <w:kern w:val="0"/>
          <w:sz w:val="24"/>
        </w:rPr>
        <w:t>航标维护的资源配置要求：</w:t>
      </w:r>
    </w:p>
    <w:p>
      <w:pPr>
        <w:snapToGrid w:val="0"/>
        <w:spacing w:line="360" w:lineRule="auto"/>
        <w:ind w:firstLine="600" w:firstLineChars="250"/>
        <w:rPr>
          <w:rFonts w:ascii="宋体" w:hAnsi="宋体" w:cs="宋体"/>
          <w:color w:val="000000" w:themeColor="text1"/>
          <w:sz w:val="24"/>
        </w:rPr>
      </w:pPr>
      <w:r>
        <w:rPr>
          <w:rFonts w:hint="eastAsia" w:ascii="宋体" w:hAnsi="宋体"/>
          <w:bCs/>
          <w:color w:val="000000" w:themeColor="text1"/>
          <w:kern w:val="0"/>
          <w:sz w:val="24"/>
        </w:rPr>
        <w:t>1）养护维修项目班子最低配置要求：</w:t>
      </w:r>
      <w:r>
        <w:rPr>
          <w:rFonts w:hint="eastAsia" w:ascii="宋体" w:hAnsi="宋体" w:cs="宋体"/>
          <w:color w:val="000000" w:themeColor="text1"/>
          <w:sz w:val="24"/>
        </w:rPr>
        <w:t>项目负责人1名，技术员1名，航标管理员2名及若干名航标员。</w:t>
      </w:r>
    </w:p>
    <w:p>
      <w:pPr>
        <w:snapToGrid w:val="0"/>
        <w:spacing w:line="360" w:lineRule="auto"/>
        <w:ind w:firstLine="600" w:firstLineChars="250"/>
        <w:rPr>
          <w:rFonts w:ascii="宋体" w:hAnsi="宋体"/>
          <w:sz w:val="24"/>
        </w:rPr>
      </w:pPr>
      <w:r>
        <w:rPr>
          <w:rFonts w:hint="eastAsia" w:ascii="宋体" w:hAnsi="宋体"/>
          <w:sz w:val="24"/>
        </w:rPr>
        <w:t>2）固定标志的灯器、浮动标志按不低于配布数量的30%配备备品备件。有24小时遥测值班。</w:t>
      </w:r>
    </w:p>
    <w:p>
      <w:pPr>
        <w:snapToGrid w:val="0"/>
        <w:spacing w:line="360" w:lineRule="auto"/>
        <w:ind w:firstLine="600" w:firstLineChars="250"/>
        <w:rPr>
          <w:rFonts w:ascii="宋体" w:hAnsi="宋体" w:cs="宋体"/>
          <w:bCs/>
          <w:sz w:val="24"/>
        </w:rPr>
      </w:pPr>
      <w:r>
        <w:rPr>
          <w:rFonts w:hint="eastAsia" w:ascii="宋体" w:hAnsi="宋体"/>
          <w:sz w:val="24"/>
        </w:rPr>
        <w:t>3）其它满足</w:t>
      </w:r>
      <w:r>
        <w:rPr>
          <w:rFonts w:hint="eastAsia" w:ascii="宋体" w:hAnsi="宋体" w:cs="宋体"/>
          <w:bCs/>
          <w:sz w:val="24"/>
        </w:rPr>
        <w:t>《沿海导助航工程维护技术规范》JTS/T320-5-2020相关要求。</w:t>
      </w:r>
    </w:p>
    <w:p>
      <w:pPr>
        <w:snapToGrid w:val="0"/>
        <w:spacing w:line="360" w:lineRule="auto"/>
        <w:rPr>
          <w:rFonts w:ascii="宋体" w:hAnsi="宋体"/>
          <w:b/>
          <w:kern w:val="0"/>
          <w:szCs w:val="21"/>
        </w:rPr>
      </w:pPr>
      <w:r>
        <w:rPr>
          <w:rFonts w:hint="eastAsia" w:ascii="宋体" w:hAnsi="宋体"/>
          <w:b/>
          <w:bCs/>
          <w:kern w:val="0"/>
          <w:szCs w:val="21"/>
        </w:rPr>
        <w:t>二、质量检验和质量保证</w:t>
      </w:r>
    </w:p>
    <w:p>
      <w:pPr>
        <w:snapToGrid w:val="0"/>
        <w:spacing w:line="360" w:lineRule="auto"/>
        <w:ind w:firstLine="480" w:firstLineChars="200"/>
        <w:rPr>
          <w:rFonts w:hint="eastAsia" w:ascii="宋体" w:hAnsi="宋体"/>
          <w:kern w:val="0"/>
          <w:sz w:val="24"/>
        </w:rPr>
      </w:pPr>
      <w:r>
        <w:rPr>
          <w:rFonts w:hint="eastAsia" w:ascii="宋体" w:hAnsi="宋体"/>
          <w:kern w:val="0"/>
          <w:sz w:val="24"/>
        </w:rPr>
        <w:t>1、维护标准应符合《海区航标维护质量考核标准》、《东海海区航标维护质量检查办法》</w:t>
      </w:r>
      <w:r>
        <w:rPr>
          <w:rFonts w:hint="eastAsia" w:ascii="宋体" w:hAnsi="宋体" w:cs="宋体"/>
          <w:sz w:val="24"/>
        </w:rPr>
        <w:t>等</w:t>
      </w:r>
      <w:r>
        <w:rPr>
          <w:rFonts w:hint="eastAsia" w:ascii="宋体" w:hAnsi="宋体"/>
          <w:kern w:val="0"/>
          <w:sz w:val="24"/>
        </w:rPr>
        <w:t>的标准及规范要求。</w:t>
      </w:r>
    </w:p>
    <w:p>
      <w:pPr>
        <w:snapToGrid w:val="0"/>
        <w:spacing w:line="360" w:lineRule="auto"/>
        <w:rPr>
          <w:rFonts w:ascii="宋体" w:hAnsi="宋体"/>
          <w:b/>
          <w:bCs/>
          <w:kern w:val="0"/>
          <w:szCs w:val="21"/>
        </w:rPr>
      </w:pPr>
      <w:r>
        <w:rPr>
          <w:rFonts w:hint="eastAsia" w:ascii="宋体" w:hAnsi="宋体"/>
          <w:b/>
          <w:bCs/>
          <w:kern w:val="0"/>
          <w:szCs w:val="21"/>
        </w:rPr>
        <w:t>三、服务期限</w:t>
      </w:r>
    </w:p>
    <w:p>
      <w:pPr>
        <w:snapToGrid w:val="0"/>
        <w:spacing w:line="360" w:lineRule="auto"/>
        <w:ind w:firstLine="480" w:firstLineChars="200"/>
        <w:rPr>
          <w:rFonts w:ascii="宋体" w:hAnsi="宋体"/>
          <w:kern w:val="0"/>
          <w:sz w:val="24"/>
        </w:rPr>
      </w:pPr>
      <w:r>
        <w:rPr>
          <w:rFonts w:hint="eastAsia" w:ascii="宋体" w:hAnsi="宋体"/>
          <w:kern w:val="0"/>
          <w:sz w:val="24"/>
        </w:rPr>
        <w:t>本项目服务期限为一年，服务期限开始时间具体在合同签订时约定。</w:t>
      </w:r>
    </w:p>
    <w:p>
      <w:pPr>
        <w:widowControl/>
        <w:snapToGrid w:val="0"/>
        <w:spacing w:line="360" w:lineRule="auto"/>
        <w:rPr>
          <w:rFonts w:ascii="宋体" w:hAnsi="宋体" w:cs="Arial"/>
          <w:b/>
          <w:color w:val="000000" w:themeColor="text1"/>
          <w:kern w:val="0"/>
          <w:szCs w:val="21"/>
        </w:rPr>
      </w:pPr>
      <w:r>
        <w:rPr>
          <w:rFonts w:hint="eastAsia" w:ascii="宋体" w:hAnsi="宋体" w:cs="Arial"/>
          <w:b/>
          <w:color w:val="000000" w:themeColor="text1"/>
          <w:kern w:val="0"/>
          <w:szCs w:val="21"/>
        </w:rPr>
        <w:t>四、其他</w:t>
      </w:r>
    </w:p>
    <w:p>
      <w:pPr>
        <w:pStyle w:val="11"/>
        <w:tabs>
          <w:tab w:val="left" w:pos="720"/>
          <w:tab w:val="clear" w:pos="360"/>
        </w:tabs>
        <w:snapToGrid w:val="0"/>
        <w:spacing w:line="360" w:lineRule="auto"/>
        <w:ind w:left="0" w:firstLine="482" w:firstLineChars="200"/>
        <w:rPr>
          <w:rFonts w:ascii="宋体" w:hAnsi="宋体" w:cs="宋体"/>
          <w:b/>
          <w:bCs/>
          <w:color w:val="000000" w:themeColor="text1"/>
          <w:sz w:val="24"/>
        </w:rPr>
      </w:pPr>
      <w:r>
        <w:rPr>
          <w:rFonts w:hint="eastAsia" w:ascii="宋体" w:hAnsi="宋体" w:cs="Arial"/>
          <w:b/>
          <w:color w:val="000000" w:themeColor="text1"/>
          <w:kern w:val="0"/>
          <w:sz w:val="24"/>
        </w:rPr>
        <w:t>1.服务费用是指在本合同期内为</w:t>
      </w:r>
      <w:r>
        <w:rPr>
          <w:rFonts w:hint="eastAsia" w:ascii="宋体" w:hAnsi="宋体" w:cs="宋体"/>
          <w:b/>
          <w:bCs/>
          <w:color w:val="000000" w:themeColor="text1"/>
          <w:sz w:val="24"/>
        </w:rPr>
        <w:t>完成本项目服务、设备（材料）供应可能发生的全部费用及中标人的利润和应交纳的税金等一切费用。本项目</w:t>
      </w:r>
      <w:r>
        <w:rPr>
          <w:rFonts w:hint="eastAsia" w:ascii="宋体" w:hAnsi="宋体" w:cs="Arial"/>
          <w:b/>
          <w:color w:val="000000" w:themeColor="text1"/>
          <w:kern w:val="0"/>
          <w:sz w:val="24"/>
        </w:rPr>
        <w:t>实行固定费用总包干，供应商不得以任何理由要求调整承包费用。</w:t>
      </w:r>
    </w:p>
    <w:p>
      <w:pPr>
        <w:widowControl/>
        <w:snapToGrid w:val="0"/>
        <w:spacing w:line="360" w:lineRule="auto"/>
        <w:ind w:firstLine="482" w:firstLineChars="200"/>
        <w:rPr>
          <w:rFonts w:ascii="宋体" w:hAnsi="宋体" w:cs="Arial"/>
          <w:b/>
          <w:color w:val="000000" w:themeColor="text1"/>
          <w:kern w:val="0"/>
          <w:sz w:val="24"/>
        </w:rPr>
      </w:pPr>
      <w:r>
        <w:rPr>
          <w:rFonts w:hint="eastAsia" w:ascii="宋体" w:hAnsi="宋体" w:cs="Arial"/>
          <w:b/>
          <w:color w:val="000000" w:themeColor="text1"/>
          <w:kern w:val="0"/>
          <w:sz w:val="24"/>
        </w:rPr>
        <w:t>2.供应商应自行组织前往本次维修保养设备的实地进行查勘，以便了解实际情况并考虑风险因素，供应商自行注意报价风险。</w:t>
      </w:r>
    </w:p>
    <w:p>
      <w:pPr>
        <w:pStyle w:val="2"/>
        <w:ind w:firstLine="602" w:firstLineChars="250"/>
        <w:rPr>
          <w:rFonts w:ascii="宋体" w:hAnsi="宋体" w:cs="Arial"/>
          <w:b/>
          <w:color w:val="000000" w:themeColor="text1"/>
          <w:sz w:val="24"/>
        </w:rPr>
      </w:pPr>
      <w:r>
        <w:rPr>
          <w:rFonts w:hint="eastAsia" w:ascii="宋体" w:hAnsi="宋体" w:cs="Arial"/>
          <w:b/>
          <w:color w:val="000000" w:themeColor="text1"/>
          <w:sz w:val="24"/>
        </w:rPr>
        <w:t>3. 合同签订后5个工作日内，需对航标进行一次全面检查，并与前航标养护维修单位完成交接手续，以使航标完好延续，保证航标正常工作。本合同到期后，如航标养护维修单位变更，乙方应对朱家尖大桥（观音大桥）航标进行一次全面检查，在航标完好且正常工作的情况下，与新航标养护维修单位完成交接手续。</w:t>
      </w:r>
    </w:p>
    <w:p>
      <w:pPr>
        <w:autoSpaceDE w:val="0"/>
        <w:autoSpaceDN w:val="0"/>
        <w:adjustRightInd w:val="0"/>
        <w:snapToGrid w:val="0"/>
        <w:spacing w:line="360" w:lineRule="auto"/>
        <w:ind w:firstLine="422" w:firstLineChars="200"/>
        <w:rPr>
          <w:rFonts w:ascii="宋体" w:hAnsi="宋体" w:cs="Arial"/>
          <w:b/>
          <w:color w:val="000000" w:themeColor="text1"/>
          <w:kern w:val="0"/>
          <w:szCs w:val="21"/>
        </w:rPr>
      </w:pPr>
      <w:r>
        <w:rPr>
          <w:rFonts w:ascii="宋体" w:hAnsi="宋体" w:cs="Arial"/>
          <w:b/>
          <w:color w:val="000000" w:themeColor="text1"/>
          <w:kern w:val="0"/>
          <w:szCs w:val="21"/>
        </w:rPr>
        <w:t>4</w:t>
      </w:r>
      <w:r>
        <w:rPr>
          <w:rFonts w:hint="eastAsia" w:ascii="宋体" w:hAnsi="宋体" w:cs="Arial"/>
          <w:b/>
          <w:color w:val="000000" w:themeColor="text1"/>
          <w:kern w:val="0"/>
          <w:szCs w:val="21"/>
        </w:rPr>
        <w:t>、付款方式</w:t>
      </w:r>
    </w:p>
    <w:p>
      <w:pPr>
        <w:pStyle w:val="2"/>
        <w:spacing w:line="240" w:lineRule="auto"/>
        <w:ind w:left="0" w:leftChars="0" w:firstLine="482" w:firstLineChars="200"/>
        <w:rPr>
          <w:rFonts w:hint="eastAsia" w:ascii="宋体" w:hAnsi="宋体" w:cs="Arial"/>
          <w:b/>
          <w:color w:val="000000" w:themeColor="text1"/>
          <w:kern w:val="0"/>
          <w:sz w:val="24"/>
        </w:rPr>
      </w:pPr>
      <w:r>
        <w:rPr>
          <w:rFonts w:hint="eastAsia" w:ascii="宋体" w:hAnsi="宋体" w:cs="Arial"/>
          <w:b/>
          <w:color w:val="000000" w:themeColor="text1"/>
          <w:kern w:val="0"/>
          <w:sz w:val="24"/>
        </w:rPr>
        <w:t>在合同签订后三个工作日内中标供应商应提供合同总额5%的履约保证金，履约保证金待服务期满后十五个工作日内无息退还。履约保证金可以通过支票、汇票、本票或者金融机构、担保机构出具的保函等法律法规允许的方式缴纳。</w:t>
      </w:r>
    </w:p>
    <w:p>
      <w:pPr>
        <w:pStyle w:val="2"/>
        <w:spacing w:line="240" w:lineRule="auto"/>
        <w:ind w:left="0" w:leftChars="0" w:firstLine="482" w:firstLineChars="200"/>
        <w:rPr>
          <w:rFonts w:hint="eastAsia" w:ascii="宋体" w:hAnsi="宋体" w:cs="Arial"/>
          <w:b/>
          <w:color w:val="000000" w:themeColor="text1"/>
          <w:kern w:val="0"/>
          <w:sz w:val="24"/>
        </w:rPr>
      </w:pPr>
      <w:r>
        <w:rPr>
          <w:rFonts w:hint="eastAsia" w:ascii="宋体" w:hAnsi="宋体" w:cs="Arial"/>
          <w:b/>
          <w:color w:val="000000" w:themeColor="text1"/>
          <w:kern w:val="0"/>
          <w:sz w:val="24"/>
        </w:rPr>
        <w:t>服务费按季支付，每季度末支付一次，共分四次支付，每次支付金额为合同总额的25%。如因采购人财政资金未到位，采购人可以延期支付（不计利息），具体支付事宜由双方协商解决。</w:t>
      </w:r>
    </w:p>
    <w:p>
      <w:pPr>
        <w:spacing w:line="360" w:lineRule="auto"/>
        <w:jc w:val="center"/>
        <w:rPr>
          <w:rFonts w:ascii="Times New Roman" w:hAnsi="Times New Roman"/>
          <w:b/>
          <w:sz w:val="30"/>
          <w:szCs w:val="30"/>
        </w:rPr>
      </w:pPr>
    </w:p>
    <w:p>
      <w:pPr>
        <w:spacing w:line="360" w:lineRule="auto"/>
        <w:jc w:val="center"/>
        <w:rPr>
          <w:rFonts w:ascii="Times New Roman" w:hAnsi="Times New Roman"/>
          <w:b/>
          <w:sz w:val="30"/>
          <w:szCs w:val="30"/>
        </w:rPr>
      </w:pPr>
    </w:p>
    <w:p>
      <w:pPr>
        <w:spacing w:line="360" w:lineRule="auto"/>
        <w:jc w:val="center"/>
        <w:rPr>
          <w:rFonts w:ascii="Times New Roman" w:hAnsi="Times New Roman"/>
          <w:b/>
          <w:sz w:val="30"/>
          <w:szCs w:val="30"/>
        </w:rPr>
      </w:pPr>
    </w:p>
    <w:p>
      <w:pPr>
        <w:spacing w:line="360" w:lineRule="auto"/>
        <w:jc w:val="center"/>
        <w:rPr>
          <w:rFonts w:ascii="Times New Roman" w:hAnsi="Times New Roman"/>
          <w:b/>
          <w:sz w:val="30"/>
          <w:szCs w:val="30"/>
        </w:rPr>
      </w:pPr>
    </w:p>
    <w:p>
      <w:pPr>
        <w:spacing w:line="360" w:lineRule="auto"/>
        <w:jc w:val="center"/>
        <w:rPr>
          <w:rFonts w:ascii="Times New Roman" w:hAnsi="Times New Roman"/>
          <w:b/>
          <w:sz w:val="30"/>
          <w:szCs w:val="30"/>
        </w:rPr>
      </w:pPr>
    </w:p>
    <w:p>
      <w:pPr>
        <w:spacing w:line="360" w:lineRule="auto"/>
        <w:jc w:val="center"/>
        <w:rPr>
          <w:rFonts w:ascii="Times New Roman" w:hAnsi="Times New Roman"/>
          <w:b/>
          <w:sz w:val="30"/>
          <w:szCs w:val="30"/>
        </w:rPr>
      </w:pPr>
    </w:p>
    <w:p>
      <w:pPr>
        <w:spacing w:line="360" w:lineRule="auto"/>
        <w:jc w:val="center"/>
        <w:rPr>
          <w:rFonts w:ascii="Times New Roman" w:hAnsi="Times New Roman"/>
          <w:b/>
          <w:sz w:val="30"/>
          <w:szCs w:val="30"/>
        </w:rPr>
      </w:pPr>
    </w:p>
    <w:p>
      <w:pPr>
        <w:spacing w:line="360" w:lineRule="auto"/>
        <w:jc w:val="center"/>
        <w:rPr>
          <w:rFonts w:ascii="Times New Roman" w:hAnsi="Times New Roman"/>
          <w:b/>
          <w:sz w:val="30"/>
          <w:szCs w:val="30"/>
        </w:rPr>
      </w:pPr>
    </w:p>
    <w:p>
      <w:pPr>
        <w:spacing w:line="360" w:lineRule="auto"/>
        <w:jc w:val="center"/>
        <w:rPr>
          <w:rFonts w:ascii="Times New Roman" w:hAnsi="Times New Roman"/>
          <w:b/>
          <w:sz w:val="30"/>
          <w:szCs w:val="30"/>
        </w:rPr>
      </w:pPr>
    </w:p>
    <w:p>
      <w:pPr>
        <w:spacing w:line="360" w:lineRule="auto"/>
        <w:jc w:val="center"/>
        <w:rPr>
          <w:rFonts w:ascii="Times New Roman" w:hAnsi="Times New Roman"/>
          <w:b/>
          <w:sz w:val="30"/>
          <w:szCs w:val="30"/>
        </w:rPr>
      </w:pPr>
    </w:p>
    <w:p>
      <w:pPr>
        <w:spacing w:line="360" w:lineRule="auto"/>
        <w:jc w:val="center"/>
        <w:rPr>
          <w:rFonts w:ascii="Times New Roman" w:hAnsi="Times New Roman"/>
          <w:b/>
          <w:sz w:val="30"/>
          <w:szCs w:val="30"/>
        </w:rPr>
      </w:pPr>
    </w:p>
    <w:p>
      <w:pPr>
        <w:spacing w:line="360" w:lineRule="auto"/>
        <w:jc w:val="center"/>
        <w:rPr>
          <w:rFonts w:ascii="Times New Roman" w:hAnsi="Times New Roman"/>
          <w:b/>
          <w:sz w:val="30"/>
          <w:szCs w:val="30"/>
        </w:rPr>
      </w:pPr>
    </w:p>
    <w:p>
      <w:pPr>
        <w:spacing w:line="360" w:lineRule="auto"/>
        <w:jc w:val="center"/>
        <w:rPr>
          <w:rFonts w:ascii="Times New Roman" w:hAnsi="Times New Roman"/>
          <w:b/>
          <w:sz w:val="30"/>
          <w:szCs w:val="30"/>
        </w:rPr>
      </w:pPr>
    </w:p>
    <w:p>
      <w:pPr>
        <w:spacing w:line="360" w:lineRule="auto"/>
        <w:jc w:val="center"/>
        <w:rPr>
          <w:rFonts w:ascii="Times New Roman" w:hAnsi="Times New Roman"/>
          <w:b/>
          <w:sz w:val="30"/>
          <w:szCs w:val="30"/>
        </w:rPr>
      </w:pPr>
    </w:p>
    <w:p>
      <w:pPr>
        <w:spacing w:line="360" w:lineRule="auto"/>
        <w:jc w:val="center"/>
        <w:rPr>
          <w:rFonts w:ascii="Times New Roman" w:hAnsi="Times New Roman"/>
          <w:b/>
          <w:sz w:val="30"/>
          <w:szCs w:val="30"/>
        </w:rPr>
      </w:pPr>
    </w:p>
    <w:p>
      <w:pPr>
        <w:spacing w:line="360" w:lineRule="auto"/>
        <w:jc w:val="center"/>
        <w:rPr>
          <w:rFonts w:ascii="Times New Roman" w:hAnsi="Times New Roman"/>
          <w:b/>
          <w:sz w:val="30"/>
          <w:szCs w:val="30"/>
        </w:rPr>
      </w:pPr>
    </w:p>
    <w:p>
      <w:pPr>
        <w:spacing w:line="360" w:lineRule="auto"/>
        <w:jc w:val="center"/>
        <w:rPr>
          <w:rFonts w:ascii="Times New Roman" w:hAnsi="Times New Roman"/>
          <w:b/>
          <w:sz w:val="30"/>
          <w:szCs w:val="30"/>
        </w:rPr>
      </w:pPr>
    </w:p>
    <w:p>
      <w:pPr>
        <w:spacing w:line="360" w:lineRule="auto"/>
        <w:ind w:firstLine="3012" w:firstLineChars="1000"/>
        <w:jc w:val="both"/>
        <w:rPr>
          <w:rFonts w:ascii="Times New Roman" w:hAnsi="Times New Roman"/>
          <w:b/>
          <w:spacing w:val="12"/>
          <w:sz w:val="40"/>
          <w:szCs w:val="40"/>
        </w:rPr>
      </w:pPr>
      <w:r>
        <w:rPr>
          <w:rFonts w:ascii="Times New Roman" w:hAnsi="Times New Roman"/>
          <w:b/>
          <w:sz w:val="30"/>
          <w:szCs w:val="30"/>
        </w:rPr>
        <w:t>第三章投标人须知</w:t>
      </w:r>
    </w:p>
    <w:p>
      <w:pPr>
        <w:spacing w:line="360" w:lineRule="auto"/>
        <w:jc w:val="center"/>
        <w:rPr>
          <w:rFonts w:ascii="Times New Roman" w:hAnsi="Times New Roman"/>
          <w:b/>
          <w:sz w:val="30"/>
          <w:szCs w:val="30"/>
        </w:rPr>
      </w:pPr>
      <w:r>
        <w:rPr>
          <w:rFonts w:ascii="Times New Roman" w:hAnsi="Times New Roman"/>
          <w:b/>
          <w:sz w:val="30"/>
          <w:szCs w:val="30"/>
        </w:rPr>
        <w:t>前附表</w:t>
      </w:r>
    </w:p>
    <w:tbl>
      <w:tblPr>
        <w:tblStyle w:val="26"/>
        <w:tblW w:w="10059" w:type="dxa"/>
        <w:jc w:val="center"/>
        <w:tblCellSpacing w:w="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619"/>
        <w:gridCol w:w="1553"/>
        <w:gridCol w:w="3879"/>
        <w:gridCol w:w="1228"/>
        <w:gridCol w:w="2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before="100" w:beforeAutospacing="1" w:after="100" w:afterAutospacing="1" w:line="360" w:lineRule="exact"/>
              <w:jc w:val="center"/>
              <w:rPr>
                <w:rFonts w:ascii="宋体" w:hAnsi="宋体" w:cs="宋体"/>
                <w:b/>
                <w:szCs w:val="21"/>
              </w:rPr>
            </w:pPr>
            <w:r>
              <w:rPr>
                <w:rFonts w:hint="eastAsia" w:ascii="宋体" w:hAnsi="宋体" w:cs="宋体"/>
                <w:b/>
                <w:szCs w:val="21"/>
              </w:rPr>
              <w:t>序号</w:t>
            </w:r>
          </w:p>
        </w:tc>
        <w:tc>
          <w:tcPr>
            <w:tcW w:w="9419" w:type="dxa"/>
            <w:gridSpan w:val="4"/>
            <w:shd w:val="clear" w:color="auto" w:fill="E0E0E0"/>
            <w:vAlign w:val="center"/>
          </w:tcPr>
          <w:p>
            <w:pPr>
              <w:spacing w:before="100" w:beforeAutospacing="1" w:after="100" w:afterAutospacing="1" w:line="360" w:lineRule="exact"/>
              <w:jc w:val="center"/>
              <w:rPr>
                <w:rFonts w:ascii="宋体" w:hAnsi="宋体" w:cs="宋体"/>
                <w:b/>
                <w:szCs w:val="21"/>
              </w:rPr>
            </w:pPr>
            <w:r>
              <w:rPr>
                <w:rFonts w:hint="eastAsia" w:ascii="宋体" w:hAnsi="宋体" w:cs="宋体"/>
                <w:b/>
                <w:szCs w:val="21"/>
              </w:rPr>
              <w:t>内容说明及要求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before="100" w:beforeAutospacing="1" w:after="100" w:afterAutospacing="1" w:line="360" w:lineRule="exact"/>
              <w:jc w:val="center"/>
              <w:rPr>
                <w:rFonts w:ascii="宋体" w:hAnsi="宋体" w:cs="宋体"/>
                <w:b/>
                <w:szCs w:val="21"/>
              </w:rPr>
            </w:pPr>
            <w:r>
              <w:rPr>
                <w:rFonts w:hint="eastAsia" w:ascii="宋体" w:hAnsi="宋体" w:cs="宋体"/>
                <w:b/>
                <w:szCs w:val="21"/>
              </w:rPr>
              <w:t>1</w:t>
            </w:r>
          </w:p>
        </w:tc>
        <w:tc>
          <w:tcPr>
            <w:tcW w:w="1539" w:type="dxa"/>
            <w:shd w:val="clear" w:color="auto" w:fill="E0E0E0"/>
            <w:vAlign w:val="center"/>
          </w:tcPr>
          <w:p>
            <w:pPr>
              <w:spacing w:before="100" w:beforeAutospacing="1" w:after="100" w:afterAutospacing="1" w:line="360" w:lineRule="exact"/>
              <w:jc w:val="center"/>
              <w:rPr>
                <w:rFonts w:ascii="宋体" w:hAnsi="宋体" w:cs="宋体"/>
                <w:b/>
                <w:szCs w:val="21"/>
              </w:rPr>
            </w:pPr>
            <w:r>
              <w:rPr>
                <w:rFonts w:hint="eastAsia" w:ascii="宋体" w:hAnsi="宋体" w:cs="宋体"/>
                <w:b/>
                <w:szCs w:val="21"/>
              </w:rPr>
              <w:t>项目名称</w:t>
            </w:r>
          </w:p>
        </w:tc>
        <w:tc>
          <w:tcPr>
            <w:tcW w:w="3865" w:type="dxa"/>
            <w:shd w:val="clear" w:color="auto" w:fill="FFFFFF"/>
            <w:vAlign w:val="center"/>
          </w:tcPr>
          <w:p>
            <w:pPr>
              <w:spacing w:before="100" w:beforeAutospacing="1" w:after="100" w:afterAutospacing="1" w:line="360" w:lineRule="exact"/>
              <w:rPr>
                <w:rFonts w:ascii="宋体" w:hAnsi="宋体" w:cs="宋体"/>
                <w:kern w:val="0"/>
                <w:szCs w:val="21"/>
              </w:rPr>
            </w:pPr>
            <w:r>
              <w:rPr>
                <w:rFonts w:hint="eastAsia" w:ascii="宋体" w:hAnsi="宋体" w:cs="宋体"/>
                <w:szCs w:val="21"/>
                <w:shd w:val="clear" w:color="auto" w:fill="FFFFFF"/>
              </w:rPr>
              <w:t>朱家尖大桥航标养护维修项目</w:t>
            </w:r>
          </w:p>
        </w:tc>
        <w:tc>
          <w:tcPr>
            <w:tcW w:w="1214" w:type="dxa"/>
            <w:shd w:val="clear" w:color="auto" w:fill="E0E0E0"/>
            <w:vAlign w:val="center"/>
          </w:tcPr>
          <w:p>
            <w:pPr>
              <w:spacing w:before="100" w:beforeAutospacing="1" w:after="100" w:afterAutospacing="1" w:line="360" w:lineRule="exact"/>
              <w:jc w:val="center"/>
              <w:rPr>
                <w:rFonts w:ascii="宋体" w:hAnsi="宋体" w:cs="宋体"/>
                <w:b/>
                <w:szCs w:val="21"/>
              </w:rPr>
            </w:pPr>
            <w:r>
              <w:rPr>
                <w:rFonts w:hint="eastAsia" w:ascii="宋体" w:hAnsi="宋体" w:cs="宋体"/>
                <w:b/>
                <w:szCs w:val="21"/>
              </w:rPr>
              <w:t>采购编号</w:t>
            </w:r>
          </w:p>
        </w:tc>
        <w:tc>
          <w:tcPr>
            <w:tcW w:w="2759" w:type="dxa"/>
            <w:shd w:val="clear" w:color="auto" w:fill="FFFFFF"/>
            <w:vAlign w:val="center"/>
          </w:tcPr>
          <w:p>
            <w:pPr>
              <w:spacing w:before="100" w:beforeAutospacing="1" w:after="100" w:afterAutospacing="1" w:line="360" w:lineRule="exact"/>
              <w:rPr>
                <w:rFonts w:ascii="宋体" w:hAnsi="宋体" w:cs="宋体"/>
                <w:szCs w:val="21"/>
              </w:rPr>
            </w:pPr>
            <w:r>
              <w:rPr>
                <w:rFonts w:hint="eastAsia" w:ascii="宋体" w:hAnsi="宋体" w:cs="宋体"/>
                <w:szCs w:val="21"/>
                <w:shd w:val="clear" w:color="auto" w:fill="FFFFFF"/>
              </w:rPr>
              <w:t>ZJFZ-03045-2021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before="100" w:beforeAutospacing="1" w:after="100" w:afterAutospacing="1" w:line="360" w:lineRule="exact"/>
              <w:jc w:val="center"/>
              <w:rPr>
                <w:rFonts w:ascii="宋体" w:hAnsi="宋体" w:cs="宋体"/>
                <w:b/>
                <w:szCs w:val="21"/>
              </w:rPr>
            </w:pPr>
            <w:r>
              <w:rPr>
                <w:rFonts w:hint="eastAsia" w:ascii="宋体" w:hAnsi="宋体" w:cs="宋体"/>
                <w:b/>
                <w:szCs w:val="21"/>
              </w:rPr>
              <w:t>2</w:t>
            </w:r>
          </w:p>
        </w:tc>
        <w:tc>
          <w:tcPr>
            <w:tcW w:w="1539" w:type="dxa"/>
            <w:shd w:val="clear" w:color="auto" w:fill="E0E0E0"/>
            <w:vAlign w:val="center"/>
          </w:tcPr>
          <w:p>
            <w:pPr>
              <w:spacing w:before="100" w:beforeAutospacing="1" w:after="100" w:afterAutospacing="1" w:line="360" w:lineRule="exact"/>
              <w:jc w:val="center"/>
              <w:rPr>
                <w:rFonts w:ascii="宋体" w:hAnsi="宋体" w:cs="宋体"/>
                <w:b/>
                <w:szCs w:val="21"/>
              </w:rPr>
            </w:pPr>
            <w:r>
              <w:rPr>
                <w:rFonts w:hint="eastAsia" w:ascii="宋体" w:hAnsi="宋体" w:cs="宋体"/>
                <w:b/>
                <w:szCs w:val="21"/>
              </w:rPr>
              <w:t>采购内容</w:t>
            </w:r>
          </w:p>
        </w:tc>
        <w:tc>
          <w:tcPr>
            <w:tcW w:w="7866" w:type="dxa"/>
            <w:gridSpan w:val="3"/>
            <w:shd w:val="clear" w:color="auto" w:fill="FFFFFF"/>
            <w:vAlign w:val="center"/>
          </w:tcPr>
          <w:p>
            <w:pPr>
              <w:spacing w:before="100" w:beforeAutospacing="1" w:after="100" w:afterAutospacing="1" w:line="360" w:lineRule="exact"/>
              <w:rPr>
                <w:rFonts w:ascii="宋体" w:hAnsi="宋体" w:cs="宋体"/>
                <w:szCs w:val="21"/>
                <w:shd w:val="clear" w:color="auto" w:fill="FFFFFF"/>
              </w:rPr>
            </w:pPr>
            <w:r>
              <w:rPr>
                <w:rFonts w:hint="eastAsia" w:ascii="宋体" w:hAnsi="宋体"/>
                <w:color w:val="000000"/>
                <w:szCs w:val="21"/>
                <w:shd w:val="clear" w:color="auto" w:fill="FFFFFF"/>
              </w:rPr>
              <w:t>详见采购文件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before="100" w:beforeAutospacing="1" w:after="100" w:afterAutospacing="1" w:line="360" w:lineRule="exact"/>
              <w:jc w:val="center"/>
              <w:rPr>
                <w:rFonts w:ascii="宋体" w:hAnsi="宋体" w:cs="宋体"/>
                <w:b/>
                <w:szCs w:val="21"/>
              </w:rPr>
            </w:pPr>
            <w:r>
              <w:rPr>
                <w:rFonts w:hint="eastAsia" w:ascii="宋体" w:hAnsi="宋体" w:cs="宋体"/>
                <w:b/>
                <w:szCs w:val="21"/>
              </w:rPr>
              <w:t>3</w:t>
            </w:r>
          </w:p>
        </w:tc>
        <w:tc>
          <w:tcPr>
            <w:tcW w:w="1539" w:type="dxa"/>
            <w:shd w:val="clear" w:color="auto" w:fill="E0E0E0"/>
            <w:vAlign w:val="center"/>
          </w:tcPr>
          <w:p>
            <w:pPr>
              <w:spacing w:before="100" w:beforeAutospacing="1" w:after="100" w:afterAutospacing="1" w:line="360" w:lineRule="exact"/>
              <w:jc w:val="center"/>
              <w:rPr>
                <w:rFonts w:ascii="宋体" w:hAnsi="宋体" w:cs="宋体"/>
                <w:b/>
                <w:szCs w:val="21"/>
              </w:rPr>
            </w:pPr>
            <w:r>
              <w:rPr>
                <w:rFonts w:hint="eastAsia" w:ascii="宋体" w:hAnsi="宋体" w:cs="宋体"/>
                <w:b/>
                <w:szCs w:val="21"/>
              </w:rPr>
              <w:t>项目预算</w:t>
            </w:r>
          </w:p>
        </w:tc>
        <w:tc>
          <w:tcPr>
            <w:tcW w:w="7866" w:type="dxa"/>
            <w:gridSpan w:val="3"/>
            <w:shd w:val="clear" w:color="auto" w:fill="FFFFFF"/>
            <w:vAlign w:val="center"/>
          </w:tcPr>
          <w:p>
            <w:pPr>
              <w:spacing w:before="100" w:beforeAutospacing="1" w:after="100" w:afterAutospacing="1" w:line="360" w:lineRule="exact"/>
              <w:rPr>
                <w:rFonts w:ascii="宋体" w:hAnsi="宋体" w:cs="宋体"/>
                <w:szCs w:val="21"/>
                <w:shd w:val="clear" w:color="auto" w:fill="FFFFFF"/>
              </w:rPr>
            </w:pPr>
            <w:r>
              <w:rPr>
                <w:rFonts w:hint="eastAsia" w:ascii="宋体" w:hAnsi="宋体"/>
                <w:color w:val="000000"/>
                <w:szCs w:val="21"/>
                <w:shd w:val="clear" w:color="auto" w:fill="FFFFFF"/>
              </w:rPr>
              <w:t>8</w:t>
            </w:r>
            <w:r>
              <w:rPr>
                <w:rFonts w:ascii="宋体" w:hAnsi="宋体"/>
                <w:color w:val="000000"/>
                <w:szCs w:val="21"/>
                <w:shd w:val="clear" w:color="auto" w:fill="FFFFFF"/>
              </w:rPr>
              <w:t>94250</w:t>
            </w:r>
            <w:r>
              <w:rPr>
                <w:rFonts w:hint="eastAsia" w:ascii="宋体" w:hAnsi="宋体"/>
                <w:color w:val="000000"/>
                <w:szCs w:val="21"/>
                <w:shd w:val="clear" w:color="auto" w:fill="FFFFFF"/>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CellSpacing w:w="7" w:type="dxa"/>
          <w:jc w:val="center"/>
        </w:trPr>
        <w:tc>
          <w:tcPr>
            <w:tcW w:w="598" w:type="dxa"/>
            <w:shd w:val="clear" w:color="auto" w:fill="E0E0E0"/>
            <w:vAlign w:val="center"/>
          </w:tcPr>
          <w:p>
            <w:pPr>
              <w:spacing w:before="100" w:beforeAutospacing="1" w:after="100" w:afterAutospacing="1" w:line="360" w:lineRule="exact"/>
              <w:jc w:val="center"/>
              <w:rPr>
                <w:rFonts w:ascii="宋体" w:hAnsi="宋体" w:cs="宋体"/>
                <w:b/>
                <w:szCs w:val="21"/>
              </w:rPr>
            </w:pPr>
            <w:r>
              <w:rPr>
                <w:rFonts w:hint="eastAsia" w:ascii="宋体" w:hAnsi="宋体" w:cs="宋体"/>
                <w:b/>
                <w:szCs w:val="21"/>
              </w:rPr>
              <w:t>4</w:t>
            </w:r>
          </w:p>
        </w:tc>
        <w:tc>
          <w:tcPr>
            <w:tcW w:w="1539" w:type="dxa"/>
            <w:shd w:val="clear" w:color="auto" w:fill="E0E0E0"/>
            <w:vAlign w:val="center"/>
          </w:tcPr>
          <w:p>
            <w:pPr>
              <w:spacing w:before="100" w:beforeAutospacing="1" w:after="100" w:afterAutospacing="1" w:line="360" w:lineRule="exact"/>
              <w:jc w:val="center"/>
              <w:rPr>
                <w:rFonts w:ascii="宋体" w:hAnsi="宋体" w:cs="宋体"/>
                <w:b/>
                <w:szCs w:val="21"/>
              </w:rPr>
            </w:pPr>
            <w:r>
              <w:rPr>
                <w:rFonts w:hint="eastAsia" w:ascii="宋体" w:hAnsi="宋体" w:cs="宋体"/>
                <w:b/>
                <w:szCs w:val="21"/>
              </w:rPr>
              <w:t>踏勘现场</w:t>
            </w:r>
          </w:p>
        </w:tc>
        <w:tc>
          <w:tcPr>
            <w:tcW w:w="7866" w:type="dxa"/>
            <w:gridSpan w:val="3"/>
            <w:shd w:val="clear" w:color="auto" w:fill="FFFFFF"/>
            <w:vAlign w:val="center"/>
          </w:tcPr>
          <w:p>
            <w:pPr>
              <w:spacing w:before="100" w:beforeAutospacing="1" w:after="100" w:afterAutospacing="1" w:line="360" w:lineRule="exact"/>
              <w:rPr>
                <w:rFonts w:ascii="宋体" w:hAnsi="宋体" w:cs="宋体"/>
                <w:szCs w:val="21"/>
                <w:shd w:val="clear" w:color="auto" w:fill="FFFFFF"/>
              </w:rPr>
            </w:pPr>
            <w:r>
              <w:rPr>
                <w:rFonts w:hint="eastAsia" w:ascii="宋体" w:hAnsi="宋体" w:cs="宋体"/>
                <w:szCs w:val="21"/>
                <w:shd w:val="clear" w:color="auto" w:fill="FFFFFF"/>
              </w:rPr>
              <w:t>代理机构不组织踏勘，如投标人需进行现场踏勘的，须跟采购人进行协商。但投标人不得因此使采购人承担有关责任和蒙受损失，投标人应承担踏勘现场的责任和风险。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16" w:hRule="atLeast"/>
          <w:tblCellSpacing w:w="7" w:type="dxa"/>
          <w:jc w:val="center"/>
        </w:trPr>
        <w:tc>
          <w:tcPr>
            <w:tcW w:w="598" w:type="dxa"/>
            <w:shd w:val="clear" w:color="auto" w:fill="E0E0E0"/>
            <w:vAlign w:val="center"/>
          </w:tcPr>
          <w:p>
            <w:pPr>
              <w:spacing w:before="100" w:beforeAutospacing="1" w:after="100" w:afterAutospacing="1" w:line="360" w:lineRule="exact"/>
              <w:jc w:val="center"/>
              <w:rPr>
                <w:rFonts w:ascii="宋体" w:hAnsi="宋体" w:cs="宋体"/>
                <w:b/>
                <w:szCs w:val="21"/>
              </w:rPr>
            </w:pPr>
            <w:r>
              <w:rPr>
                <w:rFonts w:hint="eastAsia" w:ascii="宋体" w:hAnsi="宋体" w:cs="宋体"/>
                <w:b/>
                <w:szCs w:val="21"/>
              </w:rPr>
              <w:t>5</w:t>
            </w:r>
          </w:p>
        </w:tc>
        <w:tc>
          <w:tcPr>
            <w:tcW w:w="1539" w:type="dxa"/>
            <w:shd w:val="clear" w:color="auto" w:fill="E0E0E0"/>
            <w:vAlign w:val="center"/>
          </w:tcPr>
          <w:p>
            <w:pPr>
              <w:spacing w:before="100" w:beforeAutospacing="1" w:after="100" w:afterAutospacing="1" w:line="360" w:lineRule="exact"/>
              <w:jc w:val="center"/>
              <w:rPr>
                <w:rFonts w:ascii="宋体" w:hAnsi="宋体" w:cs="宋体"/>
                <w:color w:val="000000"/>
                <w:szCs w:val="21"/>
              </w:rPr>
            </w:pPr>
            <w:r>
              <w:rPr>
                <w:rFonts w:ascii="宋体" w:hAnsi="宋体" w:cs="宋体"/>
                <w:b/>
                <w:kern w:val="1"/>
                <w:szCs w:val="21"/>
              </w:rPr>
              <w:t>服务期限</w:t>
            </w:r>
          </w:p>
        </w:tc>
        <w:tc>
          <w:tcPr>
            <w:tcW w:w="7866" w:type="dxa"/>
            <w:gridSpan w:val="3"/>
            <w:shd w:val="clear" w:color="auto" w:fill="FFFFFF"/>
            <w:vAlign w:val="center"/>
          </w:tcPr>
          <w:p>
            <w:pPr>
              <w:spacing w:line="360" w:lineRule="auto"/>
              <w:rPr>
                <w:rFonts w:ascii="宋体" w:hAnsi="宋体" w:cs="宋体"/>
                <w:szCs w:val="21"/>
                <w:shd w:val="clear" w:color="auto" w:fill="FFFFFF"/>
              </w:rPr>
            </w:pPr>
            <w:r>
              <w:rPr>
                <w:rFonts w:hint="eastAsia" w:ascii="宋体" w:hAnsi="宋体" w:cs="宋体"/>
                <w:szCs w:val="21"/>
                <w:shd w:val="clear" w:color="auto" w:fill="FFFFFF"/>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CellSpacing w:w="7" w:type="dxa"/>
          <w:jc w:val="center"/>
        </w:trPr>
        <w:tc>
          <w:tcPr>
            <w:tcW w:w="598" w:type="dxa"/>
            <w:shd w:val="clear" w:color="auto" w:fill="E0E0E0"/>
            <w:vAlign w:val="center"/>
          </w:tcPr>
          <w:p>
            <w:pPr>
              <w:spacing w:before="100" w:beforeAutospacing="1" w:after="100" w:afterAutospacing="1" w:line="360" w:lineRule="exact"/>
              <w:jc w:val="center"/>
              <w:rPr>
                <w:rFonts w:ascii="宋体" w:hAnsi="宋体" w:cs="宋体"/>
                <w:b/>
                <w:szCs w:val="21"/>
              </w:rPr>
            </w:pPr>
            <w:r>
              <w:rPr>
                <w:rFonts w:hint="eastAsia" w:ascii="宋体" w:hAnsi="宋体" w:cs="宋体"/>
                <w:b/>
                <w:szCs w:val="21"/>
              </w:rPr>
              <w:t>6</w:t>
            </w:r>
          </w:p>
        </w:tc>
        <w:tc>
          <w:tcPr>
            <w:tcW w:w="1539" w:type="dxa"/>
            <w:shd w:val="clear" w:color="auto" w:fill="E0E0E0"/>
            <w:vAlign w:val="center"/>
          </w:tcPr>
          <w:p>
            <w:pPr>
              <w:spacing w:before="100" w:beforeAutospacing="1" w:after="100" w:afterAutospacing="1" w:line="360" w:lineRule="exact"/>
              <w:jc w:val="center"/>
              <w:rPr>
                <w:rFonts w:ascii="宋体" w:hAnsi="宋体" w:cs="宋体"/>
                <w:b/>
                <w:color w:val="000000"/>
                <w:szCs w:val="21"/>
              </w:rPr>
            </w:pPr>
            <w:r>
              <w:rPr>
                <w:rFonts w:hint="eastAsia" w:ascii="宋体" w:hAnsi="宋体" w:cs="宋体"/>
                <w:b/>
                <w:color w:val="000000"/>
                <w:szCs w:val="21"/>
              </w:rPr>
              <w:t>投标有效期</w:t>
            </w:r>
          </w:p>
        </w:tc>
        <w:tc>
          <w:tcPr>
            <w:tcW w:w="7866" w:type="dxa"/>
            <w:gridSpan w:val="3"/>
            <w:shd w:val="clear" w:color="auto" w:fill="FFFFFF"/>
            <w:vAlign w:val="center"/>
          </w:tcPr>
          <w:p>
            <w:pPr>
              <w:spacing w:before="100" w:beforeAutospacing="1" w:after="100" w:afterAutospacing="1" w:line="360" w:lineRule="exact"/>
              <w:rPr>
                <w:rFonts w:ascii="宋体" w:hAnsi="宋体" w:cs="宋体"/>
                <w:szCs w:val="21"/>
                <w:shd w:val="clear" w:color="auto" w:fill="FFFFFF"/>
              </w:rPr>
            </w:pPr>
            <w:r>
              <w:rPr>
                <w:rFonts w:hint="eastAsia" w:ascii="宋体" w:hAnsi="宋体" w:cs="宋体"/>
                <w:szCs w:val="21"/>
                <w:shd w:val="clear" w:color="auto" w:fill="FFFFFF"/>
              </w:rPr>
              <w:t>90日历天。（从开标截止之日起）。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before="100" w:beforeAutospacing="1" w:after="100" w:afterAutospacing="1" w:line="360" w:lineRule="exact"/>
              <w:jc w:val="center"/>
              <w:rPr>
                <w:rFonts w:ascii="宋体" w:hAnsi="宋体" w:cs="宋体"/>
                <w:b/>
                <w:szCs w:val="21"/>
              </w:rPr>
            </w:pPr>
            <w:r>
              <w:rPr>
                <w:rFonts w:hint="eastAsia" w:ascii="宋体" w:hAnsi="宋体" w:cs="宋体"/>
                <w:b/>
                <w:szCs w:val="21"/>
              </w:rPr>
              <w:t>7</w:t>
            </w:r>
          </w:p>
        </w:tc>
        <w:tc>
          <w:tcPr>
            <w:tcW w:w="1539" w:type="dxa"/>
            <w:shd w:val="clear" w:color="auto" w:fill="E0E0E0"/>
            <w:vAlign w:val="center"/>
          </w:tcPr>
          <w:p>
            <w:pPr>
              <w:spacing w:before="100" w:beforeAutospacing="1" w:after="100" w:afterAutospacing="1" w:line="360" w:lineRule="exact"/>
              <w:jc w:val="center"/>
              <w:rPr>
                <w:rFonts w:ascii="宋体" w:hAnsi="宋体" w:cs="宋体"/>
                <w:b/>
                <w:color w:val="000000"/>
                <w:szCs w:val="21"/>
              </w:rPr>
            </w:pPr>
            <w:r>
              <w:rPr>
                <w:rFonts w:hint="eastAsia" w:ascii="宋体" w:hAnsi="宋体" w:cs="宋体"/>
                <w:b/>
                <w:color w:val="000000"/>
                <w:szCs w:val="21"/>
              </w:rPr>
              <w:t>评标办法</w:t>
            </w:r>
          </w:p>
        </w:tc>
        <w:tc>
          <w:tcPr>
            <w:tcW w:w="7866" w:type="dxa"/>
            <w:gridSpan w:val="3"/>
            <w:shd w:val="clear" w:color="auto" w:fill="FFFFFF"/>
            <w:vAlign w:val="center"/>
          </w:tcPr>
          <w:p>
            <w:pPr>
              <w:spacing w:before="100" w:beforeAutospacing="1" w:after="100" w:afterAutospacing="1" w:line="360" w:lineRule="exact"/>
              <w:rPr>
                <w:rFonts w:ascii="宋体" w:hAnsi="宋体" w:cs="宋体"/>
                <w:szCs w:val="21"/>
                <w:shd w:val="clear" w:color="auto" w:fill="FFFFFF"/>
              </w:rPr>
            </w:pPr>
            <w:r>
              <w:rPr>
                <w:rFonts w:hint="eastAsia" w:ascii="宋体" w:hAnsi="宋体" w:cs="宋体"/>
                <w:szCs w:val="21"/>
                <w:shd w:val="clear" w:color="auto" w:fill="FFFFFF"/>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before="100" w:beforeAutospacing="1" w:after="100" w:afterAutospacing="1" w:line="360" w:lineRule="exact"/>
              <w:jc w:val="center"/>
              <w:rPr>
                <w:rFonts w:ascii="宋体" w:hAnsi="宋体" w:cs="宋体"/>
                <w:b/>
                <w:szCs w:val="21"/>
              </w:rPr>
            </w:pPr>
            <w:r>
              <w:rPr>
                <w:rFonts w:hint="eastAsia" w:ascii="宋体" w:hAnsi="宋体" w:cs="宋体"/>
                <w:b/>
                <w:szCs w:val="21"/>
              </w:rPr>
              <w:t>8</w:t>
            </w:r>
          </w:p>
        </w:tc>
        <w:tc>
          <w:tcPr>
            <w:tcW w:w="1539" w:type="dxa"/>
            <w:shd w:val="clear" w:color="auto" w:fill="E0E0E0"/>
            <w:vAlign w:val="center"/>
          </w:tcPr>
          <w:p>
            <w:pPr>
              <w:spacing w:before="100" w:beforeAutospacing="1" w:after="100" w:afterAutospacing="1" w:line="360" w:lineRule="exact"/>
              <w:jc w:val="center"/>
              <w:rPr>
                <w:rFonts w:ascii="宋体" w:hAnsi="宋体" w:cs="宋体"/>
                <w:b/>
                <w:color w:val="000000"/>
                <w:szCs w:val="21"/>
              </w:rPr>
            </w:pPr>
            <w:r>
              <w:rPr>
                <w:rFonts w:hint="eastAsia" w:ascii="宋体" w:hAnsi="宋体" w:cs="宋体"/>
                <w:b/>
                <w:color w:val="000000"/>
                <w:szCs w:val="21"/>
              </w:rPr>
              <w:t>签订合同</w:t>
            </w:r>
          </w:p>
        </w:tc>
        <w:tc>
          <w:tcPr>
            <w:tcW w:w="7866" w:type="dxa"/>
            <w:gridSpan w:val="3"/>
            <w:shd w:val="clear" w:color="auto" w:fill="FFFFFF"/>
            <w:vAlign w:val="center"/>
          </w:tcPr>
          <w:p>
            <w:pPr>
              <w:spacing w:before="100" w:beforeAutospacing="1" w:after="100" w:afterAutospacing="1" w:line="360" w:lineRule="exact"/>
              <w:rPr>
                <w:rFonts w:ascii="宋体" w:hAnsi="宋体" w:cs="宋体"/>
                <w:szCs w:val="21"/>
                <w:shd w:val="clear" w:color="auto" w:fill="FFFFFF"/>
              </w:rPr>
            </w:pPr>
            <w:r>
              <w:rPr>
                <w:rFonts w:hint="eastAsia" w:ascii="宋体" w:hAnsi="宋体" w:cs="宋体"/>
                <w:szCs w:val="21"/>
                <w:shd w:val="clear" w:color="auto" w:fill="FFFFFF"/>
              </w:rPr>
              <w:t>中标通知书发出后 30 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25" w:hRule="atLeast"/>
          <w:tblCellSpacing w:w="7" w:type="dxa"/>
          <w:jc w:val="center"/>
        </w:trPr>
        <w:tc>
          <w:tcPr>
            <w:tcW w:w="598" w:type="dxa"/>
            <w:shd w:val="clear" w:color="auto" w:fill="E0E0E0"/>
            <w:vAlign w:val="center"/>
          </w:tcPr>
          <w:p>
            <w:pPr>
              <w:spacing w:before="100" w:beforeAutospacing="1" w:after="100" w:afterAutospacing="1" w:line="360" w:lineRule="exact"/>
              <w:jc w:val="center"/>
              <w:rPr>
                <w:rFonts w:ascii="宋体" w:hAnsi="宋体" w:cs="宋体"/>
                <w:b/>
                <w:szCs w:val="21"/>
              </w:rPr>
            </w:pPr>
            <w:r>
              <w:rPr>
                <w:rFonts w:hint="eastAsia" w:ascii="宋体" w:hAnsi="宋体" w:cs="宋体"/>
                <w:b/>
                <w:szCs w:val="21"/>
              </w:rPr>
              <w:t>9</w:t>
            </w:r>
          </w:p>
        </w:tc>
        <w:tc>
          <w:tcPr>
            <w:tcW w:w="1539" w:type="dxa"/>
            <w:shd w:val="clear" w:color="auto" w:fill="E0E0E0"/>
            <w:vAlign w:val="center"/>
          </w:tcPr>
          <w:p>
            <w:pPr>
              <w:spacing w:before="100" w:beforeAutospacing="1" w:after="100" w:afterAutospacing="1" w:line="360" w:lineRule="exact"/>
              <w:jc w:val="center"/>
              <w:rPr>
                <w:rFonts w:ascii="宋体" w:hAnsi="宋体" w:cs="宋体"/>
                <w:b/>
                <w:color w:val="000000"/>
                <w:szCs w:val="21"/>
              </w:rPr>
            </w:pPr>
            <w:r>
              <w:rPr>
                <w:rFonts w:ascii="宋体" w:hAnsi="宋体"/>
                <w:b/>
                <w:szCs w:val="21"/>
              </w:rPr>
              <w:t>资金结算</w:t>
            </w:r>
          </w:p>
        </w:tc>
        <w:tc>
          <w:tcPr>
            <w:tcW w:w="7866" w:type="dxa"/>
            <w:gridSpan w:val="3"/>
            <w:shd w:val="clear" w:color="auto" w:fill="FFFFFF"/>
            <w:vAlign w:val="center"/>
          </w:tcPr>
          <w:p>
            <w:pPr>
              <w:pStyle w:val="2"/>
              <w:ind w:left="0" w:leftChars="0" w:firstLine="0" w:firstLineChars="0"/>
            </w:pPr>
            <w:r>
              <w:rPr>
                <w:rFonts w:hint="eastAsia"/>
              </w:rPr>
              <w:t>在合同签订后三个工作日内中标供应商应提供合同总额5%的履约保证金，履约保证金待服务期满后十五个工作日内无息退还。履约保证金可以通过支票、汇票、本票或者金融机构、担保机构出具的保函等法律法规允许的方式缴纳。</w:t>
            </w:r>
          </w:p>
          <w:p>
            <w:pPr>
              <w:widowControl/>
              <w:snapToGrid w:val="0"/>
              <w:spacing w:line="360" w:lineRule="auto"/>
            </w:pPr>
            <w:r>
              <w:rPr>
                <w:rFonts w:hint="eastAsia"/>
              </w:rPr>
              <w:t>服务费按季支付，每季度末支付一次，共分四次支付，每次支付金额为合同总额的25%。如因采购人财政资金未到位，采购人可以延期支付（不计利息），具体支付事宜由双方协商解决。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before="100" w:beforeAutospacing="1" w:after="100" w:afterAutospacing="1" w:line="360" w:lineRule="exact"/>
              <w:jc w:val="center"/>
              <w:rPr>
                <w:rFonts w:ascii="宋体" w:hAnsi="宋体" w:cs="宋体"/>
                <w:b/>
                <w:szCs w:val="21"/>
              </w:rPr>
            </w:pPr>
            <w:r>
              <w:rPr>
                <w:rFonts w:hint="eastAsia" w:ascii="宋体" w:hAnsi="宋体" w:cs="宋体"/>
                <w:b/>
                <w:szCs w:val="21"/>
              </w:rPr>
              <w:t>10</w:t>
            </w:r>
          </w:p>
        </w:tc>
        <w:tc>
          <w:tcPr>
            <w:tcW w:w="1539" w:type="dxa"/>
            <w:shd w:val="clear" w:color="auto" w:fill="E0E0E0"/>
            <w:vAlign w:val="center"/>
          </w:tcPr>
          <w:p>
            <w:pPr>
              <w:spacing w:line="276" w:lineRule="auto"/>
              <w:jc w:val="center"/>
              <w:rPr>
                <w:rFonts w:ascii="宋体" w:hAnsi="宋体" w:cs="宋体"/>
                <w:b/>
                <w:color w:val="000000"/>
                <w:szCs w:val="21"/>
              </w:rPr>
            </w:pPr>
            <w:r>
              <w:rPr>
                <w:rFonts w:hint="eastAsia" w:ascii="宋体" w:hAnsi="宋体" w:cs="宋体"/>
                <w:b/>
                <w:color w:val="000000"/>
                <w:szCs w:val="21"/>
              </w:rPr>
              <w:t>投标报价</w:t>
            </w:r>
          </w:p>
          <w:p>
            <w:pPr>
              <w:spacing w:line="276" w:lineRule="auto"/>
              <w:jc w:val="center"/>
              <w:rPr>
                <w:rFonts w:ascii="宋体" w:hAnsi="宋体" w:cs="宋体"/>
                <w:b/>
                <w:color w:val="000000"/>
                <w:szCs w:val="21"/>
              </w:rPr>
            </w:pPr>
            <w:r>
              <w:rPr>
                <w:rFonts w:hint="eastAsia" w:ascii="宋体" w:hAnsi="宋体" w:cs="宋体"/>
                <w:b/>
                <w:color w:val="000000"/>
                <w:szCs w:val="21"/>
              </w:rPr>
              <w:t>与费用</w:t>
            </w:r>
          </w:p>
        </w:tc>
        <w:tc>
          <w:tcPr>
            <w:tcW w:w="7866" w:type="dxa"/>
            <w:gridSpan w:val="3"/>
            <w:shd w:val="clear" w:color="auto" w:fill="FFFFFF"/>
            <w:vAlign w:val="center"/>
          </w:tcPr>
          <w:p>
            <w:pPr>
              <w:spacing w:line="360" w:lineRule="exact"/>
              <w:rPr>
                <w:rFonts w:ascii="宋体" w:hAnsi="宋体" w:cs="宋体"/>
                <w:color w:val="000000"/>
                <w:szCs w:val="21"/>
              </w:rPr>
            </w:pPr>
            <w:r>
              <w:rPr>
                <w:rFonts w:hint="eastAsia" w:ascii="宋体" w:hAnsi="宋体" w:cs="宋体"/>
                <w:color w:val="000000"/>
                <w:szCs w:val="21"/>
              </w:rPr>
              <w:t>1、投标报价应以人民币报价，是履行合同的最终价格。</w:t>
            </w:r>
          </w:p>
          <w:p>
            <w:pPr>
              <w:snapToGrid w:val="0"/>
              <w:jc w:val="left"/>
              <w:rPr>
                <w:rFonts w:ascii="宋体" w:hAnsi="宋体" w:cs="宋体"/>
                <w:color w:val="000000"/>
                <w:szCs w:val="21"/>
              </w:rPr>
            </w:pPr>
            <w:r>
              <w:rPr>
                <w:rFonts w:hint="eastAsia" w:ascii="宋体" w:hAnsi="宋体" w:cs="宋体"/>
                <w:color w:val="000000"/>
                <w:szCs w:val="21"/>
              </w:rPr>
              <w:t>2、投标人应承担其参加本招标活动自身所发生的费用。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CellSpacing w:w="7" w:type="dxa"/>
          <w:jc w:val="center"/>
        </w:trPr>
        <w:tc>
          <w:tcPr>
            <w:tcW w:w="598" w:type="dxa"/>
            <w:shd w:val="clear" w:color="auto" w:fill="E0E0E0"/>
            <w:vAlign w:val="center"/>
          </w:tcPr>
          <w:p>
            <w:pPr>
              <w:spacing w:before="100" w:beforeAutospacing="1" w:after="100" w:afterAutospacing="1" w:line="360" w:lineRule="exact"/>
              <w:jc w:val="center"/>
              <w:rPr>
                <w:rFonts w:ascii="宋体" w:hAnsi="宋体" w:cs="宋体"/>
                <w:b/>
                <w:szCs w:val="21"/>
              </w:rPr>
            </w:pPr>
            <w:r>
              <w:rPr>
                <w:rFonts w:hint="eastAsia" w:ascii="宋体" w:hAnsi="宋体" w:cs="宋体"/>
                <w:b/>
                <w:szCs w:val="21"/>
              </w:rPr>
              <w:t>1</w:t>
            </w:r>
            <w:r>
              <w:rPr>
                <w:rFonts w:ascii="宋体" w:hAnsi="宋体" w:cs="宋体"/>
                <w:b/>
                <w:szCs w:val="21"/>
              </w:rPr>
              <w:t>1</w:t>
            </w:r>
          </w:p>
        </w:tc>
        <w:tc>
          <w:tcPr>
            <w:tcW w:w="1539" w:type="dxa"/>
            <w:shd w:val="clear" w:color="auto" w:fill="E0E0E0"/>
            <w:vAlign w:val="center"/>
          </w:tcPr>
          <w:p>
            <w:pPr>
              <w:spacing w:line="276" w:lineRule="auto"/>
              <w:jc w:val="center"/>
              <w:rPr>
                <w:rFonts w:ascii="宋体" w:hAnsi="宋体" w:cs="宋体"/>
                <w:b/>
                <w:szCs w:val="21"/>
              </w:rPr>
            </w:pPr>
            <w:r>
              <w:rPr>
                <w:rFonts w:hint="eastAsia" w:ascii="宋体" w:hAnsi="宋体" w:cs="宋体"/>
                <w:b/>
                <w:szCs w:val="21"/>
              </w:rPr>
              <w:t>投标文件</w:t>
            </w:r>
          </w:p>
          <w:p>
            <w:pPr>
              <w:spacing w:line="276" w:lineRule="auto"/>
              <w:jc w:val="center"/>
              <w:rPr>
                <w:rFonts w:ascii="宋体" w:hAnsi="宋体" w:cs="宋体"/>
                <w:b/>
                <w:szCs w:val="21"/>
              </w:rPr>
            </w:pPr>
            <w:r>
              <w:rPr>
                <w:rFonts w:hint="eastAsia" w:ascii="宋体" w:hAnsi="宋体" w:cs="宋体"/>
                <w:b/>
                <w:szCs w:val="21"/>
              </w:rPr>
              <w:t>的组成</w:t>
            </w:r>
          </w:p>
        </w:tc>
        <w:tc>
          <w:tcPr>
            <w:tcW w:w="7866" w:type="dxa"/>
            <w:gridSpan w:val="3"/>
            <w:shd w:val="clear" w:color="auto" w:fill="FFFFFF"/>
            <w:vAlign w:val="center"/>
          </w:tcPr>
          <w:p>
            <w:pPr>
              <w:spacing w:line="300" w:lineRule="auto"/>
              <w:rPr>
                <w:rFonts w:ascii="宋体" w:hAnsi="宋体" w:cs="宋体"/>
                <w:szCs w:val="21"/>
              </w:rPr>
            </w:pPr>
            <w:r>
              <w:rPr>
                <w:rFonts w:hint="eastAsia" w:ascii="宋体" w:hAnsi="宋体" w:cs="宋体"/>
                <w:szCs w:val="21"/>
              </w:rPr>
              <w:t>本项目实行网上投标。</w:t>
            </w:r>
          </w:p>
          <w:p>
            <w:pPr>
              <w:spacing w:line="300" w:lineRule="auto"/>
              <w:rPr>
                <w:rFonts w:ascii="宋体" w:hAnsi="宋体" w:cs="宋体"/>
                <w:szCs w:val="21"/>
              </w:rPr>
            </w:pPr>
            <w:r>
              <w:rPr>
                <w:rFonts w:hint="eastAsia" w:ascii="宋体" w:hAnsi="宋体" w:cs="宋体"/>
                <w:szCs w:val="21"/>
              </w:rPr>
              <w:t>投标人应准备电子投标文件、以介质存储的数据电文形式的备份投标文件：</w:t>
            </w:r>
          </w:p>
          <w:p>
            <w:pPr>
              <w:spacing w:line="300" w:lineRule="auto"/>
              <w:rPr>
                <w:rFonts w:ascii="宋体" w:hAnsi="宋体" w:cs="宋体"/>
                <w:szCs w:val="21"/>
              </w:rPr>
            </w:pPr>
            <w:r>
              <w:rPr>
                <w:rFonts w:hint="eastAsia" w:ascii="宋体" w:hAnsi="宋体" w:cs="宋体"/>
                <w:szCs w:val="21"/>
              </w:rPr>
              <w:t>（1）电子投标文件，按政采云供应商项目采购-电子招投标操作指南及本招标文件要求制作，加密并递交。</w:t>
            </w:r>
          </w:p>
          <w:p>
            <w:pPr>
              <w:pStyle w:val="3"/>
              <w:spacing w:after="0" w:line="360" w:lineRule="exact"/>
              <w:rPr>
                <w:rFonts w:ascii="宋体" w:hAnsi="宋体" w:cs="宋体"/>
                <w:szCs w:val="21"/>
              </w:rPr>
            </w:pPr>
            <w:r>
              <w:rPr>
                <w:rFonts w:hint="eastAsia" w:ascii="宋体" w:hAnsi="宋体" w:cs="宋体"/>
                <w:b/>
                <w:szCs w:val="21"/>
              </w:rPr>
              <w:t>（2）以介质存储的数据电文形式的备份投标文件，按政采云供应商项目采购-电子招投标操作指南中制作的电子投标文件，以DVD光盘或U盘形式提供。数量为1份。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90" w:hRule="atLeast"/>
          <w:tblCellSpacing w:w="7" w:type="dxa"/>
          <w:jc w:val="center"/>
        </w:trPr>
        <w:tc>
          <w:tcPr>
            <w:tcW w:w="598" w:type="dxa"/>
            <w:shd w:val="clear" w:color="auto" w:fill="E0E0E0"/>
            <w:vAlign w:val="center"/>
          </w:tcPr>
          <w:p>
            <w:pPr>
              <w:spacing w:before="100" w:beforeAutospacing="1" w:after="100" w:afterAutospacing="1" w:line="360" w:lineRule="exact"/>
              <w:jc w:val="center"/>
              <w:rPr>
                <w:rFonts w:ascii="宋体" w:hAnsi="宋体" w:cs="宋体"/>
                <w:b/>
                <w:szCs w:val="21"/>
              </w:rPr>
            </w:pPr>
            <w:r>
              <w:rPr>
                <w:rFonts w:hint="eastAsia" w:ascii="宋体" w:hAnsi="宋体" w:cs="宋体"/>
                <w:b/>
                <w:szCs w:val="21"/>
              </w:rPr>
              <w:t>12</w:t>
            </w:r>
          </w:p>
        </w:tc>
        <w:tc>
          <w:tcPr>
            <w:tcW w:w="1539" w:type="dxa"/>
            <w:shd w:val="clear" w:color="auto" w:fill="E0E0E0"/>
            <w:vAlign w:val="center"/>
          </w:tcPr>
          <w:p>
            <w:pPr>
              <w:spacing w:line="276" w:lineRule="auto"/>
              <w:jc w:val="center"/>
              <w:rPr>
                <w:rFonts w:ascii="宋体" w:hAnsi="宋体" w:cs="宋体"/>
                <w:b/>
                <w:szCs w:val="21"/>
              </w:rPr>
            </w:pPr>
            <w:r>
              <w:rPr>
                <w:rFonts w:hint="eastAsia" w:ascii="宋体" w:hAnsi="宋体" w:cs="宋体"/>
                <w:b/>
                <w:szCs w:val="21"/>
              </w:rPr>
              <w:t>开标地点</w:t>
            </w:r>
          </w:p>
        </w:tc>
        <w:tc>
          <w:tcPr>
            <w:tcW w:w="7866" w:type="dxa"/>
            <w:gridSpan w:val="3"/>
            <w:shd w:val="clear" w:color="auto" w:fill="FFFFFF"/>
            <w:vAlign w:val="center"/>
          </w:tcPr>
          <w:p>
            <w:pPr>
              <w:spacing w:line="300" w:lineRule="auto"/>
              <w:rPr>
                <w:rFonts w:ascii="宋体" w:hAnsi="宋体" w:cs="宋体"/>
                <w:szCs w:val="21"/>
              </w:rPr>
            </w:pPr>
            <w:r>
              <w:rPr>
                <w:rFonts w:hint="eastAsia" w:ascii="宋体" w:hAnsi="宋体" w:cs="宋体"/>
                <w:b/>
                <w:kern w:val="0"/>
                <w:szCs w:val="21"/>
              </w:rPr>
              <w:t>舟山市新城翁山路555号四楼舟山市公共资源交易中心（大宗商品交易中心同幢西边）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before="100" w:beforeAutospacing="1" w:after="100" w:afterAutospacing="1" w:line="360" w:lineRule="exact"/>
              <w:jc w:val="center"/>
              <w:rPr>
                <w:rFonts w:ascii="宋体" w:hAnsi="宋体" w:cs="宋体"/>
                <w:b/>
                <w:szCs w:val="21"/>
              </w:rPr>
            </w:pPr>
            <w:r>
              <w:rPr>
                <w:rFonts w:hint="eastAsia" w:ascii="宋体" w:hAnsi="宋体" w:cs="宋体"/>
                <w:b/>
                <w:szCs w:val="21"/>
              </w:rPr>
              <w:t>1</w:t>
            </w:r>
            <w:r>
              <w:rPr>
                <w:rFonts w:ascii="宋体" w:hAnsi="宋体" w:cs="宋体"/>
                <w:b/>
                <w:szCs w:val="21"/>
              </w:rPr>
              <w:t>3</w:t>
            </w:r>
          </w:p>
        </w:tc>
        <w:tc>
          <w:tcPr>
            <w:tcW w:w="1539" w:type="dxa"/>
            <w:shd w:val="clear" w:color="auto" w:fill="E0E0E0"/>
            <w:vAlign w:val="center"/>
          </w:tcPr>
          <w:p>
            <w:pPr>
              <w:spacing w:line="276" w:lineRule="auto"/>
              <w:jc w:val="center"/>
              <w:rPr>
                <w:rFonts w:ascii="宋体" w:hAnsi="宋体" w:cs="宋体"/>
                <w:b/>
                <w:szCs w:val="21"/>
              </w:rPr>
            </w:pPr>
            <w:r>
              <w:rPr>
                <w:rFonts w:hint="eastAsia" w:ascii="宋体" w:hAnsi="宋体" w:cs="宋体"/>
                <w:b/>
                <w:szCs w:val="21"/>
              </w:rPr>
              <w:t>投标文件</w:t>
            </w:r>
          </w:p>
          <w:p>
            <w:pPr>
              <w:spacing w:line="276" w:lineRule="auto"/>
              <w:jc w:val="center"/>
              <w:rPr>
                <w:rFonts w:ascii="宋体" w:hAnsi="宋体" w:cs="宋体"/>
                <w:b/>
                <w:szCs w:val="21"/>
              </w:rPr>
            </w:pPr>
            <w:r>
              <w:rPr>
                <w:rFonts w:hint="eastAsia" w:ascii="宋体" w:hAnsi="宋体" w:cs="宋体"/>
                <w:b/>
                <w:szCs w:val="21"/>
              </w:rPr>
              <w:t>的递交</w:t>
            </w:r>
          </w:p>
        </w:tc>
        <w:tc>
          <w:tcPr>
            <w:tcW w:w="7866" w:type="dxa"/>
            <w:gridSpan w:val="3"/>
            <w:shd w:val="clear" w:color="auto" w:fill="FFFFFF"/>
            <w:vAlign w:val="center"/>
          </w:tcPr>
          <w:p>
            <w:pPr>
              <w:adjustRightInd w:val="0"/>
              <w:snapToGrid w:val="0"/>
              <w:spacing w:before="159" w:beforeLines="50" w:after="159" w:afterLines="50" w:line="300" w:lineRule="auto"/>
              <w:ind w:firstLine="420" w:firstLineChars="200"/>
              <w:rPr>
                <w:rFonts w:ascii="宋体" w:hAnsi="宋体" w:cs="宋体"/>
                <w:szCs w:val="21"/>
              </w:rPr>
            </w:pPr>
            <w:r>
              <w:rPr>
                <w:rFonts w:hint="eastAsia" w:ascii="宋体" w:hAnsi="宋体" w:cs="宋体"/>
                <w:szCs w:val="21"/>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送达的投标、响应文件，将被政采云平台拒收。</w:t>
            </w:r>
          </w:p>
          <w:p>
            <w:pPr>
              <w:adjustRightInd w:val="0"/>
              <w:snapToGrid w:val="0"/>
              <w:spacing w:before="159" w:beforeLines="50" w:after="159" w:afterLines="50" w:line="300" w:lineRule="auto"/>
              <w:ind w:firstLine="420" w:firstLineChars="200"/>
              <w:rPr>
                <w:rFonts w:ascii="宋体" w:hAnsi="宋体" w:cs="宋体"/>
                <w:szCs w:val="21"/>
              </w:rPr>
            </w:pPr>
            <w:r>
              <w:rPr>
                <w:rFonts w:hint="eastAsia" w:ascii="宋体" w:hAnsi="宋体" w:cs="宋体"/>
                <w:szCs w:val="21"/>
              </w:rPr>
              <w:t>投标人将备份投标文件于2021年8月10日17:00（北京时间）前通过邮寄或派人递送的方式送交到采购代理机构处（地址：舟山市</w:t>
            </w:r>
            <w:r>
              <w:rPr>
                <w:rFonts w:ascii="宋体" w:hAnsi="宋体" w:cs="宋体"/>
                <w:szCs w:val="21"/>
              </w:rPr>
              <w:t>定海区临城街道长峙岛香樟园</w:t>
            </w:r>
            <w:r>
              <w:rPr>
                <w:rFonts w:hint="eastAsia" w:ascii="宋体" w:hAnsi="宋体" w:cs="宋体"/>
                <w:szCs w:val="21"/>
              </w:rPr>
              <w:t>20幢13楼；联系人：应巧；联系方式：0580-</w:t>
            </w:r>
            <w:r>
              <w:rPr>
                <w:rFonts w:ascii="宋体" w:hAnsi="宋体" w:cs="宋体"/>
                <w:szCs w:val="21"/>
              </w:rPr>
              <w:t>2047557</w:t>
            </w:r>
            <w:r>
              <w:rPr>
                <w:rFonts w:hint="eastAsia" w:ascii="宋体" w:hAnsi="宋体" w:cs="宋体"/>
                <w:szCs w:val="21"/>
              </w:rPr>
              <w:t>），也可以在开标时间前送至开标地点（开标地点送交备份投标文件的联系方式：</w:t>
            </w:r>
            <w:r>
              <w:rPr>
                <w:rFonts w:ascii="宋体" w:hAnsi="宋体" w:cs="宋体"/>
                <w:szCs w:val="21"/>
              </w:rPr>
              <w:t>13857226616</w:t>
            </w:r>
            <w:r>
              <w:rPr>
                <w:rFonts w:hint="eastAsia" w:ascii="宋体" w:hAnsi="宋体" w:cs="宋体"/>
                <w:szCs w:val="21"/>
              </w:rPr>
              <w:t>），未按时送达的自行承担风险。备份投标文件须密封完好，并注明投标人单位名称。投标人未按规定递交的备份投标文件，采购人有权拒收。</w:t>
            </w:r>
          </w:p>
          <w:p>
            <w:pPr>
              <w:snapToGrid w:val="0"/>
              <w:spacing w:line="300" w:lineRule="auto"/>
              <w:ind w:firstLine="420" w:firstLineChars="200"/>
              <w:jc w:val="left"/>
              <w:rPr>
                <w:rFonts w:ascii="宋体" w:hAnsi="宋体" w:cs="宋体"/>
                <w:szCs w:val="21"/>
              </w:rPr>
            </w:pPr>
            <w:r>
              <w:rPr>
                <w:rFonts w:hint="eastAsia" w:ascii="宋体" w:hAnsi="宋体" w:cs="宋体"/>
                <w:szCs w:val="21"/>
              </w:rPr>
              <w:t>投标人递交备份投标文件时，如出现下列情况之一的，将被拒收：</w:t>
            </w:r>
          </w:p>
          <w:p>
            <w:pPr>
              <w:snapToGrid w:val="0"/>
              <w:spacing w:line="300" w:lineRule="auto"/>
              <w:ind w:firstLine="420" w:firstLineChars="200"/>
              <w:jc w:val="left"/>
              <w:rPr>
                <w:rFonts w:ascii="宋体" w:hAnsi="宋体" w:cs="宋体"/>
                <w:szCs w:val="21"/>
              </w:rPr>
            </w:pPr>
            <w:r>
              <w:rPr>
                <w:rFonts w:hint="eastAsia" w:ascii="宋体" w:hAnsi="宋体" w:cs="宋体"/>
                <w:szCs w:val="21"/>
              </w:rPr>
              <w:t>1、未按规定密封或标记的投标文件；</w:t>
            </w:r>
          </w:p>
          <w:p>
            <w:pPr>
              <w:snapToGrid w:val="0"/>
              <w:spacing w:line="300" w:lineRule="auto"/>
              <w:ind w:firstLine="420" w:firstLineChars="200"/>
              <w:jc w:val="left"/>
              <w:rPr>
                <w:rFonts w:ascii="宋体" w:hAnsi="宋体" w:cs="宋体"/>
                <w:szCs w:val="21"/>
              </w:rPr>
            </w:pPr>
            <w:r>
              <w:rPr>
                <w:rFonts w:hint="eastAsia" w:ascii="宋体" w:hAnsi="宋体" w:cs="宋体"/>
                <w:szCs w:val="21"/>
              </w:rPr>
              <w:t>2、由于包装不妥，在送交途中严重破损或失散的；</w:t>
            </w:r>
          </w:p>
          <w:p>
            <w:pPr>
              <w:snapToGrid w:val="0"/>
              <w:spacing w:line="300" w:lineRule="auto"/>
              <w:ind w:firstLine="420" w:firstLineChars="200"/>
              <w:jc w:val="left"/>
              <w:rPr>
                <w:rFonts w:ascii="宋体" w:hAnsi="宋体" w:cs="宋体"/>
                <w:szCs w:val="21"/>
              </w:rPr>
            </w:pPr>
            <w:r>
              <w:rPr>
                <w:rFonts w:hint="eastAsia" w:ascii="宋体" w:hAnsi="宋体" w:cs="宋体"/>
                <w:szCs w:val="21"/>
              </w:rPr>
              <w:t>3、超过投标截止时间送达的。</w:t>
            </w:r>
          </w:p>
          <w:p>
            <w:pPr>
              <w:autoSpaceDE w:val="0"/>
              <w:autoSpaceDN w:val="0"/>
              <w:snapToGrid w:val="0"/>
              <w:spacing w:line="300" w:lineRule="auto"/>
              <w:ind w:firstLine="420" w:firstLineChars="200"/>
              <w:jc w:val="left"/>
              <w:textAlignment w:val="bottom"/>
              <w:rPr>
                <w:rFonts w:ascii="宋体" w:hAnsi="宋体" w:cs="宋体"/>
                <w:szCs w:val="21"/>
              </w:rPr>
            </w:pPr>
            <w:r>
              <w:rPr>
                <w:rFonts w:hint="eastAsia" w:ascii="宋体" w:hAnsi="宋体" w:cs="宋体"/>
                <w:szCs w:val="21"/>
              </w:rPr>
              <w:t>4、仅提供备份投标文件的。</w:t>
            </w:r>
          </w:p>
          <w:p>
            <w:pPr>
              <w:spacing w:line="360" w:lineRule="exact"/>
              <w:rPr>
                <w:rFonts w:ascii="宋体" w:hAnsi="宋体" w:cs="宋体"/>
                <w:szCs w:val="21"/>
              </w:rPr>
            </w:pPr>
            <w:r>
              <w:rPr>
                <w:rFonts w:hint="eastAsia" w:ascii="宋体" w:hAnsi="宋体" w:cs="宋体"/>
                <w:szCs w:val="21"/>
              </w:rPr>
              <w:t>当发生解密失败或未按时解密的，投标人提供了备份投标文件的，以备份投标文件为依据，否则视为投标文件撤回。投标文件已按时解密的，备份投标文件自动失效。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75" w:hRule="atLeast"/>
          <w:tblCellSpacing w:w="7" w:type="dxa"/>
          <w:jc w:val="center"/>
        </w:trPr>
        <w:tc>
          <w:tcPr>
            <w:tcW w:w="598" w:type="dxa"/>
            <w:shd w:val="clear" w:color="auto" w:fill="E0E0E0"/>
            <w:vAlign w:val="center"/>
          </w:tcPr>
          <w:p>
            <w:pPr>
              <w:spacing w:before="100" w:beforeAutospacing="1" w:after="100" w:afterAutospacing="1" w:line="360" w:lineRule="exact"/>
              <w:jc w:val="center"/>
              <w:rPr>
                <w:rFonts w:ascii="宋体" w:hAnsi="宋体" w:cs="宋体"/>
                <w:b/>
                <w:szCs w:val="21"/>
              </w:rPr>
            </w:pPr>
            <w:r>
              <w:rPr>
                <w:rFonts w:hint="eastAsia" w:ascii="宋体" w:hAnsi="宋体" w:cs="宋体"/>
                <w:b/>
                <w:szCs w:val="21"/>
              </w:rPr>
              <w:t>1</w:t>
            </w:r>
            <w:r>
              <w:rPr>
                <w:rFonts w:ascii="宋体" w:hAnsi="宋体" w:cs="宋体"/>
                <w:b/>
                <w:szCs w:val="21"/>
              </w:rPr>
              <w:t>4</w:t>
            </w:r>
          </w:p>
        </w:tc>
        <w:tc>
          <w:tcPr>
            <w:tcW w:w="1539" w:type="dxa"/>
            <w:shd w:val="clear" w:color="auto" w:fill="E0E0E0"/>
            <w:vAlign w:val="center"/>
          </w:tcPr>
          <w:p>
            <w:pPr>
              <w:spacing w:before="100" w:beforeAutospacing="1" w:after="100" w:afterAutospacing="1" w:line="360" w:lineRule="exact"/>
              <w:jc w:val="center"/>
              <w:rPr>
                <w:rFonts w:ascii="宋体" w:hAnsi="宋体" w:cs="宋体"/>
                <w:b/>
                <w:szCs w:val="21"/>
              </w:rPr>
            </w:pPr>
            <w:r>
              <w:rPr>
                <w:rFonts w:hint="eastAsia" w:ascii="宋体" w:hAnsi="宋体" w:cs="宋体"/>
                <w:b/>
                <w:szCs w:val="21"/>
              </w:rPr>
              <w:t>投标文件提交/开标截止时间</w:t>
            </w:r>
          </w:p>
        </w:tc>
        <w:tc>
          <w:tcPr>
            <w:tcW w:w="7866" w:type="dxa"/>
            <w:gridSpan w:val="3"/>
            <w:shd w:val="clear" w:color="auto" w:fill="FFFFFF"/>
            <w:vAlign w:val="center"/>
          </w:tcPr>
          <w:p>
            <w:pPr>
              <w:spacing w:line="360" w:lineRule="exact"/>
              <w:rPr>
                <w:rFonts w:ascii="宋体" w:hAnsi="宋体" w:cs="宋体"/>
                <w:b/>
                <w:szCs w:val="21"/>
              </w:rPr>
            </w:pPr>
            <w:r>
              <w:rPr>
                <w:rStyle w:val="29"/>
                <w:rFonts w:hint="eastAsia" w:ascii="宋体" w:hAnsi="宋体" w:cs="宋体"/>
                <w:b/>
                <w:szCs w:val="21"/>
              </w:rPr>
              <w:t>202</w:t>
            </w:r>
            <w:r>
              <w:rPr>
                <w:rStyle w:val="29"/>
                <w:rFonts w:ascii="宋体" w:hAnsi="宋体" w:cs="宋体"/>
                <w:b/>
                <w:szCs w:val="21"/>
              </w:rPr>
              <w:t>1</w:t>
            </w:r>
            <w:r>
              <w:rPr>
                <w:rStyle w:val="29"/>
                <w:rFonts w:hint="eastAsia" w:ascii="宋体" w:hAnsi="宋体" w:cs="宋体"/>
                <w:b/>
                <w:szCs w:val="21"/>
              </w:rPr>
              <w:t>年8月11日</w:t>
            </w:r>
            <w:r>
              <w:rPr>
                <w:rStyle w:val="29"/>
                <w:rFonts w:ascii="宋体" w:hAnsi="宋体" w:cs="宋体"/>
                <w:b/>
                <w:szCs w:val="21"/>
              </w:rPr>
              <w:t>09</w:t>
            </w:r>
            <w:r>
              <w:rPr>
                <w:rStyle w:val="29"/>
                <w:rFonts w:hint="eastAsia" w:ascii="宋体" w:hAnsi="宋体" w:cs="宋体"/>
                <w:b/>
                <w:szCs w:val="21"/>
              </w:rPr>
              <w:t>时</w:t>
            </w:r>
            <w:r>
              <w:rPr>
                <w:rStyle w:val="29"/>
                <w:rFonts w:ascii="宋体" w:hAnsi="宋体" w:cs="宋体"/>
                <w:b/>
                <w:szCs w:val="21"/>
              </w:rPr>
              <w:t>00</w:t>
            </w:r>
            <w:r>
              <w:rPr>
                <w:rStyle w:val="29"/>
                <w:rFonts w:hint="eastAsia" w:ascii="宋体" w:hAnsi="宋体" w:cs="宋体"/>
                <w:b/>
                <w:szCs w:val="21"/>
              </w:rPr>
              <w:t>分</w:t>
            </w:r>
          </w:p>
        </w:tc>
      </w:tr>
    </w:tbl>
    <w:p>
      <w:pPr>
        <w:rPr>
          <w:rFonts w:ascii="Times New Roman" w:hAnsi="Times New Roman"/>
          <w:b/>
          <w:bCs/>
          <w:sz w:val="28"/>
        </w:rPr>
      </w:pPr>
    </w:p>
    <w:p>
      <w:pPr>
        <w:pStyle w:val="43"/>
        <w:snapToGrid w:val="0"/>
        <w:spacing w:before="159" w:after="159"/>
        <w:jc w:val="center"/>
        <w:rPr>
          <w:rFonts w:ascii="Times New Roman" w:hAnsi="Times New Roman"/>
          <w:b/>
          <w:bCs/>
          <w:sz w:val="28"/>
        </w:rPr>
      </w:pPr>
    </w:p>
    <w:p>
      <w:pPr>
        <w:pStyle w:val="43"/>
        <w:snapToGrid w:val="0"/>
        <w:spacing w:before="159" w:after="159"/>
        <w:jc w:val="center"/>
        <w:rPr>
          <w:rFonts w:ascii="Times New Roman" w:hAnsi="Times New Roman"/>
          <w:b/>
          <w:bCs/>
          <w:sz w:val="28"/>
        </w:rPr>
      </w:pPr>
    </w:p>
    <w:p>
      <w:pPr>
        <w:pStyle w:val="43"/>
        <w:snapToGrid w:val="0"/>
        <w:spacing w:before="159" w:after="159"/>
        <w:jc w:val="center"/>
        <w:rPr>
          <w:rFonts w:ascii="Times New Roman" w:hAnsi="Times New Roman"/>
          <w:b/>
          <w:bCs/>
          <w:sz w:val="28"/>
        </w:rPr>
      </w:pPr>
    </w:p>
    <w:p>
      <w:pPr>
        <w:pStyle w:val="43"/>
        <w:snapToGrid w:val="0"/>
        <w:spacing w:before="159" w:after="159"/>
        <w:jc w:val="center"/>
        <w:rPr>
          <w:rFonts w:ascii="Times New Roman" w:hAnsi="Times New Roman"/>
          <w:b/>
          <w:bCs/>
          <w:sz w:val="28"/>
        </w:rPr>
      </w:pPr>
    </w:p>
    <w:p>
      <w:pPr>
        <w:pStyle w:val="43"/>
        <w:snapToGrid w:val="0"/>
        <w:spacing w:before="159" w:after="159"/>
        <w:jc w:val="center"/>
        <w:rPr>
          <w:rFonts w:ascii="Times New Roman" w:hAnsi="Times New Roman"/>
          <w:b/>
          <w:bCs/>
          <w:sz w:val="28"/>
        </w:rPr>
      </w:pPr>
    </w:p>
    <w:p>
      <w:pPr>
        <w:pStyle w:val="43"/>
        <w:snapToGrid w:val="0"/>
        <w:spacing w:before="159" w:after="159"/>
        <w:jc w:val="center"/>
        <w:rPr>
          <w:rFonts w:ascii="Times New Roman" w:hAnsi="Times New Roman"/>
          <w:b/>
          <w:bCs/>
          <w:sz w:val="28"/>
        </w:rPr>
      </w:pPr>
    </w:p>
    <w:p>
      <w:pPr>
        <w:pStyle w:val="43"/>
        <w:snapToGrid w:val="0"/>
        <w:spacing w:before="159" w:after="159"/>
        <w:jc w:val="center"/>
        <w:rPr>
          <w:rFonts w:ascii="Times New Roman" w:hAnsi="Times New Roman"/>
          <w:b/>
          <w:bCs/>
          <w:sz w:val="28"/>
        </w:rPr>
      </w:pPr>
    </w:p>
    <w:p>
      <w:pPr>
        <w:pStyle w:val="43"/>
        <w:snapToGrid w:val="0"/>
        <w:spacing w:before="159" w:after="159"/>
        <w:jc w:val="center"/>
        <w:rPr>
          <w:rFonts w:ascii="Times New Roman" w:hAnsi="Times New Roman"/>
          <w:b/>
          <w:bCs/>
          <w:sz w:val="28"/>
        </w:rPr>
      </w:pPr>
    </w:p>
    <w:p>
      <w:pPr>
        <w:pStyle w:val="43"/>
        <w:snapToGrid w:val="0"/>
        <w:spacing w:before="159" w:after="159"/>
        <w:rPr>
          <w:rFonts w:ascii="Times New Roman" w:hAnsi="Times New Roman"/>
          <w:b/>
          <w:bCs/>
          <w:sz w:val="28"/>
        </w:rPr>
      </w:pPr>
    </w:p>
    <w:p>
      <w:pPr>
        <w:pStyle w:val="43"/>
        <w:snapToGrid w:val="0"/>
        <w:spacing w:before="159" w:after="159"/>
        <w:rPr>
          <w:rFonts w:ascii="Times New Roman" w:hAnsi="Times New Roman"/>
          <w:b/>
          <w:bCs/>
          <w:sz w:val="28"/>
        </w:rPr>
      </w:pPr>
    </w:p>
    <w:p>
      <w:pPr>
        <w:pStyle w:val="43"/>
        <w:snapToGrid w:val="0"/>
        <w:spacing w:before="159" w:after="159"/>
        <w:rPr>
          <w:rFonts w:ascii="Times New Roman" w:hAnsi="Times New Roman"/>
          <w:b/>
          <w:bCs/>
          <w:sz w:val="28"/>
        </w:rPr>
      </w:pPr>
    </w:p>
    <w:p>
      <w:pPr>
        <w:pStyle w:val="43"/>
        <w:snapToGrid w:val="0"/>
        <w:spacing w:before="159" w:after="159"/>
        <w:rPr>
          <w:rFonts w:ascii="Times New Roman" w:hAnsi="Times New Roman"/>
          <w:b/>
          <w:bCs/>
          <w:sz w:val="28"/>
        </w:rPr>
      </w:pPr>
    </w:p>
    <w:p>
      <w:pPr>
        <w:pStyle w:val="43"/>
        <w:snapToGrid w:val="0"/>
        <w:spacing w:before="159" w:after="159"/>
        <w:rPr>
          <w:rFonts w:ascii="Times New Roman" w:hAnsi="Times New Roman"/>
          <w:b/>
          <w:bCs/>
          <w:sz w:val="28"/>
        </w:rPr>
      </w:pPr>
    </w:p>
    <w:p>
      <w:pPr>
        <w:pStyle w:val="43"/>
        <w:snapToGrid w:val="0"/>
        <w:spacing w:before="159" w:after="159"/>
        <w:rPr>
          <w:rFonts w:ascii="Times New Roman" w:hAnsi="Times New Roman"/>
          <w:b/>
          <w:bCs/>
          <w:sz w:val="28"/>
        </w:rPr>
      </w:pPr>
    </w:p>
    <w:p>
      <w:pPr>
        <w:pStyle w:val="43"/>
        <w:snapToGrid w:val="0"/>
        <w:spacing w:before="159" w:after="159"/>
        <w:jc w:val="center"/>
        <w:rPr>
          <w:rFonts w:ascii="Times New Roman" w:hAnsi="Times New Roman"/>
          <w:b/>
          <w:bCs/>
          <w:sz w:val="28"/>
        </w:rPr>
      </w:pPr>
      <w:r>
        <w:rPr>
          <w:rFonts w:ascii="Times New Roman" w:hAnsi="Times New Roman"/>
          <w:b/>
          <w:bCs/>
          <w:sz w:val="28"/>
        </w:rPr>
        <w:t>一总则</w:t>
      </w:r>
    </w:p>
    <w:p>
      <w:pPr>
        <w:pStyle w:val="43"/>
        <w:snapToGrid w:val="0"/>
        <w:spacing w:before="159" w:after="159" w:line="360" w:lineRule="auto"/>
        <w:ind w:firstLine="422" w:firstLineChars="200"/>
        <w:rPr>
          <w:rFonts w:ascii="Times New Roman" w:hAnsi="Times New Roman"/>
          <w:b/>
          <w:bCs/>
        </w:rPr>
      </w:pPr>
      <w:r>
        <w:rPr>
          <w:rFonts w:ascii="Times New Roman" w:hAnsi="Times New Roman"/>
          <w:b/>
          <w:bCs/>
        </w:rPr>
        <w:t>（一）适用范围</w:t>
      </w:r>
    </w:p>
    <w:p>
      <w:pPr>
        <w:snapToGrid w:val="0"/>
        <w:spacing w:line="360" w:lineRule="auto"/>
        <w:ind w:right="-506" w:rightChars="-241" w:firstLine="420" w:firstLineChars="200"/>
        <w:jc w:val="left"/>
        <w:rPr>
          <w:rFonts w:ascii="Times New Roman" w:hAnsi="Times New Roman"/>
        </w:rPr>
      </w:pPr>
      <w:r>
        <w:rPr>
          <w:rFonts w:ascii="Times New Roman" w:hAnsi="Times New Roman"/>
        </w:rPr>
        <w:t>本采购文件适用于</w:t>
      </w:r>
      <w:r>
        <w:rPr>
          <w:rFonts w:hint="eastAsia" w:ascii="Times New Roman" w:hAnsi="Times New Roman"/>
        </w:rPr>
        <w:t>朱家尖大桥航标养护维修项目</w:t>
      </w:r>
      <w:r>
        <w:rPr>
          <w:rFonts w:ascii="Times New Roman" w:hAnsi="Times New Roman"/>
        </w:rPr>
        <w:t>的招标、投标、评标、定标、验收、合同履约、付款等行为（法律、法规另有规定的，从其规定）。</w:t>
      </w:r>
    </w:p>
    <w:p>
      <w:pPr>
        <w:pStyle w:val="43"/>
        <w:snapToGrid w:val="0"/>
        <w:spacing w:before="159" w:after="159" w:line="360" w:lineRule="auto"/>
        <w:ind w:firstLine="422" w:firstLineChars="200"/>
        <w:rPr>
          <w:rFonts w:ascii="Times New Roman" w:hAnsi="Times New Roman"/>
          <w:b/>
          <w:bCs/>
        </w:rPr>
      </w:pPr>
      <w:r>
        <w:rPr>
          <w:rFonts w:ascii="Times New Roman" w:hAnsi="Times New Roman"/>
          <w:b/>
          <w:bCs/>
        </w:rPr>
        <w:t>（二）定义</w:t>
      </w:r>
    </w:p>
    <w:p>
      <w:pPr>
        <w:pStyle w:val="15"/>
        <w:snapToGrid w:val="0"/>
        <w:spacing w:line="360" w:lineRule="auto"/>
        <w:ind w:firstLine="415" w:firstLineChars="198"/>
        <w:rPr>
          <w:rFonts w:hAnsi="宋体" w:cs="宋体"/>
          <w:sz w:val="21"/>
        </w:rPr>
      </w:pPr>
      <w:r>
        <w:rPr>
          <w:rFonts w:hint="eastAsia" w:hAnsi="宋体" w:cs="宋体"/>
          <w:sz w:val="21"/>
        </w:rPr>
        <w:t>1、“采购人”、“招标人”系指组织本次采购的单位：舟山市普陀山公路与运输管理中心。</w:t>
      </w:r>
    </w:p>
    <w:p>
      <w:pPr>
        <w:pStyle w:val="15"/>
        <w:snapToGrid w:val="0"/>
        <w:spacing w:line="360" w:lineRule="auto"/>
        <w:ind w:firstLine="415" w:firstLineChars="198"/>
        <w:rPr>
          <w:rFonts w:hAnsi="宋体" w:cs="宋体"/>
          <w:sz w:val="21"/>
        </w:rPr>
      </w:pPr>
      <w:r>
        <w:rPr>
          <w:rFonts w:hint="eastAsia" w:hAnsi="宋体" w:cs="宋体"/>
          <w:sz w:val="21"/>
        </w:rPr>
        <w:t>2、“采购代理机构”系指浙江方舟工程造价咨询有限公司。</w:t>
      </w:r>
    </w:p>
    <w:p>
      <w:pPr>
        <w:pStyle w:val="15"/>
        <w:snapToGrid w:val="0"/>
        <w:spacing w:line="360" w:lineRule="auto"/>
        <w:ind w:firstLine="415" w:firstLineChars="198"/>
        <w:rPr>
          <w:rFonts w:hAnsi="宋体" w:cs="宋体"/>
          <w:sz w:val="21"/>
        </w:rPr>
      </w:pPr>
      <w:r>
        <w:rPr>
          <w:rFonts w:hint="eastAsia" w:hAnsi="宋体" w:cs="宋体"/>
          <w:sz w:val="21"/>
        </w:rPr>
        <w:t>3、“投标人”系指向采购代理机构提交投标文件的供应商。</w:t>
      </w:r>
    </w:p>
    <w:p>
      <w:pPr>
        <w:pStyle w:val="15"/>
        <w:snapToGrid w:val="0"/>
        <w:spacing w:line="360" w:lineRule="auto"/>
        <w:ind w:firstLine="415" w:firstLineChars="198"/>
        <w:rPr>
          <w:rFonts w:hAnsi="宋体" w:cs="宋体"/>
          <w:sz w:val="21"/>
        </w:rPr>
      </w:pPr>
      <w:r>
        <w:rPr>
          <w:rFonts w:hint="eastAsia" w:hAnsi="宋体" w:cs="宋体"/>
          <w:sz w:val="21"/>
        </w:rPr>
        <w:t>4、“中标人”系指经评审小组评定，且审查通过，并经公示无异议的合格投标人。</w:t>
      </w:r>
    </w:p>
    <w:p>
      <w:pPr>
        <w:pStyle w:val="15"/>
        <w:snapToGrid w:val="0"/>
        <w:spacing w:line="360" w:lineRule="auto"/>
        <w:ind w:firstLine="415" w:firstLineChars="198"/>
        <w:rPr>
          <w:rFonts w:hAnsi="宋体" w:cs="宋体"/>
          <w:sz w:val="21"/>
        </w:rPr>
      </w:pPr>
      <w:r>
        <w:rPr>
          <w:rFonts w:hint="eastAsia" w:hAnsi="宋体" w:cs="宋体"/>
          <w:sz w:val="21"/>
        </w:rPr>
        <w:t>5、“投标人代表”系指全权代表投标人参加本次投标活动并签署投标文件的人，如果投标人代表不是投标人的法定代表人，须提供《法定代表人授权函》。</w:t>
      </w:r>
    </w:p>
    <w:p>
      <w:pPr>
        <w:pStyle w:val="15"/>
        <w:snapToGrid w:val="0"/>
        <w:spacing w:line="360" w:lineRule="auto"/>
        <w:ind w:firstLine="415" w:firstLineChars="198"/>
        <w:rPr>
          <w:rFonts w:hAnsi="宋体" w:cs="宋体"/>
          <w:sz w:val="21"/>
        </w:rPr>
      </w:pPr>
      <w:r>
        <w:rPr>
          <w:rFonts w:hint="eastAsia" w:hAnsi="宋体" w:cs="宋体"/>
          <w:sz w:val="21"/>
        </w:rPr>
        <w:t>6、“产品”系指供方按招标文件规定，须向采购人提供的一切产品、保险、税金、备品备件、工具、手册及其它有关技术资料和材料。</w:t>
      </w:r>
    </w:p>
    <w:p>
      <w:pPr>
        <w:pStyle w:val="15"/>
        <w:snapToGrid w:val="0"/>
        <w:spacing w:line="360" w:lineRule="auto"/>
        <w:ind w:firstLine="415" w:firstLineChars="198"/>
        <w:rPr>
          <w:rFonts w:hAnsi="宋体" w:cs="宋体"/>
          <w:sz w:val="21"/>
        </w:rPr>
      </w:pPr>
      <w:r>
        <w:rPr>
          <w:rFonts w:hint="eastAsia" w:hAnsi="宋体" w:cs="宋体"/>
          <w:sz w:val="21"/>
        </w:rPr>
        <w:t>7、“服务”系指招标文件规定投标人须承担的安装、调试、技术协助、校准、培训、数据服务以及其他类似的义务。</w:t>
      </w:r>
    </w:p>
    <w:p>
      <w:pPr>
        <w:pStyle w:val="15"/>
        <w:snapToGrid w:val="0"/>
        <w:spacing w:line="360" w:lineRule="auto"/>
        <w:ind w:firstLine="415" w:firstLineChars="198"/>
        <w:rPr>
          <w:rFonts w:hAnsi="宋体" w:cs="宋体"/>
          <w:sz w:val="21"/>
        </w:rPr>
      </w:pPr>
      <w:r>
        <w:rPr>
          <w:rFonts w:hint="eastAsia" w:hAnsi="宋体" w:cs="宋体"/>
          <w:sz w:val="21"/>
        </w:rPr>
        <w:t>8、“项目”系指投标人按招标文件规定向采购人提供的产品和服务。</w:t>
      </w:r>
    </w:p>
    <w:p>
      <w:pPr>
        <w:pStyle w:val="15"/>
        <w:snapToGrid w:val="0"/>
        <w:spacing w:line="360" w:lineRule="auto"/>
        <w:ind w:firstLine="415" w:firstLineChars="198"/>
        <w:rPr>
          <w:rFonts w:hAnsi="宋体" w:cs="宋体"/>
          <w:sz w:val="21"/>
        </w:rPr>
      </w:pPr>
      <w:r>
        <w:rPr>
          <w:rFonts w:hint="eastAsia" w:hAnsi="宋体" w:cs="宋体"/>
          <w:sz w:val="21"/>
        </w:rPr>
        <w:t>9、“书面形式”包括信函、传真、快递、电报等。</w:t>
      </w:r>
    </w:p>
    <w:p>
      <w:pPr>
        <w:snapToGrid w:val="0"/>
        <w:spacing w:line="360" w:lineRule="auto"/>
        <w:ind w:right="-506" w:rightChars="-241" w:firstLine="420" w:firstLineChars="200"/>
        <w:jc w:val="left"/>
        <w:rPr>
          <w:rFonts w:ascii="Times New Roman" w:hAnsi="Times New Roman"/>
          <w:szCs w:val="21"/>
        </w:rPr>
      </w:pPr>
      <w:r>
        <w:rPr>
          <w:rFonts w:ascii="Times New Roman" w:hAnsi="Times New Roman"/>
          <w:szCs w:val="21"/>
        </w:rPr>
        <w:t>10.</w:t>
      </w:r>
      <w:r>
        <w:rPr>
          <w:rFonts w:ascii="Times New Roman" w:hAnsi="Times New Roman"/>
          <w:b/>
        </w:rPr>
        <w:t xml:space="preserve"> “</w:t>
      </w:r>
      <w:r>
        <w:rPr>
          <w:rFonts w:hint="eastAsia" w:ascii="宋体" w:hAnsi="宋体" w:cs="宋体"/>
          <w:kern w:val="0"/>
          <w:sz w:val="24"/>
          <w:szCs w:val="21"/>
        </w:rPr>
        <w:t>▲</w:t>
      </w:r>
      <w:r>
        <w:rPr>
          <w:rFonts w:ascii="Times New Roman" w:hAnsi="Times New Roman"/>
          <w:b/>
        </w:rPr>
        <w:t>”</w:t>
      </w:r>
      <w:r>
        <w:rPr>
          <w:rFonts w:ascii="Times New Roman" w:hAnsi="Times New Roman"/>
          <w:b/>
          <w:szCs w:val="21"/>
        </w:rPr>
        <w:t>系指实质性</w:t>
      </w:r>
      <w:r>
        <w:rPr>
          <w:rFonts w:ascii="Times New Roman" w:hAnsi="Times New Roman"/>
          <w:b/>
        </w:rPr>
        <w:t>要求条款，未响应的作无效标处理。</w:t>
      </w:r>
    </w:p>
    <w:p>
      <w:pPr>
        <w:snapToGrid w:val="0"/>
        <w:spacing w:line="360" w:lineRule="auto"/>
        <w:ind w:firstLine="422" w:firstLineChars="200"/>
        <w:jc w:val="left"/>
        <w:outlineLvl w:val="1"/>
        <w:rPr>
          <w:rFonts w:ascii="Times New Roman" w:hAnsi="Times New Roman"/>
          <w:b/>
          <w:szCs w:val="21"/>
        </w:rPr>
      </w:pPr>
      <w:r>
        <w:rPr>
          <w:rFonts w:ascii="Times New Roman" w:hAnsi="Times New Roman"/>
          <w:b/>
          <w:szCs w:val="21"/>
        </w:rPr>
        <w:t>（三）采购方式</w:t>
      </w:r>
    </w:p>
    <w:p>
      <w:pPr>
        <w:snapToGrid w:val="0"/>
        <w:spacing w:line="360" w:lineRule="auto"/>
        <w:ind w:right="-506" w:rightChars="-241" w:firstLine="420" w:firstLineChars="200"/>
        <w:jc w:val="left"/>
        <w:rPr>
          <w:rFonts w:ascii="Times New Roman" w:hAnsi="Times New Roman"/>
          <w:szCs w:val="21"/>
        </w:rPr>
      </w:pPr>
      <w:r>
        <w:rPr>
          <w:rFonts w:ascii="Times New Roman" w:hAnsi="Times New Roman"/>
          <w:szCs w:val="21"/>
        </w:rPr>
        <w:t>本次采购采用公开采购方式进行。</w:t>
      </w:r>
    </w:p>
    <w:p>
      <w:pPr>
        <w:pStyle w:val="43"/>
        <w:numPr>
          <w:ilvl w:val="0"/>
          <w:numId w:val="2"/>
        </w:numPr>
        <w:snapToGrid w:val="0"/>
        <w:spacing w:before="159" w:after="159" w:line="360" w:lineRule="auto"/>
        <w:rPr>
          <w:rFonts w:ascii="Times New Roman" w:hAnsi="Times New Roman"/>
          <w:b/>
        </w:rPr>
      </w:pPr>
      <w:r>
        <w:rPr>
          <w:rFonts w:ascii="Times New Roman" w:hAnsi="Times New Roman"/>
          <w:b/>
        </w:rPr>
        <w:t>采购预算</w:t>
      </w:r>
    </w:p>
    <w:p>
      <w:pPr>
        <w:snapToGrid w:val="0"/>
        <w:spacing w:line="360" w:lineRule="auto"/>
        <w:ind w:firstLine="517" w:firstLineChars="245"/>
        <w:jc w:val="left"/>
        <w:outlineLvl w:val="1"/>
        <w:rPr>
          <w:rFonts w:ascii="宋体" w:hAnsi="宋体" w:cs="宋体"/>
          <w:b/>
          <w:szCs w:val="21"/>
        </w:rPr>
      </w:pPr>
      <w:r>
        <w:rPr>
          <w:rFonts w:hint="eastAsia" w:ascii="宋体" w:hAnsi="宋体" w:cs="宋体"/>
          <w:b/>
          <w:szCs w:val="21"/>
        </w:rPr>
        <w:t>8</w:t>
      </w:r>
      <w:r>
        <w:rPr>
          <w:rFonts w:ascii="宋体" w:hAnsi="宋体" w:cs="宋体"/>
          <w:b/>
          <w:szCs w:val="21"/>
        </w:rPr>
        <w:t>94250</w:t>
      </w:r>
      <w:r>
        <w:rPr>
          <w:rFonts w:hint="eastAsia" w:ascii="宋体" w:hAnsi="宋体" w:cs="宋体"/>
          <w:b/>
          <w:szCs w:val="21"/>
        </w:rPr>
        <w:t>元，超过作投标无效处理。</w:t>
      </w:r>
    </w:p>
    <w:p>
      <w:pPr>
        <w:pStyle w:val="43"/>
        <w:numPr>
          <w:ilvl w:val="0"/>
          <w:numId w:val="3"/>
        </w:numPr>
        <w:snapToGrid w:val="0"/>
        <w:spacing w:before="159" w:after="159" w:line="360" w:lineRule="auto"/>
        <w:ind w:firstLine="417" w:firstLineChars="198"/>
        <w:rPr>
          <w:rFonts w:ascii="Times New Roman" w:hAnsi="Times New Roman"/>
          <w:b/>
        </w:rPr>
      </w:pPr>
      <w:r>
        <w:rPr>
          <w:rFonts w:ascii="Times New Roman" w:hAnsi="Times New Roman"/>
          <w:b/>
        </w:rPr>
        <w:t>费用</w:t>
      </w:r>
    </w:p>
    <w:p>
      <w:pPr>
        <w:snapToGrid w:val="0"/>
        <w:spacing w:line="360" w:lineRule="auto"/>
        <w:ind w:right="-506" w:rightChars="-241" w:firstLine="420" w:firstLineChars="200"/>
        <w:jc w:val="left"/>
        <w:rPr>
          <w:rFonts w:ascii="Times New Roman" w:hAnsi="Times New Roman"/>
          <w:szCs w:val="21"/>
        </w:rPr>
      </w:pPr>
      <w:r>
        <w:rPr>
          <w:rFonts w:ascii="Times New Roman" w:hAnsi="Times New Roman"/>
          <w:szCs w:val="21"/>
        </w:rPr>
        <w:t>不论采购结果如何，投标人均应自行承担所有与投标有关的全部费用（采购文件另有规定除外）。</w:t>
      </w:r>
    </w:p>
    <w:p>
      <w:pPr>
        <w:pStyle w:val="43"/>
        <w:numPr>
          <w:ilvl w:val="0"/>
          <w:numId w:val="3"/>
        </w:numPr>
        <w:snapToGrid w:val="0"/>
        <w:spacing w:before="159" w:after="159" w:line="360" w:lineRule="auto"/>
        <w:ind w:firstLine="417" w:firstLineChars="198"/>
        <w:rPr>
          <w:rFonts w:ascii="Times New Roman" w:hAnsi="Times New Roman"/>
          <w:b/>
        </w:rPr>
      </w:pPr>
      <w:r>
        <w:rPr>
          <w:rFonts w:ascii="Times New Roman" w:hAnsi="Times New Roman"/>
          <w:b/>
        </w:rPr>
        <w:t>联合体投标</w:t>
      </w:r>
    </w:p>
    <w:p>
      <w:pPr>
        <w:snapToGrid w:val="0"/>
        <w:spacing w:line="360" w:lineRule="auto"/>
        <w:ind w:right="-506" w:rightChars="-241" w:firstLine="420" w:firstLineChars="200"/>
        <w:jc w:val="left"/>
        <w:rPr>
          <w:rFonts w:ascii="Times New Roman" w:hAnsi="Times New Roman"/>
          <w:szCs w:val="21"/>
        </w:rPr>
      </w:pPr>
      <w:r>
        <w:rPr>
          <w:rFonts w:ascii="Times New Roman" w:hAnsi="Times New Roman"/>
          <w:szCs w:val="21"/>
        </w:rPr>
        <w:t>本项目不接受联合体投标。</w:t>
      </w:r>
    </w:p>
    <w:p>
      <w:pPr>
        <w:pStyle w:val="43"/>
        <w:numPr>
          <w:ilvl w:val="0"/>
          <w:numId w:val="3"/>
        </w:numPr>
        <w:snapToGrid w:val="0"/>
        <w:spacing w:before="159" w:after="159" w:line="360" w:lineRule="auto"/>
        <w:ind w:firstLine="417" w:firstLineChars="198"/>
        <w:rPr>
          <w:rFonts w:ascii="Times New Roman" w:hAnsi="Times New Roman"/>
          <w:b/>
        </w:rPr>
      </w:pPr>
      <w:r>
        <w:rPr>
          <w:rFonts w:ascii="Times New Roman" w:hAnsi="Times New Roman"/>
          <w:b/>
        </w:rPr>
        <w:t>转包与分包</w:t>
      </w:r>
    </w:p>
    <w:p>
      <w:pPr>
        <w:snapToGrid w:val="0"/>
        <w:spacing w:line="360" w:lineRule="auto"/>
        <w:ind w:firstLine="420" w:firstLineChars="200"/>
        <w:rPr>
          <w:rFonts w:ascii="Times New Roman" w:hAnsi="Times New Roman"/>
          <w:szCs w:val="21"/>
        </w:rPr>
      </w:pPr>
      <w:r>
        <w:rPr>
          <w:rFonts w:ascii="Times New Roman" w:hAnsi="Times New Roman"/>
          <w:szCs w:val="21"/>
        </w:rPr>
        <w:t>1.本项目不允许转包。</w:t>
      </w:r>
    </w:p>
    <w:p>
      <w:pPr>
        <w:pStyle w:val="3"/>
        <w:ind w:firstLine="420" w:firstLineChars="200"/>
        <w:rPr>
          <w:rFonts w:ascii="Times New Roman" w:hAnsi="Times New Roman"/>
          <w:szCs w:val="21"/>
        </w:rPr>
      </w:pPr>
      <w:r>
        <w:rPr>
          <w:rFonts w:ascii="Times New Roman" w:hAnsi="Times New Roman"/>
          <w:szCs w:val="21"/>
        </w:rPr>
        <w:t>2.本项目不允许分包。</w:t>
      </w:r>
    </w:p>
    <w:p>
      <w:pPr>
        <w:pStyle w:val="15"/>
        <w:snapToGrid w:val="0"/>
        <w:spacing w:line="360" w:lineRule="auto"/>
        <w:ind w:firstLine="422" w:firstLineChars="200"/>
        <w:rPr>
          <w:rFonts w:hAnsi="宋体" w:cs="宋体"/>
          <w:b/>
          <w:sz w:val="21"/>
        </w:rPr>
      </w:pPr>
      <w:r>
        <w:rPr>
          <w:rFonts w:hint="eastAsia" w:hAnsi="宋体" w:cs="宋体"/>
          <w:b/>
          <w:sz w:val="21"/>
        </w:rPr>
        <w:t>（八）答疑与澄清</w:t>
      </w:r>
    </w:p>
    <w:p>
      <w:pPr>
        <w:pStyle w:val="15"/>
        <w:snapToGrid w:val="0"/>
        <w:spacing w:line="360" w:lineRule="auto"/>
        <w:ind w:firstLine="420" w:firstLineChars="200"/>
        <w:rPr>
          <w:rFonts w:hAnsi="宋体" w:cs="宋体"/>
          <w:sz w:val="21"/>
        </w:rPr>
      </w:pPr>
      <w:r>
        <w:rPr>
          <w:rFonts w:hint="eastAsia" w:hAnsi="宋体" w:cs="宋体"/>
          <w:sz w:val="21"/>
        </w:rPr>
        <w:t>投标人如认为招标文件表述不清晰、存在歧视性、排他性或者其他违法内容的，应当于2021年7月28日17：00前，以书面形式要求采购人作出书面解释、澄清或者向采购人提出一次性书面质疑；采购人将组织答疑；答疑内容是招标文件的组成部份，并将以书面形式送达所有已依法获取采购文件的投标人。</w:t>
      </w:r>
    </w:p>
    <w:p>
      <w:pPr>
        <w:pStyle w:val="15"/>
        <w:snapToGrid w:val="0"/>
        <w:spacing w:line="360" w:lineRule="auto"/>
        <w:ind w:firstLine="420" w:firstLineChars="200"/>
        <w:rPr>
          <w:rFonts w:hAnsi="宋体" w:cs="宋体"/>
          <w:sz w:val="21"/>
        </w:rPr>
      </w:pPr>
      <w:r>
        <w:rPr>
          <w:rFonts w:hint="eastAsia" w:hAnsi="宋体" w:cs="宋体"/>
          <w:sz w:val="21"/>
        </w:rPr>
        <w:t>1、根据《中华人民共和国政府采购法实施条例》第五十三条：政府采购法第五十二条规定的供应商应知其权益受到损害之日，是指：</w:t>
      </w:r>
    </w:p>
    <w:p>
      <w:pPr>
        <w:pStyle w:val="15"/>
        <w:snapToGrid w:val="0"/>
        <w:spacing w:line="360" w:lineRule="auto"/>
        <w:ind w:firstLine="420" w:firstLineChars="200"/>
        <w:rPr>
          <w:rFonts w:hAnsi="宋体" w:cs="宋体"/>
          <w:sz w:val="21"/>
        </w:rPr>
      </w:pPr>
      <w:r>
        <w:rPr>
          <w:rFonts w:hint="eastAsia" w:hAnsi="宋体" w:cs="宋体"/>
          <w:sz w:val="21"/>
        </w:rPr>
        <w:t>①对可以质疑的采购文件提出质疑的，为收到采购文件之日或者采购文件公告期限届满之日；</w:t>
      </w:r>
    </w:p>
    <w:p>
      <w:pPr>
        <w:pStyle w:val="15"/>
        <w:snapToGrid w:val="0"/>
        <w:spacing w:line="360" w:lineRule="auto"/>
        <w:ind w:firstLine="420" w:firstLineChars="200"/>
        <w:rPr>
          <w:rFonts w:hAnsi="宋体" w:cs="宋体"/>
          <w:sz w:val="21"/>
        </w:rPr>
      </w:pPr>
      <w:r>
        <w:rPr>
          <w:rFonts w:hint="eastAsia" w:hAnsi="宋体" w:cs="宋体"/>
          <w:sz w:val="21"/>
        </w:rPr>
        <w:t>②对采购过程提出质疑的，为各采购程序环节结束之日；</w:t>
      </w:r>
    </w:p>
    <w:p>
      <w:pPr>
        <w:pStyle w:val="15"/>
        <w:snapToGrid w:val="0"/>
        <w:spacing w:line="360" w:lineRule="auto"/>
        <w:ind w:firstLine="420" w:firstLineChars="200"/>
        <w:rPr>
          <w:rFonts w:hAnsi="宋体" w:cs="宋体"/>
          <w:sz w:val="21"/>
        </w:rPr>
      </w:pPr>
      <w:r>
        <w:rPr>
          <w:rFonts w:hint="eastAsia" w:hAnsi="宋体" w:cs="宋体"/>
          <w:sz w:val="21"/>
        </w:rPr>
        <w:t>③对中标或者成交结果提出质疑的，为中标或者成交结果公告期限届满之日。</w:t>
      </w:r>
    </w:p>
    <w:p>
      <w:pPr>
        <w:pStyle w:val="15"/>
        <w:snapToGrid w:val="0"/>
        <w:spacing w:line="360" w:lineRule="auto"/>
        <w:ind w:firstLine="420" w:firstLineChars="200"/>
        <w:rPr>
          <w:rFonts w:hAnsi="宋体" w:cs="宋体"/>
          <w:sz w:val="21"/>
        </w:rPr>
      </w:pPr>
      <w:r>
        <w:rPr>
          <w:rFonts w:hint="eastAsia" w:hAnsi="宋体" w:cs="宋体"/>
          <w:sz w:val="21"/>
        </w:rPr>
        <w:t>2、质疑书应包括下列主要内容：</w:t>
      </w:r>
    </w:p>
    <w:p>
      <w:pPr>
        <w:pStyle w:val="15"/>
        <w:snapToGrid w:val="0"/>
        <w:spacing w:line="360" w:lineRule="auto"/>
        <w:ind w:firstLine="420" w:firstLineChars="200"/>
        <w:rPr>
          <w:rFonts w:hAnsi="宋体" w:cs="宋体"/>
          <w:sz w:val="21"/>
        </w:rPr>
      </w:pPr>
      <w:r>
        <w:rPr>
          <w:rFonts w:hint="eastAsia" w:hAnsi="宋体" w:cs="宋体"/>
          <w:sz w:val="21"/>
        </w:rPr>
        <w:t>①质疑人的名称、地址、邮政编码、联系人、联系电话，以及被质疑人名称及联系方式；</w:t>
      </w:r>
    </w:p>
    <w:p>
      <w:pPr>
        <w:pStyle w:val="15"/>
        <w:snapToGrid w:val="0"/>
        <w:spacing w:line="360" w:lineRule="auto"/>
        <w:ind w:firstLine="420" w:firstLineChars="200"/>
        <w:rPr>
          <w:rFonts w:hAnsi="宋体" w:cs="宋体"/>
          <w:sz w:val="21"/>
        </w:rPr>
      </w:pPr>
      <w:r>
        <w:rPr>
          <w:rFonts w:hint="eastAsia" w:hAnsi="宋体" w:cs="宋体"/>
          <w:sz w:val="21"/>
        </w:rPr>
        <w:t>②被质疑采购项目名称、编号及采购内容；</w:t>
      </w:r>
    </w:p>
    <w:p>
      <w:pPr>
        <w:pStyle w:val="15"/>
        <w:snapToGrid w:val="0"/>
        <w:spacing w:line="360" w:lineRule="auto"/>
        <w:ind w:firstLine="420" w:firstLineChars="200"/>
        <w:rPr>
          <w:rFonts w:hAnsi="宋体" w:cs="宋体"/>
          <w:sz w:val="21"/>
        </w:rPr>
      </w:pPr>
      <w:r>
        <w:rPr>
          <w:rFonts w:hint="eastAsia" w:hAnsi="宋体" w:cs="宋体"/>
          <w:sz w:val="21"/>
        </w:rPr>
        <w:t>③具体的质疑事项及事实依据；</w:t>
      </w:r>
    </w:p>
    <w:p>
      <w:pPr>
        <w:pStyle w:val="15"/>
        <w:snapToGrid w:val="0"/>
        <w:spacing w:line="360" w:lineRule="auto"/>
        <w:ind w:firstLine="420" w:firstLineChars="200"/>
        <w:rPr>
          <w:rFonts w:hAnsi="宋体" w:cs="宋体"/>
          <w:sz w:val="21"/>
        </w:rPr>
      </w:pPr>
      <w:r>
        <w:rPr>
          <w:rFonts w:hint="eastAsia" w:hAnsi="宋体" w:cs="宋体"/>
          <w:sz w:val="21"/>
        </w:rPr>
        <w:t>④认为自己合法权益受到损害或可能受到损害的相关证据材料；</w:t>
      </w:r>
    </w:p>
    <w:p>
      <w:pPr>
        <w:pStyle w:val="15"/>
        <w:snapToGrid w:val="0"/>
        <w:spacing w:line="360" w:lineRule="auto"/>
        <w:ind w:firstLine="420" w:firstLineChars="200"/>
        <w:rPr>
          <w:rFonts w:hAnsi="宋体" w:cs="宋体"/>
          <w:sz w:val="21"/>
        </w:rPr>
      </w:pPr>
      <w:r>
        <w:rPr>
          <w:rFonts w:hint="eastAsia" w:hAnsi="宋体" w:cs="宋体"/>
          <w:sz w:val="21"/>
        </w:rPr>
        <w:t>⑤提出质疑的日期。</w:t>
      </w:r>
    </w:p>
    <w:p>
      <w:pPr>
        <w:pStyle w:val="15"/>
        <w:snapToGrid w:val="0"/>
        <w:spacing w:line="360" w:lineRule="auto"/>
        <w:ind w:firstLine="420" w:firstLineChars="200"/>
        <w:rPr>
          <w:rFonts w:hAnsi="宋体" w:cs="宋体"/>
          <w:sz w:val="21"/>
        </w:rPr>
      </w:pPr>
      <w:r>
        <w:rPr>
          <w:rFonts w:hint="eastAsia" w:hAnsi="宋体" w:cs="宋体"/>
          <w:sz w:val="21"/>
        </w:rPr>
        <w:t>3、采购人或者采购代理机构应当在3个工作日内对供应商依法提出的询问作出答复。采购人或者采购代理机构应当在7个工作日内对供应商依法提出的质疑作出答复。供应商提出的询问或者质疑超出采购人对采购代理机构委托授权范围的，采购代理机构应当告知供应商向采购人提出。政府采购评审专家应当配合采购人或者采购代理机构答复供应商的询问和质疑。</w:t>
      </w:r>
    </w:p>
    <w:p>
      <w:pPr>
        <w:pStyle w:val="15"/>
        <w:snapToGrid w:val="0"/>
        <w:spacing w:line="360" w:lineRule="auto"/>
        <w:ind w:firstLine="420" w:firstLineChars="200"/>
        <w:rPr>
          <w:rFonts w:hAnsi="宋体" w:cs="宋体"/>
          <w:sz w:val="21"/>
        </w:rPr>
      </w:pPr>
      <w:r>
        <w:rPr>
          <w:rFonts w:hint="eastAsia" w:hAnsi="宋体" w:cs="宋体"/>
          <w:sz w:val="21"/>
        </w:rPr>
        <w:t>4、质疑供应商对采购人、采购代理机构的答复不满意或者采购人、采购代理机构未在规定的时间内作出答复的，可以在答复期满后十五个工作日内向同级政府采购监督管理部门投诉。</w:t>
      </w:r>
    </w:p>
    <w:p>
      <w:pPr>
        <w:pStyle w:val="15"/>
        <w:snapToGrid w:val="0"/>
        <w:spacing w:line="360" w:lineRule="auto"/>
        <w:ind w:firstLine="420" w:firstLineChars="200"/>
        <w:rPr>
          <w:rFonts w:hAnsi="宋体" w:cs="宋体"/>
          <w:b/>
          <w:sz w:val="21"/>
        </w:rPr>
      </w:pPr>
      <w:r>
        <w:rPr>
          <w:rFonts w:hint="eastAsia" w:hAnsi="宋体" w:cs="宋体"/>
          <w:sz w:val="21"/>
        </w:rPr>
        <w:t>5、供应商质疑、投诉应当有明确的请求和必要的证明材料。供应商投诉的事项不得超出已质疑事项的范围。投诉人捏造事实、提供虚假材料或者以非法手段取得证明材料进行投诉的，财政部门应当予以驳回。财政部门受理投诉后，投诉人书面申请撤回投诉的，财政部门应当终止投诉处理程序。</w:t>
      </w:r>
    </w:p>
    <w:p>
      <w:pPr>
        <w:snapToGrid w:val="0"/>
        <w:spacing w:line="360" w:lineRule="auto"/>
        <w:ind w:firstLine="422" w:firstLineChars="200"/>
        <w:jc w:val="left"/>
        <w:rPr>
          <w:rFonts w:ascii="宋体" w:hAnsi="宋体" w:cs="宋体"/>
          <w:b/>
          <w:szCs w:val="21"/>
        </w:rPr>
      </w:pPr>
      <w:r>
        <w:rPr>
          <w:rFonts w:hint="eastAsia" w:ascii="宋体" w:hAnsi="宋体" w:cs="宋体"/>
          <w:b/>
          <w:szCs w:val="21"/>
        </w:rPr>
        <w:t>（九）信用记录：</w:t>
      </w:r>
    </w:p>
    <w:p>
      <w:pPr>
        <w:snapToGrid w:val="0"/>
        <w:spacing w:line="360" w:lineRule="auto"/>
        <w:ind w:firstLine="420" w:firstLineChars="200"/>
        <w:jc w:val="left"/>
        <w:rPr>
          <w:rFonts w:ascii="宋体" w:hAnsi="宋体" w:cs="宋体"/>
          <w:szCs w:val="21"/>
        </w:rPr>
      </w:pPr>
      <w:r>
        <w:rPr>
          <w:rFonts w:hint="eastAsia" w:ascii="宋体" w:hAnsi="宋体" w:cs="宋体"/>
          <w:szCs w:val="21"/>
        </w:rPr>
        <w:t>根据财库[2016]125号《关于在政府采购活动中查询及使用信用记录有关问题的通知》要求，采购代理机构会对供应商信用记录进行查询并甄别。</w:t>
      </w:r>
    </w:p>
    <w:p>
      <w:pPr>
        <w:snapToGrid w:val="0"/>
        <w:spacing w:line="360" w:lineRule="auto"/>
        <w:ind w:firstLine="420" w:firstLineChars="200"/>
        <w:jc w:val="left"/>
        <w:rPr>
          <w:rFonts w:ascii="宋体" w:hAnsi="宋体" w:cs="宋体"/>
          <w:szCs w:val="21"/>
        </w:rPr>
      </w:pPr>
      <w:r>
        <w:rPr>
          <w:rFonts w:hint="eastAsia" w:ascii="宋体" w:hAnsi="宋体" w:cs="宋体"/>
          <w:szCs w:val="21"/>
        </w:rPr>
        <w:t>1、信用信息查询的截止时点：投标截止时间前查询；</w:t>
      </w:r>
    </w:p>
    <w:p>
      <w:pPr>
        <w:snapToGrid w:val="0"/>
        <w:spacing w:line="360" w:lineRule="auto"/>
        <w:ind w:firstLine="420" w:firstLineChars="200"/>
        <w:jc w:val="left"/>
        <w:rPr>
          <w:rFonts w:ascii="宋体" w:hAnsi="宋体" w:cs="宋体"/>
          <w:szCs w:val="21"/>
        </w:rPr>
      </w:pPr>
      <w:r>
        <w:rPr>
          <w:rFonts w:hint="eastAsia" w:ascii="宋体" w:hAnsi="宋体" w:cs="宋体"/>
          <w:szCs w:val="21"/>
        </w:rPr>
        <w:t>2、查询渠道：</w:t>
      </w:r>
    </w:p>
    <w:p>
      <w:pPr>
        <w:snapToGrid w:val="0"/>
        <w:spacing w:line="360" w:lineRule="auto"/>
        <w:ind w:firstLine="420" w:firstLineChars="200"/>
        <w:jc w:val="left"/>
        <w:rPr>
          <w:rFonts w:ascii="宋体" w:hAnsi="宋体" w:cs="宋体"/>
          <w:szCs w:val="21"/>
        </w:rPr>
      </w:pPr>
      <w:r>
        <w:rPr>
          <w:rFonts w:hint="eastAsia" w:ascii="宋体" w:hAnsi="宋体" w:cs="宋体"/>
          <w:szCs w:val="21"/>
        </w:rPr>
        <w:t>信用中国（www.creditchina.gov.cn）；</w:t>
      </w:r>
    </w:p>
    <w:p>
      <w:pPr>
        <w:snapToGrid w:val="0"/>
        <w:spacing w:line="360" w:lineRule="auto"/>
        <w:ind w:firstLine="420" w:firstLineChars="200"/>
        <w:jc w:val="left"/>
        <w:rPr>
          <w:rFonts w:ascii="宋体" w:hAnsi="宋体" w:cs="宋体"/>
          <w:szCs w:val="21"/>
        </w:rPr>
      </w:pPr>
      <w:r>
        <w:rPr>
          <w:rFonts w:hint="eastAsia" w:ascii="宋体" w:hAnsi="宋体" w:cs="宋体"/>
          <w:szCs w:val="21"/>
        </w:rPr>
        <w:t>中国政府采购网（www.ccgp.gov.cn）；</w:t>
      </w:r>
    </w:p>
    <w:p>
      <w:pPr>
        <w:snapToGrid w:val="0"/>
        <w:spacing w:line="360" w:lineRule="auto"/>
        <w:ind w:firstLine="420" w:firstLineChars="200"/>
        <w:jc w:val="left"/>
        <w:rPr>
          <w:rFonts w:ascii="宋体" w:hAnsi="宋体" w:cs="宋体"/>
          <w:szCs w:val="21"/>
        </w:rPr>
      </w:pPr>
      <w:r>
        <w:rPr>
          <w:rFonts w:hint="eastAsia" w:ascii="宋体" w:hAnsi="宋体" w:cs="宋体"/>
          <w:szCs w:val="21"/>
        </w:rPr>
        <w:t>3、信用信息查询记录和证据留存具体方式：采购代理机构经办人和监督人员将查询网页打印、签字与其他采购文件一并保存；</w:t>
      </w:r>
    </w:p>
    <w:p>
      <w:pPr>
        <w:snapToGrid w:val="0"/>
        <w:spacing w:line="360" w:lineRule="auto"/>
        <w:ind w:firstLine="420" w:firstLineChars="200"/>
        <w:jc w:val="left"/>
        <w:rPr>
          <w:rFonts w:ascii="宋体" w:hAnsi="宋体" w:cs="宋体"/>
          <w:szCs w:val="21"/>
        </w:rPr>
      </w:pPr>
      <w:r>
        <w:rPr>
          <w:rFonts w:hint="eastAsia" w:ascii="宋体" w:hAnsi="宋体" w:cs="宋体"/>
          <w:szCs w:val="21"/>
        </w:rPr>
        <w:t>4、信用信息的使用规则：投标人存在不良信用记录的，其投标将被作为无效投标被拒绝。</w:t>
      </w:r>
    </w:p>
    <w:p>
      <w:pPr>
        <w:snapToGrid w:val="0"/>
        <w:spacing w:line="360" w:lineRule="auto"/>
        <w:ind w:firstLine="420" w:firstLineChars="200"/>
        <w:jc w:val="left"/>
        <w:rPr>
          <w:rFonts w:ascii="宋体" w:hAnsi="宋体" w:cs="宋体"/>
          <w:szCs w:val="21"/>
        </w:rPr>
      </w:pPr>
      <w:r>
        <w:rPr>
          <w:rFonts w:hint="eastAsia" w:ascii="宋体" w:hAnsi="宋体" w:cs="宋体"/>
          <w:szCs w:val="21"/>
        </w:rPr>
        <w:t>不良信用记录指：被列入失信被执行人、重大税收违法案件当事人名单、政府采购严重违法失信行为记录名单。</w:t>
      </w:r>
    </w:p>
    <w:p>
      <w:pPr>
        <w:snapToGrid w:val="0"/>
        <w:spacing w:line="360" w:lineRule="auto"/>
        <w:ind w:firstLine="422" w:firstLineChars="200"/>
        <w:jc w:val="left"/>
        <w:rPr>
          <w:rFonts w:ascii="宋体" w:hAnsi="宋体" w:cs="宋体"/>
          <w:b/>
          <w:bCs/>
          <w:szCs w:val="21"/>
        </w:rPr>
      </w:pPr>
      <w:r>
        <w:rPr>
          <w:rFonts w:hint="eastAsia" w:ascii="宋体" w:hAnsi="宋体" w:cs="宋体"/>
          <w:b/>
          <w:bCs/>
          <w:szCs w:val="21"/>
        </w:rPr>
        <w:t>（十）信贷政策</w:t>
      </w:r>
    </w:p>
    <w:p>
      <w:pPr>
        <w:spacing w:line="588" w:lineRule="exact"/>
        <w:ind w:firstLine="420" w:firstLineChars="200"/>
        <w:rPr>
          <w:rFonts w:ascii="宋体" w:hAnsi="宋体" w:cs="宋体"/>
          <w:kern w:val="0"/>
          <w:szCs w:val="21"/>
        </w:rPr>
      </w:pPr>
      <w:r>
        <w:rPr>
          <w:rFonts w:hint="eastAsia" w:ascii="宋体" w:hAnsi="宋体" w:cs="宋体"/>
          <w:kern w:val="0"/>
          <w:szCs w:val="21"/>
        </w:rPr>
        <w:t>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Style w:val="2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3"/>
        <w:gridCol w:w="3547"/>
        <w:gridCol w:w="1559"/>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7" w:type="dxa"/>
            <w:gridSpan w:val="4"/>
          </w:tcPr>
          <w:p>
            <w:pPr>
              <w:jc w:val="center"/>
              <w:rPr>
                <w:rFonts w:ascii="宋体" w:hAnsi="宋体" w:cs="宋体"/>
                <w:kern w:val="0"/>
                <w:szCs w:val="21"/>
              </w:rPr>
            </w:pPr>
            <w:r>
              <w:rPr>
                <w:rFonts w:hint="eastAsia" w:ascii="宋体" w:hAnsi="宋体" w:cs="宋体"/>
                <w:kern w:val="0"/>
                <w:szCs w:val="21"/>
              </w:rPr>
              <w:t>舟山市政府采购信用融资合作银行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373" w:type="dxa"/>
            <w:vAlign w:val="center"/>
          </w:tcPr>
          <w:p>
            <w:pPr>
              <w:pStyle w:val="67"/>
              <w:spacing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银行名称</w:t>
            </w:r>
          </w:p>
        </w:tc>
        <w:tc>
          <w:tcPr>
            <w:tcW w:w="3547" w:type="dxa"/>
            <w:vAlign w:val="center"/>
          </w:tcPr>
          <w:p>
            <w:pPr>
              <w:pStyle w:val="67"/>
              <w:spacing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产品特点</w:t>
            </w:r>
          </w:p>
        </w:tc>
        <w:tc>
          <w:tcPr>
            <w:tcW w:w="1559" w:type="dxa"/>
            <w:vAlign w:val="center"/>
          </w:tcPr>
          <w:p>
            <w:pPr>
              <w:pStyle w:val="67"/>
              <w:spacing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经办人</w:t>
            </w:r>
          </w:p>
        </w:tc>
        <w:tc>
          <w:tcPr>
            <w:tcW w:w="1418" w:type="dxa"/>
            <w:vAlign w:val="center"/>
          </w:tcPr>
          <w:p>
            <w:pPr>
              <w:jc w:val="center"/>
              <w:rPr>
                <w:rFonts w:ascii="宋体" w:hAnsi="宋体" w:cs="宋体"/>
                <w:kern w:val="0"/>
                <w:szCs w:val="21"/>
              </w:rPr>
            </w:pPr>
            <w:r>
              <w:rPr>
                <w:rFonts w:hint="eastAsia" w:ascii="宋体" w:hAnsi="宋体" w:cs="宋体"/>
                <w:kern w:val="0"/>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67"/>
              <w:spacing w:line="360" w:lineRule="auto"/>
              <w:ind w:firstLine="0" w:firstLineChars="0"/>
              <w:rPr>
                <w:rFonts w:ascii="宋体" w:hAnsi="宋体" w:eastAsia="宋体" w:cs="宋体"/>
                <w:kern w:val="0"/>
                <w:sz w:val="21"/>
                <w:szCs w:val="21"/>
              </w:rPr>
            </w:pPr>
            <w:r>
              <w:rPr>
                <w:rFonts w:hint="eastAsia" w:ascii="宋体" w:hAnsi="宋体" w:eastAsia="宋体" w:cs="宋体"/>
                <w:kern w:val="0"/>
                <w:sz w:val="21"/>
                <w:szCs w:val="21"/>
              </w:rPr>
              <w:t>中国工商银行股份有限公司舟山分行</w:t>
            </w:r>
          </w:p>
        </w:tc>
        <w:tc>
          <w:tcPr>
            <w:tcW w:w="3547" w:type="dxa"/>
          </w:tcPr>
          <w:p>
            <w:pPr>
              <w:rPr>
                <w:rFonts w:ascii="宋体" w:hAnsi="宋体" w:cs="宋体"/>
                <w:kern w:val="0"/>
                <w:szCs w:val="21"/>
              </w:rPr>
            </w:pPr>
            <w:r>
              <w:rPr>
                <w:rFonts w:hint="eastAsia" w:ascii="宋体" w:hAnsi="宋体" w:cs="宋体"/>
                <w:kern w:val="0"/>
                <w:szCs w:val="21"/>
              </w:rPr>
              <w:t>“采购贷”业务是指符合条件的中小企业供应商客户，在其取得政府采购合同后，以合同项下的预期销货款抵押为基础，为其提供的融资业务。融资额度根据政府采购合同实有金额（合同哦金额减去预收货款）及供应商资金需求确定，融资本息最高可达政府采购合同实有金额的100%。</w:t>
            </w:r>
          </w:p>
        </w:tc>
        <w:tc>
          <w:tcPr>
            <w:tcW w:w="1559" w:type="dxa"/>
            <w:vAlign w:val="center"/>
          </w:tcPr>
          <w:p>
            <w:pPr>
              <w:pStyle w:val="67"/>
              <w:spacing w:line="360" w:lineRule="auto"/>
              <w:ind w:firstLine="0" w:firstLineChars="0"/>
              <w:jc w:val="center"/>
              <w:rPr>
                <w:rFonts w:ascii="宋体" w:hAnsi="宋体" w:eastAsia="宋体" w:cs="宋体"/>
                <w:kern w:val="0"/>
                <w:sz w:val="21"/>
                <w:szCs w:val="21"/>
              </w:rPr>
            </w:pPr>
            <w:r>
              <w:rPr>
                <w:rFonts w:hint="eastAsia" w:ascii="宋体" w:hAnsi="宋体" w:eastAsia="宋体" w:cs="宋体"/>
                <w:kern w:val="0"/>
                <w:sz w:val="21"/>
                <w:szCs w:val="21"/>
              </w:rPr>
              <w:t>柳超颖</w:t>
            </w:r>
          </w:p>
        </w:tc>
        <w:tc>
          <w:tcPr>
            <w:tcW w:w="1418" w:type="dxa"/>
            <w:vAlign w:val="center"/>
          </w:tcPr>
          <w:p>
            <w:pPr>
              <w:jc w:val="center"/>
              <w:rPr>
                <w:rFonts w:ascii="宋体" w:hAnsi="宋体" w:cs="宋体"/>
                <w:kern w:val="0"/>
                <w:szCs w:val="21"/>
              </w:rPr>
            </w:pPr>
            <w:r>
              <w:rPr>
                <w:rFonts w:hint="eastAsia" w:ascii="宋体" w:hAnsi="宋体" w:cs="宋体"/>
                <w:kern w:val="0"/>
                <w:szCs w:val="21"/>
              </w:rPr>
              <w:t>15858076468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2373" w:type="dxa"/>
          </w:tcPr>
          <w:p>
            <w:pPr>
              <w:rPr>
                <w:rFonts w:ascii="宋体" w:hAnsi="宋体" w:cs="宋体"/>
                <w:kern w:val="0"/>
                <w:szCs w:val="21"/>
              </w:rPr>
            </w:pPr>
            <w:r>
              <w:rPr>
                <w:rFonts w:hint="eastAsia" w:ascii="宋体" w:hAnsi="宋体" w:cs="宋体"/>
                <w:kern w:val="0"/>
                <w:szCs w:val="21"/>
              </w:rPr>
              <w:t>中国建设银行股份有限公司舟山分行</w:t>
            </w:r>
          </w:p>
        </w:tc>
        <w:tc>
          <w:tcPr>
            <w:tcW w:w="3547" w:type="dxa"/>
          </w:tcPr>
          <w:p>
            <w:pPr>
              <w:rPr>
                <w:rFonts w:ascii="宋体" w:hAnsi="宋体" w:cs="宋体"/>
                <w:kern w:val="0"/>
                <w:szCs w:val="21"/>
              </w:rPr>
            </w:pPr>
            <w:r>
              <w:rPr>
                <w:rFonts w:hint="eastAsia" w:ascii="宋体" w:hAnsi="宋体" w:cs="宋体"/>
                <w:kern w:val="0"/>
                <w:szCs w:val="21"/>
              </w:rPr>
              <w:t>1.快速便捷：全流程线上操作，通过浙江省政府采购网数据审核信用额度，建行供应链平台快速放款。2.申请额度高：单笔融资额度最高可达政府采购合同金额的90%，单户额度最高可达3000万。3.无需额外抵押：以浙江省政府采购网备案公示的政府采购合同进行融资，无需额外抵押担保。4.利率优惠：给予流动资金贷款最优惠利率。</w:t>
            </w:r>
          </w:p>
        </w:tc>
        <w:tc>
          <w:tcPr>
            <w:tcW w:w="1559" w:type="dxa"/>
            <w:vAlign w:val="center"/>
          </w:tcPr>
          <w:p>
            <w:pPr>
              <w:jc w:val="center"/>
              <w:rPr>
                <w:rFonts w:ascii="宋体" w:hAnsi="宋体" w:cs="宋体"/>
                <w:kern w:val="0"/>
                <w:szCs w:val="21"/>
              </w:rPr>
            </w:pPr>
            <w:r>
              <w:rPr>
                <w:rFonts w:hint="eastAsia" w:ascii="宋体" w:hAnsi="宋体" w:cs="宋体"/>
                <w:kern w:val="0"/>
                <w:szCs w:val="21"/>
              </w:rPr>
              <w:t>普陀片区：蔡妮妮</w:t>
            </w:r>
          </w:p>
          <w:p>
            <w:pPr>
              <w:jc w:val="center"/>
              <w:rPr>
                <w:rFonts w:ascii="宋体" w:hAnsi="宋体" w:cs="宋体"/>
                <w:kern w:val="0"/>
                <w:szCs w:val="21"/>
              </w:rPr>
            </w:pPr>
            <w:r>
              <w:rPr>
                <w:rFonts w:hint="eastAsia" w:ascii="宋体" w:hAnsi="宋体" w:cs="宋体"/>
                <w:kern w:val="0"/>
                <w:szCs w:val="21"/>
              </w:rPr>
              <w:t>定海片区：杨莹</w:t>
            </w:r>
          </w:p>
          <w:p>
            <w:pPr>
              <w:jc w:val="center"/>
              <w:rPr>
                <w:rFonts w:ascii="宋体" w:hAnsi="宋体" w:cs="宋体"/>
                <w:kern w:val="0"/>
                <w:szCs w:val="21"/>
              </w:rPr>
            </w:pPr>
            <w:r>
              <w:rPr>
                <w:rFonts w:hint="eastAsia" w:ascii="宋体" w:hAnsi="宋体" w:cs="宋体"/>
                <w:kern w:val="0"/>
                <w:szCs w:val="21"/>
              </w:rPr>
              <w:t>自贸区片区：郑佳奇</w:t>
            </w:r>
          </w:p>
        </w:tc>
        <w:tc>
          <w:tcPr>
            <w:tcW w:w="1418" w:type="dxa"/>
            <w:vAlign w:val="center"/>
          </w:tcPr>
          <w:p>
            <w:pPr>
              <w:jc w:val="center"/>
              <w:rPr>
                <w:rFonts w:ascii="宋体" w:hAnsi="宋体" w:cs="宋体"/>
                <w:kern w:val="0"/>
                <w:szCs w:val="21"/>
              </w:rPr>
            </w:pPr>
            <w:r>
              <w:rPr>
                <w:rFonts w:hint="eastAsia" w:ascii="宋体" w:hAnsi="宋体" w:cs="宋体"/>
                <w:kern w:val="0"/>
                <w:szCs w:val="21"/>
              </w:rPr>
              <w:t>普陀片区：13957201791</w:t>
            </w:r>
          </w:p>
          <w:p>
            <w:pPr>
              <w:jc w:val="center"/>
              <w:rPr>
                <w:rFonts w:ascii="宋体" w:hAnsi="宋体" w:cs="宋体"/>
                <w:kern w:val="0"/>
                <w:szCs w:val="21"/>
              </w:rPr>
            </w:pPr>
            <w:r>
              <w:rPr>
                <w:rFonts w:hint="eastAsia" w:ascii="宋体" w:hAnsi="宋体" w:cs="宋体"/>
                <w:kern w:val="0"/>
                <w:szCs w:val="21"/>
              </w:rPr>
              <w:t>定海片区：13655803997</w:t>
            </w:r>
          </w:p>
          <w:p>
            <w:pPr>
              <w:jc w:val="center"/>
              <w:rPr>
                <w:rFonts w:ascii="宋体" w:hAnsi="宋体" w:cs="宋体"/>
                <w:kern w:val="0"/>
                <w:szCs w:val="21"/>
              </w:rPr>
            </w:pPr>
            <w:r>
              <w:rPr>
                <w:rFonts w:hint="eastAsia" w:ascii="宋体" w:hAnsi="宋体" w:cs="宋体"/>
                <w:kern w:val="0"/>
                <w:szCs w:val="21"/>
              </w:rPr>
              <w:t>自贸区片区：13857208408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67"/>
              <w:spacing w:line="360" w:lineRule="auto"/>
              <w:ind w:firstLine="0" w:firstLineChars="0"/>
              <w:rPr>
                <w:rFonts w:ascii="宋体" w:hAnsi="宋体" w:eastAsia="宋体" w:cs="宋体"/>
                <w:kern w:val="0"/>
                <w:sz w:val="21"/>
                <w:szCs w:val="21"/>
              </w:rPr>
            </w:pPr>
            <w:r>
              <w:rPr>
                <w:rFonts w:hint="eastAsia" w:ascii="宋体" w:hAnsi="宋体" w:eastAsia="宋体" w:cs="宋体"/>
                <w:kern w:val="0"/>
                <w:sz w:val="21"/>
                <w:szCs w:val="21"/>
              </w:rPr>
              <w:t>杭州银行股份有限公司舟山市分行</w:t>
            </w:r>
          </w:p>
        </w:tc>
        <w:tc>
          <w:tcPr>
            <w:tcW w:w="3547" w:type="dxa"/>
          </w:tcPr>
          <w:p>
            <w:pPr>
              <w:rPr>
                <w:rFonts w:ascii="宋体" w:hAnsi="宋体" w:cs="宋体"/>
                <w:kern w:val="0"/>
                <w:szCs w:val="21"/>
              </w:rPr>
            </w:pPr>
            <w:r>
              <w:rPr>
                <w:rFonts w:hint="eastAsia" w:ascii="宋体" w:hAnsi="宋体" w:cs="宋体"/>
                <w:kern w:val="0"/>
                <w:szCs w:val="21"/>
              </w:rPr>
              <w:t>“云采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1559" w:type="dxa"/>
            <w:vAlign w:val="center"/>
          </w:tcPr>
          <w:p>
            <w:pPr>
              <w:jc w:val="center"/>
              <w:rPr>
                <w:rFonts w:ascii="宋体" w:hAnsi="宋体" w:cs="宋体"/>
                <w:kern w:val="0"/>
                <w:szCs w:val="21"/>
              </w:rPr>
            </w:pPr>
            <w:r>
              <w:rPr>
                <w:rFonts w:hint="eastAsia" w:ascii="宋体" w:hAnsi="宋体" w:cs="宋体"/>
                <w:kern w:val="0"/>
                <w:szCs w:val="21"/>
              </w:rPr>
              <w:t>方经理</w:t>
            </w:r>
          </w:p>
        </w:tc>
        <w:tc>
          <w:tcPr>
            <w:tcW w:w="1418" w:type="dxa"/>
            <w:vAlign w:val="center"/>
          </w:tcPr>
          <w:p>
            <w:pPr>
              <w:jc w:val="center"/>
              <w:rPr>
                <w:rFonts w:ascii="宋体" w:hAnsi="宋体" w:cs="宋体"/>
                <w:kern w:val="0"/>
                <w:szCs w:val="21"/>
              </w:rPr>
            </w:pPr>
            <w:r>
              <w:rPr>
                <w:rFonts w:hint="eastAsia" w:ascii="宋体" w:hAnsi="宋体" w:cs="宋体"/>
                <w:kern w:val="0"/>
                <w:szCs w:val="21"/>
              </w:rPr>
              <w:t>0580-2185201、18205800451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67"/>
              <w:spacing w:line="360" w:lineRule="auto"/>
              <w:ind w:firstLine="0" w:firstLineChars="0"/>
              <w:rPr>
                <w:rFonts w:ascii="宋体" w:hAnsi="宋体" w:eastAsia="宋体" w:cs="宋体"/>
                <w:kern w:val="0"/>
                <w:sz w:val="21"/>
                <w:szCs w:val="21"/>
              </w:rPr>
            </w:pPr>
            <w:r>
              <w:rPr>
                <w:rFonts w:hint="eastAsia" w:ascii="宋体" w:hAnsi="宋体" w:eastAsia="宋体" w:cs="宋体"/>
                <w:kern w:val="0"/>
                <w:sz w:val="21"/>
                <w:szCs w:val="21"/>
              </w:rPr>
              <w:t>招商银行股份有限公司浙江自贸试验区舟山分行</w:t>
            </w:r>
          </w:p>
        </w:tc>
        <w:tc>
          <w:tcPr>
            <w:tcW w:w="3547" w:type="dxa"/>
          </w:tcPr>
          <w:p>
            <w:pPr>
              <w:rPr>
                <w:rFonts w:ascii="宋体" w:hAnsi="宋体" w:cs="宋体"/>
                <w:kern w:val="0"/>
                <w:szCs w:val="21"/>
              </w:rPr>
            </w:pPr>
            <w:r>
              <w:rPr>
                <w:rFonts w:hint="eastAsia" w:ascii="宋体" w:hAnsi="宋体" w:cs="宋体"/>
                <w:kern w:val="0"/>
                <w:szCs w:val="21"/>
              </w:rPr>
              <w:t>小企业政采贷是招商银行为政府采购中标供应商提供的用于履行政府采购合同的专属融资产品。优势：一、额度高。根据企业上一年或近一年获得政府采购中标及成交通知的一定比例给予额度，最高可达3000万元。二、操作简便、模式丰富。客户通过我行一网通等渠道在线申请。支持线上用款，按日计息，随借随还。三、担保方式灵活。实际控制人夫妇担保＋融资项下应收账款质押作为辅助，无需抵押，一次性签署合作协议。</w:t>
            </w:r>
          </w:p>
        </w:tc>
        <w:tc>
          <w:tcPr>
            <w:tcW w:w="1559" w:type="dxa"/>
            <w:vAlign w:val="center"/>
          </w:tcPr>
          <w:p>
            <w:pPr>
              <w:jc w:val="center"/>
              <w:rPr>
                <w:rFonts w:ascii="宋体" w:hAnsi="宋体" w:cs="宋体"/>
                <w:kern w:val="0"/>
                <w:szCs w:val="21"/>
              </w:rPr>
            </w:pPr>
            <w:r>
              <w:rPr>
                <w:rFonts w:hint="eastAsia" w:ascii="宋体" w:hAnsi="宋体" w:cs="宋体"/>
                <w:kern w:val="0"/>
                <w:szCs w:val="21"/>
              </w:rPr>
              <w:t>李玲</w:t>
            </w:r>
          </w:p>
        </w:tc>
        <w:tc>
          <w:tcPr>
            <w:tcW w:w="1418" w:type="dxa"/>
            <w:vAlign w:val="center"/>
          </w:tcPr>
          <w:p>
            <w:pPr>
              <w:jc w:val="center"/>
              <w:rPr>
                <w:rFonts w:ascii="宋体" w:hAnsi="宋体" w:cs="宋体"/>
                <w:kern w:val="0"/>
                <w:szCs w:val="21"/>
              </w:rPr>
            </w:pPr>
            <w:r>
              <w:rPr>
                <w:rFonts w:hint="eastAsia" w:ascii="宋体" w:hAnsi="宋体" w:cs="宋体"/>
                <w:kern w:val="0"/>
                <w:szCs w:val="21"/>
              </w:rPr>
              <w:t>0580-2061710、13957227971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2373" w:type="dxa"/>
          </w:tcPr>
          <w:p>
            <w:pPr>
              <w:pStyle w:val="67"/>
              <w:spacing w:line="360" w:lineRule="auto"/>
              <w:ind w:firstLine="0" w:firstLineChars="0"/>
              <w:rPr>
                <w:rFonts w:ascii="宋体" w:hAnsi="宋体" w:eastAsia="宋体" w:cs="宋体"/>
                <w:kern w:val="0"/>
                <w:sz w:val="21"/>
                <w:szCs w:val="21"/>
              </w:rPr>
            </w:pPr>
            <w:r>
              <w:rPr>
                <w:rFonts w:hint="eastAsia" w:ascii="宋体" w:hAnsi="宋体" w:eastAsia="宋体" w:cs="宋体"/>
                <w:kern w:val="0"/>
                <w:sz w:val="21"/>
                <w:szCs w:val="21"/>
              </w:rPr>
              <w:t>温州银行股份有限公司舟山市分行</w:t>
            </w:r>
          </w:p>
        </w:tc>
        <w:tc>
          <w:tcPr>
            <w:tcW w:w="3547" w:type="dxa"/>
          </w:tcPr>
          <w:p>
            <w:pPr>
              <w:rPr>
                <w:rFonts w:ascii="宋体" w:hAnsi="宋体" w:cs="宋体"/>
                <w:kern w:val="0"/>
                <w:szCs w:val="21"/>
              </w:rPr>
            </w:pPr>
            <w:r>
              <w:rPr>
                <w:rFonts w:hint="eastAsia" w:ascii="宋体" w:hAnsi="宋体" w:cs="宋体"/>
                <w:kern w:val="0"/>
                <w:szCs w:val="21"/>
              </w:rPr>
              <w:t>“政采订单贷” ：单户授信最高为500万，单笔申请最高可按中标金额0.8折，贷款期限最少三个月、最长一年，可通过政采云平台向本行发起政采订单贷业务申请</w:t>
            </w:r>
          </w:p>
        </w:tc>
        <w:tc>
          <w:tcPr>
            <w:tcW w:w="1559" w:type="dxa"/>
            <w:vAlign w:val="center"/>
          </w:tcPr>
          <w:p>
            <w:pPr>
              <w:jc w:val="center"/>
              <w:rPr>
                <w:rFonts w:ascii="宋体" w:hAnsi="宋体" w:cs="宋体"/>
                <w:kern w:val="0"/>
                <w:szCs w:val="21"/>
              </w:rPr>
            </w:pPr>
            <w:r>
              <w:rPr>
                <w:rFonts w:hint="eastAsia" w:ascii="宋体" w:hAnsi="宋体" w:cs="宋体"/>
                <w:kern w:val="0"/>
                <w:szCs w:val="21"/>
              </w:rPr>
              <w:t>郑贤栋</w:t>
            </w:r>
          </w:p>
        </w:tc>
        <w:tc>
          <w:tcPr>
            <w:tcW w:w="1418" w:type="dxa"/>
            <w:vAlign w:val="center"/>
          </w:tcPr>
          <w:p>
            <w:pPr>
              <w:jc w:val="center"/>
              <w:rPr>
                <w:rFonts w:ascii="宋体" w:hAnsi="宋体" w:cs="宋体"/>
                <w:kern w:val="0"/>
                <w:szCs w:val="21"/>
              </w:rPr>
            </w:pPr>
            <w:r>
              <w:rPr>
                <w:rFonts w:ascii="宋体" w:hAnsi="宋体" w:cs="宋体"/>
                <w:kern w:val="0"/>
                <w:szCs w:val="21"/>
              </w:rPr>
              <w:t>0580—8866086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73" w:type="dxa"/>
          </w:tcPr>
          <w:p>
            <w:pPr>
              <w:pStyle w:val="67"/>
              <w:spacing w:line="360" w:lineRule="auto"/>
              <w:ind w:firstLine="0" w:firstLineChars="0"/>
              <w:rPr>
                <w:rFonts w:ascii="宋体" w:hAnsi="宋体" w:eastAsia="宋体" w:cs="宋体"/>
                <w:kern w:val="0"/>
                <w:sz w:val="21"/>
                <w:szCs w:val="21"/>
              </w:rPr>
            </w:pPr>
            <w:r>
              <w:rPr>
                <w:rFonts w:hint="eastAsia" w:ascii="宋体" w:hAnsi="宋体" w:eastAsia="宋体" w:cs="宋体"/>
                <w:kern w:val="0"/>
                <w:sz w:val="21"/>
                <w:szCs w:val="21"/>
              </w:rPr>
              <w:t>交通银行股份有限公司舟山分行</w:t>
            </w:r>
          </w:p>
        </w:tc>
        <w:tc>
          <w:tcPr>
            <w:tcW w:w="3547" w:type="dxa"/>
          </w:tcPr>
          <w:p>
            <w:pPr>
              <w:autoSpaceDE w:val="0"/>
              <w:autoSpaceDN w:val="0"/>
              <w:adjustRightInd w:val="0"/>
              <w:rPr>
                <w:rFonts w:ascii="宋体" w:hAnsi="宋体" w:cs="宋体"/>
                <w:kern w:val="0"/>
                <w:szCs w:val="21"/>
              </w:rPr>
            </w:pPr>
            <w:r>
              <w:rPr>
                <w:rFonts w:hint="eastAsia" w:ascii="宋体" w:hAnsi="宋体" w:cs="宋体"/>
                <w:kern w:val="0"/>
                <w:szCs w:val="21"/>
              </w:rPr>
              <w:t>交通银行政采贷，最长期限1年，融资金额一般不超过1000万元，单笔提款金额最高至采购合同金额的70%。担保方式为信用（附加该笔业务项下未来应收账款质押、实际控制人及配偶个人保证），随借随还，利率最低至当期LPR。</w:t>
            </w:r>
          </w:p>
        </w:tc>
        <w:tc>
          <w:tcPr>
            <w:tcW w:w="1559" w:type="dxa"/>
            <w:vAlign w:val="center"/>
          </w:tcPr>
          <w:p>
            <w:pPr>
              <w:jc w:val="center"/>
              <w:rPr>
                <w:rFonts w:ascii="宋体" w:hAnsi="宋体" w:cs="宋体"/>
                <w:kern w:val="0"/>
                <w:szCs w:val="21"/>
              </w:rPr>
            </w:pPr>
            <w:r>
              <w:rPr>
                <w:rFonts w:hint="eastAsia" w:ascii="宋体" w:hAnsi="宋体" w:cs="宋体"/>
                <w:kern w:val="0"/>
                <w:szCs w:val="21"/>
              </w:rPr>
              <w:t>赵争艳</w:t>
            </w:r>
          </w:p>
        </w:tc>
        <w:tc>
          <w:tcPr>
            <w:tcW w:w="1418" w:type="dxa"/>
            <w:vAlign w:val="center"/>
          </w:tcPr>
          <w:p>
            <w:pPr>
              <w:jc w:val="center"/>
              <w:rPr>
                <w:rFonts w:ascii="宋体" w:hAnsi="宋体" w:cs="宋体"/>
                <w:kern w:val="0"/>
                <w:szCs w:val="21"/>
              </w:rPr>
            </w:pPr>
            <w:r>
              <w:rPr>
                <w:rFonts w:hint="eastAsia" w:ascii="宋体" w:hAnsi="宋体" w:cs="宋体"/>
                <w:kern w:val="0"/>
                <w:szCs w:val="21"/>
              </w:rPr>
              <w:t>0580-2260728,13758007280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tcPr>
          <w:p>
            <w:pPr>
              <w:pStyle w:val="67"/>
              <w:spacing w:line="360" w:lineRule="auto"/>
              <w:ind w:firstLine="0" w:firstLineChars="0"/>
              <w:rPr>
                <w:rFonts w:ascii="宋体" w:hAnsi="宋体" w:eastAsia="宋体" w:cs="宋体"/>
                <w:kern w:val="0"/>
                <w:sz w:val="21"/>
                <w:szCs w:val="21"/>
              </w:rPr>
            </w:pPr>
            <w:r>
              <w:rPr>
                <w:rFonts w:hint="eastAsia" w:ascii="宋体" w:hAnsi="宋体" w:eastAsia="宋体" w:cs="宋体"/>
                <w:kern w:val="0"/>
                <w:sz w:val="21"/>
                <w:szCs w:val="21"/>
              </w:rPr>
              <w:t>中信银行股份有限公司舟山分行</w:t>
            </w:r>
          </w:p>
        </w:tc>
        <w:tc>
          <w:tcPr>
            <w:tcW w:w="3547" w:type="dxa"/>
          </w:tcPr>
          <w:p>
            <w:pPr>
              <w:rPr>
                <w:rFonts w:ascii="宋体" w:hAnsi="宋体" w:cs="宋体"/>
                <w:kern w:val="0"/>
                <w:szCs w:val="21"/>
              </w:rPr>
            </w:pPr>
            <w:r>
              <w:rPr>
                <w:rFonts w:hint="eastAsia" w:ascii="宋体" w:hAnsi="宋体" w:cs="宋体"/>
                <w:kern w:val="0"/>
                <w:szCs w:val="21"/>
              </w:rPr>
              <w:t>中信银行“政采e贷”产品特点：根据政府采购中标通知书或合同，以政府财政支付资金为主要还款来源，为中标小微企业提供流动资金贷款。产品实现预授信、贷款申请、应收账款质押、授信审批、自助提款等环节的线上化、自动化处理，操作便利，授信额度最高不超过1000万元，贷款期限最长1年，利率低。</w:t>
            </w:r>
          </w:p>
        </w:tc>
        <w:tc>
          <w:tcPr>
            <w:tcW w:w="1559" w:type="dxa"/>
            <w:vAlign w:val="center"/>
          </w:tcPr>
          <w:p>
            <w:pPr>
              <w:jc w:val="center"/>
              <w:rPr>
                <w:rFonts w:ascii="宋体" w:hAnsi="宋体" w:cs="宋体"/>
                <w:kern w:val="0"/>
                <w:szCs w:val="21"/>
              </w:rPr>
            </w:pPr>
            <w:r>
              <w:rPr>
                <w:rFonts w:hint="eastAsia" w:ascii="宋体" w:hAnsi="宋体" w:cs="宋体"/>
                <w:kern w:val="0"/>
                <w:szCs w:val="21"/>
              </w:rPr>
              <w:t>杨莉丹</w:t>
            </w:r>
          </w:p>
        </w:tc>
        <w:tc>
          <w:tcPr>
            <w:tcW w:w="1418" w:type="dxa"/>
            <w:vAlign w:val="center"/>
          </w:tcPr>
          <w:p>
            <w:pPr>
              <w:jc w:val="center"/>
              <w:rPr>
                <w:rFonts w:ascii="宋体" w:hAnsi="宋体" w:cs="宋体"/>
                <w:kern w:val="0"/>
                <w:szCs w:val="21"/>
              </w:rPr>
            </w:pPr>
            <w:r>
              <w:rPr>
                <w:rFonts w:ascii="宋体" w:hAnsi="宋体" w:cs="宋体"/>
                <w:kern w:val="0"/>
                <w:szCs w:val="21"/>
              </w:rPr>
              <w:t>13905809681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tcPr>
          <w:p>
            <w:pPr>
              <w:pStyle w:val="67"/>
              <w:spacing w:line="360" w:lineRule="auto"/>
              <w:ind w:firstLine="0" w:firstLineChars="0"/>
              <w:rPr>
                <w:rFonts w:ascii="宋体" w:hAnsi="宋体" w:eastAsia="宋体" w:cs="宋体"/>
                <w:kern w:val="0"/>
                <w:sz w:val="21"/>
                <w:szCs w:val="21"/>
              </w:rPr>
            </w:pPr>
            <w:r>
              <w:rPr>
                <w:rFonts w:hint="eastAsia" w:ascii="宋体" w:hAnsi="宋体" w:eastAsia="宋体" w:cs="宋体"/>
                <w:kern w:val="0"/>
                <w:sz w:val="21"/>
                <w:szCs w:val="21"/>
              </w:rPr>
              <w:t>泰隆银行舟山市分行</w:t>
            </w:r>
          </w:p>
        </w:tc>
        <w:tc>
          <w:tcPr>
            <w:tcW w:w="3547" w:type="dxa"/>
          </w:tcPr>
          <w:p>
            <w:pPr>
              <w:rPr>
                <w:rFonts w:ascii="宋体" w:hAnsi="宋体" w:cs="宋体"/>
                <w:kern w:val="0"/>
                <w:szCs w:val="21"/>
              </w:rPr>
            </w:pPr>
            <w:r>
              <w:rPr>
                <w:rFonts w:hint="eastAsia" w:ascii="宋体" w:hAnsi="宋体" w:cs="宋体"/>
                <w:kern w:val="0"/>
                <w:szCs w:val="21"/>
              </w:rPr>
              <w:t>符合我行基本准入，期限对照订单最长不超过1年，额度最高1000万，担保方式享受信用贷款执行，可由中标企业或其实际控制人出面申请，利率最低可至当期LPR ，对于合同期限确实超过一年的，可享受无还本续</w:t>
            </w:r>
          </w:p>
          <w:p>
            <w:pPr>
              <w:rPr>
                <w:rFonts w:ascii="宋体" w:hAnsi="宋体" w:cs="宋体"/>
                <w:kern w:val="0"/>
                <w:szCs w:val="21"/>
              </w:rPr>
            </w:pPr>
            <w:r>
              <w:rPr>
                <w:rFonts w:hint="eastAsia" w:ascii="宋体" w:hAnsi="宋体" w:cs="宋体"/>
                <w:kern w:val="0"/>
                <w:szCs w:val="21"/>
              </w:rPr>
              <w:t>贷至合同付款日。</w:t>
            </w:r>
          </w:p>
        </w:tc>
        <w:tc>
          <w:tcPr>
            <w:tcW w:w="1559" w:type="dxa"/>
            <w:vAlign w:val="center"/>
          </w:tcPr>
          <w:p>
            <w:pPr>
              <w:jc w:val="center"/>
              <w:rPr>
                <w:rFonts w:ascii="宋体" w:hAnsi="宋体" w:cs="宋体"/>
                <w:kern w:val="0"/>
                <w:szCs w:val="21"/>
              </w:rPr>
            </w:pPr>
            <w:r>
              <w:rPr>
                <w:rFonts w:hint="eastAsia" w:ascii="宋体" w:hAnsi="宋体" w:cs="宋体"/>
                <w:kern w:val="0"/>
                <w:szCs w:val="21"/>
              </w:rPr>
              <w:t>胡亢宇</w:t>
            </w:r>
          </w:p>
        </w:tc>
        <w:tc>
          <w:tcPr>
            <w:tcW w:w="1418" w:type="dxa"/>
            <w:vAlign w:val="center"/>
          </w:tcPr>
          <w:p>
            <w:pPr>
              <w:jc w:val="center"/>
              <w:rPr>
                <w:rFonts w:ascii="宋体" w:hAnsi="宋体" w:cs="宋体"/>
                <w:kern w:val="0"/>
                <w:szCs w:val="21"/>
              </w:rPr>
            </w:pPr>
            <w:r>
              <w:rPr>
                <w:rFonts w:ascii="宋体" w:hAnsi="宋体" w:cs="宋体"/>
                <w:kern w:val="0"/>
                <w:szCs w:val="21"/>
              </w:rPr>
              <w:t>17605868703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tcPr>
          <w:p>
            <w:pPr>
              <w:pStyle w:val="67"/>
              <w:spacing w:line="360" w:lineRule="auto"/>
              <w:ind w:firstLine="0" w:firstLineChars="0"/>
              <w:rPr>
                <w:rFonts w:ascii="宋体" w:hAnsi="宋体" w:eastAsia="宋体" w:cs="宋体"/>
                <w:kern w:val="0"/>
                <w:sz w:val="21"/>
                <w:szCs w:val="21"/>
              </w:rPr>
            </w:pPr>
            <w:r>
              <w:rPr>
                <w:rFonts w:hint="eastAsia" w:ascii="宋体" w:hAnsi="宋体" w:eastAsia="宋体" w:cs="宋体"/>
                <w:kern w:val="0"/>
                <w:sz w:val="21"/>
                <w:szCs w:val="21"/>
              </w:rPr>
              <w:t>中国农业银行股份有限公司舟山分行</w:t>
            </w:r>
          </w:p>
        </w:tc>
        <w:tc>
          <w:tcPr>
            <w:tcW w:w="3547" w:type="dxa"/>
          </w:tcPr>
          <w:p>
            <w:pPr>
              <w:rPr>
                <w:rFonts w:ascii="宋体" w:hAnsi="宋体" w:cs="宋体"/>
                <w:kern w:val="0"/>
                <w:szCs w:val="21"/>
              </w:rPr>
            </w:pPr>
            <w:r>
              <w:rPr>
                <w:rFonts w:hint="eastAsia" w:ascii="宋体" w:hAnsi="宋体" w:cs="宋体"/>
                <w:kern w:val="0"/>
                <w:szCs w:val="21"/>
              </w:rPr>
              <w:t>政采贷业务是指农业银行向政府采购中标供应商发放的，用于满足其采购货物、服务等资金需求，并以该政府采购合同项下预期销售收入为主要还款来源的中短期信用业务，适用对象为在政府采购中标的中小微企业。贷款额度原则上不超过政府采购合同实有金额的80%,单户借款额度不超过500万元。</w:t>
            </w:r>
          </w:p>
        </w:tc>
        <w:tc>
          <w:tcPr>
            <w:tcW w:w="1559" w:type="dxa"/>
            <w:vAlign w:val="center"/>
          </w:tcPr>
          <w:p>
            <w:pPr>
              <w:jc w:val="center"/>
              <w:rPr>
                <w:rFonts w:ascii="宋体" w:hAnsi="宋体" w:cs="宋体"/>
                <w:kern w:val="0"/>
                <w:szCs w:val="21"/>
              </w:rPr>
            </w:pPr>
            <w:r>
              <w:rPr>
                <w:rFonts w:hint="eastAsia" w:ascii="宋体" w:hAnsi="宋体" w:cs="宋体"/>
                <w:kern w:val="0"/>
                <w:szCs w:val="21"/>
              </w:rPr>
              <w:t>邵琼</w:t>
            </w:r>
          </w:p>
        </w:tc>
        <w:tc>
          <w:tcPr>
            <w:tcW w:w="1418" w:type="dxa"/>
            <w:vAlign w:val="center"/>
          </w:tcPr>
          <w:p>
            <w:pPr>
              <w:jc w:val="center"/>
              <w:rPr>
                <w:rFonts w:ascii="宋体" w:hAnsi="宋体" w:cs="宋体"/>
                <w:kern w:val="0"/>
                <w:szCs w:val="21"/>
              </w:rPr>
            </w:pPr>
            <w:r>
              <w:rPr>
                <w:rFonts w:hint="eastAsia" w:ascii="宋体" w:hAnsi="宋体" w:cs="宋体"/>
                <w:kern w:val="0"/>
                <w:szCs w:val="21"/>
              </w:rPr>
              <w:t>13587049595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2373" w:type="dxa"/>
          </w:tcPr>
          <w:p>
            <w:pPr>
              <w:pStyle w:val="67"/>
              <w:spacing w:line="360" w:lineRule="auto"/>
              <w:ind w:firstLine="0" w:firstLineChars="0"/>
              <w:rPr>
                <w:rFonts w:ascii="宋体" w:hAnsi="宋体" w:eastAsia="宋体" w:cs="宋体"/>
                <w:kern w:val="0"/>
                <w:sz w:val="21"/>
                <w:szCs w:val="21"/>
              </w:rPr>
            </w:pPr>
            <w:r>
              <w:rPr>
                <w:rFonts w:hint="eastAsia" w:ascii="宋体" w:hAnsi="宋体" w:eastAsia="宋体" w:cs="宋体"/>
                <w:kern w:val="0"/>
                <w:sz w:val="21"/>
                <w:szCs w:val="21"/>
              </w:rPr>
              <w:t>中国邮政储蓄银行股份有限公司舟山市分行</w:t>
            </w:r>
          </w:p>
        </w:tc>
        <w:tc>
          <w:tcPr>
            <w:tcW w:w="3547" w:type="dxa"/>
          </w:tcPr>
          <w:p>
            <w:pPr>
              <w:rPr>
                <w:rFonts w:ascii="宋体" w:hAnsi="宋体" w:cs="宋体"/>
                <w:kern w:val="0"/>
                <w:szCs w:val="21"/>
              </w:rPr>
            </w:pPr>
            <w:r>
              <w:rPr>
                <w:rFonts w:hint="eastAsia" w:ascii="宋体" w:hAnsi="宋体" w:cs="宋体"/>
                <w:kern w:val="0"/>
                <w:szCs w:val="21"/>
              </w:rPr>
              <w:t>邮储银行“政采贷”产品指我行向在政府采购活动中中标的企业发放的，用于中标企业合法生产经营活动的短期流动资金贷款。融资模式根据融资行为所处采购合同的履行阶段确定，包括应收账款融资模式与采购合同融资模式。授信金额最高不超过500万元，期限最长不超过1年。</w:t>
            </w:r>
          </w:p>
        </w:tc>
        <w:tc>
          <w:tcPr>
            <w:tcW w:w="1559" w:type="dxa"/>
            <w:vAlign w:val="center"/>
          </w:tcPr>
          <w:p>
            <w:pPr>
              <w:jc w:val="center"/>
              <w:rPr>
                <w:rFonts w:ascii="宋体" w:hAnsi="宋体" w:cs="宋体"/>
                <w:kern w:val="0"/>
                <w:szCs w:val="21"/>
              </w:rPr>
            </w:pPr>
            <w:r>
              <w:rPr>
                <w:rFonts w:hint="eastAsia" w:ascii="宋体" w:hAnsi="宋体" w:cs="宋体"/>
                <w:kern w:val="0"/>
                <w:szCs w:val="21"/>
              </w:rPr>
              <w:t>曾超</w:t>
            </w:r>
          </w:p>
        </w:tc>
        <w:tc>
          <w:tcPr>
            <w:tcW w:w="1418" w:type="dxa"/>
            <w:vAlign w:val="center"/>
          </w:tcPr>
          <w:p>
            <w:pPr>
              <w:jc w:val="center"/>
              <w:rPr>
                <w:rFonts w:ascii="宋体" w:hAnsi="宋体" w:cs="宋体"/>
                <w:kern w:val="0"/>
                <w:szCs w:val="21"/>
              </w:rPr>
            </w:pPr>
            <w:r>
              <w:rPr>
                <w:rFonts w:hint="eastAsia" w:ascii="宋体" w:hAnsi="宋体" w:cs="宋体"/>
                <w:kern w:val="0"/>
                <w:szCs w:val="21"/>
              </w:rPr>
              <w:t>15924008387</w:t>
            </w:r>
          </w:p>
        </w:tc>
      </w:tr>
    </w:tbl>
    <w:p>
      <w:pPr>
        <w:ind w:firstLine="555"/>
        <w:rPr>
          <w:rFonts w:ascii="宋体" w:hAnsi="宋体" w:cs="宋体"/>
          <w:kern w:val="0"/>
          <w:szCs w:val="21"/>
        </w:rPr>
      </w:pPr>
      <w:r>
        <w:rPr>
          <w:rFonts w:hint="eastAsia" w:ascii="宋体" w:hAnsi="宋体" w:cs="宋体"/>
          <w:kern w:val="0"/>
          <w:szCs w:val="21"/>
        </w:rPr>
        <w:t>2.一般步骤</w:t>
      </w:r>
    </w:p>
    <w:p>
      <w:pPr>
        <w:ind w:firstLine="555"/>
        <w:rPr>
          <w:rFonts w:ascii="宋体" w:hAnsi="宋体" w:cs="宋体"/>
          <w:kern w:val="0"/>
          <w:szCs w:val="21"/>
        </w:rPr>
      </w:pPr>
      <w:r>
        <w:rPr>
          <w:rFonts w:hint="eastAsia" w:ascii="宋体" w:hAnsi="宋体" w:cs="宋体"/>
          <w:kern w:val="0"/>
          <w:szCs w:val="21"/>
        </w:rPr>
        <w:t>（1）供应商先与银行对接，办理融资前期手续；</w:t>
      </w:r>
    </w:p>
    <w:p>
      <w:pPr>
        <w:ind w:firstLine="555"/>
        <w:rPr>
          <w:rFonts w:ascii="宋体" w:hAnsi="宋体" w:cs="宋体"/>
          <w:kern w:val="0"/>
          <w:szCs w:val="21"/>
        </w:rPr>
      </w:pPr>
      <w:r>
        <w:rPr>
          <w:rFonts w:hint="eastAsia" w:ascii="宋体" w:hAnsi="宋体" w:cs="宋体"/>
          <w:kern w:val="0"/>
          <w:szCs w:val="21"/>
        </w:rPr>
        <w:t>（2）供应商中标后，凭中标通知书等材料，向相关合作银行发出融资申请；</w:t>
      </w:r>
    </w:p>
    <w:p>
      <w:pPr>
        <w:ind w:firstLine="555"/>
        <w:rPr>
          <w:rFonts w:ascii="宋体" w:hAnsi="宋体" w:cs="宋体"/>
          <w:kern w:val="0"/>
          <w:szCs w:val="21"/>
        </w:rPr>
      </w:pPr>
      <w:r>
        <w:rPr>
          <w:rFonts w:hint="eastAsia" w:ascii="宋体" w:hAnsi="宋体" w:cs="宋体"/>
          <w:kern w:val="0"/>
          <w:szCs w:val="21"/>
        </w:rPr>
        <w:t>（3）银行、供应商线下办理审批、放贷事宜。</w:t>
      </w:r>
    </w:p>
    <w:p>
      <w:pPr>
        <w:ind w:firstLine="555"/>
        <w:rPr>
          <w:rFonts w:ascii="宋体" w:hAnsi="宋体" w:cs="宋体"/>
          <w:kern w:val="0"/>
          <w:szCs w:val="21"/>
        </w:rPr>
      </w:pPr>
      <w:r>
        <w:rPr>
          <w:rFonts w:hint="eastAsia" w:ascii="宋体" w:hAnsi="宋体" w:cs="宋体"/>
          <w:kern w:val="0"/>
          <w:szCs w:val="21"/>
        </w:rPr>
        <w:t>3.注意事项</w:t>
      </w:r>
    </w:p>
    <w:p>
      <w:pPr>
        <w:ind w:firstLine="555"/>
        <w:rPr>
          <w:rFonts w:ascii="宋体" w:hAnsi="宋体" w:cs="宋体"/>
          <w:kern w:val="0"/>
          <w:szCs w:val="21"/>
        </w:rPr>
      </w:pPr>
      <w:r>
        <w:rPr>
          <w:rFonts w:hint="eastAsia" w:ascii="宋体" w:hAnsi="宋体" w:cs="宋体"/>
          <w:kern w:val="0"/>
          <w:szCs w:val="21"/>
        </w:rPr>
        <w:t>（1）中标供应商需确保政府采购合同的收款账户与融资银行开户账户一致。</w:t>
      </w:r>
    </w:p>
    <w:p>
      <w:pPr>
        <w:ind w:firstLine="555"/>
        <w:rPr>
          <w:rFonts w:ascii="宋体" w:hAnsi="宋体" w:cs="宋体"/>
          <w:kern w:val="0"/>
          <w:szCs w:val="21"/>
        </w:rPr>
      </w:pPr>
      <w:r>
        <w:rPr>
          <w:rFonts w:hint="eastAsia" w:ascii="宋体" w:hAnsi="宋体" w:cs="宋体"/>
          <w:kern w:val="0"/>
          <w:szCs w:val="21"/>
        </w:rPr>
        <w:t>（2）用于政府采购信用融资的政府采购合同，应当包含如下条款：“第   条：政府采购合同贷款</w:t>
      </w:r>
    </w:p>
    <w:p>
      <w:pPr>
        <w:ind w:firstLine="555"/>
        <w:rPr>
          <w:rFonts w:ascii="宋体" w:hAnsi="宋体" w:cs="宋体"/>
          <w:kern w:val="0"/>
          <w:szCs w:val="21"/>
        </w:rPr>
      </w:pPr>
      <w:r>
        <w:rPr>
          <w:rFonts w:hint="eastAsia" w:ascii="宋体" w:hAnsi="宋体" w:cs="宋体"/>
          <w:kern w:val="0"/>
          <w:szCs w:val="21"/>
        </w:rPr>
        <w:t>本合同同时用于乙方向      银行（金融机构）申请政府采购信用贷款。</w:t>
      </w:r>
    </w:p>
    <w:p>
      <w:pPr>
        <w:ind w:firstLine="555"/>
        <w:rPr>
          <w:rFonts w:ascii="宋体" w:hAnsi="宋体" w:cs="宋体"/>
          <w:kern w:val="0"/>
          <w:szCs w:val="21"/>
        </w:rPr>
      </w:pPr>
      <w:r>
        <w:rPr>
          <w:rFonts w:hint="eastAsia" w:ascii="宋体" w:hAnsi="宋体" w:cs="宋体"/>
          <w:kern w:val="0"/>
          <w:szCs w:val="21"/>
        </w:rPr>
        <w:t>本</w:t>
      </w:r>
      <w:r>
        <w:rPr>
          <w:rFonts w:ascii="宋体" w:hAnsi="宋体" w:cs="宋体"/>
          <w:kern w:val="0"/>
          <w:szCs w:val="21"/>
        </w:rPr>
        <w:t>合同一经签订，原则上不得更改</w:t>
      </w:r>
      <w:r>
        <w:rPr>
          <w:rFonts w:hint="eastAsia" w:ascii="宋体" w:hAnsi="宋体" w:cs="宋体"/>
          <w:kern w:val="0"/>
          <w:szCs w:val="21"/>
        </w:rPr>
        <w:t>乙方收</w:t>
      </w:r>
      <w:r>
        <w:rPr>
          <w:rFonts w:ascii="宋体" w:hAnsi="宋体" w:cs="宋体"/>
          <w:kern w:val="0"/>
          <w:szCs w:val="21"/>
        </w:rPr>
        <w:t>款</w:t>
      </w:r>
      <w:r>
        <w:rPr>
          <w:rFonts w:hint="eastAsia" w:ascii="宋体" w:hAnsi="宋体" w:cs="宋体"/>
          <w:kern w:val="0"/>
          <w:szCs w:val="21"/>
        </w:rPr>
        <w:t>账户</w:t>
      </w:r>
      <w:r>
        <w:rPr>
          <w:rFonts w:ascii="宋体" w:hAnsi="宋体" w:cs="宋体"/>
          <w:kern w:val="0"/>
          <w:szCs w:val="21"/>
        </w:rPr>
        <w:t>信息</w:t>
      </w:r>
      <w:r>
        <w:rPr>
          <w:rFonts w:hint="eastAsia" w:ascii="宋体" w:hAnsi="宋体" w:cs="宋体"/>
          <w:kern w:val="0"/>
          <w:szCs w:val="21"/>
        </w:rPr>
        <w:t>。确</w:t>
      </w:r>
      <w:r>
        <w:rPr>
          <w:rFonts w:ascii="宋体" w:hAnsi="宋体" w:cs="宋体"/>
          <w:kern w:val="0"/>
          <w:szCs w:val="21"/>
        </w:rPr>
        <w:t>须更改的，</w:t>
      </w:r>
      <w:r>
        <w:rPr>
          <w:rFonts w:hint="eastAsia" w:ascii="宋体" w:hAnsi="宋体" w:cs="宋体"/>
          <w:kern w:val="0"/>
          <w:szCs w:val="21"/>
        </w:rPr>
        <w:t>乙方应</w:t>
      </w:r>
      <w:r>
        <w:rPr>
          <w:rFonts w:ascii="宋体" w:hAnsi="宋体" w:cs="宋体"/>
          <w:kern w:val="0"/>
          <w:szCs w:val="21"/>
        </w:rPr>
        <w:t>取得</w:t>
      </w:r>
      <w:r>
        <w:rPr>
          <w:rFonts w:hint="eastAsia" w:ascii="宋体" w:hAnsi="宋体" w:cs="宋体"/>
          <w:kern w:val="0"/>
          <w:szCs w:val="21"/>
        </w:rPr>
        <w:t>原</w:t>
      </w:r>
      <w:r>
        <w:rPr>
          <w:rFonts w:ascii="宋体" w:hAnsi="宋体" w:cs="宋体"/>
          <w:kern w:val="0"/>
          <w:szCs w:val="21"/>
        </w:rPr>
        <w:t>合同收款账户开户银行书面同意，</w:t>
      </w:r>
      <w:r>
        <w:rPr>
          <w:rFonts w:hint="eastAsia" w:ascii="宋体" w:hAnsi="宋体" w:cs="宋体"/>
          <w:kern w:val="0"/>
          <w:szCs w:val="21"/>
        </w:rPr>
        <w:t>否则修改后</w:t>
      </w:r>
      <w:r>
        <w:rPr>
          <w:rFonts w:ascii="宋体" w:hAnsi="宋体" w:cs="宋体"/>
          <w:kern w:val="0"/>
          <w:szCs w:val="21"/>
        </w:rPr>
        <w:t>的合同不予</w:t>
      </w:r>
      <w:r>
        <w:rPr>
          <w:rFonts w:hint="eastAsia" w:ascii="宋体" w:hAnsi="宋体" w:cs="宋体"/>
          <w:kern w:val="0"/>
          <w:szCs w:val="21"/>
        </w:rPr>
        <w:t>备案</w:t>
      </w:r>
      <w:r>
        <w:rPr>
          <w:rFonts w:ascii="宋体" w:hAnsi="宋体" w:cs="宋体"/>
          <w:kern w:val="0"/>
          <w:szCs w:val="21"/>
        </w:rPr>
        <w:t>，采购资金不予</w:t>
      </w:r>
      <w:r>
        <w:rPr>
          <w:rFonts w:hint="eastAsia" w:ascii="宋体" w:hAnsi="宋体" w:cs="宋体"/>
          <w:kern w:val="0"/>
          <w:szCs w:val="21"/>
        </w:rPr>
        <w:t>支付。”</w:t>
      </w:r>
    </w:p>
    <w:p>
      <w:pPr>
        <w:snapToGrid w:val="0"/>
        <w:spacing w:line="276" w:lineRule="auto"/>
        <w:ind w:firstLine="422" w:firstLineChars="200"/>
        <w:jc w:val="left"/>
        <w:rPr>
          <w:rFonts w:ascii="宋体" w:hAnsi="宋体" w:cs="宋体"/>
          <w:b/>
          <w:szCs w:val="21"/>
        </w:rPr>
      </w:pPr>
      <w:r>
        <w:rPr>
          <w:rFonts w:hint="eastAsia" w:ascii="宋体" w:hAnsi="宋体" w:cs="宋体"/>
          <w:b/>
          <w:szCs w:val="21"/>
        </w:rPr>
        <w:t>（十一）浙江方舟</w:t>
      </w:r>
      <w:r>
        <w:rPr>
          <w:rFonts w:ascii="宋体" w:hAnsi="宋体" w:cs="宋体"/>
          <w:b/>
          <w:szCs w:val="21"/>
        </w:rPr>
        <w:t>工程造价咨询有限公司</w:t>
      </w:r>
      <w:r>
        <w:rPr>
          <w:rFonts w:hint="eastAsia" w:ascii="宋体" w:hAnsi="宋体" w:cs="宋体"/>
          <w:b/>
          <w:szCs w:val="21"/>
        </w:rPr>
        <w:t>拥有本招标文件最终解释权。</w:t>
      </w:r>
    </w:p>
    <w:p>
      <w:pPr>
        <w:pStyle w:val="43"/>
        <w:snapToGrid w:val="0"/>
        <w:spacing w:before="159" w:after="159" w:line="360" w:lineRule="auto"/>
        <w:ind w:right="-506" w:rightChars="-241"/>
        <w:jc w:val="center"/>
        <w:rPr>
          <w:rFonts w:ascii="Times New Roman" w:hAnsi="Times New Roman"/>
          <w:b/>
          <w:sz w:val="28"/>
          <w:szCs w:val="28"/>
        </w:rPr>
      </w:pPr>
      <w:r>
        <w:rPr>
          <w:rFonts w:ascii="Times New Roman" w:hAnsi="Times New Roman"/>
          <w:b/>
          <w:sz w:val="28"/>
          <w:szCs w:val="28"/>
        </w:rPr>
        <w:t>二</w:t>
      </w:r>
      <w:r>
        <w:rPr>
          <w:rFonts w:hint="eastAsia" w:ascii="Times New Roman" w:hAnsi="Times New Roman"/>
          <w:b/>
          <w:sz w:val="28"/>
          <w:szCs w:val="28"/>
        </w:rPr>
        <w:t>、招标</w:t>
      </w:r>
      <w:r>
        <w:rPr>
          <w:rFonts w:ascii="Times New Roman" w:hAnsi="Times New Roman"/>
          <w:b/>
          <w:sz w:val="28"/>
          <w:szCs w:val="28"/>
        </w:rPr>
        <w:t>文件</w:t>
      </w:r>
    </w:p>
    <w:p>
      <w:pPr>
        <w:snapToGrid w:val="0"/>
        <w:spacing w:line="360" w:lineRule="auto"/>
        <w:jc w:val="left"/>
        <w:rPr>
          <w:rFonts w:ascii="宋体" w:hAnsi="宋体" w:cs="宋体"/>
          <w:b/>
          <w:szCs w:val="21"/>
        </w:rPr>
      </w:pPr>
      <w:r>
        <w:rPr>
          <w:rFonts w:hint="eastAsia" w:ascii="宋体" w:hAnsi="宋体" w:cs="宋体"/>
          <w:b/>
          <w:szCs w:val="21"/>
        </w:rPr>
        <w:t>（一）招标文件的构成</w:t>
      </w:r>
    </w:p>
    <w:p>
      <w:pPr>
        <w:pStyle w:val="15"/>
        <w:snapToGrid w:val="0"/>
        <w:spacing w:line="360" w:lineRule="auto"/>
        <w:ind w:firstLine="415" w:firstLineChars="198"/>
        <w:rPr>
          <w:rFonts w:hAnsi="宋体" w:cs="宋体"/>
          <w:sz w:val="21"/>
        </w:rPr>
      </w:pPr>
      <w:r>
        <w:rPr>
          <w:rFonts w:hint="eastAsia" w:hAnsi="宋体" w:cs="宋体"/>
          <w:sz w:val="21"/>
        </w:rPr>
        <w:t>第一章  招标公告</w:t>
      </w:r>
    </w:p>
    <w:p>
      <w:pPr>
        <w:pStyle w:val="15"/>
        <w:snapToGrid w:val="0"/>
        <w:spacing w:line="360" w:lineRule="auto"/>
        <w:ind w:firstLine="415" w:firstLineChars="198"/>
        <w:rPr>
          <w:rFonts w:hAnsi="宋体" w:cs="宋体"/>
          <w:sz w:val="21"/>
        </w:rPr>
      </w:pPr>
      <w:r>
        <w:rPr>
          <w:rFonts w:hint="eastAsia" w:hAnsi="宋体" w:cs="宋体"/>
          <w:sz w:val="21"/>
        </w:rPr>
        <w:t>第二章  采购需求</w:t>
      </w:r>
    </w:p>
    <w:p>
      <w:pPr>
        <w:pStyle w:val="15"/>
        <w:snapToGrid w:val="0"/>
        <w:spacing w:line="360" w:lineRule="auto"/>
        <w:ind w:firstLine="415" w:firstLineChars="198"/>
        <w:rPr>
          <w:rFonts w:hAnsi="宋体" w:cs="宋体"/>
          <w:sz w:val="21"/>
        </w:rPr>
      </w:pPr>
      <w:r>
        <w:rPr>
          <w:rFonts w:hint="eastAsia" w:hAnsi="宋体" w:cs="宋体"/>
          <w:sz w:val="21"/>
        </w:rPr>
        <w:t>第三章  投标人须知</w:t>
      </w:r>
    </w:p>
    <w:p>
      <w:pPr>
        <w:pStyle w:val="15"/>
        <w:snapToGrid w:val="0"/>
        <w:spacing w:line="360" w:lineRule="auto"/>
        <w:ind w:firstLine="415" w:firstLineChars="198"/>
        <w:rPr>
          <w:rFonts w:hAnsi="宋体" w:cs="宋体"/>
          <w:sz w:val="21"/>
        </w:rPr>
      </w:pPr>
      <w:r>
        <w:rPr>
          <w:rFonts w:hint="eastAsia" w:hAnsi="宋体" w:cs="宋体"/>
          <w:sz w:val="21"/>
        </w:rPr>
        <w:t>第四章  评标办法及标准</w:t>
      </w:r>
    </w:p>
    <w:p>
      <w:pPr>
        <w:pStyle w:val="15"/>
        <w:snapToGrid w:val="0"/>
        <w:spacing w:line="360" w:lineRule="auto"/>
        <w:ind w:firstLine="415" w:firstLineChars="198"/>
        <w:rPr>
          <w:rFonts w:hAnsi="宋体" w:cs="宋体"/>
          <w:sz w:val="21"/>
        </w:rPr>
      </w:pPr>
      <w:r>
        <w:rPr>
          <w:rFonts w:hint="eastAsia" w:hAnsi="宋体" w:cs="宋体"/>
          <w:sz w:val="21"/>
        </w:rPr>
        <w:t>第五章  合同主要条款</w:t>
      </w:r>
    </w:p>
    <w:p>
      <w:pPr>
        <w:pStyle w:val="15"/>
        <w:snapToGrid w:val="0"/>
        <w:spacing w:line="360" w:lineRule="auto"/>
        <w:ind w:firstLine="415" w:firstLineChars="198"/>
        <w:rPr>
          <w:rFonts w:hAnsi="宋体" w:cs="宋体"/>
          <w:sz w:val="21"/>
        </w:rPr>
      </w:pPr>
      <w:r>
        <w:rPr>
          <w:rFonts w:hint="eastAsia" w:hAnsi="宋体" w:cs="宋体"/>
          <w:sz w:val="21"/>
        </w:rPr>
        <w:t>第六章  投标文件组成</w:t>
      </w:r>
    </w:p>
    <w:p>
      <w:pPr>
        <w:pStyle w:val="15"/>
        <w:snapToGrid w:val="0"/>
        <w:spacing w:line="360" w:lineRule="auto"/>
        <w:ind w:firstLine="415" w:firstLineChars="198"/>
        <w:rPr>
          <w:rFonts w:hAnsi="宋体" w:cs="宋体"/>
          <w:sz w:val="21"/>
        </w:rPr>
      </w:pPr>
      <w:r>
        <w:rPr>
          <w:rFonts w:hint="eastAsia" w:hAnsi="宋体" w:cs="宋体"/>
          <w:sz w:val="21"/>
        </w:rPr>
        <w:t>其他有关补充文件</w:t>
      </w:r>
    </w:p>
    <w:p>
      <w:pPr>
        <w:pStyle w:val="11"/>
        <w:tabs>
          <w:tab w:val="left" w:pos="454"/>
          <w:tab w:val="left" w:pos="720"/>
        </w:tabs>
        <w:snapToGrid w:val="0"/>
        <w:spacing w:line="360" w:lineRule="auto"/>
        <w:rPr>
          <w:rFonts w:ascii="宋体" w:hAnsi="宋体" w:cs="宋体"/>
          <w:b/>
          <w:szCs w:val="21"/>
        </w:rPr>
      </w:pPr>
      <w:r>
        <w:rPr>
          <w:rFonts w:hint="eastAsia" w:ascii="宋体" w:hAnsi="宋体" w:cs="宋体"/>
          <w:b/>
          <w:szCs w:val="21"/>
        </w:rPr>
        <w:t xml:space="preserve">（二）招标文件的澄清与修改 </w:t>
      </w:r>
    </w:p>
    <w:p>
      <w:pPr>
        <w:pStyle w:val="15"/>
        <w:snapToGrid w:val="0"/>
        <w:spacing w:line="360" w:lineRule="auto"/>
        <w:ind w:firstLine="415" w:firstLineChars="198"/>
        <w:rPr>
          <w:rFonts w:hAnsi="宋体" w:cs="宋体"/>
          <w:sz w:val="21"/>
        </w:rPr>
      </w:pPr>
      <w:r>
        <w:rPr>
          <w:rFonts w:hint="eastAsia" w:hAnsi="宋体" w:cs="宋体"/>
          <w:sz w:val="21"/>
        </w:rPr>
        <w:t>1、投标人应认真阅读本招标文件，发现其中有误或有要求不合理的，投标人必须在投标截止前15天内以书面形式要求采购人澄清。采购人对已发出的招标文件进行必要澄清、答复、修改或补充的，应当在招标文件要求提交投标文件截止时间15天前，在相关的采购信息发布媒体上发布更正公告，并通知所有已依法获取采购文件的潜在投标人。</w:t>
      </w:r>
    </w:p>
    <w:p>
      <w:pPr>
        <w:pStyle w:val="15"/>
        <w:snapToGrid w:val="0"/>
        <w:spacing w:line="360" w:lineRule="auto"/>
        <w:ind w:firstLine="415" w:firstLineChars="198"/>
        <w:rPr>
          <w:rFonts w:hAnsi="宋体" w:cs="宋体"/>
          <w:sz w:val="21"/>
        </w:rPr>
      </w:pPr>
      <w:r>
        <w:rPr>
          <w:rFonts w:hint="eastAsia" w:hAnsi="宋体" w:cs="宋体"/>
          <w:sz w:val="21"/>
        </w:rPr>
        <w:t>2、采购人以书面形式答复投标人要求澄清的问题，并将不包含问题来源的答复书面通知所有已依法获取采购文件的潜在投标人；除书面答复以外的其他澄清方式及澄清内容均无效。</w:t>
      </w:r>
    </w:p>
    <w:p>
      <w:pPr>
        <w:pStyle w:val="15"/>
        <w:snapToGrid w:val="0"/>
        <w:spacing w:line="360" w:lineRule="auto"/>
        <w:ind w:firstLine="415" w:firstLineChars="198"/>
        <w:rPr>
          <w:rFonts w:hAnsi="宋体" w:cs="宋体"/>
          <w:sz w:val="21"/>
        </w:rPr>
      </w:pPr>
      <w:r>
        <w:rPr>
          <w:rFonts w:hint="eastAsia" w:hAnsi="宋体" w:cs="宋体"/>
          <w:sz w:val="21"/>
        </w:rPr>
        <w:t>3、招标文件的答复、澄清、修改、补充通知实质上改变采购需求相关内容，且自招标文件的答复、澄清、修改、补充通知发出之日起至投标截止时间止不足15天的，采购人可视情况推迟投标截止时间和开标时间，按规定在相关的采购信息发布媒体上发布变更公告，并将变更后的时间通知所有已依法获取采购文件的潜在投标人。</w:t>
      </w:r>
    </w:p>
    <w:p>
      <w:pPr>
        <w:pStyle w:val="15"/>
        <w:snapToGrid w:val="0"/>
        <w:spacing w:line="360" w:lineRule="auto"/>
        <w:ind w:firstLine="415" w:firstLineChars="198"/>
        <w:rPr>
          <w:rFonts w:hAnsi="宋体" w:cs="宋体"/>
          <w:sz w:val="21"/>
        </w:rPr>
      </w:pPr>
      <w:r>
        <w:rPr>
          <w:rFonts w:hint="eastAsia" w:hAnsi="宋体" w:cs="宋体"/>
          <w:sz w:val="21"/>
        </w:rPr>
        <w:t>4、招标文件澄清、答复、修改、补充的内容为招标文件的组成部分。当招标文件与招标文件的答复、澄清、修改、补充通知就同一内容的表述不一致时，以最后发出的书面文件为准。</w:t>
      </w:r>
    </w:p>
    <w:p>
      <w:pPr>
        <w:pStyle w:val="15"/>
        <w:snapToGrid w:val="0"/>
        <w:spacing w:line="360" w:lineRule="auto"/>
        <w:ind w:firstLine="415" w:firstLineChars="198"/>
        <w:rPr>
          <w:rFonts w:hAnsi="宋体" w:cs="宋体"/>
          <w:sz w:val="21"/>
        </w:rPr>
      </w:pPr>
      <w:r>
        <w:rPr>
          <w:rFonts w:hint="eastAsia" w:hAnsi="宋体" w:cs="宋体"/>
          <w:sz w:val="21"/>
        </w:rPr>
        <w:t>5、招标文件的澄清、答复、修改或补充都应该通过本采购代理机构以法定形式发布，采购人非通过本采购代理机构的，不得擅自澄清、答复、修改或补充招标文件。</w:t>
      </w:r>
    </w:p>
    <w:p>
      <w:pPr>
        <w:pStyle w:val="43"/>
        <w:snapToGrid w:val="0"/>
        <w:spacing w:before="159" w:after="159" w:line="360" w:lineRule="auto"/>
        <w:ind w:right="-506" w:rightChars="-241"/>
        <w:jc w:val="center"/>
        <w:rPr>
          <w:rFonts w:ascii="Times New Roman" w:hAnsi="Times New Roman"/>
          <w:b/>
          <w:sz w:val="28"/>
          <w:szCs w:val="28"/>
        </w:rPr>
      </w:pPr>
      <w:r>
        <w:rPr>
          <w:rFonts w:ascii="Times New Roman" w:hAnsi="Times New Roman"/>
          <w:b/>
          <w:sz w:val="28"/>
          <w:szCs w:val="28"/>
        </w:rPr>
        <w:t>三、投标文件的编制</w:t>
      </w:r>
    </w:p>
    <w:p>
      <w:pPr>
        <w:snapToGrid w:val="0"/>
        <w:spacing w:line="460" w:lineRule="exact"/>
        <w:ind w:firstLine="413" w:firstLineChars="196"/>
        <w:jc w:val="left"/>
        <w:rPr>
          <w:rFonts w:ascii="宋体" w:hAnsi="宋体" w:cs="宋体"/>
          <w:b/>
          <w:szCs w:val="21"/>
        </w:rPr>
      </w:pPr>
      <w:r>
        <w:rPr>
          <w:rFonts w:hint="eastAsia" w:ascii="宋体" w:hAnsi="宋体" w:cs="宋体"/>
          <w:b/>
          <w:szCs w:val="21"/>
        </w:rPr>
        <w:t>（一）投标文件的形式和效力</w:t>
      </w:r>
    </w:p>
    <w:p>
      <w:pPr>
        <w:adjustRightInd w:val="0"/>
        <w:snapToGrid w:val="0"/>
        <w:spacing w:line="460" w:lineRule="exact"/>
        <w:ind w:firstLine="422" w:firstLineChars="200"/>
        <w:rPr>
          <w:rFonts w:ascii="宋体" w:hAnsi="宋体" w:cs="宋体"/>
          <w:b/>
          <w:szCs w:val="21"/>
        </w:rPr>
      </w:pPr>
      <w:r>
        <w:rPr>
          <w:rFonts w:hint="eastAsia" w:ascii="宋体" w:hAnsi="宋体" w:cs="宋体"/>
          <w:b/>
          <w:szCs w:val="21"/>
        </w:rPr>
        <w:t>投标文件分为电子投标文件以及备份投标文件，备份投标文件为以介质存储的数据电文形式的投标文件。</w:t>
      </w:r>
    </w:p>
    <w:p>
      <w:pPr>
        <w:adjustRightInd w:val="0"/>
        <w:snapToGrid w:val="0"/>
        <w:spacing w:line="460" w:lineRule="exact"/>
        <w:ind w:firstLine="422" w:firstLineChars="200"/>
        <w:rPr>
          <w:rFonts w:ascii="宋体" w:hAnsi="宋体" w:cs="宋体"/>
          <w:b/>
          <w:szCs w:val="21"/>
        </w:rPr>
      </w:pPr>
      <w:r>
        <w:rPr>
          <w:rFonts w:hint="eastAsia" w:ascii="宋体" w:hAnsi="宋体" w:cs="宋体"/>
          <w:b/>
          <w:szCs w:val="21"/>
        </w:rPr>
        <w:t>1、电子投标文件，按“政采云供应商项目采购-电子招投标操作指南”及本招标文件要求制作、加密并递交。</w:t>
      </w:r>
    </w:p>
    <w:p>
      <w:pPr>
        <w:adjustRightInd w:val="0"/>
        <w:snapToGrid w:val="0"/>
        <w:spacing w:line="460" w:lineRule="exact"/>
        <w:ind w:firstLine="422" w:firstLineChars="200"/>
        <w:rPr>
          <w:rFonts w:ascii="宋体" w:hAnsi="宋体" w:cs="宋体"/>
          <w:b/>
          <w:szCs w:val="21"/>
        </w:rPr>
      </w:pPr>
      <w:r>
        <w:rPr>
          <w:rFonts w:hint="eastAsia" w:ascii="宋体" w:hAnsi="宋体" w:cs="宋体"/>
          <w:b/>
          <w:szCs w:val="21"/>
        </w:rPr>
        <w:t>2、以介质存储的数据电文形式的备份投标文件，按政采云供应商项目采购-电子招投标操作指南中制作的电子投标文件。</w:t>
      </w:r>
    </w:p>
    <w:p>
      <w:pPr>
        <w:adjustRightInd w:val="0"/>
        <w:snapToGrid w:val="0"/>
        <w:spacing w:line="460" w:lineRule="exact"/>
        <w:ind w:firstLine="422" w:firstLineChars="200"/>
        <w:rPr>
          <w:rFonts w:ascii="宋体" w:hAnsi="宋体" w:cs="宋体"/>
          <w:b/>
          <w:szCs w:val="21"/>
        </w:rPr>
      </w:pPr>
      <w:r>
        <w:rPr>
          <w:rFonts w:hint="eastAsia" w:ascii="宋体" w:hAnsi="宋体" w:cs="宋体"/>
          <w:b/>
          <w:szCs w:val="21"/>
        </w:rPr>
        <w:t>投标文件的启用，按先后顺位分别为电子投标文件、以介质存储的数据电文形式的备份投标文件。在下一顺位的投标文件启用时，前一顺位的投标文件自动失效。</w:t>
      </w:r>
    </w:p>
    <w:p>
      <w:pPr>
        <w:snapToGrid w:val="0"/>
        <w:spacing w:line="360" w:lineRule="auto"/>
        <w:ind w:firstLine="413" w:firstLineChars="196"/>
        <w:jc w:val="left"/>
        <w:rPr>
          <w:rFonts w:ascii="宋体" w:hAnsi="宋体" w:cs="宋体"/>
          <w:b/>
          <w:szCs w:val="21"/>
        </w:rPr>
      </w:pPr>
      <w:r>
        <w:rPr>
          <w:rFonts w:hint="eastAsia" w:ascii="宋体" w:hAnsi="宋体" w:cs="宋体"/>
          <w:b/>
          <w:szCs w:val="21"/>
        </w:rPr>
        <w:t>（二）投标文件的组成</w:t>
      </w:r>
    </w:p>
    <w:p>
      <w:pPr>
        <w:snapToGrid w:val="0"/>
        <w:spacing w:line="360" w:lineRule="auto"/>
        <w:ind w:firstLine="415" w:firstLineChars="198"/>
        <w:rPr>
          <w:rFonts w:ascii="宋体" w:hAnsi="宋体" w:cs="宋体"/>
          <w:szCs w:val="21"/>
        </w:rPr>
      </w:pPr>
      <w:r>
        <w:rPr>
          <w:rFonts w:hint="eastAsia" w:ascii="宋体" w:hAnsi="宋体" w:cs="宋体"/>
          <w:szCs w:val="21"/>
        </w:rPr>
        <w:t>投标文件由投标报价文件、资格证明文件、商务文件、技术文件组成。电子投标文件中所须加盖公章部分均采用CA签章。（具体要求详见第六章 投标文件组成）</w:t>
      </w:r>
    </w:p>
    <w:p>
      <w:pPr>
        <w:snapToGrid w:val="0"/>
        <w:spacing w:line="360" w:lineRule="auto"/>
        <w:ind w:firstLine="413" w:firstLineChars="196"/>
        <w:jc w:val="left"/>
        <w:rPr>
          <w:rFonts w:ascii="宋体" w:hAnsi="宋体" w:cs="宋体"/>
          <w:b/>
          <w:szCs w:val="21"/>
        </w:rPr>
      </w:pPr>
      <w:r>
        <w:rPr>
          <w:rFonts w:hint="eastAsia" w:ascii="宋体" w:hAnsi="宋体" w:cs="宋体"/>
          <w:b/>
          <w:szCs w:val="21"/>
        </w:rPr>
        <w:t>（三）投标文件的语言及计量</w:t>
      </w:r>
    </w:p>
    <w:p>
      <w:pPr>
        <w:pStyle w:val="15"/>
        <w:snapToGrid w:val="0"/>
        <w:spacing w:line="360" w:lineRule="auto"/>
        <w:ind w:firstLine="415" w:firstLineChars="198"/>
        <w:rPr>
          <w:rFonts w:hAnsi="宋体" w:cs="宋体"/>
          <w:sz w:val="21"/>
        </w:rPr>
      </w:pPr>
      <w:r>
        <w:rPr>
          <w:rFonts w:hint="eastAsia" w:hAnsi="宋体" w:cs="宋体"/>
          <w:sz w:val="21"/>
        </w:rPr>
        <w:t>1、投标文件以及投标人与采购代理机构就有关投标事宜的所有来往函电，均应以中文汉语书写。除签名、盖章、专用名称、特殊证明材料等情形外，以中文汉语以外的文字表述的投标文件视同未提供。</w:t>
      </w:r>
    </w:p>
    <w:p>
      <w:pPr>
        <w:pStyle w:val="15"/>
        <w:snapToGrid w:val="0"/>
        <w:spacing w:line="360" w:lineRule="auto"/>
        <w:ind w:firstLine="415" w:firstLineChars="198"/>
        <w:rPr>
          <w:rFonts w:hAnsi="宋体" w:cs="宋体"/>
          <w:sz w:val="21"/>
        </w:rPr>
      </w:pPr>
      <w:r>
        <w:rPr>
          <w:rFonts w:hint="eastAsia" w:hAnsi="宋体" w:cs="宋体"/>
          <w:sz w:val="21"/>
        </w:rPr>
        <w:t>2、投标计量单位，应采用中华人民共和国法定计量单位（货币单位：人民币元），否则视同未响应。</w:t>
      </w:r>
    </w:p>
    <w:p>
      <w:pPr>
        <w:snapToGrid w:val="0"/>
        <w:spacing w:line="360" w:lineRule="auto"/>
        <w:ind w:firstLine="413" w:firstLineChars="196"/>
        <w:jc w:val="left"/>
        <w:rPr>
          <w:rFonts w:ascii="宋体" w:hAnsi="宋体" w:cs="宋体"/>
          <w:b/>
          <w:szCs w:val="21"/>
        </w:rPr>
      </w:pPr>
      <w:r>
        <w:rPr>
          <w:rFonts w:hint="eastAsia" w:ascii="宋体" w:hAnsi="宋体" w:cs="宋体"/>
          <w:b/>
          <w:szCs w:val="21"/>
        </w:rPr>
        <w:t>（四）投标报价与相关费用</w:t>
      </w:r>
    </w:p>
    <w:p>
      <w:pPr>
        <w:pStyle w:val="15"/>
        <w:snapToGrid w:val="0"/>
        <w:spacing w:line="360" w:lineRule="auto"/>
        <w:ind w:firstLine="415" w:firstLineChars="198"/>
        <w:rPr>
          <w:rFonts w:hAnsi="宋体" w:cs="宋体"/>
          <w:sz w:val="21"/>
        </w:rPr>
      </w:pPr>
      <w:r>
        <w:rPr>
          <w:rFonts w:hint="eastAsia" w:hAnsi="宋体" w:cs="宋体"/>
          <w:sz w:val="21"/>
        </w:rPr>
        <w:t>详见投标人须知前附表。</w:t>
      </w:r>
    </w:p>
    <w:p>
      <w:pPr>
        <w:pStyle w:val="15"/>
        <w:snapToGrid w:val="0"/>
        <w:spacing w:line="360" w:lineRule="auto"/>
        <w:ind w:firstLine="417" w:firstLineChars="198"/>
        <w:rPr>
          <w:rFonts w:hAnsi="宋体" w:cs="宋体"/>
          <w:b/>
          <w:sz w:val="21"/>
        </w:rPr>
      </w:pPr>
      <w:r>
        <w:rPr>
          <w:rFonts w:hint="eastAsia" w:hAnsi="宋体" w:cs="宋体"/>
          <w:b/>
          <w:sz w:val="21"/>
        </w:rPr>
        <w:t>（五）投标文件的有效期</w:t>
      </w:r>
    </w:p>
    <w:p>
      <w:pPr>
        <w:pStyle w:val="15"/>
        <w:snapToGrid w:val="0"/>
        <w:spacing w:line="360" w:lineRule="auto"/>
        <w:ind w:firstLine="420" w:firstLineChars="200"/>
        <w:rPr>
          <w:rFonts w:hAnsi="宋体" w:cs="宋体"/>
          <w:sz w:val="21"/>
        </w:rPr>
      </w:pPr>
      <w:r>
        <w:rPr>
          <w:rFonts w:hint="eastAsia" w:hAnsi="宋体" w:cs="宋体"/>
          <w:sz w:val="21"/>
        </w:rPr>
        <w:t>1、自投标截止日起90天投标文件应保持有效。有效期不足的投标文件将被拒绝。</w:t>
      </w:r>
    </w:p>
    <w:p>
      <w:pPr>
        <w:pStyle w:val="15"/>
        <w:snapToGrid w:val="0"/>
        <w:spacing w:line="360" w:lineRule="auto"/>
        <w:ind w:firstLine="415" w:firstLineChars="198"/>
        <w:rPr>
          <w:rFonts w:hAnsi="宋体" w:cs="宋体"/>
          <w:sz w:val="21"/>
        </w:rPr>
      </w:pPr>
      <w:r>
        <w:rPr>
          <w:rFonts w:hint="eastAsia" w:hAnsi="宋体" w:cs="宋体"/>
          <w:sz w:val="21"/>
        </w:rPr>
        <w:t>2、在特殊情况下，采购人可与投标人协商延长投标文件的有效期，这种要求和答复均以书面形式进行。</w:t>
      </w:r>
    </w:p>
    <w:p>
      <w:pPr>
        <w:pStyle w:val="15"/>
        <w:snapToGrid w:val="0"/>
        <w:spacing w:line="360" w:lineRule="auto"/>
        <w:ind w:firstLine="415" w:firstLineChars="198"/>
        <w:rPr>
          <w:rFonts w:hAnsi="宋体" w:cs="宋体"/>
          <w:sz w:val="21"/>
        </w:rPr>
      </w:pPr>
      <w:r>
        <w:rPr>
          <w:rFonts w:hint="eastAsia" w:hAnsi="宋体" w:cs="宋体"/>
          <w:sz w:val="21"/>
        </w:rPr>
        <w:t>3、中标人的投标文件自开标之日起至合同履行完毕止均应保持有效。</w:t>
      </w:r>
    </w:p>
    <w:p>
      <w:pPr>
        <w:snapToGrid w:val="0"/>
        <w:spacing w:line="360" w:lineRule="auto"/>
        <w:ind w:firstLine="422" w:firstLineChars="200"/>
        <w:jc w:val="left"/>
        <w:rPr>
          <w:rFonts w:ascii="宋体" w:hAnsi="宋体" w:cs="宋体"/>
          <w:b/>
          <w:szCs w:val="21"/>
        </w:rPr>
      </w:pPr>
      <w:r>
        <w:rPr>
          <w:rFonts w:hint="eastAsia" w:ascii="宋体" w:hAnsi="宋体" w:cs="宋体"/>
          <w:b/>
          <w:szCs w:val="21"/>
        </w:rPr>
        <w:t>（六）投标文件的签署和编制</w:t>
      </w:r>
    </w:p>
    <w:p>
      <w:pPr>
        <w:adjustRightInd w:val="0"/>
        <w:snapToGrid w:val="0"/>
        <w:spacing w:line="460" w:lineRule="exact"/>
        <w:ind w:firstLine="422" w:firstLineChars="200"/>
        <w:rPr>
          <w:rFonts w:ascii="宋体" w:hAnsi="宋体" w:cs="宋体"/>
          <w:b/>
          <w:szCs w:val="21"/>
        </w:rPr>
      </w:pPr>
      <w:r>
        <w:rPr>
          <w:rFonts w:hint="eastAsia" w:ascii="宋体" w:hAnsi="宋体" w:cs="宋体"/>
          <w:b/>
          <w:szCs w:val="21"/>
        </w:rPr>
        <w:t>1、电子投标文件部分：</w:t>
      </w:r>
    </w:p>
    <w:p>
      <w:pPr>
        <w:adjustRightInd w:val="0"/>
        <w:snapToGrid w:val="0"/>
        <w:spacing w:line="460" w:lineRule="exact"/>
        <w:ind w:firstLine="422" w:firstLineChars="200"/>
        <w:rPr>
          <w:rFonts w:ascii="宋体" w:hAnsi="宋体" w:cs="宋体"/>
          <w:b/>
          <w:szCs w:val="21"/>
        </w:rPr>
      </w:pPr>
      <w:r>
        <w:rPr>
          <w:rFonts w:hint="eastAsia" w:ascii="宋体" w:hAnsi="宋体" w:cs="宋体"/>
          <w:b/>
          <w:szCs w:val="21"/>
        </w:rPr>
        <w:t>投标人应根据“政采云供应商项目采购-电子招投标操作指南”及本招标文件规定的格式和顺序编制电子投标文件并进行关联定位。</w:t>
      </w:r>
    </w:p>
    <w:p>
      <w:pPr>
        <w:adjustRightInd w:val="0"/>
        <w:snapToGrid w:val="0"/>
        <w:spacing w:line="460" w:lineRule="exact"/>
        <w:ind w:firstLine="422" w:firstLineChars="200"/>
        <w:rPr>
          <w:rFonts w:ascii="宋体" w:hAnsi="宋体" w:cs="宋体"/>
          <w:b/>
          <w:szCs w:val="21"/>
        </w:rPr>
      </w:pPr>
      <w:r>
        <w:rPr>
          <w:rFonts w:hint="eastAsia" w:ascii="宋体" w:hAnsi="宋体" w:cs="宋体"/>
          <w:b/>
          <w:szCs w:val="21"/>
        </w:rPr>
        <w:t>2、以介质存储的数据电文形式的备份投标文件部分：</w:t>
      </w:r>
    </w:p>
    <w:p>
      <w:pPr>
        <w:adjustRightInd w:val="0"/>
        <w:snapToGrid w:val="0"/>
        <w:spacing w:line="460" w:lineRule="exact"/>
        <w:ind w:firstLine="422" w:firstLineChars="200"/>
        <w:rPr>
          <w:rFonts w:ascii="宋体" w:hAnsi="宋体" w:cs="宋体"/>
          <w:b/>
          <w:szCs w:val="21"/>
        </w:rPr>
      </w:pPr>
      <w:r>
        <w:rPr>
          <w:rFonts w:hint="eastAsia" w:ascii="宋体" w:hAnsi="宋体" w:cs="宋体"/>
          <w:b/>
          <w:szCs w:val="21"/>
        </w:rPr>
        <w:t>备份电子投标文件，以DVD光盘、U盘形式存储。</w:t>
      </w:r>
    </w:p>
    <w:p>
      <w:pPr>
        <w:snapToGrid w:val="0"/>
        <w:spacing w:line="360" w:lineRule="auto"/>
        <w:ind w:firstLine="413" w:firstLineChars="196"/>
        <w:jc w:val="left"/>
        <w:rPr>
          <w:rFonts w:ascii="宋体" w:hAnsi="宋体" w:cs="宋体"/>
          <w:b/>
          <w:szCs w:val="21"/>
        </w:rPr>
      </w:pPr>
      <w:r>
        <w:rPr>
          <w:rFonts w:hint="eastAsia" w:ascii="宋体" w:hAnsi="宋体" w:cs="宋体"/>
          <w:b/>
          <w:szCs w:val="21"/>
        </w:rPr>
        <w:t>（七）备份投标文件的修改和撤回</w:t>
      </w:r>
    </w:p>
    <w:p>
      <w:pPr>
        <w:pStyle w:val="15"/>
        <w:snapToGrid w:val="0"/>
        <w:spacing w:line="360" w:lineRule="auto"/>
        <w:ind w:firstLine="415" w:firstLineChars="198"/>
        <w:rPr>
          <w:rFonts w:hAnsi="宋体" w:cs="宋体"/>
          <w:sz w:val="21"/>
        </w:rPr>
      </w:pPr>
      <w:r>
        <w:rPr>
          <w:rFonts w:hint="eastAsia" w:hAnsi="宋体" w:cs="宋体"/>
          <w:sz w:val="21"/>
        </w:rPr>
        <w:t>投标人在投标截止时间之前，可以对已提交的投标文件进行修改或撤回，并书面形式（投标人代表签字）通知采购代理机构；投标截止时间后，投标人不得撤回、修改投标文件。修改后重新递交的投标文件应当按本招标文件的要求密封和签字。</w:t>
      </w:r>
    </w:p>
    <w:p>
      <w:pPr>
        <w:snapToGrid w:val="0"/>
        <w:spacing w:line="360" w:lineRule="auto"/>
        <w:ind w:firstLine="422" w:firstLineChars="200"/>
        <w:rPr>
          <w:rFonts w:ascii="宋体" w:hAnsi="宋体" w:cs="宋体"/>
          <w:b/>
          <w:szCs w:val="21"/>
        </w:rPr>
      </w:pPr>
      <w:r>
        <w:rPr>
          <w:rFonts w:hint="eastAsia" w:ascii="宋体" w:hAnsi="宋体" w:cs="宋体"/>
          <w:b/>
          <w:szCs w:val="21"/>
        </w:rPr>
        <w:t>（八）投标无效的情形</w:t>
      </w:r>
    </w:p>
    <w:p>
      <w:pPr>
        <w:pStyle w:val="15"/>
        <w:snapToGrid w:val="0"/>
        <w:spacing w:line="360" w:lineRule="auto"/>
        <w:ind w:firstLine="415" w:firstLineChars="198"/>
        <w:rPr>
          <w:rFonts w:hAnsi="宋体" w:cs="宋体"/>
          <w:sz w:val="21"/>
        </w:rPr>
      </w:pPr>
      <w:r>
        <w:rPr>
          <w:rFonts w:hint="eastAsia" w:hAnsi="宋体" w:cs="宋体"/>
          <w:sz w:val="21"/>
        </w:rPr>
        <w:t>实质上没有响应招标文件要求的投标将被视为无效投标。投标人不得通过修正或撤消不合要求的偏离或保留从而使其投标成为实质上响应的投标。经评审小组认定属于投标人笔误所造成的差错，应当允许其在评标结束之前进行修改或者补正（可以是复印件、传真件等）。修改或者补正投标文件必须以书面形式进行，并应在中标结果公告之前查核原件。限期内不补正或经补正后仍不符合招标文件要求的，应认定其投标无效。投标人修改、补正投标文件后，不影响评审小组对其投标文件所作的评价和评分结果。</w:t>
      </w:r>
    </w:p>
    <w:p>
      <w:pPr>
        <w:pStyle w:val="15"/>
        <w:snapToGrid w:val="0"/>
        <w:spacing w:line="360" w:lineRule="auto"/>
        <w:ind w:firstLine="417" w:firstLineChars="198"/>
        <w:rPr>
          <w:rFonts w:hAnsi="宋体" w:cs="宋体"/>
          <w:b/>
          <w:sz w:val="21"/>
        </w:rPr>
      </w:pPr>
      <w:r>
        <w:rPr>
          <w:rFonts w:hint="eastAsia" w:hAnsi="宋体" w:cs="宋体"/>
          <w:b/>
          <w:sz w:val="21"/>
        </w:rPr>
        <w:t>1、在符合性审查和商务评审时，如发现下列情形之一的，投标文件将被视为无效投标：</w:t>
      </w:r>
    </w:p>
    <w:p>
      <w:pPr>
        <w:snapToGrid w:val="0"/>
        <w:spacing w:line="360" w:lineRule="auto"/>
        <w:ind w:firstLine="417" w:firstLineChars="198"/>
        <w:rPr>
          <w:rFonts w:ascii="宋体" w:hAnsi="宋体" w:cs="宋体"/>
          <w:b/>
          <w:szCs w:val="21"/>
        </w:rPr>
      </w:pPr>
      <w:r>
        <w:rPr>
          <w:rFonts w:hint="eastAsia" w:ascii="宋体" w:hAnsi="宋体" w:cs="宋体"/>
          <w:b/>
          <w:szCs w:val="21"/>
        </w:rPr>
        <w:t>1.1电子投标文件解密失败的，且未在规定时间内提交有效备份投标文件的；</w:t>
      </w:r>
    </w:p>
    <w:p>
      <w:pPr>
        <w:pStyle w:val="15"/>
        <w:snapToGrid w:val="0"/>
        <w:spacing w:line="360" w:lineRule="auto"/>
        <w:ind w:firstLine="415" w:firstLineChars="198"/>
        <w:rPr>
          <w:rFonts w:hAnsi="宋体" w:cs="宋体"/>
          <w:sz w:val="21"/>
        </w:rPr>
      </w:pPr>
      <w:r>
        <w:rPr>
          <w:rFonts w:hint="eastAsia" w:hAnsi="宋体" w:cs="宋体"/>
          <w:sz w:val="21"/>
        </w:rPr>
        <w:t>1.2未按招标文件要求密封、签字、盖章的；</w:t>
      </w:r>
    </w:p>
    <w:p>
      <w:pPr>
        <w:pStyle w:val="15"/>
        <w:snapToGrid w:val="0"/>
        <w:spacing w:line="360" w:lineRule="auto"/>
        <w:ind w:firstLine="415" w:firstLineChars="198"/>
        <w:rPr>
          <w:rFonts w:hAnsi="宋体" w:cs="宋体"/>
          <w:sz w:val="21"/>
        </w:rPr>
      </w:pPr>
      <w:r>
        <w:rPr>
          <w:rFonts w:hint="eastAsia" w:hAnsi="宋体" w:cs="宋体"/>
          <w:sz w:val="21"/>
        </w:rPr>
        <w:t>1.3资格证明文件不全的，或者不符合招标文件标明的资格要求的；</w:t>
      </w:r>
    </w:p>
    <w:p>
      <w:pPr>
        <w:pStyle w:val="15"/>
        <w:snapToGrid w:val="0"/>
        <w:spacing w:line="360" w:lineRule="auto"/>
        <w:ind w:firstLine="415" w:firstLineChars="198"/>
        <w:rPr>
          <w:rFonts w:hAnsi="宋体" w:cs="宋体"/>
          <w:sz w:val="21"/>
        </w:rPr>
      </w:pPr>
      <w:r>
        <w:rPr>
          <w:rFonts w:hint="eastAsia" w:hAnsi="宋体" w:cs="宋体"/>
          <w:sz w:val="21"/>
        </w:rPr>
        <w:t>1.4投标文件组成不全的；</w:t>
      </w:r>
    </w:p>
    <w:p>
      <w:pPr>
        <w:pStyle w:val="15"/>
        <w:snapToGrid w:val="0"/>
        <w:spacing w:line="360" w:lineRule="auto"/>
        <w:ind w:firstLine="415" w:firstLineChars="198"/>
        <w:rPr>
          <w:rFonts w:hAnsi="宋体" w:cs="宋体"/>
          <w:sz w:val="21"/>
        </w:rPr>
      </w:pPr>
      <w:r>
        <w:rPr>
          <w:rFonts w:hint="eastAsia" w:hAnsi="宋体" w:cs="宋体"/>
          <w:sz w:val="21"/>
        </w:rPr>
        <w:t>1.5投标文件的实质性内容未使用中文表述、意思表述不明确、前后矛盾或者使用计量单位不符合招标文件要求的；（经评审小组认定允许其当场更正的笔误除外）</w:t>
      </w:r>
    </w:p>
    <w:p>
      <w:pPr>
        <w:pStyle w:val="15"/>
        <w:snapToGrid w:val="0"/>
        <w:spacing w:line="360" w:lineRule="auto"/>
        <w:ind w:firstLine="415" w:firstLineChars="198"/>
        <w:rPr>
          <w:rFonts w:hAnsi="宋体" w:cs="宋体"/>
          <w:sz w:val="21"/>
        </w:rPr>
      </w:pPr>
      <w:r>
        <w:rPr>
          <w:rFonts w:hint="eastAsia" w:hAnsi="宋体" w:cs="宋体"/>
          <w:sz w:val="21"/>
        </w:rPr>
        <w:t>1.6投标文件的关键内容字迹模糊、无法辨认的，或者投标文件中经修正的内容字迹模糊难以辩认或者修改处未按规定签名盖章的；</w:t>
      </w:r>
    </w:p>
    <w:p>
      <w:pPr>
        <w:pStyle w:val="15"/>
        <w:snapToGrid w:val="0"/>
        <w:spacing w:line="360" w:lineRule="auto"/>
        <w:ind w:firstLine="415" w:firstLineChars="198"/>
        <w:rPr>
          <w:rFonts w:hAnsi="宋体" w:cs="宋体"/>
          <w:sz w:val="21"/>
        </w:rPr>
      </w:pPr>
      <w:r>
        <w:rPr>
          <w:rFonts w:hint="eastAsia" w:hAnsi="宋体" w:cs="宋体"/>
          <w:sz w:val="21"/>
        </w:rPr>
        <w:t>1.7实质性条款不能满足招标文件要求的；</w:t>
      </w:r>
    </w:p>
    <w:p>
      <w:pPr>
        <w:pStyle w:val="15"/>
        <w:snapToGrid w:val="0"/>
        <w:spacing w:line="360" w:lineRule="auto"/>
        <w:ind w:firstLine="415" w:firstLineChars="198"/>
        <w:rPr>
          <w:rFonts w:hAnsi="宋体" w:cs="宋体"/>
          <w:sz w:val="21"/>
        </w:rPr>
      </w:pPr>
      <w:r>
        <w:rPr>
          <w:rFonts w:hint="eastAsia" w:hAnsi="宋体" w:cs="宋体"/>
          <w:sz w:val="21"/>
        </w:rPr>
        <w:t>1.8不响应招标文件要求或者投标文件有采购人不能接受的附加条件的；</w:t>
      </w:r>
    </w:p>
    <w:p>
      <w:pPr>
        <w:pStyle w:val="15"/>
        <w:snapToGrid w:val="0"/>
        <w:spacing w:line="360" w:lineRule="auto"/>
        <w:ind w:firstLine="415" w:firstLineChars="198"/>
        <w:rPr>
          <w:rFonts w:hAnsi="宋体" w:cs="宋体"/>
          <w:sz w:val="21"/>
        </w:rPr>
      </w:pPr>
      <w:r>
        <w:rPr>
          <w:rFonts w:hint="eastAsia" w:hAnsi="宋体" w:cs="宋体"/>
          <w:sz w:val="21"/>
        </w:rPr>
        <w:t>1.9 投标文件没有按招标文件要求提供有标“▲”的条款的资料和材料的；</w:t>
      </w:r>
    </w:p>
    <w:p>
      <w:pPr>
        <w:pStyle w:val="15"/>
        <w:snapToGrid w:val="0"/>
        <w:spacing w:line="360" w:lineRule="auto"/>
        <w:ind w:firstLine="415" w:firstLineChars="198"/>
        <w:rPr>
          <w:rFonts w:hAnsi="宋体" w:cs="宋体"/>
          <w:sz w:val="21"/>
        </w:rPr>
      </w:pPr>
      <w:r>
        <w:rPr>
          <w:rFonts w:hint="eastAsia" w:hAnsi="宋体" w:cs="宋体"/>
          <w:sz w:val="21"/>
        </w:rPr>
        <w:t>1.10投标文件资格证明、商务、技术部分中出现投标报价信息的。</w:t>
      </w:r>
    </w:p>
    <w:p>
      <w:pPr>
        <w:pStyle w:val="15"/>
        <w:snapToGrid w:val="0"/>
        <w:spacing w:line="360" w:lineRule="auto"/>
        <w:ind w:firstLine="417" w:firstLineChars="198"/>
        <w:rPr>
          <w:rFonts w:hAnsi="宋体" w:cs="宋体"/>
          <w:b/>
          <w:sz w:val="21"/>
        </w:rPr>
      </w:pPr>
      <w:r>
        <w:rPr>
          <w:rFonts w:hint="eastAsia" w:hAnsi="宋体" w:cs="宋体"/>
          <w:b/>
          <w:sz w:val="21"/>
        </w:rPr>
        <w:t>2、在技术评审时，如发现下列情形之一的，投标文件将被视为无效投标：</w:t>
      </w:r>
    </w:p>
    <w:p>
      <w:pPr>
        <w:pStyle w:val="15"/>
        <w:snapToGrid w:val="0"/>
        <w:spacing w:line="360" w:lineRule="auto"/>
        <w:ind w:firstLine="415" w:firstLineChars="198"/>
        <w:rPr>
          <w:rFonts w:hAnsi="宋体" w:cs="宋体"/>
          <w:sz w:val="21"/>
        </w:rPr>
      </w:pPr>
      <w:r>
        <w:rPr>
          <w:rFonts w:hint="eastAsia" w:hAnsi="宋体" w:cs="宋体"/>
          <w:sz w:val="21"/>
        </w:rPr>
        <w:t>2.1投标文件标明的响应或偏离与事实不符或虚假投标的；</w:t>
      </w:r>
    </w:p>
    <w:p>
      <w:pPr>
        <w:pStyle w:val="15"/>
        <w:snapToGrid w:val="0"/>
        <w:spacing w:line="360" w:lineRule="auto"/>
        <w:ind w:firstLine="415" w:firstLineChars="198"/>
        <w:rPr>
          <w:rFonts w:hAnsi="宋体" w:cs="宋体"/>
          <w:sz w:val="21"/>
        </w:rPr>
      </w:pPr>
      <w:r>
        <w:rPr>
          <w:rFonts w:hint="eastAsia" w:hAnsi="宋体" w:cs="宋体"/>
          <w:sz w:val="21"/>
        </w:rPr>
        <w:t>2.2明显不符合招标文件中标“▲”的技术指标、主要功能项目发生实质性偏离的；</w:t>
      </w:r>
    </w:p>
    <w:p>
      <w:pPr>
        <w:pStyle w:val="15"/>
        <w:snapToGrid w:val="0"/>
        <w:spacing w:line="360" w:lineRule="auto"/>
        <w:ind w:firstLine="415" w:firstLineChars="198"/>
        <w:rPr>
          <w:rFonts w:hAnsi="宋体" w:cs="宋体"/>
          <w:sz w:val="21"/>
        </w:rPr>
      </w:pPr>
      <w:r>
        <w:rPr>
          <w:rFonts w:hint="eastAsia" w:hAnsi="宋体" w:cs="宋体"/>
          <w:sz w:val="21"/>
        </w:rPr>
        <w:t>2.3投标技术方案不明确，存在一个或一个以上备选（替代）投标的；</w:t>
      </w:r>
    </w:p>
    <w:p>
      <w:pPr>
        <w:pStyle w:val="15"/>
        <w:snapToGrid w:val="0"/>
        <w:spacing w:line="360" w:lineRule="auto"/>
        <w:ind w:firstLine="417" w:firstLineChars="198"/>
        <w:rPr>
          <w:rFonts w:hAnsi="宋体" w:cs="宋体"/>
          <w:b/>
          <w:sz w:val="21"/>
        </w:rPr>
      </w:pPr>
      <w:r>
        <w:rPr>
          <w:rFonts w:hint="eastAsia" w:hAnsi="宋体" w:cs="宋体"/>
          <w:b/>
          <w:sz w:val="21"/>
        </w:rPr>
        <w:t>3、在投标报价文件评审时，如发现下列情形之一的，投标文件将被视为无效投标：</w:t>
      </w:r>
    </w:p>
    <w:p>
      <w:pPr>
        <w:pStyle w:val="15"/>
        <w:snapToGrid w:val="0"/>
        <w:spacing w:line="360" w:lineRule="auto"/>
        <w:ind w:firstLine="417" w:firstLineChars="198"/>
        <w:rPr>
          <w:rFonts w:hAnsi="宋体" w:cs="宋体"/>
          <w:b/>
          <w:sz w:val="21"/>
        </w:rPr>
      </w:pPr>
      <w:r>
        <w:rPr>
          <w:rFonts w:hint="eastAsia" w:hAnsi="宋体" w:cs="宋体"/>
          <w:b/>
          <w:sz w:val="21"/>
        </w:rPr>
        <w:t>3.1超过项目的预算金额或最高限价的；</w:t>
      </w:r>
    </w:p>
    <w:p>
      <w:pPr>
        <w:pStyle w:val="15"/>
        <w:snapToGrid w:val="0"/>
        <w:spacing w:line="360" w:lineRule="auto"/>
        <w:ind w:firstLine="417" w:firstLineChars="198"/>
        <w:rPr>
          <w:rFonts w:hAnsi="宋体" w:cs="宋体"/>
          <w:b/>
          <w:sz w:val="21"/>
        </w:rPr>
      </w:pPr>
      <w:r>
        <w:rPr>
          <w:rFonts w:hint="eastAsia" w:hAnsi="宋体" w:cs="宋体"/>
          <w:b/>
          <w:sz w:val="21"/>
        </w:rPr>
        <w:t>3.2有选择或有条件的报价的；</w:t>
      </w:r>
    </w:p>
    <w:p>
      <w:pPr>
        <w:pStyle w:val="15"/>
        <w:snapToGrid w:val="0"/>
        <w:spacing w:line="360" w:lineRule="auto"/>
        <w:ind w:firstLine="417" w:firstLineChars="198"/>
        <w:rPr>
          <w:rFonts w:hAnsi="宋体" w:cs="宋体"/>
          <w:b/>
          <w:sz w:val="21"/>
        </w:rPr>
      </w:pPr>
      <w:r>
        <w:rPr>
          <w:rFonts w:hint="eastAsia" w:hAnsi="宋体" w:cs="宋体"/>
          <w:b/>
          <w:sz w:val="21"/>
        </w:rPr>
        <w:t>3.3 报价文件中缺失报价的。</w:t>
      </w:r>
    </w:p>
    <w:p>
      <w:pPr>
        <w:snapToGrid w:val="0"/>
        <w:spacing w:line="360" w:lineRule="auto"/>
        <w:ind w:firstLine="417" w:firstLineChars="198"/>
        <w:rPr>
          <w:rFonts w:ascii="宋体" w:hAnsi="宋体" w:cs="宋体"/>
          <w:b/>
          <w:szCs w:val="21"/>
        </w:rPr>
      </w:pPr>
      <w:r>
        <w:rPr>
          <w:rFonts w:hint="eastAsia" w:ascii="宋体" w:hAnsi="宋体" w:cs="宋体"/>
          <w:b/>
          <w:szCs w:val="21"/>
        </w:rPr>
        <w:t>4、被拒绝的投标文件为无效。</w:t>
      </w:r>
    </w:p>
    <w:p>
      <w:pPr>
        <w:snapToGrid w:val="0"/>
        <w:spacing w:line="360" w:lineRule="auto"/>
        <w:ind w:firstLine="417" w:firstLineChars="198"/>
        <w:rPr>
          <w:rFonts w:ascii="宋体" w:hAnsi="宋体" w:cs="宋体"/>
          <w:b/>
          <w:szCs w:val="21"/>
        </w:rPr>
      </w:pPr>
      <w:r>
        <w:rPr>
          <w:rFonts w:hint="eastAsia" w:ascii="宋体" w:hAnsi="宋体" w:cs="宋体"/>
          <w:b/>
          <w:szCs w:val="21"/>
        </w:rPr>
        <w:t>（九）出现以下情形，导致电子交易平台无法正常运行，或者无法保证电子交易的公平、公正和安全时，中止电子交易活动：</w:t>
      </w:r>
    </w:p>
    <w:p>
      <w:pPr>
        <w:snapToGrid w:val="0"/>
        <w:spacing w:line="360" w:lineRule="auto"/>
        <w:ind w:firstLine="420" w:firstLineChars="200"/>
        <w:rPr>
          <w:rFonts w:ascii="宋体" w:hAnsi="宋体" w:cs="宋体"/>
          <w:bCs/>
          <w:szCs w:val="21"/>
        </w:rPr>
      </w:pPr>
      <w:r>
        <w:rPr>
          <w:rFonts w:hint="eastAsia" w:ascii="宋体" w:hAnsi="宋体" w:cs="宋体"/>
          <w:bCs/>
          <w:szCs w:val="21"/>
        </w:rPr>
        <w:t>1、电子交易平台发生故障而无法登录访问的；</w:t>
      </w:r>
    </w:p>
    <w:p>
      <w:pPr>
        <w:snapToGrid w:val="0"/>
        <w:spacing w:line="360" w:lineRule="auto"/>
        <w:ind w:firstLine="420" w:firstLineChars="200"/>
        <w:rPr>
          <w:rFonts w:ascii="宋体" w:hAnsi="宋体" w:cs="宋体"/>
          <w:bCs/>
          <w:szCs w:val="21"/>
        </w:rPr>
      </w:pPr>
      <w:r>
        <w:rPr>
          <w:rFonts w:hint="eastAsia" w:ascii="宋体" w:hAnsi="宋体" w:cs="宋体"/>
          <w:bCs/>
          <w:szCs w:val="21"/>
        </w:rPr>
        <w:t>2、电子交易平台应用或数据库出现错误，不能进行正常操作的；</w:t>
      </w:r>
    </w:p>
    <w:p>
      <w:pPr>
        <w:snapToGrid w:val="0"/>
        <w:spacing w:line="360" w:lineRule="auto"/>
        <w:ind w:firstLine="420" w:firstLineChars="200"/>
        <w:rPr>
          <w:rFonts w:ascii="宋体" w:hAnsi="宋体" w:cs="宋体"/>
          <w:bCs/>
          <w:szCs w:val="21"/>
        </w:rPr>
      </w:pPr>
      <w:r>
        <w:rPr>
          <w:rFonts w:hint="eastAsia" w:ascii="宋体" w:hAnsi="宋体" w:cs="宋体"/>
          <w:bCs/>
          <w:szCs w:val="21"/>
        </w:rPr>
        <w:t>3、电子交易平台发现严重安全漏洞，有潜在泄密危险的；</w:t>
      </w:r>
    </w:p>
    <w:p>
      <w:pPr>
        <w:snapToGrid w:val="0"/>
        <w:spacing w:line="360" w:lineRule="auto"/>
        <w:ind w:firstLine="420" w:firstLineChars="200"/>
        <w:rPr>
          <w:rFonts w:ascii="宋体" w:hAnsi="宋体" w:cs="宋体"/>
          <w:bCs/>
          <w:szCs w:val="21"/>
        </w:rPr>
      </w:pPr>
      <w:r>
        <w:rPr>
          <w:rFonts w:hint="eastAsia" w:ascii="宋体" w:hAnsi="宋体" w:cs="宋体"/>
          <w:bCs/>
          <w:szCs w:val="21"/>
        </w:rPr>
        <w:t>4、病毒发作导致不能进行正常操作的；</w:t>
      </w:r>
    </w:p>
    <w:p>
      <w:pPr>
        <w:snapToGrid w:val="0"/>
        <w:spacing w:line="360" w:lineRule="auto"/>
        <w:ind w:firstLine="420" w:firstLineChars="200"/>
        <w:rPr>
          <w:rFonts w:ascii="宋体" w:hAnsi="宋体" w:cs="宋体"/>
          <w:bCs/>
          <w:szCs w:val="21"/>
        </w:rPr>
      </w:pPr>
      <w:r>
        <w:rPr>
          <w:rFonts w:hint="eastAsia" w:ascii="宋体" w:hAnsi="宋体" w:cs="宋体"/>
          <w:bCs/>
          <w:szCs w:val="21"/>
        </w:rPr>
        <w:t>5、其他无法保证电子交易的公平、公正和安全的情况。</w:t>
      </w:r>
    </w:p>
    <w:p>
      <w:pPr>
        <w:snapToGrid w:val="0"/>
        <w:spacing w:line="360" w:lineRule="auto"/>
        <w:ind w:firstLine="415" w:firstLineChars="198"/>
        <w:rPr>
          <w:rFonts w:ascii="宋体" w:hAnsi="宋体" w:cs="宋体"/>
          <w:bCs/>
          <w:szCs w:val="21"/>
        </w:rPr>
      </w:pPr>
      <w:r>
        <w:rPr>
          <w:rFonts w:hint="eastAsia" w:ascii="宋体" w:hAnsi="宋体" w:cs="宋体"/>
          <w:bCs/>
          <w:szCs w:val="21"/>
        </w:rPr>
        <w:t>出现前款规定情形，不影响采购公平、公正性的，采购代理机构可以待上述情形消除后继续组织电子交易活动，也可以决定某些环节以纸质形式进行；影响或可能影响采购公平、公正性的，重新采购。</w:t>
      </w:r>
    </w:p>
    <w:p>
      <w:pPr>
        <w:pStyle w:val="43"/>
        <w:snapToGrid w:val="0"/>
        <w:spacing w:before="159" w:after="159" w:line="360" w:lineRule="auto"/>
        <w:ind w:right="-506" w:rightChars="-241"/>
        <w:jc w:val="center"/>
        <w:rPr>
          <w:rFonts w:ascii="Times New Roman" w:hAnsi="Times New Roman"/>
          <w:b/>
          <w:sz w:val="28"/>
          <w:szCs w:val="28"/>
        </w:rPr>
      </w:pPr>
      <w:r>
        <w:rPr>
          <w:rFonts w:ascii="Times New Roman" w:hAnsi="Times New Roman"/>
          <w:b/>
          <w:sz w:val="28"/>
          <w:szCs w:val="28"/>
        </w:rPr>
        <w:t>四、开标</w:t>
      </w:r>
    </w:p>
    <w:p>
      <w:pPr>
        <w:pStyle w:val="15"/>
        <w:snapToGrid w:val="0"/>
        <w:spacing w:line="360" w:lineRule="auto"/>
        <w:ind w:firstLine="422" w:firstLineChars="200"/>
        <w:rPr>
          <w:rFonts w:hAnsi="宋体" w:cs="宋体"/>
          <w:b/>
          <w:sz w:val="21"/>
        </w:rPr>
      </w:pPr>
      <w:r>
        <w:rPr>
          <w:rFonts w:hint="eastAsia" w:hAnsi="宋体" w:cs="宋体"/>
          <w:b/>
          <w:sz w:val="21"/>
        </w:rPr>
        <w:t>（一）开标准备</w:t>
      </w:r>
    </w:p>
    <w:p>
      <w:pPr>
        <w:pStyle w:val="15"/>
        <w:snapToGrid w:val="0"/>
        <w:spacing w:line="360" w:lineRule="auto"/>
        <w:ind w:firstLine="415" w:firstLineChars="198"/>
        <w:rPr>
          <w:rFonts w:hAnsi="宋体" w:cs="宋体"/>
          <w:sz w:val="21"/>
        </w:rPr>
      </w:pPr>
      <w:r>
        <w:rPr>
          <w:rFonts w:hint="eastAsia" w:hAnsi="宋体" w:cs="宋体"/>
          <w:sz w:val="21"/>
        </w:rPr>
        <w:t>采购代理机构将在规定的时间和地点进行开标。本项目不要求供应商授权代表参加现场开标、开启响应文件活动。</w:t>
      </w:r>
    </w:p>
    <w:p>
      <w:pPr>
        <w:pStyle w:val="15"/>
        <w:snapToGrid w:val="0"/>
        <w:spacing w:line="360" w:lineRule="auto"/>
        <w:ind w:firstLine="417" w:firstLineChars="198"/>
        <w:rPr>
          <w:rFonts w:hAnsi="宋体" w:cs="宋体"/>
          <w:b/>
          <w:sz w:val="21"/>
        </w:rPr>
      </w:pPr>
      <w:r>
        <w:rPr>
          <w:rFonts w:hint="eastAsia" w:hAnsi="宋体" w:cs="宋体"/>
          <w:b/>
          <w:sz w:val="21"/>
        </w:rPr>
        <w:t>（二）开标程序</w:t>
      </w:r>
    </w:p>
    <w:p>
      <w:pPr>
        <w:pStyle w:val="15"/>
        <w:snapToGrid w:val="0"/>
        <w:spacing w:line="360" w:lineRule="auto"/>
        <w:ind w:firstLine="415" w:firstLineChars="198"/>
        <w:rPr>
          <w:rFonts w:hAnsi="宋体" w:cs="宋体"/>
          <w:sz w:val="21"/>
        </w:rPr>
      </w:pPr>
      <w:r>
        <w:rPr>
          <w:rFonts w:hint="eastAsia" w:hAnsi="宋体" w:cs="宋体"/>
          <w:sz w:val="21"/>
        </w:rPr>
        <w:t>1、开标会由采购代理机构相关工作人员主持，主持人宣布开标会议开始。</w:t>
      </w:r>
    </w:p>
    <w:p>
      <w:pPr>
        <w:pStyle w:val="15"/>
        <w:snapToGrid w:val="0"/>
        <w:spacing w:line="360" w:lineRule="auto"/>
        <w:ind w:firstLine="415" w:firstLineChars="198"/>
        <w:rPr>
          <w:rFonts w:hAnsi="宋体" w:cs="宋体"/>
          <w:sz w:val="21"/>
        </w:rPr>
      </w:pPr>
      <w:r>
        <w:rPr>
          <w:rFonts w:hint="eastAsia" w:hAnsi="宋体" w:cs="宋体"/>
          <w:sz w:val="21"/>
        </w:rPr>
        <w:t>2、介绍参加开标会的人员名单。</w:t>
      </w:r>
    </w:p>
    <w:p>
      <w:pPr>
        <w:pStyle w:val="15"/>
        <w:snapToGrid w:val="0"/>
        <w:spacing w:line="360" w:lineRule="auto"/>
        <w:ind w:firstLine="415" w:firstLineChars="198"/>
        <w:rPr>
          <w:rFonts w:hAnsi="宋体" w:cs="宋体"/>
          <w:sz w:val="21"/>
        </w:rPr>
      </w:pPr>
      <w:r>
        <w:rPr>
          <w:rFonts w:hint="eastAsia" w:hAnsi="宋体" w:cs="宋体"/>
          <w:sz w:val="21"/>
        </w:rPr>
        <w:t>3、宣布开标纪律和有关事项，告知应当回避的情形，提请有关人员回避。</w:t>
      </w:r>
    </w:p>
    <w:p>
      <w:pPr>
        <w:pStyle w:val="15"/>
        <w:snapToGrid w:val="0"/>
        <w:spacing w:line="360" w:lineRule="auto"/>
        <w:ind w:firstLine="417" w:firstLineChars="198"/>
        <w:rPr>
          <w:rFonts w:hAnsi="宋体" w:cs="宋体"/>
          <w:b/>
          <w:sz w:val="21"/>
        </w:rPr>
      </w:pPr>
      <w:r>
        <w:rPr>
          <w:rFonts w:hint="eastAsia" w:hAnsi="宋体" w:cs="宋体"/>
          <w:b/>
          <w:sz w:val="21"/>
        </w:rPr>
        <w:t>4、电子招投标开标及评审程序</w:t>
      </w:r>
    </w:p>
    <w:p>
      <w:pPr>
        <w:pStyle w:val="15"/>
        <w:snapToGrid w:val="0"/>
        <w:spacing w:line="360" w:lineRule="auto"/>
        <w:ind w:firstLine="417" w:firstLineChars="198"/>
        <w:rPr>
          <w:rFonts w:hAnsi="宋体" w:cs="宋体"/>
          <w:b/>
          <w:sz w:val="21"/>
        </w:rPr>
      </w:pPr>
      <w:r>
        <w:rPr>
          <w:rFonts w:hint="eastAsia" w:hAnsi="宋体" w:cs="宋体"/>
          <w:b/>
          <w:sz w:val="21"/>
        </w:rPr>
        <w:t>4.1投标截止时间后，投标人登录政采云平台，用“项目采购-开标评标”功能对电子投标文件进行在线解密。</w:t>
      </w:r>
    </w:p>
    <w:p>
      <w:pPr>
        <w:pStyle w:val="15"/>
        <w:snapToGrid w:val="0"/>
        <w:spacing w:line="360" w:lineRule="auto"/>
        <w:ind w:firstLine="417" w:firstLineChars="198"/>
        <w:rPr>
          <w:rFonts w:hAnsi="宋体" w:cs="宋体"/>
          <w:b/>
          <w:sz w:val="21"/>
        </w:rPr>
      </w:pPr>
      <w:r>
        <w:rPr>
          <w:rFonts w:hint="eastAsia" w:hAnsi="宋体" w:cs="宋体"/>
          <w:b/>
          <w:sz w:val="21"/>
        </w:rPr>
        <w:t>4.2各投标人的资格由采购代理机构人员负责初审；</w:t>
      </w:r>
    </w:p>
    <w:p>
      <w:pPr>
        <w:pStyle w:val="15"/>
        <w:snapToGrid w:val="0"/>
        <w:spacing w:line="360" w:lineRule="auto"/>
        <w:ind w:firstLine="417" w:firstLineChars="198"/>
        <w:rPr>
          <w:rFonts w:hAnsi="宋体" w:cs="宋体"/>
          <w:b/>
          <w:sz w:val="21"/>
        </w:rPr>
      </w:pPr>
      <w:r>
        <w:rPr>
          <w:rFonts w:hint="eastAsia" w:hAnsi="宋体" w:cs="宋体"/>
          <w:b/>
          <w:sz w:val="21"/>
        </w:rPr>
        <w:t>4.3评标委员会对商务技术响应文件进行评审；</w:t>
      </w:r>
    </w:p>
    <w:p>
      <w:pPr>
        <w:pStyle w:val="15"/>
        <w:snapToGrid w:val="0"/>
        <w:spacing w:line="360" w:lineRule="auto"/>
        <w:ind w:firstLine="417" w:firstLineChars="198"/>
        <w:rPr>
          <w:rFonts w:hAnsi="宋体" w:cs="宋体"/>
          <w:b/>
          <w:sz w:val="21"/>
        </w:rPr>
      </w:pPr>
      <w:r>
        <w:rPr>
          <w:rFonts w:hint="eastAsia" w:hAnsi="宋体" w:cs="宋体"/>
          <w:b/>
          <w:sz w:val="21"/>
        </w:rPr>
        <w:t>4.4在系统上公开资格和商务技术评审结果；</w:t>
      </w:r>
    </w:p>
    <w:p>
      <w:pPr>
        <w:pStyle w:val="15"/>
        <w:snapToGrid w:val="0"/>
        <w:spacing w:line="360" w:lineRule="auto"/>
        <w:ind w:firstLine="417" w:firstLineChars="198"/>
        <w:rPr>
          <w:rFonts w:hAnsi="宋体" w:cs="宋体"/>
          <w:b/>
          <w:sz w:val="21"/>
        </w:rPr>
      </w:pPr>
      <w:r>
        <w:rPr>
          <w:rFonts w:hint="eastAsia" w:hAnsi="宋体" w:cs="宋体"/>
          <w:b/>
          <w:sz w:val="21"/>
        </w:rPr>
        <w:t>4.5在系统上公开报价开标情况；</w:t>
      </w:r>
    </w:p>
    <w:p>
      <w:pPr>
        <w:pStyle w:val="15"/>
        <w:snapToGrid w:val="0"/>
        <w:spacing w:line="360" w:lineRule="auto"/>
        <w:ind w:firstLine="417" w:firstLineChars="198"/>
        <w:rPr>
          <w:rFonts w:hAnsi="宋体" w:cs="宋体"/>
          <w:b/>
          <w:sz w:val="21"/>
        </w:rPr>
      </w:pPr>
      <w:r>
        <w:rPr>
          <w:rFonts w:hint="eastAsia" w:hAnsi="宋体" w:cs="宋体"/>
          <w:b/>
          <w:sz w:val="21"/>
        </w:rPr>
        <w:t>4.6评标委员会对报价情况进行评审；</w:t>
      </w:r>
    </w:p>
    <w:p>
      <w:pPr>
        <w:pStyle w:val="15"/>
        <w:snapToGrid w:val="0"/>
        <w:spacing w:line="360" w:lineRule="auto"/>
        <w:ind w:firstLine="417" w:firstLineChars="198"/>
        <w:rPr>
          <w:rFonts w:hAnsi="宋体" w:cs="宋体"/>
          <w:b/>
          <w:sz w:val="21"/>
        </w:rPr>
      </w:pPr>
      <w:r>
        <w:rPr>
          <w:rFonts w:hint="eastAsia" w:hAnsi="宋体" w:cs="宋体"/>
          <w:b/>
          <w:sz w:val="21"/>
        </w:rPr>
        <w:t>4.7在系统上公布评审结果。</w:t>
      </w:r>
    </w:p>
    <w:p>
      <w:pPr>
        <w:pStyle w:val="15"/>
        <w:snapToGrid w:val="0"/>
        <w:spacing w:line="360" w:lineRule="auto"/>
        <w:ind w:firstLine="417" w:firstLineChars="198"/>
        <w:rPr>
          <w:rFonts w:hAnsi="宋体" w:cs="宋体"/>
          <w:b/>
          <w:sz w:val="21"/>
        </w:rPr>
      </w:pPr>
      <w:r>
        <w:rPr>
          <w:rFonts w:hint="eastAsia" w:hAnsi="宋体" w:cs="宋体"/>
          <w:b/>
          <w:sz w:val="21"/>
        </w:rPr>
        <w:t>特别说明：政采云公司如对电子化开标及评审程序有调整的，按调整后的程序操作。</w:t>
      </w:r>
    </w:p>
    <w:p>
      <w:pPr>
        <w:pStyle w:val="15"/>
        <w:snapToGrid w:val="0"/>
        <w:spacing w:line="360" w:lineRule="auto"/>
        <w:ind w:firstLine="417" w:firstLineChars="198"/>
        <w:rPr>
          <w:rFonts w:hAnsi="宋体" w:cs="宋体"/>
          <w:b/>
          <w:sz w:val="21"/>
        </w:rPr>
      </w:pPr>
      <w:r>
        <w:rPr>
          <w:rFonts w:hint="eastAsia" w:hAnsi="宋体" w:cs="宋体"/>
          <w:b/>
          <w:sz w:val="21"/>
        </w:rPr>
        <w:t>5、如遇电子招投标系统故障的，启用备份投标文件</w:t>
      </w:r>
    </w:p>
    <w:p>
      <w:pPr>
        <w:snapToGrid w:val="0"/>
        <w:spacing w:line="360" w:lineRule="auto"/>
        <w:ind w:firstLine="417" w:firstLineChars="198"/>
        <w:rPr>
          <w:rFonts w:ascii="宋体" w:hAnsi="宋体" w:cs="宋体"/>
          <w:b/>
          <w:bCs/>
          <w:szCs w:val="21"/>
        </w:rPr>
      </w:pPr>
      <w:r>
        <w:rPr>
          <w:rFonts w:hint="eastAsia" w:ascii="宋体" w:hAnsi="宋体" w:cs="宋体"/>
          <w:b/>
          <w:bCs/>
          <w:szCs w:val="21"/>
        </w:rPr>
        <w:t>6、本项目原则上采用政采云电子招投标开标及评审程序，但若投标人在规定时间内无法解密或解密失败，采购代理机构将开启未能在规定时间内解密的投标人递交的备份投标文件。</w:t>
      </w:r>
    </w:p>
    <w:p>
      <w:pPr>
        <w:pStyle w:val="43"/>
        <w:snapToGrid w:val="0"/>
        <w:spacing w:before="159" w:after="159" w:line="360" w:lineRule="auto"/>
        <w:ind w:right="-506" w:rightChars="-241"/>
        <w:jc w:val="center"/>
        <w:rPr>
          <w:rFonts w:ascii="Times New Roman" w:hAnsi="Times New Roman"/>
          <w:b/>
          <w:sz w:val="28"/>
          <w:szCs w:val="28"/>
        </w:rPr>
      </w:pPr>
      <w:r>
        <w:rPr>
          <w:rFonts w:ascii="Times New Roman" w:hAnsi="Times New Roman"/>
          <w:b/>
          <w:sz w:val="28"/>
          <w:szCs w:val="28"/>
        </w:rPr>
        <w:t>五、评标</w:t>
      </w:r>
    </w:p>
    <w:p>
      <w:pPr>
        <w:pStyle w:val="15"/>
        <w:snapToGrid w:val="0"/>
        <w:spacing w:line="360" w:lineRule="auto"/>
        <w:ind w:firstLine="422" w:firstLineChars="200"/>
        <w:rPr>
          <w:rFonts w:hAnsi="宋体" w:cs="宋体"/>
          <w:b/>
          <w:sz w:val="21"/>
        </w:rPr>
      </w:pPr>
      <w:r>
        <w:rPr>
          <w:rFonts w:hint="eastAsia" w:hAnsi="宋体" w:cs="宋体"/>
          <w:b/>
          <w:sz w:val="21"/>
        </w:rPr>
        <w:t>（一）组建评审小组</w:t>
      </w:r>
    </w:p>
    <w:p>
      <w:pPr>
        <w:pStyle w:val="15"/>
        <w:snapToGrid w:val="0"/>
        <w:spacing w:line="360" w:lineRule="auto"/>
        <w:ind w:firstLine="420" w:firstLineChars="200"/>
        <w:rPr>
          <w:rFonts w:hAnsi="宋体" w:cs="宋体"/>
          <w:sz w:val="21"/>
        </w:rPr>
      </w:pPr>
      <w:r>
        <w:rPr>
          <w:rFonts w:hint="eastAsia" w:hAnsi="宋体" w:cs="宋体"/>
          <w:sz w:val="21"/>
        </w:rPr>
        <w:t>评标委员会由采购人代表和评审专家组成，成员人数为 5 人以上单数，其中评审专家不少于成员总数的三分之二。</w:t>
      </w:r>
    </w:p>
    <w:p>
      <w:pPr>
        <w:pStyle w:val="15"/>
        <w:snapToGrid w:val="0"/>
        <w:spacing w:line="360" w:lineRule="auto"/>
        <w:ind w:firstLine="422" w:firstLineChars="200"/>
        <w:rPr>
          <w:rFonts w:hAnsi="宋体" w:cs="宋体"/>
          <w:b/>
          <w:sz w:val="21"/>
        </w:rPr>
      </w:pPr>
      <w:r>
        <w:rPr>
          <w:rFonts w:hint="eastAsia" w:hAnsi="宋体" w:cs="宋体"/>
          <w:b/>
          <w:sz w:val="21"/>
        </w:rPr>
        <w:t>（二）评标程序</w:t>
      </w:r>
    </w:p>
    <w:p>
      <w:pPr>
        <w:pStyle w:val="15"/>
        <w:snapToGrid w:val="0"/>
        <w:spacing w:line="360" w:lineRule="auto"/>
        <w:ind w:firstLine="415" w:firstLineChars="198"/>
        <w:rPr>
          <w:rFonts w:hAnsi="宋体" w:cs="宋体"/>
          <w:sz w:val="21"/>
        </w:rPr>
      </w:pPr>
      <w:r>
        <w:rPr>
          <w:rFonts w:hint="eastAsia" w:hAnsi="宋体" w:cs="宋体"/>
          <w:sz w:val="21"/>
        </w:rPr>
        <w:t>1、资格审查</w:t>
      </w:r>
    </w:p>
    <w:p>
      <w:pPr>
        <w:pStyle w:val="15"/>
        <w:snapToGrid w:val="0"/>
        <w:spacing w:line="360" w:lineRule="auto"/>
        <w:ind w:firstLine="415" w:firstLineChars="198"/>
        <w:rPr>
          <w:rFonts w:hAnsi="宋体" w:cs="宋体"/>
          <w:sz w:val="21"/>
        </w:rPr>
      </w:pPr>
      <w:r>
        <w:rPr>
          <w:rFonts w:hint="eastAsia" w:hAnsi="宋体" w:cs="宋体"/>
          <w:sz w:val="21"/>
        </w:rPr>
        <w:t>代理机构对投标人的资格进行审查。</w:t>
      </w:r>
    </w:p>
    <w:p>
      <w:pPr>
        <w:pStyle w:val="15"/>
        <w:snapToGrid w:val="0"/>
        <w:spacing w:line="360" w:lineRule="auto"/>
        <w:ind w:firstLine="415" w:firstLineChars="198"/>
        <w:rPr>
          <w:rFonts w:hAnsi="宋体" w:cs="宋体"/>
          <w:sz w:val="21"/>
        </w:rPr>
      </w:pPr>
      <w:r>
        <w:rPr>
          <w:rFonts w:hint="eastAsia" w:hAnsi="宋体" w:cs="宋体"/>
          <w:sz w:val="21"/>
        </w:rPr>
        <w:t>2、实质审查与比较</w:t>
      </w:r>
    </w:p>
    <w:p>
      <w:pPr>
        <w:pStyle w:val="15"/>
        <w:snapToGrid w:val="0"/>
        <w:spacing w:line="360" w:lineRule="auto"/>
        <w:ind w:firstLine="415" w:firstLineChars="198"/>
        <w:rPr>
          <w:rFonts w:hAnsi="宋体" w:cs="宋体"/>
          <w:sz w:val="21"/>
        </w:rPr>
      </w:pPr>
      <w:r>
        <w:rPr>
          <w:rFonts w:hint="eastAsia" w:hAnsi="宋体" w:cs="宋体"/>
          <w:sz w:val="21"/>
        </w:rPr>
        <w:t>2.1评审小组审查投标文件的实质性内容是否符合招标文件的实质性要求。</w:t>
      </w:r>
    </w:p>
    <w:p>
      <w:pPr>
        <w:pStyle w:val="15"/>
        <w:snapToGrid w:val="0"/>
        <w:spacing w:line="360" w:lineRule="auto"/>
        <w:ind w:firstLine="415" w:firstLineChars="198"/>
        <w:rPr>
          <w:rFonts w:hAnsi="宋体" w:cs="宋体"/>
          <w:sz w:val="21"/>
        </w:rPr>
      </w:pPr>
      <w:r>
        <w:rPr>
          <w:rFonts w:hint="eastAsia" w:hAnsi="宋体" w:cs="宋体"/>
          <w:sz w:val="21"/>
        </w:rPr>
        <w:t>2.2评审小组将根据投标人的投标文件进行审查、核对，如有疑问，将对投标人进行询标，投标人要向评审小组澄清有关问题，并最终以书面形式进行答复。</w:t>
      </w:r>
    </w:p>
    <w:p>
      <w:pPr>
        <w:pStyle w:val="15"/>
        <w:snapToGrid w:val="0"/>
        <w:spacing w:line="360" w:lineRule="auto"/>
        <w:ind w:firstLine="415" w:firstLineChars="198"/>
        <w:rPr>
          <w:rFonts w:hAnsi="宋体" w:cs="宋体"/>
          <w:sz w:val="21"/>
        </w:rPr>
      </w:pPr>
      <w:r>
        <w:rPr>
          <w:rFonts w:hint="eastAsia" w:hAnsi="宋体" w:cs="宋体"/>
          <w:sz w:val="21"/>
        </w:rPr>
        <w:t>2.3投标人代表未到场或者拒绝澄清或者澄清的内容改变了投标文件的实质性内容的，评审小组有权对该投标文件作出不利于投标人的评判。</w:t>
      </w:r>
    </w:p>
    <w:p>
      <w:pPr>
        <w:pStyle w:val="15"/>
        <w:snapToGrid w:val="0"/>
        <w:spacing w:line="360" w:lineRule="auto"/>
        <w:ind w:firstLine="415" w:firstLineChars="198"/>
        <w:rPr>
          <w:rFonts w:hAnsi="宋体" w:cs="宋体"/>
          <w:sz w:val="21"/>
        </w:rPr>
      </w:pPr>
      <w:r>
        <w:rPr>
          <w:rFonts w:hint="eastAsia" w:hAnsi="宋体" w:cs="宋体"/>
          <w:sz w:val="21"/>
        </w:rPr>
        <w:t>2.4各投标人的商务技术得分由指定专人进行计算复核。</w:t>
      </w:r>
    </w:p>
    <w:p>
      <w:pPr>
        <w:pStyle w:val="15"/>
        <w:snapToGrid w:val="0"/>
        <w:spacing w:line="360" w:lineRule="auto"/>
        <w:ind w:firstLine="415" w:firstLineChars="198"/>
        <w:rPr>
          <w:rFonts w:hAnsi="宋体" w:cs="宋体"/>
          <w:sz w:val="21"/>
        </w:rPr>
      </w:pPr>
      <w:r>
        <w:rPr>
          <w:rFonts w:hint="eastAsia" w:hAnsi="宋体" w:cs="宋体"/>
          <w:sz w:val="21"/>
        </w:rPr>
        <w:t>2.5各投标人报价得分根据评分标准计算。</w:t>
      </w:r>
    </w:p>
    <w:p>
      <w:pPr>
        <w:pStyle w:val="15"/>
        <w:snapToGrid w:val="0"/>
        <w:spacing w:line="360" w:lineRule="auto"/>
        <w:ind w:firstLine="415" w:firstLineChars="198"/>
        <w:rPr>
          <w:rFonts w:hAnsi="宋体" w:cs="宋体"/>
          <w:sz w:val="21"/>
        </w:rPr>
      </w:pPr>
      <w:r>
        <w:rPr>
          <w:rFonts w:hint="eastAsia" w:hAnsi="宋体" w:cs="宋体"/>
          <w:sz w:val="21"/>
        </w:rPr>
        <w:t>2.6评审小组完成评标后，对各部分得分汇总，得出本项目最终得分，评审小组按评标原则推荐中标候选人同时起草评审报告。</w:t>
      </w:r>
    </w:p>
    <w:p>
      <w:pPr>
        <w:snapToGrid w:val="0"/>
        <w:spacing w:line="360" w:lineRule="auto"/>
        <w:ind w:firstLine="422" w:firstLineChars="200"/>
        <w:rPr>
          <w:rFonts w:ascii="宋体" w:hAnsi="宋体" w:cs="宋体"/>
          <w:b/>
          <w:szCs w:val="21"/>
        </w:rPr>
      </w:pPr>
      <w:r>
        <w:rPr>
          <w:rFonts w:hint="eastAsia" w:ascii="宋体" w:hAnsi="宋体" w:cs="宋体"/>
          <w:b/>
          <w:szCs w:val="21"/>
        </w:rPr>
        <w:t>（三）澄清问题的形式</w:t>
      </w:r>
    </w:p>
    <w:p>
      <w:pPr>
        <w:pStyle w:val="15"/>
        <w:snapToGrid w:val="0"/>
        <w:spacing w:line="360" w:lineRule="auto"/>
        <w:ind w:firstLine="415" w:firstLineChars="198"/>
        <w:rPr>
          <w:rFonts w:hAnsi="宋体" w:cs="宋体"/>
          <w:sz w:val="21"/>
        </w:rPr>
      </w:pPr>
      <w:r>
        <w:rPr>
          <w:rFonts w:hint="eastAsia" w:hAnsi="宋体" w:cs="宋体"/>
          <w:sz w:val="21"/>
        </w:rPr>
        <w:t>对投标文件中含义不明确、同类问题表述不一致或者有明显文字和计算错误的内容，评审小组可要求投标人作出必要的澄清、说明或者纠正。投标人的澄清、说明或者补正应当采用书面形式，由其全权代表签字或盖章确认，并不得超出投标文件的范围或者改变投标文件的实质性内容。</w:t>
      </w:r>
    </w:p>
    <w:p>
      <w:pPr>
        <w:pStyle w:val="15"/>
        <w:snapToGrid w:val="0"/>
        <w:spacing w:line="360" w:lineRule="auto"/>
        <w:ind w:firstLine="420" w:firstLineChars="199"/>
        <w:rPr>
          <w:rFonts w:hAnsi="宋体" w:cs="宋体"/>
          <w:b/>
          <w:sz w:val="21"/>
        </w:rPr>
      </w:pPr>
      <w:r>
        <w:rPr>
          <w:rFonts w:hint="eastAsia" w:hAnsi="宋体" w:cs="宋体"/>
          <w:b/>
          <w:sz w:val="21"/>
        </w:rPr>
        <w:t>（四）错误修正</w:t>
      </w:r>
    </w:p>
    <w:p>
      <w:pPr>
        <w:pStyle w:val="15"/>
        <w:snapToGrid w:val="0"/>
        <w:spacing w:line="360" w:lineRule="auto"/>
        <w:ind w:firstLine="415" w:firstLineChars="198"/>
        <w:rPr>
          <w:rFonts w:hAnsi="宋体" w:cs="宋体"/>
          <w:sz w:val="21"/>
        </w:rPr>
      </w:pPr>
      <w:r>
        <w:rPr>
          <w:rFonts w:hint="eastAsia" w:hAnsi="宋体" w:cs="宋体"/>
          <w:sz w:val="21"/>
        </w:rPr>
        <w:t>投标文件如果出现计算或表达上的错误，修正错误的原则如下：</w:t>
      </w:r>
    </w:p>
    <w:p>
      <w:pPr>
        <w:pStyle w:val="15"/>
        <w:snapToGrid w:val="0"/>
        <w:spacing w:line="360" w:lineRule="auto"/>
        <w:ind w:firstLine="415" w:firstLineChars="198"/>
        <w:rPr>
          <w:rFonts w:hAnsi="宋体" w:cs="宋体"/>
          <w:sz w:val="21"/>
        </w:rPr>
      </w:pPr>
      <w:r>
        <w:rPr>
          <w:rFonts w:hint="eastAsia" w:hAnsi="宋体" w:cs="宋体"/>
          <w:sz w:val="21"/>
        </w:rPr>
        <w:t>1、如果用数字表示的数额与文字表示的数额不一致的，以文字数额为准；</w:t>
      </w:r>
    </w:p>
    <w:p>
      <w:pPr>
        <w:pStyle w:val="15"/>
        <w:snapToGrid w:val="0"/>
        <w:spacing w:line="360" w:lineRule="auto"/>
        <w:ind w:firstLine="415" w:firstLineChars="198"/>
        <w:rPr>
          <w:rFonts w:hAnsi="宋体" w:cs="宋体"/>
          <w:sz w:val="21"/>
        </w:rPr>
      </w:pPr>
      <w:r>
        <w:rPr>
          <w:rFonts w:hint="eastAsia" w:hAnsi="宋体" w:cs="宋体"/>
          <w:sz w:val="21"/>
        </w:rPr>
        <w:t>2、当单价和数量的乘积与合价不一致时，通常以标出的单价为准。除非评审小组认为单价属明显的小数点错误，此时应以标出的合价为准，并修改单价。</w:t>
      </w:r>
    </w:p>
    <w:p>
      <w:pPr>
        <w:pStyle w:val="15"/>
        <w:snapToGrid w:val="0"/>
        <w:spacing w:line="360" w:lineRule="auto"/>
        <w:ind w:firstLine="415" w:firstLineChars="198"/>
        <w:rPr>
          <w:rFonts w:hAnsi="宋体" w:cs="宋体"/>
          <w:sz w:val="21"/>
        </w:rPr>
      </w:pPr>
      <w:r>
        <w:rPr>
          <w:rFonts w:hint="eastAsia" w:hAnsi="宋体" w:cs="宋体"/>
          <w:sz w:val="21"/>
        </w:rPr>
        <w:t>3、按上述修改错误的方法，调整投标文件中的投标报价文件，经投标人确认后，调整后的投标报价对投标人起约束作用。</w:t>
      </w:r>
    </w:p>
    <w:p>
      <w:pPr>
        <w:pStyle w:val="15"/>
        <w:snapToGrid w:val="0"/>
        <w:spacing w:line="360" w:lineRule="auto"/>
        <w:ind w:firstLine="417" w:firstLineChars="198"/>
        <w:rPr>
          <w:rFonts w:hAnsi="宋体" w:cs="宋体"/>
          <w:b/>
          <w:sz w:val="21"/>
        </w:rPr>
      </w:pPr>
      <w:r>
        <w:rPr>
          <w:rFonts w:hint="eastAsia" w:hAnsi="宋体" w:cs="宋体"/>
          <w:b/>
          <w:sz w:val="21"/>
        </w:rPr>
        <w:t>按上述修正错误的原则及方法调整或修正投标文件的投标报价，投标人同意并签字确认后，调整后的投标报价对投标人具有约束作用。如果投标人不接受修正后的报价，则其投标将作为无效投标处理。</w:t>
      </w:r>
    </w:p>
    <w:p>
      <w:pPr>
        <w:pStyle w:val="15"/>
        <w:snapToGrid w:val="0"/>
        <w:spacing w:line="360" w:lineRule="auto"/>
        <w:ind w:firstLine="417" w:firstLineChars="198"/>
        <w:rPr>
          <w:rFonts w:hAnsi="宋体" w:cs="宋体"/>
          <w:b/>
          <w:sz w:val="21"/>
        </w:rPr>
      </w:pPr>
      <w:r>
        <w:rPr>
          <w:rFonts w:hint="eastAsia" w:hAnsi="宋体" w:cs="宋体"/>
          <w:b/>
          <w:sz w:val="21"/>
        </w:rPr>
        <w:t>（五）评标原则和评标办法</w:t>
      </w:r>
    </w:p>
    <w:p>
      <w:pPr>
        <w:pStyle w:val="15"/>
        <w:snapToGrid w:val="0"/>
        <w:spacing w:line="360" w:lineRule="auto"/>
        <w:ind w:firstLine="420" w:firstLineChars="200"/>
        <w:rPr>
          <w:rFonts w:hAnsi="宋体" w:cs="宋体"/>
          <w:sz w:val="21"/>
        </w:rPr>
      </w:pPr>
      <w:r>
        <w:rPr>
          <w:rFonts w:hint="eastAsia" w:hAnsi="宋体" w:cs="宋体"/>
          <w:sz w:val="21"/>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15"/>
        <w:snapToGrid w:val="0"/>
        <w:spacing w:line="360" w:lineRule="auto"/>
        <w:ind w:firstLine="420" w:firstLineChars="200"/>
        <w:rPr>
          <w:rFonts w:hAnsi="宋体" w:cs="宋体"/>
          <w:sz w:val="21"/>
        </w:rPr>
      </w:pPr>
      <w:r>
        <w:rPr>
          <w:rFonts w:hint="eastAsia" w:hAnsi="宋体" w:cs="宋体"/>
          <w:sz w:val="21"/>
        </w:rPr>
        <w:t>2、评标办法。本项目评标办法是</w:t>
      </w:r>
      <w:r>
        <w:rPr>
          <w:rFonts w:hint="eastAsia" w:hAnsi="宋体" w:cs="宋体"/>
          <w:sz w:val="21"/>
          <w:u w:val="single"/>
        </w:rPr>
        <w:t>综合评分法</w:t>
      </w:r>
      <w:r>
        <w:rPr>
          <w:rFonts w:hint="eastAsia" w:hAnsi="宋体" w:cs="宋体"/>
          <w:sz w:val="21"/>
        </w:rPr>
        <w:t>，具体评标内容及评分标准等详见《第四章：评标办法及评分标准》。</w:t>
      </w:r>
    </w:p>
    <w:p>
      <w:pPr>
        <w:pStyle w:val="15"/>
        <w:snapToGrid w:val="0"/>
        <w:spacing w:line="360" w:lineRule="auto"/>
        <w:ind w:firstLine="420" w:firstLineChars="200"/>
        <w:rPr>
          <w:rFonts w:hAnsi="宋体" w:cs="宋体"/>
          <w:sz w:val="21"/>
        </w:rPr>
      </w:pPr>
      <w:r>
        <w:rPr>
          <w:rFonts w:hint="eastAsia" w:hAnsi="宋体" w:cs="宋体"/>
          <w:sz w:val="21"/>
        </w:rPr>
        <w:t>3、《政府采购货物和服务招标投标管理办法》</w:t>
      </w:r>
    </w:p>
    <w:p>
      <w:pPr>
        <w:pStyle w:val="15"/>
        <w:snapToGrid w:val="0"/>
        <w:spacing w:line="360" w:lineRule="auto"/>
        <w:ind w:firstLine="420" w:firstLineChars="200"/>
        <w:rPr>
          <w:rFonts w:hAnsi="宋体" w:cs="宋体"/>
          <w:sz w:val="21"/>
        </w:rPr>
      </w:pPr>
      <w:r>
        <w:rPr>
          <w:rFonts w:hint="eastAsia" w:hAnsi="宋体" w:cs="宋体"/>
          <w:sz w:val="21"/>
        </w:rPr>
        <w:t>第四十三条：公开招标数额标准以上的采购项目，投标截止后投标人不足3家或者通过资格审查或符合性审查的投标人不足3家的，除采购任务取消情形外，按照以下方式处理：</w:t>
      </w:r>
    </w:p>
    <w:p>
      <w:pPr>
        <w:pStyle w:val="15"/>
        <w:snapToGrid w:val="0"/>
        <w:spacing w:line="360" w:lineRule="auto"/>
        <w:ind w:firstLine="420" w:firstLineChars="200"/>
        <w:rPr>
          <w:rFonts w:hAnsi="宋体" w:cs="宋体"/>
          <w:sz w:val="21"/>
        </w:rPr>
      </w:pPr>
      <w:r>
        <w:rPr>
          <w:rFonts w:hint="eastAsia" w:hAnsi="宋体" w:cs="宋体"/>
          <w:sz w:val="21"/>
        </w:rPr>
        <w:t>（一）招标文件存在不合理条款或者招标程序不符合规定的，采购人、采购代理机构改正后依法重新招标；</w:t>
      </w:r>
    </w:p>
    <w:p>
      <w:pPr>
        <w:pStyle w:val="15"/>
        <w:snapToGrid w:val="0"/>
        <w:spacing w:line="360" w:lineRule="auto"/>
        <w:ind w:firstLine="420" w:firstLineChars="200"/>
        <w:rPr>
          <w:rFonts w:hAnsi="宋体" w:cs="宋体"/>
          <w:sz w:val="21"/>
        </w:rPr>
      </w:pPr>
      <w:r>
        <w:rPr>
          <w:rFonts w:hint="eastAsia" w:hAnsi="宋体" w:cs="宋体"/>
          <w:sz w:val="21"/>
        </w:rPr>
        <w:t>（二）招标文件没有不合理条款、招标程序符合规定，需要采用其他采购人式采购的，采购人应当依法报财政部门批准。</w:t>
      </w:r>
    </w:p>
    <w:p>
      <w:pPr>
        <w:pStyle w:val="15"/>
        <w:snapToGrid w:val="0"/>
        <w:spacing w:line="360" w:lineRule="auto"/>
        <w:ind w:firstLine="422" w:firstLineChars="200"/>
        <w:rPr>
          <w:rFonts w:hAnsi="宋体" w:cs="宋体"/>
          <w:b/>
          <w:sz w:val="21"/>
        </w:rPr>
      </w:pPr>
      <w:r>
        <w:rPr>
          <w:rFonts w:hint="eastAsia" w:hAnsi="宋体" w:cs="宋体"/>
          <w:b/>
          <w:sz w:val="21"/>
        </w:rPr>
        <w:t>（六）评标过程的监控</w:t>
      </w:r>
    </w:p>
    <w:p>
      <w:pPr>
        <w:pStyle w:val="15"/>
        <w:snapToGrid w:val="0"/>
        <w:spacing w:line="360" w:lineRule="auto"/>
        <w:ind w:firstLine="415" w:firstLineChars="198"/>
        <w:rPr>
          <w:rFonts w:hAnsi="宋体" w:cs="宋体"/>
          <w:sz w:val="21"/>
        </w:rPr>
      </w:pPr>
      <w:r>
        <w:rPr>
          <w:rFonts w:hint="eastAsia" w:hAnsi="宋体" w:cs="宋体"/>
          <w:sz w:val="21"/>
        </w:rPr>
        <w:t>本项目评标过程实行全程录音、录像监控，投标人在评标过程中所进行的试图影响评标结果的不公正活动，可能导致其投标被拒绝。</w:t>
      </w:r>
    </w:p>
    <w:p>
      <w:pPr>
        <w:snapToGrid w:val="0"/>
        <w:spacing w:line="276" w:lineRule="auto"/>
        <w:jc w:val="center"/>
        <w:rPr>
          <w:rFonts w:ascii="Times New Roman" w:hAnsi="Times New Roman"/>
          <w:b/>
          <w:sz w:val="28"/>
          <w:szCs w:val="28"/>
        </w:rPr>
      </w:pPr>
      <w:r>
        <w:rPr>
          <w:rFonts w:hint="eastAsia" w:ascii="Times New Roman" w:hAnsi="Times New Roman"/>
          <w:b/>
          <w:sz w:val="28"/>
          <w:szCs w:val="28"/>
        </w:rPr>
        <w:t>六、废标</w:t>
      </w:r>
    </w:p>
    <w:p>
      <w:pPr>
        <w:pStyle w:val="15"/>
        <w:snapToGrid w:val="0"/>
        <w:spacing w:line="360" w:lineRule="auto"/>
        <w:ind w:firstLine="420" w:firstLineChars="200"/>
        <w:rPr>
          <w:rFonts w:hAnsi="宋体" w:cs="宋体"/>
          <w:sz w:val="21"/>
        </w:rPr>
      </w:pPr>
      <w:r>
        <w:rPr>
          <w:rFonts w:hint="eastAsia" w:hAnsi="宋体" w:cs="宋体"/>
          <w:sz w:val="21"/>
        </w:rPr>
        <w:t>根据《中华人民共和国政府采购法》第三十六条，出现下列情形之一的，应予以废标：</w:t>
      </w:r>
    </w:p>
    <w:p>
      <w:pPr>
        <w:pStyle w:val="15"/>
        <w:snapToGrid w:val="0"/>
        <w:spacing w:line="360" w:lineRule="auto"/>
        <w:ind w:firstLine="420" w:firstLineChars="200"/>
        <w:rPr>
          <w:rFonts w:hAnsi="宋体" w:cs="宋体"/>
          <w:sz w:val="21"/>
        </w:rPr>
      </w:pPr>
      <w:r>
        <w:rPr>
          <w:rFonts w:hint="eastAsia" w:hAnsi="宋体" w:cs="宋体"/>
          <w:sz w:val="21"/>
        </w:rPr>
        <w:t>1、符合专业条件的供应商或者对招标文件作实质响应的供应商不足三家的；</w:t>
      </w:r>
    </w:p>
    <w:p>
      <w:pPr>
        <w:pStyle w:val="15"/>
        <w:snapToGrid w:val="0"/>
        <w:spacing w:line="360" w:lineRule="auto"/>
        <w:ind w:firstLine="420" w:firstLineChars="200"/>
        <w:rPr>
          <w:rFonts w:hAnsi="宋体" w:cs="宋体"/>
          <w:sz w:val="21"/>
        </w:rPr>
      </w:pPr>
      <w:r>
        <w:rPr>
          <w:rFonts w:hint="eastAsia" w:hAnsi="宋体" w:cs="宋体"/>
          <w:sz w:val="21"/>
        </w:rPr>
        <w:t>2、出现影响采购公正的违法、违规行为的；</w:t>
      </w:r>
    </w:p>
    <w:p>
      <w:pPr>
        <w:pStyle w:val="15"/>
        <w:snapToGrid w:val="0"/>
        <w:spacing w:line="360" w:lineRule="auto"/>
        <w:ind w:firstLine="420" w:firstLineChars="200"/>
        <w:rPr>
          <w:rFonts w:hAnsi="宋体" w:cs="宋体"/>
          <w:sz w:val="21"/>
        </w:rPr>
      </w:pPr>
      <w:r>
        <w:rPr>
          <w:rFonts w:hint="eastAsia" w:hAnsi="宋体" w:cs="宋体"/>
          <w:sz w:val="21"/>
        </w:rPr>
        <w:t>3、投标人的报价均超过了采购预算，采购人不能支付的；</w:t>
      </w:r>
    </w:p>
    <w:p>
      <w:pPr>
        <w:pStyle w:val="15"/>
        <w:snapToGrid w:val="0"/>
        <w:spacing w:line="360" w:lineRule="auto"/>
        <w:ind w:firstLine="420" w:firstLineChars="200"/>
        <w:rPr>
          <w:rFonts w:hAnsi="宋体" w:cs="宋体"/>
          <w:sz w:val="21"/>
        </w:rPr>
      </w:pPr>
      <w:r>
        <w:rPr>
          <w:rFonts w:hint="eastAsia" w:hAnsi="宋体" w:cs="宋体"/>
          <w:sz w:val="21"/>
        </w:rPr>
        <w:t>4、因重大变故，采购任务取消的。</w:t>
      </w:r>
    </w:p>
    <w:p>
      <w:pPr>
        <w:pStyle w:val="15"/>
        <w:snapToGrid w:val="0"/>
        <w:spacing w:line="360" w:lineRule="auto"/>
        <w:ind w:firstLine="420" w:firstLineChars="200"/>
        <w:rPr>
          <w:rFonts w:hAnsi="宋体" w:cs="宋体"/>
          <w:sz w:val="21"/>
        </w:rPr>
      </w:pPr>
      <w:r>
        <w:rPr>
          <w:rFonts w:hint="eastAsia" w:hAnsi="宋体" w:cs="宋体"/>
          <w:sz w:val="21"/>
        </w:rPr>
        <w:t>废标后，采购人应当将废标理由通知所有投标人，废标后，除采购任务取消情形外，应当重新组织招标。</w:t>
      </w:r>
    </w:p>
    <w:p>
      <w:pPr>
        <w:snapToGrid w:val="0"/>
        <w:spacing w:line="276" w:lineRule="auto"/>
        <w:jc w:val="center"/>
        <w:rPr>
          <w:rFonts w:ascii="Times New Roman" w:hAnsi="Times New Roman"/>
          <w:b/>
          <w:sz w:val="28"/>
          <w:szCs w:val="28"/>
        </w:rPr>
      </w:pPr>
      <w:r>
        <w:rPr>
          <w:rFonts w:hint="eastAsia" w:ascii="Times New Roman" w:hAnsi="Times New Roman"/>
          <w:b/>
          <w:sz w:val="28"/>
          <w:szCs w:val="28"/>
        </w:rPr>
        <w:t>七、定标</w:t>
      </w:r>
    </w:p>
    <w:p>
      <w:pPr>
        <w:pStyle w:val="15"/>
        <w:snapToGrid w:val="0"/>
        <w:spacing w:line="360" w:lineRule="auto"/>
        <w:ind w:firstLine="415" w:firstLineChars="198"/>
        <w:rPr>
          <w:rFonts w:hAnsi="宋体" w:cs="宋体"/>
          <w:sz w:val="21"/>
        </w:rPr>
      </w:pPr>
      <w:r>
        <w:rPr>
          <w:rFonts w:hint="eastAsia" w:hAnsi="宋体" w:cs="宋体"/>
          <w:sz w:val="21"/>
        </w:rPr>
        <w:t>（一）确定中标人。本项目由采购人事先授权评审小组确定中标候选人3名。推荐第一名中标候选人为中标人，经采购人确认后，确定项目中标人，同时发布采购结果公告，发出中标通知书。</w:t>
      </w:r>
    </w:p>
    <w:p>
      <w:pPr>
        <w:pStyle w:val="15"/>
        <w:snapToGrid w:val="0"/>
        <w:spacing w:line="360" w:lineRule="auto"/>
        <w:ind w:firstLine="415" w:firstLineChars="198"/>
        <w:rPr>
          <w:rFonts w:hAnsi="宋体" w:cs="宋体"/>
          <w:sz w:val="21"/>
        </w:rPr>
      </w:pPr>
      <w:r>
        <w:rPr>
          <w:rFonts w:hint="eastAsia" w:hAnsi="宋体" w:cs="宋体"/>
          <w:sz w:val="21"/>
        </w:rPr>
        <w:t>1.采购代理机构在评标结束后在2个工作日内将评审报告交采购人确认。</w:t>
      </w:r>
    </w:p>
    <w:p>
      <w:pPr>
        <w:pStyle w:val="15"/>
        <w:snapToGrid w:val="0"/>
        <w:spacing w:line="360" w:lineRule="auto"/>
        <w:ind w:firstLine="415" w:firstLineChars="198"/>
        <w:rPr>
          <w:rFonts w:hAnsi="宋体" w:cs="宋体"/>
          <w:sz w:val="21"/>
        </w:rPr>
      </w:pPr>
      <w:r>
        <w:rPr>
          <w:rFonts w:hint="eastAsia" w:hAnsi="宋体" w:cs="宋体"/>
          <w:sz w:val="21"/>
        </w:rPr>
        <w:t>2.采购人应当自收到评审报告之日起5个工作日内在评审报告推荐的中标或者成交候选人中按顺序确定中标或者成交供应商。</w:t>
      </w:r>
    </w:p>
    <w:p>
      <w:pPr>
        <w:pStyle w:val="15"/>
        <w:snapToGrid w:val="0"/>
        <w:spacing w:line="360" w:lineRule="auto"/>
        <w:ind w:firstLine="415" w:firstLineChars="198"/>
        <w:rPr>
          <w:rFonts w:hAnsi="宋体" w:cs="宋体"/>
          <w:sz w:val="21"/>
        </w:rPr>
      </w:pPr>
      <w:r>
        <w:rPr>
          <w:rFonts w:hint="eastAsia" w:hAnsi="宋体" w:cs="宋体"/>
          <w:sz w:val="21"/>
        </w:rPr>
        <w:t>3.采购代理机构应当自中标、成交供应商确定之日起2个工作日内，发出中标、成交通知书，并在省级以上人民政府财政部门指定的媒体上公告中标、成交结果，招标文件随中标、成交结果同时公告。</w:t>
      </w:r>
    </w:p>
    <w:p>
      <w:pPr>
        <w:pStyle w:val="15"/>
        <w:snapToGrid w:val="0"/>
        <w:spacing w:line="360" w:lineRule="auto"/>
        <w:ind w:firstLine="415" w:firstLineChars="198"/>
        <w:rPr>
          <w:rFonts w:hAnsi="宋体" w:cs="宋体"/>
          <w:sz w:val="21"/>
        </w:rPr>
      </w:pPr>
      <w:r>
        <w:rPr>
          <w:rFonts w:hint="eastAsia" w:hAnsi="宋体" w:cs="宋体"/>
          <w:sz w:val="21"/>
        </w:rPr>
        <w:t>（二）中标人因自身原因放弃中标或因不可抗力不能履行合同的；经质疑，采购代理机构审查确认因中标人在本次采购活动中存在违法违规行为或其他原因使质疑成立的，如发生上述两种情况的，采购人可以与排位在中标人之后第一位的中标候选人签订采购合同，以此类推。</w:t>
      </w:r>
    </w:p>
    <w:p>
      <w:pPr>
        <w:pStyle w:val="15"/>
        <w:snapToGrid w:val="0"/>
        <w:spacing w:line="360" w:lineRule="auto"/>
        <w:ind w:firstLine="3092" w:firstLineChars="1100"/>
        <w:rPr>
          <w:rFonts w:hAnsi="宋体" w:cs="宋体"/>
          <w:sz w:val="21"/>
        </w:rPr>
      </w:pPr>
      <w:r>
        <w:rPr>
          <w:rFonts w:hint="eastAsia" w:ascii="Times New Roman" w:hAnsi="Times New Roman"/>
          <w:b/>
          <w:sz w:val="28"/>
          <w:szCs w:val="28"/>
        </w:rPr>
        <w:t>八</w:t>
      </w:r>
      <w:r>
        <w:rPr>
          <w:rFonts w:ascii="Times New Roman" w:hAnsi="Times New Roman"/>
          <w:b/>
          <w:sz w:val="28"/>
          <w:szCs w:val="28"/>
        </w:rPr>
        <w:t>、合同授予</w:t>
      </w:r>
    </w:p>
    <w:p>
      <w:pPr>
        <w:pStyle w:val="15"/>
        <w:snapToGrid w:val="0"/>
        <w:spacing w:line="360" w:lineRule="auto"/>
        <w:ind w:firstLine="415" w:firstLineChars="198"/>
        <w:rPr>
          <w:rFonts w:hAnsi="宋体" w:cs="宋体"/>
          <w:sz w:val="21"/>
        </w:rPr>
      </w:pPr>
      <w:r>
        <w:rPr>
          <w:rFonts w:hint="eastAsia" w:hAnsi="宋体" w:cs="宋体"/>
          <w:sz w:val="21"/>
        </w:rPr>
        <w:t>（一）签订合同</w:t>
      </w:r>
    </w:p>
    <w:p>
      <w:pPr>
        <w:pStyle w:val="15"/>
        <w:snapToGrid w:val="0"/>
        <w:spacing w:line="360" w:lineRule="auto"/>
        <w:ind w:firstLine="415" w:firstLineChars="198"/>
        <w:rPr>
          <w:rFonts w:hAnsi="宋体" w:cs="宋体"/>
          <w:sz w:val="21"/>
        </w:rPr>
      </w:pPr>
      <w:r>
        <w:rPr>
          <w:rFonts w:hint="eastAsia" w:hAnsi="宋体" w:cs="宋体"/>
          <w:sz w:val="21"/>
        </w:rPr>
        <w:t>1、中标人应自接到中标通知书后30日内与采购人签定合同。同时，采购代理机构对合同内容进行审查，如发现与采购结果和投标承诺内容不一致的，应予以纠正。</w:t>
      </w:r>
    </w:p>
    <w:p>
      <w:pPr>
        <w:pStyle w:val="15"/>
        <w:snapToGrid w:val="0"/>
        <w:spacing w:line="360" w:lineRule="auto"/>
        <w:ind w:firstLine="415" w:firstLineChars="198"/>
        <w:rPr>
          <w:rFonts w:hAnsi="宋体" w:cs="宋体"/>
          <w:sz w:val="21"/>
        </w:rPr>
      </w:pPr>
      <w:r>
        <w:rPr>
          <w:rFonts w:hint="eastAsia" w:hAnsi="宋体" w:cs="宋体"/>
          <w:sz w:val="21"/>
        </w:rPr>
        <w:t>2、中标人拖延、拒签合同的，将被取消中标资格。</w:t>
      </w:r>
    </w:p>
    <w:p>
      <w:pPr>
        <w:pStyle w:val="15"/>
        <w:snapToGrid w:val="0"/>
        <w:spacing w:line="360" w:lineRule="auto"/>
        <w:ind w:firstLine="415" w:firstLineChars="198"/>
        <w:rPr>
          <w:rFonts w:hAnsi="宋体" w:cs="宋体"/>
          <w:sz w:val="21"/>
        </w:rPr>
      </w:pPr>
      <w:r>
        <w:rPr>
          <w:rFonts w:hint="eastAsia" w:hAnsi="宋体" w:cs="宋体"/>
          <w:sz w:val="21"/>
        </w:rPr>
        <w:t>3、中标人和采购人签订合同，按合同约定执行。</w:t>
      </w:r>
    </w:p>
    <w:p>
      <w:pPr>
        <w:pStyle w:val="15"/>
        <w:snapToGrid w:val="0"/>
        <w:spacing w:line="360" w:lineRule="auto"/>
        <w:ind w:firstLine="415" w:firstLineChars="198"/>
        <w:rPr>
          <w:rFonts w:hAnsi="宋体" w:cs="宋体"/>
          <w:sz w:val="21"/>
        </w:rPr>
      </w:pPr>
      <w:r>
        <w:rPr>
          <w:rFonts w:hint="eastAsia" w:hAnsi="宋体" w:cs="宋体"/>
          <w:sz w:val="21"/>
        </w:rPr>
        <w:t>4、中标或者成交供应商拒绝与采购人签订合同的，采购人可以按照评审报告推荐的中标或者成交候选人名单排序，确定下一候选人为中标或者成交供应商，也可以重新开展政府采购活动。</w:t>
      </w:r>
    </w:p>
    <w:p>
      <w:pPr>
        <w:pStyle w:val="15"/>
        <w:snapToGrid w:val="0"/>
        <w:spacing w:line="360" w:lineRule="auto"/>
        <w:ind w:firstLine="415" w:firstLineChars="198"/>
        <w:rPr>
          <w:rFonts w:hAnsi="宋体" w:cs="宋体"/>
          <w:sz w:val="21"/>
        </w:rPr>
      </w:pPr>
      <w:r>
        <w:rPr>
          <w:rFonts w:hint="eastAsia" w:hAnsi="宋体" w:cs="宋体"/>
          <w:sz w:val="21"/>
        </w:rPr>
        <w:t>（二）合同公告：采购人应当自政府采购合同签订之日起2个工作日内，将政府采购合同在省级以上人民政府财政部门指定的媒体上公告，但政府采购合同中涉及国家秘密、商业秘密的内容除外。</w:t>
      </w:r>
    </w:p>
    <w:p>
      <w:pPr>
        <w:pStyle w:val="2"/>
        <w:ind w:firstLine="210"/>
      </w:pPr>
    </w:p>
    <w:p>
      <w:pPr>
        <w:spacing w:line="360" w:lineRule="auto"/>
        <w:jc w:val="center"/>
        <w:rPr>
          <w:rFonts w:ascii="Times New Roman" w:hAnsi="Times New Roman"/>
          <w:b/>
          <w:sz w:val="30"/>
          <w:szCs w:val="30"/>
        </w:rPr>
      </w:pPr>
    </w:p>
    <w:p>
      <w:pPr>
        <w:spacing w:line="360" w:lineRule="auto"/>
        <w:jc w:val="center"/>
        <w:rPr>
          <w:rFonts w:ascii="Times New Roman" w:hAnsi="Times New Roman"/>
          <w:b/>
          <w:sz w:val="30"/>
          <w:szCs w:val="30"/>
        </w:rPr>
      </w:pPr>
      <w:r>
        <w:rPr>
          <w:rFonts w:ascii="Times New Roman" w:hAnsi="Times New Roman"/>
          <w:b/>
          <w:sz w:val="30"/>
          <w:szCs w:val="30"/>
        </w:rPr>
        <w:t>第四章评标办法及评分标准</w:t>
      </w:r>
    </w:p>
    <w:p>
      <w:pPr>
        <w:spacing w:line="360" w:lineRule="auto"/>
        <w:ind w:firstLine="420" w:firstLineChars="200"/>
        <w:rPr>
          <w:rFonts w:ascii="宋体" w:hAnsi="宋体" w:cs="宋体"/>
          <w:szCs w:val="21"/>
        </w:rPr>
      </w:pPr>
      <w:r>
        <w:rPr>
          <w:rFonts w:hint="eastAsia" w:ascii="宋体" w:hAnsi="宋体" w:cs="宋体"/>
          <w:szCs w:val="21"/>
        </w:rPr>
        <w:t>为公正、公平、科学地选择中标人，根据《中华人民共和国政府采购法》等有关法律法规的规定，并结合本项目的实际，制定本办法，本办法适用本项目的评标。</w:t>
      </w:r>
    </w:p>
    <w:p>
      <w:pPr>
        <w:autoSpaceDE w:val="0"/>
        <w:autoSpaceDN w:val="0"/>
        <w:adjustRightInd w:val="0"/>
        <w:spacing w:line="360" w:lineRule="auto"/>
        <w:rPr>
          <w:rFonts w:ascii="宋体" w:hAnsi="宋体" w:cs="宋体"/>
          <w:b/>
          <w:szCs w:val="21"/>
        </w:rPr>
      </w:pPr>
      <w:r>
        <w:rPr>
          <w:rFonts w:hint="eastAsia" w:ascii="宋体" w:hAnsi="宋体" w:cs="宋体"/>
          <w:b/>
          <w:szCs w:val="21"/>
        </w:rPr>
        <w:t>一、资格审查</w:t>
      </w:r>
    </w:p>
    <w:p>
      <w:pPr>
        <w:autoSpaceDE w:val="0"/>
        <w:autoSpaceDN w:val="0"/>
        <w:adjustRightInd w:val="0"/>
        <w:spacing w:line="360" w:lineRule="auto"/>
        <w:ind w:firstLine="420" w:firstLineChars="200"/>
        <w:rPr>
          <w:rFonts w:ascii="宋体" w:hAnsi="宋体" w:cs="宋体"/>
          <w:szCs w:val="21"/>
          <w:lang w:val="zh-CN"/>
        </w:rPr>
      </w:pPr>
      <w:r>
        <w:rPr>
          <w:rFonts w:hint="eastAsia" w:ascii="宋体" w:hAnsi="宋体" w:cs="宋体"/>
          <w:szCs w:val="21"/>
          <w:lang w:val="zh-CN"/>
        </w:rPr>
        <w:t>1、由招标代理机构对投标人的资格进行审查。</w:t>
      </w:r>
    </w:p>
    <w:p>
      <w:pPr>
        <w:autoSpaceDE w:val="0"/>
        <w:autoSpaceDN w:val="0"/>
        <w:adjustRightInd w:val="0"/>
        <w:spacing w:line="360" w:lineRule="auto"/>
        <w:ind w:firstLine="420" w:firstLineChars="200"/>
        <w:rPr>
          <w:rFonts w:ascii="宋体" w:hAnsi="宋体" w:cs="宋体"/>
          <w:szCs w:val="21"/>
          <w:lang w:val="zh-CN"/>
        </w:rPr>
      </w:pPr>
      <w:r>
        <w:rPr>
          <w:rFonts w:hint="eastAsia" w:ascii="宋体" w:hAnsi="宋体" w:cs="宋体"/>
          <w:szCs w:val="21"/>
          <w:lang w:val="zh-CN"/>
        </w:rPr>
        <w:t>2、按以下内容审核投标文件是否符合招标文件的资格文件要求。</w:t>
      </w:r>
    </w:p>
    <w:tbl>
      <w:tblPr>
        <w:tblStyle w:val="26"/>
        <w:tblpPr w:leftFromText="180" w:rightFromText="180" w:vertAnchor="text" w:tblpXSpec="center"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2"/>
        <w:gridCol w:w="5225"/>
        <w:gridCol w:w="2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365" w:type="pct"/>
            <w:vAlign w:val="center"/>
          </w:tcPr>
          <w:p>
            <w:pPr>
              <w:spacing w:line="336" w:lineRule="auto"/>
              <w:jc w:val="center"/>
              <w:rPr>
                <w:rFonts w:ascii="宋体" w:hAnsi="宋体" w:cs="宋体"/>
                <w:b/>
                <w:szCs w:val="21"/>
              </w:rPr>
            </w:pPr>
            <w:r>
              <w:rPr>
                <w:rFonts w:hint="eastAsia" w:ascii="宋体" w:hAnsi="宋体" w:cs="宋体"/>
                <w:b/>
                <w:szCs w:val="21"/>
              </w:rPr>
              <w:t>序号</w:t>
            </w:r>
          </w:p>
        </w:tc>
        <w:tc>
          <w:tcPr>
            <w:tcW w:w="3068" w:type="pct"/>
            <w:tcBorders>
              <w:tl2br w:val="single" w:color="auto" w:sz="4" w:space="0"/>
            </w:tcBorders>
          </w:tcPr>
          <w:p>
            <w:pPr>
              <w:spacing w:line="336" w:lineRule="auto"/>
              <w:jc w:val="right"/>
              <w:rPr>
                <w:rFonts w:ascii="宋体" w:hAnsi="宋体" w:cs="宋体"/>
                <w:b/>
                <w:szCs w:val="21"/>
              </w:rPr>
            </w:pPr>
            <w:r>
              <w:rPr>
                <w:rFonts w:hint="eastAsia" w:ascii="宋体" w:hAnsi="宋体" w:cs="宋体"/>
                <w:b/>
                <w:szCs w:val="21"/>
              </w:rPr>
              <w:t>投标人</w:t>
            </w:r>
          </w:p>
          <w:p>
            <w:pPr>
              <w:spacing w:line="336" w:lineRule="auto"/>
              <w:rPr>
                <w:rFonts w:ascii="宋体" w:hAnsi="宋体" w:cs="宋体"/>
                <w:b/>
                <w:szCs w:val="21"/>
              </w:rPr>
            </w:pPr>
            <w:r>
              <w:rPr>
                <w:rFonts w:hint="eastAsia" w:ascii="宋体" w:hAnsi="宋体" w:cs="宋体"/>
                <w:b/>
                <w:szCs w:val="21"/>
              </w:rPr>
              <w:t>内容</w:t>
            </w:r>
          </w:p>
        </w:tc>
        <w:tc>
          <w:tcPr>
            <w:tcW w:w="1567" w:type="pct"/>
            <w:vAlign w:val="center"/>
          </w:tcPr>
          <w:p>
            <w:pPr>
              <w:spacing w:line="336" w:lineRule="auto"/>
              <w:jc w:val="center"/>
              <w:rPr>
                <w:rFonts w:ascii="宋体" w:hAnsi="宋体" w:cs="宋体"/>
                <w:b/>
                <w:szCs w:val="21"/>
              </w:rPr>
            </w:pPr>
            <w:r>
              <w:rPr>
                <w:rFonts w:hint="eastAsia" w:ascii="宋体" w:hAnsi="宋体" w:cs="宋体"/>
                <w:b/>
                <w:szCs w:val="21"/>
              </w:rPr>
              <w:t>审核标准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365" w:type="pct"/>
            <w:vAlign w:val="center"/>
          </w:tcPr>
          <w:p>
            <w:pPr>
              <w:spacing w:line="336" w:lineRule="auto"/>
              <w:jc w:val="center"/>
              <w:rPr>
                <w:rFonts w:ascii="宋体" w:hAnsi="宋体" w:cs="宋体"/>
                <w:szCs w:val="21"/>
              </w:rPr>
            </w:pPr>
            <w:r>
              <w:rPr>
                <w:rFonts w:ascii="宋体" w:hAnsi="宋体" w:cs="宋体"/>
                <w:szCs w:val="21"/>
              </w:rPr>
              <w:t>1</w:t>
            </w:r>
          </w:p>
        </w:tc>
        <w:tc>
          <w:tcPr>
            <w:tcW w:w="3068" w:type="pct"/>
            <w:vAlign w:val="center"/>
          </w:tcPr>
          <w:p>
            <w:pPr>
              <w:snapToGrid w:val="0"/>
              <w:spacing w:line="360" w:lineRule="auto"/>
              <w:rPr>
                <w:rFonts w:ascii="宋体" w:hAnsi="宋体" w:cs="宋体"/>
                <w:szCs w:val="21"/>
              </w:rPr>
            </w:pPr>
            <w:r>
              <w:rPr>
                <w:rFonts w:hint="eastAsia" w:ascii="宋体" w:hAnsi="宋体"/>
                <w:szCs w:val="21"/>
              </w:rPr>
              <w:t>投标人</w:t>
            </w:r>
            <w:r>
              <w:rPr>
                <w:rFonts w:hint="eastAsia" w:ascii="宋体" w:hAnsi="宋体" w:cs="宋体"/>
                <w:szCs w:val="21"/>
              </w:rPr>
              <w:t>具有</w:t>
            </w:r>
            <w:r>
              <w:rPr>
                <w:rFonts w:hint="eastAsia" w:ascii="宋体" w:hAnsi="宋体"/>
                <w:szCs w:val="21"/>
              </w:rPr>
              <w:t>的经营范围应包括航标的维护、保养、管理等相关内容。</w:t>
            </w:r>
          </w:p>
        </w:tc>
        <w:tc>
          <w:tcPr>
            <w:tcW w:w="1567" w:type="pct"/>
            <w:vAlign w:val="center"/>
          </w:tcPr>
          <w:p>
            <w:pPr>
              <w:spacing w:line="336"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9" w:hRule="atLeast"/>
        </w:trPr>
        <w:tc>
          <w:tcPr>
            <w:tcW w:w="365" w:type="pct"/>
            <w:vAlign w:val="center"/>
          </w:tcPr>
          <w:p>
            <w:pPr>
              <w:spacing w:line="336" w:lineRule="auto"/>
              <w:jc w:val="center"/>
              <w:rPr>
                <w:rFonts w:ascii="宋体" w:hAnsi="宋体" w:cs="宋体"/>
                <w:szCs w:val="21"/>
              </w:rPr>
            </w:pPr>
            <w:r>
              <w:rPr>
                <w:rFonts w:ascii="宋体" w:hAnsi="宋体" w:cs="宋体"/>
                <w:szCs w:val="21"/>
              </w:rPr>
              <w:t>2</w:t>
            </w:r>
          </w:p>
        </w:tc>
        <w:tc>
          <w:tcPr>
            <w:tcW w:w="3068" w:type="pct"/>
            <w:vAlign w:val="center"/>
          </w:tcPr>
          <w:p>
            <w:pPr>
              <w:rPr>
                <w:rFonts w:ascii="宋体" w:hAnsi="宋体" w:cs="宋体"/>
                <w:szCs w:val="21"/>
              </w:rPr>
            </w:pPr>
            <w:r>
              <w:rPr>
                <w:rFonts w:hint="eastAsia" w:ascii="宋体" w:hAnsi="宋体" w:cs="宋体"/>
                <w:szCs w:val="21"/>
              </w:rPr>
              <w:t>投标人 “多证合一”的营业执照复印件</w:t>
            </w:r>
          </w:p>
        </w:tc>
        <w:tc>
          <w:tcPr>
            <w:tcW w:w="1567" w:type="pct"/>
            <w:vAlign w:val="center"/>
          </w:tcPr>
          <w:p>
            <w:pPr>
              <w:spacing w:line="336"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365" w:type="pct"/>
            <w:vAlign w:val="center"/>
          </w:tcPr>
          <w:p>
            <w:pPr>
              <w:spacing w:line="336" w:lineRule="auto"/>
              <w:jc w:val="center"/>
              <w:rPr>
                <w:rFonts w:ascii="宋体" w:hAnsi="宋体" w:cs="宋体"/>
                <w:szCs w:val="21"/>
              </w:rPr>
            </w:pPr>
            <w:r>
              <w:rPr>
                <w:rFonts w:ascii="宋体" w:hAnsi="宋体" w:cs="宋体"/>
                <w:szCs w:val="21"/>
              </w:rPr>
              <w:t>3</w:t>
            </w:r>
          </w:p>
        </w:tc>
        <w:tc>
          <w:tcPr>
            <w:tcW w:w="3068" w:type="pct"/>
            <w:vAlign w:val="center"/>
          </w:tcPr>
          <w:p>
            <w:pPr>
              <w:snapToGrid w:val="0"/>
              <w:spacing w:line="360" w:lineRule="auto"/>
              <w:rPr>
                <w:rFonts w:ascii="宋体" w:hAnsi="宋体" w:cs="宋体"/>
                <w:szCs w:val="21"/>
              </w:rPr>
            </w:pPr>
            <w:r>
              <w:rPr>
                <w:rFonts w:hint="eastAsia" w:ascii="宋体" w:hAnsi="宋体" w:cs="宋体"/>
                <w:szCs w:val="21"/>
              </w:rPr>
              <w:t>投标人财务状况相关报告相关材料</w:t>
            </w:r>
          </w:p>
        </w:tc>
        <w:tc>
          <w:tcPr>
            <w:tcW w:w="1567" w:type="pct"/>
            <w:vAlign w:val="center"/>
          </w:tcPr>
          <w:p>
            <w:pPr>
              <w:spacing w:line="336"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365" w:type="pct"/>
            <w:vAlign w:val="center"/>
          </w:tcPr>
          <w:p>
            <w:pPr>
              <w:spacing w:line="336" w:lineRule="auto"/>
              <w:jc w:val="center"/>
              <w:rPr>
                <w:rFonts w:ascii="宋体" w:hAnsi="宋体" w:cs="宋体"/>
                <w:szCs w:val="21"/>
              </w:rPr>
            </w:pPr>
            <w:r>
              <w:rPr>
                <w:rFonts w:ascii="宋体" w:hAnsi="宋体" w:cs="宋体"/>
                <w:szCs w:val="21"/>
              </w:rPr>
              <w:t>4</w:t>
            </w:r>
          </w:p>
        </w:tc>
        <w:tc>
          <w:tcPr>
            <w:tcW w:w="3068" w:type="pct"/>
            <w:vAlign w:val="center"/>
          </w:tcPr>
          <w:p>
            <w:pPr>
              <w:rPr>
                <w:rFonts w:ascii="宋体" w:hAnsi="宋体" w:cs="宋体"/>
                <w:szCs w:val="21"/>
              </w:rPr>
            </w:pPr>
            <w:r>
              <w:rPr>
                <w:rFonts w:hint="eastAsia" w:ascii="宋体" w:hAnsi="宋体" w:cs="宋体"/>
                <w:szCs w:val="21"/>
              </w:rPr>
              <w:t>投标人法定代表人身份证复印件</w:t>
            </w:r>
          </w:p>
        </w:tc>
        <w:tc>
          <w:tcPr>
            <w:tcW w:w="1567" w:type="pct"/>
            <w:vAlign w:val="center"/>
          </w:tcPr>
          <w:p>
            <w:pPr>
              <w:spacing w:line="336"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365" w:type="pct"/>
            <w:vAlign w:val="center"/>
          </w:tcPr>
          <w:p>
            <w:pPr>
              <w:spacing w:line="336" w:lineRule="auto"/>
              <w:jc w:val="center"/>
              <w:rPr>
                <w:rFonts w:ascii="宋体" w:hAnsi="宋体" w:cs="宋体"/>
                <w:szCs w:val="21"/>
              </w:rPr>
            </w:pPr>
            <w:r>
              <w:rPr>
                <w:rFonts w:ascii="宋体" w:hAnsi="宋体" w:cs="宋体"/>
                <w:szCs w:val="21"/>
              </w:rPr>
              <w:t>5</w:t>
            </w:r>
          </w:p>
        </w:tc>
        <w:tc>
          <w:tcPr>
            <w:tcW w:w="3068" w:type="pct"/>
            <w:vAlign w:val="center"/>
          </w:tcPr>
          <w:p>
            <w:pPr>
              <w:rPr>
                <w:rFonts w:ascii="宋体" w:hAnsi="宋体" w:cs="宋体"/>
                <w:szCs w:val="21"/>
              </w:rPr>
            </w:pPr>
            <w:r>
              <w:rPr>
                <w:rFonts w:hint="eastAsia" w:ascii="宋体" w:hAnsi="宋体" w:cs="宋体"/>
                <w:szCs w:val="21"/>
              </w:rPr>
              <w:t>投标函</w:t>
            </w:r>
          </w:p>
        </w:tc>
        <w:tc>
          <w:tcPr>
            <w:tcW w:w="1567" w:type="pct"/>
            <w:vAlign w:val="center"/>
          </w:tcPr>
          <w:p>
            <w:pPr>
              <w:spacing w:line="336"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365" w:type="pct"/>
            <w:vAlign w:val="center"/>
          </w:tcPr>
          <w:p>
            <w:pPr>
              <w:spacing w:line="336" w:lineRule="auto"/>
              <w:jc w:val="center"/>
              <w:rPr>
                <w:rFonts w:ascii="宋体" w:hAnsi="宋体" w:cs="宋体"/>
                <w:szCs w:val="21"/>
              </w:rPr>
            </w:pPr>
            <w:r>
              <w:rPr>
                <w:rFonts w:ascii="宋体" w:hAnsi="宋体" w:cs="宋体"/>
                <w:szCs w:val="21"/>
              </w:rPr>
              <w:t>6</w:t>
            </w:r>
          </w:p>
        </w:tc>
        <w:tc>
          <w:tcPr>
            <w:tcW w:w="3068" w:type="pct"/>
            <w:vAlign w:val="center"/>
          </w:tcPr>
          <w:p>
            <w:pPr>
              <w:rPr>
                <w:rFonts w:ascii="宋体" w:hAnsi="宋体" w:cs="宋体"/>
                <w:szCs w:val="21"/>
              </w:rPr>
            </w:pPr>
            <w:r>
              <w:rPr>
                <w:rFonts w:hint="eastAsia" w:ascii="宋体" w:hAnsi="宋体" w:cs="宋体"/>
                <w:szCs w:val="21"/>
              </w:rPr>
              <w:t>法定代表人授权函，非法定代表人参加投标时提供</w:t>
            </w:r>
          </w:p>
        </w:tc>
        <w:tc>
          <w:tcPr>
            <w:tcW w:w="1567" w:type="pct"/>
            <w:vAlign w:val="center"/>
          </w:tcPr>
          <w:p>
            <w:pPr>
              <w:spacing w:line="336"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9" w:hRule="atLeast"/>
        </w:trPr>
        <w:tc>
          <w:tcPr>
            <w:tcW w:w="365" w:type="pct"/>
            <w:vAlign w:val="center"/>
          </w:tcPr>
          <w:p>
            <w:pPr>
              <w:spacing w:line="336" w:lineRule="auto"/>
              <w:jc w:val="center"/>
              <w:rPr>
                <w:rFonts w:ascii="宋体" w:hAnsi="宋体" w:cs="宋体"/>
                <w:szCs w:val="21"/>
              </w:rPr>
            </w:pPr>
            <w:r>
              <w:rPr>
                <w:rFonts w:ascii="宋体" w:hAnsi="宋体" w:cs="宋体"/>
                <w:szCs w:val="21"/>
              </w:rPr>
              <w:t>7</w:t>
            </w:r>
          </w:p>
        </w:tc>
        <w:tc>
          <w:tcPr>
            <w:tcW w:w="3068" w:type="pct"/>
            <w:vAlign w:val="center"/>
          </w:tcPr>
          <w:p>
            <w:pPr>
              <w:rPr>
                <w:rFonts w:ascii="宋体" w:hAnsi="宋体" w:cs="宋体"/>
                <w:szCs w:val="21"/>
              </w:rPr>
            </w:pPr>
            <w:r>
              <w:rPr>
                <w:rFonts w:hint="eastAsia" w:ascii="宋体" w:hAnsi="宋体" w:cs="宋体"/>
                <w:szCs w:val="21"/>
              </w:rPr>
              <w:t>投标人代表身份证复印件，非法定代表人参加投标时提供</w:t>
            </w:r>
          </w:p>
        </w:tc>
        <w:tc>
          <w:tcPr>
            <w:tcW w:w="1567" w:type="pct"/>
            <w:vAlign w:val="center"/>
          </w:tcPr>
          <w:p>
            <w:pPr>
              <w:spacing w:line="336"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 w:hRule="atLeast"/>
        </w:trPr>
        <w:tc>
          <w:tcPr>
            <w:tcW w:w="3433" w:type="pct"/>
            <w:gridSpan w:val="2"/>
          </w:tcPr>
          <w:p>
            <w:pPr>
              <w:pStyle w:val="18"/>
              <w:spacing w:line="336" w:lineRule="auto"/>
              <w:ind w:firstLine="0" w:firstLineChars="0"/>
              <w:jc w:val="center"/>
              <w:rPr>
                <w:rFonts w:ascii="宋体" w:hAnsi="宋体" w:cs="宋体"/>
                <w:b/>
                <w:sz w:val="21"/>
                <w:szCs w:val="21"/>
              </w:rPr>
            </w:pPr>
            <w:r>
              <w:rPr>
                <w:rFonts w:hint="eastAsia" w:ascii="宋体" w:hAnsi="宋体" w:cs="宋体"/>
                <w:b/>
                <w:sz w:val="21"/>
                <w:szCs w:val="21"/>
              </w:rPr>
              <w:t>结   论</w:t>
            </w:r>
          </w:p>
        </w:tc>
        <w:tc>
          <w:tcPr>
            <w:tcW w:w="1567" w:type="pct"/>
            <w:vAlign w:val="center"/>
          </w:tcPr>
          <w:p>
            <w:pPr>
              <w:spacing w:line="336" w:lineRule="auto"/>
              <w:ind w:left="180"/>
              <w:jc w:val="center"/>
              <w:rPr>
                <w:rFonts w:ascii="宋体" w:hAnsi="宋体" w:cs="宋体"/>
                <w:b/>
                <w:szCs w:val="21"/>
              </w:rPr>
            </w:pPr>
          </w:p>
        </w:tc>
      </w:tr>
    </w:tbl>
    <w:p>
      <w:pPr>
        <w:autoSpaceDE w:val="0"/>
        <w:autoSpaceDN w:val="0"/>
        <w:adjustRightInd w:val="0"/>
        <w:spacing w:line="360" w:lineRule="auto"/>
        <w:ind w:firstLine="720"/>
        <w:rPr>
          <w:rFonts w:ascii="宋体" w:hAnsi="宋体" w:cs="宋体"/>
          <w:szCs w:val="21"/>
        </w:rPr>
      </w:pPr>
      <w:r>
        <w:rPr>
          <w:rFonts w:hint="eastAsia" w:ascii="宋体" w:hAnsi="宋体" w:cs="宋体"/>
          <w:szCs w:val="21"/>
          <w:lang w:val="zh-CN"/>
        </w:rPr>
        <w:t>注：1、表中只需填写“√”或“×”；2、在结论栏中填写“合格”或“不合格”。</w:t>
      </w:r>
    </w:p>
    <w:p>
      <w:pPr>
        <w:numPr>
          <w:ilvl w:val="0"/>
          <w:numId w:val="4"/>
        </w:numPr>
        <w:autoSpaceDE w:val="0"/>
        <w:autoSpaceDN w:val="0"/>
        <w:adjustRightInd w:val="0"/>
        <w:spacing w:line="360" w:lineRule="auto"/>
        <w:rPr>
          <w:rFonts w:ascii="宋体" w:hAnsi="宋体" w:cs="宋体"/>
          <w:b/>
          <w:szCs w:val="21"/>
        </w:rPr>
      </w:pPr>
      <w:r>
        <w:rPr>
          <w:rFonts w:hint="eastAsia" w:ascii="宋体" w:hAnsi="宋体" w:cs="宋体"/>
          <w:b/>
          <w:szCs w:val="21"/>
        </w:rPr>
        <w:t>中标候选人的选取</w:t>
      </w:r>
    </w:p>
    <w:p>
      <w:pPr>
        <w:spacing w:line="360" w:lineRule="auto"/>
        <w:ind w:left="105" w:firstLine="420" w:firstLineChars="200"/>
        <w:rPr>
          <w:rFonts w:ascii="宋体" w:hAnsi="宋体" w:cs="宋体"/>
          <w:b/>
          <w:szCs w:val="21"/>
          <w:lang w:val="zh-CN"/>
        </w:rPr>
      </w:pPr>
      <w:r>
        <w:rPr>
          <w:rFonts w:hint="eastAsia" w:ascii="宋体" w:hAnsi="宋体" w:cs="宋体"/>
          <w:szCs w:val="21"/>
        </w:rPr>
        <w:t>将综合评估分从高到低排序，得出投标人名次,按照综合评估分名次推荐中标候选人3名。综合评估分相同时，按投标报价由低到高顺序排列，综合评估分且投标报价相同的，抽签决定排序（弃权视为自动放弃中标资格）。</w:t>
      </w:r>
    </w:p>
    <w:p>
      <w:pPr>
        <w:numPr>
          <w:ilvl w:val="0"/>
          <w:numId w:val="4"/>
        </w:numPr>
        <w:spacing w:line="360" w:lineRule="auto"/>
        <w:rPr>
          <w:rFonts w:ascii="宋体" w:hAnsi="宋体" w:cs="宋体"/>
          <w:b/>
          <w:szCs w:val="21"/>
        </w:rPr>
      </w:pPr>
      <w:r>
        <w:rPr>
          <w:rFonts w:hint="eastAsia" w:ascii="宋体" w:hAnsi="宋体" w:cs="宋体"/>
          <w:b/>
          <w:szCs w:val="21"/>
        </w:rPr>
        <w:t>中标人选取依据</w:t>
      </w:r>
    </w:p>
    <w:p>
      <w:pPr>
        <w:spacing w:line="360" w:lineRule="auto"/>
        <w:ind w:firstLine="420" w:firstLineChars="200"/>
        <w:rPr>
          <w:rFonts w:ascii="宋体" w:hAnsi="宋体" w:cs="宋体"/>
          <w:szCs w:val="21"/>
        </w:rPr>
      </w:pPr>
      <w:r>
        <w:rPr>
          <w:rFonts w:hint="eastAsia" w:ascii="宋体" w:hAnsi="宋体" w:cs="宋体"/>
          <w:szCs w:val="21"/>
        </w:rPr>
        <w:t>评审小组根据综合评估分得分排序，推荐第一名中标候选人为中标人，经采购人确认后，确定项目中标人，同时发布采购结果公告，发出中标通知书。</w:t>
      </w:r>
    </w:p>
    <w:p>
      <w:pPr>
        <w:spacing w:line="360" w:lineRule="auto"/>
        <w:rPr>
          <w:rFonts w:ascii="宋体" w:hAnsi="宋体" w:cs="宋体"/>
          <w:b/>
          <w:szCs w:val="21"/>
        </w:rPr>
      </w:pPr>
      <w:r>
        <w:rPr>
          <w:rFonts w:hint="eastAsia" w:ascii="宋体" w:hAnsi="宋体" w:cs="宋体"/>
          <w:b/>
          <w:szCs w:val="21"/>
        </w:rPr>
        <w:t>四、综合评估分计分方法</w:t>
      </w:r>
    </w:p>
    <w:p>
      <w:pPr>
        <w:autoSpaceDE w:val="0"/>
        <w:autoSpaceDN w:val="0"/>
        <w:adjustRightInd w:val="0"/>
        <w:spacing w:line="360" w:lineRule="auto"/>
        <w:ind w:firstLine="420" w:firstLineChars="200"/>
        <w:rPr>
          <w:rFonts w:ascii="宋体" w:hAnsi="宋体" w:cs="宋体"/>
          <w:szCs w:val="21"/>
          <w:lang w:val="zh-CN"/>
        </w:rPr>
      </w:pPr>
      <w:r>
        <w:rPr>
          <w:rFonts w:hint="eastAsia" w:ascii="宋体" w:hAnsi="宋体" w:cs="宋体"/>
          <w:szCs w:val="21"/>
          <w:lang w:val="zh-CN"/>
        </w:rPr>
        <w:t>满足招标文件要求且投标价格最低的投标报价为评标基准价，其价格分为满分，其他投标人的价格分按下列公式计算：投标报价得分＝（评标基准价/投标报价）×价格权重×100。</w:t>
      </w:r>
    </w:p>
    <w:p>
      <w:pPr>
        <w:autoSpaceDE w:val="0"/>
        <w:autoSpaceDN w:val="0"/>
        <w:adjustRightInd w:val="0"/>
        <w:spacing w:line="360" w:lineRule="auto"/>
        <w:ind w:firstLine="420" w:firstLineChars="200"/>
        <w:rPr>
          <w:rFonts w:ascii="宋体" w:hAnsi="宋体" w:cs="宋体"/>
          <w:szCs w:val="21"/>
          <w:lang w:val="zh-CN"/>
        </w:rPr>
      </w:pPr>
      <w:r>
        <w:rPr>
          <w:rFonts w:hint="eastAsia" w:ascii="宋体" w:hAnsi="宋体" w:cs="宋体"/>
          <w:szCs w:val="21"/>
          <w:lang w:val="zh-CN"/>
        </w:rPr>
        <w:t>本项目对符合《政府采购促进中小企业发展管理办法》（财库[2020]46号）规定的小微企业报价给予 6%的扣除，对于分包意向协议约定小微企业的合同份额占到合同总金额 30%以上的中大型企业投标报价</w:t>
      </w:r>
      <w:r>
        <w:rPr>
          <w:rFonts w:hint="eastAsia" w:ascii="宋体" w:hAnsi="宋体" w:cs="宋体"/>
          <w:szCs w:val="21"/>
        </w:rPr>
        <w:t>给予</w:t>
      </w:r>
      <w:r>
        <w:rPr>
          <w:rFonts w:hint="eastAsia" w:ascii="宋体" w:hAnsi="宋体" w:cs="宋体"/>
          <w:szCs w:val="21"/>
          <w:lang w:val="zh-CN"/>
        </w:rPr>
        <w:t>2%的扣除，用扣除后的价格参加评审。同时小型、微型企业提供中型企业制造的货物的，视同为中型企业。即小型或微型企业的评审报价=投标报价×94%；分包意向协议约定小微企业的合同份额占到合同总金额 30%以上的中大型企业</w:t>
      </w:r>
      <w:r>
        <w:rPr>
          <w:rFonts w:hint="eastAsia" w:ascii="宋体" w:hAnsi="宋体" w:cs="宋体"/>
          <w:szCs w:val="21"/>
        </w:rPr>
        <w:t>的评审报价=投标报价</w:t>
      </w:r>
      <w:r>
        <w:rPr>
          <w:rFonts w:hint="eastAsia" w:ascii="宋体" w:hAnsi="宋体" w:cs="宋体"/>
          <w:szCs w:val="21"/>
          <w:lang w:val="zh-CN"/>
        </w:rPr>
        <w:t>×</w:t>
      </w:r>
      <w:r>
        <w:rPr>
          <w:rFonts w:hint="eastAsia" w:ascii="宋体" w:hAnsi="宋体" w:cs="宋体"/>
          <w:szCs w:val="21"/>
        </w:rPr>
        <w:t>98%；</w:t>
      </w:r>
      <w:r>
        <w:rPr>
          <w:rFonts w:hint="eastAsia" w:ascii="宋体" w:hAnsi="宋体" w:cs="宋体"/>
          <w:szCs w:val="21"/>
          <w:lang w:val="zh-CN"/>
        </w:rPr>
        <w:t>其他企业产品的评审报价=投标报价。</w:t>
      </w:r>
    </w:p>
    <w:p>
      <w:pPr>
        <w:autoSpaceDE w:val="0"/>
        <w:autoSpaceDN w:val="0"/>
        <w:adjustRightInd w:val="0"/>
        <w:spacing w:line="360" w:lineRule="auto"/>
        <w:ind w:firstLine="420" w:firstLineChars="200"/>
        <w:rPr>
          <w:rFonts w:ascii="宋体" w:hAnsi="宋体"/>
          <w:szCs w:val="21"/>
        </w:rPr>
      </w:pPr>
      <w:r>
        <w:rPr>
          <w:rFonts w:hint="eastAsia" w:ascii="宋体" w:hAnsi="宋体"/>
          <w:szCs w:val="21"/>
        </w:rPr>
        <w:t>根据《中华人民共和国财政部令第87号--政府采购货物和服务招标投标管理办法》第六十条的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adjustRightInd w:val="0"/>
        <w:spacing w:line="360" w:lineRule="auto"/>
        <w:ind w:firstLine="420" w:firstLineChars="200"/>
        <w:rPr>
          <w:rFonts w:ascii="宋体" w:hAnsi="宋体" w:cs="宋体"/>
          <w:szCs w:val="21"/>
          <w:lang w:val="zh-CN"/>
        </w:rPr>
      </w:pPr>
      <w:r>
        <w:rPr>
          <w:rFonts w:ascii="宋体" w:hAnsi="宋体"/>
          <w:szCs w:val="21"/>
        </w:rPr>
        <w:t>在评分时，各投标人投标报价得分保留小数点后二位，第三位四舍五入。</w:t>
      </w:r>
      <w:r>
        <w:rPr>
          <w:rFonts w:hint="eastAsia" w:ascii="宋体" w:hAnsi="宋体"/>
          <w:szCs w:val="21"/>
        </w:rPr>
        <w:t>评审专家打分准确到小数点后一位，</w:t>
      </w:r>
      <w:r>
        <w:rPr>
          <w:rFonts w:hint="eastAsia" w:ascii="宋体" w:hAnsi="宋体" w:cs="宋体"/>
          <w:szCs w:val="21"/>
        </w:rPr>
        <w:t>综合评估分=商务技术部分得分＋投标报价得分，商务技术部分得分为所有评委评分的算术平均值，</w:t>
      </w:r>
      <w:r>
        <w:rPr>
          <w:rFonts w:ascii="宋体" w:hAnsi="宋体" w:cs="宋体"/>
          <w:szCs w:val="21"/>
        </w:rPr>
        <w:t>得分保留小数点后二位。</w:t>
      </w:r>
    </w:p>
    <w:p>
      <w:pPr>
        <w:autoSpaceDE w:val="0"/>
        <w:autoSpaceDN w:val="0"/>
        <w:adjustRightInd w:val="0"/>
        <w:spacing w:line="360" w:lineRule="auto"/>
        <w:rPr>
          <w:rFonts w:ascii="宋体" w:hAnsi="宋体" w:cs="宋体"/>
          <w:b/>
          <w:szCs w:val="21"/>
          <w:lang w:val="zh-CN"/>
        </w:rPr>
      </w:pPr>
      <w:r>
        <w:rPr>
          <w:rFonts w:hint="eastAsia" w:ascii="宋体" w:hAnsi="宋体" w:cs="宋体"/>
          <w:b/>
          <w:szCs w:val="21"/>
          <w:lang w:val="zh-CN"/>
        </w:rPr>
        <w:t>五</w:t>
      </w:r>
      <w:r>
        <w:rPr>
          <w:rFonts w:ascii="宋体" w:hAnsi="宋体" w:cs="宋体"/>
          <w:b/>
          <w:szCs w:val="21"/>
          <w:lang w:val="zh-CN"/>
        </w:rPr>
        <w:t>、</w:t>
      </w:r>
      <w:r>
        <w:rPr>
          <w:rFonts w:hint="eastAsia" w:ascii="宋体" w:hAnsi="宋体" w:cs="宋体"/>
          <w:b/>
          <w:szCs w:val="21"/>
          <w:lang w:val="zh-CN"/>
        </w:rPr>
        <w:t>评分表</w:t>
      </w:r>
    </w:p>
    <w:tbl>
      <w:tblPr>
        <w:tblStyle w:val="26"/>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2075"/>
        <w:gridCol w:w="2923"/>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3" w:type="pct"/>
            <w:vAlign w:val="center"/>
          </w:tcPr>
          <w:p>
            <w:pPr>
              <w:jc w:val="center"/>
              <w:rPr>
                <w:rFonts w:ascii="宋体" w:hAnsi="宋体" w:cs="宋体"/>
                <w:szCs w:val="21"/>
              </w:rPr>
            </w:pPr>
            <w:r>
              <w:rPr>
                <w:rFonts w:hint="eastAsia" w:ascii="宋体" w:hAnsi="宋体" w:cs="宋体"/>
                <w:szCs w:val="21"/>
              </w:rPr>
              <w:t>评标指标</w:t>
            </w:r>
          </w:p>
        </w:tc>
        <w:tc>
          <w:tcPr>
            <w:tcW w:w="1218" w:type="pct"/>
            <w:vAlign w:val="center"/>
          </w:tcPr>
          <w:p>
            <w:pPr>
              <w:jc w:val="center"/>
              <w:rPr>
                <w:rFonts w:ascii="宋体" w:hAnsi="宋体" w:cs="宋体"/>
                <w:szCs w:val="21"/>
              </w:rPr>
            </w:pPr>
            <w:r>
              <w:rPr>
                <w:rFonts w:hint="eastAsia" w:ascii="宋体" w:hAnsi="宋体" w:cs="宋体"/>
                <w:szCs w:val="21"/>
              </w:rPr>
              <w:t>投标报价</w:t>
            </w:r>
          </w:p>
        </w:tc>
        <w:tc>
          <w:tcPr>
            <w:tcW w:w="1716" w:type="pct"/>
            <w:vAlign w:val="center"/>
          </w:tcPr>
          <w:p>
            <w:pPr>
              <w:jc w:val="center"/>
              <w:rPr>
                <w:rFonts w:ascii="宋体" w:hAnsi="宋体" w:cs="宋体"/>
                <w:szCs w:val="21"/>
              </w:rPr>
            </w:pPr>
            <w:r>
              <w:rPr>
                <w:rFonts w:hint="eastAsia" w:ascii="宋体" w:hAnsi="宋体" w:cs="宋体"/>
                <w:szCs w:val="21"/>
              </w:rPr>
              <w:t>商务技术部分</w:t>
            </w:r>
          </w:p>
        </w:tc>
        <w:tc>
          <w:tcPr>
            <w:tcW w:w="721" w:type="pct"/>
            <w:vAlign w:val="center"/>
          </w:tcPr>
          <w:p>
            <w:pPr>
              <w:jc w:val="center"/>
              <w:rPr>
                <w:rFonts w:ascii="宋体" w:hAnsi="宋体" w:cs="宋体"/>
                <w:szCs w:val="21"/>
              </w:rPr>
            </w:pPr>
            <w:r>
              <w:rPr>
                <w:rFonts w:hint="eastAsia" w:ascii="宋体" w:hAnsi="宋体" w:cs="宋体"/>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43" w:type="pct"/>
            <w:vAlign w:val="center"/>
          </w:tcPr>
          <w:p>
            <w:pPr>
              <w:jc w:val="center"/>
              <w:rPr>
                <w:rFonts w:ascii="宋体" w:hAnsi="宋体" w:cs="宋体"/>
                <w:szCs w:val="21"/>
              </w:rPr>
            </w:pPr>
            <w:r>
              <w:rPr>
                <w:rFonts w:hint="eastAsia" w:ascii="宋体" w:hAnsi="宋体" w:cs="宋体"/>
                <w:szCs w:val="21"/>
              </w:rPr>
              <w:t>权重（%）</w:t>
            </w:r>
          </w:p>
        </w:tc>
        <w:tc>
          <w:tcPr>
            <w:tcW w:w="1218" w:type="pct"/>
            <w:vAlign w:val="center"/>
          </w:tcPr>
          <w:p>
            <w:pPr>
              <w:jc w:val="center"/>
              <w:rPr>
                <w:rFonts w:ascii="宋体" w:hAnsi="宋体" w:cs="宋体"/>
                <w:szCs w:val="21"/>
              </w:rPr>
            </w:pPr>
            <w:r>
              <w:rPr>
                <w:rFonts w:ascii="宋体" w:hAnsi="宋体" w:cs="宋体"/>
                <w:szCs w:val="21"/>
              </w:rPr>
              <w:t>30</w:t>
            </w:r>
          </w:p>
        </w:tc>
        <w:tc>
          <w:tcPr>
            <w:tcW w:w="1716" w:type="pct"/>
            <w:vAlign w:val="center"/>
          </w:tcPr>
          <w:p>
            <w:pPr>
              <w:jc w:val="center"/>
              <w:rPr>
                <w:rFonts w:ascii="宋体" w:hAnsi="宋体" w:cs="宋体"/>
                <w:szCs w:val="21"/>
              </w:rPr>
            </w:pPr>
            <w:r>
              <w:rPr>
                <w:rFonts w:ascii="宋体" w:hAnsi="宋体" w:cs="宋体"/>
                <w:szCs w:val="21"/>
              </w:rPr>
              <w:t>70</w:t>
            </w:r>
          </w:p>
        </w:tc>
        <w:tc>
          <w:tcPr>
            <w:tcW w:w="721" w:type="pct"/>
            <w:vAlign w:val="center"/>
          </w:tcPr>
          <w:p>
            <w:pPr>
              <w:jc w:val="center"/>
              <w:rPr>
                <w:rFonts w:ascii="宋体" w:hAnsi="宋体" w:cs="宋体"/>
                <w:szCs w:val="21"/>
              </w:rPr>
            </w:pPr>
            <w:r>
              <w:rPr>
                <w:rFonts w:hint="eastAsia" w:ascii="宋体" w:hAnsi="宋体" w:cs="宋体"/>
                <w:szCs w:val="21"/>
              </w:rPr>
              <w:t>100</w:t>
            </w:r>
          </w:p>
        </w:tc>
      </w:tr>
    </w:tbl>
    <w:p/>
    <w:p>
      <w:pPr>
        <w:pStyle w:val="2"/>
        <w:ind w:firstLine="0" w:firstLineChars="0"/>
      </w:pPr>
    </w:p>
    <w:tbl>
      <w:tblPr>
        <w:tblStyle w:val="26"/>
        <w:tblW w:w="921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418"/>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76" w:type="dxa"/>
            <w:tcBorders>
              <w:bottom w:val="single" w:color="auto" w:sz="4" w:space="0"/>
            </w:tcBorders>
            <w:vAlign w:val="center"/>
          </w:tcPr>
          <w:p>
            <w:pPr>
              <w:rPr>
                <w:szCs w:val="21"/>
              </w:rPr>
            </w:pPr>
            <w:r>
              <w:rPr>
                <w:rFonts w:hint="eastAsia" w:ascii="宋体" w:hAnsi="宋体" w:cs="宋体"/>
                <w:b/>
                <w:bCs/>
                <w:szCs w:val="21"/>
              </w:rPr>
              <w:t>指标类别</w:t>
            </w:r>
          </w:p>
        </w:tc>
        <w:tc>
          <w:tcPr>
            <w:tcW w:w="1418" w:type="dxa"/>
            <w:tcBorders>
              <w:bottom w:val="single" w:color="auto" w:sz="4" w:space="0"/>
            </w:tcBorders>
            <w:vAlign w:val="center"/>
          </w:tcPr>
          <w:p>
            <w:pPr>
              <w:adjustRightInd w:val="0"/>
              <w:snapToGrid w:val="0"/>
              <w:jc w:val="center"/>
              <w:rPr>
                <w:rFonts w:ascii="宋体" w:hAnsi="宋体" w:cs="宋体"/>
                <w:snapToGrid w:val="0"/>
                <w:szCs w:val="21"/>
              </w:rPr>
            </w:pPr>
            <w:r>
              <w:rPr>
                <w:rFonts w:hint="eastAsia" w:ascii="宋体" w:hAnsi="宋体" w:cs="宋体"/>
                <w:b/>
                <w:bCs/>
                <w:szCs w:val="21"/>
              </w:rPr>
              <w:t>评分指标</w:t>
            </w:r>
          </w:p>
        </w:tc>
        <w:tc>
          <w:tcPr>
            <w:tcW w:w="6520" w:type="dxa"/>
            <w:tcBorders>
              <w:bottom w:val="single" w:color="auto" w:sz="4" w:space="0"/>
            </w:tcBorders>
            <w:vAlign w:val="center"/>
          </w:tcPr>
          <w:p>
            <w:pPr>
              <w:pStyle w:val="84"/>
              <w:shd w:val="clear" w:color="auto" w:fill="FFFFFF"/>
              <w:snapToGrid w:val="0"/>
              <w:spacing w:beforeAutospacing="0" w:afterAutospacing="0" w:line="360" w:lineRule="auto"/>
              <w:ind w:firstLine="2409" w:firstLineChars="1000"/>
              <w:rPr>
                <w:rFonts w:cs="宋体"/>
                <w:sz w:val="21"/>
                <w:szCs w:val="21"/>
                <w:shd w:val="clear" w:color="auto" w:fill="FFFFFF"/>
              </w:rPr>
            </w:pPr>
            <w:r>
              <w:rPr>
                <w:rFonts w:hint="eastAsia" w:cs="宋体"/>
                <w:b/>
                <w:bCs/>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276" w:type="dxa"/>
            <w:vMerge w:val="restart"/>
            <w:tcBorders>
              <w:top w:val="single" w:color="auto" w:sz="4" w:space="0"/>
              <w:left w:val="single" w:color="auto" w:sz="4" w:space="0"/>
              <w:bottom w:val="single" w:color="auto" w:sz="4" w:space="0"/>
              <w:right w:val="single" w:color="auto" w:sz="4" w:space="0"/>
            </w:tcBorders>
            <w:vAlign w:val="center"/>
          </w:tcPr>
          <w:p>
            <w:pPr>
              <w:rPr>
                <w:rFonts w:ascii="宋体" w:hAnsi="宋体"/>
                <w:sz w:val="18"/>
                <w:szCs w:val="18"/>
              </w:rPr>
            </w:pPr>
            <w:r>
              <w:rPr>
                <w:rFonts w:hint="eastAsia"/>
                <w:szCs w:val="21"/>
              </w:rPr>
              <w:t>商务部分</w:t>
            </w:r>
            <w:r>
              <w:rPr>
                <w:rFonts w:hint="eastAsia" w:ascii="宋体" w:hAnsi="宋体"/>
                <w:szCs w:val="21"/>
              </w:rPr>
              <w:t>（</w:t>
            </w:r>
            <w:r>
              <w:rPr>
                <w:rFonts w:ascii="宋体" w:hAnsi="宋体"/>
                <w:szCs w:val="21"/>
              </w:rPr>
              <w:t>40</w:t>
            </w:r>
            <w:r>
              <w:rPr>
                <w:rFonts w:hint="eastAsia" w:ascii="宋体" w:hAnsi="宋体"/>
                <w:szCs w:val="21"/>
              </w:rPr>
              <w:t>分）</w:t>
            </w: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cs="宋体"/>
                <w:snapToGrid w:val="0"/>
                <w:szCs w:val="21"/>
              </w:rPr>
              <w:t xml:space="preserve">企业资质  </w:t>
            </w:r>
            <w:r>
              <w:rPr>
                <w:rFonts w:hint="eastAsia" w:ascii="宋体" w:hAnsi="宋体"/>
                <w:szCs w:val="21"/>
              </w:rPr>
              <w:t>（3分）</w:t>
            </w:r>
          </w:p>
        </w:tc>
        <w:tc>
          <w:tcPr>
            <w:tcW w:w="6520" w:type="dxa"/>
            <w:tcBorders>
              <w:top w:val="single" w:color="auto" w:sz="4" w:space="0"/>
              <w:left w:val="single" w:color="auto" w:sz="4" w:space="0"/>
              <w:bottom w:val="single" w:color="auto" w:sz="4" w:space="0"/>
              <w:right w:val="single" w:color="auto" w:sz="4" w:space="0"/>
            </w:tcBorders>
            <w:vAlign w:val="center"/>
          </w:tcPr>
          <w:p>
            <w:pPr>
              <w:pStyle w:val="84"/>
              <w:shd w:val="clear" w:color="auto" w:fill="FFFFFF"/>
              <w:snapToGrid w:val="0"/>
              <w:spacing w:beforeAutospacing="0" w:afterAutospacing="0" w:line="360" w:lineRule="auto"/>
              <w:rPr>
                <w:rFonts w:cs="宋体"/>
                <w:sz w:val="21"/>
                <w:szCs w:val="21"/>
                <w:shd w:val="clear" w:color="auto" w:fill="FFFFFF"/>
              </w:rPr>
            </w:pPr>
            <w:r>
              <w:rPr>
                <w:rFonts w:hint="eastAsia" w:cs="宋体"/>
                <w:sz w:val="21"/>
                <w:szCs w:val="21"/>
                <w:shd w:val="clear" w:color="auto" w:fill="FFFFFF"/>
              </w:rPr>
              <w:t>供应商具有</w:t>
            </w:r>
            <w:r>
              <w:rPr>
                <w:rFonts w:cs="宋体"/>
                <w:sz w:val="21"/>
                <w:szCs w:val="21"/>
                <w:shd w:val="clear" w:color="auto" w:fill="FFFFFF"/>
              </w:rPr>
              <w:t>港口与航道工程施工总承包三级及以上资质</w:t>
            </w:r>
            <w:r>
              <w:rPr>
                <w:rFonts w:hint="eastAsia" w:cs="宋体"/>
                <w:sz w:val="21"/>
                <w:szCs w:val="21"/>
                <w:shd w:val="clear" w:color="auto" w:fill="FFFFFF"/>
              </w:rPr>
              <w:t>或</w:t>
            </w:r>
            <w:r>
              <w:rPr>
                <w:rFonts w:cs="宋体"/>
                <w:sz w:val="21"/>
                <w:szCs w:val="21"/>
                <w:shd w:val="clear" w:color="auto" w:fill="FFFFFF"/>
              </w:rPr>
              <w:t>港口与海岸工程专业承包三级及以上资质</w:t>
            </w:r>
            <w:r>
              <w:rPr>
                <w:rFonts w:hint="eastAsia" w:cs="宋体"/>
                <w:sz w:val="21"/>
                <w:szCs w:val="21"/>
                <w:shd w:val="clear" w:color="auto" w:fill="FFFFFF"/>
              </w:rPr>
              <w:t>或</w:t>
            </w:r>
            <w:r>
              <w:rPr>
                <w:rFonts w:cs="宋体"/>
                <w:sz w:val="21"/>
                <w:szCs w:val="21"/>
                <w:shd w:val="clear" w:color="auto" w:fill="FFFFFF"/>
              </w:rPr>
              <w:t>航道工程专业承包三级及以上资质</w:t>
            </w:r>
            <w:r>
              <w:rPr>
                <w:rFonts w:hint="eastAsia" w:cs="宋体"/>
                <w:sz w:val="21"/>
                <w:szCs w:val="21"/>
                <w:shd w:val="clear" w:color="auto" w:fill="FFFFFF"/>
              </w:rPr>
              <w:t>或具有航标设置、维护职能的相关单位的，得3分。</w:t>
            </w:r>
          </w:p>
          <w:p>
            <w:pPr>
              <w:snapToGrid w:val="0"/>
              <w:spacing w:line="360" w:lineRule="auto"/>
              <w:rPr>
                <w:rFonts w:ascii="宋体" w:hAnsi="宋体" w:cs="宋体"/>
                <w:szCs w:val="21"/>
              </w:rPr>
            </w:pPr>
            <w:r>
              <w:rPr>
                <w:rFonts w:hint="eastAsia" w:ascii="宋体" w:hAnsi="宋体" w:cs="宋体"/>
                <w:szCs w:val="21"/>
              </w:rPr>
              <w:t>（需提供相关资质证书或证明材料的复印件或扫描件，否则不得分）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pStyle w:val="3"/>
              <w:ind w:left="110" w:firstLine="180"/>
              <w:rPr>
                <w:rFonts w:ascii="宋体" w:hAnsi="宋体"/>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snapToGrid w:val="0"/>
                <w:szCs w:val="21"/>
              </w:rPr>
            </w:pPr>
            <w:r>
              <w:rPr>
                <w:rFonts w:hint="eastAsia" w:ascii="宋体" w:hAnsi="宋体" w:cs="宋体"/>
                <w:snapToGrid w:val="0"/>
                <w:szCs w:val="21"/>
              </w:rPr>
              <w:t>企业管理体系证书</w:t>
            </w:r>
          </w:p>
          <w:p>
            <w:pPr>
              <w:spacing w:line="380" w:lineRule="exact"/>
              <w:jc w:val="center"/>
              <w:rPr>
                <w:rFonts w:ascii="宋体" w:hAnsi="宋体" w:cs="宋体"/>
                <w:snapToGrid w:val="0"/>
                <w:szCs w:val="21"/>
              </w:rPr>
            </w:pPr>
            <w:r>
              <w:rPr>
                <w:rFonts w:hint="eastAsia" w:ascii="宋体" w:hAnsi="宋体" w:cs="宋体"/>
                <w:snapToGrid w:val="0"/>
                <w:szCs w:val="21"/>
              </w:rPr>
              <w:t>(3分)</w:t>
            </w:r>
          </w:p>
        </w:tc>
        <w:tc>
          <w:tcPr>
            <w:tcW w:w="652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napToGrid w:val="0"/>
                <w:szCs w:val="21"/>
              </w:rPr>
            </w:pPr>
            <w:r>
              <w:rPr>
                <w:rFonts w:ascii="宋体" w:hAnsi="宋体" w:cs="宋体"/>
                <w:snapToGrid w:val="0"/>
                <w:szCs w:val="21"/>
              </w:rPr>
              <w:t>1</w:t>
            </w:r>
            <w:r>
              <w:rPr>
                <w:rFonts w:hint="eastAsia" w:ascii="宋体" w:hAnsi="宋体" w:cs="宋体"/>
                <w:snapToGrid w:val="0"/>
                <w:szCs w:val="21"/>
              </w:rPr>
              <w:t>、投标人具有有效的</w:t>
            </w:r>
            <w:r>
              <w:rPr>
                <w:rFonts w:ascii="宋体" w:hAnsi="宋体" w:cs="宋体"/>
                <w:snapToGrid w:val="0"/>
                <w:szCs w:val="21"/>
              </w:rPr>
              <w:t>ISO14001</w:t>
            </w:r>
            <w:r>
              <w:rPr>
                <w:rFonts w:hint="eastAsia" w:ascii="宋体" w:hAnsi="宋体" w:cs="宋体"/>
                <w:snapToGrid w:val="0"/>
                <w:szCs w:val="21"/>
              </w:rPr>
              <w:t>环境管理体系认证证书的得1分；</w:t>
            </w:r>
          </w:p>
          <w:p>
            <w:pPr>
              <w:spacing w:line="380" w:lineRule="exact"/>
              <w:rPr>
                <w:rFonts w:ascii="宋体" w:hAnsi="宋体" w:cs="宋体"/>
                <w:snapToGrid w:val="0"/>
                <w:szCs w:val="21"/>
              </w:rPr>
            </w:pPr>
            <w:r>
              <w:rPr>
                <w:rFonts w:ascii="宋体" w:hAnsi="宋体" w:cs="宋体"/>
                <w:snapToGrid w:val="0"/>
                <w:szCs w:val="21"/>
              </w:rPr>
              <w:t>2</w:t>
            </w:r>
            <w:r>
              <w:rPr>
                <w:rFonts w:hint="eastAsia" w:ascii="宋体" w:hAnsi="宋体" w:cs="宋体"/>
                <w:snapToGrid w:val="0"/>
                <w:szCs w:val="21"/>
              </w:rPr>
              <w:t>、投标人具有有效的</w:t>
            </w:r>
            <w:r>
              <w:rPr>
                <w:rFonts w:ascii="宋体" w:hAnsi="宋体" w:cs="宋体"/>
                <w:snapToGrid w:val="0"/>
                <w:szCs w:val="21"/>
              </w:rPr>
              <w:t>ISO9001</w:t>
            </w:r>
            <w:r>
              <w:rPr>
                <w:rFonts w:hint="eastAsia" w:ascii="宋体" w:hAnsi="宋体" w:cs="宋体"/>
                <w:snapToGrid w:val="0"/>
                <w:szCs w:val="21"/>
              </w:rPr>
              <w:t>质量管理体系认证证书的得1分；</w:t>
            </w:r>
          </w:p>
          <w:p>
            <w:pPr>
              <w:spacing w:line="380" w:lineRule="exact"/>
              <w:rPr>
                <w:rFonts w:ascii="宋体" w:hAnsi="宋体" w:cs="宋体"/>
                <w:snapToGrid w:val="0"/>
                <w:szCs w:val="21"/>
              </w:rPr>
            </w:pPr>
            <w:r>
              <w:rPr>
                <w:rFonts w:ascii="宋体" w:hAnsi="宋体" w:cs="宋体"/>
                <w:snapToGrid w:val="0"/>
                <w:szCs w:val="21"/>
              </w:rPr>
              <w:t>3</w:t>
            </w:r>
            <w:r>
              <w:rPr>
                <w:rFonts w:hint="eastAsia" w:ascii="宋体" w:hAnsi="宋体" w:cs="宋体"/>
                <w:snapToGrid w:val="0"/>
                <w:szCs w:val="21"/>
              </w:rPr>
              <w:t>、投标人具有有效的</w:t>
            </w:r>
            <w:r>
              <w:rPr>
                <w:rFonts w:ascii="宋体" w:hAnsi="宋体" w:cs="宋体"/>
                <w:snapToGrid w:val="0"/>
                <w:szCs w:val="21"/>
              </w:rPr>
              <w:t>OHSAS18001</w:t>
            </w:r>
            <w:r>
              <w:rPr>
                <w:rFonts w:hint="eastAsia" w:ascii="宋体" w:hAnsi="宋体" w:cs="宋体"/>
                <w:snapToGrid w:val="0"/>
                <w:szCs w:val="21"/>
              </w:rPr>
              <w:t>或I</w:t>
            </w:r>
            <w:r>
              <w:rPr>
                <w:rFonts w:ascii="宋体" w:hAnsi="宋体" w:cs="宋体"/>
                <w:snapToGrid w:val="0"/>
                <w:szCs w:val="21"/>
              </w:rPr>
              <w:t>SO28001</w:t>
            </w:r>
            <w:r>
              <w:rPr>
                <w:rFonts w:hint="eastAsia" w:ascii="宋体" w:hAnsi="宋体" w:cs="宋体"/>
                <w:snapToGrid w:val="0"/>
                <w:szCs w:val="21"/>
              </w:rPr>
              <w:t>或OHSMS18001职业</w:t>
            </w:r>
            <w:r>
              <w:rPr>
                <w:rFonts w:ascii="宋体" w:hAnsi="宋体" w:cs="宋体"/>
                <w:snapToGrid w:val="0"/>
                <w:szCs w:val="21"/>
              </w:rPr>
              <w:t>健康安全管理体系认证</w:t>
            </w:r>
            <w:r>
              <w:rPr>
                <w:rFonts w:hint="eastAsia" w:ascii="宋体" w:hAnsi="宋体" w:cs="宋体"/>
                <w:snapToGrid w:val="0"/>
                <w:szCs w:val="21"/>
              </w:rPr>
              <w:t>得1</w:t>
            </w:r>
            <w:r>
              <w:rPr>
                <w:rFonts w:ascii="宋体" w:hAnsi="宋体" w:cs="宋体"/>
                <w:snapToGrid w:val="0"/>
                <w:szCs w:val="21"/>
              </w:rPr>
              <w:t>分。</w:t>
            </w:r>
          </w:p>
          <w:p>
            <w:pPr>
              <w:spacing w:line="380" w:lineRule="exact"/>
              <w:rPr>
                <w:rFonts w:ascii="宋体" w:hAnsi="宋体" w:cs="宋体"/>
                <w:snapToGrid w:val="0"/>
                <w:szCs w:val="21"/>
              </w:rPr>
            </w:pPr>
            <w:r>
              <w:rPr>
                <w:rFonts w:hint="eastAsia" w:ascii="宋体" w:hAnsi="宋体" w:cs="宋体"/>
                <w:snapToGrid w:val="0"/>
                <w:szCs w:val="21"/>
              </w:rPr>
              <w:t>注：需提供相关证书</w:t>
            </w:r>
            <w:r>
              <w:rPr>
                <w:rFonts w:hint="eastAsia" w:ascii="宋体" w:hAnsi="宋体" w:cs="宋体"/>
                <w:szCs w:val="21"/>
              </w:rPr>
              <w:t>复印件或扫描件</w:t>
            </w:r>
            <w:r>
              <w:rPr>
                <w:rFonts w:hint="eastAsia" w:ascii="宋体" w:hAnsi="宋体" w:cs="宋体"/>
                <w:snapToGrid w:val="0"/>
                <w:szCs w:val="21"/>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2"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pStyle w:val="3"/>
              <w:ind w:left="110" w:firstLine="180"/>
              <w:rPr>
                <w:rFonts w:ascii="宋体" w:hAnsi="宋体"/>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szCs w:val="21"/>
              </w:rPr>
            </w:pPr>
            <w:r>
              <w:rPr>
                <w:rFonts w:hint="eastAsia" w:ascii="宋体" w:hAnsi="宋体" w:cs="宋体"/>
                <w:snapToGrid w:val="0"/>
                <w:szCs w:val="21"/>
              </w:rPr>
              <w:t>航标船舶  （8分）</w:t>
            </w:r>
          </w:p>
        </w:tc>
        <w:tc>
          <w:tcPr>
            <w:tcW w:w="652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napToGrid w:val="0"/>
                <w:szCs w:val="21"/>
              </w:rPr>
            </w:pPr>
            <w:r>
              <w:rPr>
                <w:rFonts w:hint="eastAsia" w:ascii="宋体" w:hAnsi="宋体" w:cs="宋体"/>
                <w:snapToGrid w:val="0"/>
                <w:szCs w:val="21"/>
              </w:rPr>
              <w:t>投标人有航标船舶（自有或租赁），能满足航标维护保养要求的，得8分；</w:t>
            </w:r>
          </w:p>
          <w:p>
            <w:pPr>
              <w:spacing w:line="380" w:lineRule="exact"/>
              <w:rPr>
                <w:rFonts w:ascii="宋体" w:hAnsi="宋体" w:cs="宋体"/>
                <w:snapToGrid w:val="0"/>
                <w:szCs w:val="21"/>
              </w:rPr>
            </w:pPr>
            <w:r>
              <w:rPr>
                <w:rFonts w:hint="eastAsia" w:ascii="宋体" w:hAnsi="宋体" w:cs="宋体"/>
                <w:snapToGrid w:val="0"/>
                <w:szCs w:val="21"/>
              </w:rPr>
              <w:t>注：1、航标船</w:t>
            </w:r>
            <w:r>
              <w:rPr>
                <w:rFonts w:ascii="宋体" w:hAnsi="宋体" w:cs="宋体"/>
                <w:snapToGrid w:val="0"/>
                <w:szCs w:val="21"/>
              </w:rPr>
              <w:t>须</w:t>
            </w:r>
            <w:r>
              <w:rPr>
                <w:rFonts w:hint="eastAsia" w:ascii="宋体" w:hAnsi="宋体" w:cs="宋体"/>
                <w:snapToGrid w:val="0"/>
                <w:szCs w:val="21"/>
              </w:rPr>
              <w:t>同时</w:t>
            </w:r>
            <w:r>
              <w:rPr>
                <w:rFonts w:ascii="宋体" w:hAnsi="宋体" w:cs="宋体"/>
                <w:snapToGrid w:val="0"/>
                <w:szCs w:val="21"/>
              </w:rPr>
              <w:t>提供</w:t>
            </w:r>
            <w:r>
              <w:rPr>
                <w:rFonts w:hint="eastAsia" w:ascii="宋体" w:hAnsi="宋体" w:cs="宋体"/>
                <w:snapToGrid w:val="0"/>
                <w:szCs w:val="21"/>
              </w:rPr>
              <w:t>《中华人民共和国海上船舶吨位证书》、《中华人民共和国船舶所有权登记证书》和《中华人民共和国海上船舶检验证书簿》复印件</w:t>
            </w:r>
            <w:r>
              <w:rPr>
                <w:rFonts w:ascii="宋体" w:hAnsi="宋体" w:cs="宋体"/>
                <w:snapToGrid w:val="0"/>
                <w:szCs w:val="21"/>
              </w:rPr>
              <w:t xml:space="preserve">； </w:t>
            </w:r>
          </w:p>
          <w:p>
            <w:pPr>
              <w:spacing w:line="380" w:lineRule="exact"/>
              <w:rPr>
                <w:rFonts w:ascii="宋体" w:hAnsi="宋体" w:cs="宋体"/>
                <w:snapToGrid w:val="0"/>
                <w:szCs w:val="21"/>
              </w:rPr>
            </w:pPr>
            <w:r>
              <w:rPr>
                <w:rFonts w:ascii="宋体" w:hAnsi="宋体" w:cs="宋体"/>
                <w:snapToGrid w:val="0"/>
                <w:szCs w:val="21"/>
              </w:rPr>
              <w:t>2、自有</w:t>
            </w:r>
            <w:r>
              <w:rPr>
                <w:rFonts w:hint="eastAsia" w:ascii="宋体" w:hAnsi="宋体" w:cs="宋体"/>
                <w:snapToGrid w:val="0"/>
                <w:szCs w:val="21"/>
              </w:rPr>
              <w:t>航标船舶</w:t>
            </w:r>
            <w:r>
              <w:rPr>
                <w:rFonts w:ascii="宋体" w:hAnsi="宋体" w:cs="宋体"/>
                <w:snapToGrid w:val="0"/>
                <w:szCs w:val="21"/>
              </w:rPr>
              <w:t>指船舶证书上的船舶所有人或船舶经营人应与</w:t>
            </w:r>
            <w:r>
              <w:rPr>
                <w:rFonts w:hint="eastAsia" w:ascii="宋体" w:hAnsi="宋体" w:cs="宋体"/>
                <w:snapToGrid w:val="0"/>
                <w:szCs w:val="21"/>
              </w:rPr>
              <w:t>供应商</w:t>
            </w:r>
            <w:r>
              <w:rPr>
                <w:rFonts w:ascii="宋体" w:hAnsi="宋体" w:cs="宋体"/>
                <w:snapToGrid w:val="0"/>
                <w:szCs w:val="21"/>
              </w:rPr>
              <w:t>一致。</w:t>
            </w:r>
          </w:p>
          <w:p>
            <w:pPr>
              <w:spacing w:line="380" w:lineRule="exact"/>
              <w:rPr>
                <w:rFonts w:ascii="宋体" w:hAnsi="宋体" w:cs="宋体"/>
                <w:snapToGrid w:val="0"/>
                <w:szCs w:val="21"/>
              </w:rPr>
            </w:pPr>
            <w:r>
              <w:rPr>
                <w:rFonts w:ascii="宋体" w:hAnsi="宋体" w:cs="宋体"/>
                <w:snapToGrid w:val="0"/>
                <w:szCs w:val="21"/>
              </w:rPr>
              <w:t>3、</w:t>
            </w:r>
            <w:r>
              <w:rPr>
                <w:rFonts w:hint="eastAsia" w:ascii="宋体" w:hAnsi="宋体" w:cs="宋体"/>
                <w:snapToGrid w:val="0"/>
                <w:szCs w:val="21"/>
              </w:rPr>
              <w:t>航标船</w:t>
            </w:r>
            <w:r>
              <w:rPr>
                <w:rFonts w:ascii="宋体" w:hAnsi="宋体" w:cs="宋体"/>
                <w:snapToGrid w:val="0"/>
                <w:szCs w:val="21"/>
              </w:rPr>
              <w:t>为租赁的，还须提供船舶租赁合同或船舶租赁意向合同。船舶租赁合同或船舶租赁意向合同必须与船舶所有人或船舶经营人签订，且须协议双方法定代表人逐页签字并加盖单位章（如船舶所有人或船舶经营人为自然人的，则由船舶所有人或经营人本人亲笔签字）。</w:t>
            </w:r>
          </w:p>
          <w:p>
            <w:pPr>
              <w:spacing w:line="380" w:lineRule="exact"/>
              <w:rPr>
                <w:rFonts w:ascii="宋体" w:hAnsi="宋体" w:cs="宋体"/>
                <w:snapToGrid w:val="0"/>
                <w:szCs w:val="21"/>
              </w:rPr>
            </w:pPr>
            <w:r>
              <w:rPr>
                <w:rFonts w:hint="eastAsia" w:ascii="宋体" w:hAnsi="宋体" w:cs="宋体"/>
                <w:snapToGrid w:val="0"/>
                <w:szCs w:val="21"/>
              </w:rPr>
              <w:t>4、需提供相关证书或合同的</w:t>
            </w:r>
            <w:r>
              <w:rPr>
                <w:rFonts w:hint="eastAsia" w:ascii="宋体" w:hAnsi="宋体" w:cs="宋体"/>
                <w:szCs w:val="21"/>
              </w:rPr>
              <w:t>复印件（扫描件）</w:t>
            </w:r>
            <w:r>
              <w:rPr>
                <w:rFonts w:hint="eastAsia" w:ascii="宋体" w:hAnsi="宋体" w:cs="宋体"/>
                <w:snapToGrid w:val="0"/>
                <w:szCs w:val="21"/>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2"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pStyle w:val="3"/>
              <w:ind w:left="110" w:firstLine="180"/>
              <w:rPr>
                <w:rFonts w:ascii="宋体" w:hAnsi="宋体"/>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szCs w:val="21"/>
              </w:rPr>
            </w:pPr>
            <w:r>
              <w:rPr>
                <w:rFonts w:hint="eastAsia" w:ascii="宋体" w:hAnsi="宋体" w:cs="宋体"/>
                <w:snapToGrid w:val="0"/>
                <w:szCs w:val="21"/>
              </w:rPr>
              <w:t>其他设备、设施配置情况</w:t>
            </w:r>
          </w:p>
          <w:p>
            <w:pPr>
              <w:adjustRightInd w:val="0"/>
              <w:snapToGrid w:val="0"/>
              <w:jc w:val="center"/>
              <w:rPr>
                <w:rFonts w:ascii="宋体" w:hAnsi="宋体" w:cs="宋体"/>
                <w:snapToGrid w:val="0"/>
                <w:szCs w:val="21"/>
              </w:rPr>
            </w:pPr>
            <w:r>
              <w:rPr>
                <w:rFonts w:hint="eastAsia" w:ascii="宋体" w:hAnsi="宋体" w:cs="宋体"/>
                <w:snapToGrid w:val="0"/>
                <w:szCs w:val="21"/>
              </w:rPr>
              <w:t>（7分）</w:t>
            </w:r>
          </w:p>
        </w:tc>
        <w:tc>
          <w:tcPr>
            <w:tcW w:w="6520"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ascii="宋体" w:hAnsi="宋体" w:cs="宋体"/>
                <w:snapToGrid w:val="0"/>
                <w:szCs w:val="21"/>
              </w:rPr>
            </w:pPr>
            <w:r>
              <w:rPr>
                <w:rFonts w:hint="eastAsia" w:ascii="宋体" w:hAnsi="宋体" w:cs="宋体"/>
                <w:snapToGrid w:val="0"/>
                <w:szCs w:val="21"/>
              </w:rPr>
              <w:t>为了满足航标维护管理、抢修等作业需求，其它设备设施（包括码头、仓库、场地、备品备件等）配置情况。</w:t>
            </w:r>
          </w:p>
          <w:p>
            <w:pPr>
              <w:adjustRightInd w:val="0"/>
              <w:snapToGrid w:val="0"/>
              <w:spacing w:line="300" w:lineRule="exact"/>
              <w:rPr>
                <w:rFonts w:ascii="宋体" w:hAnsi="宋体" w:cs="宋体"/>
                <w:snapToGrid w:val="0"/>
                <w:szCs w:val="21"/>
              </w:rPr>
            </w:pPr>
            <w:r>
              <w:rPr>
                <w:rFonts w:hint="eastAsia" w:ascii="宋体" w:hAnsi="宋体" w:cs="宋体"/>
                <w:snapToGrid w:val="0"/>
                <w:szCs w:val="21"/>
              </w:rPr>
              <w:t>设备、设施配备充足，专业齐全，结构合理，得5—7分；</w:t>
            </w:r>
          </w:p>
          <w:p>
            <w:pPr>
              <w:adjustRightInd w:val="0"/>
              <w:snapToGrid w:val="0"/>
              <w:spacing w:line="300" w:lineRule="exact"/>
              <w:rPr>
                <w:rFonts w:ascii="宋体" w:hAnsi="宋体" w:cs="宋体"/>
                <w:snapToGrid w:val="0"/>
                <w:szCs w:val="21"/>
              </w:rPr>
            </w:pPr>
            <w:r>
              <w:rPr>
                <w:rFonts w:hint="eastAsia" w:ascii="宋体" w:hAnsi="宋体" w:cs="宋体"/>
                <w:snapToGrid w:val="0"/>
                <w:szCs w:val="21"/>
              </w:rPr>
              <w:t>设备、设施配备较充足，专业较齐全，得3—4.9分；</w:t>
            </w:r>
          </w:p>
          <w:p>
            <w:pPr>
              <w:spacing w:line="380" w:lineRule="exact"/>
              <w:rPr>
                <w:rFonts w:ascii="宋体" w:hAnsi="宋体" w:cs="宋体"/>
                <w:snapToGrid w:val="0"/>
                <w:szCs w:val="21"/>
              </w:rPr>
            </w:pPr>
            <w:r>
              <w:rPr>
                <w:rFonts w:hint="eastAsia" w:ascii="宋体" w:hAnsi="宋体" w:cs="宋体"/>
                <w:snapToGrid w:val="0"/>
                <w:szCs w:val="21"/>
              </w:rPr>
              <w:t>设备、设施配备一般，专业配备一般，得1—2.9分；</w:t>
            </w:r>
          </w:p>
          <w:p>
            <w:pPr>
              <w:pStyle w:val="3"/>
              <w:ind w:firstLine="210"/>
              <w:rPr>
                <w:szCs w:val="21"/>
              </w:rPr>
            </w:pPr>
            <w:r>
              <w:rPr>
                <w:rFonts w:hint="eastAsia" w:ascii="宋体" w:hAnsi="宋体" w:cs="宋体"/>
                <w:snapToGrid w:val="0"/>
                <w:szCs w:val="21"/>
              </w:rPr>
              <w:t>需提供相关有效证明材料，否则不得分。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76" w:type="dxa"/>
            <w:vMerge w:val="continue"/>
            <w:tcBorders>
              <w:top w:val="single" w:color="auto" w:sz="4" w:space="0"/>
              <w:left w:val="single" w:color="auto" w:sz="4" w:space="0"/>
              <w:bottom w:val="single" w:color="auto" w:sz="4" w:space="0"/>
              <w:right w:val="single" w:color="auto" w:sz="4" w:space="0"/>
            </w:tcBorders>
            <w:vAlign w:val="center"/>
          </w:tcPr>
          <w:p>
            <w:pPr>
              <w:pStyle w:val="3"/>
              <w:ind w:left="110" w:firstLine="180"/>
              <w:rPr>
                <w:rFonts w:ascii="宋体" w:hAnsi="宋体"/>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snapToGrid w:val="0"/>
                <w:szCs w:val="21"/>
              </w:rPr>
            </w:pPr>
            <w:r>
              <w:rPr>
                <w:rFonts w:hint="eastAsia" w:ascii="宋体" w:hAnsi="宋体" w:cs="宋体"/>
                <w:snapToGrid w:val="0"/>
                <w:szCs w:val="21"/>
              </w:rPr>
              <w:t>项目组成人员情况</w:t>
            </w:r>
          </w:p>
          <w:p>
            <w:pPr>
              <w:spacing w:line="380" w:lineRule="exact"/>
              <w:jc w:val="center"/>
              <w:rPr>
                <w:rFonts w:ascii="宋体" w:hAnsi="宋体" w:cs="宋体"/>
                <w:snapToGrid w:val="0"/>
                <w:szCs w:val="21"/>
              </w:rPr>
            </w:pPr>
            <w:r>
              <w:rPr>
                <w:rFonts w:hint="eastAsia" w:ascii="宋体" w:hAnsi="宋体" w:cs="宋体"/>
                <w:snapToGrid w:val="0"/>
                <w:szCs w:val="21"/>
              </w:rPr>
              <w:t>（5分）</w:t>
            </w:r>
          </w:p>
        </w:tc>
        <w:tc>
          <w:tcPr>
            <w:tcW w:w="652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napToGrid w:val="0"/>
                <w:sz w:val="18"/>
                <w:szCs w:val="18"/>
              </w:rPr>
            </w:pPr>
            <w:r>
              <w:rPr>
                <w:rFonts w:hint="eastAsia" w:ascii="宋体" w:hAnsi="宋体" w:cs="宋体"/>
                <w:snapToGrid w:val="0"/>
                <w:szCs w:val="21"/>
              </w:rPr>
              <w:t>1、拟投入项目负责人具有</w:t>
            </w:r>
            <w:r>
              <w:rPr>
                <w:rFonts w:hint="eastAsia" w:ascii="宋体" w:hAnsi="宋体" w:cs="宋体"/>
                <w:kern w:val="0"/>
                <w:szCs w:val="21"/>
              </w:rPr>
              <w:t>港口与航道专业一级注册建造师证书</w:t>
            </w:r>
            <w:r>
              <w:rPr>
                <w:rFonts w:hint="eastAsia" w:ascii="宋体" w:hAnsi="宋体" w:cs="宋体"/>
                <w:snapToGrid w:val="0"/>
                <w:szCs w:val="21"/>
              </w:rPr>
              <w:t>并具有中级及以上工程师职称的，得2分；只具有中级工程师职称得1分</w:t>
            </w:r>
            <w:r>
              <w:rPr>
                <w:rFonts w:hint="eastAsia" w:ascii="宋体" w:hAnsi="宋体" w:cs="宋体"/>
                <w:snapToGrid w:val="0"/>
                <w:sz w:val="18"/>
                <w:szCs w:val="18"/>
              </w:rPr>
              <w:t>。</w:t>
            </w:r>
          </w:p>
          <w:p>
            <w:pPr>
              <w:spacing w:line="380" w:lineRule="exact"/>
              <w:rPr>
                <w:rFonts w:ascii="宋体" w:hAnsi="宋体" w:cs="宋体"/>
                <w:snapToGrid w:val="0"/>
                <w:szCs w:val="21"/>
              </w:rPr>
            </w:pPr>
            <w:r>
              <w:rPr>
                <w:rFonts w:hint="eastAsia" w:ascii="宋体" w:hAnsi="宋体" w:cs="宋体"/>
                <w:snapToGrid w:val="0"/>
                <w:szCs w:val="21"/>
              </w:rPr>
              <w:t>2、拟投入项目人员（除项目负责人）具有相应的岗位技术证书，每个得1分，最高3分。</w:t>
            </w:r>
          </w:p>
          <w:p>
            <w:pPr>
              <w:spacing w:line="380" w:lineRule="exact"/>
              <w:rPr>
                <w:rFonts w:ascii="宋体" w:hAnsi="宋体" w:cs="宋体"/>
                <w:snapToGrid w:val="0"/>
                <w:szCs w:val="21"/>
              </w:rPr>
            </w:pPr>
            <w:r>
              <w:rPr>
                <w:rFonts w:hint="eastAsia" w:ascii="宋体" w:hAnsi="宋体" w:cs="宋体"/>
                <w:snapToGrid w:val="0"/>
                <w:szCs w:val="21"/>
              </w:rPr>
              <w:t>（需提供相关证书</w:t>
            </w:r>
            <w:r>
              <w:rPr>
                <w:rFonts w:hint="eastAsia" w:ascii="宋体" w:hAnsi="宋体" w:cs="宋体"/>
                <w:szCs w:val="21"/>
              </w:rPr>
              <w:t>复印件或扫描件</w:t>
            </w:r>
            <w:r>
              <w:rPr>
                <w:rFonts w:hint="eastAsia" w:ascii="宋体" w:hAnsi="宋体" w:cs="宋体"/>
                <w:snapToGrid w:val="0"/>
                <w:szCs w:val="21"/>
              </w:rPr>
              <w:t>，提供项目组成员的社保证明材料（</w:t>
            </w:r>
            <w:r>
              <w:rPr>
                <w:rFonts w:hint="eastAsia" w:ascii="宋体" w:hAnsi="宋体"/>
                <w:szCs w:val="21"/>
              </w:rPr>
              <w:t>开标前近三个月且连续三月</w:t>
            </w:r>
            <w:r>
              <w:rPr>
                <w:rFonts w:hint="eastAsia" w:ascii="宋体" w:hAnsi="宋体" w:cs="宋体"/>
                <w:snapToGrid w:val="0"/>
                <w:szCs w:val="21"/>
              </w:rPr>
              <w:t>）</w:t>
            </w:r>
            <w:r>
              <w:rPr>
                <w:rFonts w:hint="eastAsia" w:ascii="宋体" w:hAnsi="宋体"/>
                <w:szCs w:val="21"/>
              </w:rPr>
              <w:t>或本人是投标单位员工的有效证明材料</w:t>
            </w:r>
            <w:r>
              <w:rPr>
                <w:rFonts w:hint="eastAsia" w:ascii="宋体" w:hAnsi="宋体" w:cs="宋体"/>
                <w:snapToGrid w:val="0"/>
                <w:szCs w:val="21"/>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276" w:type="dxa"/>
            <w:vMerge w:val="continue"/>
            <w:tcBorders>
              <w:top w:val="single" w:color="auto" w:sz="4" w:space="0"/>
              <w:left w:val="single" w:color="auto" w:sz="4" w:space="0"/>
              <w:bottom w:val="single" w:color="auto" w:sz="4" w:space="0"/>
              <w:right w:val="single" w:color="auto" w:sz="4" w:space="0"/>
            </w:tcBorders>
          </w:tcPr>
          <w:p>
            <w:pPr>
              <w:pStyle w:val="3"/>
              <w:ind w:left="110" w:firstLine="211"/>
              <w:rPr>
                <w:rFonts w:ascii="宋体" w:hAnsi="宋体"/>
                <w:b/>
                <w:bCs/>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cs="宋体"/>
                <w:snapToGrid w:val="0"/>
                <w:szCs w:val="21"/>
              </w:rPr>
            </w:pPr>
            <w:r>
              <w:rPr>
                <w:rFonts w:hint="eastAsia" w:ascii="宋体" w:hAnsi="宋体" w:cs="宋体"/>
                <w:snapToGrid w:val="0"/>
                <w:szCs w:val="21"/>
              </w:rPr>
              <w:t>航标遥测监控平台</w:t>
            </w:r>
          </w:p>
          <w:p>
            <w:pPr>
              <w:spacing w:line="380" w:lineRule="exact"/>
              <w:jc w:val="center"/>
              <w:rPr>
                <w:rFonts w:ascii="宋体" w:hAnsi="宋体" w:cs="宋体"/>
                <w:snapToGrid w:val="0"/>
                <w:szCs w:val="21"/>
              </w:rPr>
            </w:pPr>
            <w:r>
              <w:rPr>
                <w:rFonts w:hint="eastAsia" w:ascii="宋体" w:hAnsi="宋体" w:cs="宋体"/>
                <w:snapToGrid w:val="0"/>
                <w:szCs w:val="21"/>
              </w:rPr>
              <w:t>（</w:t>
            </w:r>
            <w:r>
              <w:rPr>
                <w:rFonts w:ascii="宋体" w:hAnsi="宋体" w:cs="宋体"/>
                <w:snapToGrid w:val="0"/>
                <w:szCs w:val="21"/>
              </w:rPr>
              <w:t>6</w:t>
            </w:r>
            <w:r>
              <w:rPr>
                <w:rFonts w:hint="eastAsia" w:ascii="宋体" w:hAnsi="宋体" w:cs="宋体"/>
                <w:snapToGrid w:val="0"/>
                <w:szCs w:val="21"/>
              </w:rPr>
              <w:t>分）</w:t>
            </w:r>
          </w:p>
        </w:tc>
        <w:tc>
          <w:tcPr>
            <w:tcW w:w="652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napToGrid w:val="0"/>
                <w:szCs w:val="21"/>
              </w:rPr>
            </w:pPr>
            <w:r>
              <w:rPr>
                <w:rFonts w:hint="eastAsia" w:ascii="宋体" w:hAnsi="宋体" w:cs="宋体"/>
                <w:snapToGrid w:val="0"/>
                <w:szCs w:val="21"/>
              </w:rPr>
              <w:t>具有相应的航标遥测监控平台的得</w:t>
            </w:r>
            <w:r>
              <w:rPr>
                <w:rFonts w:ascii="宋体" w:hAnsi="宋体" w:cs="宋体"/>
                <w:snapToGrid w:val="0"/>
                <w:szCs w:val="21"/>
              </w:rPr>
              <w:t>6</w:t>
            </w:r>
            <w:r>
              <w:rPr>
                <w:rFonts w:hint="eastAsia" w:ascii="宋体" w:hAnsi="宋体" w:cs="宋体"/>
                <w:snapToGrid w:val="0"/>
                <w:szCs w:val="21"/>
              </w:rPr>
              <w:t>分，没有不得分。</w:t>
            </w:r>
          </w:p>
          <w:p>
            <w:pPr>
              <w:pStyle w:val="3"/>
              <w:ind w:firstLine="210"/>
              <w:rPr>
                <w:szCs w:val="21"/>
              </w:rPr>
            </w:pPr>
            <w:r>
              <w:rPr>
                <w:rFonts w:hint="eastAsia" w:ascii="宋体" w:hAnsi="宋体" w:cs="宋体"/>
                <w:snapToGrid w:val="0"/>
                <w:szCs w:val="21"/>
              </w:rPr>
              <w:t>（需提供相关证明材料，否则不得分。）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276" w:type="dxa"/>
            <w:vMerge w:val="continue"/>
            <w:tcBorders>
              <w:top w:val="single" w:color="auto" w:sz="4" w:space="0"/>
              <w:left w:val="single" w:color="auto" w:sz="4" w:space="0"/>
              <w:bottom w:val="single" w:color="auto" w:sz="4" w:space="0"/>
              <w:right w:val="single" w:color="auto" w:sz="4" w:space="0"/>
            </w:tcBorders>
          </w:tcPr>
          <w:p>
            <w:pPr>
              <w:pStyle w:val="3"/>
              <w:ind w:left="110" w:firstLine="211"/>
              <w:rPr>
                <w:rFonts w:ascii="宋体" w:hAnsi="宋体"/>
                <w:b/>
                <w:bCs/>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s="宋体"/>
                <w:snapToGrid w:val="0"/>
                <w:szCs w:val="21"/>
              </w:rPr>
            </w:pPr>
            <w:r>
              <w:rPr>
                <w:rFonts w:hint="eastAsia" w:ascii="宋体" w:hAnsi="宋体" w:cs="宋体"/>
                <w:snapToGrid w:val="0"/>
                <w:szCs w:val="21"/>
              </w:rPr>
              <w:t>类似业绩</w:t>
            </w:r>
          </w:p>
          <w:p>
            <w:pPr>
              <w:adjustRightInd w:val="0"/>
              <w:snapToGrid w:val="0"/>
              <w:jc w:val="center"/>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分）</w:t>
            </w:r>
          </w:p>
        </w:tc>
        <w:tc>
          <w:tcPr>
            <w:tcW w:w="652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Cs w:val="21"/>
              </w:rPr>
            </w:pPr>
            <w:r>
              <w:rPr>
                <w:rFonts w:hint="eastAsia" w:ascii="宋体" w:hAnsi="宋体" w:cs="宋体"/>
                <w:szCs w:val="21"/>
              </w:rPr>
              <w:t>201</w:t>
            </w:r>
            <w:r>
              <w:rPr>
                <w:rFonts w:ascii="宋体" w:hAnsi="宋体" w:cs="宋体"/>
                <w:szCs w:val="21"/>
              </w:rPr>
              <w:t>8</w:t>
            </w:r>
            <w:r>
              <w:rPr>
                <w:rFonts w:hint="eastAsia" w:ascii="宋体" w:hAnsi="宋体" w:cs="宋体"/>
                <w:szCs w:val="21"/>
              </w:rPr>
              <w:t>年1月1日以来至今具有航标维护项目业绩的，每个得</w:t>
            </w:r>
            <w:r>
              <w:rPr>
                <w:rFonts w:ascii="宋体" w:hAnsi="宋体" w:cs="宋体"/>
                <w:szCs w:val="21"/>
              </w:rPr>
              <w:t>2</w:t>
            </w:r>
            <w:r>
              <w:rPr>
                <w:rFonts w:hint="eastAsia" w:ascii="宋体" w:hAnsi="宋体" w:cs="宋体"/>
                <w:szCs w:val="21"/>
              </w:rPr>
              <w:t>分,最高得</w:t>
            </w:r>
            <w:r>
              <w:rPr>
                <w:rFonts w:ascii="宋体" w:hAnsi="宋体" w:cs="宋体"/>
                <w:szCs w:val="21"/>
              </w:rPr>
              <w:t>8</w:t>
            </w:r>
            <w:r>
              <w:rPr>
                <w:rFonts w:hint="eastAsia" w:ascii="宋体" w:hAnsi="宋体" w:cs="宋体"/>
                <w:szCs w:val="21"/>
              </w:rPr>
              <w:t>分。（需提供合同或中标通知书复印件或扫描件，否则不得分）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276" w:type="dxa"/>
            <w:vMerge w:val="restart"/>
            <w:tcBorders>
              <w:top w:val="single" w:color="auto" w:sz="4" w:space="0"/>
            </w:tcBorders>
            <w:vAlign w:val="center"/>
          </w:tcPr>
          <w:p>
            <w:pPr>
              <w:pStyle w:val="3"/>
              <w:ind w:left="110"/>
              <w:jc w:val="center"/>
              <w:rPr>
                <w:rFonts w:ascii="宋体" w:hAnsi="宋体"/>
                <w:bCs/>
                <w:szCs w:val="21"/>
              </w:rPr>
            </w:pPr>
            <w:r>
              <w:rPr>
                <w:rFonts w:hint="eastAsia" w:ascii="宋体" w:hAnsi="宋体"/>
                <w:bCs/>
                <w:szCs w:val="21"/>
              </w:rPr>
              <w:t>技术部分（</w:t>
            </w:r>
            <w:r>
              <w:rPr>
                <w:rFonts w:ascii="宋体" w:hAnsi="宋体"/>
                <w:bCs/>
                <w:szCs w:val="21"/>
              </w:rPr>
              <w:t>30</w:t>
            </w:r>
            <w:r>
              <w:rPr>
                <w:rFonts w:hint="eastAsia" w:ascii="宋体" w:hAnsi="宋体"/>
                <w:bCs/>
                <w:szCs w:val="21"/>
              </w:rPr>
              <w:t>）</w:t>
            </w:r>
          </w:p>
        </w:tc>
        <w:tc>
          <w:tcPr>
            <w:tcW w:w="1418" w:type="dxa"/>
            <w:tcBorders>
              <w:top w:val="single" w:color="auto" w:sz="4" w:space="0"/>
            </w:tcBorders>
            <w:vAlign w:val="center"/>
          </w:tcPr>
          <w:p>
            <w:pPr>
              <w:adjustRightInd w:val="0"/>
              <w:snapToGrid w:val="0"/>
              <w:jc w:val="center"/>
              <w:rPr>
                <w:rFonts w:ascii="宋体" w:hAnsi="宋体" w:cs="宋体"/>
                <w:snapToGrid w:val="0"/>
                <w:szCs w:val="21"/>
              </w:rPr>
            </w:pPr>
            <w:r>
              <w:rPr>
                <w:rFonts w:hint="eastAsia" w:ascii="宋体" w:hAnsi="宋体" w:cs="宋体"/>
                <w:snapToGrid w:val="0"/>
                <w:szCs w:val="21"/>
              </w:rPr>
              <w:t>维护实施方案</w:t>
            </w:r>
          </w:p>
          <w:p>
            <w:pPr>
              <w:adjustRightInd w:val="0"/>
              <w:snapToGrid w:val="0"/>
              <w:jc w:val="center"/>
              <w:rPr>
                <w:rFonts w:ascii="宋体" w:hAnsi="宋体" w:cs="宋体"/>
                <w:snapToGrid w:val="0"/>
                <w:szCs w:val="21"/>
              </w:rPr>
            </w:pPr>
            <w:r>
              <w:rPr>
                <w:rFonts w:hint="eastAsia" w:ascii="宋体" w:hAnsi="宋体" w:cs="宋体"/>
                <w:snapToGrid w:val="0"/>
                <w:szCs w:val="21"/>
              </w:rPr>
              <w:t>（</w:t>
            </w:r>
            <w:r>
              <w:rPr>
                <w:rFonts w:ascii="宋体" w:hAnsi="宋体" w:cs="宋体"/>
                <w:snapToGrid w:val="0"/>
                <w:szCs w:val="21"/>
              </w:rPr>
              <w:t>8</w:t>
            </w:r>
            <w:r>
              <w:rPr>
                <w:rFonts w:hint="eastAsia" w:ascii="宋体" w:hAnsi="宋体" w:cs="宋体"/>
                <w:snapToGrid w:val="0"/>
                <w:szCs w:val="21"/>
              </w:rPr>
              <w:t>分）</w:t>
            </w:r>
          </w:p>
        </w:tc>
        <w:tc>
          <w:tcPr>
            <w:tcW w:w="6520" w:type="dxa"/>
            <w:tcBorders>
              <w:top w:val="single" w:color="auto" w:sz="4" w:space="0"/>
            </w:tcBorders>
            <w:vAlign w:val="center"/>
          </w:tcPr>
          <w:p>
            <w:pPr>
              <w:rPr>
                <w:rFonts w:ascii="宋体" w:hAnsi="宋体" w:cs="宋体"/>
                <w:snapToGrid w:val="0"/>
                <w:szCs w:val="21"/>
              </w:rPr>
            </w:pPr>
            <w:r>
              <w:rPr>
                <w:rFonts w:ascii="宋体" w:hAnsi="宋体" w:cs="宋体"/>
                <w:snapToGrid w:val="0"/>
                <w:szCs w:val="21"/>
              </w:rPr>
              <w:t>项目</w:t>
            </w:r>
            <w:r>
              <w:rPr>
                <w:rFonts w:hint="eastAsia" w:ascii="宋体" w:hAnsi="宋体" w:cs="宋体"/>
                <w:snapToGrid w:val="0"/>
                <w:szCs w:val="21"/>
              </w:rPr>
              <w:t>总体方案是否</w:t>
            </w:r>
            <w:r>
              <w:rPr>
                <w:rFonts w:ascii="宋体" w:hAnsi="宋体" w:cs="宋体"/>
                <w:snapToGrid w:val="0"/>
                <w:szCs w:val="21"/>
              </w:rPr>
              <w:t>清晰、工作重点把握</w:t>
            </w:r>
            <w:r>
              <w:rPr>
                <w:rFonts w:hint="eastAsia" w:ascii="宋体" w:hAnsi="宋体" w:cs="宋体"/>
                <w:snapToGrid w:val="0"/>
                <w:szCs w:val="21"/>
              </w:rPr>
              <w:t>是否</w:t>
            </w:r>
            <w:r>
              <w:rPr>
                <w:rFonts w:ascii="宋体" w:hAnsi="宋体" w:cs="宋体"/>
                <w:snapToGrid w:val="0"/>
                <w:szCs w:val="21"/>
              </w:rPr>
              <w:t>明确，技术路线</w:t>
            </w:r>
            <w:r>
              <w:rPr>
                <w:rFonts w:hint="eastAsia" w:ascii="宋体" w:hAnsi="宋体" w:cs="宋体"/>
                <w:snapToGrid w:val="0"/>
                <w:szCs w:val="21"/>
              </w:rPr>
              <w:t>是否</w:t>
            </w:r>
            <w:r>
              <w:rPr>
                <w:rFonts w:ascii="宋体" w:hAnsi="宋体" w:cs="宋体"/>
                <w:snapToGrid w:val="0"/>
                <w:szCs w:val="21"/>
              </w:rPr>
              <w:t>科学合理，</w:t>
            </w:r>
            <w:r>
              <w:rPr>
                <w:rFonts w:hint="eastAsia" w:ascii="宋体" w:hAnsi="宋体" w:cs="宋体"/>
                <w:snapToGrid w:val="0"/>
                <w:szCs w:val="21"/>
              </w:rPr>
              <w:t>是否</w:t>
            </w:r>
            <w:r>
              <w:rPr>
                <w:rFonts w:ascii="宋体" w:hAnsi="宋体" w:cs="宋体"/>
                <w:snapToGrid w:val="0"/>
                <w:szCs w:val="21"/>
              </w:rPr>
              <w:t>符合项目实际。</w:t>
            </w:r>
          </w:p>
          <w:p>
            <w:pPr>
              <w:rPr>
                <w:rFonts w:ascii="宋体" w:hAnsi="宋体" w:cs="宋体"/>
                <w:snapToGrid w:val="0"/>
                <w:szCs w:val="21"/>
              </w:rPr>
            </w:pPr>
            <w:r>
              <w:rPr>
                <w:rFonts w:ascii="宋体" w:hAnsi="宋体" w:cs="宋体"/>
                <w:snapToGrid w:val="0"/>
                <w:szCs w:val="21"/>
              </w:rPr>
              <w:t>1、</w:t>
            </w:r>
            <w:r>
              <w:rPr>
                <w:rFonts w:hint="eastAsia" w:ascii="宋体" w:hAnsi="宋体" w:cs="宋体"/>
                <w:snapToGrid w:val="0"/>
                <w:szCs w:val="21"/>
              </w:rPr>
              <w:t>内容完整、详细、科学合理、可操作性强，</w:t>
            </w:r>
            <w:r>
              <w:rPr>
                <w:rFonts w:ascii="宋体" w:hAnsi="宋体" w:cs="宋体"/>
                <w:snapToGrid w:val="0"/>
                <w:szCs w:val="21"/>
              </w:rPr>
              <w:t>得6</w:t>
            </w:r>
            <w:r>
              <w:rPr>
                <w:rFonts w:hint="eastAsia" w:ascii="宋体" w:hAnsi="宋体" w:cs="宋体"/>
                <w:snapToGrid w:val="0"/>
                <w:szCs w:val="21"/>
              </w:rPr>
              <w:t>-</w:t>
            </w:r>
            <w:r>
              <w:rPr>
                <w:rFonts w:ascii="宋体" w:hAnsi="宋体" w:cs="宋体"/>
                <w:snapToGrid w:val="0"/>
                <w:szCs w:val="21"/>
              </w:rPr>
              <w:t>8分；</w:t>
            </w:r>
          </w:p>
          <w:p>
            <w:pPr>
              <w:rPr>
                <w:rFonts w:ascii="宋体" w:hAnsi="宋体" w:cs="宋体"/>
                <w:snapToGrid w:val="0"/>
                <w:szCs w:val="21"/>
              </w:rPr>
            </w:pPr>
            <w:r>
              <w:rPr>
                <w:rFonts w:ascii="宋体" w:hAnsi="宋体" w:cs="宋体"/>
                <w:snapToGrid w:val="0"/>
                <w:szCs w:val="21"/>
              </w:rPr>
              <w:t>2、</w:t>
            </w:r>
            <w:r>
              <w:rPr>
                <w:rFonts w:hint="eastAsia" w:ascii="宋体" w:hAnsi="宋体" w:cs="宋体"/>
                <w:snapToGrid w:val="0"/>
                <w:szCs w:val="21"/>
              </w:rPr>
              <w:t>内容较完整、较详细、科学较合理、可操作性较强，</w:t>
            </w:r>
            <w:r>
              <w:rPr>
                <w:rFonts w:ascii="宋体" w:hAnsi="宋体" w:cs="宋体"/>
                <w:snapToGrid w:val="0"/>
                <w:szCs w:val="21"/>
              </w:rPr>
              <w:t>得3-5分；</w:t>
            </w:r>
          </w:p>
          <w:p>
            <w:pPr>
              <w:adjustRightInd w:val="0"/>
              <w:snapToGrid w:val="0"/>
              <w:spacing w:line="300" w:lineRule="exact"/>
              <w:rPr>
                <w:rFonts w:ascii="宋体" w:hAnsi="宋体" w:cs="宋体"/>
                <w:snapToGrid w:val="0"/>
                <w:szCs w:val="21"/>
              </w:rPr>
            </w:pPr>
            <w:r>
              <w:rPr>
                <w:rFonts w:ascii="宋体" w:hAnsi="宋体" w:cs="宋体"/>
                <w:snapToGrid w:val="0"/>
                <w:szCs w:val="21"/>
              </w:rPr>
              <w:t>3、</w:t>
            </w:r>
            <w:r>
              <w:rPr>
                <w:rFonts w:hint="eastAsia" w:ascii="宋体" w:hAnsi="宋体" w:cs="宋体"/>
                <w:snapToGrid w:val="0"/>
                <w:szCs w:val="21"/>
              </w:rPr>
              <w:t>工作内容过于简单，缺乏针对性或发现有明显套用其他项目的内容等</w:t>
            </w:r>
            <w:r>
              <w:rPr>
                <w:rFonts w:ascii="宋体" w:hAnsi="宋体" w:cs="宋体"/>
                <w:snapToGrid w:val="0"/>
                <w:szCs w:val="21"/>
              </w:rPr>
              <w:t>，得0-2分；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276" w:type="dxa"/>
            <w:vMerge w:val="continue"/>
          </w:tcPr>
          <w:p>
            <w:pPr>
              <w:pStyle w:val="3"/>
              <w:ind w:left="110" w:firstLine="211"/>
              <w:rPr>
                <w:rFonts w:ascii="宋体" w:hAnsi="宋体"/>
                <w:b/>
                <w:bCs/>
                <w:szCs w:val="21"/>
              </w:rPr>
            </w:pPr>
          </w:p>
        </w:tc>
        <w:tc>
          <w:tcPr>
            <w:tcW w:w="1418" w:type="dxa"/>
            <w:vAlign w:val="center"/>
          </w:tcPr>
          <w:p>
            <w:pPr>
              <w:adjustRightInd w:val="0"/>
              <w:snapToGrid w:val="0"/>
              <w:jc w:val="center"/>
              <w:rPr>
                <w:rFonts w:ascii="宋体" w:hAnsi="宋体"/>
                <w:szCs w:val="21"/>
              </w:rPr>
            </w:pPr>
            <w:r>
              <w:rPr>
                <w:rFonts w:hint="eastAsia" w:ascii="宋体" w:hAnsi="宋体"/>
                <w:szCs w:val="21"/>
              </w:rPr>
              <w:t>日常养护巡检制度安排及计划</w:t>
            </w:r>
          </w:p>
          <w:p>
            <w:pPr>
              <w:adjustRightInd w:val="0"/>
              <w:snapToGrid w:val="0"/>
              <w:jc w:val="center"/>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分）</w:t>
            </w:r>
          </w:p>
        </w:tc>
        <w:tc>
          <w:tcPr>
            <w:tcW w:w="6520" w:type="dxa"/>
            <w:vAlign w:val="center"/>
          </w:tcPr>
          <w:p>
            <w:pPr>
              <w:rPr>
                <w:rFonts w:ascii="宋体" w:hAnsi="宋体" w:cs="宋体"/>
                <w:snapToGrid w:val="0"/>
                <w:szCs w:val="21"/>
              </w:rPr>
            </w:pPr>
            <w:r>
              <w:rPr>
                <w:rFonts w:ascii="宋体" w:hAnsi="宋体" w:cs="宋体"/>
                <w:snapToGrid w:val="0"/>
                <w:szCs w:val="21"/>
              </w:rPr>
              <w:t>根据投标人技术响应情况，内容是否全面、合理，是否符合本项目实际情况和招标文件提出的要求。</w:t>
            </w:r>
          </w:p>
          <w:p>
            <w:pPr>
              <w:rPr>
                <w:rFonts w:ascii="宋体" w:hAnsi="宋体" w:cs="宋体"/>
                <w:snapToGrid w:val="0"/>
                <w:szCs w:val="21"/>
              </w:rPr>
            </w:pPr>
            <w:r>
              <w:rPr>
                <w:rFonts w:ascii="宋体" w:hAnsi="宋体" w:cs="宋体"/>
                <w:snapToGrid w:val="0"/>
                <w:szCs w:val="21"/>
              </w:rPr>
              <w:t>1、</w:t>
            </w:r>
            <w:r>
              <w:rPr>
                <w:rFonts w:hint="eastAsia" w:ascii="宋体" w:hAnsi="宋体" w:cs="宋体"/>
                <w:snapToGrid w:val="0"/>
                <w:szCs w:val="21"/>
              </w:rPr>
              <w:t>内容完整、详细、科学合理、可操作性强，</w:t>
            </w:r>
            <w:r>
              <w:rPr>
                <w:rFonts w:ascii="宋体" w:hAnsi="宋体" w:cs="宋体"/>
                <w:snapToGrid w:val="0"/>
                <w:szCs w:val="21"/>
              </w:rPr>
              <w:t>得6-8分；</w:t>
            </w:r>
          </w:p>
          <w:p>
            <w:pPr>
              <w:rPr>
                <w:rFonts w:ascii="宋体" w:hAnsi="宋体" w:cs="宋体"/>
                <w:snapToGrid w:val="0"/>
                <w:szCs w:val="21"/>
              </w:rPr>
            </w:pPr>
            <w:r>
              <w:rPr>
                <w:rFonts w:ascii="宋体" w:hAnsi="宋体" w:cs="宋体"/>
                <w:snapToGrid w:val="0"/>
                <w:szCs w:val="21"/>
              </w:rPr>
              <w:t>2、</w:t>
            </w:r>
            <w:r>
              <w:rPr>
                <w:rFonts w:hint="eastAsia" w:ascii="宋体" w:hAnsi="宋体" w:cs="宋体"/>
                <w:snapToGrid w:val="0"/>
                <w:szCs w:val="21"/>
              </w:rPr>
              <w:t>内容较完整、较详细、科学较合理、可操作性较强，</w:t>
            </w:r>
            <w:r>
              <w:rPr>
                <w:rFonts w:ascii="宋体" w:hAnsi="宋体" w:cs="宋体"/>
                <w:snapToGrid w:val="0"/>
                <w:szCs w:val="21"/>
              </w:rPr>
              <w:t>得3-5分；</w:t>
            </w:r>
          </w:p>
          <w:p>
            <w:pPr>
              <w:rPr>
                <w:rFonts w:ascii="宋体" w:hAnsi="宋体" w:cs="宋体"/>
                <w:snapToGrid w:val="0"/>
                <w:szCs w:val="21"/>
              </w:rPr>
            </w:pPr>
            <w:r>
              <w:rPr>
                <w:rFonts w:ascii="宋体" w:hAnsi="宋体" w:cs="宋体"/>
                <w:snapToGrid w:val="0"/>
                <w:szCs w:val="21"/>
              </w:rPr>
              <w:t>3、</w:t>
            </w:r>
            <w:r>
              <w:rPr>
                <w:rFonts w:hint="eastAsia" w:ascii="宋体" w:hAnsi="宋体" w:cs="宋体"/>
                <w:snapToGrid w:val="0"/>
                <w:szCs w:val="21"/>
              </w:rPr>
              <w:t>工作内容过于简单，缺乏针对性或发现有明显套用其他项目的内容等</w:t>
            </w:r>
            <w:r>
              <w:rPr>
                <w:rFonts w:ascii="宋体" w:hAnsi="宋体" w:cs="宋体"/>
                <w:snapToGrid w:val="0"/>
                <w:szCs w:val="21"/>
              </w:rPr>
              <w:t>，得0-2分；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276" w:type="dxa"/>
            <w:vMerge w:val="continue"/>
          </w:tcPr>
          <w:p>
            <w:pPr>
              <w:pStyle w:val="3"/>
              <w:ind w:left="110" w:firstLine="211"/>
              <w:rPr>
                <w:rFonts w:ascii="宋体" w:hAnsi="宋体"/>
                <w:b/>
                <w:bCs/>
                <w:szCs w:val="21"/>
              </w:rPr>
            </w:pPr>
          </w:p>
        </w:tc>
        <w:tc>
          <w:tcPr>
            <w:tcW w:w="1418" w:type="dxa"/>
            <w:vAlign w:val="center"/>
          </w:tcPr>
          <w:p>
            <w:pPr>
              <w:adjustRightInd w:val="0"/>
              <w:snapToGrid w:val="0"/>
              <w:jc w:val="center"/>
              <w:rPr>
                <w:rFonts w:ascii="宋体" w:hAnsi="宋体"/>
                <w:szCs w:val="21"/>
              </w:rPr>
            </w:pPr>
            <w:r>
              <w:rPr>
                <w:rFonts w:hint="eastAsia" w:ascii="宋体" w:hAnsi="宋体"/>
                <w:szCs w:val="21"/>
              </w:rPr>
              <w:t>故障分析及应急预案</w:t>
            </w:r>
          </w:p>
          <w:p>
            <w:pPr>
              <w:adjustRightInd w:val="0"/>
              <w:snapToGrid w:val="0"/>
              <w:jc w:val="center"/>
              <w:rPr>
                <w:rFonts w:ascii="宋体" w:hAnsi="宋体"/>
                <w:szCs w:val="21"/>
              </w:rPr>
            </w:pPr>
            <w:r>
              <w:rPr>
                <w:rFonts w:hint="eastAsia" w:ascii="宋体" w:hAnsi="宋体"/>
                <w:szCs w:val="21"/>
              </w:rPr>
              <w:t>（</w:t>
            </w:r>
            <w:r>
              <w:rPr>
                <w:rFonts w:ascii="宋体" w:hAnsi="宋体"/>
                <w:szCs w:val="21"/>
              </w:rPr>
              <w:t>8</w:t>
            </w:r>
            <w:r>
              <w:rPr>
                <w:rFonts w:hint="eastAsia" w:ascii="宋体" w:hAnsi="宋体"/>
                <w:szCs w:val="21"/>
              </w:rPr>
              <w:t>分）</w:t>
            </w:r>
          </w:p>
        </w:tc>
        <w:tc>
          <w:tcPr>
            <w:tcW w:w="6520" w:type="dxa"/>
            <w:vAlign w:val="center"/>
          </w:tcPr>
          <w:p>
            <w:pPr>
              <w:rPr>
                <w:rFonts w:ascii="宋体" w:hAnsi="宋体" w:cs="宋体"/>
                <w:snapToGrid w:val="0"/>
                <w:szCs w:val="21"/>
              </w:rPr>
            </w:pPr>
            <w:r>
              <w:rPr>
                <w:rFonts w:ascii="宋体" w:hAnsi="宋体" w:cs="宋体"/>
                <w:snapToGrid w:val="0"/>
                <w:szCs w:val="21"/>
              </w:rPr>
              <w:t>根据投标人</w:t>
            </w:r>
            <w:r>
              <w:rPr>
                <w:rFonts w:hint="eastAsia" w:ascii="宋体" w:hAnsi="宋体" w:cs="宋体"/>
                <w:snapToGrid w:val="0"/>
                <w:szCs w:val="21"/>
              </w:rPr>
              <w:t>对</w:t>
            </w:r>
            <w:r>
              <w:rPr>
                <w:rFonts w:hint="eastAsia" w:ascii="宋体" w:hAnsi="宋体"/>
                <w:szCs w:val="21"/>
              </w:rPr>
              <w:t>故障分析是否到位、制订的应急预案是否完善打分：</w:t>
            </w:r>
          </w:p>
          <w:p>
            <w:pPr>
              <w:rPr>
                <w:rFonts w:ascii="宋体" w:hAnsi="宋体" w:cs="宋体"/>
                <w:snapToGrid w:val="0"/>
                <w:szCs w:val="21"/>
              </w:rPr>
            </w:pPr>
            <w:r>
              <w:rPr>
                <w:rFonts w:ascii="宋体" w:hAnsi="宋体" w:cs="宋体"/>
                <w:snapToGrid w:val="0"/>
                <w:szCs w:val="21"/>
              </w:rPr>
              <w:t>1、</w:t>
            </w:r>
            <w:r>
              <w:rPr>
                <w:rFonts w:hint="eastAsia" w:ascii="宋体" w:hAnsi="宋体" w:cs="宋体"/>
                <w:snapToGrid w:val="0"/>
                <w:szCs w:val="21"/>
              </w:rPr>
              <w:t>内容完整、详细、科学合理、可操作性强，</w:t>
            </w:r>
            <w:r>
              <w:rPr>
                <w:rFonts w:ascii="宋体" w:hAnsi="宋体" w:cs="宋体"/>
                <w:snapToGrid w:val="0"/>
                <w:szCs w:val="21"/>
              </w:rPr>
              <w:t>得6-8分；</w:t>
            </w:r>
          </w:p>
          <w:p>
            <w:pPr>
              <w:rPr>
                <w:rFonts w:ascii="宋体" w:hAnsi="宋体" w:cs="宋体"/>
                <w:snapToGrid w:val="0"/>
                <w:szCs w:val="21"/>
              </w:rPr>
            </w:pPr>
            <w:r>
              <w:rPr>
                <w:rFonts w:ascii="宋体" w:hAnsi="宋体" w:cs="宋体"/>
                <w:snapToGrid w:val="0"/>
                <w:szCs w:val="21"/>
              </w:rPr>
              <w:t>2、</w:t>
            </w:r>
            <w:r>
              <w:rPr>
                <w:rFonts w:hint="eastAsia" w:ascii="宋体" w:hAnsi="宋体" w:cs="宋体"/>
                <w:snapToGrid w:val="0"/>
                <w:szCs w:val="21"/>
              </w:rPr>
              <w:t>内容较完整、较详细、科学较合理、可操作性较强，</w:t>
            </w:r>
            <w:r>
              <w:rPr>
                <w:rFonts w:ascii="宋体" w:hAnsi="宋体" w:cs="宋体"/>
                <w:snapToGrid w:val="0"/>
                <w:szCs w:val="21"/>
              </w:rPr>
              <w:t>得3-5分；</w:t>
            </w:r>
          </w:p>
          <w:p>
            <w:pPr>
              <w:spacing w:line="380" w:lineRule="exact"/>
              <w:rPr>
                <w:rFonts w:ascii="宋体" w:hAnsi="宋体" w:cs="宋体"/>
                <w:szCs w:val="21"/>
              </w:rPr>
            </w:pPr>
            <w:r>
              <w:rPr>
                <w:rFonts w:ascii="宋体" w:hAnsi="宋体" w:cs="宋体"/>
                <w:snapToGrid w:val="0"/>
                <w:szCs w:val="21"/>
              </w:rPr>
              <w:t>3、</w:t>
            </w:r>
            <w:r>
              <w:rPr>
                <w:rFonts w:hint="eastAsia" w:ascii="宋体" w:hAnsi="宋体" w:cs="宋体"/>
                <w:snapToGrid w:val="0"/>
                <w:szCs w:val="21"/>
              </w:rPr>
              <w:t>工作内容过于简单，缺乏针对性或发现有明显套用其他项目的内容等</w:t>
            </w:r>
            <w:r>
              <w:rPr>
                <w:rFonts w:ascii="宋体" w:hAnsi="宋体" w:cs="宋体"/>
                <w:snapToGrid w:val="0"/>
                <w:szCs w:val="21"/>
              </w:rPr>
              <w:t>，得0-2分；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1276" w:type="dxa"/>
            <w:vMerge w:val="continue"/>
          </w:tcPr>
          <w:p>
            <w:pPr>
              <w:pStyle w:val="3"/>
              <w:ind w:left="110" w:firstLine="211"/>
              <w:rPr>
                <w:rFonts w:ascii="宋体" w:hAnsi="宋体"/>
                <w:b/>
                <w:bCs/>
                <w:szCs w:val="21"/>
              </w:rPr>
            </w:pPr>
          </w:p>
        </w:tc>
        <w:tc>
          <w:tcPr>
            <w:tcW w:w="1418" w:type="dxa"/>
            <w:vAlign w:val="center"/>
          </w:tcPr>
          <w:p>
            <w:pPr>
              <w:adjustRightInd w:val="0"/>
              <w:snapToGrid w:val="0"/>
              <w:jc w:val="center"/>
              <w:rPr>
                <w:rFonts w:ascii="宋体" w:hAnsi="宋体"/>
                <w:szCs w:val="21"/>
              </w:rPr>
            </w:pPr>
            <w:r>
              <w:rPr>
                <w:rFonts w:hint="eastAsia" w:ascii="宋体" w:hAnsi="宋体"/>
                <w:szCs w:val="21"/>
              </w:rPr>
              <w:t>质量、安全保证措施</w:t>
            </w:r>
          </w:p>
          <w:p>
            <w:pPr>
              <w:adjustRightInd w:val="0"/>
              <w:snapToGrid w:val="0"/>
              <w:jc w:val="center"/>
              <w:rPr>
                <w:rFonts w:ascii="宋体" w:hAnsi="宋体"/>
                <w:szCs w:val="21"/>
              </w:rPr>
            </w:pPr>
            <w:r>
              <w:rPr>
                <w:rFonts w:hint="eastAsia" w:ascii="宋体" w:hAnsi="宋体"/>
                <w:szCs w:val="21"/>
              </w:rPr>
              <w:t>（6分）</w:t>
            </w:r>
          </w:p>
        </w:tc>
        <w:tc>
          <w:tcPr>
            <w:tcW w:w="6520" w:type="dxa"/>
            <w:vAlign w:val="center"/>
          </w:tcPr>
          <w:p>
            <w:pPr>
              <w:rPr>
                <w:rFonts w:ascii="宋体" w:hAnsi="宋体" w:cs="宋体"/>
                <w:snapToGrid w:val="0"/>
                <w:szCs w:val="21"/>
              </w:rPr>
            </w:pPr>
            <w:r>
              <w:rPr>
                <w:rFonts w:ascii="宋体" w:hAnsi="宋体" w:cs="宋体"/>
                <w:snapToGrid w:val="0"/>
                <w:szCs w:val="21"/>
              </w:rPr>
              <w:t>根据投标人</w:t>
            </w:r>
            <w:r>
              <w:rPr>
                <w:rFonts w:hint="eastAsia" w:ascii="宋体" w:hAnsi="宋体" w:cs="宋体"/>
                <w:snapToGrid w:val="0"/>
                <w:szCs w:val="21"/>
              </w:rPr>
              <w:t>对</w:t>
            </w:r>
            <w:r>
              <w:rPr>
                <w:rFonts w:hint="eastAsia" w:ascii="宋体" w:hAnsi="宋体"/>
                <w:szCs w:val="21"/>
              </w:rPr>
              <w:t>质量、安全保证措施的</w:t>
            </w:r>
          </w:p>
          <w:p>
            <w:pPr>
              <w:rPr>
                <w:rFonts w:ascii="宋体" w:hAnsi="宋体" w:cs="宋体"/>
                <w:snapToGrid w:val="0"/>
                <w:szCs w:val="21"/>
              </w:rPr>
            </w:pPr>
            <w:r>
              <w:rPr>
                <w:rFonts w:ascii="宋体" w:hAnsi="宋体" w:cs="宋体"/>
                <w:snapToGrid w:val="0"/>
                <w:szCs w:val="21"/>
              </w:rPr>
              <w:t>1、</w:t>
            </w:r>
            <w:r>
              <w:rPr>
                <w:rFonts w:hint="eastAsia" w:ascii="宋体" w:hAnsi="宋体" w:cs="宋体"/>
                <w:snapToGrid w:val="0"/>
                <w:szCs w:val="21"/>
              </w:rPr>
              <w:t>内容完整、详细、科学合理、可操作性强，</w:t>
            </w:r>
            <w:r>
              <w:rPr>
                <w:rFonts w:ascii="宋体" w:hAnsi="宋体" w:cs="宋体"/>
                <w:snapToGrid w:val="0"/>
                <w:szCs w:val="21"/>
              </w:rPr>
              <w:t>得</w:t>
            </w:r>
            <w:r>
              <w:rPr>
                <w:rFonts w:hint="eastAsia" w:ascii="宋体" w:hAnsi="宋体" w:cs="宋体"/>
                <w:snapToGrid w:val="0"/>
                <w:szCs w:val="21"/>
              </w:rPr>
              <w:t>4</w:t>
            </w:r>
            <w:r>
              <w:rPr>
                <w:rFonts w:ascii="宋体" w:hAnsi="宋体" w:cs="宋体"/>
                <w:snapToGrid w:val="0"/>
                <w:szCs w:val="21"/>
              </w:rPr>
              <w:t>.0</w:t>
            </w:r>
            <w:r>
              <w:rPr>
                <w:rFonts w:hint="eastAsia" w:ascii="宋体" w:hAnsi="宋体" w:cs="宋体"/>
                <w:snapToGrid w:val="0"/>
                <w:szCs w:val="21"/>
              </w:rPr>
              <w:t>-6</w:t>
            </w:r>
            <w:r>
              <w:rPr>
                <w:rFonts w:ascii="宋体" w:hAnsi="宋体" w:cs="宋体"/>
                <w:snapToGrid w:val="0"/>
                <w:szCs w:val="21"/>
              </w:rPr>
              <w:t>.0分；</w:t>
            </w:r>
          </w:p>
          <w:p>
            <w:pPr>
              <w:rPr>
                <w:rFonts w:ascii="宋体" w:hAnsi="宋体" w:cs="宋体"/>
                <w:snapToGrid w:val="0"/>
                <w:szCs w:val="21"/>
              </w:rPr>
            </w:pPr>
            <w:r>
              <w:rPr>
                <w:rFonts w:ascii="宋体" w:hAnsi="宋体" w:cs="宋体"/>
                <w:snapToGrid w:val="0"/>
                <w:szCs w:val="21"/>
              </w:rPr>
              <w:t>2、</w:t>
            </w:r>
            <w:r>
              <w:rPr>
                <w:rFonts w:hint="eastAsia" w:ascii="宋体" w:hAnsi="宋体" w:cs="宋体"/>
                <w:snapToGrid w:val="0"/>
                <w:szCs w:val="21"/>
              </w:rPr>
              <w:t>内容较完整、较详细、科学较合理、可操作性较强，</w:t>
            </w:r>
            <w:r>
              <w:rPr>
                <w:rFonts w:ascii="宋体" w:hAnsi="宋体" w:cs="宋体"/>
                <w:snapToGrid w:val="0"/>
                <w:szCs w:val="21"/>
              </w:rPr>
              <w:t>得</w:t>
            </w:r>
            <w:r>
              <w:rPr>
                <w:rFonts w:hint="eastAsia" w:ascii="宋体" w:hAnsi="宋体" w:cs="宋体"/>
                <w:snapToGrid w:val="0"/>
                <w:szCs w:val="21"/>
              </w:rPr>
              <w:t>2</w:t>
            </w:r>
            <w:r>
              <w:rPr>
                <w:rFonts w:ascii="宋体" w:hAnsi="宋体" w:cs="宋体"/>
                <w:snapToGrid w:val="0"/>
                <w:szCs w:val="21"/>
              </w:rPr>
              <w:t>.0-</w:t>
            </w:r>
            <w:r>
              <w:rPr>
                <w:rFonts w:hint="eastAsia" w:ascii="宋体" w:hAnsi="宋体" w:cs="宋体"/>
                <w:snapToGrid w:val="0"/>
                <w:szCs w:val="21"/>
              </w:rPr>
              <w:t>3</w:t>
            </w:r>
            <w:r>
              <w:rPr>
                <w:rFonts w:ascii="宋体" w:hAnsi="宋体" w:cs="宋体"/>
                <w:snapToGrid w:val="0"/>
                <w:szCs w:val="21"/>
              </w:rPr>
              <w:t>.</w:t>
            </w:r>
            <w:r>
              <w:rPr>
                <w:rFonts w:hint="eastAsia" w:ascii="宋体" w:hAnsi="宋体" w:cs="宋体"/>
                <w:snapToGrid w:val="0"/>
                <w:szCs w:val="21"/>
              </w:rPr>
              <w:t>9</w:t>
            </w:r>
            <w:r>
              <w:rPr>
                <w:rFonts w:ascii="宋体" w:hAnsi="宋体" w:cs="宋体"/>
                <w:snapToGrid w:val="0"/>
                <w:szCs w:val="21"/>
              </w:rPr>
              <w:t>分；</w:t>
            </w:r>
          </w:p>
          <w:p>
            <w:pPr>
              <w:rPr>
                <w:rFonts w:ascii="宋体" w:hAnsi="宋体" w:cs="宋体"/>
                <w:szCs w:val="21"/>
              </w:rPr>
            </w:pPr>
            <w:r>
              <w:rPr>
                <w:rFonts w:ascii="宋体" w:hAnsi="宋体" w:cs="宋体"/>
                <w:snapToGrid w:val="0"/>
                <w:szCs w:val="21"/>
              </w:rPr>
              <w:t>3、</w:t>
            </w:r>
            <w:r>
              <w:rPr>
                <w:rFonts w:hint="eastAsia" w:ascii="宋体" w:hAnsi="宋体" w:cs="宋体"/>
                <w:snapToGrid w:val="0"/>
                <w:szCs w:val="21"/>
              </w:rPr>
              <w:t>工作内容过于简单，缺乏针对性或发现有明显套用其他项目的内容等</w:t>
            </w:r>
            <w:r>
              <w:rPr>
                <w:rFonts w:ascii="宋体" w:hAnsi="宋体" w:cs="宋体"/>
                <w:snapToGrid w:val="0"/>
                <w:szCs w:val="21"/>
              </w:rPr>
              <w:t>，得0-</w:t>
            </w:r>
            <w:r>
              <w:rPr>
                <w:rFonts w:hint="eastAsia" w:ascii="宋体" w:hAnsi="宋体" w:cs="宋体"/>
                <w:snapToGrid w:val="0"/>
                <w:szCs w:val="21"/>
              </w:rPr>
              <w:t>1</w:t>
            </w:r>
            <w:r>
              <w:rPr>
                <w:rFonts w:ascii="宋体" w:hAnsi="宋体" w:cs="宋体"/>
                <w:snapToGrid w:val="0"/>
                <w:szCs w:val="21"/>
              </w:rPr>
              <w:t>.</w:t>
            </w:r>
            <w:r>
              <w:rPr>
                <w:rFonts w:hint="eastAsia" w:ascii="宋体" w:hAnsi="宋体" w:cs="宋体"/>
                <w:snapToGrid w:val="0"/>
                <w:szCs w:val="21"/>
              </w:rPr>
              <w:t>9</w:t>
            </w:r>
            <w:r>
              <w:rPr>
                <w:rFonts w:ascii="宋体" w:hAnsi="宋体" w:cs="宋体"/>
                <w:snapToGrid w:val="0"/>
                <w:szCs w:val="21"/>
              </w:rPr>
              <w:t>分；</w:t>
            </w:r>
          </w:p>
        </w:tc>
      </w:tr>
    </w:tbl>
    <w:p>
      <w:pPr>
        <w:pStyle w:val="2"/>
        <w:ind w:firstLine="210"/>
      </w:pPr>
    </w:p>
    <w:p>
      <w:pPr>
        <w:pStyle w:val="2"/>
        <w:ind w:firstLine="210"/>
        <w:rPr>
          <w:rFonts w:ascii="Calibri" w:hAnsi="Calibri"/>
          <w:kern w:val="2"/>
        </w:rPr>
      </w:pPr>
    </w:p>
    <w:p>
      <w:pPr>
        <w:autoSpaceDE w:val="0"/>
        <w:autoSpaceDN w:val="0"/>
        <w:adjustRightInd w:val="0"/>
        <w:spacing w:line="360" w:lineRule="auto"/>
        <w:jc w:val="center"/>
        <w:rPr>
          <w:rFonts w:ascii="宋体" w:hAnsi="宋体" w:cs="宋体"/>
          <w:b/>
          <w:sz w:val="30"/>
          <w:szCs w:val="30"/>
        </w:rPr>
      </w:pPr>
      <w:r>
        <w:rPr>
          <w:rFonts w:ascii="Times New Roman" w:hAnsi="Times New Roman"/>
          <w:b/>
          <w:bCs/>
          <w:sz w:val="32"/>
          <w:szCs w:val="32"/>
        </w:rPr>
        <w:br w:type="page"/>
      </w:r>
      <w:r>
        <w:rPr>
          <w:rFonts w:ascii="Times New Roman" w:hAnsi="Times New Roman"/>
          <w:b/>
          <w:bCs/>
          <w:sz w:val="32"/>
          <w:szCs w:val="32"/>
        </w:rPr>
        <w:t>第五章</w:t>
      </w:r>
      <w:r>
        <w:rPr>
          <w:rFonts w:hint="eastAsia" w:ascii="宋体" w:hAnsi="宋体" w:cs="宋体"/>
          <w:b/>
          <w:sz w:val="30"/>
          <w:szCs w:val="30"/>
        </w:rPr>
        <w:t>合同主要条款</w:t>
      </w:r>
    </w:p>
    <w:p>
      <w:pPr>
        <w:snapToGrid w:val="0"/>
        <w:spacing w:before="159" w:beforeLines="50" w:after="159" w:afterLines="50" w:line="360" w:lineRule="auto"/>
        <w:jc w:val="center"/>
        <w:rPr>
          <w:rFonts w:ascii="宋体" w:hAnsi="宋体" w:cs="宋体"/>
          <w:b/>
          <w:sz w:val="30"/>
          <w:szCs w:val="30"/>
        </w:rPr>
      </w:pPr>
      <w:r>
        <w:rPr>
          <w:rFonts w:hint="eastAsia" w:ascii="宋体" w:hAnsi="宋体" w:cs="宋体"/>
          <w:b/>
          <w:sz w:val="30"/>
          <w:szCs w:val="30"/>
        </w:rPr>
        <w:t>（具体条款以甲方为主协商确定）</w:t>
      </w:r>
    </w:p>
    <w:p>
      <w:pPr>
        <w:snapToGrid w:val="0"/>
        <w:spacing w:line="360" w:lineRule="auto"/>
        <w:rPr>
          <w:rFonts w:ascii="宋体" w:hAnsi="宋体" w:cs="宋体"/>
          <w:sz w:val="24"/>
        </w:rPr>
      </w:pPr>
      <w:r>
        <w:rPr>
          <w:rFonts w:hint="eastAsia" w:ascii="宋体" w:hAnsi="宋体" w:cs="宋体"/>
          <w:sz w:val="24"/>
        </w:rPr>
        <w:t>采购人： （以下简称甲方）</w:t>
      </w:r>
    </w:p>
    <w:p>
      <w:pPr>
        <w:snapToGrid w:val="0"/>
        <w:spacing w:line="360" w:lineRule="auto"/>
        <w:rPr>
          <w:rFonts w:ascii="宋体" w:hAnsi="宋体" w:cs="宋体"/>
          <w:sz w:val="24"/>
        </w:rPr>
      </w:pPr>
      <w:r>
        <w:rPr>
          <w:rFonts w:hint="eastAsia" w:ascii="宋体" w:hAnsi="宋体" w:cs="宋体"/>
          <w:sz w:val="24"/>
        </w:rPr>
        <w:t>中标供应商：（以下简称乙方）</w:t>
      </w:r>
    </w:p>
    <w:p>
      <w:pPr>
        <w:snapToGrid w:val="0"/>
        <w:spacing w:line="360" w:lineRule="auto"/>
        <w:ind w:firstLine="588" w:firstLineChars="245"/>
        <w:rPr>
          <w:rFonts w:ascii="宋体" w:hAnsi="宋体" w:cs="宋体"/>
          <w:sz w:val="24"/>
        </w:rPr>
      </w:pPr>
      <w:r>
        <w:rPr>
          <w:rFonts w:hint="eastAsia" w:ascii="宋体" w:hAnsi="宋体" w:cs="宋体"/>
          <w:sz w:val="24"/>
        </w:rPr>
        <w:t>鉴于甲方于年月日接受乙方对本服务项目的投标，双方根据《中华人民共和国经济合同法》等法律、相关法规和本项目采购文件、投标文件及其投标中的承诺，经双方协商，同意签订本合同，共同遵守。</w:t>
      </w:r>
    </w:p>
    <w:p>
      <w:pPr>
        <w:spacing w:line="360" w:lineRule="auto"/>
        <w:rPr>
          <w:rFonts w:ascii="宋体" w:hAnsi="宋体" w:cs="宋体"/>
          <w:sz w:val="24"/>
        </w:rPr>
      </w:pPr>
      <w:r>
        <w:rPr>
          <w:rFonts w:hint="eastAsia" w:ascii="宋体" w:hAnsi="宋体" w:cs="宋体"/>
          <w:sz w:val="24"/>
        </w:rPr>
        <w:t>一、合同文件</w:t>
      </w:r>
    </w:p>
    <w:p>
      <w:pPr>
        <w:spacing w:line="360" w:lineRule="auto"/>
        <w:rPr>
          <w:rFonts w:ascii="宋体" w:hAnsi="宋体" w:cs="宋体"/>
          <w:sz w:val="24"/>
        </w:rPr>
      </w:pPr>
      <w:r>
        <w:rPr>
          <w:rFonts w:hint="eastAsia" w:ascii="宋体" w:hAnsi="宋体" w:cs="宋体"/>
          <w:sz w:val="24"/>
        </w:rPr>
        <w:t>下列文件构成本合同的组成部分：</w:t>
      </w:r>
    </w:p>
    <w:p>
      <w:pPr>
        <w:numPr>
          <w:ilvl w:val="0"/>
          <w:numId w:val="5"/>
        </w:numPr>
        <w:adjustRightInd w:val="0"/>
        <w:spacing w:line="360" w:lineRule="auto"/>
        <w:textAlignment w:val="baseline"/>
        <w:rPr>
          <w:rFonts w:ascii="宋体" w:hAnsi="宋体" w:cs="宋体"/>
          <w:sz w:val="24"/>
        </w:rPr>
      </w:pPr>
      <w:r>
        <w:rPr>
          <w:rFonts w:hint="eastAsia" w:ascii="宋体" w:hAnsi="宋体" w:cs="宋体"/>
          <w:sz w:val="24"/>
        </w:rPr>
        <w:t>招标文件</w:t>
      </w:r>
    </w:p>
    <w:p>
      <w:pPr>
        <w:numPr>
          <w:ilvl w:val="0"/>
          <w:numId w:val="5"/>
        </w:numPr>
        <w:adjustRightInd w:val="0"/>
        <w:spacing w:line="360" w:lineRule="auto"/>
        <w:textAlignment w:val="baseline"/>
        <w:rPr>
          <w:rFonts w:ascii="宋体" w:hAnsi="宋体" w:cs="宋体"/>
          <w:sz w:val="24"/>
        </w:rPr>
      </w:pPr>
      <w:r>
        <w:rPr>
          <w:rFonts w:hint="eastAsia" w:ascii="宋体" w:hAnsi="宋体" w:cs="宋体"/>
          <w:sz w:val="24"/>
        </w:rPr>
        <w:t>有关补充文件</w:t>
      </w:r>
    </w:p>
    <w:p>
      <w:pPr>
        <w:numPr>
          <w:ilvl w:val="0"/>
          <w:numId w:val="5"/>
        </w:numPr>
        <w:adjustRightInd w:val="0"/>
        <w:spacing w:line="360" w:lineRule="auto"/>
        <w:textAlignment w:val="baseline"/>
        <w:rPr>
          <w:rFonts w:ascii="宋体" w:hAnsi="宋体" w:cs="宋体"/>
          <w:sz w:val="24"/>
        </w:rPr>
      </w:pPr>
      <w:r>
        <w:rPr>
          <w:rFonts w:hint="eastAsia" w:ascii="宋体" w:hAnsi="宋体" w:cs="宋体"/>
          <w:sz w:val="24"/>
        </w:rPr>
        <w:t>投标文件</w:t>
      </w:r>
    </w:p>
    <w:p>
      <w:pPr>
        <w:pStyle w:val="82"/>
        <w:numPr>
          <w:ilvl w:val="0"/>
          <w:numId w:val="6"/>
        </w:numPr>
        <w:snapToGrid w:val="0"/>
        <w:spacing w:line="360" w:lineRule="auto"/>
        <w:ind w:firstLineChars="0"/>
        <w:rPr>
          <w:rFonts w:ascii="宋体" w:hAnsi="宋体" w:cs="宋体"/>
          <w:sz w:val="24"/>
        </w:rPr>
      </w:pPr>
      <w:r>
        <w:rPr>
          <w:rFonts w:hint="eastAsia" w:ascii="宋体" w:hAnsi="宋体" w:cs="宋体"/>
          <w:sz w:val="24"/>
        </w:rPr>
        <w:t xml:space="preserve">维护保养内容 </w:t>
      </w:r>
    </w:p>
    <w:p>
      <w:pPr>
        <w:snapToGrid w:val="0"/>
        <w:spacing w:line="360" w:lineRule="auto"/>
        <w:ind w:firstLine="480" w:firstLineChars="200"/>
        <w:rPr>
          <w:rFonts w:ascii="宋体" w:hAnsi="宋体" w:cs="宋体"/>
          <w:sz w:val="24"/>
        </w:rPr>
      </w:pPr>
      <w:r>
        <w:rPr>
          <w:rFonts w:hint="eastAsia" w:ascii="宋体" w:hAnsi="宋体" w:cs="宋体"/>
          <w:sz w:val="24"/>
        </w:rPr>
        <w:t>2.1本合同要求养护维修舟山市朱家尖大桥（观音大桥）灯浮8座，朱家尖大桥警示灯桩16座，朱家尖大桥桥涵标10座。</w:t>
      </w:r>
    </w:p>
    <w:p>
      <w:pPr>
        <w:snapToGrid w:val="0"/>
        <w:spacing w:line="360" w:lineRule="auto"/>
        <w:ind w:firstLine="480" w:firstLineChars="200"/>
        <w:rPr>
          <w:rFonts w:ascii="宋体" w:hAnsi="宋体" w:cs="宋体"/>
          <w:sz w:val="24"/>
        </w:rPr>
      </w:pPr>
      <w:r>
        <w:rPr>
          <w:rFonts w:hint="eastAsia" w:ascii="宋体" w:hAnsi="宋体" w:cs="宋体"/>
          <w:sz w:val="24"/>
        </w:rPr>
        <w:t>2.2航标应按《沿海导助航工程维护技术规范》JTS/T320-5-2020、《海区航标维护质量考核标准》、《东海海区航标维护质量检查办法》等相关技术标准及规范进行技术管理和维护，并按时完成航标日常维护工作。维护保养主要内容包括：航标维护、航标巡检、航标抢修等。通过预防性发现并排除航标故障，持续保持航标设备处于良好工作状态，使航标设备达到标位准确、灯质正常、涂色鲜明、结构良好的工作状态。</w:t>
      </w:r>
    </w:p>
    <w:p>
      <w:pPr>
        <w:snapToGrid w:val="0"/>
        <w:spacing w:line="360" w:lineRule="auto"/>
        <w:rPr>
          <w:rFonts w:ascii="宋体" w:hAnsi="宋体" w:cs="宋体"/>
          <w:sz w:val="24"/>
        </w:rPr>
      </w:pPr>
      <w:r>
        <w:rPr>
          <w:rFonts w:hint="eastAsia" w:ascii="宋体" w:hAnsi="宋体" w:cs="宋体"/>
          <w:sz w:val="24"/>
        </w:rPr>
        <w:t>三、服务期限</w:t>
      </w:r>
    </w:p>
    <w:p>
      <w:pPr>
        <w:snapToGrid w:val="0"/>
        <w:spacing w:line="360" w:lineRule="auto"/>
        <w:ind w:firstLine="588" w:firstLineChars="245"/>
        <w:rPr>
          <w:rFonts w:ascii="宋体" w:hAnsi="宋体" w:cs="宋体"/>
          <w:sz w:val="24"/>
        </w:rPr>
      </w:pPr>
      <w:r>
        <w:rPr>
          <w:rFonts w:hint="eastAsia" w:ascii="宋体" w:hAnsi="宋体" w:cs="宋体"/>
          <w:sz w:val="24"/>
        </w:rPr>
        <w:t>3.1本项目服务期限为一年，服务期为20 年 月 日至20 年 月 日止。</w:t>
      </w:r>
    </w:p>
    <w:p>
      <w:pPr>
        <w:snapToGrid w:val="0"/>
        <w:spacing w:line="360" w:lineRule="auto"/>
        <w:ind w:firstLine="588" w:firstLineChars="245"/>
        <w:rPr>
          <w:rFonts w:ascii="宋体" w:hAnsi="宋体" w:cs="宋体"/>
          <w:sz w:val="24"/>
        </w:rPr>
      </w:pPr>
      <w:r>
        <w:rPr>
          <w:rFonts w:hint="eastAsia" w:ascii="宋体" w:hAnsi="宋体" w:cs="宋体"/>
          <w:sz w:val="24"/>
        </w:rPr>
        <w:t>3.2如果供应商的服务质量使采购人满意，且达到合同规定的各项要求，在服务期满后，无特殊情况采购人可以根据相关政策续签下一年的合同，延续合同一年一签，最多续签2次，续签合同时，项目内容和项目内容和资金预算应符合采购人预算安排要求，并及时申报政府采购计划。</w:t>
      </w:r>
    </w:p>
    <w:p>
      <w:pPr>
        <w:snapToGrid w:val="0"/>
        <w:spacing w:line="360" w:lineRule="auto"/>
        <w:rPr>
          <w:rFonts w:ascii="宋体" w:hAnsi="宋体" w:cs="宋体"/>
          <w:sz w:val="24"/>
        </w:rPr>
      </w:pPr>
      <w:r>
        <w:rPr>
          <w:rFonts w:hint="eastAsia" w:ascii="宋体" w:hAnsi="宋体" w:cs="宋体"/>
          <w:sz w:val="24"/>
        </w:rPr>
        <w:t>四、服务费用及付款方式</w:t>
      </w:r>
    </w:p>
    <w:p>
      <w:pPr>
        <w:snapToGrid w:val="0"/>
        <w:spacing w:line="360" w:lineRule="auto"/>
        <w:ind w:firstLine="588" w:firstLineChars="245"/>
        <w:rPr>
          <w:rFonts w:ascii="宋体" w:hAnsi="宋体" w:cs="宋体"/>
          <w:sz w:val="24"/>
        </w:rPr>
      </w:pPr>
      <w:r>
        <w:rPr>
          <w:rFonts w:hint="eastAsia" w:ascii="宋体" w:hAnsi="宋体" w:cs="宋体"/>
          <w:sz w:val="24"/>
        </w:rPr>
        <w:t>4.1服务费用</w:t>
      </w:r>
    </w:p>
    <w:p>
      <w:pPr>
        <w:adjustRightInd w:val="0"/>
        <w:snapToGrid w:val="0"/>
        <w:spacing w:line="360" w:lineRule="auto"/>
        <w:ind w:firstLine="588" w:firstLineChars="245"/>
        <w:rPr>
          <w:rFonts w:ascii="宋体" w:hAnsi="宋体" w:cs="宋体"/>
          <w:sz w:val="24"/>
        </w:rPr>
      </w:pPr>
      <w:r>
        <w:rPr>
          <w:rFonts w:hint="eastAsia" w:ascii="宋体" w:hAnsi="宋体" w:cs="宋体"/>
          <w:sz w:val="24"/>
        </w:rPr>
        <w:t>总费用（大写）： 元人民币。 小写：元。</w:t>
      </w:r>
    </w:p>
    <w:p>
      <w:pPr>
        <w:adjustRightInd w:val="0"/>
        <w:snapToGrid w:val="0"/>
        <w:spacing w:line="360" w:lineRule="auto"/>
        <w:ind w:firstLine="588" w:firstLineChars="245"/>
        <w:rPr>
          <w:rFonts w:ascii="宋体" w:hAnsi="宋体" w:cs="宋体"/>
          <w:color w:val="000000" w:themeColor="text1"/>
          <w:sz w:val="24"/>
        </w:rPr>
      </w:pPr>
      <w:r>
        <w:rPr>
          <w:rFonts w:hint="eastAsia" w:ascii="宋体" w:hAnsi="宋体" w:cs="宋体"/>
          <w:color w:val="000000" w:themeColor="text1"/>
          <w:sz w:val="24"/>
        </w:rPr>
        <w:t>4.2付款方式</w:t>
      </w:r>
    </w:p>
    <w:p>
      <w:pPr>
        <w:widowControl/>
        <w:snapToGrid w:val="0"/>
        <w:spacing w:line="360" w:lineRule="auto"/>
        <w:ind w:firstLine="480" w:firstLineChars="200"/>
        <w:rPr>
          <w:rFonts w:hint="eastAsia" w:ascii="宋体" w:hAnsi="宋体" w:eastAsia="宋体" w:cs="宋体"/>
          <w:color w:val="000000" w:themeColor="text1"/>
          <w:kern w:val="2"/>
          <w:sz w:val="24"/>
          <w:szCs w:val="24"/>
          <w:lang w:val="en-US" w:eastAsia="zh-CN" w:bidi="ar-SA"/>
        </w:rPr>
      </w:pPr>
      <w:r>
        <w:rPr>
          <w:rFonts w:hint="eastAsia" w:ascii="宋体" w:hAnsi="宋体" w:cs="宋体"/>
          <w:color w:val="000000" w:themeColor="text1"/>
          <w:sz w:val="24"/>
        </w:rPr>
        <w:t>在合同签订后三个工作日内乙方应提供合同总额5%的履约保证金，履约保证金待服务期满后十五个工作日内无息退还。</w:t>
      </w:r>
      <w:r>
        <w:rPr>
          <w:rFonts w:hint="eastAsia" w:ascii="宋体" w:hAnsi="宋体" w:eastAsia="宋体" w:cs="宋体"/>
          <w:color w:val="000000" w:themeColor="text1"/>
          <w:kern w:val="2"/>
          <w:sz w:val="24"/>
          <w:szCs w:val="24"/>
          <w:lang w:val="en-US" w:eastAsia="zh-CN" w:bidi="ar-SA"/>
        </w:rPr>
        <w:t>履约保证金可以通过支票、汇票、本票或者金融机构、担保机构出具的保函等法律法规允许的方式缴纳。</w:t>
      </w:r>
    </w:p>
    <w:p>
      <w:pPr>
        <w:adjustRightInd w:val="0"/>
        <w:snapToGrid w:val="0"/>
        <w:spacing w:line="360" w:lineRule="auto"/>
        <w:ind w:firstLine="480" w:firstLineChars="200"/>
        <w:rPr>
          <w:rFonts w:ascii="宋体" w:hAnsi="宋体" w:cs="宋体"/>
          <w:color w:val="000000" w:themeColor="text1"/>
          <w:sz w:val="24"/>
        </w:rPr>
      </w:pPr>
      <w:bookmarkStart w:id="11" w:name="_GoBack"/>
      <w:bookmarkEnd w:id="11"/>
      <w:r>
        <w:rPr>
          <w:rFonts w:hint="eastAsia" w:ascii="宋体" w:hAnsi="宋体" w:cs="宋体"/>
          <w:color w:val="000000" w:themeColor="text1"/>
          <w:sz w:val="24"/>
        </w:rPr>
        <w:t>服务费按季支付，每季度末支付一次，共分四次支付，每次支付金额为合同总额的25%。如因甲方财政资金未到位，甲方可以延期支付（不计利息），具体支付事宜由双方协商解决。</w:t>
      </w:r>
    </w:p>
    <w:p>
      <w:pPr>
        <w:adjustRightInd w:val="0"/>
        <w:snapToGrid w:val="0"/>
        <w:spacing w:line="360" w:lineRule="auto"/>
        <w:rPr>
          <w:rFonts w:ascii="宋体" w:hAnsi="宋体" w:cs="宋体"/>
          <w:sz w:val="24"/>
        </w:rPr>
      </w:pPr>
      <w:r>
        <w:rPr>
          <w:rFonts w:hint="eastAsia" w:ascii="宋体" w:hAnsi="宋体" w:cs="宋体"/>
          <w:sz w:val="24"/>
        </w:rPr>
        <w:t>五、本项目维护所需工具、设备等由乙方自备，其所有权归属乙方。</w:t>
      </w:r>
    </w:p>
    <w:p>
      <w:pPr>
        <w:adjustRightInd w:val="0"/>
        <w:snapToGrid w:val="0"/>
        <w:spacing w:line="360" w:lineRule="auto"/>
        <w:rPr>
          <w:rFonts w:ascii="宋体" w:hAnsi="宋体" w:cs="宋体"/>
          <w:sz w:val="24"/>
        </w:rPr>
      </w:pPr>
      <w:r>
        <w:rPr>
          <w:rFonts w:hint="eastAsia" w:ascii="宋体" w:hAnsi="宋体" w:cs="宋体"/>
          <w:sz w:val="24"/>
        </w:rPr>
        <w:t>六、维护人员配备要求</w:t>
      </w:r>
    </w:p>
    <w:p>
      <w:pPr>
        <w:adjustRightInd w:val="0"/>
        <w:snapToGrid w:val="0"/>
        <w:spacing w:line="360" w:lineRule="auto"/>
        <w:ind w:firstLine="588" w:firstLineChars="245"/>
        <w:rPr>
          <w:rFonts w:ascii="宋体" w:hAnsi="宋体" w:cs="宋体"/>
          <w:sz w:val="24"/>
        </w:rPr>
      </w:pPr>
      <w:r>
        <w:rPr>
          <w:rFonts w:hint="eastAsia" w:ascii="宋体" w:hAnsi="宋体" w:cs="宋体"/>
          <w:sz w:val="24"/>
        </w:rPr>
        <w:t>6.1乙方应按合同要求配备责任心强、技术水平高、服务质量好的维护、保养专业技术人员参加服务。如乙方配备的服务人员在本合同实施过程中，因本身素质、技术水平、现场管理经验等问题，造成现场管理混乱、服务质量低劣而达不到合同规定时，甲方有权要求其重新调整充实服务人员，乙方必须接受，否则作违约处理，此时甲方可单方面终止合同。造成经济损失的，乙方应予赔偿。</w:t>
      </w:r>
      <w:bookmarkStart w:id="1" w:name="_Toc238899166"/>
      <w:bookmarkStart w:id="2" w:name="_Toc238954280"/>
    </w:p>
    <w:p>
      <w:pPr>
        <w:adjustRightInd w:val="0"/>
        <w:snapToGrid w:val="0"/>
        <w:spacing w:line="360" w:lineRule="auto"/>
        <w:rPr>
          <w:rFonts w:ascii="宋体" w:hAnsi="宋体" w:cs="宋体"/>
          <w:sz w:val="24"/>
        </w:rPr>
      </w:pPr>
      <w:r>
        <w:rPr>
          <w:rFonts w:hint="eastAsia" w:ascii="宋体" w:hAnsi="宋体" w:cs="宋体"/>
          <w:sz w:val="24"/>
        </w:rPr>
        <w:t>七</w:t>
      </w:r>
      <w:bookmarkEnd w:id="1"/>
      <w:bookmarkEnd w:id="2"/>
      <w:r>
        <w:rPr>
          <w:rFonts w:hint="eastAsia" w:ascii="宋体" w:hAnsi="宋体" w:cs="宋体"/>
          <w:sz w:val="24"/>
        </w:rPr>
        <w:t>、质量检验和质量保证</w:t>
      </w:r>
    </w:p>
    <w:p>
      <w:pPr>
        <w:snapToGrid w:val="0"/>
        <w:spacing w:line="360" w:lineRule="auto"/>
        <w:ind w:firstLine="588" w:firstLineChars="245"/>
        <w:rPr>
          <w:rFonts w:ascii="宋体" w:hAnsi="宋体" w:cs="宋体"/>
          <w:sz w:val="24"/>
        </w:rPr>
      </w:pPr>
      <w:r>
        <w:rPr>
          <w:rFonts w:hint="eastAsia" w:ascii="宋体" w:hAnsi="宋体" w:cs="宋体"/>
          <w:sz w:val="24"/>
        </w:rPr>
        <w:t>7.1乙方维护提供的产品应符合相应标准和技术条件。</w:t>
      </w:r>
    </w:p>
    <w:p>
      <w:pPr>
        <w:snapToGrid w:val="0"/>
        <w:spacing w:line="360" w:lineRule="auto"/>
        <w:ind w:firstLine="588" w:firstLineChars="245"/>
        <w:rPr>
          <w:rFonts w:ascii="宋体" w:hAnsi="宋体" w:cs="宋体"/>
          <w:sz w:val="24"/>
        </w:rPr>
      </w:pPr>
      <w:r>
        <w:rPr>
          <w:rFonts w:hint="eastAsia" w:ascii="宋体" w:hAnsi="宋体" w:cs="宋体"/>
          <w:sz w:val="24"/>
        </w:rPr>
        <w:t>7.2所供产品质保书应明示厂家、型号及主要原件的检验结果。</w:t>
      </w:r>
    </w:p>
    <w:p>
      <w:pPr>
        <w:snapToGrid w:val="0"/>
        <w:spacing w:line="360" w:lineRule="auto"/>
        <w:ind w:firstLine="588" w:firstLineChars="245"/>
        <w:rPr>
          <w:rFonts w:ascii="宋体" w:hAnsi="宋体" w:cs="宋体"/>
          <w:sz w:val="24"/>
        </w:rPr>
      </w:pPr>
      <w:r>
        <w:rPr>
          <w:rFonts w:hint="eastAsia" w:ascii="宋体" w:hAnsi="宋体" w:cs="宋体"/>
          <w:sz w:val="24"/>
        </w:rPr>
        <w:t>7.3维护标准应符合《海区航标维护质量考核标准》《东海海区航标维护质量检查办法》等的标准及规范要求。</w:t>
      </w:r>
    </w:p>
    <w:p>
      <w:pPr>
        <w:snapToGrid w:val="0"/>
        <w:spacing w:line="360" w:lineRule="auto"/>
        <w:rPr>
          <w:rFonts w:ascii="宋体" w:hAnsi="宋体" w:cs="宋体"/>
          <w:sz w:val="24"/>
        </w:rPr>
      </w:pPr>
      <w:r>
        <w:rPr>
          <w:rFonts w:hint="eastAsia" w:ascii="宋体" w:hAnsi="宋体" w:cs="宋体"/>
          <w:sz w:val="24"/>
        </w:rPr>
        <w:t>八、双方责任</w:t>
      </w:r>
    </w:p>
    <w:p>
      <w:pPr>
        <w:snapToGrid w:val="0"/>
        <w:spacing w:line="360" w:lineRule="auto"/>
        <w:ind w:firstLine="480" w:firstLineChars="200"/>
        <w:rPr>
          <w:rFonts w:ascii="宋体" w:hAnsi="宋体" w:cs="宋体"/>
          <w:sz w:val="24"/>
        </w:rPr>
      </w:pPr>
      <w:r>
        <w:rPr>
          <w:rFonts w:hint="eastAsia" w:ascii="宋体" w:hAnsi="宋体" w:cs="宋体"/>
          <w:sz w:val="24"/>
        </w:rPr>
        <w:t>8.1乙方应严格按照《沿海导助航工程维护技术规范》JTS/T320-5-2020、《海区航标作业管理规则》、《航标维护巡检作业规范》、《海区航标固定建(构)筑物维护标准》进行维护巡检。</w:t>
      </w:r>
    </w:p>
    <w:p>
      <w:pPr>
        <w:snapToGrid w:val="0"/>
        <w:spacing w:line="360" w:lineRule="auto"/>
        <w:ind w:firstLine="480" w:firstLineChars="200"/>
        <w:rPr>
          <w:rFonts w:ascii="宋体" w:hAnsi="宋体" w:cs="宋体"/>
          <w:sz w:val="24"/>
        </w:rPr>
      </w:pPr>
      <w:r>
        <w:rPr>
          <w:rFonts w:hint="eastAsia" w:ascii="宋体" w:hAnsi="宋体" w:cs="宋体"/>
          <w:sz w:val="24"/>
        </w:rPr>
        <w:t>8.2乙方负责航标维护巡检补给工作，对航标的外观、钢结构装置、连接设备、灯架、电池、灯</w:t>
      </w:r>
      <w:r>
        <w:rPr>
          <w:rFonts w:hint="eastAsia" w:ascii="宋体" w:hAnsi="宋体" w:cs="宋体"/>
          <w:color w:val="000000" w:themeColor="text1"/>
          <w:sz w:val="24"/>
        </w:rPr>
        <w:t>器及电器设备、供电线路等进行常规性的维护和检查，使其质量达到国家标准。</w:t>
      </w:r>
    </w:p>
    <w:p>
      <w:pPr>
        <w:snapToGrid w:val="0"/>
        <w:spacing w:line="360" w:lineRule="auto"/>
        <w:ind w:firstLine="480" w:firstLineChars="200"/>
        <w:rPr>
          <w:rFonts w:ascii="宋体" w:hAnsi="宋体" w:cs="宋体"/>
          <w:sz w:val="24"/>
        </w:rPr>
      </w:pPr>
      <w:r>
        <w:rPr>
          <w:rFonts w:hint="eastAsia" w:ascii="宋体" w:hAnsi="宋体" w:cs="宋体"/>
          <w:sz w:val="24"/>
        </w:rPr>
        <w:t>8.3乙方应严格按照按航标保养周期要求对灯浮标进行及时起吊检修，对浮身、灯架及锚系设备等进行全面维修保养。</w:t>
      </w:r>
    </w:p>
    <w:p>
      <w:pPr>
        <w:snapToGrid w:val="0"/>
        <w:spacing w:line="360" w:lineRule="auto"/>
        <w:ind w:firstLine="480" w:firstLineChars="200"/>
        <w:rPr>
          <w:rFonts w:ascii="宋体" w:hAnsi="宋体" w:cs="宋体"/>
          <w:sz w:val="24"/>
        </w:rPr>
      </w:pPr>
      <w:r>
        <w:rPr>
          <w:rFonts w:hint="eastAsia" w:ascii="宋体" w:hAnsi="宋体" w:cs="宋体"/>
          <w:sz w:val="24"/>
        </w:rPr>
        <w:t>8.4航标标志发光正常率达到部颁标准的99.6%。航标如熄灭，乙方应在气象条件允许下12小时内保证恢复发光。</w:t>
      </w:r>
    </w:p>
    <w:p>
      <w:pPr>
        <w:snapToGrid w:val="0"/>
        <w:spacing w:line="360" w:lineRule="auto"/>
        <w:ind w:firstLine="480" w:firstLineChars="200"/>
        <w:rPr>
          <w:rFonts w:ascii="宋体" w:hAnsi="宋体" w:cs="宋体"/>
          <w:sz w:val="24"/>
        </w:rPr>
      </w:pPr>
      <w:r>
        <w:rPr>
          <w:rFonts w:hint="eastAsia" w:ascii="宋体" w:hAnsi="宋体" w:cs="宋体"/>
          <w:sz w:val="24"/>
        </w:rPr>
        <w:t>8.5航标因事故或自然灾害造成的损坏（如被盗、人为破坏、被撞、台风或大潮所造成的灯浮丢失、移位及沉没等），乙方应及时进行抢修并修复完善，如遇特殊情况无法及时修复时，应协助甲方发布航行警告。</w:t>
      </w:r>
    </w:p>
    <w:p>
      <w:pPr>
        <w:snapToGrid w:val="0"/>
        <w:spacing w:line="360" w:lineRule="auto"/>
        <w:ind w:firstLine="480" w:firstLineChars="200"/>
        <w:rPr>
          <w:rFonts w:ascii="宋体" w:hAnsi="宋体" w:cs="宋体"/>
          <w:sz w:val="24"/>
        </w:rPr>
      </w:pPr>
      <w:r>
        <w:rPr>
          <w:rFonts w:hint="eastAsia" w:ascii="宋体" w:hAnsi="宋体" w:cs="宋体"/>
          <w:sz w:val="24"/>
        </w:rPr>
        <w:t>8.6雷达应答器由乙方免费检查，出现任何故障都由乙方负责立即修复。</w:t>
      </w:r>
    </w:p>
    <w:p>
      <w:pPr>
        <w:snapToGrid w:val="0"/>
        <w:spacing w:line="360" w:lineRule="auto"/>
        <w:ind w:firstLine="480" w:firstLineChars="200"/>
        <w:rPr>
          <w:rFonts w:ascii="宋体" w:hAnsi="宋体" w:cs="宋体"/>
          <w:sz w:val="24"/>
        </w:rPr>
      </w:pPr>
      <w:r>
        <w:rPr>
          <w:rFonts w:hint="eastAsia" w:ascii="宋体" w:hAnsi="宋体" w:cs="宋体"/>
          <w:sz w:val="24"/>
        </w:rPr>
        <w:t>8.7乙方维护提供的产品应符合相应标准和技术规范；新采购的航标灯须接入海事平台网络，受海事局网络监控。</w:t>
      </w:r>
    </w:p>
    <w:p>
      <w:pPr>
        <w:snapToGrid w:val="0"/>
        <w:spacing w:line="360" w:lineRule="auto"/>
        <w:ind w:firstLine="480" w:firstLineChars="200"/>
        <w:rPr>
          <w:rFonts w:ascii="宋体" w:hAnsi="宋体" w:cs="宋体"/>
          <w:sz w:val="24"/>
        </w:rPr>
      </w:pPr>
      <w:r>
        <w:rPr>
          <w:rFonts w:hint="eastAsia" w:ascii="宋体" w:hAnsi="宋体" w:cs="宋体"/>
          <w:sz w:val="24"/>
        </w:rPr>
        <w:t>8.8乙方承担因自身工作人员操作失误所造成的损失。乙方在对航标进行维护、巡检、抢修等工作时，应切实增强安全意识，做好安全防护工作，严格遵守各项操作规程，确保工作船舶、车辆、设施设备及工作人员的安全，如发生安全事故或对大桥及其附属设施设备造成损坏，由此产生的一切责任和损失均由乙方负责承担。</w:t>
      </w:r>
    </w:p>
    <w:p>
      <w:pPr>
        <w:snapToGrid w:val="0"/>
        <w:spacing w:line="360" w:lineRule="auto"/>
        <w:ind w:firstLine="480" w:firstLineChars="200"/>
        <w:rPr>
          <w:rFonts w:ascii="宋体" w:hAnsi="宋体" w:cs="宋体"/>
          <w:sz w:val="24"/>
        </w:rPr>
      </w:pPr>
      <w:r>
        <w:rPr>
          <w:rFonts w:hint="eastAsia" w:ascii="宋体" w:hAnsi="宋体" w:cs="宋体"/>
          <w:sz w:val="24"/>
        </w:rPr>
        <w:t>8.9乙方应建立航标维护的技术档案。</w:t>
      </w:r>
    </w:p>
    <w:p>
      <w:pPr>
        <w:snapToGrid w:val="0"/>
        <w:spacing w:line="360" w:lineRule="auto"/>
        <w:ind w:firstLine="480" w:firstLineChars="200"/>
        <w:rPr>
          <w:rFonts w:ascii="宋体" w:hAnsi="宋体" w:cs="宋体"/>
          <w:sz w:val="24"/>
        </w:rPr>
      </w:pPr>
      <w:r>
        <w:rPr>
          <w:rFonts w:hint="eastAsia" w:ascii="宋体" w:hAnsi="宋体" w:cs="宋体"/>
          <w:sz w:val="24"/>
        </w:rPr>
        <w:t>8.10建立航标维护的台账制度，乙方需做好航标维护记录，</w:t>
      </w:r>
      <w:r>
        <w:rPr>
          <w:rFonts w:ascii="宋体" w:hAnsi="宋体" w:cs="宋体"/>
          <w:sz w:val="24"/>
        </w:rPr>
        <w:t>每个月出具一份航标巡检月报表，报告航标运行是否正常以及对航标维修过后的记录</w:t>
      </w:r>
      <w:r>
        <w:rPr>
          <w:rFonts w:hint="eastAsia" w:ascii="宋体" w:hAnsi="宋体" w:cs="宋体"/>
          <w:sz w:val="24"/>
        </w:rPr>
        <w:t>，并将维护记录</w:t>
      </w:r>
      <w:r>
        <w:rPr>
          <w:rFonts w:ascii="宋体" w:hAnsi="宋体" w:cs="宋体"/>
          <w:sz w:val="24"/>
        </w:rPr>
        <w:t>月报表</w:t>
      </w:r>
      <w:r>
        <w:rPr>
          <w:rFonts w:hint="eastAsia" w:ascii="宋体" w:hAnsi="宋体" w:cs="宋体"/>
          <w:sz w:val="24"/>
        </w:rPr>
        <w:t>报甲方备案。</w:t>
      </w:r>
    </w:p>
    <w:p>
      <w:pPr>
        <w:snapToGrid w:val="0"/>
        <w:spacing w:line="360" w:lineRule="auto"/>
        <w:ind w:firstLine="480" w:firstLineChars="200"/>
        <w:rPr>
          <w:rFonts w:ascii="宋体" w:hAnsi="宋体" w:cs="宋体"/>
          <w:sz w:val="24"/>
        </w:rPr>
      </w:pPr>
      <w:r>
        <w:rPr>
          <w:rFonts w:hint="eastAsia" w:ascii="宋体" w:hAnsi="宋体" w:cs="宋体"/>
          <w:sz w:val="24"/>
        </w:rPr>
        <w:t>8.11航标维护的资源配置：</w:t>
      </w:r>
    </w:p>
    <w:p>
      <w:pPr>
        <w:snapToGrid w:val="0"/>
        <w:spacing w:line="360" w:lineRule="auto"/>
        <w:ind w:firstLine="600" w:firstLineChars="250"/>
        <w:rPr>
          <w:rFonts w:ascii="宋体" w:hAnsi="宋体" w:cs="宋体"/>
          <w:sz w:val="24"/>
        </w:rPr>
      </w:pPr>
      <w:r>
        <w:rPr>
          <w:rFonts w:hint="eastAsia" w:ascii="宋体" w:hAnsi="宋体" w:cs="宋体"/>
          <w:sz w:val="24"/>
        </w:rPr>
        <w:t>1）固定标志的灯器、浮动标志按不低于配布数量的30%配备备品备件。</w:t>
      </w:r>
    </w:p>
    <w:p>
      <w:pPr>
        <w:snapToGrid w:val="0"/>
        <w:spacing w:line="360" w:lineRule="auto"/>
        <w:ind w:firstLine="600" w:firstLineChars="250"/>
        <w:rPr>
          <w:rFonts w:ascii="宋体" w:hAnsi="宋体" w:cs="宋体"/>
          <w:sz w:val="24"/>
        </w:rPr>
      </w:pPr>
      <w:r>
        <w:rPr>
          <w:rFonts w:hint="eastAsia" w:ascii="宋体" w:hAnsi="宋体" w:cs="宋体"/>
          <w:sz w:val="24"/>
        </w:rPr>
        <w:t>2）有24小时遥测值班。</w:t>
      </w:r>
    </w:p>
    <w:p>
      <w:pPr>
        <w:snapToGrid w:val="0"/>
        <w:spacing w:line="360" w:lineRule="auto"/>
        <w:ind w:firstLine="600" w:firstLineChars="250"/>
        <w:rPr>
          <w:rFonts w:ascii="宋体" w:hAnsi="宋体" w:cs="宋体"/>
          <w:sz w:val="24"/>
        </w:rPr>
      </w:pPr>
      <w:r>
        <w:rPr>
          <w:rFonts w:hint="eastAsia" w:ascii="宋体" w:hAnsi="宋体" w:cs="宋体"/>
          <w:sz w:val="24"/>
        </w:rPr>
        <w:t>3）其它满足《沿海导助航工程维护技术规范》JTS/T320-5-2020相关要求。</w:t>
      </w:r>
    </w:p>
    <w:p>
      <w:pPr>
        <w:adjustRightInd w:val="0"/>
        <w:snapToGrid w:val="0"/>
        <w:spacing w:line="360" w:lineRule="auto"/>
        <w:ind w:firstLine="588" w:firstLineChars="245"/>
        <w:rPr>
          <w:rFonts w:asciiTheme="minorEastAsia" w:hAnsiTheme="minorEastAsia" w:eastAsiaTheme="minorEastAsia"/>
          <w:kern w:val="0"/>
          <w:sz w:val="28"/>
          <w:szCs w:val="28"/>
        </w:rPr>
      </w:pPr>
      <w:r>
        <w:rPr>
          <w:rFonts w:hint="eastAsia" w:ascii="宋体" w:hAnsi="宋体" w:cs="宋体"/>
          <w:sz w:val="24"/>
        </w:rPr>
        <w:t>8.12</w:t>
      </w:r>
      <w:r>
        <w:rPr>
          <w:rFonts w:hint="eastAsia" w:ascii="宋体" w:hAnsi="宋体" w:cs="宋体"/>
          <w:color w:val="000000" w:themeColor="text1"/>
          <w:sz w:val="24"/>
        </w:rPr>
        <w:t>乙方在合同签订后5个工作日内，需对航标进行一次全面检查，并与前航标养护维修单位完成交接手续，以使航标完好延续，保证航标正常工作。本合同到期后，如航标养护维修单位变更，乙方应对朱家尖大桥（观音大桥）航标进行一次全面检查，在航标完好且正常工作的情况下，与新航标养护维修单位完成交接手续。</w:t>
      </w:r>
    </w:p>
    <w:p>
      <w:pPr>
        <w:adjustRightInd w:val="0"/>
        <w:snapToGrid w:val="0"/>
        <w:spacing w:line="360" w:lineRule="auto"/>
        <w:ind w:firstLine="588" w:firstLineChars="245"/>
        <w:rPr>
          <w:rFonts w:ascii="宋体" w:hAnsi="宋体" w:cs="宋体"/>
          <w:sz w:val="24"/>
        </w:rPr>
      </w:pPr>
      <w:r>
        <w:rPr>
          <w:rFonts w:hint="eastAsia" w:ascii="宋体" w:hAnsi="宋体" w:cs="宋体"/>
          <w:sz w:val="24"/>
        </w:rPr>
        <w:t>8.13甲方应按合同规定按时付款。</w:t>
      </w:r>
    </w:p>
    <w:p>
      <w:pPr>
        <w:adjustRightInd w:val="0"/>
        <w:snapToGrid w:val="0"/>
        <w:spacing w:line="360" w:lineRule="auto"/>
        <w:ind w:firstLine="588" w:firstLineChars="245"/>
        <w:rPr>
          <w:rFonts w:ascii="宋体" w:hAnsi="宋体" w:cs="宋体"/>
          <w:sz w:val="24"/>
        </w:rPr>
      </w:pPr>
      <w:r>
        <w:rPr>
          <w:rFonts w:hint="eastAsia" w:ascii="宋体" w:hAnsi="宋体" w:cs="宋体"/>
          <w:sz w:val="24"/>
        </w:rPr>
        <w:t>8.14双方应共同遵守以上协议，如有违约其责任按《中华人民共和国合同法》办理。</w:t>
      </w:r>
    </w:p>
    <w:p>
      <w:pPr>
        <w:snapToGrid w:val="0"/>
        <w:spacing w:line="360" w:lineRule="auto"/>
        <w:rPr>
          <w:rFonts w:ascii="宋体" w:hAnsi="宋体" w:cs="宋体"/>
          <w:sz w:val="24"/>
        </w:rPr>
      </w:pPr>
      <w:r>
        <w:rPr>
          <w:rFonts w:hint="eastAsia" w:ascii="宋体" w:hAnsi="宋体" w:cs="宋体"/>
          <w:sz w:val="24"/>
        </w:rPr>
        <w:t>九、违约赔偿</w:t>
      </w:r>
    </w:p>
    <w:p>
      <w:pPr>
        <w:snapToGrid w:val="0"/>
        <w:spacing w:line="360" w:lineRule="auto"/>
        <w:ind w:firstLine="588" w:firstLineChars="245"/>
        <w:rPr>
          <w:rFonts w:ascii="宋体" w:hAnsi="宋体" w:cs="宋体"/>
          <w:sz w:val="24"/>
        </w:rPr>
      </w:pPr>
      <w:r>
        <w:rPr>
          <w:rFonts w:hint="eastAsia" w:ascii="宋体" w:hAnsi="宋体" w:cs="宋体"/>
          <w:sz w:val="24"/>
        </w:rPr>
        <w:t>9.1 除不可抗力外，如乙方发生不能按时提供服务，甲方发生中途取消服务等情况，必须及时以书面形式通知对方。双方应本着友好的态度进行协商，妥善解决。如协商无效，按下列办法处理。</w:t>
      </w:r>
    </w:p>
    <w:p>
      <w:pPr>
        <w:snapToGrid w:val="0"/>
        <w:spacing w:line="360" w:lineRule="auto"/>
        <w:ind w:firstLine="588" w:firstLineChars="245"/>
        <w:rPr>
          <w:rFonts w:ascii="宋体" w:hAnsi="宋体" w:cs="宋体"/>
          <w:sz w:val="24"/>
        </w:rPr>
      </w:pPr>
      <w:r>
        <w:rPr>
          <w:rFonts w:hint="eastAsia" w:ascii="宋体" w:hAnsi="宋体" w:cs="宋体"/>
          <w:sz w:val="24"/>
        </w:rPr>
        <w:t>9.2 乙方未依约履行其职责给甲方造成损失的，乙方应负责赔偿</w:t>
      </w:r>
    </w:p>
    <w:p>
      <w:pPr>
        <w:snapToGrid w:val="0"/>
        <w:spacing w:line="360" w:lineRule="auto"/>
        <w:ind w:firstLine="588" w:firstLineChars="245"/>
        <w:rPr>
          <w:rFonts w:ascii="宋体" w:hAnsi="宋体" w:cs="宋体"/>
          <w:sz w:val="24"/>
        </w:rPr>
      </w:pPr>
      <w:r>
        <w:rPr>
          <w:rFonts w:hint="eastAsia" w:ascii="宋体" w:hAnsi="宋体" w:cs="宋体"/>
          <w:sz w:val="24"/>
        </w:rPr>
        <w:t>9.3 乙方逾期提供维护，甲方可从合同价款中按比例扣除维护费。</w:t>
      </w:r>
    </w:p>
    <w:p>
      <w:pPr>
        <w:snapToGrid w:val="0"/>
        <w:spacing w:line="360" w:lineRule="auto"/>
        <w:ind w:firstLine="588" w:firstLineChars="245"/>
        <w:rPr>
          <w:rFonts w:ascii="宋体" w:hAnsi="宋体" w:cs="宋体"/>
          <w:sz w:val="24"/>
        </w:rPr>
      </w:pPr>
      <w:r>
        <w:rPr>
          <w:rFonts w:hint="eastAsia" w:ascii="宋体" w:hAnsi="宋体" w:cs="宋体"/>
          <w:sz w:val="24"/>
        </w:rPr>
        <w:t>9.4 逾期维护扣除维护费最高限额为合同价款的8%，一旦达到扣除维护费的最高限额，甲方有权单方面终止合同。</w:t>
      </w:r>
    </w:p>
    <w:p>
      <w:pPr>
        <w:snapToGrid w:val="0"/>
        <w:spacing w:line="360" w:lineRule="auto"/>
        <w:ind w:firstLine="588" w:firstLineChars="245"/>
        <w:rPr>
          <w:rFonts w:ascii="宋体" w:hAnsi="宋体" w:cs="宋体"/>
          <w:sz w:val="24"/>
        </w:rPr>
      </w:pPr>
      <w:r>
        <w:rPr>
          <w:rFonts w:hint="eastAsia" w:ascii="宋体" w:hAnsi="宋体" w:cs="宋体"/>
          <w:sz w:val="24"/>
        </w:rPr>
        <w:t>9.5 乙方不能继续提供服务，导致合同终止的，应向甲方偿付违约金。违约金按合同总价的10－30％计算。甲方无正当理由中途取消服务，应向乙方偿付违约金。违约金的计算方法与乙方违约相同。</w:t>
      </w:r>
    </w:p>
    <w:p>
      <w:pPr>
        <w:snapToGrid w:val="0"/>
        <w:spacing w:line="360" w:lineRule="auto"/>
        <w:rPr>
          <w:rFonts w:ascii="宋体" w:hAnsi="宋体" w:cs="宋体"/>
          <w:sz w:val="24"/>
        </w:rPr>
      </w:pPr>
      <w:r>
        <w:rPr>
          <w:rFonts w:hint="eastAsia" w:ascii="宋体" w:hAnsi="宋体" w:cs="宋体"/>
          <w:sz w:val="24"/>
        </w:rPr>
        <w:t>十．协议的变更、解除</w:t>
      </w:r>
    </w:p>
    <w:p>
      <w:pPr>
        <w:snapToGrid w:val="0"/>
        <w:spacing w:line="360" w:lineRule="auto"/>
        <w:ind w:firstLine="588" w:firstLineChars="245"/>
        <w:rPr>
          <w:rFonts w:ascii="宋体" w:hAnsi="宋体" w:cs="宋体"/>
          <w:sz w:val="24"/>
        </w:rPr>
      </w:pPr>
      <w:bookmarkStart w:id="3" w:name="_Toc238954283"/>
      <w:bookmarkStart w:id="4" w:name="_Toc238899169"/>
      <w:r>
        <w:rPr>
          <w:rFonts w:hint="eastAsia" w:ascii="宋体" w:hAnsi="宋体" w:cs="宋体"/>
          <w:sz w:val="24"/>
        </w:rPr>
        <w:t>10.1 甲方、乙方双方若机构、体制、性质发生变化，本合同继续执行。</w:t>
      </w:r>
      <w:bookmarkEnd w:id="3"/>
      <w:bookmarkEnd w:id="4"/>
    </w:p>
    <w:p>
      <w:pPr>
        <w:snapToGrid w:val="0"/>
        <w:spacing w:line="360" w:lineRule="auto"/>
        <w:ind w:firstLine="588" w:firstLineChars="245"/>
        <w:rPr>
          <w:rFonts w:ascii="宋体" w:hAnsi="宋体" w:cs="宋体"/>
          <w:sz w:val="24"/>
        </w:rPr>
      </w:pPr>
      <w:r>
        <w:rPr>
          <w:rFonts w:hint="eastAsia" w:ascii="宋体" w:hAnsi="宋体" w:cs="宋体"/>
          <w:sz w:val="24"/>
        </w:rPr>
        <w:t>10.2 本合同在执行过程中，若遇有政府行为或不可抗拒的因素而影响本合同正常执行或双方任何一方需要修改、变更合同内容时，须经甲乙双方协商一致，可变更本合同.</w:t>
      </w:r>
    </w:p>
    <w:p>
      <w:pPr>
        <w:snapToGrid w:val="0"/>
        <w:spacing w:line="360" w:lineRule="auto"/>
        <w:ind w:firstLine="588" w:firstLineChars="245"/>
        <w:rPr>
          <w:rFonts w:ascii="宋体" w:hAnsi="宋体" w:cs="宋体"/>
          <w:sz w:val="24"/>
        </w:rPr>
      </w:pPr>
      <w:r>
        <w:rPr>
          <w:rFonts w:hint="eastAsia" w:ascii="宋体" w:hAnsi="宋体" w:cs="宋体"/>
          <w:sz w:val="24"/>
        </w:rPr>
        <w:t>10.3 在协议有效期内任何一方欲变更协议必须采用书面形式通知对方，经双方协商，以补充协议的方式解决。任双方任何一方执行合同过程中遇特殊原因，不能履行合同时，必须提前半个月以书面形式通知对方。未经提前半个月通知对方而终止合同视作违约处理，由违约方向守约方支付一个月的服务费视作违约赔偿金。</w:t>
      </w:r>
    </w:p>
    <w:p>
      <w:pPr>
        <w:snapToGrid w:val="0"/>
        <w:spacing w:line="360" w:lineRule="auto"/>
        <w:ind w:firstLine="588" w:firstLineChars="245"/>
        <w:rPr>
          <w:rFonts w:ascii="宋体" w:hAnsi="宋体" w:cs="宋体"/>
          <w:sz w:val="24"/>
        </w:rPr>
      </w:pPr>
      <w:r>
        <w:rPr>
          <w:rFonts w:hint="eastAsia" w:ascii="宋体" w:hAnsi="宋体" w:cs="宋体"/>
          <w:sz w:val="24"/>
        </w:rPr>
        <w:t>10.4 如合同因特殊原因终止并已在上述9.3条款的规定时间内告知对方，双方应核对已服务月份中未支付的服务费金额，其中不足整月的，则按已服务天数计算该月份的服务费金额；核对无误且双方确认，经审价单位审定后，甲方在1个月内支付乙方剩余款。</w:t>
      </w:r>
    </w:p>
    <w:p>
      <w:pPr>
        <w:snapToGrid w:val="0"/>
        <w:spacing w:line="390" w:lineRule="atLeast"/>
        <w:rPr>
          <w:rFonts w:ascii="宋体" w:hAnsi="宋体" w:cs="宋体"/>
          <w:sz w:val="24"/>
        </w:rPr>
      </w:pPr>
      <w:r>
        <w:rPr>
          <w:rFonts w:hint="eastAsia" w:ascii="宋体" w:hAnsi="宋体" w:cs="宋体"/>
          <w:sz w:val="24"/>
        </w:rPr>
        <w:t>十一．不可抗力及其他</w:t>
      </w:r>
    </w:p>
    <w:p>
      <w:pPr>
        <w:snapToGrid w:val="0"/>
        <w:spacing w:line="390" w:lineRule="atLeast"/>
        <w:ind w:firstLine="588" w:firstLineChars="245"/>
        <w:rPr>
          <w:rFonts w:ascii="宋体" w:hAnsi="宋体" w:cs="宋体"/>
          <w:sz w:val="24"/>
        </w:rPr>
      </w:pPr>
      <w:r>
        <w:rPr>
          <w:rFonts w:hint="eastAsia" w:ascii="宋体" w:hAnsi="宋体" w:cs="宋体"/>
          <w:sz w:val="24"/>
        </w:rPr>
        <w:t>11.1 不可抗力包括：地震、台风、洪水等自然灾害；战争、罢工、政府行为。</w:t>
      </w:r>
    </w:p>
    <w:p>
      <w:pPr>
        <w:snapToGrid w:val="0"/>
        <w:spacing w:line="390" w:lineRule="atLeast"/>
        <w:ind w:firstLine="588" w:firstLineChars="245"/>
        <w:rPr>
          <w:rFonts w:ascii="宋体" w:hAnsi="宋体" w:cs="宋体"/>
          <w:sz w:val="24"/>
        </w:rPr>
      </w:pPr>
      <w:r>
        <w:rPr>
          <w:rFonts w:hint="eastAsia" w:ascii="宋体" w:hAnsi="宋体" w:cs="宋体"/>
          <w:sz w:val="24"/>
        </w:rPr>
        <w:t>11.2 任何一方因不可抗力造成本合同不能履行或不能完全履行的，须将有关情况及时通知对方，并在不可抗力发生后及时将详情及有效证明文件提供给对方。由双方依据不可抗力的影响程度，协商解决善后事宜。</w:t>
      </w:r>
    </w:p>
    <w:p>
      <w:pPr>
        <w:snapToGrid w:val="0"/>
        <w:spacing w:line="400" w:lineRule="atLeast"/>
        <w:rPr>
          <w:rFonts w:ascii="宋体" w:hAnsi="宋体" w:cs="宋体"/>
          <w:sz w:val="24"/>
        </w:rPr>
      </w:pPr>
      <w:r>
        <w:rPr>
          <w:rFonts w:hint="eastAsia" w:ascii="宋体" w:hAnsi="宋体" w:cs="宋体"/>
          <w:sz w:val="24"/>
        </w:rPr>
        <w:t>十二．争端的解决</w:t>
      </w:r>
    </w:p>
    <w:p>
      <w:pPr>
        <w:spacing w:line="360" w:lineRule="auto"/>
        <w:ind w:firstLine="480" w:firstLineChars="200"/>
        <w:rPr>
          <w:rFonts w:ascii="宋体" w:hAnsi="宋体" w:cs="宋体"/>
          <w:sz w:val="24"/>
        </w:rPr>
      </w:pPr>
      <w:r>
        <w:rPr>
          <w:rFonts w:hint="eastAsia" w:ascii="宋体" w:hAnsi="宋体" w:cs="宋体"/>
          <w:sz w:val="24"/>
        </w:rPr>
        <w:t>12.1 凡有关本合同实施中发生的一切争端，甲乙双方应通过友好协商，妥善解决。如通过协商还不能解决如协商不成，可向合同签订地法院起诉，合同签订地在此约定为舟山市。</w:t>
      </w:r>
    </w:p>
    <w:p>
      <w:pPr>
        <w:snapToGrid w:val="0"/>
        <w:spacing w:line="400" w:lineRule="atLeast"/>
        <w:ind w:firstLine="588" w:firstLineChars="245"/>
        <w:rPr>
          <w:rFonts w:ascii="宋体" w:hAnsi="宋体" w:cs="宋体"/>
          <w:sz w:val="24"/>
        </w:rPr>
      </w:pPr>
      <w:r>
        <w:rPr>
          <w:rFonts w:hint="eastAsia" w:ascii="宋体" w:hAnsi="宋体" w:cs="宋体"/>
          <w:sz w:val="24"/>
        </w:rPr>
        <w:t>12.2本合同应按照中华人民共和国的法律进行解释。</w:t>
      </w:r>
    </w:p>
    <w:p>
      <w:pPr>
        <w:snapToGrid w:val="0"/>
        <w:spacing w:line="400" w:lineRule="atLeast"/>
        <w:rPr>
          <w:rFonts w:ascii="宋体" w:hAnsi="宋体" w:cs="宋体"/>
          <w:sz w:val="24"/>
        </w:rPr>
      </w:pPr>
      <w:r>
        <w:rPr>
          <w:rFonts w:hint="eastAsia" w:ascii="宋体" w:hAnsi="宋体" w:cs="宋体"/>
          <w:sz w:val="24"/>
        </w:rPr>
        <w:t>十三．合同生效及其他</w:t>
      </w:r>
    </w:p>
    <w:p>
      <w:pPr>
        <w:snapToGrid w:val="0"/>
        <w:spacing w:line="400" w:lineRule="atLeast"/>
        <w:ind w:firstLine="588" w:firstLineChars="245"/>
        <w:rPr>
          <w:rFonts w:ascii="宋体" w:hAnsi="宋体" w:cs="宋体"/>
          <w:sz w:val="24"/>
        </w:rPr>
      </w:pPr>
      <w:bookmarkStart w:id="5" w:name="_Toc238954284"/>
      <w:bookmarkStart w:id="6" w:name="_Toc238899170"/>
      <w:r>
        <w:rPr>
          <w:rFonts w:hint="eastAsia" w:ascii="宋体" w:hAnsi="宋体" w:cs="宋体"/>
          <w:sz w:val="24"/>
        </w:rPr>
        <w:t>13.1 合同在双方签字盖章后开始生效。</w:t>
      </w:r>
      <w:bookmarkEnd w:id="5"/>
      <w:bookmarkEnd w:id="6"/>
    </w:p>
    <w:p>
      <w:pPr>
        <w:snapToGrid w:val="0"/>
        <w:spacing w:line="400" w:lineRule="atLeast"/>
        <w:ind w:firstLine="588" w:firstLineChars="245"/>
        <w:rPr>
          <w:rFonts w:ascii="宋体" w:hAnsi="宋体" w:cs="宋体"/>
          <w:sz w:val="24"/>
        </w:rPr>
      </w:pPr>
      <w:bookmarkStart w:id="7" w:name="_Toc238899172"/>
      <w:bookmarkStart w:id="8" w:name="_Toc238954286"/>
      <w:r>
        <w:rPr>
          <w:rFonts w:hint="eastAsia" w:ascii="宋体" w:hAnsi="宋体" w:cs="宋体"/>
          <w:sz w:val="24"/>
        </w:rPr>
        <w:t>13.2 未尽事宜，由双方友好协商解决，并另行签订补充合同。</w:t>
      </w:r>
      <w:bookmarkEnd w:id="7"/>
      <w:bookmarkEnd w:id="8"/>
    </w:p>
    <w:p>
      <w:pPr>
        <w:snapToGrid w:val="0"/>
        <w:spacing w:line="400" w:lineRule="atLeast"/>
        <w:ind w:firstLine="588" w:firstLineChars="245"/>
        <w:rPr>
          <w:rFonts w:ascii="宋体" w:hAnsi="宋体" w:cs="宋体"/>
          <w:color w:val="FF0000"/>
          <w:sz w:val="24"/>
        </w:rPr>
      </w:pPr>
      <w:r>
        <w:rPr>
          <w:rFonts w:hint="eastAsia" w:ascii="宋体" w:hAnsi="宋体" w:cs="宋体"/>
          <w:sz w:val="24"/>
        </w:rPr>
        <w:t>13.3 本合同一式陆份，甲乙双方各执贰份，舟山市财政局执壹份，浙江方舟工程造价咨询有限公司壹份。</w:t>
      </w:r>
    </w:p>
    <w:p>
      <w:pPr>
        <w:spacing w:line="400" w:lineRule="atLeast"/>
        <w:ind w:firstLine="588" w:firstLineChars="245"/>
        <w:rPr>
          <w:rFonts w:ascii="宋体" w:hAnsi="宋体" w:cs="宋体"/>
          <w:sz w:val="24"/>
        </w:rPr>
      </w:pPr>
    </w:p>
    <w:p>
      <w:pPr>
        <w:spacing w:line="400" w:lineRule="atLeast"/>
        <w:ind w:firstLine="1320" w:firstLineChars="550"/>
        <w:jc w:val="left"/>
        <w:rPr>
          <w:rFonts w:ascii="宋体" w:hAnsi="宋体" w:cs="宋体"/>
          <w:sz w:val="24"/>
        </w:rPr>
      </w:pPr>
      <w:r>
        <w:rPr>
          <w:rFonts w:hint="eastAsia" w:ascii="宋体" w:hAnsi="宋体" w:cs="宋体"/>
          <w:sz w:val="24"/>
        </w:rPr>
        <w:t>甲方：（印章）                       乙方：（印章）</w:t>
      </w:r>
    </w:p>
    <w:p>
      <w:pPr>
        <w:spacing w:line="400" w:lineRule="atLeast"/>
        <w:jc w:val="left"/>
        <w:rPr>
          <w:rFonts w:ascii="宋体" w:hAnsi="宋体" w:cs="宋体"/>
          <w:sz w:val="24"/>
        </w:rPr>
      </w:pPr>
      <w:r>
        <w:rPr>
          <w:rFonts w:hint="eastAsia" w:ascii="宋体" w:hAnsi="宋体" w:cs="宋体"/>
          <w:sz w:val="24"/>
        </w:rPr>
        <w:t xml:space="preserve">           全权代表:（签字）                    全权代表:（签字）</w:t>
      </w:r>
    </w:p>
    <w:p>
      <w:pPr>
        <w:spacing w:line="400" w:lineRule="atLeast"/>
        <w:ind w:firstLine="1320" w:firstLineChars="550"/>
        <w:jc w:val="left"/>
        <w:rPr>
          <w:rFonts w:ascii="宋体" w:hAnsi="宋体" w:cs="宋体"/>
          <w:sz w:val="24"/>
        </w:rPr>
      </w:pPr>
      <w:r>
        <w:rPr>
          <w:rFonts w:hint="eastAsia" w:ascii="宋体" w:hAnsi="宋体" w:cs="宋体"/>
          <w:sz w:val="24"/>
        </w:rPr>
        <w:t>地址：                               地址：</w:t>
      </w:r>
    </w:p>
    <w:p>
      <w:pPr>
        <w:spacing w:line="400" w:lineRule="atLeast"/>
        <w:ind w:firstLine="1320" w:firstLineChars="550"/>
        <w:jc w:val="left"/>
        <w:rPr>
          <w:rFonts w:ascii="宋体" w:hAnsi="宋体" w:cs="宋体"/>
          <w:sz w:val="24"/>
        </w:rPr>
      </w:pPr>
      <w:r>
        <w:rPr>
          <w:rFonts w:hint="eastAsia" w:ascii="宋体" w:hAnsi="宋体" w:cs="宋体"/>
          <w:sz w:val="24"/>
        </w:rPr>
        <w:t>邮政编码：                           邮政编码：</w:t>
      </w:r>
    </w:p>
    <w:p>
      <w:pPr>
        <w:spacing w:line="400" w:lineRule="atLeast"/>
        <w:ind w:firstLine="1320" w:firstLineChars="550"/>
        <w:jc w:val="left"/>
        <w:rPr>
          <w:rFonts w:ascii="宋体" w:hAnsi="宋体" w:cs="宋体"/>
          <w:sz w:val="24"/>
        </w:rPr>
      </w:pPr>
      <w:r>
        <w:rPr>
          <w:rFonts w:hint="eastAsia" w:ascii="宋体" w:hAnsi="宋体" w:cs="宋体"/>
          <w:sz w:val="24"/>
        </w:rPr>
        <w:t>电话：                               电话：</w:t>
      </w:r>
    </w:p>
    <w:p>
      <w:pPr>
        <w:spacing w:line="400" w:lineRule="atLeast"/>
        <w:ind w:firstLine="1320" w:firstLineChars="550"/>
        <w:jc w:val="left"/>
        <w:rPr>
          <w:rFonts w:ascii="宋体" w:hAnsi="宋体" w:cs="宋体"/>
          <w:sz w:val="24"/>
        </w:rPr>
      </w:pPr>
      <w:r>
        <w:rPr>
          <w:rFonts w:hint="eastAsia" w:ascii="宋体" w:hAnsi="宋体" w:cs="宋体"/>
          <w:sz w:val="24"/>
        </w:rPr>
        <w:t>传真：                               传真：</w:t>
      </w:r>
    </w:p>
    <w:p>
      <w:pPr>
        <w:spacing w:line="400" w:lineRule="atLeast"/>
        <w:ind w:firstLine="1320" w:firstLineChars="550"/>
        <w:jc w:val="left"/>
        <w:rPr>
          <w:rFonts w:ascii="宋体" w:hAnsi="宋体" w:cs="宋体"/>
          <w:sz w:val="24"/>
        </w:rPr>
      </w:pPr>
      <w:r>
        <w:rPr>
          <w:rFonts w:hint="eastAsia" w:ascii="宋体" w:hAnsi="宋体" w:cs="宋体"/>
          <w:sz w:val="24"/>
        </w:rPr>
        <w:t>开户银行：                           开户银行：</w:t>
      </w:r>
    </w:p>
    <w:p>
      <w:pPr>
        <w:spacing w:line="400" w:lineRule="atLeast"/>
        <w:ind w:firstLine="1320" w:firstLineChars="550"/>
        <w:jc w:val="left"/>
        <w:rPr>
          <w:rFonts w:ascii="宋体" w:hAnsi="宋体" w:cs="宋体"/>
          <w:sz w:val="24"/>
        </w:rPr>
      </w:pPr>
      <w:r>
        <w:rPr>
          <w:rFonts w:hint="eastAsia" w:ascii="宋体" w:hAnsi="宋体" w:cs="宋体"/>
          <w:sz w:val="24"/>
        </w:rPr>
        <w:t>帐号：                               帐号：</w:t>
      </w:r>
    </w:p>
    <w:p>
      <w:pPr>
        <w:spacing w:line="400" w:lineRule="atLeast"/>
        <w:ind w:firstLine="1320" w:firstLineChars="550"/>
        <w:jc w:val="left"/>
        <w:rPr>
          <w:rFonts w:ascii="宋体" w:hAnsi="宋体" w:cs="宋体"/>
          <w:sz w:val="24"/>
        </w:rPr>
      </w:pPr>
      <w:r>
        <w:rPr>
          <w:rFonts w:hint="eastAsia" w:ascii="宋体" w:hAnsi="宋体" w:cs="宋体"/>
          <w:sz w:val="24"/>
        </w:rPr>
        <w:t>日期：                               日期：</w:t>
      </w:r>
    </w:p>
    <w:p>
      <w:pPr>
        <w:spacing w:line="400" w:lineRule="atLeast"/>
        <w:ind w:firstLine="1155" w:firstLineChars="550"/>
        <w:rPr>
          <w:rFonts w:ascii="宋体" w:hAnsi="宋体"/>
          <w:kern w:val="0"/>
          <w:szCs w:val="21"/>
        </w:rPr>
      </w:pPr>
    </w:p>
    <w:p>
      <w:pPr>
        <w:pStyle w:val="2"/>
        <w:ind w:firstLine="0" w:firstLineChars="0"/>
        <w:rPr>
          <w:szCs w:val="21"/>
        </w:rPr>
      </w:pPr>
    </w:p>
    <w:p>
      <w:pPr>
        <w:pStyle w:val="2"/>
        <w:ind w:firstLine="0" w:firstLineChars="0"/>
        <w:rPr>
          <w:szCs w:val="21"/>
        </w:rPr>
      </w:pPr>
    </w:p>
    <w:p>
      <w:pPr>
        <w:pStyle w:val="2"/>
        <w:ind w:firstLine="0" w:firstLineChars="0"/>
        <w:rPr>
          <w:szCs w:val="21"/>
        </w:rPr>
      </w:pPr>
    </w:p>
    <w:p>
      <w:pPr>
        <w:pStyle w:val="2"/>
        <w:ind w:firstLine="0" w:firstLineChars="0"/>
        <w:rPr>
          <w:szCs w:val="21"/>
        </w:rPr>
      </w:pPr>
    </w:p>
    <w:p>
      <w:pPr>
        <w:pStyle w:val="2"/>
        <w:ind w:firstLine="0" w:firstLineChars="0"/>
        <w:rPr>
          <w:szCs w:val="21"/>
        </w:rPr>
      </w:pPr>
    </w:p>
    <w:p>
      <w:pPr>
        <w:pStyle w:val="2"/>
        <w:ind w:firstLine="0" w:firstLineChars="0"/>
        <w:rPr>
          <w:szCs w:val="21"/>
        </w:rPr>
      </w:pPr>
    </w:p>
    <w:p>
      <w:pPr>
        <w:pStyle w:val="2"/>
        <w:ind w:firstLine="0" w:firstLineChars="0"/>
        <w:rPr>
          <w:szCs w:val="21"/>
        </w:rPr>
      </w:pPr>
    </w:p>
    <w:p>
      <w:pPr>
        <w:pStyle w:val="2"/>
        <w:ind w:firstLine="0" w:firstLineChars="0"/>
        <w:rPr>
          <w:szCs w:val="21"/>
        </w:rPr>
      </w:pPr>
    </w:p>
    <w:p>
      <w:pPr>
        <w:pStyle w:val="2"/>
        <w:ind w:firstLine="0" w:firstLineChars="0"/>
        <w:rPr>
          <w:szCs w:val="21"/>
        </w:rPr>
      </w:pPr>
    </w:p>
    <w:p>
      <w:pPr>
        <w:pStyle w:val="2"/>
        <w:ind w:firstLine="0" w:firstLineChars="0"/>
        <w:rPr>
          <w:szCs w:val="21"/>
        </w:rPr>
      </w:pPr>
    </w:p>
    <w:p>
      <w:pPr>
        <w:pStyle w:val="2"/>
        <w:ind w:firstLine="0" w:firstLineChars="0"/>
        <w:rPr>
          <w:szCs w:val="21"/>
        </w:rPr>
      </w:pPr>
    </w:p>
    <w:p>
      <w:pPr>
        <w:pStyle w:val="2"/>
        <w:ind w:firstLine="0" w:firstLineChars="0"/>
        <w:rPr>
          <w:szCs w:val="21"/>
        </w:rPr>
      </w:pPr>
    </w:p>
    <w:p>
      <w:pPr>
        <w:pStyle w:val="2"/>
        <w:ind w:firstLine="0" w:firstLineChars="0"/>
        <w:rPr>
          <w:szCs w:val="21"/>
        </w:rPr>
      </w:pPr>
    </w:p>
    <w:p>
      <w:pPr>
        <w:pStyle w:val="2"/>
        <w:ind w:firstLine="0" w:firstLineChars="0"/>
        <w:rPr>
          <w:szCs w:val="21"/>
        </w:rPr>
      </w:pPr>
    </w:p>
    <w:p>
      <w:pPr>
        <w:snapToGrid w:val="0"/>
        <w:spacing w:line="360" w:lineRule="auto"/>
        <w:ind w:firstLine="557" w:firstLineChars="198"/>
        <w:jc w:val="center"/>
        <w:rPr>
          <w:rFonts w:ascii="宋体" w:hAnsi="宋体" w:cs="宋体"/>
          <w:b/>
          <w:sz w:val="28"/>
          <w:szCs w:val="28"/>
        </w:rPr>
      </w:pPr>
      <w:r>
        <w:rPr>
          <w:rFonts w:hint="eastAsia" w:ascii="宋体" w:hAnsi="宋体" w:cs="宋体"/>
          <w:b/>
          <w:sz w:val="28"/>
          <w:szCs w:val="28"/>
        </w:rPr>
        <w:t>第六章  投标文件组成</w:t>
      </w:r>
    </w:p>
    <w:p>
      <w:pPr>
        <w:snapToGrid w:val="0"/>
        <w:spacing w:line="360" w:lineRule="auto"/>
        <w:ind w:firstLine="417" w:firstLineChars="198"/>
        <w:rPr>
          <w:rFonts w:ascii="宋体" w:hAnsi="宋体" w:cs="宋体"/>
          <w:b/>
          <w:szCs w:val="21"/>
        </w:rPr>
      </w:pPr>
      <w:r>
        <w:rPr>
          <w:rFonts w:hint="eastAsia" w:ascii="宋体" w:hAnsi="宋体" w:cs="宋体"/>
          <w:b/>
          <w:szCs w:val="21"/>
        </w:rPr>
        <w:t>投标文件由投标报价文件、资格证明文件、商务文件、技术文件组成。投标文件中涉及的有关内容均须提供合法有效的证明材料复印件。（复印件未加盖公章作无效处理，特别注明的除外，有▲标识的条款为必须提交的资料）</w:t>
      </w:r>
    </w:p>
    <w:p>
      <w:pPr>
        <w:snapToGrid w:val="0"/>
        <w:spacing w:line="360" w:lineRule="auto"/>
        <w:jc w:val="left"/>
        <w:rPr>
          <w:rFonts w:ascii="宋体" w:hAnsi="宋体" w:cs="宋体"/>
          <w:b/>
          <w:szCs w:val="21"/>
        </w:rPr>
      </w:pPr>
      <w:r>
        <w:rPr>
          <w:rFonts w:hint="eastAsia" w:ascii="宋体" w:hAnsi="宋体" w:cs="宋体"/>
          <w:b/>
          <w:szCs w:val="21"/>
        </w:rPr>
        <w:t>▲1、投标报价文件部分</w:t>
      </w:r>
    </w:p>
    <w:p>
      <w:pPr>
        <w:snapToGrid w:val="0"/>
        <w:spacing w:line="360" w:lineRule="auto"/>
        <w:jc w:val="left"/>
        <w:rPr>
          <w:rFonts w:ascii="宋体" w:hAnsi="宋体" w:cs="宋体"/>
          <w:b/>
          <w:szCs w:val="21"/>
        </w:rPr>
      </w:pPr>
      <w:r>
        <w:rPr>
          <w:rFonts w:hint="eastAsia" w:ascii="宋体" w:hAnsi="宋体" w:cs="宋体"/>
          <w:b/>
          <w:szCs w:val="21"/>
        </w:rPr>
        <w:t>（投标报价信息不得出现在资格证明、商务、技术文件中，否则将导致投标无效。）</w:t>
      </w:r>
    </w:p>
    <w:p>
      <w:pPr>
        <w:snapToGrid w:val="0"/>
        <w:spacing w:line="360" w:lineRule="auto"/>
        <w:ind w:firstLine="422" w:firstLineChars="200"/>
        <w:rPr>
          <w:rFonts w:ascii="宋体" w:hAnsi="宋体" w:cs="宋体"/>
          <w:b/>
          <w:szCs w:val="21"/>
        </w:rPr>
      </w:pPr>
      <w:r>
        <w:rPr>
          <w:rFonts w:hint="eastAsia" w:ascii="宋体" w:hAnsi="宋体" w:cs="宋体"/>
          <w:b/>
          <w:szCs w:val="21"/>
        </w:rPr>
        <w:t xml:space="preserve">1.1开标一览表； </w:t>
      </w:r>
    </w:p>
    <w:p>
      <w:pPr>
        <w:snapToGrid w:val="0"/>
        <w:spacing w:line="360" w:lineRule="auto"/>
        <w:ind w:firstLine="422" w:firstLineChars="200"/>
        <w:rPr>
          <w:rFonts w:ascii="宋体" w:hAnsi="宋体" w:cs="宋体"/>
          <w:b/>
          <w:szCs w:val="21"/>
        </w:rPr>
      </w:pPr>
      <w:r>
        <w:rPr>
          <w:rFonts w:hint="eastAsia" w:ascii="宋体" w:hAnsi="宋体" w:cs="宋体"/>
          <w:b/>
          <w:szCs w:val="21"/>
        </w:rPr>
        <w:t xml:space="preserve">1.2报价明细表； </w:t>
      </w:r>
    </w:p>
    <w:p>
      <w:pPr>
        <w:snapToGrid w:val="0"/>
        <w:spacing w:line="360" w:lineRule="auto"/>
        <w:rPr>
          <w:rFonts w:ascii="宋体" w:hAnsi="宋体" w:cs="宋体"/>
          <w:b/>
          <w:szCs w:val="21"/>
        </w:rPr>
      </w:pPr>
      <w:r>
        <w:rPr>
          <w:rFonts w:hint="eastAsia" w:ascii="宋体" w:hAnsi="宋体" w:cs="宋体"/>
          <w:b/>
          <w:szCs w:val="21"/>
        </w:rPr>
        <w:t>▲2、资格证明文件部分</w:t>
      </w:r>
    </w:p>
    <w:p>
      <w:pPr>
        <w:snapToGrid w:val="0"/>
        <w:spacing w:line="360" w:lineRule="auto"/>
        <w:ind w:firstLine="417" w:firstLineChars="198"/>
        <w:rPr>
          <w:rFonts w:ascii="宋体" w:hAnsi="宋体" w:cs="宋体"/>
          <w:b/>
          <w:szCs w:val="21"/>
        </w:rPr>
      </w:pPr>
      <w:r>
        <w:rPr>
          <w:rFonts w:hint="eastAsia" w:ascii="宋体" w:hAnsi="宋体" w:cs="宋体"/>
          <w:b/>
          <w:szCs w:val="21"/>
        </w:rPr>
        <w:t>2.1中小企业身份证明文件（符合以下三个子项中的任意一项要求即可）；</w:t>
      </w:r>
    </w:p>
    <w:p>
      <w:pPr>
        <w:snapToGrid w:val="0"/>
        <w:spacing w:line="360" w:lineRule="auto"/>
        <w:ind w:firstLine="420" w:firstLineChars="200"/>
        <w:rPr>
          <w:rFonts w:ascii="宋体" w:hAnsi="宋体" w:cs="宋体"/>
          <w:bCs/>
          <w:szCs w:val="21"/>
        </w:rPr>
      </w:pPr>
      <w:r>
        <w:rPr>
          <w:rFonts w:ascii="宋体" w:hAnsi="宋体" w:cs="宋体"/>
          <w:bCs/>
          <w:szCs w:val="21"/>
        </w:rPr>
        <w:t>2.1.1</w:t>
      </w:r>
      <w:r>
        <w:rPr>
          <w:rFonts w:hint="eastAsia" w:ascii="宋体" w:hAnsi="宋体" w:cs="宋体"/>
          <w:bCs/>
          <w:szCs w:val="21"/>
        </w:rPr>
        <w:t>中小企业（符合中小企业划分标准的个体工商户，在政府采购活动中视同中小企业）：《中小企业声明函》（格式三）</w:t>
      </w:r>
    </w:p>
    <w:p>
      <w:pPr>
        <w:snapToGrid w:val="0"/>
        <w:spacing w:line="360" w:lineRule="auto"/>
        <w:ind w:firstLine="415" w:firstLineChars="198"/>
        <w:rPr>
          <w:rFonts w:ascii="宋体" w:hAnsi="宋体" w:cs="宋体"/>
          <w:bCs/>
          <w:szCs w:val="21"/>
        </w:rPr>
      </w:pPr>
      <w:r>
        <w:rPr>
          <w:rFonts w:hint="eastAsia" w:ascii="宋体" w:hAnsi="宋体" w:cs="宋体"/>
          <w:bCs/>
          <w:szCs w:val="21"/>
        </w:rPr>
        <w:t>2.1.2监狱企业（视同小微企业）：由省级以上监狱管理局、戒毒管理局（含新疆生产建设兵团）出具的属于监狱企业的证明文件</w:t>
      </w:r>
    </w:p>
    <w:p>
      <w:pPr>
        <w:snapToGrid w:val="0"/>
        <w:spacing w:line="360" w:lineRule="auto"/>
        <w:ind w:firstLine="415" w:firstLineChars="198"/>
        <w:rPr>
          <w:rFonts w:ascii="宋体" w:hAnsi="宋体" w:cs="宋体"/>
          <w:bCs/>
          <w:szCs w:val="21"/>
        </w:rPr>
      </w:pPr>
      <w:r>
        <w:rPr>
          <w:rFonts w:hint="eastAsia" w:ascii="宋体" w:hAnsi="宋体" w:cs="宋体"/>
          <w:bCs/>
          <w:szCs w:val="21"/>
        </w:rPr>
        <w:t>2.1.3残疾人福利性单位（视同小微企业）：《残疾人福利性单位声明函》（格式四）</w:t>
      </w:r>
    </w:p>
    <w:p>
      <w:pPr>
        <w:snapToGrid w:val="0"/>
        <w:spacing w:line="360" w:lineRule="auto"/>
        <w:ind w:firstLine="417" w:firstLineChars="198"/>
        <w:rPr>
          <w:rFonts w:ascii="宋体" w:hAnsi="宋体" w:cs="宋体"/>
          <w:b/>
          <w:szCs w:val="21"/>
        </w:rPr>
      </w:pPr>
      <w:r>
        <w:rPr>
          <w:rFonts w:hint="eastAsia" w:ascii="宋体" w:hAnsi="宋体" w:cs="宋体"/>
          <w:b/>
          <w:szCs w:val="21"/>
        </w:rPr>
        <w:t>2.2投标人具有的经营范围应包括航标的维护、保养、管理等相关内容；</w:t>
      </w:r>
    </w:p>
    <w:p>
      <w:pPr>
        <w:snapToGrid w:val="0"/>
        <w:spacing w:line="360" w:lineRule="auto"/>
        <w:ind w:firstLine="417" w:firstLineChars="198"/>
        <w:rPr>
          <w:rFonts w:ascii="宋体" w:hAnsi="宋体" w:cs="宋体"/>
          <w:b/>
          <w:szCs w:val="21"/>
        </w:rPr>
      </w:pPr>
      <w:r>
        <w:rPr>
          <w:rFonts w:hint="eastAsia" w:ascii="宋体" w:hAnsi="宋体" w:cs="宋体"/>
          <w:b/>
          <w:szCs w:val="21"/>
        </w:rPr>
        <w:t>2.3投标人 “多证合一”的营业执照复印件；</w:t>
      </w:r>
    </w:p>
    <w:p>
      <w:pPr>
        <w:snapToGrid w:val="0"/>
        <w:spacing w:line="360" w:lineRule="auto"/>
        <w:ind w:firstLine="417" w:firstLineChars="198"/>
        <w:rPr>
          <w:rFonts w:ascii="宋体" w:hAnsi="宋体" w:cs="宋体"/>
          <w:b/>
          <w:szCs w:val="21"/>
        </w:rPr>
      </w:pPr>
      <w:r>
        <w:rPr>
          <w:rFonts w:hint="eastAsia" w:ascii="宋体" w:hAnsi="宋体" w:cs="宋体"/>
          <w:b/>
          <w:szCs w:val="21"/>
        </w:rPr>
        <w:t>2.4投标人财务状况相关报告相关材料：开标时间近三个月内任意一个月的财务月报（主要为资产负债表，利润表等）；</w:t>
      </w:r>
    </w:p>
    <w:p>
      <w:pPr>
        <w:snapToGrid w:val="0"/>
        <w:spacing w:line="360" w:lineRule="auto"/>
        <w:ind w:firstLine="417" w:firstLineChars="198"/>
        <w:rPr>
          <w:rFonts w:ascii="宋体" w:hAnsi="宋体" w:cs="宋体"/>
          <w:b/>
          <w:szCs w:val="21"/>
        </w:rPr>
      </w:pPr>
      <w:r>
        <w:rPr>
          <w:rFonts w:hint="eastAsia" w:ascii="宋体" w:hAnsi="宋体" w:cs="宋体"/>
          <w:b/>
          <w:szCs w:val="21"/>
        </w:rPr>
        <w:t>2.5投标人法定代表人身份证复印件；</w:t>
      </w:r>
    </w:p>
    <w:p>
      <w:pPr>
        <w:snapToGrid w:val="0"/>
        <w:spacing w:line="360" w:lineRule="auto"/>
        <w:ind w:firstLine="417" w:firstLineChars="198"/>
        <w:rPr>
          <w:rFonts w:ascii="宋体" w:hAnsi="宋体" w:cs="宋体"/>
          <w:b/>
          <w:szCs w:val="21"/>
        </w:rPr>
      </w:pPr>
      <w:r>
        <w:rPr>
          <w:rFonts w:hint="eastAsia" w:ascii="宋体" w:hAnsi="宋体" w:cs="宋体"/>
          <w:b/>
          <w:szCs w:val="21"/>
        </w:rPr>
        <w:t xml:space="preserve">2.6投标函； </w:t>
      </w:r>
    </w:p>
    <w:p>
      <w:pPr>
        <w:snapToGrid w:val="0"/>
        <w:spacing w:line="360" w:lineRule="auto"/>
        <w:ind w:firstLine="417" w:firstLineChars="198"/>
        <w:rPr>
          <w:rFonts w:ascii="宋体" w:hAnsi="宋体" w:cs="宋体"/>
          <w:b/>
          <w:szCs w:val="21"/>
        </w:rPr>
      </w:pPr>
      <w:r>
        <w:rPr>
          <w:rFonts w:hint="eastAsia" w:ascii="宋体" w:hAnsi="宋体" w:cs="宋体"/>
          <w:b/>
          <w:szCs w:val="21"/>
        </w:rPr>
        <w:t xml:space="preserve">2.7法定代表人授权函，非法定代表人参加投标时提供； </w:t>
      </w:r>
    </w:p>
    <w:p>
      <w:pPr>
        <w:snapToGrid w:val="0"/>
        <w:spacing w:line="360" w:lineRule="auto"/>
        <w:ind w:firstLine="417" w:firstLineChars="198"/>
        <w:rPr>
          <w:rFonts w:ascii="宋体" w:hAnsi="宋体" w:cs="宋体"/>
          <w:b/>
          <w:szCs w:val="21"/>
        </w:rPr>
      </w:pPr>
      <w:r>
        <w:rPr>
          <w:rFonts w:hint="eastAsia" w:ascii="宋体" w:hAnsi="宋体" w:cs="宋体"/>
          <w:b/>
          <w:szCs w:val="21"/>
        </w:rPr>
        <w:t>2.8投标人代表身份证复印件，非法定代表人参加投标时提供</w:t>
      </w:r>
      <w:r>
        <w:rPr>
          <w:rFonts w:ascii="宋体" w:hAnsi="宋体" w:cs="宋体"/>
          <w:b/>
          <w:szCs w:val="21"/>
        </w:rPr>
        <w:t>。</w:t>
      </w:r>
    </w:p>
    <w:p>
      <w:pPr>
        <w:snapToGrid w:val="0"/>
        <w:spacing w:line="360" w:lineRule="auto"/>
        <w:rPr>
          <w:rFonts w:ascii="宋体" w:hAnsi="宋体" w:cs="宋体"/>
          <w:b/>
          <w:szCs w:val="21"/>
        </w:rPr>
      </w:pPr>
      <w:r>
        <w:rPr>
          <w:rFonts w:hint="eastAsia" w:ascii="宋体" w:hAnsi="宋体" w:cs="宋体"/>
          <w:b/>
          <w:szCs w:val="21"/>
        </w:rPr>
        <w:t>3、商务技术文件部分</w:t>
      </w:r>
    </w:p>
    <w:p>
      <w:pPr>
        <w:snapToGrid w:val="0"/>
        <w:spacing w:line="360" w:lineRule="auto"/>
        <w:ind w:firstLine="415" w:firstLineChars="198"/>
        <w:rPr>
          <w:rFonts w:ascii="宋体" w:hAnsi="宋体" w:cs="宋体"/>
          <w:szCs w:val="21"/>
        </w:rPr>
      </w:pPr>
      <w:r>
        <w:rPr>
          <w:rFonts w:hint="eastAsia" w:ascii="宋体" w:hAnsi="宋体" w:cs="宋体"/>
          <w:szCs w:val="21"/>
        </w:rPr>
        <w:t>3.1评分标准页码索引；</w:t>
      </w:r>
    </w:p>
    <w:p>
      <w:pPr>
        <w:snapToGrid w:val="0"/>
        <w:spacing w:line="360" w:lineRule="auto"/>
        <w:ind w:firstLine="415" w:firstLineChars="198"/>
        <w:rPr>
          <w:rFonts w:ascii="宋体" w:hAnsi="宋体" w:cs="宋体"/>
          <w:szCs w:val="21"/>
        </w:rPr>
      </w:pPr>
      <w:r>
        <w:rPr>
          <w:rFonts w:hint="eastAsia" w:ascii="宋体" w:hAnsi="宋体" w:cs="宋体"/>
          <w:szCs w:val="21"/>
        </w:rPr>
        <w:t>3.2投标人简介；</w:t>
      </w:r>
    </w:p>
    <w:p>
      <w:pPr>
        <w:snapToGrid w:val="0"/>
        <w:spacing w:line="360" w:lineRule="auto"/>
        <w:ind w:firstLine="415" w:firstLineChars="198"/>
        <w:rPr>
          <w:rFonts w:ascii="宋体" w:hAnsi="宋体" w:cs="宋体"/>
          <w:szCs w:val="21"/>
        </w:rPr>
      </w:pPr>
      <w:r>
        <w:rPr>
          <w:rFonts w:hint="eastAsia" w:ascii="宋体" w:hAnsi="宋体" w:cs="宋体"/>
          <w:szCs w:val="21"/>
        </w:rPr>
        <w:t xml:space="preserve">3.3按评分标准依序提供相关材料、方案； </w:t>
      </w:r>
    </w:p>
    <w:p>
      <w:pPr>
        <w:snapToGrid w:val="0"/>
        <w:spacing w:line="360" w:lineRule="auto"/>
        <w:ind w:firstLine="415" w:firstLineChars="198"/>
        <w:rPr>
          <w:rFonts w:ascii="宋体" w:hAnsi="宋体" w:cs="宋体"/>
          <w:szCs w:val="21"/>
        </w:rPr>
      </w:pPr>
      <w:r>
        <w:rPr>
          <w:rFonts w:hint="eastAsia" w:ascii="宋体" w:hAnsi="宋体" w:cs="宋体"/>
          <w:szCs w:val="21"/>
        </w:rPr>
        <w:t>3.4本招标文件要求提供的和投标人认为需要提供的其它说明和资料/文件。</w:t>
      </w:r>
    </w:p>
    <w:p>
      <w:pPr>
        <w:pStyle w:val="2"/>
        <w:ind w:firstLine="210"/>
      </w:pPr>
    </w:p>
    <w:p>
      <w:pPr>
        <w:pStyle w:val="2"/>
        <w:ind w:firstLine="210"/>
      </w:pPr>
    </w:p>
    <w:p>
      <w:pPr>
        <w:pStyle w:val="2"/>
        <w:ind w:firstLine="210"/>
      </w:pPr>
    </w:p>
    <w:p>
      <w:pPr>
        <w:pStyle w:val="2"/>
        <w:ind w:firstLine="210"/>
      </w:pPr>
    </w:p>
    <w:p>
      <w:pPr>
        <w:pStyle w:val="2"/>
        <w:ind w:firstLine="210"/>
      </w:pPr>
    </w:p>
    <w:p>
      <w:pPr>
        <w:snapToGrid w:val="0"/>
        <w:spacing w:before="50" w:after="50"/>
        <w:rPr>
          <w:rFonts w:ascii="宋体" w:hAnsi="宋体" w:cs="宋体"/>
          <w:b/>
          <w:spacing w:val="20"/>
          <w:szCs w:val="21"/>
        </w:rPr>
      </w:pPr>
      <w:r>
        <w:rPr>
          <w:rFonts w:hint="eastAsia" w:ascii="宋体" w:hAnsi="宋体" w:cs="宋体"/>
          <w:b/>
          <w:spacing w:val="20"/>
          <w:szCs w:val="21"/>
        </w:rPr>
        <w:t>格式一、开标一览表</w:t>
      </w:r>
    </w:p>
    <w:p>
      <w:pPr>
        <w:pStyle w:val="15"/>
        <w:adjustRightInd w:val="0"/>
        <w:snapToGrid w:val="0"/>
        <w:spacing w:line="300" w:lineRule="auto"/>
        <w:rPr>
          <w:rFonts w:hAnsi="宋体" w:cs="Arial"/>
          <w:sz w:val="24"/>
          <w:szCs w:val="24"/>
        </w:rPr>
      </w:pPr>
    </w:p>
    <w:p>
      <w:pPr>
        <w:snapToGrid w:val="0"/>
        <w:spacing w:before="120" w:after="120" w:line="360" w:lineRule="auto"/>
        <w:jc w:val="center"/>
        <w:outlineLvl w:val="0"/>
        <w:rPr>
          <w:rFonts w:ascii="宋体" w:hAnsi="宋体" w:cs="宋体"/>
          <w:b/>
          <w:sz w:val="28"/>
          <w:szCs w:val="28"/>
        </w:rPr>
      </w:pPr>
      <w:r>
        <w:rPr>
          <w:rFonts w:hint="eastAsia" w:ascii="宋体" w:hAnsi="宋体" w:cs="宋体"/>
          <w:b/>
          <w:sz w:val="28"/>
          <w:szCs w:val="28"/>
        </w:rPr>
        <w:t>投标文件格式</w:t>
      </w:r>
    </w:p>
    <w:p>
      <w:pPr>
        <w:pStyle w:val="15"/>
        <w:adjustRightInd w:val="0"/>
        <w:snapToGrid w:val="0"/>
        <w:spacing w:line="300" w:lineRule="auto"/>
        <w:rPr>
          <w:rFonts w:hAnsi="宋体" w:cs="Arial"/>
          <w:sz w:val="24"/>
          <w:szCs w:val="24"/>
        </w:rPr>
      </w:pPr>
    </w:p>
    <w:p>
      <w:pPr>
        <w:pStyle w:val="15"/>
        <w:adjustRightInd w:val="0"/>
        <w:snapToGrid w:val="0"/>
        <w:spacing w:line="300" w:lineRule="auto"/>
        <w:rPr>
          <w:rFonts w:hAnsi="宋体" w:cs="Arial"/>
          <w:sz w:val="24"/>
          <w:szCs w:val="24"/>
          <w:u w:val="single"/>
        </w:rPr>
      </w:pPr>
      <w:r>
        <w:rPr>
          <w:rFonts w:hAnsi="宋体" w:cs="Arial"/>
          <w:sz w:val="24"/>
          <w:szCs w:val="24"/>
        </w:rPr>
        <w:t xml:space="preserve">项目名称： </w:t>
      </w:r>
    </w:p>
    <w:p>
      <w:pPr>
        <w:pStyle w:val="15"/>
        <w:adjustRightInd w:val="0"/>
        <w:snapToGrid w:val="0"/>
        <w:spacing w:line="300" w:lineRule="auto"/>
        <w:rPr>
          <w:rFonts w:hAnsi="宋体" w:cs="Arial"/>
          <w:sz w:val="24"/>
          <w:szCs w:val="24"/>
        </w:rPr>
      </w:pPr>
      <w:r>
        <w:rPr>
          <w:rFonts w:hAnsi="宋体" w:cs="Arial"/>
          <w:sz w:val="24"/>
          <w:szCs w:val="24"/>
        </w:rPr>
        <w:t>项目编号：   （价格单位：元人民币）</w:t>
      </w:r>
    </w:p>
    <w:tbl>
      <w:tblPr>
        <w:tblStyle w:val="26"/>
        <w:tblW w:w="94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95"/>
        <w:gridCol w:w="1700"/>
        <w:gridCol w:w="4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17" w:type="dxa"/>
            <w:vAlign w:val="center"/>
          </w:tcPr>
          <w:p>
            <w:pPr>
              <w:snapToGrid w:val="0"/>
              <w:spacing w:line="300" w:lineRule="auto"/>
              <w:jc w:val="center"/>
              <w:rPr>
                <w:rFonts w:ascii="宋体" w:hAnsi="宋体" w:cs="Arial"/>
                <w:b/>
                <w:sz w:val="24"/>
              </w:rPr>
            </w:pPr>
            <w:r>
              <w:rPr>
                <w:rFonts w:ascii="宋体" w:hAnsi="宋体" w:cs="Arial"/>
                <w:b/>
                <w:sz w:val="24"/>
              </w:rPr>
              <w:t>序号</w:t>
            </w:r>
          </w:p>
        </w:tc>
        <w:tc>
          <w:tcPr>
            <w:tcW w:w="2695" w:type="dxa"/>
            <w:vAlign w:val="center"/>
          </w:tcPr>
          <w:p>
            <w:pPr>
              <w:snapToGrid w:val="0"/>
              <w:spacing w:line="300" w:lineRule="auto"/>
              <w:jc w:val="center"/>
              <w:rPr>
                <w:rFonts w:ascii="宋体" w:hAnsi="宋体" w:cs="Arial"/>
                <w:b/>
                <w:sz w:val="24"/>
              </w:rPr>
            </w:pPr>
            <w:r>
              <w:rPr>
                <w:rFonts w:hint="eastAsia" w:ascii="宋体" w:hAnsi="宋体" w:cs="Arial"/>
                <w:b/>
                <w:sz w:val="24"/>
              </w:rPr>
              <w:t>项目名称</w:t>
            </w:r>
          </w:p>
        </w:tc>
        <w:tc>
          <w:tcPr>
            <w:tcW w:w="1700" w:type="dxa"/>
            <w:vAlign w:val="center"/>
          </w:tcPr>
          <w:p>
            <w:pPr>
              <w:snapToGrid w:val="0"/>
              <w:spacing w:line="300" w:lineRule="auto"/>
              <w:jc w:val="center"/>
              <w:rPr>
                <w:rFonts w:ascii="宋体" w:hAnsi="宋体" w:cs="Arial"/>
                <w:b/>
                <w:sz w:val="24"/>
              </w:rPr>
            </w:pPr>
            <w:r>
              <w:rPr>
                <w:rFonts w:hint="eastAsia" w:ascii="宋体" w:hAnsi="宋体" w:cs="Arial"/>
                <w:b/>
                <w:sz w:val="24"/>
              </w:rPr>
              <w:t>数量</w:t>
            </w:r>
          </w:p>
        </w:tc>
        <w:tc>
          <w:tcPr>
            <w:tcW w:w="4191" w:type="dxa"/>
            <w:vAlign w:val="center"/>
          </w:tcPr>
          <w:p>
            <w:pPr>
              <w:snapToGrid w:val="0"/>
              <w:spacing w:line="300" w:lineRule="auto"/>
              <w:jc w:val="center"/>
              <w:rPr>
                <w:rFonts w:ascii="宋体" w:hAnsi="宋体" w:cs="Arial"/>
                <w:b/>
                <w:sz w:val="24"/>
              </w:rPr>
            </w:pPr>
            <w:r>
              <w:rPr>
                <w:rFonts w:hint="eastAsia" w:ascii="宋体" w:hAnsi="宋体" w:cs="Arial"/>
                <w:b/>
                <w:sz w:val="24"/>
              </w:rPr>
              <w:t>投标价总价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17" w:type="dxa"/>
            <w:vAlign w:val="center"/>
          </w:tcPr>
          <w:p>
            <w:pPr>
              <w:widowControl/>
              <w:snapToGrid w:val="0"/>
              <w:spacing w:line="300" w:lineRule="auto"/>
              <w:jc w:val="center"/>
              <w:rPr>
                <w:rFonts w:ascii="宋体" w:hAnsi="宋体" w:cs="Arial"/>
                <w:kern w:val="0"/>
                <w:sz w:val="24"/>
              </w:rPr>
            </w:pPr>
            <w:r>
              <w:rPr>
                <w:rFonts w:ascii="宋体" w:hAnsi="宋体" w:cs="Arial"/>
                <w:kern w:val="0"/>
                <w:sz w:val="24"/>
              </w:rPr>
              <w:t>1</w:t>
            </w:r>
          </w:p>
        </w:tc>
        <w:tc>
          <w:tcPr>
            <w:tcW w:w="2695" w:type="dxa"/>
            <w:vAlign w:val="center"/>
          </w:tcPr>
          <w:p>
            <w:pPr>
              <w:widowControl/>
              <w:snapToGrid w:val="0"/>
              <w:spacing w:line="300" w:lineRule="auto"/>
              <w:jc w:val="center"/>
              <w:rPr>
                <w:rFonts w:ascii="宋体" w:hAnsi="宋体" w:cs="Arial"/>
                <w:kern w:val="0"/>
                <w:sz w:val="24"/>
              </w:rPr>
            </w:pPr>
          </w:p>
        </w:tc>
        <w:tc>
          <w:tcPr>
            <w:tcW w:w="1700" w:type="dxa"/>
            <w:vAlign w:val="center"/>
          </w:tcPr>
          <w:p>
            <w:pPr>
              <w:widowControl/>
              <w:snapToGrid w:val="0"/>
              <w:spacing w:line="300" w:lineRule="auto"/>
              <w:jc w:val="center"/>
              <w:rPr>
                <w:rFonts w:ascii="宋体" w:hAnsi="宋体" w:cs="Arial"/>
                <w:kern w:val="0"/>
                <w:sz w:val="24"/>
              </w:rPr>
            </w:pPr>
            <w:r>
              <w:rPr>
                <w:rFonts w:hint="eastAsia" w:ascii="宋体" w:hAnsi="宋体" w:cs="Arial"/>
                <w:kern w:val="0"/>
                <w:sz w:val="24"/>
              </w:rPr>
              <w:t>1项</w:t>
            </w:r>
          </w:p>
        </w:tc>
        <w:tc>
          <w:tcPr>
            <w:tcW w:w="4191" w:type="dxa"/>
            <w:vAlign w:val="center"/>
          </w:tcPr>
          <w:p>
            <w:pPr>
              <w:snapToGrid w:val="0"/>
              <w:spacing w:line="300" w:lineRule="auto"/>
              <w:rPr>
                <w:rFonts w:ascii="宋体" w:hAnsi="宋体" w:cs="Arial"/>
                <w:b/>
                <w:sz w:val="24"/>
              </w:rPr>
            </w:pPr>
            <w:r>
              <w:rPr>
                <w:rFonts w:hint="eastAsia" w:ascii="宋体" w:hAnsi="宋体" w:cs="Arial"/>
                <w:kern w:val="0"/>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17" w:type="dxa"/>
            <w:vAlign w:val="center"/>
          </w:tcPr>
          <w:p>
            <w:pPr>
              <w:snapToGrid w:val="0"/>
              <w:spacing w:line="300" w:lineRule="auto"/>
              <w:jc w:val="center"/>
              <w:rPr>
                <w:rFonts w:ascii="宋体" w:hAnsi="宋体" w:cs="Arial"/>
                <w:sz w:val="24"/>
              </w:rPr>
            </w:pPr>
            <w:r>
              <w:rPr>
                <w:rFonts w:ascii="宋体" w:hAnsi="宋体" w:cs="Arial"/>
                <w:sz w:val="24"/>
              </w:rPr>
              <w:t>2</w:t>
            </w:r>
          </w:p>
        </w:tc>
        <w:tc>
          <w:tcPr>
            <w:tcW w:w="2695" w:type="dxa"/>
            <w:vAlign w:val="center"/>
          </w:tcPr>
          <w:p>
            <w:pPr>
              <w:snapToGrid w:val="0"/>
              <w:spacing w:line="300" w:lineRule="auto"/>
              <w:ind w:firstLine="602" w:firstLineChars="250"/>
              <w:rPr>
                <w:rFonts w:ascii="宋体" w:hAnsi="宋体" w:cs="Arial"/>
                <w:b/>
                <w:sz w:val="24"/>
              </w:rPr>
            </w:pPr>
            <w:r>
              <w:rPr>
                <w:rFonts w:hint="eastAsia" w:ascii="宋体" w:hAnsi="宋体" w:cs="Arial"/>
                <w:b/>
                <w:sz w:val="24"/>
              </w:rPr>
              <w:t>投标价总价</w:t>
            </w:r>
          </w:p>
        </w:tc>
        <w:tc>
          <w:tcPr>
            <w:tcW w:w="5891" w:type="dxa"/>
            <w:gridSpan w:val="2"/>
            <w:vAlign w:val="center"/>
          </w:tcPr>
          <w:p>
            <w:pPr>
              <w:snapToGrid w:val="0"/>
              <w:spacing w:line="300" w:lineRule="auto"/>
              <w:rPr>
                <w:rFonts w:ascii="宋体" w:hAnsi="宋体" w:cs="Arial"/>
                <w:b/>
                <w:sz w:val="24"/>
              </w:rPr>
            </w:pPr>
            <w:r>
              <w:rPr>
                <w:rFonts w:ascii="宋体" w:hAnsi="宋体" w:cs="Arial"/>
                <w:sz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817" w:type="dxa"/>
            <w:vAlign w:val="center"/>
          </w:tcPr>
          <w:p>
            <w:pPr>
              <w:snapToGrid w:val="0"/>
              <w:spacing w:line="300" w:lineRule="auto"/>
              <w:jc w:val="center"/>
              <w:rPr>
                <w:rFonts w:ascii="宋体" w:hAnsi="宋体" w:cs="Arial"/>
                <w:sz w:val="24"/>
              </w:rPr>
            </w:pPr>
            <w:r>
              <w:rPr>
                <w:rFonts w:hint="eastAsia" w:ascii="宋体" w:hAnsi="宋体" w:cs="Arial"/>
                <w:sz w:val="24"/>
              </w:rPr>
              <w:t>3</w:t>
            </w:r>
          </w:p>
        </w:tc>
        <w:tc>
          <w:tcPr>
            <w:tcW w:w="2695" w:type="dxa"/>
            <w:vAlign w:val="center"/>
          </w:tcPr>
          <w:p>
            <w:pPr>
              <w:snapToGrid w:val="0"/>
              <w:spacing w:line="300" w:lineRule="auto"/>
              <w:jc w:val="center"/>
              <w:rPr>
                <w:rFonts w:ascii="宋体" w:hAnsi="宋体" w:cs="Arial"/>
                <w:b/>
                <w:sz w:val="24"/>
              </w:rPr>
            </w:pPr>
            <w:r>
              <w:rPr>
                <w:rFonts w:hint="eastAsia" w:ascii="宋体" w:hAnsi="宋体" w:cs="Arial"/>
                <w:b/>
                <w:sz w:val="24"/>
              </w:rPr>
              <w:t>服务期</w:t>
            </w:r>
          </w:p>
        </w:tc>
        <w:tc>
          <w:tcPr>
            <w:tcW w:w="5891" w:type="dxa"/>
            <w:gridSpan w:val="2"/>
            <w:vAlign w:val="center"/>
          </w:tcPr>
          <w:p>
            <w:pPr>
              <w:snapToGrid w:val="0"/>
              <w:spacing w:line="300" w:lineRule="auto"/>
              <w:rPr>
                <w:rFonts w:ascii="宋体" w:hAnsi="宋体" w:cs="Arial"/>
                <w:sz w:val="24"/>
              </w:rPr>
            </w:pPr>
          </w:p>
        </w:tc>
      </w:tr>
    </w:tbl>
    <w:p>
      <w:pPr>
        <w:adjustRightInd w:val="0"/>
        <w:snapToGrid w:val="0"/>
        <w:spacing w:line="300" w:lineRule="auto"/>
        <w:rPr>
          <w:rFonts w:ascii="宋体" w:hAnsi="宋体" w:cs="Arial"/>
          <w:sz w:val="24"/>
        </w:rPr>
      </w:pPr>
    </w:p>
    <w:p>
      <w:pPr>
        <w:adjustRightInd w:val="0"/>
        <w:snapToGrid w:val="0"/>
        <w:spacing w:line="300" w:lineRule="auto"/>
        <w:ind w:firstLine="480" w:firstLineChars="200"/>
        <w:rPr>
          <w:rFonts w:ascii="宋体" w:hAnsi="宋体" w:cs="Arial"/>
          <w:sz w:val="24"/>
        </w:rPr>
      </w:pPr>
      <w:r>
        <w:rPr>
          <w:rFonts w:ascii="宋体" w:hAnsi="宋体" w:cs="Arial"/>
          <w:sz w:val="24"/>
        </w:rPr>
        <w:t>注：</w:t>
      </w:r>
      <w:r>
        <w:rPr>
          <w:rFonts w:hint="eastAsia" w:ascii="宋体" w:hAnsi="宋体" w:cs="Arial"/>
          <w:sz w:val="24"/>
        </w:rPr>
        <w:t>1.</w:t>
      </w:r>
      <w:r>
        <w:rPr>
          <w:rFonts w:ascii="宋体" w:hAnsi="宋体" w:cs="Arial"/>
          <w:sz w:val="24"/>
        </w:rPr>
        <w:t>具体</w:t>
      </w:r>
      <w:r>
        <w:rPr>
          <w:rFonts w:hint="eastAsia" w:ascii="宋体" w:hAnsi="宋体" w:cs="Arial"/>
          <w:sz w:val="24"/>
        </w:rPr>
        <w:t>各项报价详见</w:t>
      </w:r>
      <w:r>
        <w:rPr>
          <w:rFonts w:ascii="宋体" w:hAnsi="宋体" w:cs="Arial"/>
          <w:sz w:val="24"/>
        </w:rPr>
        <w:t>《</w:t>
      </w:r>
      <w:r>
        <w:rPr>
          <w:rFonts w:hint="eastAsia" w:ascii="宋体" w:hAnsi="宋体" w:cs="Arial"/>
          <w:sz w:val="24"/>
        </w:rPr>
        <w:t>投标价格组成明细表</w:t>
      </w:r>
      <w:r>
        <w:rPr>
          <w:rFonts w:ascii="宋体" w:hAnsi="宋体" w:cs="Arial"/>
          <w:sz w:val="24"/>
        </w:rPr>
        <w:t>》</w:t>
      </w:r>
      <w:r>
        <w:rPr>
          <w:rFonts w:hint="eastAsia" w:ascii="宋体" w:hAnsi="宋体" w:cs="Arial"/>
          <w:sz w:val="24"/>
        </w:rPr>
        <w:t>；</w:t>
      </w:r>
    </w:p>
    <w:p>
      <w:pPr>
        <w:adjustRightInd w:val="0"/>
        <w:snapToGrid w:val="0"/>
        <w:spacing w:line="300" w:lineRule="auto"/>
        <w:ind w:firstLine="480" w:firstLineChars="200"/>
        <w:rPr>
          <w:rFonts w:ascii="宋体" w:hAnsi="宋体" w:cs="Arial"/>
          <w:sz w:val="24"/>
        </w:rPr>
      </w:pPr>
    </w:p>
    <w:p>
      <w:pPr>
        <w:adjustRightInd w:val="0"/>
        <w:snapToGrid w:val="0"/>
        <w:spacing w:line="300" w:lineRule="auto"/>
        <w:ind w:firstLine="480" w:firstLineChars="200"/>
        <w:rPr>
          <w:rFonts w:ascii="宋体" w:hAnsi="宋体" w:cs="Arial"/>
          <w:sz w:val="24"/>
        </w:rPr>
      </w:pPr>
    </w:p>
    <w:p>
      <w:pPr>
        <w:adjustRightInd w:val="0"/>
        <w:snapToGrid w:val="0"/>
        <w:spacing w:line="300" w:lineRule="auto"/>
        <w:ind w:firstLine="480" w:firstLineChars="200"/>
        <w:rPr>
          <w:rFonts w:ascii="宋体" w:hAnsi="宋体" w:cs="Arial"/>
          <w:sz w:val="24"/>
        </w:rPr>
      </w:pPr>
    </w:p>
    <w:p>
      <w:pPr>
        <w:pStyle w:val="3"/>
        <w:ind w:firstLine="210"/>
      </w:pPr>
    </w:p>
    <w:p>
      <w:pPr>
        <w:autoSpaceDE w:val="0"/>
        <w:autoSpaceDN w:val="0"/>
        <w:adjustRightInd w:val="0"/>
        <w:spacing w:line="440" w:lineRule="atLeast"/>
        <w:ind w:firstLine="482" w:firstLineChars="201"/>
        <w:rPr>
          <w:rFonts w:ascii="宋体" w:hAnsi="宋体"/>
          <w:kern w:val="0"/>
          <w:sz w:val="24"/>
          <w:lang w:val="zh-CN"/>
        </w:rPr>
      </w:pPr>
      <w:r>
        <w:rPr>
          <w:rFonts w:hint="eastAsia" w:ascii="宋体" w:hAnsi="宋体"/>
          <w:kern w:val="0"/>
          <w:sz w:val="24"/>
          <w:lang w:val="zh-CN"/>
        </w:rPr>
        <w:t>供应商全称（盖章）：</w:t>
      </w:r>
    </w:p>
    <w:p>
      <w:pPr>
        <w:autoSpaceDE w:val="0"/>
        <w:autoSpaceDN w:val="0"/>
        <w:adjustRightInd w:val="0"/>
        <w:spacing w:line="440" w:lineRule="atLeast"/>
        <w:ind w:firstLine="482" w:firstLineChars="201"/>
        <w:rPr>
          <w:rFonts w:ascii="宋体" w:hAnsi="宋体"/>
          <w:kern w:val="0"/>
          <w:sz w:val="24"/>
          <w:lang w:val="zh-CN"/>
        </w:rPr>
      </w:pPr>
    </w:p>
    <w:p>
      <w:pPr>
        <w:autoSpaceDE w:val="0"/>
        <w:autoSpaceDN w:val="0"/>
        <w:adjustRightInd w:val="0"/>
        <w:spacing w:line="440" w:lineRule="atLeast"/>
        <w:ind w:firstLine="482" w:firstLineChars="201"/>
        <w:rPr>
          <w:rFonts w:ascii="宋体" w:hAnsi="宋体"/>
          <w:kern w:val="0"/>
          <w:sz w:val="24"/>
          <w:lang w:val="zh-CN"/>
        </w:rPr>
      </w:pPr>
      <w:r>
        <w:rPr>
          <w:rFonts w:hint="eastAsia" w:ascii="宋体" w:hAnsi="宋体"/>
          <w:kern w:val="0"/>
          <w:sz w:val="24"/>
          <w:lang w:val="zh-CN"/>
        </w:rPr>
        <w:t>法定代表人或授权代表（签字或盖章）：</w:t>
      </w:r>
    </w:p>
    <w:p>
      <w:pPr>
        <w:widowControl/>
        <w:ind w:firstLine="480" w:firstLineChars="200"/>
        <w:jc w:val="left"/>
        <w:rPr>
          <w:rFonts w:ascii="宋体" w:hAnsi="宋体"/>
          <w:kern w:val="0"/>
          <w:sz w:val="24"/>
          <w:lang w:val="zh-CN"/>
        </w:rPr>
      </w:pPr>
    </w:p>
    <w:p>
      <w:pPr>
        <w:widowControl/>
        <w:ind w:firstLine="480" w:firstLineChars="200"/>
        <w:jc w:val="left"/>
        <w:rPr>
          <w:rFonts w:ascii="宋体" w:hAnsi="宋体"/>
          <w:kern w:val="0"/>
          <w:sz w:val="24"/>
          <w:lang w:val="zh-CN"/>
        </w:rPr>
      </w:pPr>
    </w:p>
    <w:p>
      <w:pPr>
        <w:widowControl/>
        <w:ind w:firstLine="480" w:firstLineChars="200"/>
        <w:jc w:val="left"/>
        <w:rPr>
          <w:rFonts w:ascii="仿宋" w:hAnsi="仿宋" w:eastAsia="仿宋"/>
          <w:b/>
          <w:sz w:val="24"/>
        </w:rPr>
      </w:pPr>
      <w:r>
        <w:rPr>
          <w:rFonts w:hint="eastAsia" w:ascii="宋体" w:hAnsi="宋体"/>
          <w:kern w:val="0"/>
          <w:sz w:val="24"/>
          <w:lang w:val="zh-CN"/>
        </w:rPr>
        <w:t>日期：</w:t>
      </w:r>
    </w:p>
    <w:p>
      <w:pPr>
        <w:tabs>
          <w:tab w:val="center" w:pos="4535"/>
          <w:tab w:val="left" w:pos="6390"/>
        </w:tabs>
        <w:spacing w:line="480" w:lineRule="auto"/>
        <w:ind w:firstLine="420" w:firstLineChars="200"/>
        <w:rPr>
          <w:rFonts w:ascii="宋体" w:hAnsi="宋体"/>
          <w:szCs w:val="21"/>
        </w:rPr>
      </w:pPr>
    </w:p>
    <w:p>
      <w:pPr>
        <w:tabs>
          <w:tab w:val="center" w:pos="4535"/>
          <w:tab w:val="left" w:pos="6390"/>
        </w:tabs>
        <w:spacing w:line="480" w:lineRule="auto"/>
        <w:ind w:firstLine="420" w:firstLineChars="200"/>
        <w:rPr>
          <w:rFonts w:ascii="宋体" w:hAnsi="宋体"/>
          <w:szCs w:val="21"/>
        </w:rPr>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pPr>
    </w:p>
    <w:p>
      <w:pPr>
        <w:pStyle w:val="2"/>
        <w:ind w:firstLine="210"/>
        <w:rPr>
          <w:rFonts w:hint="eastAsia"/>
        </w:rPr>
      </w:pPr>
    </w:p>
    <w:p>
      <w:pPr>
        <w:spacing w:line="360" w:lineRule="exact"/>
        <w:jc w:val="left"/>
        <w:rPr>
          <w:rFonts w:ascii="宋体" w:hAnsi="宋体"/>
          <w:b/>
          <w:bCs/>
          <w:szCs w:val="21"/>
          <w:u w:val="single"/>
        </w:rPr>
      </w:pPr>
      <w:r>
        <w:rPr>
          <w:rFonts w:hint="eastAsia" w:ascii="宋体" w:hAnsi="宋体"/>
          <w:b/>
          <w:szCs w:val="21"/>
        </w:rPr>
        <w:t>附件二、</w:t>
      </w:r>
    </w:p>
    <w:p>
      <w:pPr>
        <w:widowControl/>
        <w:jc w:val="left"/>
        <w:rPr>
          <w:rFonts w:ascii="仿宋" w:hAnsi="仿宋" w:eastAsia="仿宋"/>
          <w:b/>
          <w:sz w:val="24"/>
        </w:rPr>
      </w:pPr>
    </w:p>
    <w:p>
      <w:pPr>
        <w:jc w:val="center"/>
        <w:rPr>
          <w:rFonts w:ascii="仿宋" w:hAnsi="仿宋" w:eastAsia="仿宋" w:cs="仿宋_GB2312"/>
          <w:b/>
          <w:bCs/>
          <w:sz w:val="24"/>
          <w:lang w:val="zh-CN"/>
        </w:rPr>
      </w:pPr>
    </w:p>
    <w:p>
      <w:pPr>
        <w:jc w:val="center"/>
        <w:rPr>
          <w:rFonts w:ascii="宋体" w:hAnsi="宋体"/>
          <w:sz w:val="28"/>
          <w:szCs w:val="28"/>
        </w:rPr>
      </w:pPr>
      <w:r>
        <w:rPr>
          <w:rFonts w:hint="eastAsia" w:ascii="宋体" w:hAnsi="宋体" w:cs="仿宋_GB2312"/>
          <w:b/>
          <w:bCs/>
          <w:sz w:val="28"/>
          <w:szCs w:val="28"/>
          <w:lang w:val="zh-CN"/>
        </w:rPr>
        <w:t>投标报价明细表</w:t>
      </w:r>
    </w:p>
    <w:p>
      <w:pPr>
        <w:snapToGrid w:val="0"/>
        <w:spacing w:before="50" w:after="50" w:line="360" w:lineRule="exact"/>
        <w:rPr>
          <w:rFonts w:ascii="宋体" w:hAnsi="宋体"/>
          <w:szCs w:val="21"/>
        </w:rPr>
      </w:pPr>
    </w:p>
    <w:p>
      <w:pPr>
        <w:snapToGrid w:val="0"/>
        <w:spacing w:before="50" w:after="50" w:line="360" w:lineRule="exact"/>
        <w:rPr>
          <w:rFonts w:ascii="宋体" w:hAnsi="宋体"/>
          <w:sz w:val="24"/>
        </w:rPr>
      </w:pPr>
      <w:r>
        <w:rPr>
          <w:rFonts w:hint="eastAsia" w:ascii="宋体" w:hAnsi="宋体"/>
          <w:sz w:val="24"/>
        </w:rPr>
        <w:t>采购编号：                                          单位：人民币元</w:t>
      </w:r>
    </w:p>
    <w:tbl>
      <w:tblPr>
        <w:tblStyle w:val="26"/>
        <w:tblW w:w="9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3240"/>
        <w:gridCol w:w="1140"/>
        <w:gridCol w:w="1020"/>
        <w:gridCol w:w="1155"/>
        <w:gridCol w:w="1155"/>
        <w:gridCol w:w="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98" w:type="dxa"/>
            <w:vAlign w:val="center"/>
          </w:tcPr>
          <w:p>
            <w:pPr>
              <w:widowControl/>
              <w:jc w:val="center"/>
              <w:rPr>
                <w:rFonts w:ascii="宋体" w:hAnsi="宋体"/>
                <w:sz w:val="24"/>
              </w:rPr>
            </w:pPr>
            <w:r>
              <w:rPr>
                <w:rFonts w:ascii="宋体" w:hAnsi="宋体" w:cs="Arial"/>
                <w:sz w:val="24"/>
              </w:rPr>
              <w:t>序号</w:t>
            </w:r>
          </w:p>
        </w:tc>
        <w:tc>
          <w:tcPr>
            <w:tcW w:w="3240" w:type="dxa"/>
            <w:vAlign w:val="center"/>
          </w:tcPr>
          <w:p>
            <w:pPr>
              <w:widowControl/>
              <w:jc w:val="center"/>
              <w:rPr>
                <w:rFonts w:ascii="宋体" w:hAnsi="宋体"/>
                <w:sz w:val="24"/>
              </w:rPr>
            </w:pPr>
            <w:r>
              <w:rPr>
                <w:rFonts w:hint="eastAsia" w:ascii="宋体" w:hAnsi="宋体" w:cs="Arial"/>
                <w:sz w:val="24"/>
              </w:rPr>
              <w:t>项目</w:t>
            </w:r>
            <w:r>
              <w:rPr>
                <w:rFonts w:hint="eastAsia" w:ascii="宋体" w:hAnsi="宋体" w:cs="宋体"/>
                <w:kern w:val="0"/>
                <w:sz w:val="24"/>
              </w:rPr>
              <w:t>名称</w:t>
            </w:r>
          </w:p>
        </w:tc>
        <w:tc>
          <w:tcPr>
            <w:tcW w:w="1140" w:type="dxa"/>
            <w:vAlign w:val="center"/>
          </w:tcPr>
          <w:p>
            <w:pPr>
              <w:widowControl/>
              <w:jc w:val="center"/>
              <w:rPr>
                <w:rFonts w:ascii="宋体" w:hAnsi="宋体" w:cs="Arial"/>
                <w:sz w:val="24"/>
              </w:rPr>
            </w:pPr>
            <w:r>
              <w:rPr>
                <w:rFonts w:hint="eastAsia" w:ascii="宋体" w:hAnsi="宋体" w:cs="Arial"/>
                <w:sz w:val="24"/>
              </w:rPr>
              <w:t>计量</w:t>
            </w:r>
          </w:p>
          <w:p>
            <w:pPr>
              <w:widowControl/>
              <w:jc w:val="center"/>
              <w:rPr>
                <w:rFonts w:ascii="宋体" w:hAnsi="宋体"/>
                <w:sz w:val="24"/>
              </w:rPr>
            </w:pPr>
            <w:r>
              <w:rPr>
                <w:rFonts w:hint="eastAsia" w:ascii="宋体" w:hAnsi="宋体" w:cs="宋体"/>
                <w:kern w:val="0"/>
                <w:sz w:val="24"/>
              </w:rPr>
              <w:t>单位</w:t>
            </w:r>
          </w:p>
        </w:tc>
        <w:tc>
          <w:tcPr>
            <w:tcW w:w="1020" w:type="dxa"/>
            <w:vAlign w:val="center"/>
          </w:tcPr>
          <w:p>
            <w:pPr>
              <w:widowControl/>
              <w:jc w:val="center"/>
              <w:rPr>
                <w:rFonts w:ascii="宋体" w:hAnsi="宋体"/>
                <w:sz w:val="24"/>
              </w:rPr>
            </w:pPr>
            <w:r>
              <w:rPr>
                <w:rFonts w:ascii="宋体" w:hAnsi="宋体" w:cs="Arial"/>
                <w:sz w:val="24"/>
              </w:rPr>
              <w:t>数量</w:t>
            </w:r>
          </w:p>
        </w:tc>
        <w:tc>
          <w:tcPr>
            <w:tcW w:w="1155" w:type="dxa"/>
            <w:vAlign w:val="center"/>
          </w:tcPr>
          <w:p>
            <w:pPr>
              <w:widowControl/>
              <w:jc w:val="center"/>
              <w:rPr>
                <w:rFonts w:ascii="宋体" w:hAnsi="宋体"/>
                <w:sz w:val="24"/>
              </w:rPr>
            </w:pPr>
            <w:r>
              <w:rPr>
                <w:rFonts w:hint="eastAsia" w:ascii="宋体" w:hAnsi="宋体" w:cs="Arial"/>
                <w:sz w:val="24"/>
              </w:rPr>
              <w:t>单价</w:t>
            </w:r>
          </w:p>
        </w:tc>
        <w:tc>
          <w:tcPr>
            <w:tcW w:w="1155" w:type="dxa"/>
            <w:vAlign w:val="center"/>
          </w:tcPr>
          <w:p>
            <w:pPr>
              <w:widowControl/>
              <w:jc w:val="center"/>
              <w:rPr>
                <w:rFonts w:ascii="宋体" w:hAnsi="宋体"/>
                <w:sz w:val="24"/>
              </w:rPr>
            </w:pPr>
            <w:r>
              <w:rPr>
                <w:rFonts w:hint="eastAsia" w:ascii="宋体" w:hAnsi="宋体" w:cs="宋体"/>
                <w:kern w:val="0"/>
                <w:sz w:val="24"/>
              </w:rPr>
              <w:t>金额</w:t>
            </w:r>
          </w:p>
        </w:tc>
        <w:tc>
          <w:tcPr>
            <w:tcW w:w="821" w:type="dxa"/>
            <w:vAlign w:val="center"/>
          </w:tcPr>
          <w:p>
            <w:pPr>
              <w:widowControl/>
              <w:jc w:val="center"/>
              <w:rPr>
                <w:rFonts w:ascii="宋体" w:hAnsi="宋体"/>
                <w:sz w:val="24"/>
              </w:rPr>
            </w:pPr>
            <w:r>
              <w:rPr>
                <w:rFonts w:hint="eastAsia" w:ascii="宋体" w:hAnsi="宋体" w:cs="宋体"/>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8" w:type="dxa"/>
            <w:vAlign w:val="center"/>
          </w:tcPr>
          <w:p>
            <w:pPr>
              <w:widowControl/>
              <w:jc w:val="center"/>
              <w:rPr>
                <w:rFonts w:ascii="宋体" w:hAnsi="宋体" w:cs="Arial"/>
                <w:b/>
                <w:bCs/>
                <w:sz w:val="24"/>
              </w:rPr>
            </w:pPr>
          </w:p>
        </w:tc>
        <w:tc>
          <w:tcPr>
            <w:tcW w:w="3240" w:type="dxa"/>
            <w:vAlign w:val="center"/>
          </w:tcPr>
          <w:p>
            <w:pPr>
              <w:spacing w:line="320" w:lineRule="exact"/>
              <w:jc w:val="center"/>
              <w:rPr>
                <w:rFonts w:ascii="宋体" w:hAnsi="宋体" w:cs="宋体"/>
                <w:sz w:val="24"/>
              </w:rPr>
            </w:pPr>
          </w:p>
        </w:tc>
        <w:tc>
          <w:tcPr>
            <w:tcW w:w="1140" w:type="dxa"/>
            <w:vAlign w:val="center"/>
          </w:tcPr>
          <w:p>
            <w:pPr>
              <w:widowControl/>
              <w:jc w:val="center"/>
              <w:rPr>
                <w:rFonts w:ascii="宋体" w:hAnsi="宋体" w:cs="Arial"/>
                <w:sz w:val="24"/>
              </w:rPr>
            </w:pPr>
          </w:p>
        </w:tc>
        <w:tc>
          <w:tcPr>
            <w:tcW w:w="1020" w:type="dxa"/>
            <w:vAlign w:val="center"/>
          </w:tcPr>
          <w:p>
            <w:pPr>
              <w:widowControl/>
              <w:jc w:val="center"/>
              <w:rPr>
                <w:rFonts w:ascii="宋体" w:hAnsi="宋体" w:cs="Arial"/>
                <w:sz w:val="24"/>
              </w:rPr>
            </w:pPr>
          </w:p>
        </w:tc>
        <w:tc>
          <w:tcPr>
            <w:tcW w:w="1155" w:type="dxa"/>
            <w:vAlign w:val="center"/>
          </w:tcPr>
          <w:p>
            <w:pPr>
              <w:widowControl/>
              <w:jc w:val="center"/>
              <w:rPr>
                <w:rFonts w:ascii="宋体" w:hAnsi="宋体" w:cs="Arial"/>
                <w:sz w:val="24"/>
              </w:rPr>
            </w:pPr>
          </w:p>
        </w:tc>
        <w:tc>
          <w:tcPr>
            <w:tcW w:w="1155" w:type="dxa"/>
            <w:vAlign w:val="center"/>
          </w:tcPr>
          <w:p>
            <w:pPr>
              <w:widowControl/>
              <w:jc w:val="center"/>
              <w:rPr>
                <w:rFonts w:ascii="宋体" w:hAnsi="宋体" w:cs="宋体"/>
                <w:kern w:val="0"/>
                <w:sz w:val="24"/>
              </w:rPr>
            </w:pPr>
          </w:p>
        </w:tc>
        <w:tc>
          <w:tcPr>
            <w:tcW w:w="821" w:type="dxa"/>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8" w:type="dxa"/>
            <w:vAlign w:val="center"/>
          </w:tcPr>
          <w:p>
            <w:pPr>
              <w:jc w:val="center"/>
              <w:rPr>
                <w:rFonts w:ascii="宋体" w:hAnsi="宋体"/>
                <w:sz w:val="24"/>
              </w:rPr>
            </w:pPr>
          </w:p>
        </w:tc>
        <w:tc>
          <w:tcPr>
            <w:tcW w:w="3240" w:type="dxa"/>
            <w:vAlign w:val="center"/>
          </w:tcPr>
          <w:p>
            <w:pPr>
              <w:spacing w:line="320" w:lineRule="exact"/>
              <w:jc w:val="center"/>
              <w:rPr>
                <w:rFonts w:ascii="宋体" w:hAnsi="宋体" w:cs="宋体"/>
                <w:sz w:val="24"/>
              </w:rPr>
            </w:pPr>
          </w:p>
        </w:tc>
        <w:tc>
          <w:tcPr>
            <w:tcW w:w="1140" w:type="dxa"/>
            <w:vAlign w:val="center"/>
          </w:tcPr>
          <w:p>
            <w:pPr>
              <w:spacing w:line="320" w:lineRule="exact"/>
              <w:jc w:val="center"/>
              <w:rPr>
                <w:rFonts w:ascii="宋体" w:hAnsi="宋体" w:cs="宋体"/>
                <w:sz w:val="24"/>
              </w:rPr>
            </w:pPr>
          </w:p>
        </w:tc>
        <w:tc>
          <w:tcPr>
            <w:tcW w:w="1020" w:type="dxa"/>
            <w:vAlign w:val="center"/>
          </w:tcPr>
          <w:p>
            <w:pPr>
              <w:jc w:val="center"/>
              <w:rPr>
                <w:rFonts w:ascii="宋体" w:hAnsi="宋体"/>
                <w:sz w:val="24"/>
              </w:rPr>
            </w:pPr>
          </w:p>
        </w:tc>
        <w:tc>
          <w:tcPr>
            <w:tcW w:w="1155" w:type="dxa"/>
            <w:vAlign w:val="center"/>
          </w:tcPr>
          <w:p>
            <w:pPr>
              <w:jc w:val="center"/>
              <w:rPr>
                <w:rFonts w:ascii="宋体" w:hAnsi="宋体"/>
                <w:sz w:val="24"/>
              </w:rPr>
            </w:pPr>
          </w:p>
        </w:tc>
        <w:tc>
          <w:tcPr>
            <w:tcW w:w="1155" w:type="dxa"/>
            <w:vAlign w:val="center"/>
          </w:tcPr>
          <w:p>
            <w:pPr>
              <w:jc w:val="center"/>
              <w:rPr>
                <w:rFonts w:ascii="宋体" w:hAnsi="宋体"/>
                <w:sz w:val="24"/>
              </w:rPr>
            </w:pPr>
          </w:p>
        </w:tc>
        <w:tc>
          <w:tcPr>
            <w:tcW w:w="82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8" w:type="dxa"/>
            <w:vAlign w:val="center"/>
          </w:tcPr>
          <w:p>
            <w:pPr>
              <w:jc w:val="center"/>
              <w:rPr>
                <w:rFonts w:ascii="宋体" w:hAnsi="宋体"/>
                <w:sz w:val="24"/>
              </w:rPr>
            </w:pPr>
          </w:p>
        </w:tc>
        <w:tc>
          <w:tcPr>
            <w:tcW w:w="3240" w:type="dxa"/>
            <w:vAlign w:val="center"/>
          </w:tcPr>
          <w:p>
            <w:pPr>
              <w:spacing w:line="320" w:lineRule="exact"/>
              <w:jc w:val="center"/>
              <w:rPr>
                <w:rFonts w:ascii="宋体" w:hAnsi="宋体" w:cs="宋体"/>
                <w:sz w:val="24"/>
              </w:rPr>
            </w:pPr>
          </w:p>
        </w:tc>
        <w:tc>
          <w:tcPr>
            <w:tcW w:w="1140" w:type="dxa"/>
            <w:vAlign w:val="center"/>
          </w:tcPr>
          <w:p>
            <w:pPr>
              <w:spacing w:line="320" w:lineRule="exact"/>
              <w:jc w:val="center"/>
              <w:rPr>
                <w:rFonts w:ascii="宋体" w:hAnsi="宋体" w:cs="宋体"/>
                <w:sz w:val="24"/>
              </w:rPr>
            </w:pPr>
          </w:p>
        </w:tc>
        <w:tc>
          <w:tcPr>
            <w:tcW w:w="1020" w:type="dxa"/>
            <w:vAlign w:val="center"/>
          </w:tcPr>
          <w:p>
            <w:pPr>
              <w:jc w:val="center"/>
              <w:rPr>
                <w:rFonts w:ascii="宋体" w:hAnsi="宋体"/>
                <w:sz w:val="24"/>
              </w:rPr>
            </w:pPr>
          </w:p>
        </w:tc>
        <w:tc>
          <w:tcPr>
            <w:tcW w:w="1155" w:type="dxa"/>
            <w:vAlign w:val="center"/>
          </w:tcPr>
          <w:p>
            <w:pPr>
              <w:jc w:val="center"/>
              <w:rPr>
                <w:rFonts w:ascii="宋体" w:hAnsi="宋体"/>
                <w:sz w:val="24"/>
              </w:rPr>
            </w:pPr>
          </w:p>
        </w:tc>
        <w:tc>
          <w:tcPr>
            <w:tcW w:w="1155" w:type="dxa"/>
            <w:vAlign w:val="center"/>
          </w:tcPr>
          <w:p>
            <w:pPr>
              <w:jc w:val="center"/>
              <w:rPr>
                <w:rFonts w:ascii="宋体" w:hAnsi="宋体"/>
                <w:sz w:val="24"/>
              </w:rPr>
            </w:pPr>
          </w:p>
        </w:tc>
        <w:tc>
          <w:tcPr>
            <w:tcW w:w="82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8" w:type="dxa"/>
            <w:vAlign w:val="center"/>
          </w:tcPr>
          <w:p>
            <w:pPr>
              <w:jc w:val="center"/>
              <w:rPr>
                <w:rFonts w:ascii="宋体" w:hAnsi="宋体"/>
                <w:sz w:val="24"/>
              </w:rPr>
            </w:pPr>
          </w:p>
        </w:tc>
        <w:tc>
          <w:tcPr>
            <w:tcW w:w="3240" w:type="dxa"/>
            <w:vAlign w:val="center"/>
          </w:tcPr>
          <w:p>
            <w:pPr>
              <w:spacing w:line="320" w:lineRule="exact"/>
              <w:jc w:val="center"/>
              <w:rPr>
                <w:rFonts w:ascii="宋体" w:hAnsi="宋体" w:cs="宋体"/>
                <w:sz w:val="24"/>
              </w:rPr>
            </w:pPr>
          </w:p>
        </w:tc>
        <w:tc>
          <w:tcPr>
            <w:tcW w:w="1140" w:type="dxa"/>
            <w:vAlign w:val="center"/>
          </w:tcPr>
          <w:p>
            <w:pPr>
              <w:spacing w:line="320" w:lineRule="exact"/>
              <w:jc w:val="center"/>
              <w:rPr>
                <w:rFonts w:ascii="宋体" w:hAnsi="宋体" w:cs="宋体"/>
                <w:sz w:val="24"/>
              </w:rPr>
            </w:pPr>
          </w:p>
        </w:tc>
        <w:tc>
          <w:tcPr>
            <w:tcW w:w="1020" w:type="dxa"/>
            <w:vAlign w:val="center"/>
          </w:tcPr>
          <w:p>
            <w:pPr>
              <w:jc w:val="center"/>
              <w:rPr>
                <w:rFonts w:ascii="宋体" w:hAnsi="宋体"/>
                <w:sz w:val="24"/>
              </w:rPr>
            </w:pPr>
          </w:p>
        </w:tc>
        <w:tc>
          <w:tcPr>
            <w:tcW w:w="1155" w:type="dxa"/>
            <w:vAlign w:val="center"/>
          </w:tcPr>
          <w:p>
            <w:pPr>
              <w:jc w:val="center"/>
              <w:rPr>
                <w:rFonts w:ascii="宋体" w:hAnsi="宋体"/>
                <w:sz w:val="24"/>
              </w:rPr>
            </w:pPr>
          </w:p>
        </w:tc>
        <w:tc>
          <w:tcPr>
            <w:tcW w:w="1155" w:type="dxa"/>
            <w:vAlign w:val="center"/>
          </w:tcPr>
          <w:p>
            <w:pPr>
              <w:jc w:val="center"/>
              <w:rPr>
                <w:rFonts w:ascii="宋体" w:hAnsi="宋体"/>
                <w:sz w:val="24"/>
              </w:rPr>
            </w:pPr>
          </w:p>
        </w:tc>
        <w:tc>
          <w:tcPr>
            <w:tcW w:w="82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8" w:type="dxa"/>
            <w:vAlign w:val="center"/>
          </w:tcPr>
          <w:p>
            <w:pPr>
              <w:jc w:val="center"/>
              <w:rPr>
                <w:rFonts w:ascii="宋体" w:hAnsi="宋体"/>
                <w:sz w:val="24"/>
              </w:rPr>
            </w:pPr>
          </w:p>
        </w:tc>
        <w:tc>
          <w:tcPr>
            <w:tcW w:w="3240" w:type="dxa"/>
            <w:vAlign w:val="center"/>
          </w:tcPr>
          <w:p>
            <w:pPr>
              <w:spacing w:line="320" w:lineRule="exact"/>
              <w:jc w:val="center"/>
              <w:rPr>
                <w:rFonts w:ascii="宋体" w:hAnsi="宋体" w:cs="宋体"/>
                <w:sz w:val="24"/>
              </w:rPr>
            </w:pPr>
          </w:p>
        </w:tc>
        <w:tc>
          <w:tcPr>
            <w:tcW w:w="1140" w:type="dxa"/>
            <w:vAlign w:val="center"/>
          </w:tcPr>
          <w:p>
            <w:pPr>
              <w:spacing w:line="320" w:lineRule="exact"/>
              <w:jc w:val="center"/>
              <w:rPr>
                <w:rFonts w:ascii="宋体" w:hAnsi="宋体" w:cs="宋体"/>
                <w:sz w:val="24"/>
              </w:rPr>
            </w:pPr>
          </w:p>
        </w:tc>
        <w:tc>
          <w:tcPr>
            <w:tcW w:w="1020" w:type="dxa"/>
            <w:vAlign w:val="center"/>
          </w:tcPr>
          <w:p>
            <w:pPr>
              <w:jc w:val="center"/>
              <w:rPr>
                <w:rFonts w:ascii="宋体" w:hAnsi="宋体"/>
                <w:sz w:val="24"/>
              </w:rPr>
            </w:pPr>
          </w:p>
        </w:tc>
        <w:tc>
          <w:tcPr>
            <w:tcW w:w="1155" w:type="dxa"/>
            <w:vAlign w:val="center"/>
          </w:tcPr>
          <w:p>
            <w:pPr>
              <w:jc w:val="center"/>
              <w:rPr>
                <w:rFonts w:ascii="宋体" w:hAnsi="宋体"/>
                <w:sz w:val="24"/>
              </w:rPr>
            </w:pPr>
          </w:p>
        </w:tc>
        <w:tc>
          <w:tcPr>
            <w:tcW w:w="1155" w:type="dxa"/>
            <w:vAlign w:val="center"/>
          </w:tcPr>
          <w:p>
            <w:pPr>
              <w:jc w:val="center"/>
              <w:rPr>
                <w:rFonts w:ascii="宋体" w:hAnsi="宋体"/>
                <w:sz w:val="24"/>
              </w:rPr>
            </w:pPr>
          </w:p>
        </w:tc>
        <w:tc>
          <w:tcPr>
            <w:tcW w:w="82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8" w:type="dxa"/>
            <w:vAlign w:val="center"/>
          </w:tcPr>
          <w:p>
            <w:pPr>
              <w:spacing w:line="320" w:lineRule="exact"/>
              <w:jc w:val="center"/>
              <w:rPr>
                <w:rFonts w:ascii="宋体" w:hAnsi="宋体" w:cs="宋体"/>
                <w:sz w:val="24"/>
              </w:rPr>
            </w:pPr>
          </w:p>
        </w:tc>
        <w:tc>
          <w:tcPr>
            <w:tcW w:w="3240" w:type="dxa"/>
            <w:vAlign w:val="center"/>
          </w:tcPr>
          <w:p>
            <w:pPr>
              <w:spacing w:line="320" w:lineRule="exact"/>
              <w:jc w:val="center"/>
              <w:rPr>
                <w:rFonts w:ascii="宋体" w:hAnsi="宋体" w:cs="宋体"/>
                <w:sz w:val="24"/>
              </w:rPr>
            </w:pPr>
          </w:p>
        </w:tc>
        <w:tc>
          <w:tcPr>
            <w:tcW w:w="1140" w:type="dxa"/>
            <w:vAlign w:val="center"/>
          </w:tcPr>
          <w:p>
            <w:pPr>
              <w:jc w:val="center"/>
              <w:rPr>
                <w:rFonts w:ascii="宋体" w:hAnsi="宋体"/>
                <w:sz w:val="24"/>
              </w:rPr>
            </w:pPr>
          </w:p>
        </w:tc>
        <w:tc>
          <w:tcPr>
            <w:tcW w:w="1020" w:type="dxa"/>
            <w:vAlign w:val="center"/>
          </w:tcPr>
          <w:p>
            <w:pPr>
              <w:jc w:val="center"/>
              <w:rPr>
                <w:rFonts w:ascii="宋体" w:hAnsi="宋体"/>
                <w:sz w:val="24"/>
              </w:rPr>
            </w:pPr>
          </w:p>
        </w:tc>
        <w:tc>
          <w:tcPr>
            <w:tcW w:w="1155" w:type="dxa"/>
            <w:vAlign w:val="center"/>
          </w:tcPr>
          <w:p>
            <w:pPr>
              <w:jc w:val="center"/>
              <w:rPr>
                <w:rFonts w:ascii="宋体" w:hAnsi="宋体"/>
                <w:sz w:val="24"/>
              </w:rPr>
            </w:pPr>
          </w:p>
        </w:tc>
        <w:tc>
          <w:tcPr>
            <w:tcW w:w="1155" w:type="dxa"/>
            <w:vAlign w:val="center"/>
          </w:tcPr>
          <w:p>
            <w:pPr>
              <w:jc w:val="center"/>
              <w:rPr>
                <w:rFonts w:ascii="宋体" w:hAnsi="宋体"/>
                <w:sz w:val="24"/>
              </w:rPr>
            </w:pPr>
          </w:p>
        </w:tc>
        <w:tc>
          <w:tcPr>
            <w:tcW w:w="82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8" w:type="dxa"/>
            <w:vAlign w:val="center"/>
          </w:tcPr>
          <w:p>
            <w:pPr>
              <w:spacing w:line="320" w:lineRule="exact"/>
              <w:jc w:val="center"/>
              <w:rPr>
                <w:rFonts w:ascii="宋体" w:hAnsi="宋体" w:cs="宋体"/>
                <w:sz w:val="24"/>
              </w:rPr>
            </w:pPr>
          </w:p>
        </w:tc>
        <w:tc>
          <w:tcPr>
            <w:tcW w:w="3240" w:type="dxa"/>
            <w:vAlign w:val="center"/>
          </w:tcPr>
          <w:p>
            <w:pPr>
              <w:spacing w:line="320" w:lineRule="exact"/>
              <w:jc w:val="center"/>
              <w:rPr>
                <w:rFonts w:ascii="宋体" w:hAnsi="宋体" w:cs="宋体"/>
                <w:sz w:val="24"/>
              </w:rPr>
            </w:pPr>
          </w:p>
        </w:tc>
        <w:tc>
          <w:tcPr>
            <w:tcW w:w="1140" w:type="dxa"/>
            <w:vAlign w:val="center"/>
          </w:tcPr>
          <w:p>
            <w:pPr>
              <w:jc w:val="center"/>
              <w:rPr>
                <w:rFonts w:ascii="宋体" w:hAnsi="宋体"/>
                <w:sz w:val="24"/>
              </w:rPr>
            </w:pPr>
          </w:p>
        </w:tc>
        <w:tc>
          <w:tcPr>
            <w:tcW w:w="1020" w:type="dxa"/>
            <w:vAlign w:val="center"/>
          </w:tcPr>
          <w:p>
            <w:pPr>
              <w:jc w:val="center"/>
              <w:rPr>
                <w:rFonts w:ascii="宋体" w:hAnsi="宋体"/>
                <w:sz w:val="24"/>
              </w:rPr>
            </w:pPr>
          </w:p>
        </w:tc>
        <w:tc>
          <w:tcPr>
            <w:tcW w:w="1155" w:type="dxa"/>
            <w:vAlign w:val="center"/>
          </w:tcPr>
          <w:p>
            <w:pPr>
              <w:jc w:val="center"/>
              <w:rPr>
                <w:rFonts w:ascii="宋体" w:hAnsi="宋体"/>
                <w:sz w:val="24"/>
              </w:rPr>
            </w:pPr>
          </w:p>
        </w:tc>
        <w:tc>
          <w:tcPr>
            <w:tcW w:w="1155" w:type="dxa"/>
            <w:vAlign w:val="center"/>
          </w:tcPr>
          <w:p>
            <w:pPr>
              <w:jc w:val="center"/>
              <w:rPr>
                <w:rFonts w:ascii="宋体" w:hAnsi="宋体"/>
                <w:sz w:val="24"/>
              </w:rPr>
            </w:pPr>
          </w:p>
        </w:tc>
        <w:tc>
          <w:tcPr>
            <w:tcW w:w="82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8" w:type="dxa"/>
            <w:vAlign w:val="center"/>
          </w:tcPr>
          <w:p>
            <w:pPr>
              <w:spacing w:line="320" w:lineRule="exact"/>
              <w:jc w:val="center"/>
              <w:rPr>
                <w:rFonts w:ascii="宋体" w:hAnsi="宋体" w:cs="宋体"/>
                <w:sz w:val="24"/>
              </w:rPr>
            </w:pPr>
          </w:p>
        </w:tc>
        <w:tc>
          <w:tcPr>
            <w:tcW w:w="3240" w:type="dxa"/>
            <w:vAlign w:val="center"/>
          </w:tcPr>
          <w:p>
            <w:pPr>
              <w:spacing w:line="320" w:lineRule="exact"/>
              <w:jc w:val="center"/>
              <w:rPr>
                <w:rFonts w:ascii="宋体" w:hAnsi="宋体" w:cs="宋体"/>
                <w:sz w:val="24"/>
              </w:rPr>
            </w:pPr>
          </w:p>
        </w:tc>
        <w:tc>
          <w:tcPr>
            <w:tcW w:w="1140" w:type="dxa"/>
            <w:vAlign w:val="center"/>
          </w:tcPr>
          <w:p>
            <w:pPr>
              <w:jc w:val="center"/>
              <w:rPr>
                <w:rFonts w:ascii="宋体" w:hAnsi="宋体"/>
                <w:sz w:val="24"/>
              </w:rPr>
            </w:pPr>
          </w:p>
        </w:tc>
        <w:tc>
          <w:tcPr>
            <w:tcW w:w="1020" w:type="dxa"/>
            <w:vAlign w:val="center"/>
          </w:tcPr>
          <w:p>
            <w:pPr>
              <w:jc w:val="center"/>
              <w:rPr>
                <w:rFonts w:ascii="宋体" w:hAnsi="宋体"/>
                <w:sz w:val="24"/>
              </w:rPr>
            </w:pPr>
          </w:p>
        </w:tc>
        <w:tc>
          <w:tcPr>
            <w:tcW w:w="1155" w:type="dxa"/>
            <w:vAlign w:val="center"/>
          </w:tcPr>
          <w:p>
            <w:pPr>
              <w:jc w:val="center"/>
              <w:rPr>
                <w:rFonts w:ascii="宋体" w:hAnsi="宋体"/>
                <w:sz w:val="24"/>
              </w:rPr>
            </w:pPr>
          </w:p>
        </w:tc>
        <w:tc>
          <w:tcPr>
            <w:tcW w:w="1155" w:type="dxa"/>
            <w:vAlign w:val="center"/>
          </w:tcPr>
          <w:p>
            <w:pPr>
              <w:jc w:val="center"/>
              <w:rPr>
                <w:rFonts w:ascii="宋体" w:hAnsi="宋体"/>
                <w:sz w:val="24"/>
              </w:rPr>
            </w:pPr>
          </w:p>
        </w:tc>
        <w:tc>
          <w:tcPr>
            <w:tcW w:w="821"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8" w:type="dxa"/>
            <w:vAlign w:val="center"/>
          </w:tcPr>
          <w:p>
            <w:pPr>
              <w:spacing w:line="320" w:lineRule="exact"/>
              <w:jc w:val="center"/>
              <w:rPr>
                <w:rFonts w:ascii="宋体" w:hAnsi="宋体" w:cs="宋体"/>
                <w:sz w:val="24"/>
              </w:rPr>
            </w:pPr>
          </w:p>
        </w:tc>
        <w:tc>
          <w:tcPr>
            <w:tcW w:w="3240" w:type="dxa"/>
            <w:vAlign w:val="center"/>
          </w:tcPr>
          <w:p>
            <w:pPr>
              <w:spacing w:line="320" w:lineRule="exact"/>
              <w:jc w:val="center"/>
              <w:rPr>
                <w:rFonts w:ascii="宋体" w:hAnsi="宋体" w:cs="宋体"/>
                <w:sz w:val="24"/>
              </w:rPr>
            </w:pPr>
            <w:r>
              <w:rPr>
                <w:rFonts w:hint="eastAsia" w:ascii="宋体" w:hAnsi="宋体"/>
                <w:sz w:val="24"/>
              </w:rPr>
              <w:t>投标报价合计金额小写：</w:t>
            </w:r>
          </w:p>
        </w:tc>
        <w:tc>
          <w:tcPr>
            <w:tcW w:w="5291" w:type="dxa"/>
            <w:gridSpan w:val="5"/>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798" w:type="dxa"/>
            <w:vAlign w:val="center"/>
          </w:tcPr>
          <w:p>
            <w:pPr>
              <w:spacing w:line="320" w:lineRule="exact"/>
              <w:jc w:val="center"/>
              <w:rPr>
                <w:rFonts w:ascii="宋体" w:hAnsi="宋体" w:cs="宋体"/>
                <w:sz w:val="24"/>
              </w:rPr>
            </w:pPr>
          </w:p>
        </w:tc>
        <w:tc>
          <w:tcPr>
            <w:tcW w:w="3240" w:type="dxa"/>
            <w:vAlign w:val="center"/>
          </w:tcPr>
          <w:p>
            <w:pPr>
              <w:widowControl/>
              <w:jc w:val="center"/>
              <w:rPr>
                <w:rFonts w:ascii="宋体" w:hAnsi="宋体" w:cs="宋体"/>
                <w:kern w:val="0"/>
                <w:sz w:val="24"/>
              </w:rPr>
            </w:pPr>
            <w:r>
              <w:rPr>
                <w:rFonts w:hint="eastAsia" w:ascii="宋体" w:hAnsi="宋体" w:cs="宋体"/>
                <w:kern w:val="0"/>
                <w:sz w:val="24"/>
              </w:rPr>
              <w:t>投标报价合计金额大写：</w:t>
            </w:r>
          </w:p>
        </w:tc>
        <w:tc>
          <w:tcPr>
            <w:tcW w:w="5291" w:type="dxa"/>
            <w:gridSpan w:val="5"/>
            <w:vAlign w:val="center"/>
          </w:tcPr>
          <w:p>
            <w:pPr>
              <w:widowControl/>
              <w:rPr>
                <w:rFonts w:ascii="宋体" w:hAnsi="宋体"/>
                <w:sz w:val="24"/>
              </w:rPr>
            </w:pPr>
          </w:p>
        </w:tc>
      </w:tr>
    </w:tbl>
    <w:p>
      <w:pPr>
        <w:snapToGrid w:val="0"/>
        <w:spacing w:before="50" w:after="50" w:line="360" w:lineRule="exact"/>
        <w:ind w:firstLine="480" w:firstLineChars="200"/>
        <w:jc w:val="left"/>
        <w:rPr>
          <w:rFonts w:ascii="宋体" w:hAnsi="宋体"/>
          <w:sz w:val="24"/>
        </w:rPr>
      </w:pPr>
      <w:r>
        <w:rPr>
          <w:rFonts w:hint="eastAsia" w:ascii="宋体" w:hAnsi="宋体"/>
          <w:sz w:val="24"/>
        </w:rPr>
        <w:t>注:本表格供参考，供应商可根据项目实际情况自拟表格。</w:t>
      </w:r>
    </w:p>
    <w:p>
      <w:pPr>
        <w:snapToGrid w:val="0"/>
        <w:spacing w:before="50" w:after="50" w:line="360" w:lineRule="exact"/>
        <w:ind w:left="-2" w:leftChars="-1" w:right="-817" w:rightChars="-389" w:firstLine="240" w:firstLineChars="100"/>
        <w:rPr>
          <w:rFonts w:ascii="宋体" w:hAnsi="宋体"/>
          <w:sz w:val="24"/>
        </w:rPr>
      </w:pPr>
    </w:p>
    <w:p>
      <w:pPr>
        <w:adjustRightInd w:val="0"/>
        <w:snapToGrid w:val="0"/>
        <w:spacing w:line="300" w:lineRule="auto"/>
        <w:ind w:firstLine="420" w:firstLineChars="200"/>
        <w:rPr>
          <w:rFonts w:ascii="宋体" w:hAnsi="宋体" w:cs="Arial"/>
          <w:szCs w:val="21"/>
        </w:rPr>
      </w:pPr>
    </w:p>
    <w:p>
      <w:pPr>
        <w:adjustRightInd w:val="0"/>
        <w:snapToGrid w:val="0"/>
        <w:spacing w:line="300" w:lineRule="auto"/>
        <w:ind w:firstLine="420" w:firstLineChars="200"/>
        <w:rPr>
          <w:rFonts w:ascii="宋体" w:hAnsi="宋体" w:cs="Arial"/>
          <w:szCs w:val="21"/>
        </w:rPr>
      </w:pPr>
    </w:p>
    <w:p>
      <w:pPr>
        <w:autoSpaceDE w:val="0"/>
        <w:autoSpaceDN w:val="0"/>
        <w:adjustRightInd w:val="0"/>
        <w:spacing w:line="440" w:lineRule="atLeast"/>
        <w:ind w:firstLine="482" w:firstLineChars="201"/>
        <w:rPr>
          <w:rFonts w:ascii="宋体" w:hAnsi="宋体"/>
          <w:kern w:val="0"/>
          <w:sz w:val="24"/>
          <w:lang w:val="zh-CN"/>
        </w:rPr>
      </w:pPr>
      <w:r>
        <w:rPr>
          <w:rFonts w:hint="eastAsia" w:ascii="宋体" w:hAnsi="宋体"/>
          <w:kern w:val="0"/>
          <w:sz w:val="24"/>
          <w:lang w:val="zh-CN"/>
        </w:rPr>
        <w:t>供应商全称（盖章）：</w:t>
      </w:r>
    </w:p>
    <w:p>
      <w:pPr>
        <w:autoSpaceDE w:val="0"/>
        <w:autoSpaceDN w:val="0"/>
        <w:adjustRightInd w:val="0"/>
        <w:spacing w:line="440" w:lineRule="atLeast"/>
        <w:rPr>
          <w:rFonts w:ascii="宋体" w:hAnsi="宋体"/>
          <w:kern w:val="0"/>
          <w:sz w:val="24"/>
          <w:lang w:val="zh-CN"/>
        </w:rPr>
      </w:pPr>
    </w:p>
    <w:p>
      <w:pPr>
        <w:autoSpaceDE w:val="0"/>
        <w:autoSpaceDN w:val="0"/>
        <w:adjustRightInd w:val="0"/>
        <w:spacing w:line="440" w:lineRule="atLeast"/>
        <w:ind w:firstLine="482" w:firstLineChars="201"/>
        <w:rPr>
          <w:rFonts w:ascii="宋体" w:hAnsi="宋体"/>
          <w:kern w:val="0"/>
          <w:sz w:val="24"/>
          <w:lang w:val="zh-CN"/>
        </w:rPr>
      </w:pPr>
      <w:r>
        <w:rPr>
          <w:rFonts w:hint="eastAsia" w:ascii="宋体" w:hAnsi="宋体"/>
          <w:kern w:val="0"/>
          <w:sz w:val="24"/>
          <w:lang w:val="zh-CN"/>
        </w:rPr>
        <w:t>法定代表人或授权代表（签字或盖章）：</w:t>
      </w:r>
    </w:p>
    <w:p>
      <w:pPr>
        <w:widowControl/>
        <w:ind w:firstLine="480" w:firstLineChars="200"/>
        <w:jc w:val="left"/>
        <w:rPr>
          <w:rFonts w:ascii="宋体" w:hAnsi="宋体"/>
          <w:kern w:val="0"/>
          <w:sz w:val="24"/>
          <w:lang w:val="zh-CN"/>
        </w:rPr>
      </w:pPr>
    </w:p>
    <w:p>
      <w:pPr>
        <w:widowControl/>
        <w:ind w:firstLine="480" w:firstLineChars="200"/>
        <w:jc w:val="left"/>
        <w:rPr>
          <w:rFonts w:ascii="宋体" w:hAnsi="宋体"/>
          <w:kern w:val="0"/>
          <w:sz w:val="24"/>
          <w:lang w:val="zh-CN"/>
        </w:rPr>
      </w:pPr>
    </w:p>
    <w:p>
      <w:pPr>
        <w:widowControl/>
        <w:ind w:firstLine="480" w:firstLineChars="200"/>
        <w:jc w:val="left"/>
        <w:rPr>
          <w:rFonts w:ascii="仿宋" w:hAnsi="仿宋" w:eastAsia="仿宋"/>
          <w:sz w:val="24"/>
        </w:rPr>
      </w:pPr>
      <w:r>
        <w:rPr>
          <w:rFonts w:hint="eastAsia" w:ascii="宋体" w:hAnsi="宋体"/>
          <w:kern w:val="0"/>
          <w:sz w:val="24"/>
          <w:lang w:val="zh-CN"/>
        </w:rPr>
        <w:t>日期：</w:t>
      </w:r>
    </w:p>
    <w:p>
      <w:pPr>
        <w:pStyle w:val="2"/>
        <w:ind w:firstLine="210"/>
      </w:pPr>
    </w:p>
    <w:p>
      <w:pPr>
        <w:rPr>
          <w:rFonts w:ascii="Times New Roman" w:hAnsi="Times New Roman"/>
          <w:b/>
          <w:bCs/>
        </w:rPr>
      </w:pPr>
      <w:r>
        <w:rPr>
          <w:rFonts w:ascii="Times New Roman" w:hAnsi="Times New Roman"/>
          <w:b/>
          <w:bCs/>
        </w:rPr>
        <w:br w:type="page"/>
      </w:r>
      <w:r>
        <w:rPr>
          <w:rFonts w:hint="eastAsia" w:ascii="宋体" w:hAnsi="宋体" w:cs="宋体"/>
          <w:b/>
          <w:szCs w:val="21"/>
        </w:rPr>
        <w:t>格式</w:t>
      </w:r>
      <w:r>
        <w:rPr>
          <w:rFonts w:hint="eastAsia" w:ascii="Times New Roman" w:hAnsi="Times New Roman"/>
          <w:b/>
          <w:bCs/>
        </w:rPr>
        <w:t>三</w:t>
      </w:r>
      <w:r>
        <w:rPr>
          <w:rFonts w:ascii="Times New Roman" w:hAnsi="Times New Roman"/>
          <w:b/>
          <w:bCs/>
        </w:rPr>
        <w:t>、中小企业声明函</w:t>
      </w:r>
    </w:p>
    <w:p>
      <w:pPr>
        <w:widowControl/>
        <w:jc w:val="center"/>
        <w:rPr>
          <w:rFonts w:ascii="Times New Roman" w:hAnsi="Times New Roman"/>
          <w:color w:val="000000"/>
          <w:szCs w:val="21"/>
        </w:rPr>
      </w:pPr>
      <w:r>
        <w:rPr>
          <w:rFonts w:hint="eastAsia" w:ascii="宋体" w:hAnsi="宋体" w:cs="宋体"/>
          <w:b/>
          <w:color w:val="000000"/>
          <w:kern w:val="0"/>
          <w:szCs w:val="21"/>
        </w:rPr>
        <w:t>中小企业声明函（其他未</w:t>
      </w:r>
      <w:r>
        <w:rPr>
          <w:rFonts w:ascii="宋体" w:hAnsi="宋体" w:cs="宋体"/>
          <w:b/>
          <w:color w:val="000000"/>
          <w:kern w:val="0"/>
          <w:szCs w:val="21"/>
        </w:rPr>
        <w:t>列明行业</w:t>
      </w:r>
      <w:r>
        <w:rPr>
          <w:rFonts w:hint="eastAsia" w:ascii="宋体" w:hAnsi="宋体" w:cs="宋体"/>
          <w:b/>
          <w:color w:val="000000"/>
          <w:kern w:val="0"/>
          <w:szCs w:val="21"/>
        </w:rPr>
        <w:t>）</w:t>
      </w:r>
    </w:p>
    <w:p>
      <w:pPr>
        <w:widowControl/>
        <w:spacing w:line="480" w:lineRule="auto"/>
        <w:ind w:firstLine="420" w:firstLineChars="200"/>
        <w:rPr>
          <w:rFonts w:ascii="宋体" w:hAnsi="宋体" w:cs="宋体"/>
          <w:szCs w:val="21"/>
        </w:rPr>
      </w:pPr>
      <w:r>
        <w:rPr>
          <w:rFonts w:hint="eastAsia" w:ascii="宋体" w:hAnsi="宋体" w:cs="宋体"/>
          <w:color w:val="000000"/>
          <w:kern w:val="0"/>
          <w:szCs w:val="21"/>
        </w:rPr>
        <w:t>本公司郑重声明，根据《政府采购促进中小企业发展管理办法》（财库﹝2020﹞46 号）的规定，本公司参加</w:t>
      </w:r>
      <w:r>
        <w:rPr>
          <w:rFonts w:hint="eastAsia" w:ascii="宋体" w:hAnsi="宋体" w:cs="宋体"/>
          <w:i/>
          <w:color w:val="000000"/>
          <w:kern w:val="0"/>
          <w:szCs w:val="21"/>
          <w:u w:val="single"/>
        </w:rPr>
        <w:t>（单位名称）</w:t>
      </w:r>
      <w:r>
        <w:rPr>
          <w:rFonts w:hint="eastAsia" w:ascii="宋体" w:hAnsi="宋体" w:cs="宋体"/>
          <w:color w:val="000000"/>
          <w:kern w:val="0"/>
          <w:szCs w:val="21"/>
        </w:rPr>
        <w:t>的</w:t>
      </w:r>
      <w:r>
        <w:rPr>
          <w:rFonts w:hint="eastAsia" w:ascii="宋体" w:hAnsi="宋体" w:cs="宋体"/>
          <w:i/>
          <w:color w:val="000000"/>
          <w:kern w:val="0"/>
          <w:szCs w:val="21"/>
          <w:u w:val="single"/>
        </w:rPr>
        <w:t>（项目名称）</w:t>
      </w:r>
      <w:r>
        <w:rPr>
          <w:rFonts w:hint="eastAsia" w:ascii="宋体" w:hAnsi="宋体" w:cs="宋体"/>
          <w:color w:val="000000"/>
          <w:kern w:val="0"/>
          <w:szCs w:val="21"/>
        </w:rPr>
        <w:t>采购活动，服务全部由符合政策要求的中小企业承接。相关企业的具体情况如下：</w:t>
      </w:r>
    </w:p>
    <w:p>
      <w:pPr>
        <w:widowControl/>
        <w:spacing w:line="480" w:lineRule="auto"/>
        <w:ind w:firstLine="420" w:firstLineChars="200"/>
        <w:rPr>
          <w:rFonts w:ascii="宋体" w:hAnsi="宋体" w:cs="宋体"/>
          <w:szCs w:val="21"/>
        </w:rPr>
      </w:pPr>
      <w:r>
        <w:rPr>
          <w:rFonts w:hint="eastAsia" w:ascii="宋体" w:hAnsi="宋体" w:cs="宋体"/>
          <w:color w:val="000000"/>
          <w:kern w:val="0"/>
          <w:szCs w:val="21"/>
        </w:rPr>
        <w:t>1.</w:t>
      </w:r>
      <w:r>
        <w:rPr>
          <w:rFonts w:hint="eastAsia" w:ascii="宋体" w:hAnsi="宋体" w:cs="宋体"/>
          <w:i/>
          <w:color w:val="000000"/>
          <w:kern w:val="0"/>
          <w:szCs w:val="21"/>
          <w:u w:val="single"/>
        </w:rPr>
        <w:t>（标的名称）</w:t>
      </w:r>
      <w:r>
        <w:rPr>
          <w:rFonts w:hint="eastAsia" w:ascii="宋体" w:hAnsi="宋体" w:cs="宋体"/>
          <w:color w:val="000000"/>
          <w:kern w:val="0"/>
          <w:szCs w:val="21"/>
        </w:rPr>
        <w:t>，属于</w:t>
      </w:r>
      <w:r>
        <w:rPr>
          <w:rFonts w:hint="eastAsia" w:ascii="宋体" w:hAnsi="宋体" w:cs="宋体"/>
          <w:i/>
          <w:color w:val="000000"/>
          <w:kern w:val="0"/>
          <w:szCs w:val="21"/>
          <w:u w:val="single"/>
        </w:rPr>
        <w:t>（采购文件中明确的所属行业）</w:t>
      </w:r>
      <w:r>
        <w:rPr>
          <w:rFonts w:hint="eastAsia" w:ascii="宋体" w:hAnsi="宋体" w:cs="宋体"/>
          <w:color w:val="000000"/>
          <w:kern w:val="0"/>
          <w:szCs w:val="21"/>
        </w:rPr>
        <w:t>；承接企业为</w:t>
      </w:r>
      <w:r>
        <w:rPr>
          <w:rFonts w:hint="eastAsia" w:ascii="宋体" w:hAnsi="宋体" w:cs="宋体"/>
          <w:i/>
          <w:color w:val="000000"/>
          <w:kern w:val="0"/>
          <w:szCs w:val="21"/>
          <w:u w:val="single"/>
        </w:rPr>
        <w:t>（企业名称）</w:t>
      </w:r>
      <w:r>
        <w:rPr>
          <w:rFonts w:hint="eastAsia" w:ascii="宋体" w:hAnsi="宋体" w:cs="宋体"/>
          <w:color w:val="000000"/>
          <w:kern w:val="0"/>
          <w:szCs w:val="21"/>
        </w:rPr>
        <w:t>，从业人员人，营业收入为万元，资产总额为万元，属于</w:t>
      </w:r>
      <w:r>
        <w:rPr>
          <w:rFonts w:hint="eastAsia" w:ascii="宋体" w:hAnsi="宋体" w:cs="宋体"/>
          <w:i/>
          <w:color w:val="000000"/>
          <w:kern w:val="0"/>
          <w:szCs w:val="21"/>
          <w:u w:val="single"/>
        </w:rPr>
        <w:t>（中型企业、小型企业、微型企业）</w:t>
      </w:r>
      <w:r>
        <w:rPr>
          <w:rFonts w:hint="eastAsia" w:ascii="宋体" w:hAnsi="宋体" w:cs="宋体"/>
          <w:color w:val="000000"/>
          <w:kern w:val="0"/>
          <w:szCs w:val="21"/>
        </w:rPr>
        <w:t xml:space="preserve">； </w:t>
      </w:r>
    </w:p>
    <w:p>
      <w:pPr>
        <w:widowControl/>
        <w:spacing w:line="480" w:lineRule="auto"/>
        <w:ind w:firstLine="420" w:firstLineChars="200"/>
        <w:rPr>
          <w:rFonts w:ascii="宋体" w:hAnsi="宋体" w:cs="宋体"/>
          <w:szCs w:val="21"/>
        </w:rPr>
      </w:pPr>
      <w:r>
        <w:rPr>
          <w:rFonts w:hint="eastAsia" w:ascii="宋体" w:hAnsi="宋体" w:cs="宋体"/>
          <w:color w:val="000000"/>
          <w:kern w:val="0"/>
          <w:szCs w:val="21"/>
        </w:rPr>
        <w:t>2.</w:t>
      </w:r>
      <w:r>
        <w:rPr>
          <w:rFonts w:hint="eastAsia" w:ascii="宋体" w:hAnsi="宋体" w:cs="宋体"/>
          <w:i/>
          <w:color w:val="000000"/>
          <w:kern w:val="0"/>
          <w:szCs w:val="21"/>
          <w:u w:val="single"/>
        </w:rPr>
        <w:t>（标的名称）</w:t>
      </w:r>
      <w:r>
        <w:rPr>
          <w:rFonts w:hint="eastAsia" w:ascii="宋体" w:hAnsi="宋体" w:cs="宋体"/>
          <w:color w:val="000000"/>
          <w:kern w:val="0"/>
          <w:szCs w:val="21"/>
        </w:rPr>
        <w:t>，属于</w:t>
      </w:r>
      <w:r>
        <w:rPr>
          <w:rFonts w:hint="eastAsia" w:ascii="宋体" w:hAnsi="宋体" w:cs="宋体"/>
          <w:i/>
          <w:color w:val="000000"/>
          <w:kern w:val="0"/>
          <w:szCs w:val="21"/>
          <w:u w:val="single"/>
        </w:rPr>
        <w:t>（采购文件中明确的所属行业）</w:t>
      </w:r>
      <w:r>
        <w:rPr>
          <w:rFonts w:hint="eastAsia" w:ascii="宋体" w:hAnsi="宋体" w:cs="宋体"/>
          <w:color w:val="000000"/>
          <w:kern w:val="0"/>
          <w:szCs w:val="21"/>
        </w:rPr>
        <w:t>；承接企业为</w:t>
      </w:r>
      <w:r>
        <w:rPr>
          <w:rFonts w:hint="eastAsia" w:ascii="宋体" w:hAnsi="宋体" w:cs="宋体"/>
          <w:i/>
          <w:color w:val="000000"/>
          <w:kern w:val="0"/>
          <w:szCs w:val="21"/>
          <w:u w:val="single"/>
        </w:rPr>
        <w:t>（企业名称）</w:t>
      </w:r>
      <w:r>
        <w:rPr>
          <w:rFonts w:hint="eastAsia" w:ascii="宋体" w:hAnsi="宋体" w:cs="宋体"/>
          <w:color w:val="000000"/>
          <w:kern w:val="0"/>
          <w:szCs w:val="21"/>
        </w:rPr>
        <w:t>，从业人员人，营业收入为万元，资产总额为万元，属于</w:t>
      </w:r>
      <w:r>
        <w:rPr>
          <w:rFonts w:hint="eastAsia" w:ascii="宋体" w:hAnsi="宋体" w:cs="宋体"/>
          <w:i/>
          <w:color w:val="000000"/>
          <w:kern w:val="0"/>
          <w:szCs w:val="21"/>
          <w:u w:val="single"/>
        </w:rPr>
        <w:t>（中型企业、小型企业、微型企业）</w:t>
      </w:r>
      <w:r>
        <w:rPr>
          <w:rFonts w:hint="eastAsia" w:ascii="宋体" w:hAnsi="宋体" w:cs="宋体"/>
          <w:color w:val="000000"/>
          <w:kern w:val="0"/>
          <w:szCs w:val="21"/>
        </w:rPr>
        <w:t xml:space="preserve">； </w:t>
      </w:r>
    </w:p>
    <w:p>
      <w:pPr>
        <w:widowControl/>
        <w:spacing w:line="480" w:lineRule="auto"/>
        <w:ind w:firstLine="420" w:firstLineChars="200"/>
        <w:rPr>
          <w:rFonts w:ascii="宋体" w:hAnsi="宋体" w:cs="宋体"/>
          <w:szCs w:val="21"/>
        </w:rPr>
      </w:pPr>
      <w:r>
        <w:rPr>
          <w:rFonts w:hint="eastAsia" w:ascii="宋体" w:hAnsi="宋体" w:cs="宋体"/>
          <w:color w:val="000000"/>
          <w:kern w:val="0"/>
          <w:szCs w:val="21"/>
        </w:rPr>
        <w:t>……</w:t>
      </w:r>
    </w:p>
    <w:p>
      <w:pPr>
        <w:widowControl/>
        <w:spacing w:line="480" w:lineRule="auto"/>
        <w:ind w:firstLine="420" w:firstLineChars="200"/>
        <w:rPr>
          <w:rFonts w:ascii="宋体" w:hAnsi="宋体" w:cs="宋体"/>
          <w:szCs w:val="21"/>
        </w:rPr>
      </w:pPr>
      <w:r>
        <w:rPr>
          <w:rFonts w:hint="eastAsia" w:ascii="宋体" w:hAnsi="宋体" w:cs="宋体"/>
          <w:color w:val="000000"/>
          <w:kern w:val="0"/>
          <w:szCs w:val="21"/>
        </w:rPr>
        <w:t>以上企业，不属于大企业的分支机构，不存在控股股东为大企业的情形，也不存在与大企业的负责人为同一人的情形。</w:t>
      </w:r>
    </w:p>
    <w:p>
      <w:pPr>
        <w:widowControl/>
        <w:spacing w:line="480" w:lineRule="auto"/>
        <w:ind w:firstLine="420" w:firstLineChars="200"/>
        <w:rPr>
          <w:rFonts w:ascii="宋体" w:hAnsi="宋体" w:cs="宋体"/>
          <w:szCs w:val="21"/>
        </w:rPr>
      </w:pPr>
      <w:r>
        <w:rPr>
          <w:rFonts w:hint="eastAsia" w:ascii="宋体" w:hAnsi="宋体" w:cs="宋体"/>
          <w:color w:val="000000"/>
          <w:kern w:val="0"/>
          <w:szCs w:val="21"/>
        </w:rPr>
        <w:t xml:space="preserve">本企业对上述声明内容的真实性负责。如有虚假，将依法承担相应责任。 </w:t>
      </w:r>
    </w:p>
    <w:p>
      <w:pPr>
        <w:widowControl/>
        <w:spacing w:line="480" w:lineRule="auto"/>
        <w:ind w:firstLine="2520" w:firstLineChars="1200"/>
        <w:rPr>
          <w:rFonts w:ascii="宋体" w:hAnsi="宋体" w:cs="宋体"/>
          <w:szCs w:val="21"/>
        </w:rPr>
      </w:pPr>
      <w:r>
        <w:rPr>
          <w:rFonts w:hint="eastAsia" w:ascii="宋体" w:hAnsi="宋体" w:cs="宋体"/>
          <w:color w:val="000000"/>
          <w:kern w:val="0"/>
          <w:szCs w:val="21"/>
        </w:rPr>
        <w:t xml:space="preserve">企业名称（盖章）： </w:t>
      </w:r>
    </w:p>
    <w:p>
      <w:pPr>
        <w:widowControl/>
        <w:spacing w:line="480" w:lineRule="auto"/>
        <w:ind w:firstLine="2520" w:firstLineChars="1200"/>
        <w:rPr>
          <w:rFonts w:ascii="宋体" w:hAnsi="宋体" w:cs="宋体"/>
          <w:szCs w:val="21"/>
        </w:rPr>
      </w:pPr>
      <w:r>
        <w:rPr>
          <w:rFonts w:hint="eastAsia" w:ascii="宋体" w:hAnsi="宋体" w:cs="宋体"/>
          <w:color w:val="000000"/>
          <w:kern w:val="0"/>
          <w:szCs w:val="21"/>
        </w:rPr>
        <w:t xml:space="preserve">日 期： </w:t>
      </w:r>
    </w:p>
    <w:p>
      <w:pPr>
        <w:spacing w:line="360" w:lineRule="auto"/>
        <w:rPr>
          <w:rFonts w:ascii="宋体" w:hAnsi="宋体" w:cs="宋体"/>
          <w:b/>
          <w:spacing w:val="20"/>
          <w:szCs w:val="21"/>
        </w:rPr>
      </w:pPr>
      <w:r>
        <w:rPr>
          <w:rFonts w:hint="eastAsia" w:ascii="宋体" w:hAnsi="宋体" w:cs="宋体"/>
          <w:b/>
          <w:spacing w:val="20"/>
          <w:szCs w:val="21"/>
        </w:rPr>
        <w:t>注：1.从业人员、营业收入、资产总额填报上一年度数据，无上一年度数据的新成立企业可不填报。</w:t>
      </w:r>
    </w:p>
    <w:p>
      <w:pPr>
        <w:snapToGrid w:val="0"/>
        <w:spacing w:line="360" w:lineRule="auto"/>
        <w:ind w:firstLine="422" w:firstLineChars="200"/>
        <w:rPr>
          <w:rFonts w:ascii="宋体" w:hAnsi="宋体" w:cs="宋体"/>
          <w:b/>
          <w:szCs w:val="21"/>
        </w:rPr>
      </w:pPr>
      <w:r>
        <w:rPr>
          <w:rFonts w:hint="eastAsia" w:ascii="宋体" w:hAnsi="宋体" w:cs="宋体"/>
          <w:b/>
          <w:szCs w:val="21"/>
        </w:rPr>
        <w:t>2.中标、成交供应商享受《政府采购促进中小企业发展管理办法》（财库[2020]46号）规定的中小企业扶持政策的，《中小企业声明函》随中标、成交结果公开。</w:t>
      </w:r>
    </w:p>
    <w:p>
      <w:pPr>
        <w:snapToGrid w:val="0"/>
        <w:spacing w:line="360" w:lineRule="auto"/>
        <w:ind w:firstLine="422" w:firstLineChars="200"/>
        <w:rPr>
          <w:rFonts w:ascii="宋体" w:hAnsi="宋体" w:cs="宋体"/>
          <w:b/>
          <w:szCs w:val="21"/>
        </w:rPr>
      </w:pPr>
      <w:r>
        <w:rPr>
          <w:rFonts w:hint="eastAsia" w:ascii="宋体" w:hAnsi="宋体" w:cs="宋体"/>
          <w:b/>
          <w:szCs w:val="21"/>
        </w:rPr>
        <w:t>3.供应商应当按照《政府采购促进中小企业发展管理办法》（财库[2020]46号）规定和《中小企业划型标准规定》（工信部联企业〔2011〕300号），如实填写并提交《中小企业声明函》。供应商对其声明内容的真实性负责，声明函内容不实的，属于提供虚假材料谋取中标、成交，依照《中华人民共和国政府采购法》等国家有关规定追究相应责任。</w:t>
      </w:r>
    </w:p>
    <w:p>
      <w:pPr>
        <w:pStyle w:val="3"/>
        <w:rPr>
          <w:rFonts w:ascii="Times New Roman" w:hAnsi="Times New Roman"/>
        </w:rPr>
      </w:pPr>
      <w:r>
        <w:rPr>
          <w:rFonts w:hint="eastAsia" w:ascii="宋体" w:hAnsi="宋体" w:cs="宋体"/>
          <w:b/>
          <w:szCs w:val="21"/>
        </w:rPr>
        <w:br w:type="page"/>
      </w:r>
    </w:p>
    <w:p>
      <w:pPr>
        <w:snapToGrid w:val="0"/>
        <w:spacing w:before="50" w:after="159" w:afterLines="50"/>
        <w:jc w:val="left"/>
        <w:rPr>
          <w:rFonts w:ascii="宋体" w:hAnsi="宋体" w:cs="宋体"/>
          <w:b/>
          <w:szCs w:val="21"/>
        </w:rPr>
      </w:pPr>
      <w:r>
        <w:rPr>
          <w:rFonts w:hint="eastAsia" w:ascii="宋体" w:hAnsi="宋体" w:cs="宋体"/>
          <w:b/>
          <w:szCs w:val="21"/>
        </w:rPr>
        <w:t>格式四、</w:t>
      </w:r>
      <w:bookmarkStart w:id="9" w:name="OLE_LINK13"/>
      <w:bookmarkStart w:id="10" w:name="OLE_LINK14"/>
      <w:r>
        <w:rPr>
          <w:rFonts w:hint="eastAsia" w:ascii="宋体" w:hAnsi="宋体" w:cs="宋体"/>
          <w:b/>
          <w:bCs/>
          <w:szCs w:val="21"/>
        </w:rPr>
        <w:t>残疾人福利性单位声明函</w:t>
      </w:r>
    </w:p>
    <w:bookmarkEnd w:id="9"/>
    <w:bookmarkEnd w:id="10"/>
    <w:p>
      <w:pPr>
        <w:widowControl/>
        <w:spacing w:line="588" w:lineRule="atLeast"/>
        <w:jc w:val="center"/>
        <w:rPr>
          <w:rFonts w:ascii="宋体" w:hAnsi="宋体" w:cs="宋体"/>
          <w:b/>
          <w:spacing w:val="6"/>
          <w:kern w:val="0"/>
          <w:szCs w:val="21"/>
        </w:rPr>
      </w:pPr>
      <w:r>
        <w:rPr>
          <w:rFonts w:hint="eastAsia" w:ascii="宋体" w:hAnsi="宋体" w:cs="宋体"/>
          <w:b/>
          <w:spacing w:val="6"/>
          <w:kern w:val="0"/>
          <w:szCs w:val="21"/>
        </w:rPr>
        <w:t>残疾人福利性单位声明函（服务）</w:t>
      </w:r>
    </w:p>
    <w:p>
      <w:pPr>
        <w:widowControl/>
        <w:spacing w:before="319" w:beforeLines="100" w:line="500" w:lineRule="exact"/>
        <w:ind w:firstLine="601"/>
        <w:rPr>
          <w:rFonts w:ascii="宋体" w:hAnsi="宋体" w:cs="宋体"/>
          <w:szCs w:val="21"/>
        </w:rPr>
      </w:pPr>
      <w:r>
        <w:rPr>
          <w:rFonts w:hint="eastAsia" w:ascii="宋体" w:hAnsi="宋体" w:cs="宋体"/>
          <w:szCs w:val="21"/>
        </w:rPr>
        <w:t>本单位郑重声明，根据《财政部 民政部 中国残疾人联合会关于促进残疾人就业政府采购政策的通知》（财库〔2017〕141号）的规定，本单位为符合条件的残疾人福利性单位，且本单位参加______单位的______项目采购活动由本单位提供服务。</w:t>
      </w:r>
    </w:p>
    <w:p>
      <w:pPr>
        <w:widowControl/>
        <w:spacing w:line="500" w:lineRule="exact"/>
        <w:ind w:firstLine="600"/>
        <w:rPr>
          <w:rFonts w:ascii="宋体" w:hAnsi="宋体" w:cs="宋体"/>
          <w:szCs w:val="21"/>
        </w:rPr>
      </w:pPr>
      <w:r>
        <w:rPr>
          <w:rFonts w:hint="eastAsia" w:ascii="宋体" w:hAnsi="宋体" w:cs="宋体"/>
          <w:szCs w:val="21"/>
        </w:rPr>
        <w:t>本单位对上述声明的真实性负责。如有虚假，将依法承担相应责任。</w:t>
      </w:r>
    </w:p>
    <w:p>
      <w:pPr>
        <w:widowControl/>
        <w:spacing w:line="500" w:lineRule="exact"/>
        <w:rPr>
          <w:rFonts w:ascii="宋体" w:hAnsi="宋体" w:cs="宋体"/>
          <w:spacing w:val="6"/>
          <w:kern w:val="0"/>
          <w:szCs w:val="21"/>
        </w:rPr>
      </w:pPr>
    </w:p>
    <w:p>
      <w:pPr>
        <w:widowControl/>
        <w:spacing w:line="500" w:lineRule="exact"/>
        <w:ind w:right="1560" w:firstLine="600"/>
        <w:jc w:val="center"/>
        <w:rPr>
          <w:rFonts w:ascii="宋体" w:hAnsi="宋体" w:cs="宋体"/>
          <w:szCs w:val="21"/>
        </w:rPr>
      </w:pPr>
      <w:r>
        <w:rPr>
          <w:rFonts w:hint="eastAsia" w:ascii="宋体" w:hAnsi="宋体" w:cs="宋体"/>
          <w:szCs w:val="21"/>
        </w:rPr>
        <w:t>单位名称（盖章）：</w:t>
      </w:r>
    </w:p>
    <w:p>
      <w:pPr>
        <w:widowControl/>
        <w:spacing w:line="500" w:lineRule="exact"/>
        <w:ind w:right="1560" w:firstLine="600"/>
        <w:jc w:val="center"/>
        <w:rPr>
          <w:rFonts w:ascii="宋体" w:hAnsi="宋体" w:cs="宋体"/>
          <w:szCs w:val="21"/>
        </w:rPr>
      </w:pPr>
      <w:r>
        <w:rPr>
          <w:rFonts w:hint="eastAsia" w:ascii="宋体" w:hAnsi="宋体" w:cs="宋体"/>
          <w:szCs w:val="21"/>
        </w:rPr>
        <w:t xml:space="preserve">       日  期：</w:t>
      </w:r>
    </w:p>
    <w:p>
      <w:pPr>
        <w:spacing w:before="319" w:beforeLines="100" w:line="440" w:lineRule="atLeast"/>
        <w:ind w:firstLine="444" w:firstLineChars="200"/>
        <w:rPr>
          <w:rFonts w:ascii="宋体" w:hAnsi="宋体" w:cs="宋体"/>
          <w:spacing w:val="6"/>
          <w:szCs w:val="21"/>
        </w:rPr>
      </w:pPr>
    </w:p>
    <w:p>
      <w:pPr>
        <w:spacing w:before="319" w:beforeLines="100" w:line="440" w:lineRule="atLeast"/>
        <w:ind w:firstLine="444" w:firstLineChars="200"/>
        <w:rPr>
          <w:rFonts w:ascii="宋体" w:hAnsi="宋体" w:cs="宋体"/>
          <w:spacing w:val="6"/>
          <w:szCs w:val="21"/>
        </w:rPr>
      </w:pPr>
    </w:p>
    <w:p>
      <w:pPr>
        <w:spacing w:line="360" w:lineRule="auto"/>
        <w:rPr>
          <w:rFonts w:ascii="宋体" w:hAnsi="宋体" w:cs="宋体"/>
          <w:b/>
          <w:spacing w:val="20"/>
          <w:szCs w:val="21"/>
        </w:rPr>
      </w:pPr>
      <w:r>
        <w:rPr>
          <w:rFonts w:hint="eastAsia" w:ascii="宋体" w:hAnsi="宋体" w:cs="宋体"/>
          <w:b/>
          <w:spacing w:val="20"/>
          <w:szCs w:val="21"/>
        </w:rPr>
        <w:t>注：</w:t>
      </w:r>
    </w:p>
    <w:p>
      <w:pPr>
        <w:snapToGrid w:val="0"/>
        <w:spacing w:line="360" w:lineRule="auto"/>
        <w:ind w:firstLine="422" w:firstLineChars="200"/>
        <w:jc w:val="left"/>
        <w:rPr>
          <w:rFonts w:ascii="宋体" w:hAnsi="宋体" w:cs="宋体"/>
          <w:b/>
          <w:szCs w:val="21"/>
        </w:rPr>
      </w:pPr>
      <w:r>
        <w:rPr>
          <w:rFonts w:hint="eastAsia" w:ascii="宋体" w:hAnsi="宋体" w:cs="宋体"/>
          <w:b/>
          <w:szCs w:val="21"/>
        </w:rPr>
        <w:t>1.中标、成交供应商为残疾人福利性单位的，《残疾人福利性单位声明函》随中标、成交结果同时公告，接受社会监督。</w:t>
      </w:r>
    </w:p>
    <w:p>
      <w:pPr>
        <w:snapToGrid w:val="0"/>
        <w:spacing w:line="360" w:lineRule="auto"/>
        <w:ind w:firstLine="422" w:firstLineChars="200"/>
        <w:jc w:val="left"/>
        <w:rPr>
          <w:rFonts w:ascii="宋体" w:hAnsi="宋体" w:cs="宋体"/>
          <w:b/>
          <w:szCs w:val="21"/>
        </w:rPr>
      </w:pPr>
      <w:r>
        <w:rPr>
          <w:rFonts w:hint="eastAsia" w:ascii="宋体" w:hAnsi="宋体" w:cs="宋体"/>
          <w:b/>
          <w:szCs w:val="21"/>
        </w:rPr>
        <w:t>2.供应商提供的《残疾人福利性单位声明函》与事实不符的，依照《政府采购法》第七十七条第一款的规定追究法律责任。</w:t>
      </w:r>
    </w:p>
    <w:p>
      <w:pPr>
        <w:jc w:val="left"/>
        <w:rPr>
          <w:rFonts w:ascii="Times New Roman" w:hAnsi="Times New Roman"/>
          <w:b/>
          <w:sz w:val="24"/>
        </w:rPr>
      </w:pPr>
      <w:r>
        <w:rPr>
          <w:rFonts w:ascii="Times New Roman" w:hAnsi="Times New Roman"/>
          <w:b/>
          <w:bCs/>
        </w:rPr>
        <w:t>五、残疾人福利性单位声明函</w:t>
      </w:r>
    </w:p>
    <w:p>
      <w:pPr>
        <w:jc w:val="left"/>
        <w:rPr>
          <w:rFonts w:ascii="Times New Roman" w:hAnsi="Times New Roman"/>
          <w:sz w:val="24"/>
        </w:rPr>
      </w:pPr>
    </w:p>
    <w:p>
      <w:pPr>
        <w:jc w:val="center"/>
        <w:rPr>
          <w:rFonts w:ascii="Times New Roman" w:hAnsi="Times New Roman"/>
          <w:sz w:val="24"/>
        </w:rPr>
      </w:pPr>
    </w:p>
    <w:p>
      <w:pPr>
        <w:rPr>
          <w:rFonts w:ascii="Times New Roman" w:hAnsi="Times New Roman"/>
          <w:b/>
          <w:sz w:val="24"/>
        </w:rPr>
      </w:pPr>
    </w:p>
    <w:p>
      <w:pPr>
        <w:rPr>
          <w:rFonts w:ascii="Times New Roman" w:hAnsi="Times New Roman"/>
          <w:b/>
          <w:sz w:val="24"/>
        </w:rPr>
      </w:pPr>
    </w:p>
    <w:p>
      <w:pPr>
        <w:rPr>
          <w:rFonts w:ascii="Times New Roman" w:hAnsi="Times New Roman"/>
          <w:b/>
          <w:sz w:val="24"/>
        </w:rPr>
      </w:pPr>
    </w:p>
    <w:p>
      <w:pPr>
        <w:rPr>
          <w:rFonts w:ascii="Times New Roman" w:hAnsi="Times New Roman"/>
          <w:b/>
          <w:sz w:val="24"/>
        </w:rPr>
      </w:pPr>
    </w:p>
    <w:p>
      <w:pPr>
        <w:rPr>
          <w:rFonts w:ascii="Times New Roman" w:hAnsi="Times New Roman"/>
          <w:b/>
          <w:sz w:val="24"/>
        </w:rPr>
      </w:pPr>
    </w:p>
    <w:p>
      <w:pPr>
        <w:rPr>
          <w:rFonts w:ascii="Times New Roman" w:hAnsi="Times New Roman"/>
          <w:b/>
          <w:sz w:val="24"/>
        </w:rPr>
      </w:pPr>
    </w:p>
    <w:p>
      <w:pPr>
        <w:rPr>
          <w:rFonts w:ascii="Times New Roman" w:hAnsi="Times New Roman"/>
          <w:b/>
          <w:sz w:val="24"/>
        </w:rPr>
      </w:pPr>
    </w:p>
    <w:p>
      <w:pPr>
        <w:rPr>
          <w:rFonts w:ascii="Times New Roman" w:hAnsi="Times New Roman"/>
          <w:b/>
          <w:sz w:val="24"/>
        </w:rPr>
      </w:pPr>
    </w:p>
    <w:p>
      <w:pPr>
        <w:rPr>
          <w:rFonts w:ascii="Times New Roman" w:hAnsi="Times New Roman"/>
          <w:b/>
          <w:sz w:val="24"/>
        </w:rPr>
      </w:pPr>
    </w:p>
    <w:p>
      <w:pPr>
        <w:rPr>
          <w:rFonts w:ascii="Times New Roman" w:hAnsi="Times New Roman"/>
          <w:b/>
          <w:sz w:val="24"/>
        </w:rPr>
      </w:pPr>
    </w:p>
    <w:p>
      <w:pPr>
        <w:rPr>
          <w:rFonts w:ascii="Times New Roman" w:hAnsi="Times New Roman"/>
          <w:b/>
          <w:sz w:val="24"/>
        </w:rPr>
      </w:pPr>
    </w:p>
    <w:p>
      <w:pPr>
        <w:rPr>
          <w:rFonts w:ascii="Times New Roman" w:hAnsi="Times New Roman"/>
          <w:b/>
          <w:sz w:val="24"/>
        </w:rPr>
      </w:pPr>
    </w:p>
    <w:p>
      <w:pPr>
        <w:pStyle w:val="2"/>
        <w:ind w:firstLine="210"/>
      </w:pPr>
    </w:p>
    <w:p>
      <w:pPr>
        <w:snapToGrid w:val="0"/>
        <w:spacing w:before="159" w:beforeLines="50" w:after="50"/>
        <w:jc w:val="left"/>
        <w:rPr>
          <w:rFonts w:ascii="宋体" w:hAnsi="宋体" w:cs="宋体"/>
          <w:b/>
          <w:spacing w:val="20"/>
          <w:szCs w:val="21"/>
        </w:rPr>
      </w:pPr>
      <w:r>
        <w:rPr>
          <w:rFonts w:hint="eastAsia" w:ascii="宋体" w:hAnsi="宋体" w:cs="宋体"/>
          <w:b/>
          <w:spacing w:val="20"/>
          <w:szCs w:val="21"/>
        </w:rPr>
        <w:t>格式五、投标函</w:t>
      </w:r>
    </w:p>
    <w:p>
      <w:pPr>
        <w:snapToGrid w:val="0"/>
        <w:spacing w:before="159" w:beforeLines="50" w:after="50"/>
        <w:jc w:val="center"/>
        <w:rPr>
          <w:rFonts w:ascii="Times New Roman" w:hAnsi="Times New Roman"/>
          <w:b/>
          <w:sz w:val="24"/>
        </w:rPr>
      </w:pPr>
      <w:r>
        <w:rPr>
          <w:rFonts w:ascii="Times New Roman" w:hAnsi="Times New Roman"/>
          <w:b/>
          <w:sz w:val="24"/>
        </w:rPr>
        <w:t>投标函</w:t>
      </w:r>
    </w:p>
    <w:p>
      <w:pPr>
        <w:snapToGrid w:val="0"/>
        <w:spacing w:line="360" w:lineRule="auto"/>
        <w:rPr>
          <w:rFonts w:ascii="Times New Roman" w:hAnsi="Times New Roman"/>
        </w:rPr>
      </w:pPr>
      <w:r>
        <w:rPr>
          <w:rFonts w:ascii="Times New Roman" w:hAnsi="Times New Roman"/>
        </w:rPr>
        <w:t>致：</w:t>
      </w:r>
      <w:r>
        <w:rPr>
          <w:rFonts w:ascii="Times New Roman" w:hAnsi="Times New Roman"/>
          <w:u w:val="single"/>
        </w:rPr>
        <w:t>（采购人）</w:t>
      </w:r>
      <w:r>
        <w:rPr>
          <w:rFonts w:ascii="Times New Roman" w:hAnsi="Times New Roman"/>
        </w:rPr>
        <w:t>_：</w:t>
      </w:r>
    </w:p>
    <w:p>
      <w:pPr>
        <w:spacing w:line="360" w:lineRule="auto"/>
        <w:ind w:firstLine="420" w:firstLineChars="200"/>
        <w:rPr>
          <w:rFonts w:ascii="宋体" w:hAnsi="宋体" w:cs="宋体"/>
          <w:szCs w:val="21"/>
        </w:rPr>
      </w:pPr>
      <w:r>
        <w:rPr>
          <w:rFonts w:hint="eastAsia" w:ascii="宋体" w:hAnsi="宋体" w:cs="宋体"/>
          <w:szCs w:val="21"/>
        </w:rPr>
        <w:t>我方</w:t>
      </w:r>
      <w:r>
        <w:rPr>
          <w:rFonts w:hint="eastAsia" w:ascii="宋体" w:hAnsi="宋体" w:cs="宋体"/>
          <w:b/>
          <w:szCs w:val="21"/>
          <w:u w:val="single"/>
        </w:rPr>
        <w:t>（投标人名称）</w:t>
      </w:r>
      <w:r>
        <w:rPr>
          <w:rFonts w:hint="eastAsia" w:ascii="宋体" w:hAnsi="宋体" w:cs="宋体"/>
          <w:szCs w:val="21"/>
        </w:rPr>
        <w:t>已详细审查了</w:t>
      </w:r>
      <w:r>
        <w:rPr>
          <w:rFonts w:hint="eastAsia" w:ascii="宋体" w:hAnsi="宋体" w:cs="宋体"/>
          <w:b/>
          <w:szCs w:val="21"/>
          <w:u w:val="single"/>
        </w:rPr>
        <w:t xml:space="preserve">（项目编号）（项目名称）    </w:t>
      </w:r>
      <w:r>
        <w:rPr>
          <w:rFonts w:hint="eastAsia" w:ascii="宋体" w:hAnsi="宋体" w:cs="宋体"/>
          <w:szCs w:val="21"/>
        </w:rPr>
        <w:t>的招标文件及其相关补充文件</w:t>
      </w:r>
      <w:r>
        <w:rPr>
          <w:rFonts w:hint="eastAsia" w:ascii="宋体" w:hAnsi="宋体" w:cs="宋体"/>
          <w:b/>
          <w:szCs w:val="21"/>
        </w:rPr>
        <w:t>（若有）</w:t>
      </w:r>
      <w:r>
        <w:rPr>
          <w:rFonts w:hint="eastAsia" w:ascii="宋体" w:hAnsi="宋体" w:cs="宋体"/>
          <w:szCs w:val="21"/>
        </w:rPr>
        <w:t>，并正式授权我公司的</w:t>
      </w:r>
      <w:r>
        <w:rPr>
          <w:rFonts w:hint="eastAsia" w:ascii="宋体" w:hAnsi="宋体" w:cs="宋体"/>
          <w:b/>
          <w:szCs w:val="21"/>
          <w:u w:val="single"/>
        </w:rPr>
        <w:t>（被授权人姓名）</w:t>
      </w:r>
      <w:r>
        <w:rPr>
          <w:rFonts w:hint="eastAsia" w:ascii="宋体" w:hAnsi="宋体" w:cs="宋体"/>
          <w:szCs w:val="21"/>
        </w:rPr>
        <w:t>以本公司名义，全权代表我方自愿参加上述采购项目的投标，现就有关事项向采购代理机构郑重承诺如下：</w:t>
      </w:r>
    </w:p>
    <w:p>
      <w:pPr>
        <w:spacing w:line="360" w:lineRule="auto"/>
        <w:ind w:right="-91" w:firstLine="420" w:firstLineChars="200"/>
        <w:rPr>
          <w:rFonts w:ascii="宋体" w:hAnsi="宋体" w:cs="宋体"/>
          <w:szCs w:val="21"/>
        </w:rPr>
      </w:pPr>
      <w:r>
        <w:rPr>
          <w:rFonts w:hint="eastAsia" w:ascii="宋体" w:hAnsi="宋体" w:cs="宋体"/>
          <w:szCs w:val="21"/>
        </w:rPr>
        <w:t>1、我方已详细审查了招标文件的全部内容及其相关补充文件</w:t>
      </w:r>
      <w:r>
        <w:rPr>
          <w:rFonts w:hint="eastAsia" w:ascii="宋体" w:hAnsi="宋体" w:cs="宋体"/>
          <w:b/>
          <w:szCs w:val="21"/>
        </w:rPr>
        <w:t>（若有）</w:t>
      </w:r>
      <w:r>
        <w:rPr>
          <w:rFonts w:hint="eastAsia" w:ascii="宋体" w:hAnsi="宋体" w:cs="宋体"/>
          <w:szCs w:val="21"/>
        </w:rPr>
        <w:t>，并完全清晰理解全部内容及相关的补充文件</w:t>
      </w:r>
      <w:r>
        <w:rPr>
          <w:rFonts w:hint="eastAsia" w:ascii="宋体" w:hAnsi="宋体" w:cs="宋体"/>
          <w:b/>
          <w:szCs w:val="21"/>
        </w:rPr>
        <w:t>（若有）</w:t>
      </w:r>
      <w:r>
        <w:rPr>
          <w:rFonts w:hint="eastAsia" w:ascii="宋体" w:hAnsi="宋体" w:cs="宋体"/>
          <w:szCs w:val="21"/>
        </w:rPr>
        <w:t>，不存在任何误解之处，同意放弃提出异议和质疑的权利。</w:t>
      </w:r>
    </w:p>
    <w:p>
      <w:pPr>
        <w:spacing w:line="360" w:lineRule="auto"/>
        <w:ind w:right="-89" w:firstLine="404" w:firstLineChars="200"/>
        <w:jc w:val="left"/>
        <w:rPr>
          <w:rFonts w:ascii="宋体" w:hAnsi="宋体" w:cs="宋体"/>
          <w:spacing w:val="-4"/>
          <w:szCs w:val="21"/>
        </w:rPr>
      </w:pPr>
      <w:r>
        <w:rPr>
          <w:rFonts w:hint="eastAsia" w:ascii="宋体" w:hAnsi="宋体" w:cs="宋体"/>
          <w:spacing w:val="-4"/>
          <w:szCs w:val="21"/>
        </w:rPr>
        <w:t>2、我方遵守《中华人民共和国政府采购法》及相关法律法规的规定。同意招标文件中所提到的无效标条款，并服从有关开标现场的会议纪律。否则，同意被废除投标资格。</w:t>
      </w:r>
    </w:p>
    <w:p>
      <w:pPr>
        <w:spacing w:line="360" w:lineRule="auto"/>
        <w:ind w:firstLine="404" w:firstLineChars="200"/>
        <w:rPr>
          <w:rFonts w:ascii="宋体" w:hAnsi="宋体" w:cs="宋体"/>
          <w:spacing w:val="-4"/>
          <w:szCs w:val="21"/>
        </w:rPr>
      </w:pPr>
      <w:r>
        <w:rPr>
          <w:rFonts w:hint="eastAsia" w:ascii="宋体" w:hAnsi="宋体" w:cs="宋体"/>
          <w:spacing w:val="-4"/>
          <w:szCs w:val="21"/>
        </w:rPr>
        <w:t>3、我方承诺所提供的一切投标文件经已认真严格审核，内容均为全面真实、准确有效且毫无保留，绝无任何遗漏、虚假、伪造和夸大的成份，若出现违背诚实信用和无如实告知之处，同意被废除投标资格和相关的处罚。</w:t>
      </w:r>
    </w:p>
    <w:p>
      <w:pPr>
        <w:spacing w:line="360" w:lineRule="auto"/>
        <w:ind w:firstLine="404" w:firstLineChars="200"/>
        <w:rPr>
          <w:rFonts w:ascii="宋体" w:hAnsi="宋体" w:cs="宋体"/>
          <w:spacing w:val="-4"/>
          <w:szCs w:val="21"/>
        </w:rPr>
      </w:pPr>
      <w:r>
        <w:rPr>
          <w:rFonts w:hint="eastAsia" w:ascii="宋体" w:hAnsi="宋体" w:cs="宋体"/>
          <w:spacing w:val="-4"/>
          <w:szCs w:val="21"/>
        </w:rPr>
        <w:t>4、我方所提供的一次性投标报价具有充分的合理性和准确性，保证不存在低于成本的恶意报价行为，同时清楚理解到报价最低并非意味着必定获得合同授予资格。</w:t>
      </w:r>
    </w:p>
    <w:p>
      <w:pPr>
        <w:spacing w:line="360" w:lineRule="auto"/>
        <w:ind w:firstLine="404" w:firstLineChars="200"/>
        <w:rPr>
          <w:rFonts w:ascii="宋体" w:hAnsi="宋体" w:cs="宋体"/>
          <w:spacing w:val="-4"/>
          <w:szCs w:val="21"/>
        </w:rPr>
      </w:pPr>
      <w:r>
        <w:rPr>
          <w:rFonts w:hint="eastAsia" w:ascii="宋体" w:hAnsi="宋体" w:cs="宋体"/>
          <w:spacing w:val="-4"/>
          <w:szCs w:val="21"/>
        </w:rPr>
        <w:t>5、投标有效期为自开标之日起</w:t>
      </w:r>
      <w:r>
        <w:rPr>
          <w:rFonts w:hint="eastAsia" w:ascii="宋体" w:hAnsi="宋体" w:cs="宋体"/>
          <w:spacing w:val="-4"/>
          <w:szCs w:val="21"/>
          <w:u w:val="single"/>
        </w:rPr>
        <w:t>90</w:t>
      </w:r>
      <w:r>
        <w:rPr>
          <w:rFonts w:hint="eastAsia" w:ascii="宋体" w:hAnsi="宋体" w:cs="宋体"/>
          <w:spacing w:val="-4"/>
          <w:szCs w:val="21"/>
        </w:rPr>
        <w:t>天内，如在投标有效期内撤回投标，我方同意被废除投标资格。</w:t>
      </w:r>
    </w:p>
    <w:p>
      <w:pPr>
        <w:spacing w:line="360" w:lineRule="auto"/>
        <w:ind w:firstLine="435"/>
        <w:jc w:val="left"/>
        <w:rPr>
          <w:rFonts w:ascii="宋体" w:hAnsi="宋体" w:cs="宋体"/>
          <w:spacing w:val="-4"/>
          <w:szCs w:val="21"/>
        </w:rPr>
      </w:pPr>
      <w:r>
        <w:rPr>
          <w:rFonts w:hint="eastAsia" w:ascii="宋体" w:hAnsi="宋体" w:cs="宋体"/>
          <w:spacing w:val="-4"/>
          <w:szCs w:val="21"/>
        </w:rPr>
        <w:t>6、我方承诺参加本次政府采购活动前3年内在经营活动中没有重大违法记录。</w:t>
      </w:r>
    </w:p>
    <w:p>
      <w:pPr>
        <w:spacing w:line="360" w:lineRule="auto"/>
        <w:ind w:firstLine="435"/>
        <w:jc w:val="left"/>
        <w:rPr>
          <w:rFonts w:ascii="宋体" w:hAnsi="宋体" w:cs="宋体"/>
          <w:spacing w:val="-4"/>
          <w:szCs w:val="21"/>
        </w:rPr>
      </w:pPr>
      <w:r>
        <w:rPr>
          <w:rFonts w:hint="eastAsia" w:ascii="宋体" w:hAnsi="宋体" w:cs="宋体"/>
          <w:spacing w:val="-4"/>
          <w:szCs w:val="21"/>
        </w:rPr>
        <w:t>7、我方承诺具备履行合同所必需的设备和专业技术能力。</w:t>
      </w:r>
    </w:p>
    <w:p>
      <w:pPr>
        <w:rPr>
          <w:rFonts w:ascii="宋体" w:hAnsi="Courier New" w:eastAsia="仿宋_GB2312"/>
          <w:szCs w:val="21"/>
        </w:rPr>
      </w:pPr>
    </w:p>
    <w:p>
      <w:pPr>
        <w:spacing w:line="480" w:lineRule="auto"/>
        <w:ind w:firstLine="404" w:firstLineChars="200"/>
        <w:jc w:val="left"/>
        <w:rPr>
          <w:rFonts w:ascii="宋体" w:hAnsi="宋体" w:cs="宋体"/>
          <w:spacing w:val="-4"/>
          <w:szCs w:val="21"/>
        </w:rPr>
      </w:pPr>
    </w:p>
    <w:p>
      <w:pPr>
        <w:spacing w:line="480" w:lineRule="auto"/>
        <w:ind w:firstLine="404" w:firstLineChars="200"/>
        <w:jc w:val="left"/>
        <w:rPr>
          <w:rFonts w:ascii="宋体" w:hAnsi="宋体" w:cs="宋体"/>
          <w:spacing w:val="-4"/>
          <w:szCs w:val="21"/>
        </w:rPr>
      </w:pPr>
      <w:r>
        <w:rPr>
          <w:rFonts w:hint="eastAsia" w:ascii="宋体" w:hAnsi="宋体" w:cs="宋体"/>
          <w:spacing w:val="-4"/>
          <w:szCs w:val="21"/>
        </w:rPr>
        <w:t xml:space="preserve">投标人名称：（加盖公章） </w:t>
      </w:r>
    </w:p>
    <w:p>
      <w:pPr>
        <w:spacing w:line="480" w:lineRule="auto"/>
        <w:ind w:firstLine="404" w:firstLineChars="200"/>
        <w:rPr>
          <w:rFonts w:ascii="宋体" w:hAnsi="宋体" w:cs="宋体"/>
          <w:szCs w:val="21"/>
        </w:rPr>
      </w:pPr>
      <w:r>
        <w:rPr>
          <w:rFonts w:hint="eastAsia" w:ascii="宋体" w:hAnsi="宋体" w:cs="宋体"/>
          <w:spacing w:val="-4"/>
          <w:szCs w:val="21"/>
        </w:rPr>
        <w:t>法定代表人</w:t>
      </w:r>
      <w:r>
        <w:rPr>
          <w:rFonts w:hint="eastAsia" w:ascii="宋体" w:hAnsi="宋体" w:cs="宋体"/>
          <w:szCs w:val="21"/>
        </w:rPr>
        <w:t>：（签字或盖章）</w:t>
      </w:r>
    </w:p>
    <w:p>
      <w:pPr>
        <w:spacing w:line="480" w:lineRule="auto"/>
        <w:ind w:firstLine="404" w:firstLineChars="200"/>
        <w:jc w:val="left"/>
        <w:rPr>
          <w:rFonts w:ascii="宋体" w:hAnsi="宋体" w:cs="宋体"/>
          <w:spacing w:val="-4"/>
          <w:szCs w:val="21"/>
        </w:rPr>
      </w:pPr>
      <w:r>
        <w:rPr>
          <w:rFonts w:hint="eastAsia" w:ascii="宋体" w:hAnsi="宋体" w:cs="宋体"/>
          <w:spacing w:val="-4"/>
          <w:szCs w:val="21"/>
        </w:rPr>
        <w:t xml:space="preserve">投标人代表：（签字） </w:t>
      </w:r>
    </w:p>
    <w:p>
      <w:pPr>
        <w:spacing w:line="480" w:lineRule="auto"/>
        <w:ind w:firstLine="404" w:firstLineChars="200"/>
        <w:rPr>
          <w:rFonts w:ascii="宋体" w:hAnsi="宋体" w:cs="宋体"/>
          <w:spacing w:val="20"/>
          <w:szCs w:val="21"/>
          <w:u w:val="single"/>
        </w:rPr>
      </w:pPr>
      <w:r>
        <w:rPr>
          <w:rFonts w:hint="eastAsia" w:ascii="宋体" w:hAnsi="宋体" w:cs="宋体"/>
          <w:spacing w:val="-4"/>
          <w:szCs w:val="21"/>
        </w:rPr>
        <w:t>投标人地址：</w:t>
      </w:r>
    </w:p>
    <w:p>
      <w:pPr>
        <w:spacing w:line="480" w:lineRule="auto"/>
        <w:ind w:firstLine="404" w:firstLineChars="200"/>
        <w:rPr>
          <w:rFonts w:ascii="宋体" w:hAnsi="宋体" w:cs="宋体"/>
          <w:spacing w:val="-4"/>
          <w:szCs w:val="21"/>
        </w:rPr>
      </w:pPr>
      <w:r>
        <w:rPr>
          <w:rFonts w:hint="eastAsia" w:ascii="宋体" w:hAnsi="宋体" w:cs="宋体"/>
          <w:spacing w:val="-4"/>
          <w:szCs w:val="21"/>
        </w:rPr>
        <w:t xml:space="preserve">日期：年月日 </w:t>
      </w:r>
    </w:p>
    <w:p>
      <w:pPr>
        <w:snapToGrid w:val="0"/>
        <w:spacing w:line="360" w:lineRule="auto"/>
        <w:jc w:val="left"/>
        <w:rPr>
          <w:rFonts w:ascii="Times New Roman" w:hAnsi="Times New Roman"/>
        </w:rPr>
      </w:pPr>
    </w:p>
    <w:p>
      <w:pPr>
        <w:spacing w:line="360" w:lineRule="auto"/>
        <w:jc w:val="left"/>
        <w:rPr>
          <w:rFonts w:ascii="宋体" w:hAnsi="宋体" w:cs="宋体"/>
          <w:b/>
          <w:szCs w:val="21"/>
        </w:rPr>
      </w:pPr>
      <w:r>
        <w:rPr>
          <w:rFonts w:ascii="Times New Roman" w:hAnsi="Times New Roman"/>
        </w:rPr>
        <w:br w:type="page"/>
      </w:r>
      <w:r>
        <w:rPr>
          <w:rFonts w:hint="eastAsia" w:ascii="宋体" w:hAnsi="宋体" w:cs="宋体"/>
          <w:b/>
          <w:spacing w:val="20"/>
          <w:szCs w:val="21"/>
        </w:rPr>
        <w:t>格式六、法定代表人授权函</w:t>
      </w:r>
    </w:p>
    <w:p>
      <w:pPr>
        <w:spacing w:line="360" w:lineRule="auto"/>
        <w:jc w:val="left"/>
        <w:rPr>
          <w:rFonts w:ascii="宋体" w:hAnsi="宋体" w:cs="宋体"/>
          <w:szCs w:val="21"/>
        </w:rPr>
      </w:pPr>
      <w:r>
        <w:rPr>
          <w:rFonts w:hint="eastAsia" w:ascii="宋体" w:hAnsi="宋体" w:cs="宋体"/>
          <w:spacing w:val="-4"/>
          <w:szCs w:val="21"/>
        </w:rPr>
        <w:t>致：</w:t>
      </w:r>
      <w:r>
        <w:rPr>
          <w:rFonts w:ascii="Times New Roman" w:hAnsi="Times New Roman"/>
          <w:u w:val="single"/>
        </w:rPr>
        <w:t>（采购人）</w:t>
      </w:r>
      <w:r>
        <w:rPr>
          <w:rFonts w:ascii="Times New Roman" w:hAnsi="Times New Roman"/>
        </w:rPr>
        <w:t>_：</w:t>
      </w:r>
    </w:p>
    <w:p>
      <w:pPr>
        <w:spacing w:line="360" w:lineRule="auto"/>
        <w:ind w:right="-89" w:firstLine="404" w:firstLineChars="200"/>
        <w:jc w:val="left"/>
        <w:rPr>
          <w:rFonts w:ascii="宋体" w:hAnsi="宋体" w:cs="宋体"/>
          <w:spacing w:val="-4"/>
          <w:szCs w:val="21"/>
        </w:rPr>
      </w:pPr>
      <w:r>
        <w:rPr>
          <w:rFonts w:hint="eastAsia" w:ascii="宋体" w:hAnsi="宋体" w:cs="宋体"/>
          <w:spacing w:val="-4"/>
          <w:szCs w:val="21"/>
        </w:rPr>
        <w:t>我（姓名）系（投标人名称）的法定代表人，现授权委托本单位在职职工（姓名）(身份证号码：)以我方的名义参加（项目名称）（项目编号）的投标活动，并代表我方全权办理针对上述项目的投标、开标、评标、签约等具体事务和签署相关文件。</w:t>
      </w:r>
    </w:p>
    <w:p>
      <w:pPr>
        <w:spacing w:line="360" w:lineRule="auto"/>
        <w:ind w:right="-89" w:firstLine="404" w:firstLineChars="200"/>
        <w:jc w:val="left"/>
        <w:rPr>
          <w:rFonts w:ascii="宋体" w:hAnsi="宋体" w:cs="宋体"/>
          <w:spacing w:val="-4"/>
          <w:szCs w:val="21"/>
        </w:rPr>
      </w:pPr>
      <w:r>
        <w:rPr>
          <w:rFonts w:hint="eastAsia" w:ascii="宋体" w:hAnsi="宋体" w:cs="宋体"/>
          <w:spacing w:val="-4"/>
          <w:szCs w:val="21"/>
        </w:rPr>
        <w:t>我方对被授权人的签名负全部责任。</w:t>
      </w:r>
    </w:p>
    <w:p>
      <w:pPr>
        <w:spacing w:line="360" w:lineRule="auto"/>
        <w:ind w:right="-89" w:firstLine="404" w:firstLineChars="200"/>
        <w:jc w:val="left"/>
        <w:rPr>
          <w:rFonts w:ascii="宋体" w:hAnsi="宋体" w:cs="宋体"/>
          <w:spacing w:val="-4"/>
          <w:szCs w:val="21"/>
        </w:rPr>
      </w:pPr>
      <w:r>
        <w:rPr>
          <w:rFonts w:hint="eastAsia" w:ascii="宋体" w:hAnsi="宋体" w:cs="宋体"/>
          <w:spacing w:val="-4"/>
          <w:szCs w:val="21"/>
        </w:rPr>
        <w:t>在撤销授权的书面通知以前，本授权函一直有效。被授权人在授权函有效期内签署的所有文件不因授权的撤销而失效。</w:t>
      </w:r>
    </w:p>
    <w:p>
      <w:pPr>
        <w:spacing w:line="360" w:lineRule="auto"/>
        <w:ind w:right="-89" w:firstLine="404" w:firstLineChars="200"/>
        <w:jc w:val="left"/>
        <w:rPr>
          <w:rFonts w:ascii="宋体" w:hAnsi="宋体" w:cs="宋体"/>
          <w:spacing w:val="-4"/>
          <w:szCs w:val="21"/>
        </w:rPr>
      </w:pPr>
      <w:r>
        <w:rPr>
          <w:rFonts w:hint="eastAsia" w:ascii="宋体" w:hAnsi="宋体" w:cs="宋体"/>
          <w:spacing w:val="-4"/>
          <w:szCs w:val="21"/>
        </w:rPr>
        <w:t>被授权人无转委托权，特此委托。</w:t>
      </w:r>
    </w:p>
    <w:p>
      <w:pPr>
        <w:spacing w:line="360" w:lineRule="auto"/>
        <w:ind w:right="-89" w:firstLine="404" w:firstLineChars="200"/>
        <w:jc w:val="left"/>
        <w:rPr>
          <w:rFonts w:ascii="宋体" w:hAnsi="宋体" w:cs="宋体"/>
          <w:spacing w:val="-4"/>
          <w:szCs w:val="21"/>
        </w:rPr>
      </w:pPr>
      <w:r>
        <w:rPr>
          <w:rFonts w:hint="eastAsia" w:ascii="宋体" w:hAnsi="宋体" w:cs="宋体"/>
          <w:spacing w:val="-4"/>
          <w:szCs w:val="21"/>
        </w:rPr>
        <w:t xml:space="preserve">被授权人（签字）：                           法定代表人（签字或盖章）：          </w:t>
      </w:r>
    </w:p>
    <w:p>
      <w:pPr>
        <w:spacing w:line="360" w:lineRule="auto"/>
        <w:ind w:right="-89" w:firstLine="404" w:firstLineChars="200"/>
        <w:jc w:val="left"/>
        <w:rPr>
          <w:rFonts w:ascii="宋体" w:hAnsi="宋体" w:cs="宋体"/>
          <w:spacing w:val="-4"/>
          <w:szCs w:val="21"/>
        </w:rPr>
      </w:pPr>
      <w:r>
        <w:rPr>
          <w:rFonts w:hint="eastAsia" w:ascii="宋体" w:hAnsi="宋体" w:cs="宋体"/>
          <w:spacing w:val="-4"/>
          <w:szCs w:val="21"/>
        </w:rPr>
        <w:t>被授权人联系电话：                          法定代表人联系电话：</w:t>
      </w:r>
    </w:p>
    <w:p>
      <w:pPr>
        <w:spacing w:line="360" w:lineRule="auto"/>
        <w:ind w:right="-89" w:firstLine="4444" w:firstLineChars="2200"/>
        <w:jc w:val="left"/>
        <w:rPr>
          <w:rFonts w:ascii="宋体" w:hAnsi="宋体" w:cs="宋体"/>
          <w:spacing w:val="-4"/>
          <w:szCs w:val="21"/>
        </w:rPr>
      </w:pPr>
    </w:p>
    <w:p>
      <w:pPr>
        <w:spacing w:line="360" w:lineRule="auto"/>
        <w:ind w:right="-89" w:firstLine="4444" w:firstLineChars="2200"/>
        <w:jc w:val="left"/>
        <w:rPr>
          <w:rFonts w:ascii="宋体" w:hAnsi="宋体" w:cs="宋体"/>
          <w:spacing w:val="-4"/>
          <w:szCs w:val="21"/>
        </w:rPr>
      </w:pPr>
    </w:p>
    <w:p>
      <w:pPr>
        <w:spacing w:line="360" w:lineRule="auto"/>
        <w:ind w:right="-89" w:firstLine="4444" w:firstLineChars="2200"/>
        <w:jc w:val="left"/>
        <w:rPr>
          <w:rFonts w:ascii="宋体" w:hAnsi="宋体" w:cs="宋体"/>
          <w:spacing w:val="-4"/>
          <w:szCs w:val="21"/>
        </w:rPr>
      </w:pPr>
      <w:r>
        <w:rPr>
          <w:rFonts w:hint="eastAsia" w:ascii="宋体" w:hAnsi="宋体" w:cs="宋体"/>
          <w:spacing w:val="-4"/>
          <w:szCs w:val="21"/>
        </w:rPr>
        <w:t xml:space="preserve">   投标人公章：</w:t>
      </w:r>
    </w:p>
    <w:p>
      <w:pPr>
        <w:spacing w:line="360" w:lineRule="auto"/>
        <w:rPr>
          <w:rFonts w:ascii="宋体" w:hAnsi="宋体" w:cs="宋体"/>
          <w:spacing w:val="-4"/>
          <w:szCs w:val="21"/>
        </w:rPr>
      </w:pPr>
      <w:r>
        <w:rPr>
          <w:rFonts w:hint="eastAsia" w:ascii="宋体" w:hAnsi="宋体" w:cs="宋体"/>
          <w:spacing w:val="-4"/>
          <w:szCs w:val="21"/>
        </w:rPr>
        <w:t xml:space="preserve"> 年月日</w:t>
      </w:r>
    </w:p>
    <w:p>
      <w:pPr>
        <w:spacing w:line="360" w:lineRule="auto"/>
        <w:rPr>
          <w:rFonts w:ascii="宋体" w:hAnsi="宋体" w:cs="宋体"/>
          <w:spacing w:val="-4"/>
          <w:szCs w:val="21"/>
        </w:rPr>
      </w:pPr>
    </w:p>
    <w:p>
      <w:pPr>
        <w:adjustRightInd w:val="0"/>
        <w:spacing w:line="360" w:lineRule="auto"/>
        <w:textAlignment w:val="baseline"/>
        <w:rPr>
          <w:rFonts w:ascii="宋体" w:hAnsi="宋体" w:cs="宋体"/>
          <w:b/>
          <w:spacing w:val="20"/>
          <w:szCs w:val="21"/>
        </w:rPr>
      </w:pPr>
    </w:p>
    <w:p>
      <w:pPr>
        <w:adjustRightInd w:val="0"/>
        <w:spacing w:line="360" w:lineRule="auto"/>
        <w:textAlignment w:val="baseline"/>
        <w:rPr>
          <w:rFonts w:ascii="宋体" w:hAnsi="宋体" w:cs="宋体"/>
          <w:b/>
          <w:spacing w:val="20"/>
          <w:kern w:val="0"/>
          <w:szCs w:val="21"/>
        </w:rPr>
      </w:pPr>
    </w:p>
    <w:p>
      <w:pPr>
        <w:snapToGrid w:val="0"/>
        <w:spacing w:line="360" w:lineRule="auto"/>
        <w:ind w:firstLine="415" w:firstLineChars="198"/>
        <w:rPr>
          <w:rFonts w:ascii="宋体" w:hAnsi="宋体" w:cs="宋体"/>
          <w:szCs w:val="21"/>
        </w:rPr>
      </w:pPr>
    </w:p>
    <w:p>
      <w:pPr>
        <w:adjustRightInd w:val="0"/>
        <w:spacing w:line="360" w:lineRule="auto"/>
        <w:textAlignment w:val="baseline"/>
        <w:rPr>
          <w:rFonts w:ascii="宋体" w:hAnsi="宋体" w:cs="宋体"/>
          <w:b/>
          <w:spacing w:val="20"/>
          <w:kern w:val="0"/>
          <w:szCs w:val="21"/>
        </w:rPr>
      </w:pPr>
    </w:p>
    <w:p>
      <w:pPr>
        <w:adjustRightInd w:val="0"/>
        <w:spacing w:line="360" w:lineRule="auto"/>
        <w:textAlignment w:val="baseline"/>
        <w:rPr>
          <w:rFonts w:ascii="宋体" w:hAnsi="宋体" w:cs="宋体"/>
          <w:b/>
          <w:spacing w:val="20"/>
          <w:kern w:val="0"/>
          <w:szCs w:val="21"/>
        </w:rPr>
      </w:pPr>
    </w:p>
    <w:p>
      <w:pPr>
        <w:adjustRightInd w:val="0"/>
        <w:spacing w:line="360" w:lineRule="auto"/>
        <w:textAlignment w:val="baseline"/>
        <w:rPr>
          <w:rFonts w:ascii="宋体" w:hAnsi="宋体" w:cs="宋体"/>
          <w:b/>
          <w:spacing w:val="20"/>
          <w:kern w:val="0"/>
          <w:szCs w:val="21"/>
        </w:rPr>
      </w:pPr>
    </w:p>
    <w:p>
      <w:pPr>
        <w:adjustRightInd w:val="0"/>
        <w:spacing w:line="360" w:lineRule="auto"/>
        <w:textAlignment w:val="baseline"/>
        <w:rPr>
          <w:rFonts w:ascii="宋体" w:hAnsi="宋体" w:cs="宋体"/>
          <w:b/>
          <w:spacing w:val="20"/>
          <w:kern w:val="0"/>
          <w:szCs w:val="21"/>
        </w:rPr>
      </w:pPr>
    </w:p>
    <w:p>
      <w:pPr>
        <w:adjustRightInd w:val="0"/>
        <w:spacing w:line="360" w:lineRule="auto"/>
        <w:textAlignment w:val="baseline"/>
        <w:rPr>
          <w:rFonts w:ascii="宋体" w:hAnsi="宋体" w:cs="宋体"/>
          <w:b/>
          <w:spacing w:val="20"/>
          <w:kern w:val="0"/>
          <w:szCs w:val="21"/>
        </w:rPr>
      </w:pPr>
    </w:p>
    <w:p>
      <w:pPr>
        <w:adjustRightInd w:val="0"/>
        <w:spacing w:line="360" w:lineRule="auto"/>
        <w:textAlignment w:val="baseline"/>
        <w:rPr>
          <w:rFonts w:ascii="宋体" w:hAnsi="宋体" w:cs="宋体"/>
          <w:b/>
          <w:spacing w:val="20"/>
          <w:kern w:val="0"/>
          <w:szCs w:val="21"/>
        </w:rPr>
      </w:pPr>
    </w:p>
    <w:p>
      <w:pPr>
        <w:adjustRightInd w:val="0"/>
        <w:spacing w:line="360" w:lineRule="auto"/>
        <w:textAlignment w:val="baseline"/>
        <w:rPr>
          <w:rFonts w:ascii="宋体" w:hAnsi="宋体" w:cs="宋体"/>
          <w:b/>
          <w:spacing w:val="20"/>
          <w:kern w:val="0"/>
          <w:szCs w:val="21"/>
        </w:rPr>
      </w:pPr>
    </w:p>
    <w:p>
      <w:pPr>
        <w:adjustRightInd w:val="0"/>
        <w:spacing w:line="360" w:lineRule="auto"/>
        <w:textAlignment w:val="baseline"/>
        <w:rPr>
          <w:rFonts w:ascii="宋体" w:hAnsi="宋体" w:cs="宋体"/>
          <w:b/>
          <w:spacing w:val="20"/>
          <w:kern w:val="0"/>
          <w:szCs w:val="21"/>
        </w:rPr>
      </w:pPr>
    </w:p>
    <w:p>
      <w:pPr>
        <w:adjustRightInd w:val="0"/>
        <w:spacing w:line="360" w:lineRule="auto"/>
        <w:textAlignment w:val="baseline"/>
        <w:rPr>
          <w:rFonts w:ascii="宋体" w:hAnsi="宋体" w:cs="宋体"/>
          <w:b/>
          <w:spacing w:val="20"/>
          <w:kern w:val="0"/>
          <w:szCs w:val="21"/>
        </w:rPr>
      </w:pPr>
    </w:p>
    <w:p>
      <w:pPr>
        <w:spacing w:line="360" w:lineRule="auto"/>
        <w:rPr>
          <w:rFonts w:ascii="宋体" w:hAnsi="宋体" w:cs="宋体"/>
          <w:b/>
          <w:szCs w:val="21"/>
        </w:rPr>
      </w:pPr>
    </w:p>
    <w:p>
      <w:pPr>
        <w:snapToGrid w:val="0"/>
        <w:jc w:val="left"/>
        <w:rPr>
          <w:rFonts w:ascii="宋体" w:hAnsi="宋体" w:cs="宋体"/>
          <w:b/>
          <w:szCs w:val="21"/>
        </w:rPr>
      </w:pPr>
      <w:r>
        <w:rPr>
          <w:rFonts w:hint="eastAsia" w:ascii="宋体" w:hAnsi="宋体"/>
          <w:b/>
          <w:szCs w:val="21"/>
        </w:rPr>
        <w:t>格式七、</w:t>
      </w:r>
      <w:r>
        <w:rPr>
          <w:rFonts w:hint="eastAsia" w:ascii="宋体" w:hAnsi="宋体" w:cs="宋体"/>
          <w:b/>
          <w:szCs w:val="21"/>
        </w:rPr>
        <w:t>供应商基本情况表</w:t>
      </w:r>
    </w:p>
    <w:p>
      <w:pPr>
        <w:pStyle w:val="113"/>
        <w:rPr>
          <w:sz w:val="21"/>
          <w:szCs w:val="21"/>
        </w:rPr>
      </w:pPr>
    </w:p>
    <w:tbl>
      <w:tblPr>
        <w:tblStyle w:val="26"/>
        <w:tblW w:w="10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992"/>
        <w:gridCol w:w="1418"/>
        <w:gridCol w:w="180"/>
        <w:gridCol w:w="1096"/>
        <w:gridCol w:w="567"/>
        <w:gridCol w:w="567"/>
        <w:gridCol w:w="850"/>
        <w:gridCol w:w="851"/>
        <w:gridCol w:w="330"/>
        <w:gridCol w:w="662"/>
        <w:gridCol w:w="142"/>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pacing w:line="440" w:lineRule="exact"/>
              <w:jc w:val="center"/>
              <w:rPr>
                <w:rFonts w:ascii="宋体" w:hAnsi="宋体" w:cs="宋体"/>
                <w:color w:val="000000"/>
                <w:szCs w:val="21"/>
              </w:rPr>
            </w:pPr>
            <w:r>
              <w:rPr>
                <w:rFonts w:hint="eastAsia" w:ascii="宋体" w:hAnsi="宋体" w:cs="宋体"/>
                <w:color w:val="000000"/>
                <w:szCs w:val="21"/>
              </w:rPr>
              <w:t>企业名称</w:t>
            </w:r>
          </w:p>
        </w:tc>
        <w:tc>
          <w:tcPr>
            <w:tcW w:w="4820" w:type="dxa"/>
            <w:gridSpan w:val="6"/>
            <w:vAlign w:val="center"/>
          </w:tcPr>
          <w:p>
            <w:pPr>
              <w:spacing w:line="440" w:lineRule="exact"/>
              <w:jc w:val="center"/>
              <w:rPr>
                <w:rFonts w:ascii="宋体" w:hAnsi="宋体" w:cs="宋体"/>
                <w:color w:val="000000"/>
                <w:szCs w:val="21"/>
              </w:rPr>
            </w:pPr>
          </w:p>
        </w:tc>
        <w:tc>
          <w:tcPr>
            <w:tcW w:w="1701" w:type="dxa"/>
            <w:gridSpan w:val="2"/>
            <w:vAlign w:val="center"/>
          </w:tcPr>
          <w:p>
            <w:pPr>
              <w:spacing w:line="440" w:lineRule="exact"/>
              <w:jc w:val="center"/>
              <w:rPr>
                <w:rFonts w:ascii="宋体" w:hAnsi="宋体" w:cs="宋体"/>
                <w:color w:val="000000"/>
                <w:szCs w:val="21"/>
              </w:rPr>
            </w:pPr>
            <w:r>
              <w:rPr>
                <w:rFonts w:hint="eastAsia" w:ascii="宋体" w:hAnsi="宋体" w:cs="宋体"/>
                <w:color w:val="000000"/>
                <w:szCs w:val="21"/>
              </w:rPr>
              <w:t>法人代表</w:t>
            </w:r>
          </w:p>
        </w:tc>
        <w:tc>
          <w:tcPr>
            <w:tcW w:w="2551" w:type="dxa"/>
            <w:gridSpan w:val="4"/>
            <w:vAlign w:val="center"/>
          </w:tcPr>
          <w:p>
            <w:pPr>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pacing w:line="440" w:lineRule="exact"/>
              <w:jc w:val="center"/>
              <w:rPr>
                <w:rFonts w:ascii="宋体" w:hAnsi="宋体" w:cs="宋体"/>
                <w:color w:val="000000"/>
                <w:szCs w:val="21"/>
              </w:rPr>
            </w:pPr>
            <w:r>
              <w:rPr>
                <w:rFonts w:hint="eastAsia" w:ascii="宋体" w:hAnsi="宋体" w:cs="宋体"/>
                <w:color w:val="000000"/>
                <w:szCs w:val="21"/>
              </w:rPr>
              <w:t>地址</w:t>
            </w:r>
          </w:p>
        </w:tc>
        <w:tc>
          <w:tcPr>
            <w:tcW w:w="4820" w:type="dxa"/>
            <w:gridSpan w:val="6"/>
            <w:vAlign w:val="center"/>
          </w:tcPr>
          <w:p>
            <w:pPr>
              <w:spacing w:line="440" w:lineRule="exact"/>
              <w:jc w:val="center"/>
              <w:rPr>
                <w:rFonts w:ascii="宋体" w:hAnsi="宋体" w:cs="宋体"/>
                <w:color w:val="000000"/>
                <w:szCs w:val="21"/>
              </w:rPr>
            </w:pPr>
          </w:p>
        </w:tc>
        <w:tc>
          <w:tcPr>
            <w:tcW w:w="1701" w:type="dxa"/>
            <w:gridSpan w:val="2"/>
            <w:vAlign w:val="center"/>
          </w:tcPr>
          <w:p>
            <w:pPr>
              <w:spacing w:line="440" w:lineRule="exact"/>
              <w:jc w:val="center"/>
              <w:rPr>
                <w:rFonts w:ascii="宋体" w:hAnsi="宋体" w:cs="宋体"/>
                <w:color w:val="000000"/>
                <w:szCs w:val="21"/>
              </w:rPr>
            </w:pPr>
            <w:r>
              <w:rPr>
                <w:rFonts w:hint="eastAsia" w:ascii="宋体" w:hAnsi="宋体" w:cs="宋体"/>
                <w:color w:val="000000"/>
                <w:szCs w:val="21"/>
              </w:rPr>
              <w:t>企业性质</w:t>
            </w:r>
          </w:p>
        </w:tc>
        <w:tc>
          <w:tcPr>
            <w:tcW w:w="2551" w:type="dxa"/>
            <w:gridSpan w:val="4"/>
            <w:vAlign w:val="center"/>
          </w:tcPr>
          <w:p>
            <w:pPr>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Align w:val="center"/>
          </w:tcPr>
          <w:p>
            <w:pPr>
              <w:spacing w:line="440" w:lineRule="exact"/>
              <w:jc w:val="center"/>
              <w:rPr>
                <w:rFonts w:ascii="宋体" w:hAnsi="宋体" w:cs="宋体"/>
                <w:color w:val="000000"/>
                <w:szCs w:val="21"/>
              </w:rPr>
            </w:pPr>
            <w:r>
              <w:rPr>
                <w:rFonts w:hint="eastAsia" w:ascii="宋体" w:hAnsi="宋体" w:cs="宋体"/>
                <w:color w:val="000000"/>
                <w:szCs w:val="21"/>
              </w:rPr>
              <w:t>股东姓名</w:t>
            </w:r>
          </w:p>
        </w:tc>
        <w:tc>
          <w:tcPr>
            <w:tcW w:w="992" w:type="dxa"/>
            <w:vAlign w:val="center"/>
          </w:tcPr>
          <w:p>
            <w:pPr>
              <w:spacing w:line="440" w:lineRule="exact"/>
              <w:jc w:val="center"/>
              <w:rPr>
                <w:rFonts w:ascii="宋体" w:hAnsi="宋体" w:cs="宋体"/>
                <w:color w:val="000000"/>
                <w:szCs w:val="21"/>
              </w:rPr>
            </w:pPr>
          </w:p>
        </w:tc>
        <w:tc>
          <w:tcPr>
            <w:tcW w:w="1418" w:type="dxa"/>
            <w:vAlign w:val="center"/>
          </w:tcPr>
          <w:p>
            <w:pPr>
              <w:spacing w:line="440" w:lineRule="exact"/>
              <w:jc w:val="center"/>
              <w:rPr>
                <w:rFonts w:ascii="宋体" w:hAnsi="宋体" w:cs="宋体"/>
                <w:color w:val="000000"/>
                <w:szCs w:val="21"/>
              </w:rPr>
            </w:pPr>
            <w:r>
              <w:rPr>
                <w:rFonts w:hint="eastAsia" w:ascii="宋体" w:hAnsi="宋体" w:cs="宋体"/>
                <w:color w:val="000000"/>
                <w:szCs w:val="21"/>
              </w:rPr>
              <w:t>股权结构（%）</w:t>
            </w:r>
          </w:p>
        </w:tc>
        <w:tc>
          <w:tcPr>
            <w:tcW w:w="2410" w:type="dxa"/>
            <w:gridSpan w:val="4"/>
            <w:vAlign w:val="center"/>
          </w:tcPr>
          <w:p>
            <w:pPr>
              <w:spacing w:line="440" w:lineRule="exact"/>
              <w:jc w:val="center"/>
              <w:rPr>
                <w:rFonts w:ascii="宋体" w:hAnsi="宋体" w:cs="宋体"/>
                <w:color w:val="000000"/>
                <w:szCs w:val="21"/>
              </w:rPr>
            </w:pPr>
          </w:p>
        </w:tc>
        <w:tc>
          <w:tcPr>
            <w:tcW w:w="1701" w:type="dxa"/>
            <w:gridSpan w:val="2"/>
            <w:vAlign w:val="center"/>
          </w:tcPr>
          <w:p>
            <w:pPr>
              <w:spacing w:line="440" w:lineRule="exact"/>
              <w:jc w:val="center"/>
              <w:rPr>
                <w:rFonts w:ascii="宋体" w:hAnsi="宋体" w:cs="宋体"/>
                <w:color w:val="000000"/>
                <w:szCs w:val="21"/>
              </w:rPr>
            </w:pPr>
            <w:r>
              <w:rPr>
                <w:rFonts w:hint="eastAsia" w:ascii="宋体" w:hAnsi="宋体" w:cs="宋体"/>
                <w:color w:val="000000"/>
                <w:szCs w:val="21"/>
              </w:rPr>
              <w:t>股东关系</w:t>
            </w:r>
          </w:p>
        </w:tc>
        <w:tc>
          <w:tcPr>
            <w:tcW w:w="2551" w:type="dxa"/>
            <w:gridSpan w:val="4"/>
            <w:vAlign w:val="center"/>
          </w:tcPr>
          <w:p>
            <w:pPr>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135" w:type="dxa"/>
            <w:vMerge w:val="restart"/>
            <w:vAlign w:val="center"/>
          </w:tcPr>
          <w:p>
            <w:pPr>
              <w:spacing w:line="440" w:lineRule="exact"/>
              <w:jc w:val="center"/>
              <w:rPr>
                <w:rFonts w:ascii="宋体" w:hAnsi="宋体" w:cs="宋体"/>
                <w:color w:val="000000"/>
                <w:szCs w:val="21"/>
              </w:rPr>
            </w:pPr>
            <w:r>
              <w:rPr>
                <w:rFonts w:hint="eastAsia" w:ascii="宋体" w:hAnsi="宋体" w:cs="宋体"/>
                <w:color w:val="000000"/>
                <w:szCs w:val="21"/>
              </w:rPr>
              <w:t>联系人姓名</w:t>
            </w:r>
          </w:p>
        </w:tc>
        <w:tc>
          <w:tcPr>
            <w:tcW w:w="992" w:type="dxa"/>
            <w:vMerge w:val="restart"/>
            <w:vAlign w:val="center"/>
          </w:tcPr>
          <w:p>
            <w:pPr>
              <w:spacing w:line="440" w:lineRule="exact"/>
              <w:jc w:val="center"/>
              <w:rPr>
                <w:rFonts w:ascii="宋体" w:hAnsi="宋体" w:cs="宋体"/>
                <w:color w:val="000000"/>
                <w:szCs w:val="21"/>
              </w:rPr>
            </w:pPr>
          </w:p>
        </w:tc>
        <w:tc>
          <w:tcPr>
            <w:tcW w:w="1418" w:type="dxa"/>
            <w:vAlign w:val="center"/>
          </w:tcPr>
          <w:p>
            <w:pPr>
              <w:spacing w:line="440" w:lineRule="exact"/>
              <w:jc w:val="center"/>
              <w:rPr>
                <w:rFonts w:ascii="宋体" w:hAnsi="宋体" w:cs="宋体"/>
                <w:color w:val="000000"/>
                <w:szCs w:val="21"/>
              </w:rPr>
            </w:pPr>
            <w:r>
              <w:rPr>
                <w:rFonts w:hint="eastAsia" w:ascii="宋体" w:hAnsi="宋体" w:cs="宋体"/>
                <w:color w:val="000000"/>
                <w:szCs w:val="21"/>
              </w:rPr>
              <w:t>固定电话</w:t>
            </w:r>
          </w:p>
        </w:tc>
        <w:tc>
          <w:tcPr>
            <w:tcW w:w="2410" w:type="dxa"/>
            <w:gridSpan w:val="4"/>
            <w:vAlign w:val="center"/>
          </w:tcPr>
          <w:p>
            <w:pPr>
              <w:spacing w:line="440" w:lineRule="exact"/>
              <w:jc w:val="center"/>
              <w:rPr>
                <w:rFonts w:ascii="宋体" w:hAnsi="宋体" w:cs="宋体"/>
                <w:color w:val="000000"/>
                <w:szCs w:val="21"/>
              </w:rPr>
            </w:pPr>
          </w:p>
        </w:tc>
        <w:tc>
          <w:tcPr>
            <w:tcW w:w="1701" w:type="dxa"/>
            <w:gridSpan w:val="2"/>
            <w:vMerge w:val="restart"/>
            <w:vAlign w:val="center"/>
          </w:tcPr>
          <w:p>
            <w:pPr>
              <w:spacing w:line="440" w:lineRule="exact"/>
              <w:jc w:val="center"/>
              <w:rPr>
                <w:rFonts w:ascii="宋体" w:hAnsi="宋体" w:cs="宋体"/>
                <w:color w:val="000000"/>
                <w:szCs w:val="21"/>
              </w:rPr>
            </w:pPr>
            <w:r>
              <w:rPr>
                <w:rFonts w:hint="eastAsia" w:ascii="宋体" w:hAnsi="宋体" w:cs="宋体"/>
                <w:color w:val="000000"/>
                <w:szCs w:val="21"/>
              </w:rPr>
              <w:t>传真</w:t>
            </w:r>
          </w:p>
        </w:tc>
        <w:tc>
          <w:tcPr>
            <w:tcW w:w="2551" w:type="dxa"/>
            <w:gridSpan w:val="4"/>
            <w:vMerge w:val="restart"/>
            <w:vAlign w:val="center"/>
          </w:tcPr>
          <w:p>
            <w:pPr>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1135" w:type="dxa"/>
            <w:vMerge w:val="continue"/>
            <w:vAlign w:val="center"/>
          </w:tcPr>
          <w:p>
            <w:pPr>
              <w:spacing w:line="440" w:lineRule="exact"/>
              <w:jc w:val="center"/>
              <w:rPr>
                <w:rFonts w:ascii="宋体" w:hAnsi="宋体" w:cs="宋体"/>
                <w:color w:val="000000"/>
                <w:szCs w:val="21"/>
              </w:rPr>
            </w:pPr>
          </w:p>
        </w:tc>
        <w:tc>
          <w:tcPr>
            <w:tcW w:w="992" w:type="dxa"/>
            <w:vMerge w:val="continue"/>
            <w:vAlign w:val="center"/>
          </w:tcPr>
          <w:p>
            <w:pPr>
              <w:spacing w:line="440" w:lineRule="exact"/>
              <w:jc w:val="center"/>
              <w:rPr>
                <w:rFonts w:ascii="宋体" w:hAnsi="宋体" w:cs="宋体"/>
                <w:color w:val="000000"/>
                <w:szCs w:val="21"/>
              </w:rPr>
            </w:pPr>
          </w:p>
        </w:tc>
        <w:tc>
          <w:tcPr>
            <w:tcW w:w="1418" w:type="dxa"/>
            <w:vAlign w:val="center"/>
          </w:tcPr>
          <w:p>
            <w:pPr>
              <w:spacing w:line="440" w:lineRule="exact"/>
              <w:jc w:val="center"/>
              <w:rPr>
                <w:rFonts w:ascii="宋体" w:hAnsi="宋体" w:cs="宋体"/>
                <w:color w:val="000000"/>
                <w:szCs w:val="21"/>
              </w:rPr>
            </w:pPr>
            <w:r>
              <w:rPr>
                <w:rFonts w:hint="eastAsia" w:ascii="宋体" w:hAnsi="宋体" w:cs="宋体"/>
                <w:color w:val="000000"/>
                <w:szCs w:val="21"/>
              </w:rPr>
              <w:t>手 机</w:t>
            </w:r>
          </w:p>
        </w:tc>
        <w:tc>
          <w:tcPr>
            <w:tcW w:w="2410" w:type="dxa"/>
            <w:gridSpan w:val="4"/>
            <w:vAlign w:val="center"/>
          </w:tcPr>
          <w:p>
            <w:pPr>
              <w:spacing w:line="440" w:lineRule="exact"/>
              <w:jc w:val="center"/>
              <w:rPr>
                <w:rFonts w:ascii="宋体" w:hAnsi="宋体" w:cs="宋体"/>
                <w:color w:val="000000"/>
                <w:szCs w:val="21"/>
              </w:rPr>
            </w:pPr>
          </w:p>
        </w:tc>
        <w:tc>
          <w:tcPr>
            <w:tcW w:w="1701" w:type="dxa"/>
            <w:gridSpan w:val="2"/>
            <w:vMerge w:val="continue"/>
            <w:vAlign w:val="center"/>
          </w:tcPr>
          <w:p>
            <w:pPr>
              <w:spacing w:line="440" w:lineRule="exact"/>
              <w:jc w:val="center"/>
              <w:rPr>
                <w:rFonts w:ascii="宋体" w:hAnsi="宋体" w:cs="宋体"/>
                <w:color w:val="000000"/>
                <w:szCs w:val="21"/>
              </w:rPr>
            </w:pPr>
          </w:p>
        </w:tc>
        <w:tc>
          <w:tcPr>
            <w:tcW w:w="2551" w:type="dxa"/>
            <w:gridSpan w:val="4"/>
            <w:vMerge w:val="continue"/>
            <w:vAlign w:val="center"/>
          </w:tcPr>
          <w:p>
            <w:pPr>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restart"/>
            <w:vAlign w:val="center"/>
          </w:tcPr>
          <w:p>
            <w:pPr>
              <w:spacing w:line="440" w:lineRule="exact"/>
              <w:jc w:val="center"/>
              <w:rPr>
                <w:rFonts w:ascii="宋体" w:hAnsi="宋体" w:cs="宋体"/>
                <w:color w:val="000000"/>
                <w:szCs w:val="21"/>
              </w:rPr>
            </w:pPr>
            <w:r>
              <w:rPr>
                <w:rFonts w:hint="eastAsia" w:ascii="宋体" w:hAnsi="宋体" w:cs="宋体"/>
                <w:color w:val="000000"/>
                <w:szCs w:val="21"/>
              </w:rPr>
              <w:t>1.企业概况</w:t>
            </w:r>
          </w:p>
        </w:tc>
        <w:tc>
          <w:tcPr>
            <w:tcW w:w="992" w:type="dxa"/>
            <w:vAlign w:val="center"/>
          </w:tcPr>
          <w:p>
            <w:pPr>
              <w:spacing w:line="440" w:lineRule="exact"/>
              <w:jc w:val="center"/>
              <w:rPr>
                <w:rFonts w:ascii="宋体" w:hAnsi="宋体" w:cs="宋体"/>
                <w:color w:val="000000"/>
                <w:szCs w:val="21"/>
              </w:rPr>
            </w:pPr>
            <w:r>
              <w:rPr>
                <w:rFonts w:hint="eastAsia" w:ascii="宋体" w:hAnsi="宋体" w:cs="宋体"/>
                <w:color w:val="000000"/>
                <w:szCs w:val="21"/>
              </w:rPr>
              <w:t>职工</w:t>
            </w:r>
          </w:p>
          <w:p>
            <w:pPr>
              <w:spacing w:line="440" w:lineRule="exact"/>
              <w:jc w:val="center"/>
              <w:rPr>
                <w:rFonts w:ascii="宋体" w:hAnsi="宋体" w:cs="宋体"/>
                <w:color w:val="000000"/>
                <w:szCs w:val="21"/>
              </w:rPr>
            </w:pPr>
            <w:r>
              <w:rPr>
                <w:rFonts w:hint="eastAsia" w:ascii="宋体" w:hAnsi="宋体" w:cs="宋体"/>
                <w:color w:val="000000"/>
                <w:szCs w:val="21"/>
              </w:rPr>
              <w:t>人数</w:t>
            </w:r>
          </w:p>
        </w:tc>
        <w:tc>
          <w:tcPr>
            <w:tcW w:w="1418" w:type="dxa"/>
            <w:vAlign w:val="center"/>
          </w:tcPr>
          <w:p>
            <w:pPr>
              <w:spacing w:line="440" w:lineRule="exact"/>
              <w:jc w:val="center"/>
              <w:rPr>
                <w:rFonts w:ascii="宋体" w:hAnsi="宋体" w:cs="宋体"/>
                <w:color w:val="000000"/>
                <w:szCs w:val="21"/>
              </w:rPr>
            </w:pPr>
          </w:p>
        </w:tc>
        <w:tc>
          <w:tcPr>
            <w:tcW w:w="1276" w:type="dxa"/>
            <w:gridSpan w:val="2"/>
            <w:vAlign w:val="center"/>
          </w:tcPr>
          <w:p>
            <w:pPr>
              <w:spacing w:line="440" w:lineRule="exact"/>
              <w:jc w:val="center"/>
              <w:rPr>
                <w:rFonts w:ascii="宋体" w:hAnsi="宋体" w:cs="宋体"/>
                <w:color w:val="000000"/>
                <w:szCs w:val="21"/>
              </w:rPr>
            </w:pPr>
            <w:r>
              <w:rPr>
                <w:rFonts w:hint="eastAsia" w:ascii="宋体" w:hAnsi="宋体" w:cs="宋体"/>
                <w:color w:val="000000"/>
                <w:szCs w:val="21"/>
              </w:rPr>
              <w:t>具备大专以上学历人数</w:t>
            </w:r>
          </w:p>
        </w:tc>
        <w:tc>
          <w:tcPr>
            <w:tcW w:w="1134" w:type="dxa"/>
            <w:gridSpan w:val="2"/>
            <w:vAlign w:val="center"/>
          </w:tcPr>
          <w:p>
            <w:pPr>
              <w:spacing w:line="440" w:lineRule="exact"/>
              <w:jc w:val="center"/>
              <w:rPr>
                <w:rFonts w:ascii="宋体" w:hAnsi="宋体" w:cs="宋体"/>
                <w:color w:val="000000"/>
                <w:szCs w:val="21"/>
              </w:rPr>
            </w:pPr>
          </w:p>
        </w:tc>
        <w:tc>
          <w:tcPr>
            <w:tcW w:w="1701" w:type="dxa"/>
            <w:gridSpan w:val="2"/>
            <w:vAlign w:val="center"/>
          </w:tcPr>
          <w:p>
            <w:pPr>
              <w:spacing w:line="440" w:lineRule="exact"/>
              <w:jc w:val="center"/>
              <w:rPr>
                <w:rFonts w:ascii="宋体" w:hAnsi="宋体" w:cs="宋体"/>
                <w:color w:val="000000"/>
                <w:szCs w:val="21"/>
              </w:rPr>
            </w:pPr>
            <w:r>
              <w:rPr>
                <w:rFonts w:hint="eastAsia" w:ascii="宋体" w:hAnsi="宋体" w:cs="宋体"/>
                <w:color w:val="000000"/>
                <w:szCs w:val="21"/>
              </w:rPr>
              <w:t>国家授予技术职称人数</w:t>
            </w:r>
          </w:p>
        </w:tc>
        <w:tc>
          <w:tcPr>
            <w:tcW w:w="2551" w:type="dxa"/>
            <w:gridSpan w:val="4"/>
            <w:vAlign w:val="center"/>
          </w:tcPr>
          <w:p>
            <w:pPr>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spacing w:line="440" w:lineRule="exact"/>
              <w:jc w:val="center"/>
              <w:rPr>
                <w:rFonts w:ascii="宋体" w:hAnsi="宋体" w:cs="宋体"/>
                <w:color w:val="000000"/>
                <w:szCs w:val="21"/>
              </w:rPr>
            </w:pPr>
          </w:p>
        </w:tc>
        <w:tc>
          <w:tcPr>
            <w:tcW w:w="992" w:type="dxa"/>
            <w:vAlign w:val="center"/>
          </w:tcPr>
          <w:p>
            <w:pPr>
              <w:spacing w:line="440" w:lineRule="exact"/>
              <w:jc w:val="center"/>
              <w:rPr>
                <w:rFonts w:ascii="宋体" w:hAnsi="宋体" w:cs="宋体"/>
                <w:color w:val="000000"/>
                <w:szCs w:val="21"/>
              </w:rPr>
            </w:pPr>
            <w:r>
              <w:rPr>
                <w:rFonts w:hint="eastAsia" w:ascii="宋体" w:hAnsi="宋体" w:cs="宋体"/>
                <w:color w:val="000000"/>
                <w:szCs w:val="21"/>
              </w:rPr>
              <w:t>占地</w:t>
            </w:r>
          </w:p>
          <w:p>
            <w:pPr>
              <w:spacing w:line="440" w:lineRule="exact"/>
              <w:jc w:val="center"/>
              <w:rPr>
                <w:rFonts w:ascii="宋体" w:hAnsi="宋体" w:cs="宋体"/>
                <w:color w:val="000000"/>
                <w:szCs w:val="21"/>
              </w:rPr>
            </w:pPr>
            <w:r>
              <w:rPr>
                <w:rFonts w:hint="eastAsia" w:ascii="宋体" w:hAnsi="宋体" w:cs="宋体"/>
                <w:color w:val="000000"/>
                <w:szCs w:val="21"/>
              </w:rPr>
              <w:t>面积</w:t>
            </w:r>
          </w:p>
        </w:tc>
        <w:tc>
          <w:tcPr>
            <w:tcW w:w="1418" w:type="dxa"/>
            <w:vAlign w:val="center"/>
          </w:tcPr>
          <w:p>
            <w:pPr>
              <w:spacing w:line="440" w:lineRule="exact"/>
              <w:jc w:val="center"/>
              <w:rPr>
                <w:rFonts w:ascii="宋体" w:hAnsi="宋体" w:cs="宋体"/>
                <w:color w:val="000000"/>
                <w:szCs w:val="21"/>
              </w:rPr>
            </w:pPr>
          </w:p>
        </w:tc>
        <w:tc>
          <w:tcPr>
            <w:tcW w:w="1276" w:type="dxa"/>
            <w:gridSpan w:val="2"/>
            <w:vAlign w:val="center"/>
          </w:tcPr>
          <w:p>
            <w:pPr>
              <w:spacing w:line="440" w:lineRule="exact"/>
              <w:jc w:val="center"/>
              <w:rPr>
                <w:rFonts w:ascii="宋体" w:hAnsi="宋体" w:cs="宋体"/>
                <w:color w:val="000000"/>
                <w:szCs w:val="21"/>
              </w:rPr>
            </w:pPr>
            <w:r>
              <w:rPr>
                <w:rFonts w:hint="eastAsia" w:ascii="宋体" w:hAnsi="宋体" w:cs="宋体"/>
                <w:color w:val="000000"/>
                <w:szCs w:val="21"/>
              </w:rPr>
              <w:t>建筑面积</w:t>
            </w:r>
          </w:p>
        </w:tc>
        <w:tc>
          <w:tcPr>
            <w:tcW w:w="1134" w:type="dxa"/>
            <w:gridSpan w:val="2"/>
            <w:vAlign w:val="center"/>
          </w:tcPr>
          <w:p>
            <w:pPr>
              <w:spacing w:line="440" w:lineRule="exact"/>
              <w:jc w:val="center"/>
              <w:rPr>
                <w:rFonts w:ascii="宋体" w:hAnsi="宋体" w:cs="宋体"/>
                <w:color w:val="000000"/>
                <w:szCs w:val="21"/>
              </w:rPr>
            </w:pPr>
            <w:r>
              <w:rPr>
                <w:rFonts w:hint="eastAsia" w:ascii="宋体" w:hAnsi="宋体" w:cs="宋体"/>
                <w:color w:val="000000"/>
                <w:szCs w:val="21"/>
              </w:rPr>
              <w:t>平方米 □自有 □租赁</w:t>
            </w:r>
          </w:p>
        </w:tc>
        <w:tc>
          <w:tcPr>
            <w:tcW w:w="1701" w:type="dxa"/>
            <w:gridSpan w:val="2"/>
            <w:vAlign w:val="center"/>
          </w:tcPr>
          <w:p>
            <w:pPr>
              <w:spacing w:line="440" w:lineRule="exact"/>
              <w:jc w:val="center"/>
              <w:rPr>
                <w:rFonts w:ascii="宋体" w:hAnsi="宋体" w:cs="宋体"/>
                <w:color w:val="000000"/>
                <w:szCs w:val="21"/>
              </w:rPr>
            </w:pPr>
            <w:r>
              <w:rPr>
                <w:rFonts w:hint="eastAsia" w:ascii="宋体" w:hAnsi="宋体" w:cs="宋体"/>
                <w:color w:val="000000"/>
                <w:szCs w:val="21"/>
              </w:rPr>
              <w:t>生产经营场所及场所的设施与设备</w:t>
            </w:r>
          </w:p>
        </w:tc>
        <w:tc>
          <w:tcPr>
            <w:tcW w:w="2551" w:type="dxa"/>
            <w:gridSpan w:val="4"/>
            <w:vAlign w:val="center"/>
          </w:tcPr>
          <w:p>
            <w:pPr>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spacing w:line="440" w:lineRule="exact"/>
              <w:jc w:val="center"/>
              <w:rPr>
                <w:rFonts w:ascii="宋体" w:hAnsi="宋体" w:cs="宋体"/>
                <w:color w:val="000000"/>
                <w:szCs w:val="21"/>
              </w:rPr>
            </w:pPr>
          </w:p>
        </w:tc>
        <w:tc>
          <w:tcPr>
            <w:tcW w:w="992" w:type="dxa"/>
            <w:vAlign w:val="center"/>
          </w:tcPr>
          <w:p>
            <w:pPr>
              <w:spacing w:line="440" w:lineRule="exact"/>
              <w:jc w:val="center"/>
              <w:rPr>
                <w:rFonts w:ascii="宋体" w:hAnsi="宋体" w:cs="宋体"/>
                <w:color w:val="000000"/>
                <w:szCs w:val="21"/>
              </w:rPr>
            </w:pPr>
            <w:r>
              <w:rPr>
                <w:rFonts w:hint="eastAsia" w:ascii="宋体" w:hAnsi="宋体" w:cs="宋体"/>
                <w:color w:val="000000"/>
                <w:szCs w:val="21"/>
              </w:rPr>
              <w:t>注册</w:t>
            </w:r>
          </w:p>
          <w:p>
            <w:pPr>
              <w:spacing w:line="440" w:lineRule="exact"/>
              <w:jc w:val="center"/>
              <w:rPr>
                <w:rFonts w:ascii="宋体" w:hAnsi="宋体" w:cs="宋体"/>
                <w:color w:val="000000"/>
                <w:szCs w:val="21"/>
              </w:rPr>
            </w:pPr>
            <w:r>
              <w:rPr>
                <w:rFonts w:hint="eastAsia" w:ascii="宋体" w:hAnsi="宋体" w:cs="宋体"/>
                <w:color w:val="000000"/>
                <w:szCs w:val="21"/>
              </w:rPr>
              <w:t>资金</w:t>
            </w:r>
          </w:p>
        </w:tc>
        <w:tc>
          <w:tcPr>
            <w:tcW w:w="1418" w:type="dxa"/>
            <w:vAlign w:val="center"/>
          </w:tcPr>
          <w:p>
            <w:pPr>
              <w:spacing w:line="440" w:lineRule="exact"/>
              <w:jc w:val="center"/>
              <w:rPr>
                <w:rFonts w:ascii="宋体" w:hAnsi="宋体" w:cs="宋体"/>
                <w:color w:val="000000"/>
                <w:szCs w:val="21"/>
              </w:rPr>
            </w:pPr>
          </w:p>
        </w:tc>
        <w:tc>
          <w:tcPr>
            <w:tcW w:w="1276" w:type="dxa"/>
            <w:gridSpan w:val="2"/>
            <w:vAlign w:val="center"/>
          </w:tcPr>
          <w:p>
            <w:pPr>
              <w:spacing w:line="440" w:lineRule="exact"/>
              <w:jc w:val="center"/>
              <w:rPr>
                <w:rFonts w:ascii="宋体" w:hAnsi="宋体" w:cs="宋体"/>
                <w:color w:val="000000"/>
                <w:szCs w:val="21"/>
              </w:rPr>
            </w:pPr>
            <w:r>
              <w:rPr>
                <w:rFonts w:hint="eastAsia" w:ascii="宋体" w:hAnsi="宋体" w:cs="宋体"/>
                <w:color w:val="000000"/>
                <w:szCs w:val="21"/>
              </w:rPr>
              <w:t>注册发证机 关</w:t>
            </w:r>
          </w:p>
        </w:tc>
        <w:tc>
          <w:tcPr>
            <w:tcW w:w="2835" w:type="dxa"/>
            <w:gridSpan w:val="4"/>
            <w:vAlign w:val="center"/>
          </w:tcPr>
          <w:p>
            <w:pPr>
              <w:spacing w:line="440" w:lineRule="exact"/>
              <w:jc w:val="center"/>
              <w:rPr>
                <w:rFonts w:ascii="宋体" w:hAnsi="宋体" w:cs="宋体"/>
                <w:color w:val="000000"/>
                <w:szCs w:val="21"/>
              </w:rPr>
            </w:pPr>
          </w:p>
        </w:tc>
        <w:tc>
          <w:tcPr>
            <w:tcW w:w="992" w:type="dxa"/>
            <w:gridSpan w:val="2"/>
            <w:vAlign w:val="center"/>
          </w:tcPr>
          <w:p>
            <w:pPr>
              <w:spacing w:line="440" w:lineRule="exact"/>
              <w:jc w:val="center"/>
              <w:rPr>
                <w:rFonts w:ascii="宋体" w:hAnsi="宋体" w:cs="宋体"/>
                <w:color w:val="000000"/>
                <w:szCs w:val="21"/>
              </w:rPr>
            </w:pPr>
            <w:r>
              <w:rPr>
                <w:rFonts w:hint="eastAsia" w:ascii="宋体" w:hAnsi="宋体" w:cs="宋体"/>
                <w:color w:val="000000"/>
                <w:szCs w:val="21"/>
              </w:rPr>
              <w:t>公司成立时间</w:t>
            </w:r>
          </w:p>
        </w:tc>
        <w:tc>
          <w:tcPr>
            <w:tcW w:w="1559" w:type="dxa"/>
            <w:gridSpan w:val="2"/>
            <w:vAlign w:val="center"/>
          </w:tcPr>
          <w:p>
            <w:pPr>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spacing w:line="440" w:lineRule="exact"/>
              <w:jc w:val="center"/>
              <w:rPr>
                <w:rFonts w:ascii="宋体" w:hAnsi="宋体" w:cs="宋体"/>
                <w:color w:val="000000"/>
                <w:szCs w:val="21"/>
              </w:rPr>
            </w:pPr>
          </w:p>
        </w:tc>
        <w:tc>
          <w:tcPr>
            <w:tcW w:w="992" w:type="dxa"/>
            <w:vAlign w:val="center"/>
          </w:tcPr>
          <w:p>
            <w:pPr>
              <w:spacing w:line="440" w:lineRule="exact"/>
              <w:jc w:val="center"/>
              <w:rPr>
                <w:rFonts w:ascii="宋体" w:hAnsi="宋体" w:cs="宋体"/>
                <w:color w:val="000000"/>
                <w:szCs w:val="21"/>
              </w:rPr>
            </w:pPr>
            <w:r>
              <w:rPr>
                <w:rFonts w:hint="eastAsia" w:ascii="宋体" w:hAnsi="宋体" w:cs="宋体"/>
                <w:color w:val="000000"/>
                <w:szCs w:val="21"/>
              </w:rPr>
              <w:t>核准经营范围</w:t>
            </w:r>
          </w:p>
        </w:tc>
        <w:tc>
          <w:tcPr>
            <w:tcW w:w="8080" w:type="dxa"/>
            <w:gridSpan w:val="11"/>
            <w:vAlign w:val="center"/>
          </w:tcPr>
          <w:p>
            <w:pPr>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spacing w:line="440" w:lineRule="exact"/>
              <w:jc w:val="center"/>
              <w:rPr>
                <w:rFonts w:ascii="宋体" w:hAnsi="宋体" w:cs="宋体"/>
                <w:color w:val="000000"/>
                <w:szCs w:val="21"/>
              </w:rPr>
            </w:pPr>
          </w:p>
        </w:tc>
        <w:tc>
          <w:tcPr>
            <w:tcW w:w="9072" w:type="dxa"/>
            <w:gridSpan w:val="12"/>
            <w:vAlign w:val="center"/>
          </w:tcPr>
          <w:p>
            <w:pPr>
              <w:spacing w:line="440" w:lineRule="exact"/>
              <w:jc w:val="left"/>
              <w:rPr>
                <w:rFonts w:ascii="宋体" w:hAnsi="宋体" w:cs="宋体"/>
                <w:color w:val="000000"/>
                <w:szCs w:val="21"/>
              </w:rPr>
            </w:pPr>
            <w:r>
              <w:rPr>
                <w:rFonts w:hint="eastAsia" w:ascii="宋体" w:hAnsi="宋体" w:cs="宋体"/>
                <w:color w:val="000000"/>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135" w:type="dxa"/>
            <w:vMerge w:val="restart"/>
            <w:vAlign w:val="center"/>
          </w:tcPr>
          <w:p>
            <w:pPr>
              <w:spacing w:line="440" w:lineRule="exact"/>
              <w:jc w:val="center"/>
              <w:rPr>
                <w:rFonts w:ascii="宋体" w:hAnsi="宋体" w:cs="宋体"/>
                <w:color w:val="000000"/>
                <w:szCs w:val="21"/>
              </w:rPr>
            </w:pPr>
            <w:r>
              <w:rPr>
                <w:rFonts w:hint="eastAsia" w:ascii="宋体" w:hAnsi="宋体" w:cs="宋体"/>
                <w:color w:val="000000"/>
                <w:szCs w:val="21"/>
              </w:rPr>
              <w:t>2.企业有关资质获证情况</w:t>
            </w:r>
          </w:p>
        </w:tc>
        <w:tc>
          <w:tcPr>
            <w:tcW w:w="2590" w:type="dxa"/>
            <w:gridSpan w:val="3"/>
            <w:vMerge w:val="restart"/>
            <w:vAlign w:val="center"/>
          </w:tcPr>
          <w:p>
            <w:pPr>
              <w:spacing w:line="440" w:lineRule="exact"/>
              <w:jc w:val="center"/>
              <w:rPr>
                <w:rFonts w:ascii="宋体" w:hAnsi="宋体" w:cs="宋体"/>
                <w:color w:val="000000"/>
                <w:szCs w:val="21"/>
              </w:rPr>
            </w:pPr>
            <w:r>
              <w:rPr>
                <w:rFonts w:hint="eastAsia" w:ascii="宋体" w:hAnsi="宋体" w:cs="宋体"/>
                <w:color w:val="000000"/>
                <w:szCs w:val="21"/>
              </w:rPr>
              <w:t>产品生产许可证情况（对需获得生产许可证的产品要填写此栏）</w:t>
            </w:r>
          </w:p>
        </w:tc>
        <w:tc>
          <w:tcPr>
            <w:tcW w:w="1663" w:type="dxa"/>
            <w:gridSpan w:val="2"/>
            <w:vAlign w:val="center"/>
          </w:tcPr>
          <w:p>
            <w:pPr>
              <w:spacing w:line="440" w:lineRule="exact"/>
              <w:jc w:val="center"/>
              <w:rPr>
                <w:rFonts w:ascii="宋体" w:hAnsi="宋体" w:cs="宋体"/>
                <w:color w:val="000000"/>
                <w:szCs w:val="21"/>
              </w:rPr>
            </w:pPr>
            <w:r>
              <w:rPr>
                <w:rFonts w:hint="eastAsia" w:ascii="宋体" w:hAnsi="宋体" w:cs="宋体"/>
                <w:color w:val="000000"/>
                <w:szCs w:val="21"/>
              </w:rPr>
              <w:t>产品名称</w:t>
            </w:r>
          </w:p>
        </w:tc>
        <w:tc>
          <w:tcPr>
            <w:tcW w:w="1417" w:type="dxa"/>
            <w:gridSpan w:val="2"/>
            <w:vAlign w:val="center"/>
          </w:tcPr>
          <w:p>
            <w:pPr>
              <w:spacing w:line="440" w:lineRule="exact"/>
              <w:jc w:val="center"/>
              <w:rPr>
                <w:rFonts w:ascii="宋体" w:hAnsi="宋体" w:cs="宋体"/>
                <w:color w:val="000000"/>
                <w:szCs w:val="21"/>
              </w:rPr>
            </w:pPr>
            <w:r>
              <w:rPr>
                <w:rFonts w:hint="eastAsia" w:ascii="宋体" w:hAnsi="宋体" w:cs="宋体"/>
                <w:color w:val="000000"/>
                <w:szCs w:val="21"/>
              </w:rPr>
              <w:t>发证机关</w:t>
            </w:r>
          </w:p>
        </w:tc>
        <w:tc>
          <w:tcPr>
            <w:tcW w:w="1181" w:type="dxa"/>
            <w:gridSpan w:val="2"/>
            <w:vAlign w:val="center"/>
          </w:tcPr>
          <w:p>
            <w:pPr>
              <w:spacing w:line="440" w:lineRule="exact"/>
              <w:jc w:val="center"/>
              <w:rPr>
                <w:rFonts w:ascii="宋体" w:hAnsi="宋体" w:cs="宋体"/>
                <w:color w:val="000000"/>
                <w:szCs w:val="21"/>
              </w:rPr>
            </w:pPr>
            <w:r>
              <w:rPr>
                <w:rFonts w:hint="eastAsia" w:ascii="宋体" w:hAnsi="宋体" w:cs="宋体"/>
                <w:color w:val="000000"/>
                <w:szCs w:val="21"/>
              </w:rPr>
              <w:t>编 号</w:t>
            </w:r>
          </w:p>
        </w:tc>
        <w:tc>
          <w:tcPr>
            <w:tcW w:w="804" w:type="dxa"/>
            <w:gridSpan w:val="2"/>
            <w:vAlign w:val="center"/>
          </w:tcPr>
          <w:p>
            <w:pPr>
              <w:spacing w:line="440" w:lineRule="exact"/>
              <w:jc w:val="center"/>
              <w:rPr>
                <w:rFonts w:ascii="宋体" w:hAnsi="宋体" w:cs="宋体"/>
                <w:color w:val="000000"/>
                <w:szCs w:val="21"/>
              </w:rPr>
            </w:pPr>
            <w:r>
              <w:rPr>
                <w:rFonts w:hint="eastAsia" w:ascii="宋体" w:hAnsi="宋体" w:cs="宋体"/>
                <w:color w:val="000000"/>
                <w:szCs w:val="21"/>
              </w:rPr>
              <w:t>发证时间</w:t>
            </w:r>
          </w:p>
        </w:tc>
        <w:tc>
          <w:tcPr>
            <w:tcW w:w="1417" w:type="dxa"/>
            <w:vAlign w:val="center"/>
          </w:tcPr>
          <w:p>
            <w:pPr>
              <w:spacing w:line="440" w:lineRule="exact"/>
              <w:jc w:val="center"/>
              <w:rPr>
                <w:rFonts w:ascii="宋体" w:hAnsi="宋体" w:cs="宋体"/>
                <w:color w:val="000000"/>
                <w:szCs w:val="21"/>
              </w:rPr>
            </w:pPr>
            <w:r>
              <w:rPr>
                <w:rFonts w:hint="eastAsia" w:ascii="宋体" w:hAnsi="宋体" w:cs="宋体"/>
                <w:color w:val="000000"/>
                <w:szCs w:val="21"/>
              </w:rPr>
              <w:t>期 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spacing w:line="440" w:lineRule="exact"/>
              <w:jc w:val="center"/>
              <w:rPr>
                <w:rFonts w:ascii="宋体" w:hAnsi="宋体" w:cs="宋体"/>
                <w:color w:val="000000"/>
                <w:szCs w:val="21"/>
              </w:rPr>
            </w:pPr>
          </w:p>
        </w:tc>
        <w:tc>
          <w:tcPr>
            <w:tcW w:w="2590" w:type="dxa"/>
            <w:gridSpan w:val="3"/>
            <w:vMerge w:val="continue"/>
            <w:vAlign w:val="center"/>
          </w:tcPr>
          <w:p>
            <w:pPr>
              <w:spacing w:line="440" w:lineRule="exact"/>
              <w:jc w:val="center"/>
              <w:rPr>
                <w:rFonts w:ascii="宋体" w:hAnsi="宋体" w:cs="宋体"/>
                <w:color w:val="000000"/>
                <w:szCs w:val="21"/>
              </w:rPr>
            </w:pPr>
          </w:p>
        </w:tc>
        <w:tc>
          <w:tcPr>
            <w:tcW w:w="1663" w:type="dxa"/>
            <w:gridSpan w:val="2"/>
            <w:vAlign w:val="center"/>
          </w:tcPr>
          <w:p>
            <w:pPr>
              <w:spacing w:line="440" w:lineRule="exact"/>
              <w:jc w:val="center"/>
              <w:rPr>
                <w:rFonts w:ascii="宋体" w:hAnsi="宋体" w:cs="宋体"/>
                <w:color w:val="000000"/>
                <w:szCs w:val="21"/>
              </w:rPr>
            </w:pPr>
          </w:p>
        </w:tc>
        <w:tc>
          <w:tcPr>
            <w:tcW w:w="1417" w:type="dxa"/>
            <w:gridSpan w:val="2"/>
            <w:vAlign w:val="center"/>
          </w:tcPr>
          <w:p>
            <w:pPr>
              <w:spacing w:line="440" w:lineRule="exact"/>
              <w:jc w:val="center"/>
              <w:rPr>
                <w:rFonts w:ascii="宋体" w:hAnsi="宋体" w:cs="宋体"/>
                <w:color w:val="000000"/>
                <w:szCs w:val="21"/>
              </w:rPr>
            </w:pPr>
          </w:p>
        </w:tc>
        <w:tc>
          <w:tcPr>
            <w:tcW w:w="1181" w:type="dxa"/>
            <w:gridSpan w:val="2"/>
            <w:vAlign w:val="center"/>
          </w:tcPr>
          <w:p>
            <w:pPr>
              <w:spacing w:line="440" w:lineRule="exact"/>
              <w:jc w:val="center"/>
              <w:rPr>
                <w:rFonts w:ascii="宋体" w:hAnsi="宋体" w:cs="宋体"/>
                <w:color w:val="000000"/>
                <w:szCs w:val="21"/>
              </w:rPr>
            </w:pPr>
          </w:p>
        </w:tc>
        <w:tc>
          <w:tcPr>
            <w:tcW w:w="2221" w:type="dxa"/>
            <w:gridSpan w:val="3"/>
            <w:vAlign w:val="center"/>
          </w:tcPr>
          <w:p>
            <w:pPr>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spacing w:line="440" w:lineRule="exact"/>
              <w:jc w:val="center"/>
              <w:rPr>
                <w:rFonts w:ascii="宋体" w:hAnsi="宋体" w:cs="宋体"/>
                <w:color w:val="000000"/>
                <w:szCs w:val="21"/>
              </w:rPr>
            </w:pPr>
          </w:p>
        </w:tc>
        <w:tc>
          <w:tcPr>
            <w:tcW w:w="2590" w:type="dxa"/>
            <w:gridSpan w:val="3"/>
            <w:vAlign w:val="center"/>
          </w:tcPr>
          <w:p>
            <w:pPr>
              <w:spacing w:line="440" w:lineRule="exact"/>
              <w:jc w:val="center"/>
              <w:rPr>
                <w:rFonts w:ascii="宋体" w:hAnsi="宋体" w:cs="宋体"/>
                <w:color w:val="000000"/>
                <w:szCs w:val="21"/>
              </w:rPr>
            </w:pPr>
            <w:r>
              <w:rPr>
                <w:rFonts w:hint="eastAsia" w:ascii="宋体" w:hAnsi="宋体" w:cs="宋体"/>
                <w:color w:val="000000"/>
                <w:szCs w:val="21"/>
              </w:rPr>
              <w:t>企业通过质量体 系、环保体系、计量等认证情况</w:t>
            </w:r>
          </w:p>
        </w:tc>
        <w:tc>
          <w:tcPr>
            <w:tcW w:w="6482" w:type="dxa"/>
            <w:gridSpan w:val="9"/>
            <w:vAlign w:val="center"/>
          </w:tcPr>
          <w:p>
            <w:pPr>
              <w:spacing w:line="440" w:lineRule="exact"/>
              <w:jc w:val="center"/>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35" w:type="dxa"/>
            <w:vMerge w:val="continue"/>
            <w:vAlign w:val="center"/>
          </w:tcPr>
          <w:p>
            <w:pPr>
              <w:spacing w:line="440" w:lineRule="exact"/>
              <w:jc w:val="center"/>
              <w:rPr>
                <w:rFonts w:ascii="宋体" w:hAnsi="宋体" w:cs="宋体"/>
                <w:color w:val="000000"/>
                <w:szCs w:val="21"/>
              </w:rPr>
            </w:pPr>
          </w:p>
        </w:tc>
        <w:tc>
          <w:tcPr>
            <w:tcW w:w="2590" w:type="dxa"/>
            <w:gridSpan w:val="3"/>
            <w:vAlign w:val="center"/>
          </w:tcPr>
          <w:p>
            <w:pPr>
              <w:spacing w:line="440" w:lineRule="exact"/>
              <w:jc w:val="center"/>
              <w:rPr>
                <w:rFonts w:ascii="宋体" w:hAnsi="宋体" w:cs="宋体"/>
                <w:color w:val="000000"/>
                <w:szCs w:val="21"/>
              </w:rPr>
            </w:pPr>
            <w:r>
              <w:rPr>
                <w:rFonts w:hint="eastAsia" w:ascii="宋体" w:hAnsi="宋体" w:cs="宋体"/>
                <w:color w:val="000000"/>
                <w:szCs w:val="21"/>
              </w:rPr>
              <w:t>企业获得专利情况</w:t>
            </w:r>
          </w:p>
        </w:tc>
        <w:tc>
          <w:tcPr>
            <w:tcW w:w="6482" w:type="dxa"/>
            <w:gridSpan w:val="9"/>
            <w:vAlign w:val="center"/>
          </w:tcPr>
          <w:p>
            <w:pPr>
              <w:spacing w:line="440" w:lineRule="exact"/>
              <w:jc w:val="center"/>
              <w:rPr>
                <w:rFonts w:ascii="宋体" w:hAnsi="宋体" w:cs="宋体"/>
                <w:color w:val="000000"/>
                <w:szCs w:val="21"/>
              </w:rPr>
            </w:pPr>
          </w:p>
        </w:tc>
      </w:tr>
    </w:tbl>
    <w:p>
      <w:pPr>
        <w:spacing w:line="360" w:lineRule="auto"/>
        <w:rPr>
          <w:rFonts w:ascii="宋体" w:hAnsi="宋体" w:cs="宋体"/>
          <w:b/>
          <w:spacing w:val="20"/>
          <w:szCs w:val="21"/>
        </w:rPr>
      </w:pPr>
      <w:r>
        <w:rPr>
          <w:rFonts w:hint="eastAsia" w:ascii="宋体" w:hAnsi="宋体" w:cs="宋体"/>
          <w:b/>
          <w:spacing w:val="20"/>
          <w:szCs w:val="21"/>
        </w:rPr>
        <w:t>注：姓名栏必须将所有股东都统计在内，若非股份公司此行（第三行）无需填写。</w:t>
      </w:r>
    </w:p>
    <w:p>
      <w:pPr>
        <w:spacing w:line="360" w:lineRule="auto"/>
        <w:rPr>
          <w:rFonts w:ascii="宋体" w:hAnsi="宋体" w:cs="宋体"/>
          <w:szCs w:val="21"/>
        </w:rPr>
      </w:pPr>
    </w:p>
    <w:p>
      <w:pPr>
        <w:spacing w:line="360" w:lineRule="auto"/>
        <w:rPr>
          <w:rFonts w:ascii="宋体" w:hAnsi="宋体" w:cs="宋体"/>
          <w:szCs w:val="21"/>
          <w:u w:val="single"/>
        </w:rPr>
      </w:pPr>
      <w:r>
        <w:rPr>
          <w:rFonts w:hint="eastAsia" w:ascii="宋体" w:hAnsi="宋体" w:cs="宋体"/>
          <w:szCs w:val="21"/>
        </w:rPr>
        <w:t xml:space="preserve">投标人名称：（加盖公章）  </w:t>
      </w:r>
    </w:p>
    <w:p>
      <w:pPr>
        <w:spacing w:line="360" w:lineRule="auto"/>
        <w:rPr>
          <w:rFonts w:ascii="宋体" w:hAnsi="宋体" w:cs="宋体"/>
          <w:szCs w:val="21"/>
        </w:rPr>
      </w:pPr>
      <w:r>
        <w:rPr>
          <w:rFonts w:hint="eastAsia" w:ascii="宋体" w:hAnsi="宋体" w:cs="宋体"/>
          <w:spacing w:val="-4"/>
          <w:szCs w:val="21"/>
        </w:rPr>
        <w:t>投标人代表</w:t>
      </w:r>
      <w:r>
        <w:rPr>
          <w:rFonts w:hint="eastAsia" w:ascii="宋体" w:hAnsi="宋体" w:cs="宋体"/>
          <w:szCs w:val="21"/>
        </w:rPr>
        <w:t>：（签字）</w:t>
      </w:r>
    </w:p>
    <w:p>
      <w:pPr>
        <w:spacing w:line="360" w:lineRule="auto"/>
        <w:rPr>
          <w:rFonts w:ascii="宋体" w:hAnsi="宋体" w:cs="宋体"/>
          <w:spacing w:val="20"/>
          <w:szCs w:val="21"/>
        </w:rPr>
      </w:pPr>
      <w:r>
        <w:rPr>
          <w:rFonts w:hint="eastAsia" w:ascii="宋体" w:hAnsi="宋体" w:cs="宋体"/>
          <w:spacing w:val="20"/>
          <w:szCs w:val="21"/>
        </w:rPr>
        <w:t>日期：年月日</w:t>
      </w:r>
    </w:p>
    <w:p>
      <w:pPr>
        <w:snapToGrid w:val="0"/>
        <w:jc w:val="left"/>
        <w:rPr>
          <w:rFonts w:ascii="宋体" w:hAnsi="宋体"/>
          <w:b/>
          <w:szCs w:val="21"/>
        </w:rPr>
      </w:pPr>
    </w:p>
    <w:p>
      <w:pPr>
        <w:snapToGrid w:val="0"/>
        <w:jc w:val="left"/>
        <w:rPr>
          <w:rFonts w:ascii="宋体" w:hAnsi="宋体"/>
          <w:b/>
          <w:szCs w:val="21"/>
        </w:rPr>
      </w:pPr>
    </w:p>
    <w:p>
      <w:pPr>
        <w:tabs>
          <w:tab w:val="left" w:pos="360"/>
        </w:tabs>
        <w:spacing w:before="159" w:beforeLines="50" w:line="360" w:lineRule="auto"/>
        <w:jc w:val="left"/>
        <w:outlineLvl w:val="1"/>
        <w:rPr>
          <w:rFonts w:ascii="宋体" w:hAnsi="宋体" w:cs="宋体"/>
          <w:b/>
          <w:szCs w:val="21"/>
        </w:rPr>
      </w:pPr>
    </w:p>
    <w:p>
      <w:pPr>
        <w:tabs>
          <w:tab w:val="left" w:pos="360"/>
        </w:tabs>
        <w:spacing w:before="159" w:beforeLines="50" w:line="360" w:lineRule="auto"/>
        <w:jc w:val="left"/>
        <w:outlineLvl w:val="1"/>
        <w:rPr>
          <w:rFonts w:ascii="宋体" w:hAnsi="宋体"/>
          <w:b/>
          <w:bCs/>
          <w:sz w:val="28"/>
          <w:szCs w:val="21"/>
        </w:rPr>
      </w:pPr>
      <w:r>
        <w:rPr>
          <w:rFonts w:hint="eastAsia" w:ascii="宋体" w:hAnsi="宋体" w:cs="宋体"/>
          <w:b/>
          <w:szCs w:val="21"/>
        </w:rPr>
        <w:t>格式八、</w:t>
      </w:r>
      <w:r>
        <w:rPr>
          <w:rFonts w:ascii="宋体" w:hAnsi="宋体" w:cs="宋体"/>
          <w:b/>
          <w:szCs w:val="21"/>
        </w:rPr>
        <w:t>投标人</w:t>
      </w:r>
      <w:r>
        <w:rPr>
          <w:rFonts w:hint="eastAsia" w:ascii="宋体" w:hAnsi="宋体" w:cs="宋体"/>
          <w:b/>
          <w:szCs w:val="21"/>
        </w:rPr>
        <w:t>企业业绩表</w:t>
      </w:r>
    </w:p>
    <w:tbl>
      <w:tblPr>
        <w:tblStyle w:val="26"/>
        <w:tblW w:w="9512"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66"/>
        <w:gridCol w:w="1888"/>
        <w:gridCol w:w="1259"/>
        <w:gridCol w:w="1472"/>
        <w:gridCol w:w="1740"/>
        <w:gridCol w:w="1560"/>
        <w:gridCol w:w="102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59" w:hRule="atLeast"/>
        </w:trPr>
        <w:tc>
          <w:tcPr>
            <w:tcW w:w="566" w:type="dxa"/>
            <w:tcBorders>
              <w:top w:val="single" w:color="auto" w:sz="6" w:space="0"/>
              <w:left w:val="single" w:color="auto" w:sz="6" w:space="0"/>
              <w:bottom w:val="single" w:color="auto" w:sz="6" w:space="0"/>
              <w:right w:val="single" w:color="auto" w:sz="6" w:space="0"/>
            </w:tcBorders>
            <w:vAlign w:val="center"/>
          </w:tcPr>
          <w:p>
            <w:pPr>
              <w:spacing w:line="380" w:lineRule="exact"/>
              <w:jc w:val="center"/>
              <w:rPr>
                <w:b/>
                <w:spacing w:val="-4"/>
                <w:sz w:val="24"/>
                <w:szCs w:val="21"/>
              </w:rPr>
            </w:pPr>
            <w:r>
              <w:rPr>
                <w:rFonts w:hint="eastAsia"/>
                <w:b/>
                <w:spacing w:val="-4"/>
                <w:sz w:val="24"/>
                <w:szCs w:val="21"/>
              </w:rPr>
              <w:t>序号</w:t>
            </w:r>
          </w:p>
        </w:tc>
        <w:tc>
          <w:tcPr>
            <w:tcW w:w="1888" w:type="dxa"/>
            <w:tcBorders>
              <w:top w:val="single" w:color="auto" w:sz="6" w:space="0"/>
              <w:left w:val="single" w:color="auto" w:sz="6" w:space="0"/>
              <w:bottom w:val="single" w:color="auto" w:sz="6" w:space="0"/>
              <w:right w:val="single" w:color="auto" w:sz="6" w:space="0"/>
            </w:tcBorders>
            <w:vAlign w:val="center"/>
          </w:tcPr>
          <w:p>
            <w:pPr>
              <w:spacing w:line="380" w:lineRule="exact"/>
              <w:jc w:val="center"/>
              <w:rPr>
                <w:b/>
                <w:spacing w:val="-4"/>
                <w:sz w:val="24"/>
                <w:szCs w:val="21"/>
              </w:rPr>
            </w:pPr>
            <w:r>
              <w:rPr>
                <w:rFonts w:hint="eastAsia"/>
                <w:b/>
                <w:spacing w:val="-4"/>
                <w:sz w:val="24"/>
                <w:szCs w:val="21"/>
              </w:rPr>
              <w:t>项目名称</w:t>
            </w:r>
          </w:p>
        </w:tc>
        <w:tc>
          <w:tcPr>
            <w:tcW w:w="1259" w:type="dxa"/>
            <w:tcBorders>
              <w:top w:val="single" w:color="auto" w:sz="6" w:space="0"/>
              <w:left w:val="single" w:color="auto" w:sz="6" w:space="0"/>
              <w:bottom w:val="single" w:color="auto" w:sz="6" w:space="0"/>
              <w:right w:val="single" w:color="auto" w:sz="6" w:space="0"/>
            </w:tcBorders>
            <w:vAlign w:val="center"/>
          </w:tcPr>
          <w:p>
            <w:pPr>
              <w:spacing w:line="380" w:lineRule="exact"/>
              <w:jc w:val="center"/>
              <w:rPr>
                <w:b/>
                <w:spacing w:val="-4"/>
                <w:sz w:val="24"/>
                <w:szCs w:val="21"/>
              </w:rPr>
            </w:pPr>
            <w:r>
              <w:rPr>
                <w:rFonts w:hint="eastAsia"/>
                <w:b/>
                <w:spacing w:val="-4"/>
                <w:sz w:val="24"/>
                <w:szCs w:val="21"/>
              </w:rPr>
              <w:t>用户单位</w:t>
            </w:r>
          </w:p>
        </w:tc>
        <w:tc>
          <w:tcPr>
            <w:tcW w:w="1472" w:type="dxa"/>
            <w:tcBorders>
              <w:top w:val="single" w:color="auto" w:sz="6" w:space="0"/>
              <w:left w:val="single" w:color="auto" w:sz="6" w:space="0"/>
              <w:bottom w:val="single" w:color="auto" w:sz="6" w:space="0"/>
              <w:right w:val="single" w:color="auto" w:sz="6" w:space="0"/>
            </w:tcBorders>
            <w:vAlign w:val="center"/>
          </w:tcPr>
          <w:p>
            <w:pPr>
              <w:spacing w:line="380" w:lineRule="exact"/>
              <w:jc w:val="center"/>
              <w:rPr>
                <w:b/>
                <w:spacing w:val="-4"/>
                <w:sz w:val="24"/>
                <w:szCs w:val="21"/>
              </w:rPr>
            </w:pPr>
            <w:r>
              <w:rPr>
                <w:rFonts w:hint="eastAsia"/>
                <w:b/>
                <w:spacing w:val="-4"/>
                <w:sz w:val="24"/>
                <w:szCs w:val="21"/>
              </w:rPr>
              <w:t>合同金额</w:t>
            </w:r>
          </w:p>
        </w:tc>
        <w:tc>
          <w:tcPr>
            <w:tcW w:w="1740" w:type="dxa"/>
            <w:tcBorders>
              <w:top w:val="single" w:color="auto" w:sz="6" w:space="0"/>
              <w:left w:val="single" w:color="auto" w:sz="6" w:space="0"/>
              <w:bottom w:val="single" w:color="auto" w:sz="6" w:space="0"/>
              <w:right w:val="single" w:color="auto" w:sz="6" w:space="0"/>
            </w:tcBorders>
            <w:vAlign w:val="center"/>
          </w:tcPr>
          <w:p>
            <w:pPr>
              <w:spacing w:line="380" w:lineRule="exact"/>
              <w:jc w:val="center"/>
              <w:rPr>
                <w:b/>
                <w:spacing w:val="-4"/>
                <w:sz w:val="24"/>
                <w:szCs w:val="21"/>
              </w:rPr>
            </w:pPr>
            <w:r>
              <w:rPr>
                <w:rFonts w:hint="eastAsia"/>
                <w:b/>
                <w:spacing w:val="-4"/>
                <w:sz w:val="24"/>
                <w:szCs w:val="21"/>
              </w:rPr>
              <w:t>合同日期</w:t>
            </w:r>
          </w:p>
        </w:tc>
        <w:tc>
          <w:tcPr>
            <w:tcW w:w="1560" w:type="dxa"/>
            <w:tcBorders>
              <w:top w:val="single" w:color="auto" w:sz="6" w:space="0"/>
              <w:left w:val="single" w:color="auto" w:sz="6" w:space="0"/>
              <w:bottom w:val="single" w:color="auto" w:sz="6" w:space="0"/>
              <w:right w:val="single" w:color="auto" w:sz="6" w:space="0"/>
            </w:tcBorders>
            <w:vAlign w:val="center"/>
          </w:tcPr>
          <w:p>
            <w:pPr>
              <w:spacing w:line="380" w:lineRule="exact"/>
              <w:jc w:val="center"/>
              <w:rPr>
                <w:b/>
                <w:spacing w:val="-4"/>
                <w:sz w:val="24"/>
                <w:szCs w:val="21"/>
              </w:rPr>
            </w:pPr>
            <w:r>
              <w:rPr>
                <w:rFonts w:hint="eastAsia"/>
                <w:b/>
                <w:spacing w:val="-4"/>
                <w:sz w:val="24"/>
                <w:szCs w:val="21"/>
              </w:rPr>
              <w:t>联系方式</w:t>
            </w:r>
          </w:p>
        </w:tc>
        <w:tc>
          <w:tcPr>
            <w:tcW w:w="1027" w:type="dxa"/>
            <w:tcBorders>
              <w:top w:val="single" w:color="auto" w:sz="6" w:space="0"/>
              <w:left w:val="single" w:color="auto" w:sz="6" w:space="0"/>
              <w:bottom w:val="single" w:color="auto" w:sz="6" w:space="0"/>
              <w:right w:val="single" w:color="auto" w:sz="6" w:space="0"/>
            </w:tcBorders>
            <w:vAlign w:val="center"/>
          </w:tcPr>
          <w:p>
            <w:pPr>
              <w:pStyle w:val="22"/>
              <w:snapToGrid w:val="0"/>
              <w:spacing w:line="400" w:lineRule="exact"/>
              <w:ind w:firstLine="233" w:firstLineChars="100"/>
              <w:rPr>
                <w:b/>
                <w:spacing w:val="-4"/>
                <w:kern w:val="2"/>
                <w:szCs w:val="21"/>
              </w:rPr>
            </w:pPr>
            <w:r>
              <w:rPr>
                <w:rFonts w:hint="eastAsia"/>
                <w:b/>
                <w:spacing w:val="-4"/>
                <w:kern w:val="2"/>
                <w:szCs w:val="21"/>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 w:hRule="atLeast"/>
        </w:trPr>
        <w:tc>
          <w:tcPr>
            <w:tcW w:w="566" w:type="dxa"/>
            <w:tcBorders>
              <w:top w:val="single" w:color="auto" w:sz="6" w:space="0"/>
              <w:left w:val="single" w:color="auto" w:sz="6" w:space="0"/>
              <w:bottom w:val="single" w:color="auto" w:sz="6" w:space="0"/>
              <w:right w:val="single" w:color="auto" w:sz="6" w:space="0"/>
            </w:tcBorders>
            <w:vAlign w:val="center"/>
          </w:tcPr>
          <w:p>
            <w:pPr>
              <w:pStyle w:val="22"/>
              <w:spacing w:line="400" w:lineRule="exact"/>
              <w:ind w:firstLine="432"/>
              <w:jc w:val="center"/>
              <w:rPr>
                <w:szCs w:val="21"/>
              </w:rPr>
            </w:pPr>
            <w:r>
              <w:rPr>
                <w:rFonts w:hint="eastAsia"/>
                <w:spacing w:val="-4"/>
                <w:kern w:val="2"/>
                <w:szCs w:val="21"/>
              </w:rPr>
              <w:t>1</w:t>
            </w:r>
          </w:p>
        </w:tc>
        <w:tc>
          <w:tcPr>
            <w:tcW w:w="1888"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259"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472"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740" w:type="dxa"/>
            <w:tcBorders>
              <w:top w:val="single" w:color="auto" w:sz="6" w:space="0"/>
              <w:left w:val="single" w:color="auto" w:sz="6" w:space="0"/>
              <w:bottom w:val="single" w:color="auto" w:sz="6" w:space="0"/>
              <w:right w:val="single" w:color="auto" w:sz="6" w:space="0"/>
            </w:tcBorders>
          </w:tcPr>
          <w:p>
            <w:pPr>
              <w:pStyle w:val="22"/>
              <w:snapToGrid w:val="0"/>
              <w:spacing w:line="400" w:lineRule="exact"/>
              <w:ind w:firstLine="452"/>
              <w:jc w:val="both"/>
              <w:rPr>
                <w:b/>
                <w:szCs w:val="21"/>
              </w:rPr>
            </w:pPr>
          </w:p>
        </w:tc>
        <w:tc>
          <w:tcPr>
            <w:tcW w:w="1560" w:type="dxa"/>
            <w:tcBorders>
              <w:top w:val="single" w:color="auto" w:sz="6" w:space="0"/>
              <w:left w:val="single" w:color="auto" w:sz="6" w:space="0"/>
              <w:bottom w:val="single" w:color="auto" w:sz="6" w:space="0"/>
              <w:right w:val="single" w:color="auto" w:sz="6" w:space="0"/>
            </w:tcBorders>
          </w:tcPr>
          <w:p>
            <w:pPr>
              <w:pStyle w:val="22"/>
              <w:snapToGrid w:val="0"/>
              <w:spacing w:line="400" w:lineRule="exact"/>
              <w:ind w:firstLine="452"/>
              <w:jc w:val="center"/>
              <w:rPr>
                <w:b/>
                <w:szCs w:val="21"/>
              </w:rPr>
            </w:pPr>
          </w:p>
        </w:tc>
        <w:tc>
          <w:tcPr>
            <w:tcW w:w="1027" w:type="dxa"/>
            <w:tcBorders>
              <w:top w:val="single" w:color="auto" w:sz="6" w:space="0"/>
              <w:left w:val="single" w:color="auto" w:sz="6" w:space="0"/>
              <w:bottom w:val="single" w:color="auto" w:sz="6" w:space="0"/>
              <w:right w:val="single" w:color="auto" w:sz="6" w:space="0"/>
            </w:tcBorders>
          </w:tcPr>
          <w:p>
            <w:pPr>
              <w:pStyle w:val="22"/>
              <w:snapToGrid w:val="0"/>
              <w:spacing w:line="400" w:lineRule="exact"/>
              <w:ind w:firstLine="452"/>
              <w:jc w:val="center"/>
              <w:rPr>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 w:hRule="atLeast"/>
        </w:trPr>
        <w:tc>
          <w:tcPr>
            <w:tcW w:w="566" w:type="dxa"/>
            <w:tcBorders>
              <w:top w:val="single" w:color="auto" w:sz="6" w:space="0"/>
              <w:left w:val="single" w:color="auto" w:sz="6" w:space="0"/>
              <w:bottom w:val="single" w:color="auto" w:sz="6" w:space="0"/>
              <w:right w:val="single" w:color="auto" w:sz="6" w:space="0"/>
            </w:tcBorders>
            <w:vAlign w:val="center"/>
          </w:tcPr>
          <w:p>
            <w:pPr>
              <w:pStyle w:val="22"/>
              <w:spacing w:line="400" w:lineRule="exact"/>
              <w:ind w:firstLine="432"/>
              <w:jc w:val="center"/>
              <w:rPr>
                <w:szCs w:val="21"/>
              </w:rPr>
            </w:pPr>
            <w:r>
              <w:rPr>
                <w:rFonts w:hint="eastAsia"/>
                <w:spacing w:val="-4"/>
                <w:kern w:val="2"/>
                <w:szCs w:val="21"/>
              </w:rPr>
              <w:t>2</w:t>
            </w:r>
          </w:p>
        </w:tc>
        <w:tc>
          <w:tcPr>
            <w:tcW w:w="1888"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259"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472"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740" w:type="dxa"/>
            <w:tcBorders>
              <w:top w:val="single" w:color="auto" w:sz="6" w:space="0"/>
              <w:left w:val="single" w:color="auto" w:sz="6" w:space="0"/>
              <w:bottom w:val="single" w:color="auto" w:sz="6" w:space="0"/>
              <w:right w:val="single" w:color="auto" w:sz="6" w:space="0"/>
            </w:tcBorders>
          </w:tcPr>
          <w:p>
            <w:pPr>
              <w:pStyle w:val="22"/>
              <w:snapToGrid w:val="0"/>
              <w:spacing w:line="400" w:lineRule="exact"/>
              <w:ind w:firstLine="452"/>
              <w:jc w:val="both"/>
              <w:rPr>
                <w:b/>
                <w:szCs w:val="21"/>
              </w:rPr>
            </w:pPr>
          </w:p>
        </w:tc>
        <w:tc>
          <w:tcPr>
            <w:tcW w:w="1560" w:type="dxa"/>
            <w:tcBorders>
              <w:top w:val="single" w:color="auto" w:sz="6" w:space="0"/>
              <w:left w:val="single" w:color="auto" w:sz="6" w:space="0"/>
              <w:bottom w:val="single" w:color="auto" w:sz="6" w:space="0"/>
              <w:right w:val="single" w:color="auto" w:sz="6" w:space="0"/>
            </w:tcBorders>
          </w:tcPr>
          <w:p>
            <w:pPr>
              <w:pStyle w:val="22"/>
              <w:snapToGrid w:val="0"/>
              <w:spacing w:line="400" w:lineRule="exact"/>
              <w:ind w:firstLine="452"/>
              <w:jc w:val="center"/>
              <w:rPr>
                <w:b/>
                <w:szCs w:val="21"/>
              </w:rPr>
            </w:pPr>
          </w:p>
        </w:tc>
        <w:tc>
          <w:tcPr>
            <w:tcW w:w="1027" w:type="dxa"/>
            <w:tcBorders>
              <w:top w:val="single" w:color="auto" w:sz="6" w:space="0"/>
              <w:left w:val="single" w:color="auto" w:sz="6" w:space="0"/>
              <w:bottom w:val="single" w:color="auto" w:sz="6" w:space="0"/>
              <w:right w:val="single" w:color="auto" w:sz="6" w:space="0"/>
            </w:tcBorders>
          </w:tcPr>
          <w:p>
            <w:pPr>
              <w:pStyle w:val="22"/>
              <w:snapToGrid w:val="0"/>
              <w:spacing w:line="400" w:lineRule="exact"/>
              <w:ind w:firstLine="452"/>
              <w:jc w:val="center"/>
              <w:rPr>
                <w:b/>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 w:hRule="atLeast"/>
        </w:trPr>
        <w:tc>
          <w:tcPr>
            <w:tcW w:w="566" w:type="dxa"/>
            <w:tcBorders>
              <w:top w:val="single" w:color="auto" w:sz="6" w:space="0"/>
              <w:left w:val="single" w:color="auto" w:sz="6" w:space="0"/>
              <w:bottom w:val="single" w:color="auto" w:sz="6" w:space="0"/>
              <w:right w:val="single" w:color="auto" w:sz="6" w:space="0"/>
            </w:tcBorders>
            <w:vAlign w:val="center"/>
          </w:tcPr>
          <w:p>
            <w:pPr>
              <w:pStyle w:val="22"/>
              <w:spacing w:line="400" w:lineRule="exact"/>
              <w:ind w:firstLine="432"/>
              <w:jc w:val="center"/>
              <w:rPr>
                <w:szCs w:val="21"/>
              </w:rPr>
            </w:pPr>
            <w:r>
              <w:rPr>
                <w:rFonts w:hint="eastAsia"/>
                <w:spacing w:val="-4"/>
                <w:kern w:val="2"/>
                <w:szCs w:val="21"/>
              </w:rPr>
              <w:t>3</w:t>
            </w:r>
          </w:p>
        </w:tc>
        <w:tc>
          <w:tcPr>
            <w:tcW w:w="1888"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259"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472"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740"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both"/>
              <w:rPr>
                <w:szCs w:val="21"/>
              </w:rPr>
            </w:pPr>
          </w:p>
        </w:tc>
        <w:tc>
          <w:tcPr>
            <w:tcW w:w="1560"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027"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 w:hRule="atLeast"/>
        </w:trPr>
        <w:tc>
          <w:tcPr>
            <w:tcW w:w="566" w:type="dxa"/>
            <w:tcBorders>
              <w:top w:val="single" w:color="auto" w:sz="6" w:space="0"/>
              <w:left w:val="single" w:color="auto" w:sz="6" w:space="0"/>
              <w:bottom w:val="single" w:color="auto" w:sz="6" w:space="0"/>
              <w:right w:val="single" w:color="auto" w:sz="6" w:space="0"/>
            </w:tcBorders>
            <w:vAlign w:val="center"/>
          </w:tcPr>
          <w:p>
            <w:pPr>
              <w:pStyle w:val="22"/>
              <w:spacing w:line="400" w:lineRule="exact"/>
              <w:ind w:firstLine="432"/>
              <w:jc w:val="center"/>
              <w:rPr>
                <w:szCs w:val="21"/>
              </w:rPr>
            </w:pPr>
            <w:r>
              <w:rPr>
                <w:rFonts w:hint="eastAsia"/>
                <w:spacing w:val="-4"/>
                <w:kern w:val="2"/>
                <w:szCs w:val="21"/>
              </w:rPr>
              <w:t>…</w:t>
            </w:r>
          </w:p>
        </w:tc>
        <w:tc>
          <w:tcPr>
            <w:tcW w:w="1888"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259"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472"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740"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both"/>
              <w:rPr>
                <w:szCs w:val="21"/>
              </w:rPr>
            </w:pPr>
          </w:p>
        </w:tc>
        <w:tc>
          <w:tcPr>
            <w:tcW w:w="1560"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027"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 w:hRule="atLeast"/>
        </w:trPr>
        <w:tc>
          <w:tcPr>
            <w:tcW w:w="566"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both"/>
              <w:rPr>
                <w:szCs w:val="21"/>
              </w:rPr>
            </w:pPr>
          </w:p>
        </w:tc>
        <w:tc>
          <w:tcPr>
            <w:tcW w:w="1888"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259"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472"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740"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both"/>
              <w:rPr>
                <w:szCs w:val="21"/>
              </w:rPr>
            </w:pPr>
          </w:p>
        </w:tc>
        <w:tc>
          <w:tcPr>
            <w:tcW w:w="1560"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027"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 w:hRule="atLeast"/>
        </w:trPr>
        <w:tc>
          <w:tcPr>
            <w:tcW w:w="566"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both"/>
              <w:rPr>
                <w:szCs w:val="21"/>
              </w:rPr>
            </w:pPr>
          </w:p>
        </w:tc>
        <w:tc>
          <w:tcPr>
            <w:tcW w:w="1888"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259"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472"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740"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both"/>
              <w:rPr>
                <w:szCs w:val="21"/>
              </w:rPr>
            </w:pPr>
          </w:p>
        </w:tc>
        <w:tc>
          <w:tcPr>
            <w:tcW w:w="1560"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027"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 w:hRule="atLeast"/>
        </w:trPr>
        <w:tc>
          <w:tcPr>
            <w:tcW w:w="566"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both"/>
              <w:rPr>
                <w:szCs w:val="21"/>
              </w:rPr>
            </w:pPr>
          </w:p>
        </w:tc>
        <w:tc>
          <w:tcPr>
            <w:tcW w:w="1888"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259"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472"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740"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both"/>
              <w:rPr>
                <w:szCs w:val="21"/>
              </w:rPr>
            </w:pPr>
          </w:p>
        </w:tc>
        <w:tc>
          <w:tcPr>
            <w:tcW w:w="1560"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027"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 w:hRule="atLeast"/>
        </w:trPr>
        <w:tc>
          <w:tcPr>
            <w:tcW w:w="566"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both"/>
              <w:rPr>
                <w:szCs w:val="21"/>
              </w:rPr>
            </w:pPr>
          </w:p>
        </w:tc>
        <w:tc>
          <w:tcPr>
            <w:tcW w:w="1888"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259"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472"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740"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both"/>
              <w:rPr>
                <w:szCs w:val="21"/>
              </w:rPr>
            </w:pPr>
          </w:p>
        </w:tc>
        <w:tc>
          <w:tcPr>
            <w:tcW w:w="1560"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027"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 w:hRule="atLeast"/>
        </w:trPr>
        <w:tc>
          <w:tcPr>
            <w:tcW w:w="566" w:type="dxa"/>
            <w:tcBorders>
              <w:top w:val="single" w:color="auto" w:sz="6" w:space="0"/>
              <w:left w:val="single" w:color="auto" w:sz="6" w:space="0"/>
              <w:bottom w:val="single" w:color="auto" w:sz="6" w:space="0"/>
              <w:right w:val="single" w:color="auto" w:sz="6" w:space="0"/>
            </w:tcBorders>
            <w:vAlign w:val="center"/>
          </w:tcPr>
          <w:p>
            <w:pPr>
              <w:pStyle w:val="22"/>
              <w:spacing w:line="400" w:lineRule="exact"/>
              <w:ind w:firstLine="450"/>
              <w:jc w:val="both"/>
              <w:rPr>
                <w:szCs w:val="21"/>
              </w:rPr>
            </w:pPr>
          </w:p>
        </w:tc>
        <w:tc>
          <w:tcPr>
            <w:tcW w:w="1888"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259"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472"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740"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both"/>
              <w:rPr>
                <w:szCs w:val="21"/>
              </w:rPr>
            </w:pPr>
          </w:p>
        </w:tc>
        <w:tc>
          <w:tcPr>
            <w:tcW w:w="1560"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027"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 w:hRule="atLeast"/>
        </w:trPr>
        <w:tc>
          <w:tcPr>
            <w:tcW w:w="566" w:type="dxa"/>
            <w:tcBorders>
              <w:top w:val="single" w:color="auto" w:sz="6" w:space="0"/>
              <w:left w:val="single" w:color="auto" w:sz="6" w:space="0"/>
              <w:bottom w:val="single" w:color="auto" w:sz="6" w:space="0"/>
              <w:right w:val="single" w:color="auto" w:sz="6" w:space="0"/>
            </w:tcBorders>
            <w:vAlign w:val="center"/>
          </w:tcPr>
          <w:p>
            <w:pPr>
              <w:pStyle w:val="22"/>
              <w:spacing w:line="400" w:lineRule="exact"/>
              <w:ind w:firstLine="450"/>
              <w:jc w:val="both"/>
              <w:rPr>
                <w:szCs w:val="21"/>
              </w:rPr>
            </w:pPr>
          </w:p>
        </w:tc>
        <w:tc>
          <w:tcPr>
            <w:tcW w:w="1888"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both"/>
              <w:rPr>
                <w:szCs w:val="21"/>
              </w:rPr>
            </w:pPr>
          </w:p>
        </w:tc>
        <w:tc>
          <w:tcPr>
            <w:tcW w:w="1259"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472"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740"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both"/>
              <w:rPr>
                <w:szCs w:val="21"/>
              </w:rPr>
            </w:pPr>
          </w:p>
        </w:tc>
        <w:tc>
          <w:tcPr>
            <w:tcW w:w="1560"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027"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 w:hRule="atLeast"/>
        </w:trPr>
        <w:tc>
          <w:tcPr>
            <w:tcW w:w="566" w:type="dxa"/>
            <w:tcBorders>
              <w:top w:val="single" w:color="auto" w:sz="6" w:space="0"/>
              <w:left w:val="single" w:color="auto" w:sz="6" w:space="0"/>
              <w:bottom w:val="single" w:color="auto" w:sz="6" w:space="0"/>
              <w:right w:val="single" w:color="auto" w:sz="6" w:space="0"/>
            </w:tcBorders>
            <w:vAlign w:val="center"/>
          </w:tcPr>
          <w:p>
            <w:pPr>
              <w:pStyle w:val="22"/>
              <w:spacing w:line="400" w:lineRule="exact"/>
              <w:ind w:firstLine="450"/>
              <w:jc w:val="both"/>
              <w:rPr>
                <w:szCs w:val="21"/>
              </w:rPr>
            </w:pPr>
          </w:p>
        </w:tc>
        <w:tc>
          <w:tcPr>
            <w:tcW w:w="1888"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both"/>
              <w:rPr>
                <w:szCs w:val="21"/>
              </w:rPr>
            </w:pPr>
          </w:p>
        </w:tc>
        <w:tc>
          <w:tcPr>
            <w:tcW w:w="1259"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472"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740"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both"/>
              <w:rPr>
                <w:szCs w:val="21"/>
              </w:rPr>
            </w:pPr>
          </w:p>
        </w:tc>
        <w:tc>
          <w:tcPr>
            <w:tcW w:w="1560"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027"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 w:hRule="atLeast"/>
        </w:trPr>
        <w:tc>
          <w:tcPr>
            <w:tcW w:w="566" w:type="dxa"/>
            <w:tcBorders>
              <w:top w:val="single" w:color="auto" w:sz="6" w:space="0"/>
              <w:left w:val="single" w:color="auto" w:sz="6" w:space="0"/>
              <w:bottom w:val="single" w:color="auto" w:sz="6" w:space="0"/>
              <w:right w:val="single" w:color="auto" w:sz="6" w:space="0"/>
            </w:tcBorders>
            <w:vAlign w:val="center"/>
          </w:tcPr>
          <w:p>
            <w:pPr>
              <w:pStyle w:val="22"/>
              <w:spacing w:line="400" w:lineRule="exact"/>
              <w:ind w:firstLine="450"/>
              <w:jc w:val="both"/>
              <w:rPr>
                <w:szCs w:val="21"/>
              </w:rPr>
            </w:pPr>
          </w:p>
        </w:tc>
        <w:tc>
          <w:tcPr>
            <w:tcW w:w="1888"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both"/>
              <w:rPr>
                <w:szCs w:val="21"/>
              </w:rPr>
            </w:pPr>
          </w:p>
        </w:tc>
        <w:tc>
          <w:tcPr>
            <w:tcW w:w="1259"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472"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740"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both"/>
              <w:rPr>
                <w:szCs w:val="21"/>
              </w:rPr>
            </w:pPr>
          </w:p>
        </w:tc>
        <w:tc>
          <w:tcPr>
            <w:tcW w:w="1560"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027"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 w:hRule="atLeast"/>
        </w:trPr>
        <w:tc>
          <w:tcPr>
            <w:tcW w:w="566" w:type="dxa"/>
            <w:tcBorders>
              <w:top w:val="single" w:color="auto" w:sz="6" w:space="0"/>
              <w:left w:val="single" w:color="auto" w:sz="6" w:space="0"/>
              <w:bottom w:val="single" w:color="auto" w:sz="6" w:space="0"/>
              <w:right w:val="single" w:color="auto" w:sz="6" w:space="0"/>
            </w:tcBorders>
            <w:vAlign w:val="center"/>
          </w:tcPr>
          <w:p>
            <w:pPr>
              <w:pStyle w:val="22"/>
              <w:spacing w:line="400" w:lineRule="exact"/>
              <w:ind w:firstLine="450"/>
              <w:jc w:val="both"/>
              <w:rPr>
                <w:szCs w:val="21"/>
              </w:rPr>
            </w:pPr>
          </w:p>
        </w:tc>
        <w:tc>
          <w:tcPr>
            <w:tcW w:w="1888"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both"/>
              <w:rPr>
                <w:szCs w:val="21"/>
              </w:rPr>
            </w:pPr>
          </w:p>
        </w:tc>
        <w:tc>
          <w:tcPr>
            <w:tcW w:w="1259"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472"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740"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both"/>
              <w:rPr>
                <w:szCs w:val="21"/>
              </w:rPr>
            </w:pPr>
          </w:p>
        </w:tc>
        <w:tc>
          <w:tcPr>
            <w:tcW w:w="1560"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027"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02" w:hRule="atLeast"/>
        </w:trPr>
        <w:tc>
          <w:tcPr>
            <w:tcW w:w="566" w:type="dxa"/>
            <w:tcBorders>
              <w:top w:val="single" w:color="auto" w:sz="6" w:space="0"/>
              <w:left w:val="single" w:color="auto" w:sz="6" w:space="0"/>
              <w:bottom w:val="single" w:color="auto" w:sz="6" w:space="0"/>
              <w:right w:val="single" w:color="auto" w:sz="6" w:space="0"/>
            </w:tcBorders>
            <w:vAlign w:val="center"/>
          </w:tcPr>
          <w:p>
            <w:pPr>
              <w:pStyle w:val="22"/>
              <w:spacing w:line="400" w:lineRule="exact"/>
              <w:ind w:firstLine="450"/>
              <w:jc w:val="both"/>
              <w:rPr>
                <w:szCs w:val="21"/>
              </w:rPr>
            </w:pPr>
          </w:p>
        </w:tc>
        <w:tc>
          <w:tcPr>
            <w:tcW w:w="1888"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both"/>
              <w:rPr>
                <w:szCs w:val="21"/>
              </w:rPr>
            </w:pPr>
          </w:p>
        </w:tc>
        <w:tc>
          <w:tcPr>
            <w:tcW w:w="1259"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472"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740"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both"/>
              <w:rPr>
                <w:szCs w:val="21"/>
              </w:rPr>
            </w:pPr>
          </w:p>
        </w:tc>
        <w:tc>
          <w:tcPr>
            <w:tcW w:w="1560"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c>
          <w:tcPr>
            <w:tcW w:w="1027" w:type="dxa"/>
            <w:tcBorders>
              <w:top w:val="single" w:color="auto" w:sz="6" w:space="0"/>
              <w:left w:val="single" w:color="auto" w:sz="6" w:space="0"/>
              <w:bottom w:val="single" w:color="auto" w:sz="6" w:space="0"/>
              <w:right w:val="single" w:color="auto" w:sz="6" w:space="0"/>
            </w:tcBorders>
          </w:tcPr>
          <w:p>
            <w:pPr>
              <w:pStyle w:val="22"/>
              <w:spacing w:line="400" w:lineRule="exact"/>
              <w:ind w:firstLine="450"/>
              <w:jc w:val="center"/>
              <w:rPr>
                <w:szCs w:val="21"/>
              </w:rPr>
            </w:pPr>
          </w:p>
        </w:tc>
      </w:tr>
    </w:tbl>
    <w:p>
      <w:pPr>
        <w:pStyle w:val="15"/>
        <w:adjustRightInd w:val="0"/>
        <w:snapToGrid w:val="0"/>
        <w:spacing w:line="400" w:lineRule="exact"/>
        <w:rPr>
          <w:rFonts w:ascii="Calibri" w:hAnsi="宋体" w:cs="宋体"/>
          <w:kern w:val="2"/>
          <w:sz w:val="21"/>
        </w:rPr>
      </w:pPr>
      <w:r>
        <w:rPr>
          <w:rFonts w:hint="eastAsia" w:ascii="Calibri" w:hAnsi="宋体" w:cs="宋体"/>
          <w:kern w:val="2"/>
          <w:sz w:val="21"/>
        </w:rPr>
        <w:t>（提供加盖有效公章的合同复印件）</w:t>
      </w:r>
    </w:p>
    <w:p>
      <w:pPr>
        <w:spacing w:line="420" w:lineRule="exact"/>
        <w:ind w:firstLine="420"/>
        <w:jc w:val="right"/>
        <w:rPr>
          <w:rFonts w:hAnsi="宋体" w:cs="宋体"/>
          <w:szCs w:val="21"/>
        </w:rPr>
      </w:pPr>
    </w:p>
    <w:p>
      <w:pPr>
        <w:spacing w:line="420" w:lineRule="exact"/>
        <w:ind w:firstLine="420"/>
        <w:jc w:val="right"/>
        <w:rPr>
          <w:rFonts w:hAnsi="宋体" w:cs="宋体"/>
          <w:szCs w:val="21"/>
        </w:rPr>
      </w:pPr>
    </w:p>
    <w:p>
      <w:pPr>
        <w:spacing w:line="420" w:lineRule="exact"/>
        <w:ind w:firstLine="420"/>
        <w:jc w:val="right"/>
        <w:rPr>
          <w:rFonts w:hAnsi="宋体" w:cs="宋体"/>
          <w:szCs w:val="21"/>
          <w:u w:val="single"/>
        </w:rPr>
      </w:pPr>
      <w:r>
        <w:rPr>
          <w:rFonts w:hint="eastAsia" w:hAnsi="宋体" w:cs="宋体"/>
          <w:szCs w:val="21"/>
        </w:rPr>
        <w:t>投标人名称：（加盖公章）</w:t>
      </w:r>
    </w:p>
    <w:p>
      <w:pPr>
        <w:spacing w:line="300" w:lineRule="exact"/>
        <w:ind w:firstLine="500"/>
        <w:jc w:val="right"/>
        <w:rPr>
          <w:rFonts w:hAnsi="宋体" w:cs="宋体"/>
          <w:szCs w:val="21"/>
        </w:rPr>
      </w:pPr>
      <w:r>
        <w:rPr>
          <w:rFonts w:hint="eastAsia" w:hAnsi="宋体" w:cs="宋体"/>
          <w:spacing w:val="20"/>
          <w:szCs w:val="21"/>
        </w:rPr>
        <w:t>日期：年月日</w:t>
      </w:r>
    </w:p>
    <w:p>
      <w:pPr>
        <w:spacing w:line="360" w:lineRule="auto"/>
        <w:rPr>
          <w:rFonts w:ascii="宋体" w:hAnsi="宋体" w:cs="宋体"/>
          <w:b/>
          <w:sz w:val="24"/>
        </w:rPr>
      </w:pPr>
    </w:p>
    <w:p>
      <w:pPr>
        <w:snapToGrid w:val="0"/>
        <w:spacing w:before="50" w:after="159" w:afterLines="50"/>
        <w:rPr>
          <w:rFonts w:ascii="宋体" w:hAnsi="宋体" w:cs="宋体"/>
          <w:b/>
          <w:szCs w:val="21"/>
        </w:rPr>
      </w:pPr>
    </w:p>
    <w:p>
      <w:pPr>
        <w:pStyle w:val="2"/>
        <w:ind w:firstLine="210"/>
      </w:pPr>
    </w:p>
    <w:p>
      <w:pPr>
        <w:pStyle w:val="2"/>
        <w:ind w:firstLine="210"/>
      </w:pPr>
    </w:p>
    <w:p>
      <w:pPr>
        <w:pStyle w:val="2"/>
        <w:ind w:firstLine="210"/>
      </w:pPr>
    </w:p>
    <w:p>
      <w:pPr>
        <w:pStyle w:val="2"/>
        <w:ind w:firstLine="210"/>
      </w:pPr>
    </w:p>
    <w:p>
      <w:pPr>
        <w:pStyle w:val="2"/>
        <w:ind w:firstLine="210"/>
      </w:pPr>
    </w:p>
    <w:p>
      <w:pPr>
        <w:widowControl/>
        <w:rPr>
          <w:rFonts w:ascii="宋体" w:hAnsi="宋体" w:cs="宋体"/>
          <w:b/>
          <w:szCs w:val="21"/>
        </w:rPr>
      </w:pPr>
    </w:p>
    <w:p>
      <w:pPr>
        <w:widowControl/>
        <w:rPr>
          <w:rFonts w:ascii="宋体" w:hAnsi="宋体" w:cs="宋体"/>
          <w:b/>
          <w:szCs w:val="21"/>
        </w:rPr>
      </w:pPr>
      <w:r>
        <w:rPr>
          <w:rFonts w:hint="eastAsia" w:ascii="宋体" w:hAnsi="宋体" w:cs="宋体"/>
          <w:b/>
          <w:szCs w:val="21"/>
        </w:rPr>
        <w:t>格式九、</w:t>
      </w:r>
    </w:p>
    <w:p>
      <w:pPr>
        <w:widowControl/>
        <w:jc w:val="center"/>
        <w:rPr>
          <w:rFonts w:ascii="仿宋" w:hAnsi="仿宋" w:eastAsia="仿宋"/>
          <w:b/>
          <w:sz w:val="32"/>
          <w:szCs w:val="32"/>
        </w:rPr>
      </w:pPr>
      <w:r>
        <w:rPr>
          <w:rFonts w:hint="eastAsia" w:asciiTheme="minorEastAsia" w:hAnsiTheme="minorEastAsia" w:eastAsiaTheme="minorEastAsia"/>
          <w:b/>
          <w:sz w:val="32"/>
          <w:szCs w:val="32"/>
        </w:rPr>
        <w:t>承诺书</w:t>
      </w:r>
    </w:p>
    <w:p>
      <w:pPr>
        <w:spacing w:line="360" w:lineRule="exact"/>
        <w:jc w:val="left"/>
        <w:rPr>
          <w:rFonts w:ascii="宋体" w:hAnsi="宋体"/>
          <w:b/>
          <w:szCs w:val="21"/>
        </w:rPr>
      </w:pPr>
    </w:p>
    <w:p>
      <w:pPr>
        <w:spacing w:line="360" w:lineRule="exact"/>
        <w:jc w:val="left"/>
        <w:rPr>
          <w:rFonts w:ascii="宋体" w:hAnsi="宋体"/>
          <w:sz w:val="28"/>
          <w:szCs w:val="28"/>
        </w:rPr>
      </w:pPr>
      <w:r>
        <w:rPr>
          <w:rFonts w:hint="eastAsia" w:ascii="宋体" w:hAnsi="宋体"/>
          <w:sz w:val="24"/>
          <w:u w:val="single"/>
        </w:rPr>
        <w:t>（采购人）</w:t>
      </w:r>
      <w:r>
        <w:rPr>
          <w:rFonts w:hint="eastAsia" w:ascii="宋体" w:hAnsi="宋体"/>
          <w:sz w:val="28"/>
          <w:szCs w:val="28"/>
        </w:rPr>
        <w:t xml:space="preserve">  ：</w:t>
      </w:r>
    </w:p>
    <w:p>
      <w:pPr>
        <w:spacing w:line="480" w:lineRule="auto"/>
        <w:ind w:left="5925" w:leftChars="250" w:hanging="5400" w:hangingChars="2250"/>
        <w:rPr>
          <w:rFonts w:ascii="宋体" w:hAnsi="宋体"/>
          <w:bCs/>
          <w:sz w:val="24"/>
        </w:rPr>
      </w:pPr>
      <w:r>
        <w:rPr>
          <w:rFonts w:hint="eastAsia" w:ascii="宋体" w:hAnsi="宋体"/>
          <w:bCs/>
          <w:sz w:val="24"/>
        </w:rPr>
        <w:t>如我方中标，我方对相关服务承诺如下（不限于）：</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1、固定标志的灯器、浮动标志按不低于配布数量的30%配备备品备件。</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2、每天24小时遥测值班。</w:t>
      </w:r>
    </w:p>
    <w:p>
      <w:pPr>
        <w:snapToGrid w:val="0"/>
        <w:spacing w:line="360" w:lineRule="auto"/>
        <w:ind w:firstLine="480" w:firstLineChars="200"/>
        <w:rPr>
          <w:rFonts w:asciiTheme="minorEastAsia" w:hAnsiTheme="minorEastAsia" w:eastAsiaTheme="minorEastAsia"/>
          <w:sz w:val="24"/>
        </w:rPr>
      </w:pPr>
      <w:r>
        <w:rPr>
          <w:rFonts w:hint="eastAsia" w:ascii="宋体" w:hAnsi="宋体"/>
          <w:bCs/>
          <w:sz w:val="24"/>
        </w:rPr>
        <w:t>3、（以下由</w:t>
      </w:r>
      <w:r>
        <w:rPr>
          <w:rFonts w:hint="eastAsia"/>
          <w:bCs/>
          <w:sz w:val="24"/>
        </w:rPr>
        <w:t>投标人</w:t>
      </w:r>
      <w:r>
        <w:rPr>
          <w:rFonts w:hint="eastAsia" w:ascii="宋体" w:hAnsi="宋体"/>
          <w:bCs/>
          <w:sz w:val="24"/>
        </w:rPr>
        <w:t>自行填写）</w:t>
      </w:r>
    </w:p>
    <w:p>
      <w:pPr>
        <w:pStyle w:val="3"/>
        <w:ind w:firstLine="555"/>
      </w:pPr>
    </w:p>
    <w:p>
      <w:pPr>
        <w:pStyle w:val="3"/>
        <w:ind w:firstLine="555"/>
      </w:pPr>
    </w:p>
    <w:p>
      <w:pPr>
        <w:pStyle w:val="3"/>
        <w:ind w:firstLine="555"/>
      </w:pPr>
    </w:p>
    <w:p>
      <w:pPr>
        <w:pStyle w:val="3"/>
        <w:ind w:firstLine="555"/>
      </w:pPr>
    </w:p>
    <w:p>
      <w:pPr>
        <w:pStyle w:val="3"/>
        <w:ind w:firstLine="555"/>
      </w:pPr>
    </w:p>
    <w:p>
      <w:pPr>
        <w:pStyle w:val="3"/>
        <w:ind w:firstLine="555"/>
      </w:pPr>
    </w:p>
    <w:p>
      <w:pPr>
        <w:pStyle w:val="3"/>
        <w:ind w:firstLine="555"/>
      </w:pPr>
    </w:p>
    <w:p>
      <w:pPr>
        <w:pStyle w:val="3"/>
        <w:ind w:firstLine="555"/>
      </w:pPr>
    </w:p>
    <w:p>
      <w:pPr>
        <w:autoSpaceDE w:val="0"/>
        <w:autoSpaceDN w:val="0"/>
        <w:adjustRightInd w:val="0"/>
        <w:spacing w:line="440" w:lineRule="atLeast"/>
        <w:ind w:firstLine="482" w:firstLineChars="201"/>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供应商全称（盖章）：</w:t>
      </w:r>
    </w:p>
    <w:p>
      <w:pPr>
        <w:autoSpaceDE w:val="0"/>
        <w:autoSpaceDN w:val="0"/>
        <w:adjustRightInd w:val="0"/>
        <w:spacing w:line="440" w:lineRule="atLeast"/>
        <w:ind w:firstLine="482" w:firstLineChars="201"/>
        <w:rPr>
          <w:rFonts w:asciiTheme="minorEastAsia" w:hAnsiTheme="minorEastAsia" w:eastAsiaTheme="minorEastAsia"/>
          <w:kern w:val="0"/>
          <w:sz w:val="24"/>
          <w:lang w:val="zh-CN"/>
        </w:rPr>
      </w:pPr>
    </w:p>
    <w:p>
      <w:pPr>
        <w:autoSpaceDE w:val="0"/>
        <w:autoSpaceDN w:val="0"/>
        <w:adjustRightInd w:val="0"/>
        <w:spacing w:line="440" w:lineRule="atLeast"/>
        <w:ind w:firstLine="482" w:firstLineChars="201"/>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法定代表人或授权代表（签字或盖章）：</w:t>
      </w:r>
    </w:p>
    <w:p>
      <w:pPr>
        <w:autoSpaceDE w:val="0"/>
        <w:autoSpaceDN w:val="0"/>
        <w:adjustRightInd w:val="0"/>
        <w:snapToGrid w:val="0"/>
        <w:spacing w:line="480" w:lineRule="atLeast"/>
        <w:ind w:firstLine="480" w:firstLineChars="200"/>
        <w:jc w:val="left"/>
        <w:rPr>
          <w:rFonts w:asciiTheme="minorEastAsia" w:hAnsiTheme="minorEastAsia" w:eastAsiaTheme="minorEastAsia"/>
          <w:kern w:val="0"/>
          <w:sz w:val="24"/>
          <w:lang w:val="zh-CN"/>
        </w:rPr>
      </w:pPr>
    </w:p>
    <w:p>
      <w:pPr>
        <w:autoSpaceDE w:val="0"/>
        <w:autoSpaceDN w:val="0"/>
        <w:adjustRightInd w:val="0"/>
        <w:snapToGrid w:val="0"/>
        <w:spacing w:line="480" w:lineRule="atLeast"/>
        <w:ind w:firstLine="480" w:firstLineChars="200"/>
        <w:jc w:val="left"/>
        <w:rPr>
          <w:rFonts w:cs="仿宋_GB2312" w:asciiTheme="minorEastAsia" w:hAnsiTheme="minorEastAsia" w:eastAsiaTheme="minorEastAsia"/>
          <w:sz w:val="24"/>
          <w:lang w:val="zh-CN"/>
        </w:rPr>
      </w:pPr>
      <w:r>
        <w:rPr>
          <w:rFonts w:hint="eastAsia" w:asciiTheme="minorEastAsia" w:hAnsiTheme="minorEastAsia" w:eastAsiaTheme="minorEastAsia"/>
          <w:kern w:val="0"/>
          <w:sz w:val="24"/>
          <w:lang w:val="zh-CN"/>
        </w:rPr>
        <w:t>日期：</w:t>
      </w:r>
    </w:p>
    <w:p>
      <w:pPr>
        <w:spacing w:line="360" w:lineRule="exact"/>
        <w:jc w:val="center"/>
        <w:rPr>
          <w:rFonts w:ascii="宋体" w:hAnsi="宋体"/>
          <w:b/>
          <w:sz w:val="28"/>
          <w:szCs w:val="28"/>
        </w:rPr>
      </w:pPr>
    </w:p>
    <w:p>
      <w:pPr>
        <w:spacing w:line="360" w:lineRule="exact"/>
        <w:jc w:val="center"/>
        <w:rPr>
          <w:rFonts w:ascii="宋体" w:hAnsi="宋体"/>
          <w:b/>
          <w:sz w:val="28"/>
          <w:szCs w:val="28"/>
        </w:rPr>
      </w:pPr>
    </w:p>
    <w:p>
      <w:pPr>
        <w:spacing w:line="360" w:lineRule="exact"/>
        <w:jc w:val="center"/>
        <w:rPr>
          <w:rFonts w:ascii="宋体" w:hAnsi="宋体"/>
          <w:b/>
          <w:sz w:val="28"/>
          <w:szCs w:val="28"/>
        </w:rPr>
      </w:pPr>
    </w:p>
    <w:p>
      <w:pPr>
        <w:spacing w:line="360" w:lineRule="exact"/>
        <w:rPr>
          <w:rFonts w:ascii="宋体" w:hAnsi="宋体"/>
          <w:b/>
          <w:sz w:val="28"/>
          <w:szCs w:val="28"/>
        </w:rPr>
      </w:pPr>
    </w:p>
    <w:p>
      <w:pPr>
        <w:spacing w:line="360" w:lineRule="exact"/>
        <w:jc w:val="left"/>
        <w:rPr>
          <w:rFonts w:ascii="宋体" w:hAnsi="宋体"/>
          <w:b/>
          <w:szCs w:val="21"/>
        </w:rPr>
      </w:pPr>
      <w:r>
        <w:rPr>
          <w:rFonts w:hint="eastAsia" w:ascii="宋体" w:hAnsi="宋体"/>
          <w:b/>
          <w:szCs w:val="21"/>
        </w:rPr>
        <w:t>注：1、投标供应商必须对以上内容进行承诺，不提供承诺的作无效投标处理。</w:t>
      </w:r>
    </w:p>
    <w:p>
      <w:pPr>
        <w:spacing w:line="360" w:lineRule="exact"/>
        <w:ind w:firstLine="422" w:firstLineChars="200"/>
        <w:jc w:val="left"/>
        <w:rPr>
          <w:rFonts w:ascii="宋体" w:hAnsi="宋体"/>
          <w:b/>
          <w:szCs w:val="21"/>
        </w:rPr>
      </w:pPr>
      <w:r>
        <w:rPr>
          <w:rFonts w:hint="eastAsia" w:ascii="宋体" w:hAnsi="宋体"/>
          <w:b/>
          <w:szCs w:val="21"/>
        </w:rPr>
        <w:t>2、投标供应商必须对承诺的真实性负责，如经核实此承诺为虚假承诺，则取消中标资格。</w:t>
      </w:r>
    </w:p>
    <w:p>
      <w:pPr>
        <w:pStyle w:val="2"/>
        <w:ind w:firstLine="210"/>
      </w:pPr>
    </w:p>
    <w:p>
      <w:pPr>
        <w:pStyle w:val="2"/>
        <w:ind w:firstLine="210"/>
      </w:pPr>
    </w:p>
    <w:p>
      <w:pPr>
        <w:pStyle w:val="2"/>
        <w:ind w:firstLine="210"/>
      </w:pPr>
    </w:p>
    <w:p>
      <w:pPr>
        <w:pStyle w:val="2"/>
        <w:ind w:firstLine="210"/>
      </w:pPr>
    </w:p>
    <w:p>
      <w:pPr>
        <w:widowControl/>
        <w:rPr>
          <w:rFonts w:ascii="宋体" w:hAnsi="宋体" w:cs="宋体"/>
          <w:b/>
          <w:szCs w:val="21"/>
        </w:rPr>
      </w:pPr>
      <w:r>
        <w:rPr>
          <w:rFonts w:hint="eastAsia" w:ascii="宋体" w:hAnsi="宋体" w:cs="宋体"/>
          <w:b/>
          <w:szCs w:val="21"/>
        </w:rPr>
        <w:t>格式十、</w:t>
      </w:r>
    </w:p>
    <w:p>
      <w:pPr>
        <w:spacing w:line="460" w:lineRule="atLeast"/>
        <w:jc w:val="center"/>
        <w:rPr>
          <w:rFonts w:ascii="宋体" w:hAnsi="宋体" w:cs="Arial"/>
          <w:b/>
          <w:sz w:val="28"/>
          <w:szCs w:val="28"/>
          <w:lang w:val="zh-CN"/>
        </w:rPr>
      </w:pPr>
      <w:r>
        <w:rPr>
          <w:rFonts w:hint="eastAsia" w:ascii="宋体" w:hAnsi="宋体" w:cs="Arial"/>
          <w:b/>
          <w:sz w:val="28"/>
          <w:szCs w:val="28"/>
          <w:lang w:val="zh-CN"/>
        </w:rPr>
        <w:t>拟投入的项目实施人员名单</w:t>
      </w:r>
    </w:p>
    <w:tbl>
      <w:tblPr>
        <w:tblStyle w:val="26"/>
        <w:tblW w:w="932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28"/>
        <w:gridCol w:w="2520"/>
        <w:gridCol w:w="936"/>
        <w:gridCol w:w="936"/>
        <w:gridCol w:w="936"/>
        <w:gridCol w:w="936"/>
        <w:gridCol w:w="936"/>
        <w:gridCol w:w="129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jc w:val="center"/>
              <w:rPr>
                <w:rFonts w:ascii="宋体" w:hAnsi="宋体" w:cs="Arial"/>
                <w:bCs/>
                <w:kern w:val="0"/>
                <w:sz w:val="24"/>
              </w:rPr>
            </w:pPr>
            <w:r>
              <w:rPr>
                <w:rFonts w:ascii="宋体" w:hAnsi="宋体" w:cs="Arial"/>
                <w:bCs/>
                <w:kern w:val="0"/>
                <w:sz w:val="24"/>
              </w:rPr>
              <w:t>姓名</w:t>
            </w:r>
          </w:p>
        </w:tc>
        <w:tc>
          <w:tcPr>
            <w:tcW w:w="2520" w:type="dxa"/>
            <w:vAlign w:val="center"/>
          </w:tcPr>
          <w:p>
            <w:pPr>
              <w:jc w:val="center"/>
              <w:rPr>
                <w:rFonts w:ascii="宋体" w:hAnsi="宋体" w:cs="Arial"/>
                <w:bCs/>
                <w:kern w:val="0"/>
                <w:sz w:val="24"/>
              </w:rPr>
            </w:pPr>
            <w:r>
              <w:rPr>
                <w:rFonts w:ascii="宋体" w:hAnsi="宋体" w:cs="Arial"/>
                <w:bCs/>
                <w:kern w:val="0"/>
                <w:sz w:val="24"/>
              </w:rPr>
              <w:t>本项目主要工作</w:t>
            </w:r>
          </w:p>
        </w:tc>
        <w:tc>
          <w:tcPr>
            <w:tcW w:w="936" w:type="dxa"/>
            <w:vAlign w:val="center"/>
          </w:tcPr>
          <w:p>
            <w:pPr>
              <w:jc w:val="center"/>
              <w:rPr>
                <w:rFonts w:ascii="宋体" w:hAnsi="宋体" w:cs="Arial"/>
                <w:bCs/>
                <w:kern w:val="0"/>
                <w:sz w:val="24"/>
              </w:rPr>
            </w:pPr>
            <w:r>
              <w:rPr>
                <w:rFonts w:ascii="宋体" w:hAnsi="宋体" w:cs="Arial"/>
                <w:bCs/>
                <w:kern w:val="0"/>
                <w:sz w:val="24"/>
              </w:rPr>
              <w:t>年龄</w:t>
            </w:r>
          </w:p>
        </w:tc>
        <w:tc>
          <w:tcPr>
            <w:tcW w:w="936" w:type="dxa"/>
            <w:vAlign w:val="center"/>
          </w:tcPr>
          <w:p>
            <w:pPr>
              <w:jc w:val="center"/>
              <w:rPr>
                <w:rFonts w:ascii="宋体" w:hAnsi="宋体" w:cs="Arial"/>
                <w:bCs/>
                <w:kern w:val="0"/>
                <w:sz w:val="24"/>
              </w:rPr>
            </w:pPr>
            <w:r>
              <w:rPr>
                <w:rFonts w:ascii="宋体" w:hAnsi="宋体" w:cs="Arial"/>
                <w:bCs/>
                <w:kern w:val="0"/>
                <w:sz w:val="24"/>
              </w:rPr>
              <w:t>性别</w:t>
            </w:r>
          </w:p>
        </w:tc>
        <w:tc>
          <w:tcPr>
            <w:tcW w:w="936" w:type="dxa"/>
            <w:vAlign w:val="center"/>
          </w:tcPr>
          <w:p>
            <w:pPr>
              <w:jc w:val="center"/>
              <w:rPr>
                <w:rFonts w:ascii="宋体" w:hAnsi="宋体" w:cs="Arial"/>
                <w:bCs/>
                <w:kern w:val="0"/>
                <w:sz w:val="24"/>
              </w:rPr>
            </w:pPr>
            <w:r>
              <w:rPr>
                <w:rFonts w:ascii="宋体" w:hAnsi="宋体" w:cs="Arial"/>
                <w:bCs/>
                <w:kern w:val="0"/>
                <w:sz w:val="24"/>
              </w:rPr>
              <w:t>专业</w:t>
            </w:r>
          </w:p>
        </w:tc>
        <w:tc>
          <w:tcPr>
            <w:tcW w:w="936" w:type="dxa"/>
            <w:vAlign w:val="center"/>
          </w:tcPr>
          <w:p>
            <w:pPr>
              <w:jc w:val="center"/>
              <w:rPr>
                <w:rFonts w:ascii="宋体" w:hAnsi="宋体" w:cs="Arial"/>
                <w:bCs/>
                <w:kern w:val="0"/>
                <w:sz w:val="24"/>
              </w:rPr>
            </w:pPr>
            <w:r>
              <w:rPr>
                <w:rFonts w:ascii="宋体" w:hAnsi="宋体" w:cs="Arial"/>
                <w:bCs/>
                <w:kern w:val="0"/>
                <w:sz w:val="24"/>
              </w:rPr>
              <w:t>专业</w:t>
            </w:r>
          </w:p>
          <w:p>
            <w:pPr>
              <w:jc w:val="center"/>
              <w:rPr>
                <w:rFonts w:ascii="宋体" w:hAnsi="宋体" w:cs="Arial"/>
                <w:bCs/>
                <w:kern w:val="0"/>
                <w:sz w:val="24"/>
              </w:rPr>
            </w:pPr>
            <w:r>
              <w:rPr>
                <w:rFonts w:ascii="宋体" w:hAnsi="宋体" w:cs="Arial"/>
                <w:bCs/>
                <w:kern w:val="0"/>
                <w:sz w:val="24"/>
              </w:rPr>
              <w:t>年限</w:t>
            </w:r>
          </w:p>
        </w:tc>
        <w:tc>
          <w:tcPr>
            <w:tcW w:w="936" w:type="dxa"/>
            <w:vAlign w:val="center"/>
          </w:tcPr>
          <w:p>
            <w:pPr>
              <w:jc w:val="center"/>
              <w:rPr>
                <w:rFonts w:ascii="宋体" w:hAnsi="宋体" w:cs="Arial"/>
                <w:bCs/>
                <w:kern w:val="0"/>
                <w:sz w:val="24"/>
              </w:rPr>
            </w:pPr>
            <w:r>
              <w:rPr>
                <w:rFonts w:ascii="宋体" w:hAnsi="宋体" w:cs="Arial"/>
                <w:bCs/>
                <w:kern w:val="0"/>
                <w:sz w:val="24"/>
              </w:rPr>
              <w:t>职务</w:t>
            </w:r>
          </w:p>
          <w:p>
            <w:pPr>
              <w:jc w:val="center"/>
              <w:rPr>
                <w:rFonts w:ascii="宋体" w:hAnsi="宋体" w:cs="Arial"/>
                <w:bCs/>
                <w:kern w:val="0"/>
                <w:sz w:val="24"/>
              </w:rPr>
            </w:pPr>
            <w:r>
              <w:rPr>
                <w:rFonts w:ascii="宋体" w:hAnsi="宋体" w:cs="Arial"/>
                <w:bCs/>
                <w:kern w:val="0"/>
                <w:sz w:val="24"/>
              </w:rPr>
              <w:t>和职称</w:t>
            </w:r>
          </w:p>
        </w:tc>
        <w:tc>
          <w:tcPr>
            <w:tcW w:w="1294" w:type="dxa"/>
            <w:vAlign w:val="center"/>
          </w:tcPr>
          <w:p>
            <w:pPr>
              <w:jc w:val="center"/>
              <w:rPr>
                <w:rFonts w:ascii="宋体" w:hAnsi="宋体" w:cs="Arial"/>
                <w:bCs/>
                <w:kern w:val="0"/>
                <w:sz w:val="24"/>
              </w:rPr>
            </w:pPr>
            <w:r>
              <w:rPr>
                <w:rFonts w:ascii="宋体" w:hAnsi="宋体" w:cs="Arial"/>
                <w:bCs/>
                <w:kern w:val="0"/>
                <w:sz w:val="24"/>
              </w:rPr>
              <w:t>联系方式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hAnsi="宋体" w:cs="Arial"/>
                <w:b/>
                <w:kern w:val="0"/>
                <w:sz w:val="22"/>
              </w:rPr>
            </w:pPr>
          </w:p>
        </w:tc>
        <w:tc>
          <w:tcPr>
            <w:tcW w:w="2520" w:type="dxa"/>
            <w:vAlign w:val="center"/>
          </w:tcPr>
          <w:p>
            <w:pPr>
              <w:spacing w:line="360" w:lineRule="auto"/>
              <w:rPr>
                <w:rFonts w:ascii="宋体" w:hAnsi="宋体" w:cs="Arial"/>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adjustRightInd w:val="0"/>
              <w:spacing w:line="360" w:lineRule="auto"/>
              <w:ind w:left="5271"/>
              <w:textAlignment w:val="baseline"/>
              <w:rPr>
                <w:rFonts w:ascii="宋体" w:hAnsi="宋体" w:cs="Arial"/>
                <w:kern w:val="0"/>
                <w:sz w:val="22"/>
              </w:rPr>
            </w:pPr>
          </w:p>
        </w:tc>
        <w:tc>
          <w:tcPr>
            <w:tcW w:w="1294" w:type="dxa"/>
            <w:vAlign w:val="center"/>
          </w:tcPr>
          <w:p>
            <w:pPr>
              <w:spacing w:line="360" w:lineRule="auto"/>
              <w:rPr>
                <w:rFonts w:ascii="宋体" w:hAnsi="宋体" w:cs="Arial"/>
                <w:b/>
                <w:kern w:val="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hAnsi="宋体" w:cs="Arial"/>
                <w:b/>
                <w:kern w:val="0"/>
                <w:sz w:val="22"/>
              </w:rPr>
            </w:pPr>
          </w:p>
        </w:tc>
        <w:tc>
          <w:tcPr>
            <w:tcW w:w="2520"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1294" w:type="dxa"/>
            <w:vAlign w:val="center"/>
          </w:tcPr>
          <w:p>
            <w:pPr>
              <w:spacing w:line="360" w:lineRule="auto"/>
              <w:rPr>
                <w:rFonts w:ascii="宋体" w:hAnsi="宋体" w:cs="Arial"/>
                <w:b/>
                <w:kern w:val="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hAnsi="宋体" w:cs="Arial"/>
                <w:b/>
                <w:kern w:val="0"/>
                <w:sz w:val="22"/>
              </w:rPr>
            </w:pPr>
          </w:p>
        </w:tc>
        <w:tc>
          <w:tcPr>
            <w:tcW w:w="2520"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1294" w:type="dxa"/>
            <w:vAlign w:val="center"/>
          </w:tcPr>
          <w:p>
            <w:pPr>
              <w:spacing w:line="360" w:lineRule="auto"/>
              <w:rPr>
                <w:rFonts w:ascii="宋体" w:hAnsi="宋体" w:cs="Arial"/>
                <w:b/>
                <w:kern w:val="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hAnsi="宋体" w:cs="Arial"/>
                <w:b/>
                <w:kern w:val="0"/>
                <w:sz w:val="22"/>
              </w:rPr>
            </w:pPr>
          </w:p>
        </w:tc>
        <w:tc>
          <w:tcPr>
            <w:tcW w:w="2520"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1294" w:type="dxa"/>
            <w:vAlign w:val="center"/>
          </w:tcPr>
          <w:p>
            <w:pPr>
              <w:spacing w:line="360" w:lineRule="auto"/>
              <w:rPr>
                <w:rFonts w:ascii="宋体" w:hAnsi="宋体" w:cs="Arial"/>
                <w:b/>
                <w:kern w:val="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hAnsi="宋体" w:cs="Arial"/>
                <w:b/>
                <w:kern w:val="0"/>
                <w:sz w:val="22"/>
              </w:rPr>
            </w:pPr>
          </w:p>
        </w:tc>
        <w:tc>
          <w:tcPr>
            <w:tcW w:w="2520"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1294" w:type="dxa"/>
            <w:vAlign w:val="center"/>
          </w:tcPr>
          <w:p>
            <w:pPr>
              <w:spacing w:line="360" w:lineRule="auto"/>
              <w:rPr>
                <w:rFonts w:ascii="宋体" w:hAnsi="宋体" w:cs="Arial"/>
                <w:b/>
                <w:kern w:val="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hAnsi="宋体" w:cs="Arial"/>
                <w:b/>
                <w:kern w:val="0"/>
                <w:sz w:val="22"/>
              </w:rPr>
            </w:pPr>
          </w:p>
        </w:tc>
        <w:tc>
          <w:tcPr>
            <w:tcW w:w="2520"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1294" w:type="dxa"/>
            <w:vAlign w:val="center"/>
          </w:tcPr>
          <w:p>
            <w:pPr>
              <w:spacing w:line="360" w:lineRule="auto"/>
              <w:rPr>
                <w:rFonts w:ascii="宋体" w:hAnsi="宋体" w:cs="Arial"/>
                <w:b/>
                <w:kern w:val="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hAnsi="宋体" w:cs="Arial"/>
                <w:b/>
                <w:kern w:val="0"/>
                <w:sz w:val="22"/>
              </w:rPr>
            </w:pPr>
          </w:p>
        </w:tc>
        <w:tc>
          <w:tcPr>
            <w:tcW w:w="2520"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1294" w:type="dxa"/>
            <w:vAlign w:val="center"/>
          </w:tcPr>
          <w:p>
            <w:pPr>
              <w:spacing w:line="360" w:lineRule="auto"/>
              <w:rPr>
                <w:rFonts w:ascii="宋体" w:hAnsi="宋体" w:cs="Arial"/>
                <w:b/>
                <w:kern w:val="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hAnsi="宋体" w:cs="Arial"/>
                <w:b/>
                <w:kern w:val="0"/>
                <w:sz w:val="22"/>
              </w:rPr>
            </w:pPr>
          </w:p>
        </w:tc>
        <w:tc>
          <w:tcPr>
            <w:tcW w:w="2520"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1294" w:type="dxa"/>
            <w:vAlign w:val="center"/>
          </w:tcPr>
          <w:p>
            <w:pPr>
              <w:spacing w:line="360" w:lineRule="auto"/>
              <w:rPr>
                <w:rFonts w:ascii="宋体" w:hAnsi="宋体" w:cs="Arial"/>
                <w:b/>
                <w:kern w:val="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hAnsi="宋体" w:cs="Arial"/>
                <w:b/>
                <w:kern w:val="0"/>
                <w:sz w:val="22"/>
              </w:rPr>
            </w:pPr>
          </w:p>
        </w:tc>
        <w:tc>
          <w:tcPr>
            <w:tcW w:w="2520"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1294" w:type="dxa"/>
            <w:vAlign w:val="center"/>
          </w:tcPr>
          <w:p>
            <w:pPr>
              <w:spacing w:line="360" w:lineRule="auto"/>
              <w:rPr>
                <w:rFonts w:ascii="宋体" w:hAnsi="宋体" w:cs="Arial"/>
                <w:b/>
                <w:kern w:val="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hAnsi="宋体" w:cs="Arial"/>
                <w:b/>
                <w:kern w:val="0"/>
                <w:sz w:val="22"/>
              </w:rPr>
            </w:pPr>
          </w:p>
        </w:tc>
        <w:tc>
          <w:tcPr>
            <w:tcW w:w="2520"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1294" w:type="dxa"/>
            <w:vAlign w:val="center"/>
          </w:tcPr>
          <w:p>
            <w:pPr>
              <w:spacing w:line="360" w:lineRule="auto"/>
              <w:rPr>
                <w:rFonts w:ascii="宋体" w:hAnsi="宋体" w:cs="Arial"/>
                <w:b/>
                <w:kern w:val="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hAnsi="宋体" w:cs="Arial"/>
                <w:b/>
                <w:kern w:val="0"/>
                <w:sz w:val="22"/>
              </w:rPr>
            </w:pPr>
          </w:p>
        </w:tc>
        <w:tc>
          <w:tcPr>
            <w:tcW w:w="2520"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1294" w:type="dxa"/>
            <w:vAlign w:val="center"/>
          </w:tcPr>
          <w:p>
            <w:pPr>
              <w:spacing w:line="360" w:lineRule="auto"/>
              <w:rPr>
                <w:rFonts w:ascii="宋体" w:hAnsi="宋体" w:cs="Arial"/>
                <w:b/>
                <w:kern w:val="0"/>
                <w:sz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96" w:hRule="atLeast"/>
        </w:trPr>
        <w:tc>
          <w:tcPr>
            <w:tcW w:w="828" w:type="dxa"/>
            <w:vAlign w:val="center"/>
          </w:tcPr>
          <w:p>
            <w:pPr>
              <w:spacing w:line="360" w:lineRule="auto"/>
              <w:rPr>
                <w:rFonts w:ascii="宋体" w:hAnsi="宋体" w:cs="Arial"/>
                <w:b/>
                <w:kern w:val="0"/>
                <w:sz w:val="22"/>
              </w:rPr>
            </w:pPr>
          </w:p>
        </w:tc>
        <w:tc>
          <w:tcPr>
            <w:tcW w:w="2520"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936" w:type="dxa"/>
            <w:vAlign w:val="center"/>
          </w:tcPr>
          <w:p>
            <w:pPr>
              <w:spacing w:line="360" w:lineRule="auto"/>
              <w:rPr>
                <w:rFonts w:ascii="宋体" w:hAnsi="宋体" w:cs="Arial"/>
                <w:b/>
                <w:kern w:val="0"/>
                <w:sz w:val="22"/>
              </w:rPr>
            </w:pPr>
          </w:p>
        </w:tc>
        <w:tc>
          <w:tcPr>
            <w:tcW w:w="1294" w:type="dxa"/>
            <w:vAlign w:val="center"/>
          </w:tcPr>
          <w:p>
            <w:pPr>
              <w:spacing w:line="360" w:lineRule="auto"/>
              <w:rPr>
                <w:rFonts w:ascii="宋体" w:hAnsi="宋体" w:cs="Arial"/>
                <w:b/>
                <w:kern w:val="0"/>
                <w:sz w:val="22"/>
              </w:rPr>
            </w:pPr>
          </w:p>
        </w:tc>
      </w:tr>
    </w:tbl>
    <w:p>
      <w:pPr>
        <w:spacing w:line="460" w:lineRule="atLeast"/>
        <w:rPr>
          <w:rFonts w:ascii="宋体" w:hAnsi="宋体"/>
          <w:spacing w:val="20"/>
          <w:kern w:val="0"/>
          <w:sz w:val="24"/>
        </w:rPr>
      </w:pPr>
      <w:r>
        <w:rPr>
          <w:rFonts w:ascii="宋体" w:hAnsi="宋体"/>
          <w:spacing w:val="20"/>
          <w:kern w:val="0"/>
          <w:sz w:val="24"/>
        </w:rPr>
        <w:t>注：1、本表人员有资格证书的应随表提交职称、资格证书复印件（加盖公章）。</w:t>
      </w:r>
      <w:r>
        <w:rPr>
          <w:rFonts w:hint="eastAsia" w:asciiTheme="minorEastAsia" w:hAnsiTheme="minorEastAsia" w:eastAsiaTheme="minorEastAsia"/>
          <w:sz w:val="24"/>
        </w:rPr>
        <w:t>提供社保证明或本人是投标单位员工的有效证明材料。</w:t>
      </w:r>
    </w:p>
    <w:p>
      <w:pPr>
        <w:spacing w:line="460" w:lineRule="atLeast"/>
        <w:ind w:firstLine="480"/>
        <w:rPr>
          <w:rFonts w:ascii="宋体" w:hAnsi="宋体"/>
          <w:spacing w:val="20"/>
          <w:kern w:val="0"/>
          <w:sz w:val="24"/>
        </w:rPr>
      </w:pPr>
      <w:r>
        <w:rPr>
          <w:rFonts w:ascii="宋体" w:hAnsi="宋体"/>
          <w:spacing w:val="20"/>
          <w:kern w:val="0"/>
          <w:sz w:val="24"/>
        </w:rPr>
        <w:t>2、列入本表人员如要更换，需经</w:t>
      </w:r>
      <w:r>
        <w:rPr>
          <w:rFonts w:hint="eastAsia" w:ascii="宋体" w:hAnsi="宋体"/>
          <w:spacing w:val="20"/>
          <w:kern w:val="0"/>
          <w:sz w:val="24"/>
        </w:rPr>
        <w:t>采购</w:t>
      </w:r>
      <w:r>
        <w:rPr>
          <w:rFonts w:ascii="宋体" w:hAnsi="宋体"/>
          <w:spacing w:val="20"/>
          <w:kern w:val="0"/>
          <w:sz w:val="24"/>
        </w:rPr>
        <w:t>人同意；擅自更换或不到位属违约行为。</w:t>
      </w:r>
    </w:p>
    <w:p>
      <w:pPr>
        <w:spacing w:line="460" w:lineRule="atLeast"/>
        <w:ind w:firstLine="560" w:firstLineChars="200"/>
        <w:rPr>
          <w:rFonts w:ascii="宋体" w:hAnsi="宋体"/>
          <w:spacing w:val="20"/>
          <w:kern w:val="0"/>
          <w:sz w:val="24"/>
        </w:rPr>
      </w:pPr>
      <w:r>
        <w:rPr>
          <w:rFonts w:hint="eastAsia" w:ascii="宋体" w:hAnsi="宋体"/>
          <w:spacing w:val="20"/>
          <w:kern w:val="0"/>
          <w:sz w:val="24"/>
        </w:rPr>
        <w:t>3、表格可以延续</w:t>
      </w:r>
      <w:r>
        <w:rPr>
          <w:rFonts w:ascii="宋体" w:hAnsi="宋体"/>
          <w:spacing w:val="20"/>
          <w:kern w:val="0"/>
          <w:sz w:val="24"/>
        </w:rPr>
        <w:t>。</w:t>
      </w:r>
    </w:p>
    <w:p>
      <w:pPr>
        <w:spacing w:line="460" w:lineRule="atLeast"/>
        <w:ind w:firstLine="480"/>
        <w:rPr>
          <w:rFonts w:ascii="宋体" w:hAnsi="宋体"/>
          <w:spacing w:val="20"/>
          <w:kern w:val="0"/>
          <w:sz w:val="24"/>
        </w:rPr>
      </w:pPr>
    </w:p>
    <w:p>
      <w:pPr>
        <w:spacing w:line="360" w:lineRule="exact"/>
        <w:rPr>
          <w:rFonts w:ascii="宋体" w:hAnsi="宋体"/>
          <w:kern w:val="0"/>
          <w:sz w:val="24"/>
        </w:rPr>
      </w:pPr>
    </w:p>
    <w:p>
      <w:pPr>
        <w:spacing w:line="360" w:lineRule="exact"/>
        <w:rPr>
          <w:rFonts w:ascii="宋体" w:hAnsi="宋体"/>
          <w:kern w:val="0"/>
          <w:sz w:val="24"/>
        </w:rPr>
      </w:pPr>
    </w:p>
    <w:p>
      <w:pPr>
        <w:spacing w:line="360" w:lineRule="exact"/>
        <w:rPr>
          <w:rFonts w:ascii="宋体" w:hAnsi="宋体"/>
          <w:kern w:val="0"/>
          <w:sz w:val="24"/>
        </w:rPr>
      </w:pPr>
      <w:r>
        <w:rPr>
          <w:rFonts w:hint="eastAsia" w:ascii="宋体" w:hAnsi="宋体"/>
          <w:kern w:val="0"/>
          <w:sz w:val="24"/>
        </w:rPr>
        <w:t>供应商全称（盖章）：</w:t>
      </w:r>
    </w:p>
    <w:p>
      <w:pPr>
        <w:spacing w:line="360" w:lineRule="exact"/>
        <w:jc w:val="left"/>
        <w:rPr>
          <w:rFonts w:ascii="宋体" w:hAnsi="宋体"/>
          <w:kern w:val="0"/>
          <w:sz w:val="24"/>
        </w:rPr>
      </w:pPr>
    </w:p>
    <w:p>
      <w:pPr>
        <w:spacing w:line="360" w:lineRule="exact"/>
        <w:jc w:val="left"/>
        <w:rPr>
          <w:rFonts w:ascii="宋体" w:hAnsi="宋体"/>
          <w:kern w:val="0"/>
          <w:sz w:val="24"/>
        </w:rPr>
      </w:pPr>
      <w:r>
        <w:rPr>
          <w:rFonts w:ascii="宋体" w:hAnsi="宋体"/>
          <w:kern w:val="0"/>
          <w:sz w:val="24"/>
        </w:rPr>
        <w:t>法定代表人或授权代表（签字或盖章）：</w:t>
      </w:r>
    </w:p>
    <w:p>
      <w:pPr>
        <w:spacing w:line="360" w:lineRule="exact"/>
        <w:jc w:val="left"/>
        <w:rPr>
          <w:rFonts w:ascii="宋体" w:hAnsi="宋体"/>
          <w:kern w:val="0"/>
          <w:sz w:val="24"/>
        </w:rPr>
      </w:pPr>
    </w:p>
    <w:p>
      <w:pPr>
        <w:spacing w:line="360" w:lineRule="exact"/>
        <w:jc w:val="left"/>
        <w:rPr>
          <w:rFonts w:ascii="宋体" w:hAnsi="宋体"/>
          <w:kern w:val="0"/>
          <w:sz w:val="24"/>
        </w:rPr>
      </w:pPr>
      <w:r>
        <w:rPr>
          <w:rFonts w:hint="eastAsia" w:ascii="宋体" w:hAnsi="宋体"/>
          <w:kern w:val="0"/>
          <w:sz w:val="24"/>
        </w:rPr>
        <w:t>日期：</w:t>
      </w:r>
    </w:p>
    <w:p>
      <w:pPr>
        <w:pStyle w:val="2"/>
        <w:ind w:firstLine="210"/>
      </w:pPr>
    </w:p>
    <w:p>
      <w:pPr>
        <w:snapToGrid w:val="0"/>
        <w:spacing w:before="50" w:after="159" w:afterLines="50"/>
        <w:jc w:val="left"/>
        <w:rPr>
          <w:rFonts w:ascii="宋体" w:cs="宋体"/>
          <w:b/>
          <w:bCs/>
          <w:szCs w:val="21"/>
        </w:rPr>
      </w:pPr>
    </w:p>
    <w:p>
      <w:pPr>
        <w:snapToGrid w:val="0"/>
        <w:spacing w:before="50" w:after="159" w:afterLines="50"/>
        <w:jc w:val="left"/>
        <w:rPr>
          <w:rFonts w:ascii="宋体" w:cs="宋体"/>
          <w:b/>
          <w:bCs/>
          <w:szCs w:val="21"/>
        </w:rPr>
      </w:pPr>
      <w:r>
        <w:rPr>
          <w:rFonts w:hint="eastAsia" w:ascii="宋体" w:cs="宋体"/>
          <w:b/>
          <w:bCs/>
          <w:szCs w:val="21"/>
        </w:rPr>
        <w:t>格式十一、质疑函（格式）</w:t>
      </w:r>
    </w:p>
    <w:p>
      <w:pPr>
        <w:spacing w:line="360" w:lineRule="auto"/>
        <w:jc w:val="center"/>
        <w:rPr>
          <w:rFonts w:ascii="宋体" w:hAnsi="宋体"/>
          <w:szCs w:val="21"/>
        </w:rPr>
      </w:pPr>
      <w:r>
        <w:rPr>
          <w:rFonts w:hint="eastAsia" w:ascii="宋体" w:hAnsi="宋体"/>
          <w:szCs w:val="21"/>
        </w:rPr>
        <w:t>质疑函（格式）</w:t>
      </w:r>
    </w:p>
    <w:p>
      <w:pPr>
        <w:widowControl/>
        <w:spacing w:before="100" w:beforeAutospacing="1" w:after="100" w:afterAutospacing="1" w:line="276" w:lineRule="auto"/>
        <w:jc w:val="left"/>
        <w:rPr>
          <w:rFonts w:ascii="宋体" w:hAnsi="宋体" w:cs="宋体"/>
          <w:szCs w:val="21"/>
        </w:rPr>
      </w:pPr>
      <w:r>
        <w:rPr>
          <w:rFonts w:hint="eastAsia" w:ascii="宋体" w:hAnsi="宋体" w:cs="仿宋"/>
          <w:kern w:val="0"/>
          <w:szCs w:val="21"/>
          <w:shd w:val="clear" w:color="auto" w:fill="FFFFFF"/>
        </w:rPr>
        <w:t>质疑供应商：</w:t>
      </w:r>
    </w:p>
    <w:p>
      <w:pPr>
        <w:widowControl/>
        <w:spacing w:before="100" w:beforeAutospacing="1" w:after="100" w:afterAutospacing="1" w:line="276" w:lineRule="auto"/>
        <w:jc w:val="left"/>
        <w:rPr>
          <w:rFonts w:ascii="宋体" w:hAnsi="宋体" w:cs="宋体"/>
          <w:szCs w:val="21"/>
        </w:rPr>
      </w:pPr>
      <w:r>
        <w:rPr>
          <w:rFonts w:hint="eastAsia" w:ascii="宋体" w:hAnsi="宋体" w:cs="仿宋"/>
          <w:kern w:val="0"/>
          <w:szCs w:val="21"/>
          <w:shd w:val="clear" w:color="auto" w:fill="FFFFFF"/>
        </w:rPr>
        <w:t>地址：邮编：</w:t>
      </w:r>
    </w:p>
    <w:p>
      <w:pPr>
        <w:widowControl/>
        <w:spacing w:before="100" w:beforeAutospacing="1" w:after="100" w:afterAutospacing="1" w:line="276" w:lineRule="auto"/>
        <w:jc w:val="left"/>
        <w:rPr>
          <w:rFonts w:ascii="宋体" w:hAnsi="宋体" w:cs="Calibri"/>
          <w:kern w:val="0"/>
          <w:szCs w:val="21"/>
          <w:u w:val="single"/>
          <w:shd w:val="clear" w:color="auto" w:fill="FFFFFF"/>
        </w:rPr>
      </w:pPr>
      <w:r>
        <w:rPr>
          <w:rFonts w:hint="eastAsia" w:ascii="宋体" w:hAnsi="宋体" w:cs="仿宋"/>
          <w:kern w:val="0"/>
          <w:szCs w:val="21"/>
          <w:shd w:val="clear" w:color="auto" w:fill="FFFFFF"/>
        </w:rPr>
        <w:t>联系人：</w:t>
      </w:r>
    </w:p>
    <w:p>
      <w:pPr>
        <w:widowControl/>
        <w:spacing w:before="100" w:beforeAutospacing="1" w:after="100" w:afterAutospacing="1" w:line="276" w:lineRule="auto"/>
        <w:jc w:val="left"/>
        <w:rPr>
          <w:rFonts w:ascii="宋体" w:hAnsi="宋体" w:cs="宋体"/>
          <w:szCs w:val="21"/>
        </w:rPr>
      </w:pPr>
      <w:r>
        <w:rPr>
          <w:rFonts w:hint="eastAsia" w:ascii="宋体" w:hAnsi="宋体" w:cs="仿宋"/>
          <w:kern w:val="0"/>
          <w:szCs w:val="21"/>
          <w:shd w:val="clear" w:color="auto" w:fill="FFFFFF"/>
        </w:rPr>
        <w:t>联系电话：</w:t>
      </w:r>
    </w:p>
    <w:p>
      <w:pPr>
        <w:widowControl/>
        <w:spacing w:before="100" w:beforeAutospacing="1" w:after="100" w:afterAutospacing="1" w:line="276" w:lineRule="auto"/>
        <w:jc w:val="left"/>
        <w:rPr>
          <w:rFonts w:ascii="宋体" w:hAnsi="宋体" w:cs="Calibri"/>
          <w:kern w:val="0"/>
          <w:szCs w:val="21"/>
          <w:u w:val="single"/>
          <w:shd w:val="clear" w:color="auto" w:fill="FFFFFF"/>
        </w:rPr>
      </w:pPr>
      <w:r>
        <w:rPr>
          <w:rFonts w:hint="eastAsia" w:ascii="宋体" w:hAnsi="宋体" w:cs="仿宋"/>
          <w:kern w:val="0"/>
          <w:szCs w:val="21"/>
          <w:shd w:val="clear" w:color="auto" w:fill="FFFFFF"/>
        </w:rPr>
        <w:t>授权代表：</w:t>
      </w:r>
    </w:p>
    <w:p>
      <w:pPr>
        <w:widowControl/>
        <w:spacing w:before="100" w:beforeAutospacing="1" w:after="100" w:afterAutospacing="1" w:line="276" w:lineRule="auto"/>
        <w:jc w:val="left"/>
        <w:rPr>
          <w:rFonts w:ascii="宋体" w:hAnsi="宋体" w:cs="宋体"/>
          <w:szCs w:val="21"/>
        </w:rPr>
      </w:pPr>
      <w:r>
        <w:rPr>
          <w:rFonts w:hint="eastAsia" w:ascii="宋体" w:hAnsi="宋体" w:cs="仿宋"/>
          <w:kern w:val="0"/>
          <w:szCs w:val="21"/>
          <w:shd w:val="clear" w:color="auto" w:fill="FFFFFF"/>
        </w:rPr>
        <w:t>联系电话：</w:t>
      </w:r>
    </w:p>
    <w:p>
      <w:pPr>
        <w:widowControl/>
        <w:spacing w:before="100" w:beforeAutospacing="1" w:after="100" w:afterAutospacing="1" w:line="276" w:lineRule="auto"/>
        <w:jc w:val="left"/>
        <w:rPr>
          <w:rFonts w:ascii="宋体" w:hAnsi="宋体" w:cs="宋体"/>
          <w:szCs w:val="21"/>
        </w:rPr>
      </w:pPr>
      <w:r>
        <w:rPr>
          <w:rFonts w:hint="eastAsia" w:ascii="宋体" w:hAnsi="宋体" w:cs="仿宋"/>
          <w:kern w:val="0"/>
          <w:szCs w:val="21"/>
          <w:shd w:val="clear" w:color="auto" w:fill="FFFFFF"/>
        </w:rPr>
        <w:t>地址：邮编：</w:t>
      </w:r>
    </w:p>
    <w:p>
      <w:pPr>
        <w:widowControl/>
        <w:spacing w:before="100" w:beforeAutospacing="1" w:after="100" w:afterAutospacing="1" w:line="360" w:lineRule="auto"/>
        <w:jc w:val="left"/>
        <w:rPr>
          <w:rFonts w:ascii="宋体" w:hAnsi="宋体" w:cs="黑体"/>
          <w:kern w:val="0"/>
          <w:szCs w:val="21"/>
          <w:shd w:val="clear" w:color="auto" w:fill="FFFFFF"/>
        </w:rPr>
      </w:pPr>
    </w:p>
    <w:p>
      <w:pPr>
        <w:widowControl/>
        <w:spacing w:before="100" w:beforeAutospacing="1" w:after="100" w:afterAutospacing="1" w:line="360" w:lineRule="auto"/>
        <w:jc w:val="left"/>
        <w:rPr>
          <w:rFonts w:ascii="宋体" w:hAnsi="宋体" w:cs="宋体"/>
          <w:szCs w:val="21"/>
        </w:rPr>
      </w:pPr>
      <w:r>
        <w:rPr>
          <w:rFonts w:ascii="宋体" w:hAnsi="宋体" w:cs="黑体"/>
          <w:kern w:val="0"/>
          <w:szCs w:val="21"/>
          <w:shd w:val="clear" w:color="auto" w:fill="FFFFFF"/>
        </w:rPr>
        <w:t>二、质疑项目基本情况</w:t>
      </w:r>
    </w:p>
    <w:p>
      <w:pPr>
        <w:widowControl/>
        <w:spacing w:before="100" w:beforeAutospacing="1" w:after="100" w:afterAutospacing="1" w:line="360" w:lineRule="auto"/>
        <w:jc w:val="left"/>
        <w:rPr>
          <w:rFonts w:ascii="宋体" w:hAnsi="宋体" w:cs="宋体"/>
          <w:szCs w:val="21"/>
        </w:rPr>
      </w:pPr>
      <w:r>
        <w:rPr>
          <w:rFonts w:hint="eastAsia" w:ascii="宋体" w:hAnsi="宋体" w:cs="仿宋"/>
          <w:kern w:val="0"/>
          <w:szCs w:val="21"/>
          <w:shd w:val="clear" w:color="auto" w:fill="FFFFFF"/>
        </w:rPr>
        <w:t>质疑项目的名称：</w:t>
      </w:r>
    </w:p>
    <w:p>
      <w:pPr>
        <w:widowControl/>
        <w:spacing w:before="100" w:beforeAutospacing="1" w:after="100" w:afterAutospacing="1" w:line="360" w:lineRule="auto"/>
        <w:jc w:val="left"/>
        <w:rPr>
          <w:rFonts w:ascii="宋体" w:hAnsi="宋体" w:cs="宋体"/>
          <w:szCs w:val="21"/>
        </w:rPr>
      </w:pPr>
      <w:r>
        <w:rPr>
          <w:rFonts w:hint="eastAsia" w:ascii="宋体" w:hAnsi="宋体" w:cs="仿宋"/>
          <w:kern w:val="0"/>
          <w:szCs w:val="21"/>
          <w:shd w:val="clear" w:color="auto" w:fill="FFFFFF"/>
        </w:rPr>
        <w:t>质疑项目的编号：</w:t>
      </w:r>
    </w:p>
    <w:p>
      <w:pPr>
        <w:widowControl/>
        <w:spacing w:before="100" w:beforeAutospacing="1" w:after="100" w:afterAutospacing="1" w:line="360" w:lineRule="auto"/>
        <w:jc w:val="left"/>
        <w:rPr>
          <w:rFonts w:ascii="宋体" w:hAnsi="宋体" w:cs="宋体"/>
          <w:szCs w:val="21"/>
        </w:rPr>
      </w:pPr>
      <w:r>
        <w:rPr>
          <w:rFonts w:hint="eastAsia" w:ascii="宋体" w:hAnsi="宋体" w:cs="仿宋"/>
          <w:kern w:val="0"/>
          <w:szCs w:val="21"/>
          <w:shd w:val="clear" w:color="auto" w:fill="FFFFFF"/>
        </w:rPr>
        <w:t>采购人名称：</w:t>
      </w:r>
    </w:p>
    <w:p>
      <w:pPr>
        <w:widowControl/>
        <w:spacing w:before="100" w:beforeAutospacing="1" w:after="100" w:afterAutospacing="1" w:line="360" w:lineRule="auto"/>
        <w:jc w:val="left"/>
        <w:rPr>
          <w:rFonts w:ascii="宋体" w:hAnsi="宋体" w:cs="宋体"/>
          <w:szCs w:val="21"/>
        </w:rPr>
      </w:pPr>
      <w:r>
        <w:rPr>
          <w:rFonts w:hint="eastAsia" w:ascii="宋体" w:hAnsi="宋体" w:cs="仿宋"/>
          <w:kern w:val="0"/>
          <w:szCs w:val="21"/>
          <w:shd w:val="clear" w:color="auto" w:fill="FFFFFF"/>
        </w:rPr>
        <w:t>采购文件获取日期：</w:t>
      </w:r>
    </w:p>
    <w:p>
      <w:pPr>
        <w:widowControl/>
        <w:spacing w:before="100" w:beforeAutospacing="1" w:after="100" w:afterAutospacing="1" w:line="360" w:lineRule="auto"/>
        <w:jc w:val="left"/>
        <w:rPr>
          <w:rFonts w:ascii="宋体" w:hAnsi="宋体" w:cs="宋体"/>
          <w:szCs w:val="21"/>
        </w:rPr>
      </w:pPr>
      <w:r>
        <w:rPr>
          <w:rFonts w:hint="eastAsia" w:ascii="宋体" w:hAnsi="宋体" w:cs="黑体"/>
          <w:kern w:val="0"/>
          <w:szCs w:val="21"/>
          <w:shd w:val="clear" w:color="auto" w:fill="FFFFFF"/>
        </w:rPr>
        <w:t>三、质疑事项具体内容</w:t>
      </w:r>
    </w:p>
    <w:p>
      <w:pPr>
        <w:widowControl/>
        <w:spacing w:before="100" w:beforeAutospacing="1" w:after="100" w:afterAutospacing="1" w:line="360" w:lineRule="auto"/>
        <w:jc w:val="left"/>
        <w:rPr>
          <w:rFonts w:ascii="宋体" w:hAnsi="宋体" w:cs="宋体"/>
          <w:szCs w:val="21"/>
        </w:rPr>
      </w:pPr>
      <w:r>
        <w:rPr>
          <w:rFonts w:hint="eastAsia" w:ascii="宋体" w:hAnsi="宋体" w:cs="仿宋"/>
          <w:kern w:val="0"/>
          <w:szCs w:val="21"/>
          <w:shd w:val="clear" w:color="auto" w:fill="FFFFFF"/>
        </w:rPr>
        <w:t>质疑事项1：</w:t>
      </w:r>
    </w:p>
    <w:p>
      <w:pPr>
        <w:widowControl/>
        <w:spacing w:before="100" w:beforeAutospacing="1" w:after="100" w:afterAutospacing="1" w:line="360" w:lineRule="auto"/>
        <w:jc w:val="left"/>
        <w:rPr>
          <w:rFonts w:ascii="宋体" w:hAnsi="宋体" w:cs="宋体"/>
          <w:szCs w:val="21"/>
        </w:rPr>
      </w:pPr>
      <w:r>
        <w:rPr>
          <w:rFonts w:hint="eastAsia" w:ascii="宋体" w:hAnsi="宋体" w:cs="仿宋"/>
          <w:kern w:val="0"/>
          <w:szCs w:val="21"/>
          <w:shd w:val="clear" w:color="auto" w:fill="FFFFFF"/>
        </w:rPr>
        <w:t>事实依据：</w:t>
      </w:r>
    </w:p>
    <w:p>
      <w:pPr>
        <w:widowControl/>
        <w:spacing w:before="100" w:beforeAutospacing="1" w:after="100" w:afterAutospacing="1" w:line="360" w:lineRule="auto"/>
        <w:jc w:val="left"/>
        <w:rPr>
          <w:rFonts w:ascii="宋体" w:hAnsi="宋体" w:cs="宋体"/>
          <w:szCs w:val="21"/>
        </w:rPr>
      </w:pPr>
      <w:r>
        <w:rPr>
          <w:rFonts w:hint="eastAsia" w:ascii="宋体" w:hAnsi="宋体" w:cs="仿宋"/>
          <w:kern w:val="0"/>
          <w:szCs w:val="21"/>
          <w:shd w:val="clear" w:color="auto" w:fill="FFFFFF"/>
        </w:rPr>
        <w:t>法律依据：</w:t>
      </w:r>
    </w:p>
    <w:p>
      <w:pPr>
        <w:widowControl/>
        <w:spacing w:before="100" w:beforeAutospacing="1" w:after="100" w:afterAutospacing="1" w:line="360" w:lineRule="auto"/>
        <w:jc w:val="left"/>
        <w:rPr>
          <w:rFonts w:ascii="宋体" w:hAnsi="宋体" w:cs="宋体"/>
          <w:szCs w:val="21"/>
        </w:rPr>
      </w:pPr>
      <w:r>
        <w:rPr>
          <w:rFonts w:hint="eastAsia" w:ascii="宋体" w:hAnsi="宋体" w:cs="仿宋"/>
          <w:kern w:val="0"/>
          <w:szCs w:val="21"/>
          <w:shd w:val="clear" w:color="auto" w:fill="FFFFFF"/>
        </w:rPr>
        <w:t>质疑事项2</w:t>
      </w:r>
    </w:p>
    <w:p>
      <w:pPr>
        <w:widowControl/>
        <w:spacing w:before="100" w:beforeAutospacing="1" w:after="100" w:afterAutospacing="1" w:line="360" w:lineRule="auto"/>
        <w:jc w:val="left"/>
        <w:rPr>
          <w:rFonts w:ascii="宋体" w:hAnsi="宋体" w:cs="宋体"/>
          <w:szCs w:val="21"/>
        </w:rPr>
      </w:pPr>
      <w:r>
        <w:rPr>
          <w:rFonts w:hint="eastAsia" w:ascii="宋体" w:hAnsi="宋体" w:cs="仿宋"/>
          <w:kern w:val="0"/>
          <w:szCs w:val="21"/>
          <w:shd w:val="clear" w:color="auto" w:fill="FFFFFF"/>
        </w:rPr>
        <w:t>……</w:t>
      </w:r>
    </w:p>
    <w:p>
      <w:pPr>
        <w:widowControl/>
        <w:spacing w:before="100" w:beforeAutospacing="1" w:after="100" w:afterAutospacing="1" w:line="360" w:lineRule="auto"/>
        <w:jc w:val="left"/>
        <w:rPr>
          <w:rFonts w:ascii="宋体" w:hAnsi="宋体" w:cs="宋体"/>
          <w:szCs w:val="21"/>
        </w:rPr>
      </w:pPr>
      <w:r>
        <w:rPr>
          <w:rFonts w:hint="eastAsia" w:ascii="宋体" w:hAnsi="宋体" w:cs="黑体"/>
          <w:kern w:val="0"/>
          <w:szCs w:val="21"/>
          <w:shd w:val="clear" w:color="auto" w:fill="FFFFFF"/>
        </w:rPr>
        <w:t>四、与质疑事项相关的质疑请求</w:t>
      </w:r>
    </w:p>
    <w:p>
      <w:pPr>
        <w:widowControl/>
        <w:spacing w:before="100" w:beforeAutospacing="1" w:after="100" w:afterAutospacing="1" w:line="360" w:lineRule="auto"/>
        <w:jc w:val="left"/>
        <w:rPr>
          <w:rFonts w:ascii="宋体" w:hAnsi="宋体" w:cs="Calibri"/>
          <w:kern w:val="0"/>
          <w:szCs w:val="21"/>
          <w:u w:val="single"/>
          <w:shd w:val="clear" w:color="auto" w:fill="FFFFFF"/>
        </w:rPr>
      </w:pPr>
      <w:r>
        <w:rPr>
          <w:rFonts w:hint="eastAsia" w:ascii="宋体" w:hAnsi="宋体" w:cs="仿宋"/>
          <w:kern w:val="0"/>
          <w:szCs w:val="21"/>
          <w:shd w:val="clear" w:color="auto" w:fill="FFFFFF"/>
        </w:rPr>
        <w:t>请求：</w:t>
      </w:r>
    </w:p>
    <w:p>
      <w:pPr>
        <w:widowControl/>
        <w:spacing w:before="100" w:beforeAutospacing="1" w:after="100" w:afterAutospacing="1" w:line="360" w:lineRule="auto"/>
        <w:jc w:val="left"/>
        <w:rPr>
          <w:rFonts w:ascii="宋体" w:hAnsi="宋体" w:cs="宋体"/>
          <w:szCs w:val="21"/>
        </w:rPr>
      </w:pPr>
    </w:p>
    <w:p>
      <w:pPr>
        <w:widowControl/>
        <w:spacing w:before="100" w:beforeAutospacing="1" w:after="100" w:afterAutospacing="1" w:line="360" w:lineRule="auto"/>
        <w:jc w:val="left"/>
        <w:rPr>
          <w:rFonts w:ascii="宋体" w:hAnsi="宋体" w:cs="仿宋_GB2312"/>
          <w:kern w:val="0"/>
          <w:szCs w:val="21"/>
          <w:shd w:val="clear" w:color="auto" w:fill="FFFFFF"/>
        </w:rPr>
      </w:pPr>
      <w:r>
        <w:rPr>
          <w:rFonts w:ascii="宋体" w:hAnsi="宋体" w:cs="仿宋_GB2312"/>
          <w:kern w:val="0"/>
          <w:szCs w:val="21"/>
          <w:shd w:val="clear" w:color="auto" w:fill="FFFFFF"/>
        </w:rPr>
        <w:t>签字(签章)：</w:t>
      </w:r>
    </w:p>
    <w:p>
      <w:pPr>
        <w:widowControl/>
        <w:spacing w:before="100" w:beforeAutospacing="1" w:after="100" w:afterAutospacing="1" w:line="360" w:lineRule="auto"/>
        <w:jc w:val="left"/>
        <w:rPr>
          <w:rFonts w:ascii="宋体" w:hAnsi="宋体" w:cs="宋体"/>
          <w:szCs w:val="21"/>
        </w:rPr>
      </w:pPr>
      <w:r>
        <w:rPr>
          <w:rFonts w:ascii="宋体" w:hAnsi="宋体" w:cs="仿宋_GB2312"/>
          <w:kern w:val="0"/>
          <w:szCs w:val="21"/>
          <w:shd w:val="clear" w:color="auto" w:fill="FFFFFF"/>
        </w:rPr>
        <w:t>公章：</w:t>
      </w:r>
    </w:p>
    <w:p>
      <w:pPr>
        <w:widowControl/>
        <w:spacing w:before="100" w:beforeAutospacing="1" w:after="100" w:afterAutospacing="1" w:line="360" w:lineRule="auto"/>
        <w:jc w:val="left"/>
        <w:rPr>
          <w:rFonts w:ascii="宋体" w:hAnsi="宋体" w:cs="Calibri"/>
          <w:kern w:val="0"/>
          <w:szCs w:val="21"/>
          <w:shd w:val="clear" w:color="auto" w:fill="FFFFFF"/>
        </w:rPr>
      </w:pPr>
      <w:r>
        <w:rPr>
          <w:rFonts w:ascii="宋体" w:hAnsi="宋体" w:cs="仿宋_GB2312"/>
          <w:kern w:val="0"/>
          <w:szCs w:val="21"/>
          <w:shd w:val="clear" w:color="auto" w:fill="FFFFFF"/>
        </w:rPr>
        <w:t>日期：</w:t>
      </w:r>
    </w:p>
    <w:p>
      <w:pPr>
        <w:widowControl/>
        <w:spacing w:before="100" w:beforeAutospacing="1" w:after="100" w:afterAutospacing="1" w:line="360" w:lineRule="auto"/>
        <w:jc w:val="left"/>
        <w:rPr>
          <w:rFonts w:ascii="宋体" w:hAnsi="宋体" w:cs="宋体"/>
          <w:szCs w:val="21"/>
        </w:rPr>
      </w:pPr>
    </w:p>
    <w:p>
      <w:pPr>
        <w:widowControl/>
        <w:spacing w:before="100" w:beforeAutospacing="1" w:after="100" w:afterAutospacing="1" w:line="360" w:lineRule="auto"/>
        <w:jc w:val="left"/>
        <w:rPr>
          <w:rFonts w:ascii="宋体" w:hAnsi="宋体" w:cs="宋体"/>
          <w:szCs w:val="21"/>
        </w:rPr>
      </w:pPr>
      <w:r>
        <w:rPr>
          <w:rFonts w:hint="eastAsia" w:ascii="宋体" w:hAnsi="宋体" w:cs="黑体"/>
          <w:b/>
          <w:kern w:val="0"/>
          <w:szCs w:val="21"/>
          <w:shd w:val="clear" w:color="auto" w:fill="FFFFFF"/>
        </w:rPr>
        <w:t>质疑函制作说明：</w:t>
      </w:r>
    </w:p>
    <w:p>
      <w:pPr>
        <w:widowControl/>
        <w:spacing w:before="100" w:beforeAutospacing="1" w:after="100" w:afterAutospacing="1" w:line="360" w:lineRule="auto"/>
        <w:ind w:firstLine="640"/>
        <w:jc w:val="left"/>
        <w:rPr>
          <w:rFonts w:ascii="宋体" w:hAnsi="宋体" w:cs="宋体"/>
          <w:szCs w:val="21"/>
        </w:rPr>
      </w:pPr>
      <w:r>
        <w:rPr>
          <w:rFonts w:ascii="宋体" w:hAnsi="宋体" w:cs="仿宋_GB2312"/>
          <w:kern w:val="0"/>
          <w:szCs w:val="21"/>
          <w:shd w:val="clear" w:color="auto" w:fill="FFFFFF"/>
        </w:rPr>
        <w:t>1.供应商提出质疑时，应提交质疑函和必要的证明材料。</w:t>
      </w:r>
    </w:p>
    <w:p>
      <w:pPr>
        <w:widowControl/>
        <w:spacing w:before="100" w:beforeAutospacing="1" w:after="100" w:afterAutospacing="1" w:line="360" w:lineRule="auto"/>
        <w:ind w:firstLine="640"/>
        <w:jc w:val="left"/>
        <w:rPr>
          <w:rFonts w:ascii="宋体" w:hAnsi="宋体" w:cs="宋体"/>
          <w:szCs w:val="21"/>
        </w:rPr>
      </w:pPr>
      <w:r>
        <w:rPr>
          <w:rFonts w:ascii="宋体" w:hAnsi="宋体" w:cs="仿宋_GB2312"/>
          <w:kern w:val="0"/>
          <w:szCs w:val="21"/>
          <w:shd w:val="clear" w:color="auto" w:fill="FFFFFF"/>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widowControl/>
        <w:spacing w:before="100" w:beforeAutospacing="1" w:after="100" w:afterAutospacing="1" w:line="360" w:lineRule="auto"/>
        <w:ind w:firstLine="640"/>
        <w:jc w:val="left"/>
        <w:rPr>
          <w:rFonts w:ascii="宋体" w:hAnsi="宋体" w:cs="宋体"/>
          <w:szCs w:val="21"/>
        </w:rPr>
      </w:pPr>
      <w:r>
        <w:rPr>
          <w:rFonts w:ascii="宋体" w:hAnsi="宋体" w:cs="仿宋_GB2312"/>
          <w:kern w:val="0"/>
          <w:szCs w:val="21"/>
          <w:shd w:val="clear" w:color="auto" w:fill="FFFFFF"/>
        </w:rPr>
        <w:t>3.质疑供应商若对项目的某一</w:t>
      </w:r>
      <w:r>
        <w:rPr>
          <w:rFonts w:hint="eastAsia" w:ascii="宋体" w:hAnsi="宋体" w:cs="仿宋_GB2312"/>
          <w:kern w:val="0"/>
          <w:szCs w:val="21"/>
          <w:shd w:val="clear" w:color="auto" w:fill="FFFFFF"/>
        </w:rPr>
        <w:t>标项</w:t>
      </w:r>
      <w:r>
        <w:rPr>
          <w:rFonts w:ascii="宋体" w:hAnsi="宋体" w:cs="仿宋_GB2312"/>
          <w:kern w:val="0"/>
          <w:szCs w:val="21"/>
          <w:shd w:val="clear" w:color="auto" w:fill="FFFFFF"/>
        </w:rPr>
        <w:t>进行质疑，质疑函中应列明具体</w:t>
      </w:r>
      <w:r>
        <w:rPr>
          <w:rFonts w:hint="eastAsia" w:ascii="宋体" w:hAnsi="宋体" w:cs="仿宋_GB2312"/>
          <w:kern w:val="0"/>
          <w:szCs w:val="21"/>
          <w:shd w:val="clear" w:color="auto" w:fill="FFFFFF"/>
        </w:rPr>
        <w:t>标项</w:t>
      </w:r>
      <w:r>
        <w:rPr>
          <w:rFonts w:ascii="宋体" w:hAnsi="宋体" w:cs="仿宋_GB2312"/>
          <w:kern w:val="0"/>
          <w:szCs w:val="21"/>
          <w:shd w:val="clear" w:color="auto" w:fill="FFFFFF"/>
        </w:rPr>
        <w:t>。</w:t>
      </w:r>
    </w:p>
    <w:p>
      <w:pPr>
        <w:widowControl/>
        <w:spacing w:before="100" w:beforeAutospacing="1" w:after="100" w:afterAutospacing="1" w:line="360" w:lineRule="auto"/>
        <w:ind w:firstLine="640"/>
        <w:jc w:val="left"/>
        <w:rPr>
          <w:rFonts w:ascii="宋体" w:hAnsi="宋体" w:cs="宋体"/>
          <w:szCs w:val="21"/>
        </w:rPr>
      </w:pPr>
      <w:r>
        <w:rPr>
          <w:rFonts w:ascii="宋体" w:hAnsi="宋体" w:cs="仿宋_GB2312"/>
          <w:kern w:val="0"/>
          <w:szCs w:val="21"/>
          <w:shd w:val="clear" w:color="auto" w:fill="FFFFFF"/>
        </w:rPr>
        <w:t>4.质疑函的质疑事项应具体、明确，并有必要的事实依据和法律依据。</w:t>
      </w:r>
    </w:p>
    <w:p>
      <w:pPr>
        <w:widowControl/>
        <w:spacing w:before="100" w:beforeAutospacing="1" w:after="100" w:afterAutospacing="1" w:line="360" w:lineRule="auto"/>
        <w:ind w:firstLine="640"/>
        <w:jc w:val="left"/>
        <w:rPr>
          <w:rFonts w:ascii="宋体" w:hAnsi="宋体" w:cs="宋体"/>
          <w:szCs w:val="21"/>
        </w:rPr>
      </w:pPr>
      <w:r>
        <w:rPr>
          <w:rFonts w:ascii="宋体" w:hAnsi="宋体" w:cs="仿宋_GB2312"/>
          <w:kern w:val="0"/>
          <w:szCs w:val="21"/>
          <w:shd w:val="clear" w:color="auto" w:fill="FFFFFF"/>
        </w:rPr>
        <w:t>5.质疑函的质疑请求应与质疑事项相关。</w:t>
      </w:r>
    </w:p>
    <w:p>
      <w:pPr>
        <w:widowControl/>
        <w:spacing w:before="100" w:beforeAutospacing="1" w:after="100" w:afterAutospacing="1" w:line="360" w:lineRule="auto"/>
        <w:ind w:firstLine="640"/>
        <w:jc w:val="left"/>
        <w:rPr>
          <w:rFonts w:ascii="宋体" w:hAnsi="宋体" w:cs="宋体"/>
          <w:szCs w:val="21"/>
        </w:rPr>
      </w:pPr>
      <w:r>
        <w:rPr>
          <w:rFonts w:ascii="宋体" w:hAnsi="宋体" w:cs="仿宋_GB2312"/>
          <w:kern w:val="0"/>
          <w:szCs w:val="21"/>
          <w:shd w:val="clear" w:color="auto" w:fill="FFFFFF"/>
        </w:rPr>
        <w:t>6.质疑供应商为自然人的，质疑函应由本人签字；质疑供应商为法人或者其他组织的，质疑函应由法定代表人、主要负责人，或者其授权代表签字或者盖章，并加盖公章。</w:t>
      </w:r>
    </w:p>
    <w:p>
      <w:pPr>
        <w:pStyle w:val="15"/>
        <w:snapToGrid w:val="0"/>
        <w:spacing w:line="360" w:lineRule="auto"/>
        <w:rPr>
          <w:rFonts w:hAnsi="宋体" w:cs="宋体"/>
          <w:sz w:val="21"/>
        </w:rPr>
      </w:pPr>
    </w:p>
    <w:p>
      <w:pPr>
        <w:snapToGrid w:val="0"/>
        <w:spacing w:line="360" w:lineRule="auto"/>
        <w:jc w:val="left"/>
        <w:rPr>
          <w:rFonts w:ascii="Times New Roman" w:hAnsi="Times New Roman"/>
        </w:rPr>
      </w:pPr>
    </w:p>
    <w:p/>
    <w:sectPr>
      <w:headerReference r:id="rId3" w:type="default"/>
      <w:footerReference r:id="rId4"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9" w:usb3="00000000" w:csb0="000001F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Century Gothic">
    <w:panose1 w:val="020B0502020202020204"/>
    <w:charset w:val="00"/>
    <w:family w:val="swiss"/>
    <w:pitch w:val="default"/>
    <w:sig w:usb0="00000287" w:usb1="00000000" w:usb2="00000000" w:usb3="00000000" w:csb0="2000009F" w:csb1="DFD7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OqXm5zwAAAAUBAAAP&#10;AAAAAAAAAAEAIAAAACIAAABkcnMvZG93bnJldi54bWxQSwECFAAUAAAACACHTuJAGYap4K8BAABL&#10;AwAADgAAAAAAAAABACAAAAAeAQAAZHJzL2Uyb0RvYy54bWxQSwUGAAAAAAYABgBZAQAAPwUAAAAA&#10;">
          <v:path/>
          <v:fill on="f" focussize="0,0"/>
          <v:stroke on="f" joinstyle="miter"/>
          <v:imagedata o:title=""/>
          <o:lock v:ext="edit"/>
          <v:textbox inset="0mm,0mm,0mm,0mm" style="mso-fit-shape-to-text:t;">
            <w:txbxContent>
              <w:p>
                <w:pPr>
                  <w:pStyle w:val="20"/>
                </w:pPr>
                <w:r>
                  <w:fldChar w:fldCharType="begin"/>
                </w:r>
                <w:r>
                  <w:instrText xml:space="preserve"> PAGE  \* MERGEFORMAT </w:instrText>
                </w:r>
                <w:r>
                  <w:fldChar w:fldCharType="separate"/>
                </w:r>
                <w:r>
                  <w:t>37</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136B9E"/>
    <w:multiLevelType w:val="singleLevel"/>
    <w:tmpl w:val="9A136B9E"/>
    <w:lvl w:ilvl="0" w:tentative="0">
      <w:start w:val="2"/>
      <w:numFmt w:val="chineseCounting"/>
      <w:suff w:val="space"/>
      <w:lvlText w:val="第%1章"/>
      <w:lvlJc w:val="left"/>
      <w:rPr>
        <w:rFonts w:hint="eastAsia"/>
        <w:lang w:val="en-US"/>
      </w:rPr>
    </w:lvl>
  </w:abstractNum>
  <w:abstractNum w:abstractNumId="1">
    <w:nsid w:val="00000002"/>
    <w:multiLevelType w:val="multilevel"/>
    <w:tmpl w:val="00000002"/>
    <w:lvl w:ilvl="0" w:tentative="0">
      <w:start w:val="1"/>
      <w:numFmt w:val="lowerLetter"/>
      <w:lvlText w:val="%1．"/>
      <w:lvlJc w:val="left"/>
      <w:pPr>
        <w:tabs>
          <w:tab w:val="left" w:pos="840"/>
        </w:tabs>
        <w:ind w:left="840" w:hanging="3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2">
    <w:nsid w:val="0000000E"/>
    <w:multiLevelType w:val="multilevel"/>
    <w:tmpl w:val="0000000E"/>
    <w:lvl w:ilvl="0" w:tentative="0">
      <w:start w:val="5"/>
      <w:numFmt w:val="chineseCounting"/>
      <w:suff w:val="nothing"/>
      <w:lvlText w:val="（%1）"/>
      <w:lvlJc w:val="left"/>
      <w:rPr>
        <w:rFonts w:hint="eastAsia"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3">
    <w:nsid w:val="59640796"/>
    <w:multiLevelType w:val="multilevel"/>
    <w:tmpl w:val="59640796"/>
    <w:lvl w:ilvl="0" w:tentative="0">
      <w:start w:val="2"/>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9781B6C"/>
    <w:multiLevelType w:val="multilevel"/>
    <w:tmpl w:val="59781B6C"/>
    <w:lvl w:ilvl="0" w:tentative="0">
      <w:start w:val="2"/>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1231C9"/>
    <w:multiLevelType w:val="multilevel"/>
    <w:tmpl w:val="5A1231C9"/>
    <w:lvl w:ilvl="0" w:tentative="0">
      <w:start w:val="4"/>
      <w:numFmt w:val="japaneseCounting"/>
      <w:lvlText w:val="（%1）"/>
      <w:lvlJc w:val="left"/>
      <w:pPr>
        <w:ind w:left="1137" w:hanging="720"/>
      </w:pPr>
      <w:rPr>
        <w:rFonts w:hint="default"/>
      </w:rPr>
    </w:lvl>
    <w:lvl w:ilvl="1" w:tentative="0">
      <w:start w:val="1"/>
      <w:numFmt w:val="lowerLetter"/>
      <w:lvlText w:val="%2)"/>
      <w:lvlJc w:val="left"/>
      <w:pPr>
        <w:ind w:left="1257" w:hanging="420"/>
      </w:pPr>
    </w:lvl>
    <w:lvl w:ilvl="2" w:tentative="0">
      <w:start w:val="1"/>
      <w:numFmt w:val="lowerRoman"/>
      <w:lvlText w:val="%3."/>
      <w:lvlJc w:val="right"/>
      <w:pPr>
        <w:ind w:left="1677" w:hanging="420"/>
      </w:pPr>
    </w:lvl>
    <w:lvl w:ilvl="3" w:tentative="0">
      <w:start w:val="1"/>
      <w:numFmt w:val="decimal"/>
      <w:lvlText w:val="%4."/>
      <w:lvlJc w:val="left"/>
      <w:pPr>
        <w:ind w:left="2097" w:hanging="420"/>
      </w:pPr>
    </w:lvl>
    <w:lvl w:ilvl="4" w:tentative="0">
      <w:start w:val="1"/>
      <w:numFmt w:val="lowerLetter"/>
      <w:lvlText w:val="%5)"/>
      <w:lvlJc w:val="left"/>
      <w:pPr>
        <w:ind w:left="2517" w:hanging="420"/>
      </w:pPr>
    </w:lvl>
    <w:lvl w:ilvl="5" w:tentative="0">
      <w:start w:val="1"/>
      <w:numFmt w:val="lowerRoman"/>
      <w:lvlText w:val="%6."/>
      <w:lvlJc w:val="right"/>
      <w:pPr>
        <w:ind w:left="2937" w:hanging="420"/>
      </w:pPr>
    </w:lvl>
    <w:lvl w:ilvl="6" w:tentative="0">
      <w:start w:val="1"/>
      <w:numFmt w:val="decimal"/>
      <w:lvlText w:val="%7."/>
      <w:lvlJc w:val="left"/>
      <w:pPr>
        <w:ind w:left="3357" w:hanging="420"/>
      </w:pPr>
    </w:lvl>
    <w:lvl w:ilvl="7" w:tentative="0">
      <w:start w:val="1"/>
      <w:numFmt w:val="lowerLetter"/>
      <w:lvlText w:val="%8)"/>
      <w:lvlJc w:val="left"/>
      <w:pPr>
        <w:ind w:left="3777" w:hanging="420"/>
      </w:pPr>
    </w:lvl>
    <w:lvl w:ilvl="8" w:tentative="0">
      <w:start w:val="1"/>
      <w:numFmt w:val="lowerRoman"/>
      <w:lvlText w:val="%9."/>
      <w:lvlJc w:val="right"/>
      <w:pPr>
        <w:ind w:left="4197" w:hanging="420"/>
      </w:pPr>
    </w:lvl>
  </w:abstractNum>
  <w:num w:numId="1">
    <w:abstractNumId w:val="0"/>
  </w:num>
  <w:num w:numId="2">
    <w:abstractNumId w:val="5"/>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D26A8"/>
    <w:rsid w:val="00003D32"/>
    <w:rsid w:val="0001566D"/>
    <w:rsid w:val="000222E0"/>
    <w:rsid w:val="00025EE1"/>
    <w:rsid w:val="00037204"/>
    <w:rsid w:val="000F6F65"/>
    <w:rsid w:val="000F743C"/>
    <w:rsid w:val="00167309"/>
    <w:rsid w:val="001D2721"/>
    <w:rsid w:val="001D34F3"/>
    <w:rsid w:val="002054F5"/>
    <w:rsid w:val="00225207"/>
    <w:rsid w:val="00237729"/>
    <w:rsid w:val="0024376A"/>
    <w:rsid w:val="00247144"/>
    <w:rsid w:val="00270A47"/>
    <w:rsid w:val="00271575"/>
    <w:rsid w:val="002806DB"/>
    <w:rsid w:val="002B530C"/>
    <w:rsid w:val="002C2957"/>
    <w:rsid w:val="002E3BBC"/>
    <w:rsid w:val="002E57D4"/>
    <w:rsid w:val="002F2582"/>
    <w:rsid w:val="00310B1B"/>
    <w:rsid w:val="0031490B"/>
    <w:rsid w:val="003212DC"/>
    <w:rsid w:val="0034754D"/>
    <w:rsid w:val="00362127"/>
    <w:rsid w:val="00374FD0"/>
    <w:rsid w:val="00382C87"/>
    <w:rsid w:val="00394C84"/>
    <w:rsid w:val="003A2EC0"/>
    <w:rsid w:val="003C639C"/>
    <w:rsid w:val="003C6689"/>
    <w:rsid w:val="003D5164"/>
    <w:rsid w:val="003E1E08"/>
    <w:rsid w:val="003F3F7F"/>
    <w:rsid w:val="00437341"/>
    <w:rsid w:val="00456F4C"/>
    <w:rsid w:val="00470B79"/>
    <w:rsid w:val="00482C06"/>
    <w:rsid w:val="00490B73"/>
    <w:rsid w:val="004C7969"/>
    <w:rsid w:val="00526FFE"/>
    <w:rsid w:val="00553EFC"/>
    <w:rsid w:val="005554A6"/>
    <w:rsid w:val="005C383C"/>
    <w:rsid w:val="005D1734"/>
    <w:rsid w:val="005D192A"/>
    <w:rsid w:val="005D7351"/>
    <w:rsid w:val="005F3806"/>
    <w:rsid w:val="006122B1"/>
    <w:rsid w:val="00613213"/>
    <w:rsid w:val="00616568"/>
    <w:rsid w:val="00627ACE"/>
    <w:rsid w:val="00644A52"/>
    <w:rsid w:val="006660B9"/>
    <w:rsid w:val="00674358"/>
    <w:rsid w:val="00680CD7"/>
    <w:rsid w:val="006A5BCA"/>
    <w:rsid w:val="006C10A1"/>
    <w:rsid w:val="00724248"/>
    <w:rsid w:val="00724B9F"/>
    <w:rsid w:val="007619E6"/>
    <w:rsid w:val="00777FF1"/>
    <w:rsid w:val="007B563F"/>
    <w:rsid w:val="007D25BE"/>
    <w:rsid w:val="007E28B6"/>
    <w:rsid w:val="008248CE"/>
    <w:rsid w:val="00876AFA"/>
    <w:rsid w:val="008824E0"/>
    <w:rsid w:val="008A4F11"/>
    <w:rsid w:val="008B6DDC"/>
    <w:rsid w:val="008C5196"/>
    <w:rsid w:val="008F39E8"/>
    <w:rsid w:val="009B12EE"/>
    <w:rsid w:val="009B2E4B"/>
    <w:rsid w:val="009F2E39"/>
    <w:rsid w:val="009F7D4E"/>
    <w:rsid w:val="00A0444C"/>
    <w:rsid w:val="00A33B79"/>
    <w:rsid w:val="00A679C1"/>
    <w:rsid w:val="00A83B4C"/>
    <w:rsid w:val="00A8577C"/>
    <w:rsid w:val="00AA65D1"/>
    <w:rsid w:val="00AF07AB"/>
    <w:rsid w:val="00AF738E"/>
    <w:rsid w:val="00B2413E"/>
    <w:rsid w:val="00B35A5F"/>
    <w:rsid w:val="00B4206C"/>
    <w:rsid w:val="00B42F8C"/>
    <w:rsid w:val="00B51476"/>
    <w:rsid w:val="00B556D5"/>
    <w:rsid w:val="00B57183"/>
    <w:rsid w:val="00B73333"/>
    <w:rsid w:val="00B848C4"/>
    <w:rsid w:val="00BA389F"/>
    <w:rsid w:val="00BA6C19"/>
    <w:rsid w:val="00BE358C"/>
    <w:rsid w:val="00C107B0"/>
    <w:rsid w:val="00C25263"/>
    <w:rsid w:val="00C261DA"/>
    <w:rsid w:val="00C318D8"/>
    <w:rsid w:val="00C35D70"/>
    <w:rsid w:val="00C56055"/>
    <w:rsid w:val="00C67CB9"/>
    <w:rsid w:val="00C74AB3"/>
    <w:rsid w:val="00CD0188"/>
    <w:rsid w:val="00CD26A8"/>
    <w:rsid w:val="00CE3BD4"/>
    <w:rsid w:val="00D43514"/>
    <w:rsid w:val="00D4526D"/>
    <w:rsid w:val="00D6608F"/>
    <w:rsid w:val="00D81614"/>
    <w:rsid w:val="00D969B0"/>
    <w:rsid w:val="00DC156F"/>
    <w:rsid w:val="00DE486A"/>
    <w:rsid w:val="00DE7DBA"/>
    <w:rsid w:val="00DF3DB8"/>
    <w:rsid w:val="00DF4950"/>
    <w:rsid w:val="00DF4B24"/>
    <w:rsid w:val="00E071E9"/>
    <w:rsid w:val="00E13587"/>
    <w:rsid w:val="00E4165C"/>
    <w:rsid w:val="00E70082"/>
    <w:rsid w:val="00EC10A8"/>
    <w:rsid w:val="00EE0E5E"/>
    <w:rsid w:val="00F11FF2"/>
    <w:rsid w:val="00F22F74"/>
    <w:rsid w:val="00F42744"/>
    <w:rsid w:val="00F438D7"/>
    <w:rsid w:val="00F52716"/>
    <w:rsid w:val="00F61105"/>
    <w:rsid w:val="00F736DD"/>
    <w:rsid w:val="20A95178"/>
    <w:rsid w:val="5E175B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qFormat="1" w:unhideWhenUsed="0" w:uiPriority="99"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32"/>
    <w:qFormat/>
    <w:uiPriority w:val="9"/>
    <w:pPr>
      <w:keepNext/>
      <w:keepLines/>
      <w:spacing w:before="340" w:after="330" w:line="576" w:lineRule="auto"/>
      <w:outlineLvl w:val="0"/>
    </w:pPr>
    <w:rPr>
      <w:b/>
      <w:bCs/>
      <w:kern w:val="44"/>
      <w:sz w:val="44"/>
      <w:szCs w:val="44"/>
    </w:rPr>
  </w:style>
  <w:style w:type="paragraph" w:styleId="5">
    <w:name w:val="heading 2"/>
    <w:basedOn w:val="1"/>
    <w:next w:val="1"/>
    <w:link w:val="33"/>
    <w:qFormat/>
    <w:uiPriority w:val="9"/>
    <w:pPr>
      <w:keepNext/>
      <w:keepLines/>
      <w:spacing w:line="360" w:lineRule="auto"/>
      <w:outlineLvl w:val="1"/>
    </w:pPr>
    <w:rPr>
      <w:rFonts w:ascii="Cambria" w:hAnsi="Cambria"/>
      <w:b/>
      <w:bCs/>
      <w:kern w:val="0"/>
      <w:sz w:val="32"/>
      <w:szCs w:val="32"/>
    </w:rPr>
  </w:style>
  <w:style w:type="paragraph" w:styleId="6">
    <w:name w:val="heading 3"/>
    <w:basedOn w:val="1"/>
    <w:next w:val="7"/>
    <w:link w:val="34"/>
    <w:qFormat/>
    <w:uiPriority w:val="9"/>
    <w:pPr>
      <w:keepNext/>
      <w:keepLines/>
      <w:outlineLvl w:val="2"/>
    </w:pPr>
    <w:rPr>
      <w:b/>
      <w:bCs/>
      <w:kern w:val="0"/>
      <w:sz w:val="32"/>
      <w:szCs w:val="32"/>
    </w:rPr>
  </w:style>
  <w:style w:type="paragraph" w:styleId="8">
    <w:name w:val="heading 4"/>
    <w:basedOn w:val="1"/>
    <w:next w:val="1"/>
    <w:link w:val="35"/>
    <w:qFormat/>
    <w:uiPriority w:val="9"/>
    <w:pPr>
      <w:keepNext/>
      <w:keepLines/>
      <w:spacing w:before="280" w:after="290" w:line="376" w:lineRule="auto"/>
      <w:outlineLvl w:val="3"/>
    </w:pPr>
    <w:rPr>
      <w:rFonts w:ascii="Cambria" w:hAnsi="Cambria"/>
      <w:b/>
      <w:bCs/>
      <w:sz w:val="28"/>
      <w:szCs w:val="28"/>
    </w:rPr>
  </w:style>
  <w:style w:type="paragraph" w:styleId="9">
    <w:name w:val="heading 5"/>
    <w:basedOn w:val="1"/>
    <w:next w:val="1"/>
    <w:link w:val="36"/>
    <w:qFormat/>
    <w:uiPriority w:val="9"/>
    <w:pPr>
      <w:keepNext/>
      <w:keepLines/>
      <w:spacing w:before="280" w:after="290" w:line="376" w:lineRule="auto"/>
      <w:outlineLvl w:val="4"/>
    </w:pPr>
    <w:rPr>
      <w:b/>
      <w:bCs/>
      <w:sz w:val="28"/>
      <w:szCs w:val="28"/>
    </w:rPr>
  </w:style>
  <w:style w:type="paragraph" w:styleId="10">
    <w:name w:val="heading 6"/>
    <w:basedOn w:val="1"/>
    <w:next w:val="1"/>
    <w:link w:val="37"/>
    <w:qFormat/>
    <w:uiPriority w:val="9"/>
    <w:pPr>
      <w:keepNext/>
      <w:keepLines/>
      <w:spacing w:before="240" w:after="64" w:line="320" w:lineRule="auto"/>
      <w:outlineLvl w:val="5"/>
    </w:pPr>
    <w:rPr>
      <w:rFonts w:ascii="Cambria" w:hAnsi="Cambria"/>
      <w:b/>
      <w:bCs/>
      <w:sz w:val="24"/>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2">
    <w:name w:val="Body Text First Indent"/>
    <w:basedOn w:val="3"/>
    <w:link w:val="39"/>
    <w:qFormat/>
    <w:uiPriority w:val="0"/>
    <w:pPr>
      <w:ind w:firstLine="420" w:firstLineChars="100"/>
    </w:pPr>
    <w:rPr>
      <w:rFonts w:ascii="Times New Roman" w:hAnsi="Times New Roman"/>
      <w:kern w:val="0"/>
    </w:rPr>
  </w:style>
  <w:style w:type="paragraph" w:styleId="3">
    <w:name w:val="Body Text"/>
    <w:basedOn w:val="1"/>
    <w:link w:val="38"/>
    <w:unhideWhenUsed/>
    <w:qFormat/>
    <w:uiPriority w:val="99"/>
    <w:pPr>
      <w:spacing w:after="120"/>
    </w:pPr>
  </w:style>
  <w:style w:type="paragraph" w:styleId="7">
    <w:name w:val="Normal Indent"/>
    <w:basedOn w:val="1"/>
    <w:qFormat/>
    <w:uiPriority w:val="99"/>
    <w:pPr>
      <w:ind w:firstLine="488"/>
    </w:pPr>
  </w:style>
  <w:style w:type="paragraph" w:styleId="11">
    <w:name w:val="List Number"/>
    <w:basedOn w:val="1"/>
    <w:qFormat/>
    <w:uiPriority w:val="99"/>
    <w:pPr>
      <w:tabs>
        <w:tab w:val="left" w:pos="360"/>
      </w:tabs>
      <w:ind w:left="360" w:hanging="360"/>
    </w:pPr>
  </w:style>
  <w:style w:type="paragraph" w:styleId="12">
    <w:name w:val="annotation text"/>
    <w:basedOn w:val="1"/>
    <w:link w:val="40"/>
    <w:qFormat/>
    <w:uiPriority w:val="99"/>
    <w:pPr>
      <w:jc w:val="left"/>
    </w:pPr>
    <w:rPr>
      <w:sz w:val="24"/>
    </w:rPr>
  </w:style>
  <w:style w:type="paragraph" w:styleId="13">
    <w:name w:val="Body Text Indent"/>
    <w:basedOn w:val="1"/>
    <w:link w:val="41"/>
    <w:qFormat/>
    <w:uiPriority w:val="99"/>
    <w:pPr>
      <w:spacing w:line="480" w:lineRule="exact"/>
      <w:ind w:firstLine="570"/>
    </w:pPr>
    <w:rPr>
      <w:kern w:val="0"/>
      <w:sz w:val="20"/>
    </w:rPr>
  </w:style>
  <w:style w:type="paragraph" w:styleId="14">
    <w:name w:val="List 2"/>
    <w:basedOn w:val="1"/>
    <w:qFormat/>
    <w:uiPriority w:val="0"/>
    <w:pPr>
      <w:ind w:left="840" w:hanging="420"/>
    </w:pPr>
  </w:style>
  <w:style w:type="paragraph" w:styleId="15">
    <w:name w:val="Plain Text"/>
    <w:basedOn w:val="1"/>
    <w:next w:val="16"/>
    <w:link w:val="45"/>
    <w:qFormat/>
    <w:uiPriority w:val="0"/>
    <w:rPr>
      <w:rFonts w:ascii="宋体" w:hAnsi="Courier New"/>
      <w:kern w:val="0"/>
      <w:sz w:val="20"/>
      <w:szCs w:val="21"/>
    </w:rPr>
  </w:style>
  <w:style w:type="paragraph" w:customStyle="1" w:styleId="16">
    <w:name w:val="正文缩进2"/>
    <w:next w:val="1"/>
    <w:uiPriority w:val="0"/>
    <w:pPr>
      <w:wordWrap w:val="0"/>
      <w:ind w:left="3400"/>
      <w:jc w:val="both"/>
    </w:pPr>
    <w:rPr>
      <w:rFonts w:ascii="Calibri" w:hAnsi="Calibri" w:eastAsia="宋体" w:cs="Times New Roman"/>
      <w:kern w:val="0"/>
      <w:sz w:val="21"/>
      <w:szCs w:val="20"/>
      <w:lang w:val="en-US" w:eastAsia="zh-CN" w:bidi="ar-SA"/>
    </w:rPr>
  </w:style>
  <w:style w:type="paragraph" w:styleId="17">
    <w:name w:val="Date"/>
    <w:basedOn w:val="1"/>
    <w:next w:val="1"/>
    <w:link w:val="46"/>
    <w:qFormat/>
    <w:uiPriority w:val="0"/>
    <w:pPr>
      <w:adjustRightInd w:val="0"/>
      <w:spacing w:line="312" w:lineRule="atLeast"/>
      <w:textAlignment w:val="baseline"/>
    </w:pPr>
    <w:rPr>
      <w:rFonts w:ascii="仿宋_GB2312" w:eastAsia="仿宋_GB2312"/>
      <w:kern w:val="0"/>
      <w:szCs w:val="20"/>
    </w:rPr>
  </w:style>
  <w:style w:type="paragraph" w:styleId="18">
    <w:name w:val="Body Text Indent 2"/>
    <w:basedOn w:val="1"/>
    <w:link w:val="47"/>
    <w:qFormat/>
    <w:uiPriority w:val="99"/>
    <w:pPr>
      <w:snapToGrid w:val="0"/>
      <w:ind w:firstLine="542" w:firstLineChars="225"/>
    </w:pPr>
    <w:rPr>
      <w:kern w:val="0"/>
      <w:sz w:val="20"/>
    </w:rPr>
  </w:style>
  <w:style w:type="paragraph" w:styleId="19">
    <w:name w:val="Balloon Text"/>
    <w:basedOn w:val="1"/>
    <w:link w:val="50"/>
    <w:qFormat/>
    <w:uiPriority w:val="99"/>
    <w:rPr>
      <w:sz w:val="18"/>
      <w:szCs w:val="18"/>
    </w:rPr>
  </w:style>
  <w:style w:type="paragraph" w:styleId="20">
    <w:name w:val="footer"/>
    <w:basedOn w:val="1"/>
    <w:link w:val="51"/>
    <w:qFormat/>
    <w:uiPriority w:val="99"/>
    <w:pPr>
      <w:widowControl/>
      <w:tabs>
        <w:tab w:val="center" w:pos="4153"/>
        <w:tab w:val="right" w:pos="8306"/>
      </w:tabs>
      <w:overflowPunct w:val="0"/>
      <w:autoSpaceDE w:val="0"/>
      <w:autoSpaceDN w:val="0"/>
      <w:adjustRightInd w:val="0"/>
      <w:textAlignment w:val="baseline"/>
    </w:pPr>
    <w:rPr>
      <w:kern w:val="0"/>
      <w:sz w:val="18"/>
      <w:szCs w:val="18"/>
    </w:rPr>
  </w:style>
  <w:style w:type="paragraph" w:styleId="21">
    <w:name w:val="header"/>
    <w:basedOn w:val="1"/>
    <w:link w:val="5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kern w:val="0"/>
      <w:sz w:val="18"/>
      <w:szCs w:val="18"/>
    </w:rPr>
  </w:style>
  <w:style w:type="paragraph" w:styleId="22">
    <w:name w:val="Normal (Web)"/>
    <w:basedOn w:val="1"/>
    <w:link w:val="53"/>
    <w:qFormat/>
    <w:uiPriority w:val="99"/>
    <w:pPr>
      <w:spacing w:before="100" w:beforeAutospacing="1" w:after="100" w:afterAutospacing="1"/>
      <w:jc w:val="left"/>
    </w:pPr>
    <w:rPr>
      <w:kern w:val="0"/>
      <w:sz w:val="24"/>
    </w:rPr>
  </w:style>
  <w:style w:type="paragraph" w:styleId="23">
    <w:name w:val="Title"/>
    <w:basedOn w:val="1"/>
    <w:next w:val="1"/>
    <w:link w:val="54"/>
    <w:qFormat/>
    <w:uiPriority w:val="0"/>
    <w:pPr>
      <w:spacing w:before="240" w:after="60" w:line="360" w:lineRule="exact"/>
      <w:jc w:val="center"/>
      <w:outlineLvl w:val="0"/>
    </w:pPr>
    <w:rPr>
      <w:rFonts w:ascii="Cambria" w:hAnsi="Cambria"/>
      <w:b/>
      <w:bCs/>
      <w:sz w:val="32"/>
      <w:szCs w:val="32"/>
    </w:rPr>
  </w:style>
  <w:style w:type="paragraph" w:styleId="24">
    <w:name w:val="annotation subject"/>
    <w:basedOn w:val="12"/>
    <w:next w:val="12"/>
    <w:link w:val="57"/>
    <w:uiPriority w:val="0"/>
    <w:rPr>
      <w:b/>
      <w:bCs/>
      <w:sz w:val="21"/>
    </w:rPr>
  </w:style>
  <w:style w:type="paragraph" w:styleId="25">
    <w:name w:val="Body Text First Indent 2"/>
    <w:basedOn w:val="13"/>
    <w:link w:val="58"/>
    <w:qFormat/>
    <w:uiPriority w:val="0"/>
    <w:pPr>
      <w:ind w:firstLine="420" w:firstLineChars="200"/>
    </w:pPr>
    <w:rPr>
      <w:rFonts w:ascii="Times New Roman" w:hAnsi="Times New Roman"/>
      <w:lang w:val="zh-CN"/>
    </w:rPr>
  </w:style>
  <w:style w:type="table" w:styleId="27">
    <w:name w:val="Table Grid"/>
    <w:basedOn w:val="26"/>
    <w:qFormat/>
    <w:uiPriority w:val="5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rFonts w:cs="Times New Roman"/>
    </w:rPr>
  </w:style>
  <w:style w:type="character" w:styleId="30">
    <w:name w:val="Hyperlink"/>
    <w:qFormat/>
    <w:uiPriority w:val="99"/>
    <w:rPr>
      <w:rFonts w:cs="Times New Roman"/>
      <w:color w:val="0000FF"/>
      <w:u w:val="single"/>
    </w:rPr>
  </w:style>
  <w:style w:type="character" w:styleId="31">
    <w:name w:val="annotation reference"/>
    <w:qFormat/>
    <w:uiPriority w:val="0"/>
    <w:rPr>
      <w:sz w:val="21"/>
      <w:szCs w:val="21"/>
    </w:rPr>
  </w:style>
  <w:style w:type="character" w:customStyle="1" w:styleId="32">
    <w:name w:val="标题 1 Char"/>
    <w:basedOn w:val="28"/>
    <w:link w:val="4"/>
    <w:qFormat/>
    <w:uiPriority w:val="9"/>
    <w:rPr>
      <w:rFonts w:ascii="Calibri" w:hAnsi="Calibri" w:eastAsia="宋体" w:cs="Times New Roman"/>
      <w:b/>
      <w:bCs/>
      <w:kern w:val="44"/>
      <w:sz w:val="44"/>
      <w:szCs w:val="44"/>
    </w:rPr>
  </w:style>
  <w:style w:type="character" w:customStyle="1" w:styleId="33">
    <w:name w:val="标题 2 Char"/>
    <w:basedOn w:val="28"/>
    <w:link w:val="5"/>
    <w:qFormat/>
    <w:uiPriority w:val="9"/>
    <w:rPr>
      <w:rFonts w:ascii="Cambria" w:hAnsi="Cambria" w:eastAsia="宋体" w:cs="Times New Roman"/>
      <w:b/>
      <w:bCs/>
      <w:kern w:val="0"/>
      <w:sz w:val="32"/>
      <w:szCs w:val="32"/>
    </w:rPr>
  </w:style>
  <w:style w:type="character" w:customStyle="1" w:styleId="34">
    <w:name w:val="标题 3 Char"/>
    <w:basedOn w:val="28"/>
    <w:link w:val="6"/>
    <w:qFormat/>
    <w:uiPriority w:val="9"/>
    <w:rPr>
      <w:rFonts w:ascii="Calibri" w:hAnsi="Calibri" w:eastAsia="宋体" w:cs="Times New Roman"/>
      <w:b/>
      <w:bCs/>
      <w:kern w:val="0"/>
      <w:sz w:val="32"/>
      <w:szCs w:val="32"/>
    </w:rPr>
  </w:style>
  <w:style w:type="character" w:customStyle="1" w:styleId="35">
    <w:name w:val="标题 4 Char"/>
    <w:basedOn w:val="28"/>
    <w:link w:val="8"/>
    <w:qFormat/>
    <w:uiPriority w:val="9"/>
    <w:rPr>
      <w:rFonts w:ascii="Cambria" w:hAnsi="Cambria" w:eastAsia="宋体" w:cs="Times New Roman"/>
      <w:b/>
      <w:bCs/>
      <w:sz w:val="28"/>
      <w:szCs w:val="28"/>
    </w:rPr>
  </w:style>
  <w:style w:type="character" w:customStyle="1" w:styleId="36">
    <w:name w:val="标题 5 Char"/>
    <w:basedOn w:val="28"/>
    <w:link w:val="9"/>
    <w:qFormat/>
    <w:uiPriority w:val="9"/>
    <w:rPr>
      <w:rFonts w:ascii="Calibri" w:hAnsi="Calibri" w:eastAsia="宋体" w:cs="Times New Roman"/>
      <w:b/>
      <w:bCs/>
      <w:sz w:val="28"/>
      <w:szCs w:val="28"/>
    </w:rPr>
  </w:style>
  <w:style w:type="character" w:customStyle="1" w:styleId="37">
    <w:name w:val="标题 6 Char"/>
    <w:basedOn w:val="28"/>
    <w:link w:val="10"/>
    <w:qFormat/>
    <w:uiPriority w:val="9"/>
    <w:rPr>
      <w:rFonts w:ascii="Cambria" w:hAnsi="Cambria" w:eastAsia="宋体" w:cs="Times New Roman"/>
      <w:b/>
      <w:bCs/>
      <w:sz w:val="24"/>
      <w:szCs w:val="24"/>
    </w:rPr>
  </w:style>
  <w:style w:type="character" w:customStyle="1" w:styleId="38">
    <w:name w:val="正文文本 Char"/>
    <w:basedOn w:val="28"/>
    <w:link w:val="3"/>
    <w:semiHidden/>
    <w:qFormat/>
    <w:uiPriority w:val="99"/>
    <w:rPr>
      <w:rFonts w:ascii="Calibri" w:hAnsi="Calibri" w:eastAsia="宋体" w:cs="Times New Roman"/>
      <w:szCs w:val="24"/>
    </w:rPr>
  </w:style>
  <w:style w:type="character" w:customStyle="1" w:styleId="39">
    <w:name w:val="正文首行缩进 Char"/>
    <w:basedOn w:val="38"/>
    <w:link w:val="2"/>
    <w:uiPriority w:val="0"/>
    <w:rPr>
      <w:rFonts w:ascii="Times New Roman" w:hAnsi="Times New Roman" w:eastAsia="宋体" w:cs="Times New Roman"/>
      <w:kern w:val="0"/>
      <w:szCs w:val="24"/>
    </w:rPr>
  </w:style>
  <w:style w:type="character" w:customStyle="1" w:styleId="40">
    <w:name w:val="批注文字 Char"/>
    <w:basedOn w:val="28"/>
    <w:link w:val="12"/>
    <w:qFormat/>
    <w:uiPriority w:val="99"/>
    <w:rPr>
      <w:rFonts w:ascii="Calibri" w:hAnsi="Calibri" w:eastAsia="宋体" w:cs="Times New Roman"/>
      <w:sz w:val="24"/>
      <w:szCs w:val="24"/>
    </w:rPr>
  </w:style>
  <w:style w:type="character" w:customStyle="1" w:styleId="41">
    <w:name w:val="正文文本缩进 Char"/>
    <w:basedOn w:val="28"/>
    <w:link w:val="13"/>
    <w:qFormat/>
    <w:uiPriority w:val="99"/>
    <w:rPr>
      <w:rFonts w:ascii="Calibri" w:hAnsi="Calibri" w:eastAsia="宋体" w:cs="Times New Roman"/>
      <w:kern w:val="0"/>
      <w:sz w:val="20"/>
      <w:szCs w:val="24"/>
    </w:rPr>
  </w:style>
  <w:style w:type="character" w:customStyle="1" w:styleId="42">
    <w:name w:val="纯文本 Char"/>
    <w:basedOn w:val="28"/>
    <w:link w:val="43"/>
    <w:qFormat/>
    <w:uiPriority w:val="0"/>
    <w:rPr>
      <w:rFonts w:ascii="宋体" w:hAnsi="Courier New" w:eastAsia="宋体" w:cs="Courier New"/>
      <w:szCs w:val="21"/>
    </w:rPr>
  </w:style>
  <w:style w:type="paragraph" w:customStyle="1" w:styleId="43">
    <w:name w:val="纯文本1"/>
    <w:basedOn w:val="44"/>
    <w:link w:val="42"/>
    <w:qFormat/>
    <w:uiPriority w:val="0"/>
    <w:pPr>
      <w:spacing w:beforeLines="50" w:afterLines="50" w:line="400" w:lineRule="exact"/>
    </w:pPr>
    <w:rPr>
      <w:rFonts w:ascii="宋体" w:hAnsi="Courier New" w:cs="Courier New"/>
    </w:rPr>
  </w:style>
  <w:style w:type="paragraph" w:customStyle="1" w:styleId="44">
    <w:name w:val="正文1"/>
    <w:qFormat/>
    <w:uiPriority w:val="99"/>
    <w:pPr>
      <w:widowControl w:val="0"/>
      <w:jc w:val="both"/>
    </w:pPr>
    <w:rPr>
      <w:rFonts w:ascii="Calibri" w:hAnsi="Calibri" w:eastAsia="宋体" w:cs="Calibri"/>
      <w:kern w:val="2"/>
      <w:sz w:val="21"/>
      <w:szCs w:val="21"/>
      <w:lang w:val="en-US" w:eastAsia="zh-CN" w:bidi="ar-SA"/>
    </w:rPr>
  </w:style>
  <w:style w:type="character" w:customStyle="1" w:styleId="45">
    <w:name w:val="纯文本 Char1"/>
    <w:link w:val="15"/>
    <w:qFormat/>
    <w:uiPriority w:val="99"/>
    <w:rPr>
      <w:rFonts w:ascii="宋体" w:hAnsi="Courier New" w:eastAsia="宋体" w:cs="Times New Roman"/>
      <w:kern w:val="0"/>
      <w:sz w:val="20"/>
      <w:szCs w:val="21"/>
    </w:rPr>
  </w:style>
  <w:style w:type="character" w:customStyle="1" w:styleId="46">
    <w:name w:val="日期 Char"/>
    <w:basedOn w:val="28"/>
    <w:link w:val="17"/>
    <w:uiPriority w:val="0"/>
    <w:rPr>
      <w:rFonts w:ascii="仿宋_GB2312" w:hAnsi="Calibri" w:eastAsia="仿宋_GB2312" w:cs="Times New Roman"/>
      <w:kern w:val="0"/>
      <w:szCs w:val="20"/>
    </w:rPr>
  </w:style>
  <w:style w:type="character" w:customStyle="1" w:styleId="47">
    <w:name w:val="正文文本缩进 2 Char"/>
    <w:basedOn w:val="28"/>
    <w:link w:val="18"/>
    <w:qFormat/>
    <w:uiPriority w:val="99"/>
    <w:rPr>
      <w:rFonts w:ascii="Calibri" w:hAnsi="Calibri" w:eastAsia="宋体" w:cs="Times New Roman"/>
      <w:kern w:val="0"/>
      <w:sz w:val="20"/>
      <w:szCs w:val="24"/>
    </w:rPr>
  </w:style>
  <w:style w:type="character" w:customStyle="1" w:styleId="48">
    <w:name w:val="批注框文本 Char"/>
    <w:basedOn w:val="28"/>
    <w:link w:val="49"/>
    <w:semiHidden/>
    <w:qFormat/>
    <w:uiPriority w:val="99"/>
    <w:rPr>
      <w:rFonts w:ascii="Calibri" w:hAnsi="Calibri" w:eastAsia="宋体" w:cs="Times New Roman"/>
      <w:sz w:val="18"/>
      <w:szCs w:val="18"/>
    </w:rPr>
  </w:style>
  <w:style w:type="paragraph" w:customStyle="1" w:styleId="49">
    <w:name w:val="批注框文本1"/>
    <w:basedOn w:val="1"/>
    <w:link w:val="48"/>
    <w:qFormat/>
    <w:uiPriority w:val="99"/>
    <w:rPr>
      <w:sz w:val="18"/>
      <w:szCs w:val="18"/>
    </w:rPr>
  </w:style>
  <w:style w:type="character" w:customStyle="1" w:styleId="50">
    <w:name w:val="批注框文本 Char1"/>
    <w:link w:val="19"/>
    <w:qFormat/>
    <w:locked/>
    <w:uiPriority w:val="99"/>
    <w:rPr>
      <w:rFonts w:ascii="Calibri" w:hAnsi="Calibri" w:eastAsia="宋体" w:cs="Times New Roman"/>
      <w:sz w:val="18"/>
      <w:szCs w:val="18"/>
    </w:rPr>
  </w:style>
  <w:style w:type="character" w:customStyle="1" w:styleId="51">
    <w:name w:val="页脚 Char"/>
    <w:basedOn w:val="28"/>
    <w:link w:val="20"/>
    <w:qFormat/>
    <w:uiPriority w:val="99"/>
    <w:rPr>
      <w:rFonts w:ascii="Calibri" w:hAnsi="Calibri" w:eastAsia="宋体" w:cs="Times New Roman"/>
      <w:kern w:val="0"/>
      <w:sz w:val="18"/>
      <w:szCs w:val="18"/>
    </w:rPr>
  </w:style>
  <w:style w:type="character" w:customStyle="1" w:styleId="52">
    <w:name w:val="页眉 Char"/>
    <w:basedOn w:val="28"/>
    <w:link w:val="21"/>
    <w:qFormat/>
    <w:uiPriority w:val="99"/>
    <w:rPr>
      <w:rFonts w:ascii="Calibri" w:hAnsi="Calibri" w:eastAsia="宋体" w:cs="Times New Roman"/>
      <w:kern w:val="0"/>
      <w:sz w:val="18"/>
      <w:szCs w:val="18"/>
    </w:rPr>
  </w:style>
  <w:style w:type="character" w:customStyle="1" w:styleId="53">
    <w:name w:val="普通(网站) Char"/>
    <w:link w:val="22"/>
    <w:qFormat/>
    <w:locked/>
    <w:uiPriority w:val="99"/>
    <w:rPr>
      <w:rFonts w:ascii="Calibri" w:hAnsi="Calibri" w:eastAsia="宋体" w:cs="Times New Roman"/>
      <w:kern w:val="0"/>
      <w:sz w:val="24"/>
      <w:szCs w:val="24"/>
    </w:rPr>
  </w:style>
  <w:style w:type="character" w:customStyle="1" w:styleId="54">
    <w:name w:val="标题 Char"/>
    <w:basedOn w:val="28"/>
    <w:link w:val="23"/>
    <w:qFormat/>
    <w:uiPriority w:val="0"/>
    <w:rPr>
      <w:rFonts w:ascii="Cambria" w:hAnsi="Cambria" w:eastAsia="宋体" w:cs="Times New Roman"/>
      <w:b/>
      <w:bCs/>
      <w:sz w:val="32"/>
      <w:szCs w:val="32"/>
    </w:rPr>
  </w:style>
  <w:style w:type="character" w:customStyle="1" w:styleId="55">
    <w:name w:val="批注主题 Char"/>
    <w:basedOn w:val="40"/>
    <w:link w:val="56"/>
    <w:semiHidden/>
    <w:qFormat/>
    <w:uiPriority w:val="99"/>
    <w:rPr>
      <w:rFonts w:ascii="Calibri" w:hAnsi="Calibri" w:eastAsia="宋体" w:cs="Times New Roman"/>
      <w:b/>
      <w:bCs/>
      <w:sz w:val="24"/>
      <w:szCs w:val="24"/>
    </w:rPr>
  </w:style>
  <w:style w:type="paragraph" w:customStyle="1" w:styleId="56">
    <w:name w:val="批注主题1"/>
    <w:basedOn w:val="12"/>
    <w:next w:val="12"/>
    <w:link w:val="55"/>
    <w:qFormat/>
    <w:uiPriority w:val="99"/>
    <w:rPr>
      <w:b/>
      <w:bCs/>
    </w:rPr>
  </w:style>
  <w:style w:type="character" w:customStyle="1" w:styleId="57">
    <w:name w:val="批注主题 Char1"/>
    <w:link w:val="24"/>
    <w:qFormat/>
    <w:uiPriority w:val="0"/>
    <w:rPr>
      <w:rFonts w:ascii="Calibri" w:hAnsi="Calibri" w:eastAsia="宋体" w:cs="Times New Roman"/>
      <w:b/>
      <w:bCs/>
      <w:szCs w:val="24"/>
    </w:rPr>
  </w:style>
  <w:style w:type="character" w:customStyle="1" w:styleId="58">
    <w:name w:val="正文首行缩进 2 Char"/>
    <w:basedOn w:val="41"/>
    <w:link w:val="25"/>
    <w:uiPriority w:val="0"/>
    <w:rPr>
      <w:rFonts w:ascii="Times New Roman" w:hAnsi="Times New Roman" w:eastAsia="宋体" w:cs="Times New Roman"/>
      <w:kern w:val="0"/>
      <w:sz w:val="20"/>
      <w:szCs w:val="24"/>
      <w:lang w:val="zh-CN"/>
    </w:rPr>
  </w:style>
  <w:style w:type="character" w:customStyle="1" w:styleId="59">
    <w:name w:val="批注引用1"/>
    <w:qFormat/>
    <w:uiPriority w:val="99"/>
    <w:rPr>
      <w:rFonts w:cs="Times New Roman"/>
      <w:sz w:val="21"/>
      <w:szCs w:val="21"/>
    </w:rPr>
  </w:style>
  <w:style w:type="character" w:customStyle="1" w:styleId="60">
    <w:name w:val="标题 2 Char Char"/>
    <w:qFormat/>
    <w:uiPriority w:val="99"/>
    <w:rPr>
      <w:rFonts w:eastAsia="宋体"/>
      <w:kern w:val="2"/>
      <w:sz w:val="28"/>
      <w:lang w:val="en-US" w:eastAsia="zh-CN"/>
    </w:rPr>
  </w:style>
  <w:style w:type="character" w:customStyle="1" w:styleId="61">
    <w:name w:val="bookmark-item"/>
    <w:uiPriority w:val="0"/>
  </w:style>
  <w:style w:type="character" w:customStyle="1" w:styleId="62">
    <w:name w:val="NormalCharacter"/>
    <w:qFormat/>
    <w:uiPriority w:val="0"/>
    <w:rPr>
      <w:kern w:val="2"/>
      <w:sz w:val="21"/>
      <w:szCs w:val="24"/>
      <w:lang w:val="en-US" w:eastAsia="zh-CN" w:bidi="ar-SA"/>
    </w:rPr>
  </w:style>
  <w:style w:type="paragraph" w:customStyle="1" w:styleId="63">
    <w:name w:val="正文文本缩进 31"/>
    <w:basedOn w:val="1"/>
    <w:qFormat/>
    <w:uiPriority w:val="99"/>
    <w:pPr>
      <w:snapToGrid w:val="0"/>
      <w:ind w:firstLine="480" w:firstLineChars="200"/>
      <w:jc w:val="left"/>
    </w:pPr>
    <w:rPr>
      <w:rFonts w:ascii="??_GB2312" w:hAnsi="宋体" w:eastAsia="Times New Roman"/>
      <w:color w:val="000000"/>
      <w:sz w:val="24"/>
    </w:rPr>
  </w:style>
  <w:style w:type="paragraph" w:customStyle="1" w:styleId="64">
    <w:name w:val="纯文本2"/>
    <w:basedOn w:val="1"/>
    <w:qFormat/>
    <w:uiPriority w:val="99"/>
    <w:rPr>
      <w:rFonts w:ascii="宋体" w:hAnsi="Courier New" w:eastAsia="Times New Roman"/>
      <w:sz w:val="30"/>
    </w:rPr>
  </w:style>
  <w:style w:type="paragraph" w:customStyle="1" w:styleId="65">
    <w:name w:val="修订1"/>
    <w:qFormat/>
    <w:uiPriority w:val="99"/>
    <w:rPr>
      <w:rFonts w:ascii="Calibri" w:hAnsi="Calibri" w:eastAsia="宋体" w:cs="Times New Roman"/>
      <w:kern w:val="2"/>
      <w:sz w:val="21"/>
      <w:szCs w:val="24"/>
      <w:lang w:val="en-US" w:eastAsia="zh-CN" w:bidi="ar-SA"/>
    </w:rPr>
  </w:style>
  <w:style w:type="paragraph" w:customStyle="1" w:styleId="66">
    <w:name w:val="p15"/>
    <w:basedOn w:val="1"/>
    <w:qFormat/>
    <w:uiPriority w:val="99"/>
    <w:pPr>
      <w:widowControl/>
      <w:spacing w:line="200" w:lineRule="atLeast"/>
      <w:ind w:firstLine="301"/>
    </w:pPr>
    <w:rPr>
      <w:rFonts w:ascii="宋体" w:hAnsi="宋体" w:cs="宋体"/>
      <w:spacing w:val="-4"/>
      <w:kern w:val="0"/>
      <w:sz w:val="18"/>
      <w:szCs w:val="18"/>
    </w:rPr>
  </w:style>
  <w:style w:type="paragraph" w:customStyle="1" w:styleId="67">
    <w:name w:val="l正文"/>
    <w:basedOn w:val="1"/>
    <w:qFormat/>
    <w:uiPriority w:val="0"/>
    <w:pPr>
      <w:spacing w:line="300" w:lineRule="auto"/>
      <w:ind w:firstLine="200" w:firstLineChars="200"/>
      <w:jc w:val="left"/>
    </w:pPr>
    <w:rPr>
      <w:rFonts w:ascii="楷体_GB2312" w:hAnsi="Times" w:eastAsia="楷体_GB2312" w:cs="等线"/>
      <w:sz w:val="24"/>
    </w:rPr>
  </w:style>
  <w:style w:type="paragraph" w:customStyle="1" w:styleId="68">
    <w:name w:val="彩色列表 - 强调文字颜色 11"/>
    <w:basedOn w:val="1"/>
    <w:qFormat/>
    <w:uiPriority w:val="99"/>
    <w:pPr>
      <w:ind w:firstLine="420" w:firstLineChars="200"/>
    </w:pPr>
  </w:style>
  <w:style w:type="paragraph" w:customStyle="1" w:styleId="69">
    <w:name w:val="GG标题4"/>
    <w:basedOn w:val="8"/>
    <w:next w:val="70"/>
    <w:qFormat/>
    <w:uiPriority w:val="0"/>
    <w:pPr>
      <w:spacing w:before="0" w:after="0" w:line="312" w:lineRule="auto"/>
    </w:pPr>
    <w:rPr>
      <w:rFonts w:ascii="Times New Roman" w:hAnsi="Times New Roman"/>
    </w:rPr>
  </w:style>
  <w:style w:type="paragraph" w:customStyle="1" w:styleId="70">
    <w:name w:val="GG正文2"/>
    <w:basedOn w:val="1"/>
    <w:qFormat/>
    <w:uiPriority w:val="0"/>
    <w:pPr>
      <w:ind w:firstLine="200"/>
    </w:pPr>
    <w:rPr>
      <w:rFonts w:ascii="Times New Roman" w:hAnsi="Times New Roman"/>
      <w:kern w:val="21"/>
      <w:szCs w:val="22"/>
    </w:rPr>
  </w:style>
  <w:style w:type="paragraph" w:customStyle="1" w:styleId="71">
    <w:name w:val="列表 21"/>
    <w:basedOn w:val="1"/>
    <w:qFormat/>
    <w:uiPriority w:val="99"/>
    <w:pPr>
      <w:ind w:left="200" w:leftChars="200" w:hanging="200" w:hangingChars="200"/>
    </w:pPr>
    <w:rPr>
      <w:sz w:val="28"/>
      <w:szCs w:val="20"/>
    </w:rPr>
  </w:style>
  <w:style w:type="paragraph" w:customStyle="1" w:styleId="72">
    <w:name w:val="纯文本3"/>
    <w:basedOn w:val="1"/>
    <w:qFormat/>
    <w:uiPriority w:val="99"/>
    <w:pPr>
      <w:adjustRightInd w:val="0"/>
      <w:textAlignment w:val="baseline"/>
    </w:pPr>
    <w:rPr>
      <w:rFonts w:ascii="宋体" w:hAnsi="Courier New" w:eastAsia="楷体_GB2312"/>
      <w:sz w:val="26"/>
      <w:szCs w:val="20"/>
    </w:rPr>
  </w:style>
  <w:style w:type="paragraph" w:customStyle="1" w:styleId="73">
    <w:name w:val="列出段落4"/>
    <w:basedOn w:val="1"/>
    <w:qFormat/>
    <w:uiPriority w:val="99"/>
    <w:pPr>
      <w:ind w:firstLine="420" w:firstLineChars="200"/>
    </w:pPr>
  </w:style>
  <w:style w:type="paragraph" w:customStyle="1" w:styleId="74">
    <w:name w:val="正文缩进1"/>
    <w:basedOn w:val="1"/>
    <w:qFormat/>
    <w:uiPriority w:val="99"/>
    <w:pPr>
      <w:ind w:firstLine="420" w:firstLineChars="200"/>
    </w:pPr>
  </w:style>
  <w:style w:type="paragraph" w:customStyle="1" w:styleId="75">
    <w:name w:val="GG标题3"/>
    <w:basedOn w:val="6"/>
    <w:next w:val="70"/>
    <w:qFormat/>
    <w:uiPriority w:val="0"/>
    <w:pPr>
      <w:spacing w:line="312" w:lineRule="auto"/>
      <w:ind w:left="-1275" w:hanging="1135"/>
    </w:pPr>
    <w:rPr>
      <w:rFonts w:ascii="Times New Roman" w:hAnsi="Times New Roman"/>
      <w:bCs w:val="0"/>
      <w:kern w:val="2"/>
      <w:sz w:val="30"/>
    </w:rPr>
  </w:style>
  <w:style w:type="paragraph" w:customStyle="1" w:styleId="76">
    <w:name w:val="列表段落1"/>
    <w:basedOn w:val="1"/>
    <w:qFormat/>
    <w:uiPriority w:val="99"/>
    <w:pPr>
      <w:ind w:firstLine="420" w:firstLineChars="200"/>
    </w:pPr>
  </w:style>
  <w:style w:type="paragraph" w:customStyle="1" w:styleId="77">
    <w:name w:val="纯文本5"/>
    <w:basedOn w:val="1"/>
    <w:qFormat/>
    <w:uiPriority w:val="99"/>
    <w:rPr>
      <w:rFonts w:ascii="宋体" w:hAnsi="Courier New" w:eastAsia="Times New Roman"/>
      <w:sz w:val="30"/>
    </w:rPr>
  </w:style>
  <w:style w:type="paragraph" w:customStyle="1" w:styleId="78">
    <w:name w:val="Table Paragraph"/>
    <w:basedOn w:val="1"/>
    <w:qFormat/>
    <w:uiPriority w:val="99"/>
    <w:pPr>
      <w:jc w:val="left"/>
    </w:pPr>
    <w:rPr>
      <w:kern w:val="0"/>
      <w:sz w:val="22"/>
      <w:szCs w:val="22"/>
      <w:lang w:eastAsia="en-US"/>
    </w:rPr>
  </w:style>
  <w:style w:type="paragraph" w:customStyle="1" w:styleId="79">
    <w:name w:val="列出段落2"/>
    <w:basedOn w:val="1"/>
    <w:qFormat/>
    <w:uiPriority w:val="1"/>
    <w:pPr>
      <w:ind w:firstLine="420" w:firstLineChars="200"/>
    </w:pPr>
  </w:style>
  <w:style w:type="paragraph" w:customStyle="1" w:styleId="80">
    <w:name w:val="GG标题6"/>
    <w:basedOn w:val="10"/>
    <w:next w:val="70"/>
    <w:qFormat/>
    <w:uiPriority w:val="0"/>
    <w:pPr>
      <w:spacing w:before="0" w:after="0" w:line="312" w:lineRule="auto"/>
    </w:pPr>
    <w:rPr>
      <w:rFonts w:ascii="Times New Roman" w:hAnsi="Times New Roman"/>
      <w:sz w:val="21"/>
    </w:rPr>
  </w:style>
  <w:style w:type="paragraph" w:customStyle="1" w:styleId="81">
    <w:name w:val="正文文本缩进1"/>
    <w:basedOn w:val="1"/>
    <w:qFormat/>
    <w:uiPriority w:val="99"/>
    <w:pPr>
      <w:spacing w:line="200" w:lineRule="exact"/>
      <w:ind w:firstLine="301"/>
    </w:pPr>
    <w:rPr>
      <w:rFonts w:ascii="宋体" w:hAnsi="Courier New"/>
      <w:spacing w:val="-4"/>
      <w:kern w:val="0"/>
      <w:sz w:val="18"/>
    </w:rPr>
  </w:style>
  <w:style w:type="paragraph" w:styleId="82">
    <w:name w:val="List Paragraph"/>
    <w:basedOn w:val="1"/>
    <w:link w:val="117"/>
    <w:qFormat/>
    <w:uiPriority w:val="34"/>
    <w:pPr>
      <w:ind w:firstLine="420" w:firstLineChars="200"/>
    </w:pPr>
  </w:style>
  <w:style w:type="paragraph" w:customStyle="1" w:styleId="83">
    <w:name w:val="列出段落1"/>
    <w:basedOn w:val="1"/>
    <w:qFormat/>
    <w:uiPriority w:val="99"/>
    <w:pPr>
      <w:ind w:firstLine="420" w:firstLineChars="200"/>
    </w:pPr>
  </w:style>
  <w:style w:type="paragraph" w:customStyle="1" w:styleId="84">
    <w:name w:val="普通(网站)11"/>
    <w:basedOn w:val="1"/>
    <w:qFormat/>
    <w:uiPriority w:val="0"/>
    <w:pPr>
      <w:widowControl/>
      <w:spacing w:beforeAutospacing="1" w:afterAutospacing="1"/>
      <w:jc w:val="left"/>
    </w:pPr>
    <w:rPr>
      <w:rFonts w:ascii="宋体" w:hAnsi="宋体"/>
      <w:kern w:val="0"/>
      <w:sz w:val="24"/>
    </w:rPr>
  </w:style>
  <w:style w:type="paragraph" w:customStyle="1" w:styleId="85">
    <w:name w:val="Body Text Indent1"/>
    <w:basedOn w:val="1"/>
    <w:qFormat/>
    <w:uiPriority w:val="99"/>
    <w:pPr>
      <w:spacing w:line="200" w:lineRule="exact"/>
      <w:ind w:firstLine="301"/>
    </w:pPr>
    <w:rPr>
      <w:rFonts w:ascii="宋体" w:hAnsi="Courier New"/>
      <w:spacing w:val="-4"/>
      <w:kern w:val="0"/>
      <w:sz w:val="18"/>
    </w:rPr>
  </w:style>
  <w:style w:type="paragraph" w:customStyle="1" w:styleId="86">
    <w:name w:val="GG标题1"/>
    <w:basedOn w:val="4"/>
    <w:next w:val="70"/>
    <w:qFormat/>
    <w:uiPriority w:val="0"/>
    <w:pPr>
      <w:spacing w:beforeLines="150" w:afterLines="100" w:line="312" w:lineRule="auto"/>
      <w:ind w:left="3118" w:hanging="425"/>
      <w:jc w:val="center"/>
    </w:pPr>
    <w:rPr>
      <w:rFonts w:ascii="Times New Roman" w:hAnsi="Times New Roman"/>
      <w:sz w:val="36"/>
    </w:rPr>
  </w:style>
  <w:style w:type="paragraph" w:customStyle="1" w:styleId="87">
    <w:name w:val="xl30"/>
    <w:basedOn w:val="1"/>
    <w:qFormat/>
    <w:uiPriority w:val="99"/>
    <w:pPr>
      <w:widowControl/>
      <w:spacing w:before="100" w:beforeAutospacing="1" w:after="100" w:afterAutospacing="1"/>
      <w:jc w:val="center"/>
      <w:textAlignment w:val="center"/>
    </w:pPr>
    <w:rPr>
      <w:rFonts w:ascii="楷体_GB2312" w:hAnsi="宋体" w:eastAsia="楷体_GB2312"/>
      <w:b/>
      <w:kern w:val="0"/>
      <w:sz w:val="32"/>
    </w:rPr>
  </w:style>
  <w:style w:type="paragraph" w:customStyle="1" w:styleId="88">
    <w:name w:val="默认段落字体 Para Char Char Char Char Char Char Char Char Char1 Char Char Char Char"/>
    <w:basedOn w:val="1"/>
    <w:qFormat/>
    <w:uiPriority w:val="99"/>
    <w:rPr>
      <w:rFonts w:ascii="Tahoma" w:hAnsi="Tahoma"/>
      <w:sz w:val="24"/>
      <w:szCs w:val="20"/>
    </w:rPr>
  </w:style>
  <w:style w:type="paragraph" w:customStyle="1" w:styleId="89">
    <w:name w:val="标题 81"/>
    <w:basedOn w:val="1"/>
    <w:qFormat/>
    <w:uiPriority w:val="1"/>
    <w:pPr>
      <w:autoSpaceDE w:val="0"/>
      <w:autoSpaceDN w:val="0"/>
      <w:ind w:left="636"/>
      <w:jc w:val="left"/>
      <w:outlineLvl w:val="8"/>
    </w:pPr>
    <w:rPr>
      <w:rFonts w:ascii="宋体" w:hAnsi="宋体" w:cs="宋体"/>
      <w:b/>
      <w:bCs/>
      <w:kern w:val="0"/>
      <w:szCs w:val="21"/>
      <w:lang w:val="zh-CN" w:bidi="zh-CN"/>
    </w:rPr>
  </w:style>
  <w:style w:type="paragraph" w:customStyle="1" w:styleId="90">
    <w:name w:val="文本块2"/>
    <w:basedOn w:val="1"/>
    <w:qFormat/>
    <w:uiPriority w:val="99"/>
    <w:pPr>
      <w:adjustRightInd w:val="0"/>
      <w:snapToGrid w:val="0"/>
      <w:spacing w:line="300" w:lineRule="auto"/>
      <w:ind w:left="958" w:right="-120" w:rightChars="-120"/>
      <w:jc w:val="left"/>
    </w:pPr>
    <w:rPr>
      <w:rFonts w:ascii="Century Gothic" w:hAnsi="Century Gothic"/>
      <w:sz w:val="28"/>
      <w:szCs w:val="20"/>
    </w:rPr>
  </w:style>
  <w:style w:type="paragraph" w:customStyle="1" w:styleId="91">
    <w:name w:val="纯文本21"/>
    <w:basedOn w:val="1"/>
    <w:qFormat/>
    <w:uiPriority w:val="99"/>
    <w:pPr>
      <w:spacing w:beforeLines="50" w:afterLines="50" w:line="400" w:lineRule="exact"/>
    </w:pPr>
    <w:rPr>
      <w:rFonts w:ascii="宋体" w:hAnsi="Courier New"/>
      <w:szCs w:val="21"/>
    </w:rPr>
  </w:style>
  <w:style w:type="paragraph" w:customStyle="1" w:styleId="92">
    <w:name w:val="reader-word-layer reader-word-s1-0"/>
    <w:basedOn w:val="1"/>
    <w:qFormat/>
    <w:uiPriority w:val="0"/>
    <w:pPr>
      <w:widowControl/>
      <w:spacing w:before="100" w:beforeAutospacing="1" w:after="100" w:afterAutospacing="1"/>
      <w:jc w:val="left"/>
    </w:pPr>
    <w:rPr>
      <w:rFonts w:ascii="宋体"/>
      <w:sz w:val="24"/>
    </w:rPr>
  </w:style>
  <w:style w:type="paragraph" w:customStyle="1" w:styleId="93">
    <w:name w:val="正文文本 32"/>
    <w:basedOn w:val="1"/>
    <w:qFormat/>
    <w:uiPriority w:val="99"/>
    <w:pPr>
      <w:spacing w:after="120"/>
    </w:pPr>
    <w:rPr>
      <w:kern w:val="0"/>
      <w:sz w:val="16"/>
      <w:szCs w:val="16"/>
    </w:rPr>
  </w:style>
  <w:style w:type="paragraph" w:customStyle="1" w:styleId="94">
    <w:name w:val="正文2"/>
    <w:basedOn w:val="1"/>
    <w:qFormat/>
    <w:uiPriority w:val="99"/>
    <w:pPr>
      <w:spacing w:before="156" w:line="360" w:lineRule="auto"/>
      <w:ind w:firstLine="510" w:firstLineChars="200"/>
    </w:pPr>
    <w:rPr>
      <w:sz w:val="24"/>
    </w:rPr>
  </w:style>
  <w:style w:type="paragraph" w:customStyle="1" w:styleId="95">
    <w:name w:val="GG标题2"/>
    <w:basedOn w:val="5"/>
    <w:next w:val="70"/>
    <w:qFormat/>
    <w:uiPriority w:val="0"/>
    <w:pPr>
      <w:spacing w:line="312" w:lineRule="auto"/>
      <w:ind w:left="3118" w:hanging="425"/>
    </w:pPr>
    <w:rPr>
      <w:rFonts w:ascii="Times New Roman" w:hAnsi="Times New Roman"/>
    </w:rPr>
  </w:style>
  <w:style w:type="paragraph" w:customStyle="1" w:styleId="96">
    <w:name w:val="正文段"/>
    <w:basedOn w:val="1"/>
    <w:qFormat/>
    <w:uiPriority w:val="99"/>
    <w:pPr>
      <w:autoSpaceDE w:val="0"/>
      <w:autoSpaceDN w:val="0"/>
      <w:adjustRightInd w:val="0"/>
      <w:spacing w:before="100" w:after="100" w:line="300" w:lineRule="auto"/>
      <w:ind w:left="2108" w:hanging="708"/>
      <w:jc w:val="left"/>
    </w:pPr>
    <w:rPr>
      <w:rFonts w:ascii="Times New Roman" w:hAnsi="Times New Roman"/>
      <w:w w:val="105"/>
      <w:kern w:val="0"/>
      <w:sz w:val="24"/>
      <w:szCs w:val="20"/>
    </w:rPr>
  </w:style>
  <w:style w:type="paragraph" w:customStyle="1" w:styleId="97">
    <w:name w:val="_Style 7"/>
    <w:basedOn w:val="1"/>
    <w:next w:val="82"/>
    <w:qFormat/>
    <w:uiPriority w:val="34"/>
    <w:pPr>
      <w:ind w:firstLine="420" w:firstLineChars="200"/>
    </w:pPr>
    <w:rPr>
      <w:szCs w:val="22"/>
    </w:rPr>
  </w:style>
  <w:style w:type="paragraph" w:customStyle="1" w:styleId="98">
    <w:name w:val="纯文本4"/>
    <w:basedOn w:val="1"/>
    <w:qFormat/>
    <w:uiPriority w:val="99"/>
    <w:pPr>
      <w:adjustRightInd w:val="0"/>
      <w:textAlignment w:val="baseline"/>
    </w:pPr>
    <w:rPr>
      <w:rFonts w:ascii="宋体" w:hAnsi="Courier New" w:eastAsia="楷体_GB2312"/>
      <w:sz w:val="26"/>
      <w:szCs w:val="20"/>
    </w:rPr>
  </w:style>
  <w:style w:type="paragraph" w:customStyle="1" w:styleId="99">
    <w:name w:val="正文文本缩进 21"/>
    <w:basedOn w:val="1"/>
    <w:qFormat/>
    <w:uiPriority w:val="99"/>
    <w:pPr>
      <w:snapToGrid w:val="0"/>
      <w:ind w:firstLine="542" w:firstLineChars="225"/>
    </w:pPr>
    <w:rPr>
      <w:kern w:val="0"/>
      <w:sz w:val="24"/>
    </w:rPr>
  </w:style>
  <w:style w:type="paragraph" w:customStyle="1" w:styleId="100">
    <w:name w:val="正文文本缩进11"/>
    <w:basedOn w:val="1"/>
    <w:qFormat/>
    <w:uiPriority w:val="99"/>
    <w:pPr>
      <w:spacing w:line="200" w:lineRule="exact"/>
      <w:ind w:firstLine="301"/>
    </w:pPr>
    <w:rPr>
      <w:szCs w:val="20"/>
    </w:rPr>
  </w:style>
  <w:style w:type="paragraph" w:customStyle="1" w:styleId="101">
    <w:name w:val="GG标题5"/>
    <w:basedOn w:val="9"/>
    <w:next w:val="70"/>
    <w:qFormat/>
    <w:uiPriority w:val="0"/>
    <w:pPr>
      <w:spacing w:before="0" w:after="0" w:line="312" w:lineRule="auto"/>
    </w:pPr>
    <w:rPr>
      <w:rFonts w:ascii="Times New Roman" w:hAnsi="Times New Roman"/>
      <w:i/>
      <w:sz w:val="24"/>
      <w:lang w:bidi="en-US"/>
    </w:rPr>
  </w:style>
  <w:style w:type="paragraph" w:customStyle="1" w:styleId="102">
    <w:name w:val="文本块1"/>
    <w:basedOn w:val="1"/>
    <w:qFormat/>
    <w:uiPriority w:val="99"/>
    <w:pPr>
      <w:adjustRightInd w:val="0"/>
      <w:snapToGrid w:val="0"/>
      <w:spacing w:line="300" w:lineRule="auto"/>
      <w:ind w:left="958" w:right="-120" w:rightChars="-120"/>
      <w:jc w:val="left"/>
    </w:pPr>
    <w:rPr>
      <w:rFonts w:ascii="Century Gothic" w:hAnsi="Century Gothic"/>
      <w:sz w:val="28"/>
      <w:szCs w:val="20"/>
    </w:rPr>
  </w:style>
  <w:style w:type="paragraph" w:customStyle="1" w:styleId="103">
    <w:name w:val="样式 样式 左侧:  2 字符 + 左侧:  0.85 厘米 首行缩进:  2 字符1"/>
    <w:qFormat/>
    <w:uiPriority w:val="0"/>
    <w:pPr>
      <w:widowControl w:val="0"/>
      <w:ind w:left="482" w:firstLine="200" w:firstLineChars="200"/>
      <w:jc w:val="both"/>
    </w:pPr>
    <w:rPr>
      <w:rFonts w:ascii="Calibri" w:hAnsi="Calibri" w:eastAsia="微软雅黑" w:cs="宋体"/>
      <w:kern w:val="2"/>
      <w:sz w:val="21"/>
      <w:szCs w:val="20"/>
      <w:lang w:val="en-US" w:eastAsia="zh-CN" w:bidi="ar-SA"/>
    </w:rPr>
  </w:style>
  <w:style w:type="paragraph" w:customStyle="1" w:styleId="104">
    <w:name w:val="表格文字"/>
    <w:basedOn w:val="1"/>
    <w:next w:val="3"/>
    <w:qFormat/>
    <w:uiPriority w:val="0"/>
    <w:pPr>
      <w:adjustRightInd w:val="0"/>
      <w:spacing w:line="420" w:lineRule="atLeast"/>
      <w:textAlignment w:val="baseline"/>
    </w:pPr>
  </w:style>
  <w:style w:type="paragraph" w:customStyle="1" w:styleId="105">
    <w:name w:val="正文文本缩进2"/>
    <w:basedOn w:val="1"/>
    <w:qFormat/>
    <w:uiPriority w:val="99"/>
    <w:pPr>
      <w:spacing w:line="200" w:lineRule="exact"/>
      <w:ind w:firstLine="301"/>
    </w:pPr>
    <w:rPr>
      <w:rFonts w:ascii="宋体" w:hAnsi="Courier New"/>
      <w:spacing w:val="-4"/>
      <w:kern w:val="0"/>
      <w:sz w:val="18"/>
    </w:rPr>
  </w:style>
  <w:style w:type="paragraph" w:customStyle="1" w:styleId="106">
    <w:name w:val="List Paragraph1"/>
    <w:basedOn w:val="1"/>
    <w:qFormat/>
    <w:uiPriority w:val="99"/>
    <w:pPr>
      <w:ind w:firstLine="420" w:firstLineChars="200"/>
    </w:pPr>
  </w:style>
  <w:style w:type="paragraph" w:customStyle="1" w:styleId="107">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108">
    <w:name w:val="正文文本 31"/>
    <w:basedOn w:val="1"/>
    <w:qFormat/>
    <w:uiPriority w:val="99"/>
    <w:pPr>
      <w:spacing w:after="120"/>
    </w:pPr>
    <w:rPr>
      <w:kern w:val="0"/>
      <w:sz w:val="16"/>
      <w:szCs w:val="16"/>
    </w:rPr>
  </w:style>
  <w:style w:type="paragraph" w:customStyle="1" w:styleId="109">
    <w:name w:val="列出段落3"/>
    <w:basedOn w:val="1"/>
    <w:qFormat/>
    <w:uiPriority w:val="99"/>
    <w:pPr>
      <w:ind w:firstLine="420" w:firstLineChars="200"/>
    </w:pPr>
    <w:rPr>
      <w:szCs w:val="22"/>
    </w:rPr>
  </w:style>
  <w:style w:type="paragraph" w:customStyle="1" w:styleId="110">
    <w:name w:val="普通(网站)1"/>
    <w:basedOn w:val="1"/>
    <w:qFormat/>
    <w:uiPriority w:val="99"/>
    <w:pPr>
      <w:spacing w:beforeAutospacing="1" w:afterAutospacing="1"/>
      <w:jc w:val="left"/>
    </w:pPr>
    <w:rPr>
      <w:kern w:val="0"/>
      <w:sz w:val="24"/>
    </w:rPr>
  </w:style>
  <w:style w:type="paragraph" w:customStyle="1" w:styleId="111">
    <w:name w:val="表内文字"/>
    <w:basedOn w:val="1"/>
    <w:qFormat/>
    <w:uiPriority w:val="99"/>
    <w:pPr>
      <w:tabs>
        <w:tab w:val="left" w:pos="1418"/>
      </w:tabs>
      <w:spacing w:line="360" w:lineRule="auto"/>
      <w:jc w:val="center"/>
    </w:pPr>
    <w:rPr>
      <w:rFonts w:ascii="??_GB2312" w:eastAsia="Times New Roman"/>
      <w:spacing w:val="-20"/>
      <w:kern w:val="0"/>
      <w:sz w:val="24"/>
    </w:rPr>
  </w:style>
  <w:style w:type="paragraph" w:customStyle="1" w:styleId="112">
    <w:name w:val="Char"/>
    <w:basedOn w:val="1"/>
    <w:qFormat/>
    <w:uiPriority w:val="0"/>
    <w:rPr>
      <w:rFonts w:ascii="宋体" w:hAnsi="宋体"/>
      <w:i/>
      <w:sz w:val="24"/>
    </w:rPr>
  </w:style>
  <w:style w:type="paragraph" w:customStyle="1" w:styleId="113">
    <w:name w:val="正文首行缩进 21"/>
    <w:basedOn w:val="81"/>
    <w:qFormat/>
    <w:uiPriority w:val="0"/>
    <w:pPr>
      <w:spacing w:line="240" w:lineRule="auto"/>
      <w:ind w:firstLine="420"/>
    </w:pPr>
    <w:rPr>
      <w:rFonts w:ascii="仿宋_GB2312" w:hAnsi="Times New Roman" w:eastAsia="仿宋_GB2312"/>
      <w:spacing w:val="0"/>
      <w:kern w:val="2"/>
      <w:sz w:val="32"/>
      <w:szCs w:val="20"/>
    </w:rPr>
  </w:style>
  <w:style w:type="paragraph" w:customStyle="1" w:styleId="114">
    <w:name w:val="Body text|1"/>
    <w:basedOn w:val="1"/>
    <w:qFormat/>
    <w:uiPriority w:val="0"/>
    <w:pPr>
      <w:wordWrap w:val="0"/>
      <w:spacing w:line="437" w:lineRule="auto"/>
      <w:ind w:firstLine="200" w:firstLineChars="200"/>
    </w:pPr>
    <w:rPr>
      <w:rFonts w:ascii="宋体" w:hAnsi="宋体" w:cs="宋体"/>
      <w:sz w:val="26"/>
      <w:szCs w:val="26"/>
      <w:lang w:val="zh-TW" w:eastAsia="zh-TW" w:bidi="zh-TW"/>
    </w:rPr>
  </w:style>
  <w:style w:type="paragraph" w:customStyle="1" w:styleId="115">
    <w:name w:val="Body text|2"/>
    <w:basedOn w:val="1"/>
    <w:qFormat/>
    <w:uiPriority w:val="0"/>
    <w:pPr>
      <w:wordWrap w:val="0"/>
      <w:spacing w:after="560" w:line="360" w:lineRule="auto"/>
      <w:ind w:firstLine="80" w:firstLineChars="200"/>
    </w:pPr>
    <w:rPr>
      <w:rFonts w:ascii="宋体" w:hAnsi="宋体" w:cs="宋体"/>
      <w:sz w:val="30"/>
      <w:szCs w:val="30"/>
      <w:lang w:val="zh-TW" w:eastAsia="zh-TW" w:bidi="zh-TW"/>
    </w:rPr>
  </w:style>
  <w:style w:type="paragraph" w:customStyle="1" w:styleId="116">
    <w:name w:val="正文_21"/>
    <w:qFormat/>
    <w:uiPriority w:val="0"/>
    <w:pPr>
      <w:widowControl w:val="0"/>
      <w:jc w:val="both"/>
    </w:pPr>
    <w:rPr>
      <w:rFonts w:ascii="Calibri" w:hAnsi="Calibri" w:eastAsia="宋体" w:cs="Times New Roman"/>
      <w:kern w:val="2"/>
      <w:sz w:val="21"/>
      <w:szCs w:val="22"/>
      <w:lang w:val="en-US" w:eastAsia="zh-CN" w:bidi="ar-SA"/>
    </w:rPr>
  </w:style>
  <w:style w:type="character" w:customStyle="1" w:styleId="117">
    <w:name w:val="列出段落 Char"/>
    <w:link w:val="82"/>
    <w:qFormat/>
    <w:uiPriority w:val="34"/>
    <w:rPr>
      <w:rFonts w:ascii="Calibri" w:hAnsi="Calibri"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46</Pages>
  <Words>4494</Words>
  <Characters>25621</Characters>
  <Lines>213</Lines>
  <Paragraphs>60</Paragraphs>
  <TotalTime>3</TotalTime>
  <ScaleCrop>false</ScaleCrop>
  <LinksUpToDate>false</LinksUpToDate>
  <CharactersWithSpaces>30055</CharactersWithSpaces>
  <Application>WPS Office_11.1.0.10695_F1E327BC-269C-435d-A152-05C5408002CA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2021-07-06T08:41:00Z</dcterms:created>
  <dc:creator>微软用户</dc:creator>
  <cp:lastModifiedBy>Administrator</cp:lastModifiedBy>
  <cp:lastPrinted>2021-07-07T00:43:00Z</cp:lastPrinted>
  <dcterms:modified xsi:type="dcterms:W3CDTF">2021-07-22T03:52:47Z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2052-11.1.0.10695</vt:lpwstr>
  </property>
  <property fmtid="{D5CDD505-2E9C-101B-9397-08002B2CF9AE}" pid="3" name="ICV">
    <vt:lpwstr>4387BC2102424B598A724B3191D0DF6E</vt:lpwstr>
  </property>
</Properties>
</file>