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14" w:name="_GoBack"/>
      <w:bookmarkEnd w:id="14"/>
    </w:p>
    <w:p>
      <w:pPr>
        <w:pStyle w:val="9"/>
        <w:snapToGrid w:val="0"/>
        <w:spacing w:before="120" w:after="120" w:line="360" w:lineRule="auto"/>
        <w:jc w:val="center"/>
        <w:rPr>
          <w:rFonts w:hint="eastAsia" w:hAnsi="宋体" w:eastAsia="宋体" w:cs="宋体"/>
          <w:bCs/>
          <w:spacing w:val="20"/>
          <w:sz w:val="32"/>
          <w:szCs w:val="32"/>
        </w:rPr>
      </w:pPr>
    </w:p>
    <w:p>
      <w:pPr>
        <w:pStyle w:val="9"/>
        <w:snapToGrid w:val="0"/>
        <w:spacing w:before="120" w:after="120" w:line="360" w:lineRule="auto"/>
        <w:jc w:val="center"/>
        <w:rPr>
          <w:rFonts w:hint="eastAsia" w:hAnsi="宋体" w:eastAsia="宋体" w:cs="宋体"/>
          <w:bCs/>
          <w:spacing w:val="20"/>
          <w:sz w:val="32"/>
          <w:szCs w:val="32"/>
        </w:rPr>
      </w:pPr>
      <w:r>
        <w:rPr>
          <w:rFonts w:hint="eastAsia" w:hAnsi="宋体" w:eastAsia="宋体" w:cs="宋体"/>
          <w:bCs/>
          <w:spacing w:val="20"/>
          <w:sz w:val="32"/>
          <w:szCs w:val="32"/>
        </w:rPr>
        <w:t>舟山市公安局执法办案管理中心改扩建工程（信息化部分）项目</w:t>
      </w:r>
    </w:p>
    <w:p>
      <w:pPr>
        <w:pStyle w:val="9"/>
        <w:snapToGrid w:val="0"/>
        <w:spacing w:before="120" w:after="120" w:line="360" w:lineRule="auto"/>
        <w:jc w:val="center"/>
        <w:rPr>
          <w:rFonts w:hint="eastAsia" w:hAnsi="宋体" w:eastAsia="宋体" w:cs="宋体"/>
          <w:bCs/>
          <w:spacing w:val="20"/>
          <w:sz w:val="24"/>
          <w:szCs w:val="24"/>
        </w:rPr>
      </w:pPr>
    </w:p>
    <w:p>
      <w:pPr>
        <w:pStyle w:val="9"/>
        <w:snapToGrid w:val="0"/>
        <w:spacing w:before="120" w:after="120" w:line="360" w:lineRule="auto"/>
        <w:jc w:val="center"/>
        <w:rPr>
          <w:rFonts w:hint="eastAsia" w:hAnsi="宋体" w:eastAsia="宋体" w:cs="宋体"/>
          <w:bCs/>
          <w:sz w:val="24"/>
          <w:szCs w:val="24"/>
        </w:rPr>
      </w:pPr>
    </w:p>
    <w:p>
      <w:pPr>
        <w:pStyle w:val="9"/>
        <w:snapToGrid w:val="0"/>
        <w:spacing w:before="120" w:after="120" w:line="360" w:lineRule="auto"/>
        <w:rPr>
          <w:rFonts w:hint="eastAsia" w:hAnsi="宋体" w:eastAsia="宋体" w:cs="宋体"/>
          <w:bCs/>
          <w:sz w:val="84"/>
          <w:szCs w:val="84"/>
        </w:rPr>
      </w:pPr>
    </w:p>
    <w:p>
      <w:pPr>
        <w:pStyle w:val="9"/>
        <w:snapToGrid w:val="0"/>
        <w:spacing w:before="120" w:after="120" w:line="360" w:lineRule="auto"/>
        <w:jc w:val="center"/>
        <w:rPr>
          <w:rFonts w:hint="eastAsia" w:hAnsi="宋体" w:eastAsia="宋体" w:cs="宋体"/>
          <w:b/>
          <w:sz w:val="84"/>
          <w:szCs w:val="84"/>
        </w:rPr>
      </w:pPr>
      <w:r>
        <w:rPr>
          <w:rFonts w:hint="eastAsia" w:hAnsi="宋体" w:eastAsia="宋体" w:cs="宋体"/>
          <w:bCs/>
          <w:sz w:val="84"/>
          <w:szCs w:val="84"/>
        </w:rPr>
        <w:t>招标文件</w:t>
      </w:r>
    </w:p>
    <w:p>
      <w:pPr>
        <w:pStyle w:val="9"/>
        <w:snapToGrid w:val="0"/>
        <w:spacing w:before="120" w:after="120" w:line="360" w:lineRule="auto"/>
        <w:jc w:val="center"/>
        <w:rPr>
          <w:rFonts w:hint="eastAsia" w:hAnsi="宋体" w:eastAsia="宋体" w:cs="宋体"/>
          <w:b/>
          <w:sz w:val="24"/>
          <w:szCs w:val="24"/>
        </w:rPr>
      </w:pPr>
    </w:p>
    <w:p>
      <w:pPr>
        <w:pStyle w:val="9"/>
        <w:snapToGrid w:val="0"/>
        <w:spacing w:before="120" w:after="120" w:line="360" w:lineRule="auto"/>
        <w:rPr>
          <w:rFonts w:hint="eastAsia" w:hAnsi="宋体" w:eastAsia="宋体" w:cs="宋体"/>
          <w:b/>
          <w:sz w:val="24"/>
          <w:szCs w:val="24"/>
        </w:rPr>
      </w:pPr>
    </w:p>
    <w:p>
      <w:pPr>
        <w:pStyle w:val="56"/>
        <w:widowControl w:val="0"/>
        <w:spacing w:line="720" w:lineRule="auto"/>
        <w:ind w:firstLine="560" w:firstLineChars="200"/>
        <w:rPr>
          <w:rFonts w:hint="eastAsia" w:ascii="宋体" w:hAnsi="宋体" w:cs="宋体"/>
          <w:sz w:val="28"/>
          <w:szCs w:val="28"/>
          <w:lang w:val="en-US" w:eastAsia="zh-CN"/>
        </w:rPr>
      </w:pPr>
    </w:p>
    <w:p>
      <w:pPr>
        <w:pStyle w:val="56"/>
        <w:widowControl w:val="0"/>
        <w:spacing w:line="720" w:lineRule="auto"/>
        <w:ind w:firstLine="560" w:firstLineChars="200"/>
        <w:rPr>
          <w:rFonts w:hint="eastAsia" w:ascii="宋体" w:hAnsi="宋体" w:cs="宋体"/>
          <w:sz w:val="28"/>
          <w:szCs w:val="28"/>
          <w:lang w:val="en-US" w:eastAsia="zh-CN"/>
        </w:rPr>
      </w:pPr>
    </w:p>
    <w:p>
      <w:pPr>
        <w:pStyle w:val="56"/>
        <w:widowControl w:val="0"/>
        <w:spacing w:line="72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项目编号：0773-2241GNZSHWGK0928</w:t>
      </w:r>
    </w:p>
    <w:p>
      <w:pPr>
        <w:pStyle w:val="56"/>
        <w:widowControl w:val="0"/>
        <w:spacing w:line="720" w:lineRule="auto"/>
        <w:ind w:firstLine="560" w:firstLineChars="200"/>
        <w:rPr>
          <w:rFonts w:hint="eastAsia" w:ascii="宋体" w:hAnsi="宋体" w:cs="宋体"/>
          <w:sz w:val="28"/>
          <w:szCs w:val="28"/>
          <w:lang w:val="en-US" w:eastAsia="zh-CN"/>
        </w:rPr>
      </w:pPr>
      <w:r>
        <w:rPr>
          <w:rFonts w:hint="eastAsia" w:ascii="宋体" w:hAnsi="宋体" w:cs="宋体"/>
          <w:sz w:val="28"/>
          <w:szCs w:val="28"/>
        </w:rPr>
        <w:t>项目名称：舟山市公安局执法办案管理中心改扩建工程（信息化部分）项目</w:t>
      </w:r>
    </w:p>
    <w:p>
      <w:pPr>
        <w:spacing w:line="720" w:lineRule="auto"/>
        <w:ind w:firstLine="560" w:firstLineChars="200"/>
        <w:rPr>
          <w:rFonts w:hint="eastAsia" w:ascii="宋体" w:hAnsi="宋体" w:cs="宋体"/>
          <w:sz w:val="28"/>
          <w:szCs w:val="28"/>
        </w:rPr>
      </w:pPr>
      <w:r>
        <w:rPr>
          <w:rFonts w:hint="eastAsia" w:ascii="宋体" w:hAnsi="宋体" w:cs="宋体"/>
          <w:sz w:val="28"/>
          <w:szCs w:val="28"/>
        </w:rPr>
        <w:t>采 购 人：舟山市公安局（盖章）</w:t>
      </w:r>
    </w:p>
    <w:p>
      <w:pPr>
        <w:spacing w:line="720" w:lineRule="auto"/>
        <w:ind w:firstLine="560" w:firstLineChars="200"/>
        <w:rPr>
          <w:rFonts w:hint="eastAsia" w:ascii="宋体" w:hAnsi="宋体" w:cs="宋体"/>
          <w:sz w:val="28"/>
          <w:szCs w:val="28"/>
        </w:rPr>
      </w:pPr>
      <w:r>
        <w:rPr>
          <w:rFonts w:hint="eastAsia" w:ascii="宋体" w:hAnsi="宋体" w:cs="宋体"/>
          <w:sz w:val="28"/>
          <w:szCs w:val="28"/>
        </w:rPr>
        <w:t>代理机构：中金招标有限责任公司（盖章）</w:t>
      </w:r>
    </w:p>
    <w:p>
      <w:pPr>
        <w:pStyle w:val="9"/>
        <w:spacing w:before="120" w:after="120" w:line="360" w:lineRule="auto"/>
        <w:ind w:firstLine="560" w:firstLineChars="200"/>
        <w:rPr>
          <w:rFonts w:hint="eastAsia" w:hAnsi="宋体" w:eastAsia="宋体" w:cs="宋体"/>
          <w:sz w:val="24"/>
          <w:szCs w:val="24"/>
        </w:rPr>
      </w:pPr>
      <w:r>
        <w:rPr>
          <w:rFonts w:hint="eastAsia" w:hAnsi="宋体" w:eastAsia="宋体" w:cs="宋体"/>
          <w:bCs/>
          <w:sz w:val="28"/>
          <w:szCs w:val="28"/>
        </w:rPr>
        <w:t>日    期：二〇二</w:t>
      </w:r>
      <w:r>
        <w:rPr>
          <w:rFonts w:hint="eastAsia" w:hAnsi="宋体" w:eastAsia="宋体" w:cs="宋体"/>
          <w:bCs/>
          <w:sz w:val="28"/>
          <w:szCs w:val="28"/>
          <w:lang w:val="en-US" w:eastAsia="zh-CN"/>
        </w:rPr>
        <w:t>二</w:t>
      </w:r>
      <w:r>
        <w:rPr>
          <w:rFonts w:hint="eastAsia" w:hAnsi="宋体" w:eastAsia="宋体" w:cs="宋体"/>
          <w:bCs/>
          <w:sz w:val="28"/>
          <w:szCs w:val="28"/>
        </w:rPr>
        <w:t>年</w:t>
      </w:r>
      <w:r>
        <w:rPr>
          <w:rFonts w:hint="eastAsia" w:hAnsi="宋体" w:eastAsia="宋体" w:cs="宋体"/>
          <w:bCs/>
          <w:sz w:val="28"/>
          <w:szCs w:val="28"/>
          <w:lang w:val="en-US" w:eastAsia="zh-CN"/>
        </w:rPr>
        <w:t>五</w:t>
      </w:r>
      <w:r>
        <w:rPr>
          <w:rFonts w:hint="eastAsia" w:hAnsi="宋体" w:eastAsia="宋体" w:cs="宋体"/>
          <w:bCs/>
          <w:sz w:val="28"/>
          <w:szCs w:val="28"/>
        </w:rPr>
        <w:t>月</w:t>
      </w:r>
    </w:p>
    <w:p>
      <w:pPr>
        <w:pStyle w:val="9"/>
        <w:spacing w:before="120" w:after="120" w:line="600" w:lineRule="auto"/>
        <w:jc w:val="center"/>
        <w:rPr>
          <w:rFonts w:hint="eastAsia" w:hAnsi="宋体" w:eastAsia="宋体" w:cs="宋体"/>
          <w:sz w:val="36"/>
          <w:szCs w:val="36"/>
        </w:rPr>
      </w:pPr>
      <w:r>
        <w:rPr>
          <w:rFonts w:hint="eastAsia" w:hAnsi="宋体" w:eastAsia="宋体" w:cs="宋体"/>
          <w:sz w:val="36"/>
          <w:szCs w:val="36"/>
        </w:rPr>
        <w:t>目    录</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第一章  招标公告</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第二章  采购需求</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第三章  投标人须知</w:t>
      </w:r>
    </w:p>
    <w:p>
      <w:pPr>
        <w:spacing w:before="120" w:line="552" w:lineRule="auto"/>
        <w:ind w:firstLine="1960" w:firstLineChars="700"/>
        <w:rPr>
          <w:rFonts w:hint="eastAsia" w:ascii="宋体" w:hAnsi="宋体" w:cs="宋体"/>
          <w:sz w:val="28"/>
          <w:szCs w:val="28"/>
        </w:rPr>
      </w:pPr>
      <w:r>
        <w:rPr>
          <w:rFonts w:hint="eastAsia" w:ascii="宋体" w:hAnsi="宋体" w:cs="宋体"/>
          <w:sz w:val="28"/>
          <w:szCs w:val="28"/>
        </w:rPr>
        <w:t xml:space="preserve">前附表 </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一、总 则</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二、招标文件</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三、投标文件的编制</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四、开标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五、评标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六、废标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七、定标</w:t>
      </w:r>
    </w:p>
    <w:p>
      <w:pPr>
        <w:spacing w:before="120" w:line="552" w:lineRule="auto"/>
        <w:ind w:firstLine="1400" w:firstLineChars="500"/>
        <w:rPr>
          <w:rFonts w:hint="eastAsia" w:ascii="宋体" w:hAnsi="宋体" w:cs="宋体"/>
          <w:sz w:val="28"/>
          <w:szCs w:val="28"/>
        </w:rPr>
      </w:pPr>
      <w:r>
        <w:rPr>
          <w:rFonts w:hint="eastAsia" w:ascii="宋体" w:hAnsi="宋体" w:cs="宋体"/>
          <w:sz w:val="28"/>
          <w:szCs w:val="28"/>
        </w:rPr>
        <w:t>八、合同授予</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第四章  评标办法及标准</w:t>
      </w:r>
    </w:p>
    <w:p>
      <w:pPr>
        <w:spacing w:before="120" w:line="552" w:lineRule="auto"/>
        <w:ind w:firstLine="840" w:firstLineChars="300"/>
        <w:rPr>
          <w:rFonts w:hint="eastAsia" w:ascii="宋体" w:hAnsi="宋体" w:cs="宋体"/>
          <w:sz w:val="28"/>
          <w:szCs w:val="28"/>
        </w:rPr>
      </w:pPr>
      <w:r>
        <w:rPr>
          <w:rFonts w:hint="eastAsia" w:ascii="宋体" w:hAnsi="宋体" w:cs="宋体"/>
          <w:sz w:val="28"/>
          <w:szCs w:val="28"/>
        </w:rPr>
        <w:t>第五章  合同主要条款</w:t>
      </w:r>
    </w:p>
    <w:p>
      <w:pPr>
        <w:spacing w:before="120" w:line="552" w:lineRule="auto"/>
        <w:ind w:firstLine="840" w:firstLineChars="300"/>
        <w:rPr>
          <w:rFonts w:hint="eastAsia" w:ascii="宋体" w:hAnsi="宋体" w:cs="宋体"/>
          <w:sz w:val="24"/>
          <w:szCs w:val="24"/>
        </w:rPr>
      </w:pPr>
      <w:r>
        <w:rPr>
          <w:rFonts w:hint="eastAsia" w:ascii="宋体" w:hAnsi="宋体" w:cs="宋体"/>
          <w:sz w:val="28"/>
          <w:szCs w:val="28"/>
        </w:rPr>
        <w:t>第六章  投标文件组成</w:t>
      </w:r>
    </w:p>
    <w:p>
      <w:pPr>
        <w:jc w:val="center"/>
        <w:outlineLvl w:val="0"/>
        <w:rPr>
          <w:rFonts w:hint="eastAsia" w:ascii="宋体" w:hAnsi="宋体" w:cs="宋体"/>
          <w:b/>
          <w:sz w:val="28"/>
          <w:szCs w:val="28"/>
        </w:rPr>
      </w:pPr>
      <w:r>
        <w:rPr>
          <w:rFonts w:ascii="宋体" w:hAnsi="宋体" w:cs="宋体"/>
          <w:b/>
          <w:sz w:val="24"/>
          <w:szCs w:val="24"/>
        </w:rPr>
        <w:br w:type="page"/>
      </w:r>
      <w:bookmarkStart w:id="0" w:name="OLE_LINK1"/>
      <w:r>
        <w:rPr>
          <w:rFonts w:hint="eastAsia" w:ascii="宋体" w:hAnsi="宋体" w:cs="宋体"/>
          <w:b/>
          <w:sz w:val="28"/>
          <w:szCs w:val="28"/>
        </w:rPr>
        <w:t xml:space="preserve">第一章 </w:t>
      </w:r>
      <w:bookmarkStart w:id="1" w:name="OLE_LINK3"/>
      <w:r>
        <w:rPr>
          <w:rFonts w:hint="eastAsia" w:ascii="宋体" w:hAnsi="宋体" w:cs="宋体"/>
          <w:b/>
          <w:sz w:val="28"/>
          <w:szCs w:val="28"/>
        </w:rPr>
        <w:t xml:space="preserve"> </w:t>
      </w:r>
      <w:bookmarkStart w:id="2" w:name="OLE_LINK2"/>
      <w:bookmarkStart w:id="3" w:name="OLE_LINK4"/>
      <w:r>
        <w:rPr>
          <w:rFonts w:hint="eastAsia" w:ascii="宋体" w:hAnsi="宋体" w:cs="宋体"/>
          <w:b/>
          <w:sz w:val="28"/>
          <w:szCs w:val="28"/>
        </w:rPr>
        <w:t>招标公告</w:t>
      </w:r>
    </w:p>
    <w:bookmarkEnd w:id="0"/>
    <w:bookmarkEnd w:id="1"/>
    <w:bookmarkEnd w:id="2"/>
    <w:bookmarkEnd w:id="3"/>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szCs w:val="21"/>
        </w:rPr>
      </w:pPr>
      <w:r>
        <w:rPr>
          <w:rFonts w:hint="eastAsia" w:ascii="宋体" w:hAnsi="宋体"/>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宋体" w:hAnsi="宋体"/>
          <w:szCs w:val="21"/>
        </w:rPr>
      </w:pPr>
      <w:r>
        <w:rPr>
          <w:rFonts w:hint="eastAsia" w:ascii="宋体" w:hAnsi="宋体"/>
          <w:szCs w:val="21"/>
        </w:rPr>
        <w:t>舟山市公安局执法办案管理中心改扩建工程（信息化部分）项目的潜在投标人应在浙江政府采购网http://zfcg.czt.zj.gov.cn/（用“政采云”注册账号、密码登录系统后获取招标文件）获取（下载）招标文件，并于202</w:t>
      </w:r>
      <w:r>
        <w:rPr>
          <w:rFonts w:hint="eastAsia" w:ascii="宋体" w:hAnsi="宋体"/>
          <w:szCs w:val="21"/>
          <w:lang w:val="en-US" w:eastAsia="zh-CN"/>
        </w:rPr>
        <w:t>2</w:t>
      </w:r>
      <w:r>
        <w:rPr>
          <w:rFonts w:hint="eastAsia" w:ascii="宋体" w:hAnsi="宋体"/>
          <w:bCs/>
          <w:szCs w:val="21"/>
        </w:rPr>
        <w:t>年</w:t>
      </w:r>
      <w:r>
        <w:rPr>
          <w:rFonts w:hint="eastAsia" w:ascii="宋体" w:hAnsi="宋体"/>
          <w:bCs/>
          <w:szCs w:val="21"/>
          <w:lang w:val="en-US" w:eastAsia="zh-CN"/>
        </w:rPr>
        <w:t>6</w:t>
      </w:r>
      <w:r>
        <w:rPr>
          <w:rFonts w:hint="eastAsia" w:ascii="宋体" w:hAnsi="宋体"/>
          <w:bCs/>
          <w:szCs w:val="21"/>
        </w:rPr>
        <w:t>月</w:t>
      </w:r>
      <w:r>
        <w:rPr>
          <w:rFonts w:hint="eastAsia" w:ascii="宋体" w:hAnsi="宋体"/>
          <w:bCs/>
          <w:szCs w:val="21"/>
          <w:lang w:val="en-US" w:eastAsia="zh-CN"/>
        </w:rPr>
        <w:t>8</w:t>
      </w:r>
      <w:r>
        <w:rPr>
          <w:rFonts w:hint="eastAsia" w:ascii="宋体" w:hAnsi="宋体"/>
          <w:bCs/>
          <w:szCs w:val="21"/>
        </w:rPr>
        <w:t>日</w:t>
      </w:r>
      <w:r>
        <w:rPr>
          <w:rFonts w:hint="eastAsia" w:ascii="宋体" w:hAnsi="宋体"/>
          <w:bCs/>
          <w:szCs w:val="21"/>
          <w:lang w:val="en-US" w:eastAsia="zh-CN"/>
        </w:rPr>
        <w:t>0</w:t>
      </w:r>
      <w:r>
        <w:rPr>
          <w:rFonts w:hint="eastAsia" w:ascii="宋体" w:hAnsi="宋体"/>
          <w:bCs/>
          <w:szCs w:val="21"/>
          <w:lang w:val="en-US" w:eastAsia="zh-CN"/>
        </w:rPr>
        <w:t>9</w:t>
      </w:r>
      <w:r>
        <w:rPr>
          <w:rFonts w:hint="eastAsia" w:ascii="宋体" w:hAnsi="宋体"/>
          <w:bCs/>
          <w:szCs w:val="21"/>
        </w:rPr>
        <w:t>:</w:t>
      </w:r>
      <w:r>
        <w:rPr>
          <w:rFonts w:hint="eastAsia" w:ascii="宋体" w:hAnsi="宋体"/>
          <w:bCs/>
          <w:szCs w:val="21"/>
          <w:lang w:val="en-US" w:eastAsia="zh-CN"/>
        </w:rPr>
        <w:t>0</w:t>
      </w:r>
      <w:r>
        <w:rPr>
          <w:rFonts w:hint="eastAsia" w:ascii="宋体" w:hAnsi="宋体"/>
          <w:bCs/>
          <w:szCs w:val="21"/>
          <w:lang w:val="en-US" w:eastAsia="zh-CN"/>
        </w:rPr>
        <w:t>0</w:t>
      </w:r>
      <w:r>
        <w:rPr>
          <w:rFonts w:hint="eastAsia" w:ascii="宋体" w:hAnsi="宋体"/>
          <w:bCs/>
          <w:szCs w:val="21"/>
        </w:rPr>
        <w:t>（北京时间）前递交（上传）投标文件</w:t>
      </w:r>
      <w:r>
        <w:rPr>
          <w:rFonts w:hint="eastAsia" w:ascii="宋体" w:hAnsi="宋体"/>
          <w:szCs w:val="21"/>
        </w:rPr>
        <w:t>。</w:t>
      </w:r>
    </w:p>
    <w:p>
      <w:pPr>
        <w:keepNext/>
        <w:keepLines/>
        <w:spacing w:line="360" w:lineRule="auto"/>
        <w:rPr>
          <w:rFonts w:hint="eastAsia" w:ascii="宋体" w:hAnsi="宋体" w:cs="宋体"/>
          <w:bCs/>
          <w:szCs w:val="21"/>
        </w:rPr>
      </w:pPr>
      <w:r>
        <w:rPr>
          <w:rFonts w:hint="eastAsia" w:ascii="宋体" w:hAnsi="宋体" w:cs="宋体"/>
          <w:bCs/>
          <w:szCs w:val="21"/>
        </w:rPr>
        <w:t>一、项目基本情况</w:t>
      </w:r>
    </w:p>
    <w:p>
      <w:pPr>
        <w:spacing w:line="360" w:lineRule="auto"/>
        <w:ind w:firstLine="420" w:firstLineChars="200"/>
        <w:rPr>
          <w:rFonts w:hint="eastAsia" w:ascii="宋体" w:hAnsi="宋体"/>
          <w:color w:val="FF0000"/>
          <w:szCs w:val="21"/>
        </w:rPr>
      </w:pPr>
      <w:r>
        <w:rPr>
          <w:rFonts w:hint="eastAsia" w:ascii="宋体" w:hAnsi="宋体"/>
          <w:szCs w:val="21"/>
        </w:rPr>
        <w:t>项目编号：</w:t>
      </w:r>
      <w:r>
        <w:rPr>
          <w:rFonts w:hint="eastAsia" w:ascii="宋体" w:hAnsi="宋体"/>
          <w:szCs w:val="21"/>
          <w:lang w:val="en-US" w:eastAsia="zh-CN"/>
        </w:rPr>
        <w:t>0773-2241GNZSHWGK0928</w:t>
      </w:r>
    </w:p>
    <w:p>
      <w:pPr>
        <w:spacing w:line="360" w:lineRule="auto"/>
        <w:ind w:firstLine="420" w:firstLineChars="200"/>
        <w:rPr>
          <w:rFonts w:hint="eastAsia" w:ascii="宋体" w:hAnsi="宋体"/>
          <w:szCs w:val="21"/>
        </w:rPr>
      </w:pPr>
      <w:r>
        <w:rPr>
          <w:rFonts w:hint="eastAsia" w:ascii="宋体" w:hAnsi="宋体"/>
          <w:szCs w:val="21"/>
        </w:rPr>
        <w:t>项目名称：舟山市公安局执法办案管理中心改扩建工程（信息化部分）项目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预算金额（元）：748001</w:t>
      </w:r>
      <w:r>
        <w:rPr>
          <w:rFonts w:hint="eastAsia" w:ascii="宋体" w:hAnsi="宋体"/>
          <w:szCs w:val="21"/>
          <w:lang w:val="en-US" w:eastAsia="zh-CN"/>
        </w:rPr>
        <w:t>0</w:t>
      </w:r>
    </w:p>
    <w:p>
      <w:pPr>
        <w:spacing w:line="360" w:lineRule="auto"/>
        <w:ind w:firstLine="420" w:firstLineChars="200"/>
        <w:rPr>
          <w:rFonts w:ascii="宋体" w:hAnsi="宋体"/>
          <w:szCs w:val="21"/>
        </w:rPr>
      </w:pPr>
      <w:r>
        <w:rPr>
          <w:rFonts w:hint="eastAsia" w:ascii="宋体" w:hAnsi="宋体"/>
          <w:szCs w:val="21"/>
        </w:rPr>
        <w:t>最高限价（元）：748001</w:t>
      </w:r>
      <w:r>
        <w:rPr>
          <w:rFonts w:hint="eastAsia" w:ascii="宋体" w:hAnsi="宋体"/>
          <w:szCs w:val="21"/>
          <w:lang w:val="en-US" w:eastAsia="zh-CN"/>
        </w:rPr>
        <w:t>0</w:t>
      </w:r>
    </w:p>
    <w:p>
      <w:pPr>
        <w:spacing w:line="360" w:lineRule="auto"/>
        <w:ind w:firstLine="420" w:firstLineChars="200"/>
        <w:rPr>
          <w:rFonts w:hint="eastAsia" w:ascii="宋体" w:hAnsi="宋体"/>
          <w:szCs w:val="21"/>
          <w:u w:val="single"/>
        </w:rPr>
      </w:pPr>
      <w:r>
        <w:rPr>
          <w:rFonts w:hint="eastAsia" w:ascii="宋体" w:hAnsi="宋体"/>
          <w:szCs w:val="21"/>
        </w:rPr>
        <w:t>采购需求：</w:t>
      </w:r>
    </w:p>
    <w:p>
      <w:pPr>
        <w:spacing w:line="360" w:lineRule="auto"/>
        <w:ind w:firstLine="630" w:firstLineChars="300"/>
        <w:rPr>
          <w:rFonts w:hint="eastAsia" w:ascii="宋体" w:hAnsi="宋体"/>
          <w:szCs w:val="21"/>
        </w:rPr>
      </w:pPr>
    </w:p>
    <w:p>
      <w:pPr>
        <w:spacing w:line="360" w:lineRule="auto"/>
        <w:ind w:firstLine="630" w:firstLineChars="300"/>
        <w:rPr>
          <w:rFonts w:hint="eastAsia" w:ascii="宋体" w:hAnsi="宋体"/>
          <w:szCs w:val="21"/>
        </w:rPr>
      </w:pPr>
      <w:r>
        <w:rPr>
          <w:rFonts w:hint="eastAsia" w:ascii="宋体" w:hAnsi="宋体"/>
          <w:szCs w:val="21"/>
        </w:rPr>
        <w:t>标项一：</w:t>
      </w:r>
    </w:p>
    <w:p>
      <w:pPr>
        <w:spacing w:line="360" w:lineRule="auto"/>
        <w:ind w:firstLine="630" w:firstLineChars="300"/>
        <w:rPr>
          <w:rFonts w:hint="eastAsia" w:ascii="宋体" w:hAnsi="宋体"/>
          <w:szCs w:val="21"/>
        </w:rPr>
      </w:pPr>
      <w:r>
        <w:rPr>
          <w:rFonts w:hint="eastAsia" w:ascii="宋体" w:hAnsi="宋体"/>
          <w:szCs w:val="21"/>
        </w:rPr>
        <w:t>标项名称：舟山市公安局执法办案管理中心改扩建工程（信息化部分）项目</w:t>
      </w:r>
    </w:p>
    <w:p>
      <w:pPr>
        <w:spacing w:line="360" w:lineRule="auto"/>
        <w:ind w:firstLine="630" w:firstLineChars="300"/>
        <w:rPr>
          <w:rFonts w:hint="eastAsia" w:ascii="宋体" w:hAnsi="宋体"/>
          <w:szCs w:val="21"/>
        </w:rPr>
      </w:pPr>
      <w:r>
        <w:rPr>
          <w:rFonts w:hint="eastAsia" w:ascii="宋体" w:hAnsi="宋体"/>
          <w:szCs w:val="21"/>
        </w:rPr>
        <w:t>数量：</w:t>
      </w:r>
      <w:r>
        <w:rPr>
          <w:rFonts w:ascii="宋体" w:hAnsi="宋体"/>
          <w:szCs w:val="21"/>
        </w:rPr>
        <w:t>1</w:t>
      </w:r>
    </w:p>
    <w:p>
      <w:pPr>
        <w:spacing w:line="360" w:lineRule="auto"/>
        <w:ind w:firstLine="630" w:firstLineChars="300"/>
        <w:rPr>
          <w:rFonts w:ascii="宋体" w:hAnsi="宋体"/>
          <w:szCs w:val="21"/>
        </w:rPr>
      </w:pPr>
      <w:r>
        <w:rPr>
          <w:rFonts w:hint="eastAsia" w:ascii="宋体" w:hAnsi="宋体"/>
          <w:szCs w:val="21"/>
        </w:rPr>
        <w:t>预算金额（元）：748001</w:t>
      </w:r>
      <w:r>
        <w:rPr>
          <w:rFonts w:hint="eastAsia" w:ascii="宋体" w:hAnsi="宋体"/>
          <w:szCs w:val="21"/>
          <w:lang w:val="en-US" w:eastAsia="zh-CN"/>
        </w:rPr>
        <w:t>0</w:t>
      </w:r>
    </w:p>
    <w:p>
      <w:pPr>
        <w:spacing w:line="360" w:lineRule="auto"/>
        <w:ind w:firstLine="630" w:firstLineChars="300"/>
        <w:rPr>
          <w:rFonts w:hint="eastAsia" w:ascii="宋体" w:hAnsi="宋体"/>
          <w:szCs w:val="21"/>
        </w:rPr>
      </w:pPr>
      <w:r>
        <w:rPr>
          <w:rFonts w:hint="eastAsia" w:ascii="宋体" w:hAnsi="宋体"/>
          <w:szCs w:val="21"/>
        </w:rPr>
        <w:t>简要规格描述或项目基本概况介绍、用途：详见招标文件采购需求</w:t>
      </w:r>
    </w:p>
    <w:p>
      <w:pPr>
        <w:spacing w:line="360" w:lineRule="auto"/>
        <w:ind w:firstLine="630" w:firstLineChars="300"/>
        <w:rPr>
          <w:rFonts w:ascii="宋体" w:hAnsi="宋体"/>
          <w:szCs w:val="21"/>
        </w:rPr>
      </w:pPr>
      <w:r>
        <w:rPr>
          <w:rFonts w:hint="eastAsia" w:ascii="宋体" w:hAnsi="宋体"/>
          <w:szCs w:val="21"/>
        </w:rPr>
        <w:t>备注：本项目不允许转包、分包，不接受进口产品投标。</w:t>
      </w:r>
    </w:p>
    <w:p>
      <w:pPr>
        <w:spacing w:line="360" w:lineRule="auto"/>
        <w:ind w:firstLine="630" w:firstLineChars="300"/>
        <w:rPr>
          <w:rFonts w:hint="eastAsia" w:ascii="宋体" w:hAnsi="宋体"/>
          <w:szCs w:val="21"/>
        </w:rPr>
      </w:pPr>
    </w:p>
    <w:p>
      <w:pPr>
        <w:spacing w:line="360" w:lineRule="auto"/>
        <w:ind w:firstLine="420" w:firstLineChars="200"/>
        <w:rPr>
          <w:rFonts w:hint="default" w:ascii="宋体" w:hAnsi="宋体" w:eastAsia="宋体"/>
          <w:szCs w:val="21"/>
          <w:lang w:val="en-US" w:eastAsia="zh-CN"/>
        </w:rPr>
      </w:pPr>
      <w:r>
        <w:rPr>
          <w:rFonts w:hint="eastAsia" w:ascii="宋体" w:hAnsi="宋体"/>
          <w:szCs w:val="21"/>
        </w:rPr>
        <w:t>合同履约期限：本项目要求在合同签订后6个月内完成全部相关软件系统研发和硬件设备的安装调试并通过项目初验，试运行3个月后系统稳定无故障，可申请项目终验。</w:t>
      </w:r>
    </w:p>
    <w:p>
      <w:pPr>
        <w:spacing w:line="360" w:lineRule="auto"/>
        <w:ind w:firstLine="420" w:firstLineChars="200"/>
        <w:rPr>
          <w:rFonts w:hint="eastAsia" w:ascii="宋体" w:hAnsi="宋体"/>
          <w:szCs w:val="21"/>
        </w:rPr>
      </w:pPr>
      <w:r>
        <w:rPr>
          <w:rFonts w:hint="eastAsia" w:ascii="宋体" w:hAnsi="宋体"/>
          <w:szCs w:val="21"/>
        </w:rPr>
        <w:t>本项目（否）接受联合体投标。</w:t>
      </w:r>
    </w:p>
    <w:p>
      <w:pPr>
        <w:keepNext/>
        <w:keepLines/>
        <w:spacing w:line="360" w:lineRule="auto"/>
        <w:rPr>
          <w:rFonts w:hint="eastAsia" w:ascii="宋体" w:hAnsi="宋体" w:cs="宋体"/>
          <w:bCs/>
          <w:szCs w:val="21"/>
        </w:rPr>
      </w:pPr>
      <w:r>
        <w:rPr>
          <w:rFonts w:hint="eastAsia" w:ascii="宋体" w:hAnsi="宋体" w:cs="宋体"/>
          <w:bCs/>
          <w:szCs w:val="21"/>
        </w:rPr>
        <w:t>二、申请人的资格要求：</w:t>
      </w:r>
    </w:p>
    <w:p>
      <w:pPr>
        <w:spacing w:line="360" w:lineRule="auto"/>
        <w:ind w:firstLine="420" w:firstLineChars="200"/>
        <w:rPr>
          <w:rFonts w:hint="eastAsia" w:ascii="宋体" w:hAnsi="宋体"/>
          <w:szCs w:val="21"/>
        </w:rPr>
      </w:pPr>
      <w:r>
        <w:rPr>
          <w:rFonts w:hint="eastAsia" w:ascii="宋体" w:hAnsi="宋体"/>
          <w:szCs w:val="21"/>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20" w:firstLineChars="200"/>
        <w:rPr>
          <w:rFonts w:hint="eastAsia" w:ascii="宋体" w:hAnsi="宋体"/>
          <w:szCs w:val="21"/>
        </w:rPr>
      </w:pPr>
      <w:r>
        <w:rPr>
          <w:rFonts w:hint="eastAsia" w:ascii="宋体" w:hAnsi="宋体"/>
          <w:szCs w:val="21"/>
        </w:rPr>
        <w:t>2.落实政府采购政策需满足的资格要求：无</w:t>
      </w:r>
    </w:p>
    <w:p>
      <w:pPr>
        <w:spacing w:line="360" w:lineRule="auto"/>
        <w:ind w:firstLine="420" w:firstLineChars="200"/>
        <w:rPr>
          <w:rFonts w:hint="eastAsia" w:ascii="宋体" w:hAnsi="宋体"/>
          <w:szCs w:val="21"/>
        </w:rPr>
      </w:pPr>
      <w:r>
        <w:rPr>
          <w:rFonts w:hint="eastAsia" w:ascii="宋体" w:hAnsi="宋体"/>
          <w:szCs w:val="21"/>
        </w:rPr>
        <w:t>3.本项目的特定资格要求：无</w:t>
      </w:r>
    </w:p>
    <w:p>
      <w:pPr>
        <w:keepNext/>
        <w:keepLines/>
        <w:spacing w:line="360" w:lineRule="auto"/>
        <w:rPr>
          <w:rFonts w:hint="eastAsia" w:ascii="宋体" w:hAnsi="宋体" w:cs="宋体"/>
          <w:bCs/>
          <w:szCs w:val="21"/>
        </w:rPr>
      </w:pPr>
      <w:r>
        <w:rPr>
          <w:rFonts w:hint="eastAsia" w:ascii="宋体" w:hAnsi="宋体" w:cs="宋体"/>
          <w:bCs/>
          <w:szCs w:val="21"/>
        </w:rPr>
        <w:t>三、获取招标文件</w:t>
      </w:r>
    </w:p>
    <w:p>
      <w:pPr>
        <w:spacing w:line="360" w:lineRule="auto"/>
        <w:ind w:firstLine="420" w:firstLineChars="200"/>
        <w:rPr>
          <w:rFonts w:hint="eastAsia" w:ascii="宋体" w:hAnsi="宋体" w:cs="宋体"/>
          <w:szCs w:val="21"/>
        </w:rPr>
      </w:pPr>
      <w:r>
        <w:rPr>
          <w:rFonts w:hint="eastAsia" w:ascii="宋体" w:hAnsi="宋体" w:cs="宋体"/>
          <w:szCs w:val="21"/>
        </w:rPr>
        <w:t>时间：</w:t>
      </w:r>
      <w:r>
        <w:rPr>
          <w:rFonts w:ascii="宋体" w:hAnsi="宋体" w:cs="宋体"/>
          <w:szCs w:val="21"/>
        </w:rPr>
        <w:t>/</w:t>
      </w:r>
      <w:r>
        <w:rPr>
          <w:rFonts w:hint="eastAsia" w:ascii="宋体" w:hAnsi="宋体" w:cs="宋体"/>
          <w:szCs w:val="21"/>
        </w:rPr>
        <w:t>至202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日，每天上午00:00至12:00 ，下午12:00至23:59（北京时间，线上获取法定节假日均可，线下获取文件法定节假日除外）</w:t>
      </w:r>
    </w:p>
    <w:p>
      <w:pPr>
        <w:spacing w:line="360" w:lineRule="auto"/>
        <w:ind w:firstLine="420" w:firstLineChars="200"/>
        <w:rPr>
          <w:rFonts w:hint="eastAsia" w:ascii="宋体" w:hAnsi="宋体" w:cs="宋体"/>
          <w:szCs w:val="21"/>
        </w:rPr>
      </w:pPr>
      <w:r>
        <w:rPr>
          <w:rFonts w:hint="eastAsia" w:ascii="宋体" w:hAnsi="宋体" w:cs="宋体"/>
          <w:szCs w:val="21"/>
        </w:rPr>
        <w:t>地点（网址）：浙江政府采购网http://zfcg.czt.zj.gov.cn/（用“政采云”注册账号、密码登录系统后获取招标文件）</w:t>
      </w:r>
    </w:p>
    <w:p>
      <w:pPr>
        <w:wordWrap w:val="0"/>
        <w:spacing w:line="360" w:lineRule="auto"/>
        <w:ind w:firstLine="420" w:firstLineChars="200"/>
        <w:rPr>
          <w:rFonts w:hint="eastAsia" w:ascii="宋体" w:hAnsi="宋体" w:cs="宋体"/>
          <w:szCs w:val="21"/>
          <w:u w:val="single"/>
        </w:rPr>
      </w:pPr>
      <w:r>
        <w:rPr>
          <w:rFonts w:hint="eastAsia" w:ascii="宋体" w:hAnsi="宋体" w:cs="宋体"/>
          <w:szCs w:val="21"/>
        </w:rPr>
        <w:t>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w:t>
      </w:r>
    </w:p>
    <w:p>
      <w:pPr>
        <w:spacing w:line="360" w:lineRule="auto"/>
        <w:ind w:firstLine="420" w:firstLineChars="200"/>
        <w:rPr>
          <w:rFonts w:hint="eastAsia" w:ascii="宋体" w:hAnsi="宋体" w:cs="宋体"/>
          <w:szCs w:val="21"/>
        </w:rPr>
      </w:pPr>
      <w:r>
        <w:rPr>
          <w:rFonts w:hint="eastAsia" w:ascii="宋体" w:hAnsi="宋体" w:cs="宋体"/>
          <w:szCs w:val="21"/>
        </w:rPr>
        <w:t>售价（元）：0</w:t>
      </w:r>
    </w:p>
    <w:p>
      <w:pPr>
        <w:keepNext/>
        <w:keepLines/>
        <w:spacing w:line="360" w:lineRule="auto"/>
        <w:rPr>
          <w:rFonts w:hint="eastAsia" w:ascii="宋体" w:hAnsi="宋体" w:cs="宋体"/>
          <w:bCs/>
          <w:szCs w:val="21"/>
        </w:rPr>
      </w:pPr>
      <w:r>
        <w:rPr>
          <w:rFonts w:hint="eastAsia" w:ascii="宋体" w:hAnsi="宋体" w:cs="宋体"/>
          <w:bCs/>
          <w:szCs w:val="21"/>
        </w:rPr>
        <w:t>四、提交投标文件截止时间、开标时间和地点</w:t>
      </w:r>
    </w:p>
    <w:p>
      <w:pPr>
        <w:spacing w:line="360" w:lineRule="auto"/>
        <w:ind w:firstLine="420" w:firstLineChars="200"/>
        <w:rPr>
          <w:rFonts w:hint="eastAsia" w:ascii="宋体" w:hAnsi="宋体"/>
          <w:bCs/>
          <w:szCs w:val="21"/>
        </w:rPr>
      </w:pPr>
      <w:r>
        <w:rPr>
          <w:rFonts w:hint="eastAsia" w:ascii="宋体" w:hAnsi="宋体"/>
          <w:bCs/>
          <w:szCs w:val="21"/>
        </w:rPr>
        <w:t>提交投标文件截止时间：</w:t>
      </w:r>
      <w:r>
        <w:rPr>
          <w:rFonts w:hint="eastAsia" w:ascii="宋体" w:hAnsi="宋体"/>
          <w:szCs w:val="21"/>
        </w:rPr>
        <w:t>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w:t>
      </w:r>
      <w:r>
        <w:rPr>
          <w:rFonts w:hint="eastAsia" w:ascii="宋体" w:hAnsi="宋体"/>
          <w:szCs w:val="21"/>
          <w:lang w:val="en-US" w:eastAsia="zh-CN"/>
        </w:rPr>
        <w:t>00</w:t>
      </w:r>
      <w:r>
        <w:rPr>
          <w:rFonts w:hint="eastAsia" w:ascii="宋体" w:hAnsi="宋体"/>
          <w:bCs/>
          <w:szCs w:val="21"/>
        </w:rPr>
        <w:t>（北京时间）</w:t>
      </w:r>
    </w:p>
    <w:p>
      <w:pPr>
        <w:spacing w:line="360" w:lineRule="auto"/>
        <w:ind w:firstLine="420" w:firstLineChars="200"/>
        <w:rPr>
          <w:rFonts w:hint="eastAsia" w:ascii="宋体" w:hAnsi="宋体"/>
          <w:szCs w:val="21"/>
        </w:rPr>
      </w:pPr>
      <w:r>
        <w:rPr>
          <w:rFonts w:hint="eastAsia" w:ascii="宋体" w:hAnsi="宋体"/>
          <w:szCs w:val="21"/>
        </w:rPr>
        <w:t>投标地点（网址）：本项目不要求供应商授权代表参加现场开标、开启投标文件活动。投标人将加密的电子版投标文件于投标截止时间前上传到政采云系统中。投标人将备份投标文件于202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7</w:t>
      </w:r>
      <w:r>
        <w:rPr>
          <w:rFonts w:hint="eastAsia" w:ascii="宋体" w:hAnsi="宋体"/>
          <w:szCs w:val="21"/>
        </w:rPr>
        <w:t>日17:00（北京时间）前通过邮寄或派人递送的方式送交到采购代理机构处（地址：舟山市新城海天大道998号创客码头四楼；联系人：许冰冰；联系方式：15888079927），也可以在开标时间前送至开标地点（开标地点送交备份投标文件的联系方式：15888079927），未按时送达的自行承担风险。备份投标文件须密封完好，并注明投标人单位名称。投标人未按规定递交的备份投标文件，采购人有权拒收。</w:t>
      </w:r>
    </w:p>
    <w:p>
      <w:pPr>
        <w:spacing w:line="360" w:lineRule="auto"/>
        <w:ind w:firstLine="420" w:firstLineChars="200"/>
        <w:rPr>
          <w:rFonts w:ascii="宋体" w:hAnsi="宋体"/>
          <w:szCs w:val="21"/>
        </w:rPr>
      </w:pPr>
      <w:r>
        <w:rPr>
          <w:rFonts w:hint="eastAsia" w:ascii="宋体" w:hAnsi="宋体"/>
          <w:szCs w:val="21"/>
        </w:rPr>
        <w:t>开标时间：202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r>
        <w:rPr>
          <w:rFonts w:hint="eastAsia" w:ascii="宋体" w:hAnsi="宋体"/>
          <w:szCs w:val="21"/>
          <w:lang w:val="en-US" w:eastAsia="zh-CN"/>
        </w:rPr>
        <w:t>09</w:t>
      </w:r>
      <w:r>
        <w:rPr>
          <w:rFonts w:hint="eastAsia" w:ascii="宋体" w:hAnsi="宋体"/>
          <w:szCs w:val="21"/>
        </w:rPr>
        <w:t>:</w:t>
      </w:r>
      <w:r>
        <w:rPr>
          <w:rFonts w:hint="eastAsia" w:ascii="宋体" w:hAnsi="宋体"/>
          <w:szCs w:val="21"/>
          <w:lang w:val="en-US" w:eastAsia="zh-CN"/>
        </w:rPr>
        <w:t>00</w:t>
      </w:r>
    </w:p>
    <w:p>
      <w:pPr>
        <w:spacing w:line="360" w:lineRule="auto"/>
        <w:ind w:firstLine="420" w:firstLineChars="200"/>
        <w:rPr>
          <w:rFonts w:hint="eastAsia" w:ascii="宋体" w:hAnsi="宋体"/>
          <w:szCs w:val="21"/>
        </w:rPr>
      </w:pPr>
      <w:r>
        <w:rPr>
          <w:rFonts w:hint="eastAsia" w:ascii="宋体" w:hAnsi="宋体"/>
          <w:szCs w:val="21"/>
        </w:rPr>
        <w:t>开标地点（网址）：舟山市新城翁山路555号四楼舟山市公共资源交易中心（大宗商品交易中心同幢西边）</w:t>
      </w:r>
    </w:p>
    <w:p>
      <w:pPr>
        <w:keepNext/>
        <w:keepLines/>
        <w:spacing w:line="360" w:lineRule="auto"/>
        <w:rPr>
          <w:rFonts w:hint="eastAsia" w:ascii="宋体" w:hAnsi="宋体" w:eastAsia="宋体" w:cs="宋体"/>
          <w:bCs/>
          <w:szCs w:val="21"/>
        </w:rPr>
      </w:pPr>
      <w:r>
        <w:rPr>
          <w:rFonts w:hint="eastAsia" w:ascii="宋体" w:hAnsi="宋体" w:eastAsia="宋体" w:cs="宋体"/>
          <w:bCs/>
          <w:szCs w:val="21"/>
        </w:rPr>
        <w:t>五、采购意向公开链接</w:t>
      </w:r>
    </w:p>
    <w:p>
      <w:pPr>
        <w:spacing w:line="360" w:lineRule="auto"/>
        <w:ind w:firstLine="420" w:firstLineChars="200"/>
        <w:rPr>
          <w:rFonts w:hint="eastAsia" w:ascii="宋体" w:hAnsi="宋体" w:cs="宋体"/>
          <w:bCs/>
          <w:szCs w:val="21"/>
        </w:rPr>
      </w:pPr>
      <w:r>
        <w:rPr>
          <w:rFonts w:hint="eastAsia" w:ascii="宋体" w:hAnsi="宋体" w:eastAsia="宋体" w:cs="宋体"/>
          <w:kern w:val="0"/>
          <w:szCs w:val="21"/>
        </w:rPr>
        <w:t>https://zfcg.czt.zj.gov.cn/innerUsed_noticeDetails/index.html?noticeId=8575422&amp;utm=web-government-front.49399a16.0.0.3f2eb440cd3c11ecad5d516b96d82e12</w:t>
      </w:r>
    </w:p>
    <w:p>
      <w:pPr>
        <w:keepNext/>
        <w:keepLines/>
        <w:spacing w:line="360" w:lineRule="auto"/>
        <w:rPr>
          <w:rFonts w:hint="eastAsia" w:ascii="宋体" w:hAnsi="宋体" w:cs="宋体"/>
          <w:bCs/>
          <w:szCs w:val="21"/>
        </w:rPr>
      </w:pPr>
      <w:r>
        <w:rPr>
          <w:rFonts w:hint="eastAsia" w:ascii="宋体" w:hAnsi="宋体" w:cs="宋体"/>
          <w:bCs/>
          <w:szCs w:val="21"/>
          <w:lang w:val="en-US" w:eastAsia="zh-CN"/>
        </w:rPr>
        <w:t>六</w:t>
      </w:r>
      <w:r>
        <w:rPr>
          <w:rFonts w:hint="eastAsia" w:ascii="宋体" w:hAnsi="宋体" w:cs="宋体"/>
          <w:bCs/>
          <w:szCs w:val="21"/>
        </w:rPr>
        <w:t>、公告期限</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自本公告发布之日起5个工作日。</w:t>
      </w:r>
    </w:p>
    <w:p>
      <w:pPr>
        <w:keepNext/>
        <w:keepLines/>
        <w:spacing w:line="360" w:lineRule="auto"/>
        <w:rPr>
          <w:rFonts w:hint="eastAsia" w:ascii="宋体" w:hAnsi="宋体" w:cs="宋体"/>
          <w:bCs/>
          <w:szCs w:val="21"/>
        </w:rPr>
      </w:pPr>
      <w:r>
        <w:rPr>
          <w:rFonts w:hint="eastAsia" w:ascii="宋体" w:hAnsi="宋体" w:cs="宋体"/>
          <w:bCs/>
          <w:szCs w:val="21"/>
          <w:lang w:val="en-US" w:eastAsia="zh-CN"/>
        </w:rPr>
        <w:t>七</w:t>
      </w:r>
      <w:r>
        <w:rPr>
          <w:rFonts w:hint="eastAsia" w:ascii="宋体" w:hAnsi="宋体" w:cs="宋体"/>
          <w:bCs/>
          <w:szCs w:val="21"/>
        </w:rPr>
        <w:t>、其他补充事宜</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pacing w:line="360" w:lineRule="auto"/>
        <w:ind w:firstLine="420" w:firstLineChars="200"/>
        <w:rPr>
          <w:rFonts w:hint="eastAsia" w:ascii="宋体" w:hAnsi="宋体" w:cs="宋体"/>
          <w:kern w:val="0"/>
          <w:szCs w:val="21"/>
        </w:rPr>
      </w:pPr>
      <w:r>
        <w:rPr>
          <w:rFonts w:hint="eastAsia" w:ascii="宋体" w:hAnsi="宋体" w:cs="宋体"/>
          <w:kern w:val="0"/>
          <w:szCs w:val="21"/>
        </w:rPr>
        <w:t>2.其他事项：（1）投标文件的制作及递交：1）投标人须在线获取CA数字证书（完成CA数字证书办理预计一周左右，建议各投标人自行把握时间），并</w:t>
      </w:r>
      <w:r>
        <w:rPr>
          <w:rFonts w:hint="eastAsia" w:ascii="宋体" w:hAnsi="宋体" w:cs="宋体"/>
          <w:kern w:val="0"/>
          <w:szCs w:val="21"/>
          <w:lang w:val="en-US" w:eastAsia="zh-CN"/>
        </w:rPr>
        <w:t>登录</w:t>
      </w:r>
      <w:r>
        <w:rPr>
          <w:rFonts w:hint="eastAsia" w:ascii="宋体" w:hAnsi="宋体" w:cs="宋体"/>
          <w:kern w:val="0"/>
          <w:szCs w:val="21"/>
        </w:rPr>
        <w:t>“浙江政府采购网”（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pPr>
        <w:keepNext/>
        <w:keepLines/>
        <w:spacing w:line="360" w:lineRule="auto"/>
        <w:rPr>
          <w:rFonts w:hint="eastAsia" w:ascii="宋体" w:hAnsi="宋体" w:cs="宋体"/>
          <w:bCs/>
          <w:szCs w:val="21"/>
        </w:rPr>
      </w:pPr>
      <w:r>
        <w:rPr>
          <w:rFonts w:hint="eastAsia" w:ascii="宋体" w:hAnsi="宋体" w:cs="宋体"/>
          <w:bCs/>
          <w:szCs w:val="21"/>
          <w:lang w:val="en-US" w:eastAsia="zh-CN"/>
        </w:rPr>
        <w:t>八</w:t>
      </w:r>
      <w:r>
        <w:rPr>
          <w:rFonts w:hint="eastAsia" w:ascii="宋体" w:hAnsi="宋体" w:cs="宋体"/>
          <w:bCs/>
          <w:szCs w:val="21"/>
        </w:rPr>
        <w:t>、对本次招标提出询问、质疑、投诉，请按以下方式联系</w:t>
      </w:r>
    </w:p>
    <w:p>
      <w:pPr>
        <w:widowControl/>
        <w:spacing w:line="360" w:lineRule="auto"/>
        <w:ind w:firstLine="420" w:firstLineChars="200"/>
        <w:jc w:val="left"/>
        <w:rPr>
          <w:rFonts w:hint="eastAsia" w:ascii="宋体" w:hAnsi="宋体"/>
          <w:szCs w:val="21"/>
        </w:rPr>
      </w:pPr>
      <w:r>
        <w:rPr>
          <w:rFonts w:hint="eastAsia" w:ascii="宋体" w:hAnsi="宋体" w:cs="宋体"/>
          <w:szCs w:val="21"/>
        </w:rPr>
        <w:t>1.采购人信息</w:t>
      </w:r>
    </w:p>
    <w:p>
      <w:pPr>
        <w:spacing w:line="360" w:lineRule="auto"/>
        <w:ind w:firstLine="420" w:firstLineChars="200"/>
        <w:jc w:val="left"/>
        <w:rPr>
          <w:rFonts w:hint="eastAsia" w:ascii="宋体" w:hAnsi="宋体"/>
          <w:szCs w:val="21"/>
        </w:rPr>
      </w:pPr>
      <w:r>
        <w:rPr>
          <w:rFonts w:hint="eastAsia" w:ascii="宋体" w:hAnsi="宋体"/>
          <w:szCs w:val="21"/>
        </w:rPr>
        <w:t>名称：舟山市公安局</w:t>
      </w:r>
    </w:p>
    <w:p>
      <w:pPr>
        <w:spacing w:line="360" w:lineRule="auto"/>
        <w:ind w:firstLine="420" w:firstLineChars="200"/>
        <w:jc w:val="left"/>
        <w:rPr>
          <w:rFonts w:hint="eastAsia" w:ascii="宋体" w:hAnsi="宋体"/>
          <w:szCs w:val="21"/>
        </w:rPr>
      </w:pPr>
      <w:r>
        <w:rPr>
          <w:rFonts w:hint="eastAsia" w:ascii="宋体" w:hAnsi="宋体"/>
          <w:szCs w:val="21"/>
        </w:rPr>
        <w:t>地址：舟山市临城街道千岛路99号</w:t>
      </w:r>
    </w:p>
    <w:p>
      <w:pPr>
        <w:spacing w:line="360" w:lineRule="auto"/>
        <w:ind w:firstLine="420" w:firstLineChars="200"/>
        <w:jc w:val="left"/>
        <w:rPr>
          <w:rFonts w:hint="eastAsia" w:ascii="宋体" w:hAnsi="宋体"/>
          <w:szCs w:val="21"/>
        </w:rPr>
      </w:pPr>
      <w:r>
        <w:rPr>
          <w:rFonts w:hint="eastAsia" w:ascii="宋体" w:hAnsi="宋体"/>
          <w:szCs w:val="21"/>
        </w:rPr>
        <w:t>传真：/</w:t>
      </w:r>
    </w:p>
    <w:p>
      <w:pPr>
        <w:spacing w:line="360" w:lineRule="auto"/>
        <w:ind w:firstLine="420" w:firstLineChars="200"/>
        <w:jc w:val="left"/>
        <w:rPr>
          <w:rFonts w:hint="eastAsia" w:ascii="宋体" w:hAnsi="宋体"/>
          <w:szCs w:val="21"/>
        </w:rPr>
      </w:pPr>
      <w:r>
        <w:rPr>
          <w:rFonts w:hint="eastAsia" w:ascii="宋体" w:hAnsi="宋体"/>
          <w:szCs w:val="21"/>
        </w:rPr>
        <w:t>项目联系人（询问）：陆伟伟</w:t>
      </w:r>
    </w:p>
    <w:p>
      <w:pPr>
        <w:spacing w:line="360" w:lineRule="auto"/>
        <w:ind w:firstLine="420" w:firstLineChars="200"/>
        <w:jc w:val="left"/>
        <w:rPr>
          <w:rFonts w:ascii="宋体" w:hAnsi="宋体"/>
          <w:szCs w:val="21"/>
        </w:rPr>
      </w:pPr>
      <w:r>
        <w:rPr>
          <w:rFonts w:hint="eastAsia" w:ascii="宋体" w:hAnsi="宋体"/>
          <w:szCs w:val="21"/>
        </w:rPr>
        <w:t>项目联系方式（询问）：0580-2072187</w:t>
      </w:r>
    </w:p>
    <w:p>
      <w:pPr>
        <w:spacing w:line="360" w:lineRule="auto"/>
        <w:ind w:firstLine="420" w:firstLineChars="200"/>
        <w:jc w:val="left"/>
        <w:rPr>
          <w:rFonts w:hint="eastAsia" w:ascii="宋体" w:hAnsi="宋体"/>
          <w:szCs w:val="21"/>
        </w:rPr>
      </w:pPr>
      <w:r>
        <w:rPr>
          <w:rFonts w:hint="eastAsia" w:ascii="宋体" w:hAnsi="宋体"/>
          <w:szCs w:val="21"/>
        </w:rPr>
        <w:t>质疑联系人：刘万仓</w:t>
      </w:r>
    </w:p>
    <w:p>
      <w:pPr>
        <w:spacing w:line="360" w:lineRule="auto"/>
        <w:ind w:firstLine="420" w:firstLineChars="200"/>
        <w:jc w:val="left"/>
        <w:rPr>
          <w:rFonts w:hint="eastAsia" w:ascii="宋体" w:hAnsi="宋体"/>
          <w:szCs w:val="21"/>
        </w:rPr>
      </w:pPr>
      <w:r>
        <w:rPr>
          <w:rFonts w:hint="eastAsia" w:ascii="宋体" w:hAnsi="宋体"/>
          <w:szCs w:val="21"/>
        </w:rPr>
        <w:t>质疑联系方式：19858095075</w:t>
      </w:r>
    </w:p>
    <w:p>
      <w:pPr>
        <w:spacing w:line="360" w:lineRule="auto"/>
        <w:ind w:firstLine="420" w:firstLineChars="200"/>
        <w:jc w:val="left"/>
        <w:rPr>
          <w:rFonts w:hint="eastAsia" w:ascii="宋体" w:hAnsi="宋体"/>
          <w:szCs w:val="21"/>
        </w:rPr>
      </w:pPr>
      <w:r>
        <w:rPr>
          <w:rFonts w:hint="eastAsia" w:ascii="宋体" w:hAnsi="宋体" w:cs="宋体"/>
          <w:szCs w:val="21"/>
        </w:rPr>
        <w:t>2.采购代理机构信息</w:t>
      </w:r>
    </w:p>
    <w:p>
      <w:pPr>
        <w:spacing w:line="360" w:lineRule="auto"/>
        <w:ind w:firstLine="420" w:firstLineChars="200"/>
        <w:rPr>
          <w:rFonts w:hint="eastAsia" w:ascii="宋体" w:hAnsi="宋体"/>
          <w:szCs w:val="21"/>
        </w:rPr>
      </w:pPr>
      <w:r>
        <w:rPr>
          <w:rFonts w:hint="eastAsia" w:ascii="宋体" w:hAnsi="宋体"/>
          <w:szCs w:val="21"/>
        </w:rPr>
        <w:t>名称：中金招标有限责任公司</w:t>
      </w:r>
    </w:p>
    <w:p>
      <w:pPr>
        <w:spacing w:line="360" w:lineRule="auto"/>
        <w:ind w:firstLine="420" w:firstLineChars="200"/>
        <w:rPr>
          <w:rFonts w:hint="eastAsia" w:ascii="宋体" w:hAnsi="宋体"/>
          <w:szCs w:val="21"/>
        </w:rPr>
      </w:pPr>
      <w:r>
        <w:rPr>
          <w:rFonts w:hint="eastAsia" w:ascii="宋体" w:hAnsi="宋体"/>
          <w:szCs w:val="21"/>
        </w:rPr>
        <w:t>地址：舟山市新城海天大道998号创客码头四楼</w:t>
      </w:r>
    </w:p>
    <w:p>
      <w:pPr>
        <w:spacing w:line="360" w:lineRule="auto"/>
        <w:ind w:firstLine="420" w:firstLineChars="200"/>
        <w:rPr>
          <w:rFonts w:hint="eastAsia" w:ascii="宋体" w:hAnsi="宋体"/>
          <w:szCs w:val="21"/>
        </w:rPr>
      </w:pPr>
      <w:r>
        <w:rPr>
          <w:rFonts w:hint="eastAsia" w:ascii="宋体" w:hAnsi="宋体"/>
          <w:szCs w:val="21"/>
        </w:rPr>
        <w:t>传真：0580-2083003</w:t>
      </w:r>
    </w:p>
    <w:p>
      <w:pPr>
        <w:spacing w:line="360" w:lineRule="auto"/>
        <w:ind w:firstLine="420" w:firstLineChars="200"/>
        <w:rPr>
          <w:rFonts w:hint="eastAsia" w:ascii="宋体" w:hAnsi="宋体"/>
          <w:szCs w:val="21"/>
        </w:rPr>
      </w:pPr>
      <w:r>
        <w:rPr>
          <w:rFonts w:hint="eastAsia" w:ascii="宋体" w:hAnsi="宋体"/>
          <w:szCs w:val="21"/>
        </w:rPr>
        <w:t>项目联系人（询问）：许冰冰</w:t>
      </w:r>
    </w:p>
    <w:p>
      <w:pPr>
        <w:spacing w:line="360" w:lineRule="auto"/>
        <w:ind w:firstLine="420" w:firstLineChars="200"/>
        <w:rPr>
          <w:rFonts w:ascii="宋体" w:hAnsi="宋体"/>
          <w:szCs w:val="21"/>
        </w:rPr>
      </w:pPr>
      <w:r>
        <w:rPr>
          <w:rFonts w:hint="eastAsia" w:ascii="宋体" w:hAnsi="宋体"/>
          <w:szCs w:val="21"/>
        </w:rPr>
        <w:t>项目联系方式（询问）：0580-2083003，15888079927</w:t>
      </w:r>
    </w:p>
    <w:p>
      <w:pPr>
        <w:spacing w:line="360" w:lineRule="auto"/>
        <w:ind w:firstLine="420" w:firstLineChars="200"/>
        <w:rPr>
          <w:rFonts w:hint="eastAsia" w:ascii="宋体" w:hAnsi="宋体"/>
          <w:szCs w:val="21"/>
        </w:rPr>
      </w:pPr>
      <w:r>
        <w:rPr>
          <w:rFonts w:hint="eastAsia" w:ascii="宋体" w:hAnsi="宋体"/>
          <w:szCs w:val="21"/>
        </w:rPr>
        <w:t>质疑联系人：蔡真鹏</w:t>
      </w:r>
    </w:p>
    <w:p>
      <w:pPr>
        <w:spacing w:line="360" w:lineRule="auto"/>
        <w:ind w:firstLine="420" w:firstLineChars="200"/>
        <w:rPr>
          <w:rFonts w:hint="eastAsia" w:ascii="宋体" w:hAnsi="宋体"/>
          <w:szCs w:val="21"/>
        </w:rPr>
      </w:pPr>
      <w:r>
        <w:rPr>
          <w:rFonts w:hint="eastAsia" w:ascii="宋体" w:hAnsi="宋体"/>
          <w:szCs w:val="21"/>
        </w:rPr>
        <w:t>质疑联系方式：15336811811</w:t>
      </w:r>
    </w:p>
    <w:p>
      <w:pPr>
        <w:spacing w:line="360" w:lineRule="auto"/>
        <w:ind w:firstLine="420" w:firstLineChars="200"/>
        <w:rPr>
          <w:rFonts w:hint="eastAsia" w:ascii="宋体" w:hAnsi="宋体"/>
          <w:szCs w:val="21"/>
        </w:rPr>
      </w:pPr>
      <w:r>
        <w:rPr>
          <w:rFonts w:hint="eastAsia" w:ascii="宋体" w:hAnsi="宋体"/>
          <w:szCs w:val="21"/>
        </w:rPr>
        <w:t>3.同级政府采购监督管理部门</w:t>
      </w:r>
    </w:p>
    <w:p>
      <w:pPr>
        <w:spacing w:line="360" w:lineRule="auto"/>
        <w:ind w:firstLine="420" w:firstLineChars="200"/>
        <w:rPr>
          <w:rFonts w:hint="eastAsia" w:ascii="宋体" w:hAnsi="宋体"/>
          <w:szCs w:val="21"/>
        </w:rPr>
      </w:pPr>
      <w:r>
        <w:rPr>
          <w:rFonts w:hint="eastAsia" w:ascii="宋体" w:hAnsi="宋体"/>
          <w:szCs w:val="21"/>
        </w:rPr>
        <w:t>名称：舟山市财政局政府采购监管处</w:t>
      </w:r>
    </w:p>
    <w:p>
      <w:pPr>
        <w:spacing w:line="360" w:lineRule="auto"/>
        <w:ind w:firstLine="420" w:firstLineChars="200"/>
        <w:rPr>
          <w:rFonts w:hint="eastAsia" w:ascii="宋体" w:hAnsi="宋体"/>
          <w:szCs w:val="21"/>
        </w:rPr>
      </w:pPr>
      <w:r>
        <w:rPr>
          <w:rFonts w:hint="eastAsia" w:ascii="宋体" w:hAnsi="宋体"/>
          <w:szCs w:val="21"/>
        </w:rPr>
        <w:t>地址：舟山市定海区新城海天大道681号</w:t>
      </w:r>
    </w:p>
    <w:p>
      <w:pPr>
        <w:spacing w:line="360" w:lineRule="auto"/>
        <w:ind w:firstLine="420" w:firstLineChars="200"/>
        <w:rPr>
          <w:rFonts w:hint="eastAsia" w:ascii="宋体" w:hAnsi="宋体"/>
          <w:szCs w:val="21"/>
        </w:rPr>
      </w:pPr>
      <w:r>
        <w:rPr>
          <w:rFonts w:hint="eastAsia" w:ascii="宋体" w:hAnsi="宋体"/>
          <w:szCs w:val="21"/>
        </w:rPr>
        <w:t>传真：0580-2282519</w:t>
      </w:r>
    </w:p>
    <w:p>
      <w:pPr>
        <w:spacing w:line="360" w:lineRule="auto"/>
        <w:ind w:firstLine="420" w:firstLineChars="200"/>
        <w:rPr>
          <w:rFonts w:hint="eastAsia" w:ascii="宋体" w:hAnsi="宋体"/>
          <w:szCs w:val="21"/>
        </w:rPr>
      </w:pPr>
      <w:r>
        <w:rPr>
          <w:rFonts w:hint="eastAsia" w:ascii="宋体" w:hAnsi="宋体"/>
          <w:szCs w:val="21"/>
        </w:rPr>
        <w:t>联系人：孙先生</w:t>
      </w:r>
    </w:p>
    <w:p>
      <w:pPr>
        <w:spacing w:line="360" w:lineRule="auto"/>
        <w:ind w:firstLine="420" w:firstLineChars="200"/>
        <w:rPr>
          <w:rFonts w:hint="eastAsia" w:ascii="宋体" w:hAnsi="宋体"/>
          <w:szCs w:val="21"/>
        </w:rPr>
      </w:pPr>
      <w:r>
        <w:rPr>
          <w:rFonts w:hint="eastAsia" w:ascii="宋体" w:hAnsi="宋体"/>
          <w:szCs w:val="21"/>
        </w:rPr>
        <w:t>监督投诉电话：0580-2282519</w:t>
      </w:r>
    </w:p>
    <w:p>
      <w:pPr>
        <w:widowControl/>
        <w:spacing w:line="360" w:lineRule="auto"/>
        <w:jc w:val="left"/>
        <w:rPr>
          <w:rFonts w:hint="eastAsia" w:ascii="宋体" w:hAnsi="宋体" w:cs="仿宋"/>
          <w:color w:val="000000"/>
          <w:kern w:val="0"/>
          <w:szCs w:val="21"/>
          <w:lang w:bidi="ar"/>
        </w:rPr>
      </w:pPr>
    </w:p>
    <w:p>
      <w:pPr>
        <w:widowControl/>
        <w:spacing w:line="360" w:lineRule="auto"/>
        <w:ind w:firstLine="420" w:firstLineChars="200"/>
        <w:rPr>
          <w:rFonts w:hint="eastAsia" w:ascii="宋体" w:hAnsi="宋体" w:cs="仿宋"/>
          <w:color w:val="000000"/>
          <w:szCs w:val="21"/>
        </w:rPr>
      </w:pPr>
      <w:r>
        <w:rPr>
          <w:rFonts w:hint="eastAsia" w:ascii="宋体" w:hAnsi="宋体" w:cs="仿宋"/>
          <w:color w:val="000000"/>
          <w:kern w:val="0"/>
          <w:szCs w:val="21"/>
          <w:lang w:bidi="ar"/>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spacing w:line="360" w:lineRule="auto"/>
        <w:jc w:val="center"/>
        <w:outlineLvl w:val="0"/>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第二章  采购需求</w:t>
      </w:r>
    </w:p>
    <w:p>
      <w:pPr>
        <w:spacing w:line="360" w:lineRule="auto"/>
        <w:outlineLvl w:val="0"/>
        <w:rPr>
          <w:rFonts w:ascii="宋体" w:hAnsi="宋体" w:cs="宋体"/>
          <w:b/>
          <w:bCs/>
          <w:szCs w:val="21"/>
        </w:rPr>
      </w:pPr>
      <w:bookmarkStart w:id="4" w:name="_Toc263083258"/>
      <w:bookmarkStart w:id="5" w:name="_Toc517442217"/>
      <w:bookmarkStart w:id="6" w:name="_Toc15530"/>
      <w:bookmarkStart w:id="7" w:name="_Toc6305"/>
      <w:bookmarkStart w:id="8" w:name="_Toc37423705"/>
      <w:r>
        <w:rPr>
          <w:rFonts w:hint="eastAsia" w:ascii="宋体" w:hAnsi="宋体" w:cs="宋体"/>
          <w:b/>
          <w:bCs/>
          <w:szCs w:val="21"/>
        </w:rPr>
        <w:t>一、投标人需知</w:t>
      </w:r>
    </w:p>
    <w:p>
      <w:pPr>
        <w:spacing w:line="360" w:lineRule="auto"/>
        <w:ind w:firstLine="420" w:firstLineChars="200"/>
        <w:rPr>
          <w:rFonts w:hint="eastAsia" w:ascii="宋体" w:hAnsi="宋体"/>
          <w:color w:val="000000"/>
          <w:szCs w:val="21"/>
        </w:rPr>
      </w:pPr>
      <w:r>
        <w:rPr>
          <w:rFonts w:hint="eastAsia" w:ascii="宋体" w:hAnsi="宋体"/>
          <w:color w:val="000000"/>
          <w:szCs w:val="21"/>
        </w:rPr>
        <w:t>1、投标人应提供所代表品牌厂商原装、全新的、符合国家及用户提出的有关质量标准的设备和产品。</w:t>
      </w:r>
    </w:p>
    <w:p>
      <w:pPr>
        <w:spacing w:line="360" w:lineRule="auto"/>
        <w:ind w:firstLine="420" w:firstLineChars="200"/>
        <w:rPr>
          <w:rFonts w:hint="eastAsia" w:ascii="宋体" w:hAnsi="宋体"/>
          <w:color w:val="000000"/>
          <w:szCs w:val="21"/>
        </w:rPr>
      </w:pPr>
      <w:r>
        <w:rPr>
          <w:rFonts w:hint="eastAsia" w:ascii="宋体" w:hAnsi="宋体"/>
          <w:color w:val="000000"/>
          <w:szCs w:val="21"/>
        </w:rPr>
        <w:t>2、如果因为所代表品牌厂商无法提供的原因而提供其他品牌的设备/部件，投标人应明确说明并提出质量保证承诺。</w:t>
      </w:r>
    </w:p>
    <w:p>
      <w:pPr>
        <w:spacing w:line="360" w:lineRule="auto"/>
        <w:ind w:firstLine="420" w:firstLineChars="200"/>
        <w:rPr>
          <w:rFonts w:hint="eastAsia" w:ascii="宋体" w:hAnsi="宋体"/>
          <w:color w:val="000000"/>
          <w:szCs w:val="21"/>
        </w:rPr>
      </w:pPr>
      <w:r>
        <w:rPr>
          <w:rFonts w:hint="eastAsia" w:ascii="宋体" w:hAnsi="宋体"/>
          <w:color w:val="000000"/>
          <w:szCs w:val="21"/>
        </w:rPr>
        <w:t>3、所有设备、器材在开箱检验时必须完好，无破损，配置与装箱单相符。数量、质量及性能不低于本方案中提出的指标要求（标有“▲”的要求）。</w:t>
      </w:r>
    </w:p>
    <w:p>
      <w:pPr>
        <w:spacing w:line="360" w:lineRule="auto"/>
        <w:ind w:firstLine="420" w:firstLineChars="200"/>
        <w:rPr>
          <w:rFonts w:hint="eastAsia" w:ascii="宋体" w:hAnsi="宋体"/>
          <w:color w:val="000000"/>
          <w:szCs w:val="21"/>
        </w:rPr>
      </w:pPr>
      <w:r>
        <w:rPr>
          <w:rFonts w:hint="eastAsia" w:ascii="宋体" w:hAnsi="宋体"/>
          <w:color w:val="000000"/>
          <w:szCs w:val="21"/>
        </w:rPr>
        <w:t>4、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pPr>
        <w:spacing w:line="360" w:lineRule="auto"/>
        <w:ind w:firstLine="420" w:firstLineChars="200"/>
        <w:rPr>
          <w:rFonts w:hint="eastAsia" w:ascii="宋体" w:hAnsi="宋体"/>
          <w:color w:val="000000"/>
          <w:szCs w:val="21"/>
        </w:rPr>
      </w:pPr>
      <w:r>
        <w:rPr>
          <w:rFonts w:hint="eastAsia" w:ascii="宋体" w:hAnsi="宋体"/>
          <w:color w:val="000000"/>
          <w:szCs w:val="21"/>
        </w:rPr>
        <w:t>5、投标人在投标文件中建议提供的设备必须给出具体的选型说明，所选设备必须是新制造的先进产品，并提供有关产品说明，这些选型说明和证明文件应以附件形式在投标文件中列出。所提供的说明书必须能反映投标人在设备配置技术要求中建议的指标。</w:t>
      </w:r>
    </w:p>
    <w:p>
      <w:pPr>
        <w:spacing w:line="360" w:lineRule="auto"/>
        <w:ind w:firstLine="420" w:firstLineChars="200"/>
        <w:rPr>
          <w:rFonts w:hint="eastAsia" w:ascii="宋体" w:hAnsi="宋体"/>
          <w:color w:val="000000"/>
          <w:szCs w:val="21"/>
        </w:rPr>
      </w:pPr>
      <w:r>
        <w:rPr>
          <w:rFonts w:hint="eastAsia" w:ascii="宋体" w:hAnsi="宋体"/>
          <w:color w:val="000000"/>
          <w:szCs w:val="21"/>
        </w:rPr>
        <w:t>6、投标人投标时所提供的设备如在实际供货时已经废型（不列入该厂家当时的产品系统），如果未能按原价提供更高配置的设备，则按违约处理。</w:t>
      </w:r>
    </w:p>
    <w:p>
      <w:pPr>
        <w:spacing w:line="360" w:lineRule="auto"/>
        <w:ind w:firstLine="420" w:firstLineChars="200"/>
        <w:rPr>
          <w:rFonts w:hint="eastAsia" w:ascii="宋体" w:hAnsi="宋体"/>
          <w:color w:val="000000"/>
          <w:szCs w:val="21"/>
        </w:rPr>
      </w:pPr>
      <w:r>
        <w:rPr>
          <w:rFonts w:hint="eastAsia" w:ascii="宋体" w:hAnsi="宋体"/>
          <w:color w:val="000000"/>
          <w:szCs w:val="21"/>
        </w:rPr>
        <w:t>7、现场勘察</w:t>
      </w:r>
    </w:p>
    <w:p>
      <w:pPr>
        <w:spacing w:line="360" w:lineRule="auto"/>
        <w:ind w:firstLine="420" w:firstLineChars="200"/>
        <w:rPr>
          <w:rFonts w:hint="eastAsia" w:ascii="宋体" w:hAnsi="宋体"/>
          <w:color w:val="000000"/>
          <w:szCs w:val="21"/>
        </w:rPr>
      </w:pPr>
      <w:r>
        <w:rPr>
          <w:rFonts w:hint="eastAsia" w:ascii="宋体" w:hAnsi="宋体"/>
          <w:color w:val="000000"/>
          <w:szCs w:val="21"/>
        </w:rPr>
        <w:t>7.1为使投标人对本采购项目情况有所了解，</w:t>
      </w:r>
      <w:r>
        <w:rPr>
          <w:rFonts w:hint="eastAsia" w:ascii="宋体" w:hAnsi="宋体"/>
          <w:b/>
          <w:bCs/>
          <w:color w:val="000000"/>
          <w:szCs w:val="21"/>
        </w:rPr>
        <w:t>投标人自行组织对项目所在场地及周围环境进行现场勘察</w:t>
      </w:r>
      <w:r>
        <w:rPr>
          <w:rFonts w:hint="eastAsia" w:ascii="宋体" w:hAnsi="宋体"/>
          <w:color w:val="000000"/>
          <w:szCs w:val="21"/>
        </w:rPr>
        <w:t>，以便获取由投标人自行负责编制投标文件和签订合同所需的一切资料。现场勘察所发生的费用由投标人自行承担。</w:t>
      </w:r>
    </w:p>
    <w:p>
      <w:pPr>
        <w:spacing w:line="360" w:lineRule="auto"/>
        <w:ind w:firstLine="420" w:firstLineChars="200"/>
        <w:rPr>
          <w:rFonts w:hint="eastAsia" w:ascii="宋体" w:hAnsi="宋体"/>
          <w:color w:val="000000"/>
          <w:szCs w:val="21"/>
        </w:rPr>
      </w:pPr>
      <w:r>
        <w:rPr>
          <w:rFonts w:hint="eastAsia" w:ascii="宋体" w:hAnsi="宋体"/>
          <w:color w:val="000000"/>
          <w:szCs w:val="21"/>
        </w:rPr>
        <w:t>7.2现场勘察完毕，将认为投标人已了解现场情况，并充分理解了为之所承担的风险、义务和责任。</w:t>
      </w:r>
    </w:p>
    <w:p>
      <w:pPr>
        <w:spacing w:line="360" w:lineRule="auto"/>
        <w:ind w:firstLine="420" w:firstLineChars="200"/>
        <w:jc w:val="left"/>
        <w:rPr>
          <w:rFonts w:hint="eastAsia" w:ascii="宋体" w:hAnsi="宋体"/>
          <w:bCs/>
          <w:szCs w:val="21"/>
        </w:rPr>
      </w:pPr>
      <w:r>
        <w:rPr>
          <w:rFonts w:hint="eastAsia" w:ascii="宋体" w:hAnsi="宋体"/>
          <w:color w:val="000000"/>
          <w:szCs w:val="21"/>
        </w:rPr>
        <w:t>7.3在现场勘察过程中，投标人应承担在此期间所造成的人身伤害、财产损失或损坏的责任，无论何种原因所造成，采购人均不负责，如由此导致采购人承担责任的，采购人有权向该投标人行使追偿权</w:t>
      </w:r>
      <w:r>
        <w:rPr>
          <w:rFonts w:hint="eastAsia" w:ascii="宋体" w:hAnsi="宋体"/>
          <w:bCs/>
          <w:szCs w:val="21"/>
        </w:rPr>
        <w:t>。</w:t>
      </w:r>
    </w:p>
    <w:p>
      <w:pPr>
        <w:spacing w:line="360" w:lineRule="auto"/>
        <w:outlineLvl w:val="0"/>
        <w:rPr>
          <w:rFonts w:hint="eastAsia" w:ascii="宋体" w:hAnsi="宋体" w:cs="宋体"/>
          <w:b/>
          <w:bCs/>
          <w:szCs w:val="21"/>
        </w:rPr>
      </w:pPr>
      <w:r>
        <w:rPr>
          <w:rFonts w:hint="eastAsia" w:ascii="宋体" w:hAnsi="宋体" w:cs="宋体"/>
          <w:b/>
          <w:bCs/>
          <w:szCs w:val="21"/>
        </w:rPr>
        <w:t>二、项目名称</w:t>
      </w:r>
    </w:p>
    <w:p>
      <w:pPr>
        <w:spacing w:line="360" w:lineRule="auto"/>
        <w:ind w:firstLine="420" w:firstLineChars="200"/>
        <w:rPr>
          <w:rFonts w:hint="eastAsia" w:ascii="宋体" w:hAnsi="宋体" w:cs="宋体"/>
          <w:szCs w:val="21"/>
        </w:rPr>
      </w:pPr>
      <w:r>
        <w:rPr>
          <w:rFonts w:hint="eastAsia" w:ascii="宋体" w:hAnsi="宋体" w:cs="宋体"/>
          <w:szCs w:val="21"/>
        </w:rPr>
        <w:t>舟山市公安局执法办案管理中心改扩建工程（信息化部分）项目</w:t>
      </w:r>
    </w:p>
    <w:p>
      <w:pPr>
        <w:spacing w:line="360" w:lineRule="auto"/>
        <w:outlineLvl w:val="0"/>
        <w:rPr>
          <w:rFonts w:hint="eastAsia" w:ascii="宋体" w:hAnsi="宋体" w:cs="宋体"/>
          <w:b/>
          <w:bCs/>
          <w:szCs w:val="21"/>
        </w:rPr>
      </w:pPr>
      <w:r>
        <w:rPr>
          <w:rFonts w:hint="eastAsia" w:ascii="宋体" w:hAnsi="宋体" w:cs="宋体"/>
          <w:b/>
          <w:bCs/>
          <w:szCs w:val="21"/>
        </w:rPr>
        <w:t>三、项目概述</w:t>
      </w:r>
    </w:p>
    <w:p>
      <w:pPr>
        <w:widowControl/>
        <w:shd w:val="clear" w:color="auto" w:fill="FFFFFF"/>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1、项目背景</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近年来，全国公安机关强力推进执法规范化建设，以法治思维定制度，以规范制度约束民警，全面打造法治公安新形象。</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当前我国已将执法规范化作为“依法治国”基本方略中的一项重点工作，紧锣密鼓地大力推进。可以说，执法规范化建设已上升为公安机关未来发展的重大战略布局，同时执法规范化也契合了当前全面依法治国、法治中国建设的要求，回应了人民群众的关切，因此中央、国家层面频频出台相关政策，在完善执法制度机制方面，细化执法标准和指引，为公安民警提供健全、完备、可操作的执法指引；在完善执法监督管理体系方面，强化执法质量管控，加强对办案环节的监督；在深化执法信息化建设方面，完善公安机关统一应用的执法办案信息系统，全面实现网上办案；建立健全执法全流程记录机制，全面推行执法活动视音频记录制度。</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法规范化已成为我国当前“依法治国”基本方略中的一项重点工作，正在紧锣密鼓地大力推进。可以说，执法规范化建设已上升为公安机关未来发展的重大战略布局，同时执法规范化也契合了当前全面依法治国、法治中国建设的要求，回应了人民群众的关切，因此在公安信息化发展的基础上，舟山市公安局计划建设完成的执法监督一体化平台可以在利用科技手段有效减轻民警负担的同时，提高执法规范化建设水平。</w:t>
      </w:r>
    </w:p>
    <w:p>
      <w:pPr>
        <w:widowControl/>
        <w:numPr>
          <w:ilvl w:val="0"/>
          <w:numId w:val="1"/>
        </w:numPr>
        <w:shd w:val="clear" w:color="auto" w:fill="FFFFFF"/>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项目建设必要性</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近几年来，虽然公安机关开展了“规范执法行为，促进执法公正”、“大讨论”、“大练兵”、“大接访”、“三考”活动和“三基”工程建设，执法规范化建设取得了长足的进步。但是由于历史和现实的原因，公安机关还存在着执法思想不端正、执法主体不规范、执法素质不过硬、执法制度不落实、执法方式不得当、执法管理不科学、执法监督不生效等问题，在一定程度上影响了社会公平正义，危害了公安机关的执法公信力，损害了公安队伍的形象。为此，全面推进执法规范化建设工作，确保严格、公正、文明、理性执法，意义尤为重大。</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2.1执法办案场所，规范执法办案的需要</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舟山市执法办案管理中心改扩建工程，严格按照“四个一律”工作要求，统一办案流程，规范分局民警办案行为。并通过物防、人防、技防相结合，最大限度避免因管理机制不到位导致嫌疑人自杀、自残、脱逃、行凶等执法安全事故发生，确保执法安全；进一步规范人身安全检查、信息采集涉案物品、扣押、随身物品代为保管、候问、讯（询）问、辨认等办案程序和标准，适应“以审判为中心”的诉讼制度改革，避免取举证不规范导致收集的证据被作为非法证据排除，确保每一起案件都经得起司法检验，提高证据收集合法性的证明能力。</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 xml:space="preserve">2.2减轻民警工作负担，提高执法效率的需要 </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舟山市执法办案管理中心改扩建工程，实现执法办案数据一次录入、自动复用、自动上传、关联案件，办案区内人员轨迹音视频及电子卷宗数据“一人一包”自动抓取并一键式自动快速刻录、打包、标准化保存、关联查询等功能，注重有效性和针对性，减少警力损耗，减轻办案民警和办案区管理人员工作负担，避免重复劳动，提高日常办案效能。</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2.3执法全过程留痕，可回溯管理的需要</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通过舟山市执法办案管理中心改扩建工程，建立健全基于同步录音录像、执法文字记录、电子签章的执法全过程数据化记录工作机制，形成业务流程清晰、数据链条完整、数据安全有保障的数字化记录信息归档管理制度；充分发挥全过程记录信息对案卷评查、执法监督、评议考核和舆情应对等工作的积极作用，通过统计分析记录资料信息，发现执法薄弱环节，改进执法工作，依法公正维护执法人员和执法相对人的合法权益。</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2.4消除信息孤岛，提升合成作战效能的需要</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通过舟山市执法办案管理中心改扩建工程，实现执法办案管理中心平台与执法办案平台、警综平台、督察系统、110接处警平台以及人像识别系统的对接和数据自动抽取、推送，打破数据壁垒，实现资源共通共享；实施情报先导侦查策略，用活、用实、用深各类数据信息，提升“违法犯罪嫌疑人被抓获后黄金48小时”审讯效果，提升打击违法犯罪效能。</w:t>
      </w:r>
    </w:p>
    <w:p>
      <w:pPr>
        <w:widowControl/>
        <w:shd w:val="clear" w:color="auto" w:fill="FFFFFF"/>
        <w:spacing w:line="360" w:lineRule="auto"/>
        <w:ind w:firstLine="420" w:firstLineChars="200"/>
        <w:rPr>
          <w:rFonts w:hint="eastAsia" w:ascii="宋体" w:hAnsi="宋体" w:eastAsia="宋体" w:cs="宋体"/>
          <w:szCs w:val="21"/>
        </w:rPr>
      </w:pPr>
      <w:r>
        <w:rPr>
          <w:rFonts w:hint="eastAsia" w:ascii="宋体" w:hAnsi="宋体" w:eastAsia="宋体" w:cs="宋体"/>
          <w:szCs w:val="21"/>
        </w:rPr>
        <w:t>2.5卷宗、物证管控信息化、可视化的需要</w:t>
      </w:r>
    </w:p>
    <w:p>
      <w:pPr>
        <w:widowControl/>
        <w:shd w:val="clear" w:color="auto" w:fill="FFFFFF"/>
        <w:spacing w:line="360" w:lineRule="auto"/>
        <w:ind w:firstLine="420" w:firstLineChars="200"/>
        <w:rPr>
          <w:rFonts w:hint="eastAsia" w:ascii="宋体" w:hAnsi="宋体" w:cs="宋体"/>
          <w:szCs w:val="21"/>
        </w:rPr>
      </w:pPr>
      <w:r>
        <w:rPr>
          <w:rFonts w:hint="eastAsia" w:ascii="宋体" w:hAnsi="宋体" w:eastAsia="宋体" w:cs="宋体"/>
          <w:szCs w:val="21"/>
        </w:rPr>
        <w:t>通过舟山市执法办案管理中心改扩建工程，实现对分局所负责办理的每一个案卷进行“一案一码”式的识别标记，并对卷宗接触、归还、移交等过程全程记录，防止超期办案，自动生成案管台账；按照物证日常的入库、存储、查询、借出、归还、移交、销毁等具体业务，对物证流通的每个环节进行数据采集、实时监控和动态管理，实现物证业务办理的自动化，减少每个环节流通中的差错率。</w:t>
      </w:r>
    </w:p>
    <w:p>
      <w:pPr>
        <w:spacing w:line="360" w:lineRule="auto"/>
        <w:outlineLvl w:val="0"/>
        <w:rPr>
          <w:rFonts w:hint="eastAsia" w:ascii="宋体" w:hAnsi="宋体" w:cs="宋体"/>
          <w:b/>
          <w:bCs/>
          <w:szCs w:val="21"/>
        </w:rPr>
      </w:pPr>
      <w:r>
        <w:rPr>
          <w:rFonts w:hint="eastAsia" w:ascii="宋体" w:hAnsi="宋体" w:cs="宋体"/>
          <w:b/>
          <w:bCs/>
          <w:szCs w:val="21"/>
        </w:rPr>
        <w:t>四、需求分析与建设目标</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1、</w:t>
      </w:r>
      <w:bookmarkStart w:id="9" w:name="_Toc89937756"/>
      <w:r>
        <w:rPr>
          <w:rFonts w:hint="eastAsia" w:ascii="宋体" w:hAnsi="宋体" w:eastAsia="宋体" w:cs="宋体"/>
          <w:b/>
          <w:bCs/>
          <w:szCs w:val="21"/>
        </w:rPr>
        <w:t>办案区管理</w:t>
      </w:r>
      <w:bookmarkEnd w:id="9"/>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通过建设执法办案区智能管理系统，实现规范化运作，符合公安部执法办案“四个一律”要求，全面提高办案区域的规范管理水平，充分实现规范化、标准化、流程化的执法办案，确保办案的可靠和高效。</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2、</w:t>
      </w:r>
      <w:bookmarkStart w:id="10" w:name="_Toc89937757"/>
      <w:r>
        <w:rPr>
          <w:rFonts w:hint="eastAsia" w:ascii="宋体" w:hAnsi="宋体" w:eastAsia="宋体" w:cs="宋体"/>
          <w:b/>
          <w:bCs/>
          <w:szCs w:val="21"/>
        </w:rPr>
        <w:t>监督管理</w:t>
      </w:r>
      <w:bookmarkEnd w:id="10"/>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本次项目建设的执法办案管理系统，通过对办案过程中警、案、人、物、卷、场等关键要素的集约化、信息化监督管理，加强对执法风险点的管控，及时发现、解决突出执法问题。实现对受立案的源头管理、全面覆盖、实时跟踪、违规报警、执法数据分析，创新建立有力的服务保障机制、严密的监督管理机制、客观的数据研判机制、完善的教育培训机制、科学的考核评价机制、即时的指挥作战机制。</w:t>
      </w:r>
    </w:p>
    <w:p>
      <w:pPr>
        <w:spacing w:line="360" w:lineRule="auto"/>
        <w:ind w:firstLine="422" w:firstLineChars="200"/>
        <w:rPr>
          <w:rFonts w:hint="eastAsia" w:ascii="宋体" w:hAnsi="宋体" w:eastAsia="宋体" w:cs="宋体"/>
          <w:b/>
          <w:bCs/>
          <w:szCs w:val="21"/>
        </w:rPr>
      </w:pPr>
      <w:r>
        <w:rPr>
          <w:rFonts w:hint="eastAsia" w:ascii="宋体" w:hAnsi="宋体" w:eastAsia="宋体" w:cs="宋体"/>
          <w:b/>
          <w:bCs/>
          <w:szCs w:val="21"/>
        </w:rPr>
        <w:t>3、辅助办案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当前民警办案仍旧存在办案效率压力和民警警力不足的现象,而执法办案管理中心人员在辅助民警完成办案环节沟通等方面的作用日益突出,中心人员作为办案民警不可或缺的重要辅助力量，其对于保障社会秩序、促进和谐稳定起到了非常积极的作用。但由于中心人员在辅助民警办案过程中不如民警严格，因此必须对其辅助工作提供有效的管理与支持。根据用户群体需求，梳理如下：</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3.1民警：需要为民警授权中心人员完成部分环节的办理提供支持，并对结果进行确认；需要为民警查询查看基层单位、警种提供的办案材料提供支持。</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3.2中心人员：需要为中心人员进行邮件代办、法律援助代办、辅助预约、股价坚定、代理接收等提供支持，提升中心人员代办效率与代办规范化。</w:t>
      </w:r>
    </w:p>
    <w:p>
      <w:pPr>
        <w:spacing w:line="360" w:lineRule="auto"/>
        <w:ind w:firstLine="420" w:firstLineChars="200"/>
        <w:rPr>
          <w:rFonts w:hint="eastAsia" w:ascii="宋体" w:hAnsi="宋体" w:cs="宋体"/>
          <w:szCs w:val="21"/>
        </w:rPr>
      </w:pPr>
      <w:r>
        <w:rPr>
          <w:rFonts w:hint="eastAsia" w:ascii="宋体" w:hAnsi="宋体" w:eastAsia="宋体" w:cs="宋体"/>
          <w:szCs w:val="21"/>
        </w:rPr>
        <w:t>3.3基层单位：需要为基层单位接收民警办案诉求，上传反馈资料等提供支持，便捷其与民警、中心人员的沟通交流。</w:t>
      </w:r>
    </w:p>
    <w:p>
      <w:pPr>
        <w:spacing w:line="360" w:lineRule="auto"/>
        <w:outlineLvl w:val="0"/>
        <w:rPr>
          <w:rFonts w:ascii="宋体" w:hAnsi="宋体" w:cs="宋体"/>
          <w:b/>
          <w:bCs/>
          <w:szCs w:val="21"/>
        </w:rPr>
      </w:pPr>
      <w:r>
        <w:rPr>
          <w:rFonts w:hint="eastAsia" w:ascii="宋体" w:hAnsi="宋体" w:cs="宋体"/>
          <w:b/>
          <w:bCs/>
          <w:szCs w:val="21"/>
        </w:rPr>
        <w:t>五、采购清单及技术要求</w:t>
      </w:r>
    </w:p>
    <w:p>
      <w:pPr>
        <w:spacing w:line="360" w:lineRule="auto"/>
        <w:ind w:firstLine="420" w:firstLineChars="200"/>
        <w:rPr>
          <w:rFonts w:hint="eastAsia" w:ascii="宋体" w:hAnsi="宋体" w:cs="宋体"/>
          <w:szCs w:val="21"/>
        </w:rPr>
      </w:pPr>
      <w:r>
        <w:rPr>
          <w:rFonts w:hint="eastAsia" w:ascii="宋体" w:hAnsi="宋体" w:cs="宋体"/>
          <w:szCs w:val="21"/>
        </w:rPr>
        <w:t>详见附表</w:t>
      </w:r>
    </w:p>
    <w:p>
      <w:pPr>
        <w:spacing w:line="360" w:lineRule="auto"/>
        <w:outlineLvl w:val="0"/>
        <w:rPr>
          <w:rFonts w:hint="eastAsia" w:ascii="宋体" w:hAnsi="宋体" w:cs="宋体"/>
          <w:b/>
          <w:bCs/>
          <w:szCs w:val="21"/>
        </w:rPr>
      </w:pPr>
      <w:r>
        <w:rPr>
          <w:rFonts w:hint="eastAsia" w:ascii="宋体" w:hAnsi="宋体" w:cs="宋体"/>
          <w:b/>
          <w:bCs/>
          <w:szCs w:val="21"/>
        </w:rPr>
        <w:t>六、商务要求</w:t>
      </w:r>
    </w:p>
    <w:p>
      <w:pPr>
        <w:spacing w:line="360" w:lineRule="auto"/>
        <w:ind w:firstLine="420" w:firstLineChars="200"/>
        <w:rPr>
          <w:rFonts w:hint="eastAsia" w:ascii="宋体" w:hAnsi="宋体" w:cs="宋体"/>
          <w:szCs w:val="21"/>
        </w:rPr>
      </w:pPr>
      <w:r>
        <w:rPr>
          <w:rFonts w:hint="eastAsia" w:ascii="宋体" w:hAnsi="宋体" w:cs="宋体"/>
          <w:szCs w:val="21"/>
        </w:rPr>
        <w:t>1、中标方提供的所有设备、软件等所涉及到的知识产权和所提供的技术资料是合法取得，并享有完整的知识产权，不会因为采购方的使用而被责令停止使用、追偿或者要求赔偿，如出现上述问题，一切经济损失和法律责任均由中标方承担。投标方所投标平台项目内各系统若采用第三方软件，投标方需提供满足舟山市公安局需要的正版授权，采购方不承担该项费用，也不再另行采购。投标方必须保证第三方软件的售后同质化。</w:t>
      </w:r>
    </w:p>
    <w:p>
      <w:pPr>
        <w:spacing w:line="360" w:lineRule="auto"/>
        <w:ind w:firstLine="420" w:firstLineChars="200"/>
        <w:rPr>
          <w:rFonts w:hint="eastAsia" w:ascii="宋体" w:hAnsi="宋体" w:cs="宋体"/>
          <w:szCs w:val="21"/>
        </w:rPr>
      </w:pPr>
      <w:r>
        <w:rPr>
          <w:rFonts w:hint="eastAsia" w:ascii="宋体" w:hAnsi="宋体" w:cs="宋体"/>
          <w:szCs w:val="21"/>
        </w:rPr>
        <w:t>2、实施要求：投标人应负责按合同中规定的建设项目内容完成硬件设计部署，并保证按合同相关要求按时完成硬件及后台相关系统设备安装、调试、运行等工作；施工期间，投标人应遵守有关部门的管理，并遵照相关的规定。系统设备安装（包括所使用的设备、材料、布线方法、安装工艺、调试开通等）必须符合国家、行业法规和规范要求（LED屏采用铝合金包边工艺；综合布线按采购人要求布置到各信息点位）。在施工中应做好对其他设施的保护，凡造成人员受伤、设施及设备损坏的，一律由投标人负责赔偿；提供的设备、配件必须提供随机资料（说明书、合格证、图纸、保修单及操作保养等资料），其他附件及材料必须符合国家有关标准。</w:t>
      </w:r>
    </w:p>
    <w:p>
      <w:pPr>
        <w:spacing w:line="360" w:lineRule="auto"/>
        <w:ind w:firstLine="420" w:firstLineChars="200"/>
        <w:rPr>
          <w:rFonts w:hint="eastAsia" w:ascii="宋体" w:hAnsi="宋体" w:cs="宋体"/>
          <w:szCs w:val="21"/>
        </w:rPr>
      </w:pPr>
      <w:r>
        <w:rPr>
          <w:rFonts w:hint="eastAsia" w:ascii="宋体" w:hAnsi="宋体" w:cs="宋体"/>
          <w:szCs w:val="21"/>
        </w:rPr>
        <w:t>3、测试要求：投标人应按照合同要求测试所有硬件，负责合同中所有软硬件的现场部署、现场验收测试。</w:t>
      </w:r>
    </w:p>
    <w:p>
      <w:pPr>
        <w:spacing w:line="360" w:lineRule="auto"/>
        <w:ind w:firstLine="420" w:firstLineChars="200"/>
        <w:rPr>
          <w:rFonts w:hint="eastAsia" w:ascii="宋体" w:hAnsi="宋体" w:cs="宋体"/>
          <w:szCs w:val="21"/>
        </w:rPr>
      </w:pPr>
      <w:r>
        <w:rPr>
          <w:rFonts w:hint="eastAsia" w:ascii="宋体" w:hAnsi="宋体" w:cs="宋体"/>
          <w:szCs w:val="21"/>
        </w:rPr>
        <w:t>4、验收要求：</w:t>
      </w:r>
    </w:p>
    <w:p>
      <w:pPr>
        <w:spacing w:line="360" w:lineRule="auto"/>
        <w:ind w:firstLine="420" w:firstLineChars="200"/>
        <w:rPr>
          <w:rFonts w:hint="eastAsia" w:ascii="宋体" w:hAnsi="宋体" w:cs="宋体"/>
          <w:szCs w:val="21"/>
        </w:rPr>
      </w:pPr>
      <w:r>
        <w:rPr>
          <w:rFonts w:hint="eastAsia" w:ascii="宋体" w:hAnsi="宋体" w:cs="宋体"/>
          <w:szCs w:val="21"/>
        </w:rPr>
        <w:t>4.1本项目要求在合同签订后6个月内完成全部相关软件系统研发和硬件设备的安装调试并通过项目初验，试运行3个月后系统稳定无故障，可申请项目终验。</w:t>
      </w:r>
    </w:p>
    <w:p>
      <w:pPr>
        <w:spacing w:line="360" w:lineRule="auto"/>
        <w:ind w:firstLine="420" w:firstLineChars="200"/>
        <w:rPr>
          <w:rFonts w:hint="eastAsia" w:ascii="宋体" w:hAnsi="宋体" w:cs="宋体"/>
          <w:szCs w:val="21"/>
        </w:rPr>
      </w:pPr>
      <w:r>
        <w:rPr>
          <w:rFonts w:hint="eastAsia" w:ascii="宋体" w:hAnsi="宋体" w:cs="宋体"/>
          <w:szCs w:val="21"/>
        </w:rPr>
        <w:t>4.2通过测试判断产品质量是否符合产品需求、功能实现是否正确，性能方面是否符合运行要求，并且产品可以最终上线。</w:t>
      </w:r>
    </w:p>
    <w:p>
      <w:pPr>
        <w:spacing w:line="360" w:lineRule="auto"/>
        <w:ind w:firstLine="420" w:firstLineChars="200"/>
        <w:rPr>
          <w:rFonts w:hint="eastAsia" w:ascii="宋体" w:hAnsi="宋体" w:cs="宋体"/>
          <w:szCs w:val="21"/>
        </w:rPr>
      </w:pPr>
      <w:r>
        <w:rPr>
          <w:rFonts w:hint="eastAsia" w:ascii="宋体" w:hAnsi="宋体" w:cs="宋体"/>
          <w:szCs w:val="21"/>
        </w:rPr>
        <w:t>4.3采购人负责组织验收小组及第三方监理单位共同参与项目验收。</w:t>
      </w:r>
    </w:p>
    <w:p>
      <w:pPr>
        <w:spacing w:line="360" w:lineRule="auto"/>
        <w:ind w:firstLine="420" w:firstLineChars="200"/>
        <w:rPr>
          <w:rFonts w:hint="eastAsia" w:ascii="宋体" w:hAnsi="宋体" w:cs="宋体"/>
          <w:szCs w:val="21"/>
        </w:rPr>
      </w:pPr>
      <w:r>
        <w:rPr>
          <w:rFonts w:hint="eastAsia" w:ascii="宋体" w:hAnsi="宋体" w:cs="宋体"/>
          <w:szCs w:val="21"/>
        </w:rPr>
        <w:t>4.4供货安装完成后，中标供应商应该向采购人提交申请验收报告，并且提供主要货物的出厂合格证书（或报告）、系统检测报告、集成检测报告等完整的技术档案资料，若中标供应商未能按照上述要求履行的，导致无法及时验收的，则须由中标供应商承担一切责任。</w:t>
      </w:r>
    </w:p>
    <w:p>
      <w:pPr>
        <w:spacing w:line="360" w:lineRule="auto"/>
        <w:ind w:firstLine="420" w:firstLineChars="200"/>
        <w:rPr>
          <w:rFonts w:hint="eastAsia" w:ascii="宋体" w:hAnsi="宋体" w:cs="宋体"/>
          <w:szCs w:val="21"/>
        </w:rPr>
      </w:pPr>
      <w:r>
        <w:rPr>
          <w:rFonts w:hint="eastAsia" w:ascii="宋体" w:hAnsi="宋体" w:cs="宋体"/>
          <w:szCs w:val="21"/>
        </w:rPr>
        <w:t>4.5免费提供后期相关建设项目的参考方案以及与其它相关系统设备的提供商合作，包括软硬件数据协议接口。</w:t>
      </w:r>
    </w:p>
    <w:p>
      <w:pPr>
        <w:spacing w:line="360" w:lineRule="auto"/>
        <w:ind w:firstLine="420" w:firstLineChars="200"/>
        <w:rPr>
          <w:rFonts w:hint="eastAsia" w:ascii="宋体" w:hAnsi="宋体" w:cs="宋体"/>
          <w:szCs w:val="21"/>
        </w:rPr>
      </w:pPr>
      <w:r>
        <w:rPr>
          <w:rFonts w:hint="eastAsia" w:ascii="宋体" w:hAnsi="宋体" w:cs="宋体"/>
          <w:szCs w:val="21"/>
        </w:rPr>
        <w:t>4.6如中标人无法如期完成设备安装调试、系统配置、项目验收等情况的，逾期每日向采购人支付合同额的万分之五作为违约金。中标人超过约定日期30个工作日仍不能完成相关服务的，采购人可解除本合同。中标人因未能如期提供相关服务或其他违约行为导致采购人解除合同的，中标人应向采购人支付合同额的10%作为违约金，如造成采购人损失超过违约金的，超出部分由中标人继续承担赔付责任。</w:t>
      </w:r>
    </w:p>
    <w:p>
      <w:pPr>
        <w:spacing w:line="360" w:lineRule="auto"/>
        <w:ind w:firstLine="420" w:firstLineChars="200"/>
        <w:rPr>
          <w:rFonts w:hint="eastAsia" w:ascii="宋体" w:hAnsi="宋体" w:cs="宋体"/>
          <w:szCs w:val="21"/>
        </w:rPr>
      </w:pPr>
      <w:r>
        <w:rPr>
          <w:rFonts w:hint="eastAsia" w:ascii="宋体" w:hAnsi="宋体" w:cs="宋体"/>
          <w:szCs w:val="21"/>
        </w:rPr>
        <w:t>▲</w:t>
      </w:r>
      <w:bookmarkStart w:id="11" w:name="_Toc82503702"/>
      <w:r>
        <w:rPr>
          <w:rFonts w:hint="eastAsia" w:ascii="宋体" w:hAnsi="宋体" w:cs="宋体"/>
          <w:szCs w:val="21"/>
          <w:lang w:val="en-US" w:eastAsia="zh-CN"/>
        </w:rPr>
        <w:t>4.7</w:t>
      </w:r>
      <w:r>
        <w:rPr>
          <w:rFonts w:hint="eastAsia" w:ascii="宋体" w:hAnsi="宋体" w:cs="宋体"/>
          <w:szCs w:val="21"/>
          <w:lang w:val="zh-CN"/>
        </w:rPr>
        <w:t>执法监督模块</w:t>
      </w:r>
      <w:bookmarkEnd w:id="11"/>
      <w:r>
        <w:rPr>
          <w:rFonts w:hint="eastAsia" w:ascii="宋体" w:hAnsi="宋体" w:cs="宋体"/>
          <w:szCs w:val="21"/>
          <w:lang w:val="zh-CN"/>
        </w:rPr>
        <w:t>需与省公安厅数据对接，若因技术壁垒、政策变动、保密要求等非采购人主观原因导致的系统无法顺利开发，扣除合同款1062600元。</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、报价要求：</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1投标人应自行勘察现场，如认为有本表未列明的其他必须设备、材料，清单数量不足或需要其他相关费用，由各投标人自行列明并报价，计入投标总价；在项目实施中，由于投标人漏项、错项造成需要增加项目或数量的，由投标人承担，招标人不接受投标人以该项目未列入以上清单或数量不足而要求招标人增加费用。</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.2投标人应根据招标文件报出合同总价。合同总价一旦核实确认，不得再做更改。对投标人漏报致使系统未能达到需求的功能和效果，其费用和后果由投标人自行负责。</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.3在符合总体要求的前提下，投标人可对招标文件中没有提及的内容，按自己的理解适当增加，但有关价格及费用必须在报价文件中单独列出，并说明理由。</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.4所有报价均应已包含国家规定的所有税费、项目采购委托费、第三方质量检测费等。</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5投标总价应等于“报价明细表”的设备、软件开发总报价、系统集成费、保修期内售后服务培训费用等实施本项目所需的一切费用之和。不能在投标总价之外还有其他费用出现。“报价明细表”中投标人对所投价的投标报价必须按项目分别报价。投标人提供的部件必须包含在投标报价中。</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.6本项目为交钥匙工程，投标人需充分考虑项目风险及建筑物破坏的赔偿费用等不可预见性费用。</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7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、付款方式：</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6.1</w:t>
      </w:r>
      <w:r>
        <w:rPr>
          <w:rFonts w:hint="eastAsia" w:ascii="宋体" w:hAnsi="宋体" w:cs="宋体"/>
          <w:szCs w:val="21"/>
        </w:rPr>
        <w:t>双方正式签定项目委托合同，且采购人收到中标人正规发票7个工作日内，支付合同额45%；</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6.2</w:t>
      </w:r>
      <w:r>
        <w:rPr>
          <w:rFonts w:hint="eastAsia" w:ascii="宋体" w:hAnsi="宋体" w:cs="宋体"/>
          <w:szCs w:val="21"/>
        </w:rPr>
        <w:t>本项目完成软件系统初步开发，所有硬件设备全部到货后，采购人在收到中标人正规发票7个工作日内，支付合同额20%；</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6.3</w:t>
      </w:r>
      <w:r>
        <w:rPr>
          <w:rFonts w:hint="eastAsia" w:ascii="宋体" w:hAnsi="宋体" w:cs="宋体"/>
          <w:szCs w:val="21"/>
        </w:rPr>
        <w:t>本项目完成所有软件系统开发和硬件设备安装调试，并通过项目初步验收后，采购在收到中标人正规发票7个工作日内，支付合同额25%；</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6.4</w:t>
      </w:r>
      <w:r>
        <w:rPr>
          <w:rFonts w:hint="eastAsia" w:ascii="宋体" w:hAnsi="宋体" w:cs="宋体"/>
          <w:szCs w:val="21"/>
        </w:rPr>
        <w:t>试运行完成并通过终验后，采购人收到中标人正规发票7个工作日内支付至结算审定金额的100%（最终决算按照第三方审计为准）。</w:t>
      </w:r>
    </w:p>
    <w:p>
      <w:pPr>
        <w:spacing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、质保要求：本项目要求至少</w:t>
      </w:r>
      <w:r>
        <w:rPr>
          <w:rFonts w:hint="eastAsia" w:ascii="宋体" w:hAnsi="宋体" w:cs="宋体"/>
          <w:szCs w:val="21"/>
          <w:lang w:val="en-US" w:eastAsia="zh-CN"/>
        </w:rPr>
        <w:t>五</w:t>
      </w:r>
      <w:r>
        <w:rPr>
          <w:rFonts w:hint="eastAsia" w:ascii="宋体" w:hAnsi="宋体" w:cs="宋体"/>
          <w:szCs w:val="21"/>
        </w:rPr>
        <w:t>年整体质保（项目终验通过之日起计算），原厂质保期高于投标人质保承诺的按原厂执行。</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、其他要求：</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.1要求投标人提供的服务不得低于标准服务，即与投标设备制造厂商通过网站等对外公布的有效服务标准相一致（投标人不得另行制作网页）。在标准服务基础上，投标人还应达到以下标准：</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2投标货物制造厂商应具有完善的服务保障体系（在最终供货地有直接设立或授权的售后服务机构，配备有足够的、有相应资质的专业技术人员）；供应商也应就投标货物的品质和服务对采购机构和采购单位负责。</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.3投标人应明确说明此次投标的服务策略，提供此次投标货物的服务计划（售后服务内容、等级、相关服务指标、售后服务组织机构及人员安排情况及其联络信息）。</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 xml:space="preserve">.4在投标货物质保期内，供应商应提供不低于三年7*24小时的现场质保和技术支持服务，对故障能即时响应，1小时以内到现场，4小时以内解决问题；不能当场修复的，必须采取提供备品、备件或备机等措施，以保证采购人的正常使用。如果逾期未作出响应，供应商应承担由于故障所造成的全部损失。 </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.5当投标货物发生非人为因素严重故障时，供应商应当免费在七日内将补充或者更换的货物运抵发生故障的货物所在地，由此产生的一切相关费用由供应商负担。</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.6质保期内所有因更换或修理设备或部件而导致设备停止运行的时间应从其质保期内扣除。</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.7供应商在质保期内安装的任何零配件，必须是其投标设备制造厂商原产的或是经其认可的。</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.8所有的替代零配件必须是新的未使用和未经修复的，除非最终用户提供书面许可，否则不可使用此范围外的其他（非新的）配件。</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.9供应商必须为维修和技术支持所未能解决的问题和故障提供正式的升级方案。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.10在质保期内，供应商有责任解决所提供的投标设备和软件系统的任何问题，在质保期满后，当需要时，供应商仍须对因投标设备本身的固有缺陷和瑕疵承担相应责任。</w:t>
      </w:r>
    </w:p>
    <w:p>
      <w:pPr>
        <w:spacing w:line="360" w:lineRule="auto"/>
        <w:ind w:firstLine="420" w:firstLineChars="20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.11免费运维服务（等同于质保期）：系统调试开通移交后，甲方（采购人）组织人员在设备乙方（供应商）的指导下上岗操作，乙方进行系统维护；运维期同质保期。</w:t>
      </w:r>
    </w:p>
    <w:p>
      <w:pPr>
        <w:spacing w:line="360" w:lineRule="auto"/>
        <w:ind w:firstLine="420" w:firstLineChars="200"/>
        <w:rPr>
          <w:rFonts w:hint="eastAsia" w:ascii="宋体" w:hAnsi="宋体" w:cs="宋体"/>
          <w:szCs w:val="21"/>
        </w:rPr>
      </w:pPr>
      <w:r>
        <w:rPr>
          <w:rFonts w:hint="eastAsia" w:ascii="宋体" w:hAnsi="宋体" w:cs="宋体"/>
          <w:szCs w:val="21"/>
        </w:rPr>
        <w:t>设立专业的运行维护服务队伍：</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.12提供7*24小时电话技术支持。1小时现场响应，对于4小时内不能排除系统、设备故障的，应提供必要的备机备件，以确保各系统的正常运行。</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.13定期、日常维护巡检。每一季度进行一次系统设备的状态和运行情况、对专用设备进行清洁维护保养等工作。</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.14如遇重大活动，接到甲方通知后，必须无条件派工程师实行现场技术保障，确保系统在活动期间正常运行。</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.15免费提供后期相关建设项目的参考方案以及与其它相关系统设备的提供商合作，包括软硬件数据协议接口。</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▲9</w:t>
      </w:r>
      <w:r>
        <w:rPr>
          <w:rFonts w:hint="eastAsia" w:ascii="宋体" w:hAnsi="宋体" w:cs="宋体"/>
          <w:szCs w:val="21"/>
        </w:rPr>
        <w:t>、工期要求：辅助办案系统在合同签订后1个月内开发完成；办案区管理模块在合同签订后</w:t>
      </w:r>
      <w:r>
        <w:rPr>
          <w:rFonts w:hint="eastAsia" w:ascii="宋体" w:hAnsi="宋体" w:cs="宋体"/>
          <w:szCs w:val="21"/>
          <w:lang w:val="en-US" w:eastAsia="zh-CN"/>
        </w:rPr>
        <w:t>5</w:t>
      </w:r>
      <w:r>
        <w:rPr>
          <w:rFonts w:hint="eastAsia" w:ascii="宋体" w:hAnsi="宋体" w:cs="宋体"/>
          <w:szCs w:val="21"/>
        </w:rPr>
        <w:t>个月内开发完成；执法监督模块在具备开发条件、乙方收到甲方开发通知书后45天内开发完成；硬件部分在具备施工条件、乙方收到甲方</w:t>
      </w:r>
      <w:r>
        <w:rPr>
          <w:rFonts w:hint="eastAsia" w:ascii="宋体" w:hAnsi="宋体" w:cs="宋体"/>
          <w:szCs w:val="21"/>
          <w:lang w:val="en-US" w:eastAsia="zh-CN"/>
        </w:rPr>
        <w:t>施工</w:t>
      </w:r>
      <w:r>
        <w:rPr>
          <w:rFonts w:hint="eastAsia" w:ascii="宋体" w:hAnsi="宋体" w:cs="宋体"/>
          <w:szCs w:val="21"/>
        </w:rPr>
        <w:t>通知书后1个月施工完成。</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10</w:t>
      </w:r>
      <w:r>
        <w:rPr>
          <w:rFonts w:hint="eastAsia" w:ascii="宋体" w:hAnsi="宋体" w:cs="宋体"/>
          <w:szCs w:val="21"/>
        </w:rPr>
        <w:t>、交货地点要求：使用单位指定地点，投标人须派专业人员将产品送到指定地点并安装调试完毕，其所有费用由投标人承担。</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、中标人应免费提供技术培训服务（包括授课费、资料费、参加培训人员的差旅食宿费）。投标人需在投标文件中列出详细的技术培训计划，包括培训课程、参加培训的人数、培训时间、培训地点等。</w:t>
      </w:r>
    </w:p>
    <w:p>
      <w:pPr>
        <w:spacing w:line="360" w:lineRule="auto"/>
        <w:ind w:firstLine="420" w:firstLineChars="200"/>
        <w:rPr>
          <w:rFonts w:hint="eastAsia" w:ascii="宋体" w:hAnsi="宋体" w:cs="宋体"/>
          <w:szCs w:val="21"/>
        </w:rPr>
      </w:pPr>
      <w:r>
        <w:rPr>
          <w:rFonts w:hint="eastAsia" w:ascii="宋体" w:hAnsi="宋体" w:cs="宋体"/>
          <w:szCs w:val="21"/>
        </w:rPr>
        <w:t>培训目的：使甲方‎对系统布‎局、各子‎系统之间‎的关系以‎及系统整‎体构成有‎清晰、完‎整的认识‎，提高甲‎方自主分‎析问题和‎解决问题‎的能力，‎确保系统‎日常故障‎能在第一‎时间内由‎用户自行‎解决，从‎而提高设‎备和系统‎的有效性‎。同时，‎通过培训‎可提高用‎户使用、‎维护和管‎理整个系‎统的能力‎，从而提‎高用户技‎术人员的‎业务水平‎，确保整‎个系统可‎靠、稳定‎的运行，‎提高系统‎的可用性‎和可维护‎性。</w:t>
      </w:r>
    </w:p>
    <w:p>
      <w:pPr>
        <w:spacing w:line="360" w:lineRule="auto"/>
        <w:ind w:firstLine="420" w:firstLineChars="200"/>
        <w:rPr>
          <w:rFonts w:hint="eastAsia" w:ascii="宋体" w:hAnsi="宋体" w:cs="宋体"/>
          <w:szCs w:val="21"/>
        </w:rPr>
      </w:pPr>
      <w:r>
        <w:rPr>
          <w:rFonts w:hint="eastAsia" w:ascii="宋体" w:hAnsi="宋体" w:cs="宋体"/>
          <w:szCs w:val="21"/>
        </w:rPr>
        <w:t>培训方式：包括但不仅限于现场培训及集中培训。</w:t>
      </w:r>
    </w:p>
    <w:p>
      <w:pPr>
        <w:spacing w:line="360" w:lineRule="auto"/>
        <w:ind w:firstLine="420" w:firstLineChars="200"/>
        <w:rPr>
          <w:rFonts w:hint="eastAsia" w:ascii="宋体" w:hAnsi="宋体" w:cs="宋体"/>
          <w:szCs w:val="21"/>
        </w:rPr>
      </w:pPr>
      <w:r>
        <w:rPr>
          <w:rFonts w:hint="eastAsia" w:ascii="宋体" w:hAnsi="宋体" w:cs="宋体"/>
          <w:szCs w:val="21"/>
        </w:rPr>
        <w:t>①现场培训：在设‎备系统到‎位时，将‎有针对性‎的对于不‎同的人员‎进行现场‎的实际培‎训，主要‎包括所安‎装的各项‎系统的基‎本安装步‎骤、维护‎、性能调‎试的数据‎指标；</w:t>
      </w:r>
    </w:p>
    <w:p>
      <w:pPr>
        <w:spacing w:line="360" w:lineRule="auto"/>
        <w:ind w:firstLine="420" w:firstLineChars="200"/>
        <w:rPr>
          <w:rFonts w:hint="eastAsia" w:ascii="宋体" w:hAnsi="宋体" w:cs="宋体"/>
          <w:szCs w:val="21"/>
        </w:rPr>
      </w:pPr>
      <w:r>
        <w:rPr>
          <w:rFonts w:hint="eastAsia" w:ascii="宋体" w:hAnsi="宋体" w:cs="宋体"/>
          <w:szCs w:val="21"/>
        </w:rPr>
        <w:t>②集中培训：准备好培‎训相关培‎训资料和‎教材，对‎日常操作‎人员和系‎统维护人‎员进行集‎中培训，‎培训次数不少于3次（以甲方实际要求为准）。</w:t>
      </w:r>
    </w:p>
    <w:p>
      <w:pPr>
        <w:spacing w:line="360" w:lineRule="auto"/>
        <w:ind w:firstLine="420" w:firstLineChars="200"/>
        <w:rPr>
          <w:rFonts w:hint="eastAsia" w:ascii="宋体" w:hAnsi="宋体" w:cs="宋体"/>
          <w:szCs w:val="21"/>
        </w:rPr>
      </w:pPr>
      <w:r>
        <w:rPr>
          <w:rFonts w:hint="eastAsia" w:ascii="宋体" w:hAnsi="宋体" w:cs="宋体"/>
          <w:szCs w:val="21"/>
        </w:rPr>
        <w:t>③中标人为甲方提‎供的培训‎包括系统‎培训和设‎备培训，其中中标人需负责协调各设备供应商提供相关设备培训，整个‎培训由中标人召集‎和组织，‎由各设备‎供应商协‎助举办，期间所产生的相关费用由中标人承担。</w:t>
      </w:r>
    </w:p>
    <w:p>
      <w:pPr>
        <w:spacing w:line="360" w:lineRule="auto"/>
        <w:ind w:firstLine="420" w:firstLineChars="200"/>
        <w:rPr>
          <w:rFonts w:hint="eastAsia" w:ascii="宋体" w:hAnsi="宋体" w:cs="宋体"/>
          <w:szCs w:val="21"/>
        </w:rPr>
      </w:pPr>
      <w:r>
        <w:rPr>
          <w:rFonts w:hint="eastAsia" w:ascii="宋体" w:hAnsi="宋体" w:cs="宋体"/>
          <w:szCs w:val="21"/>
        </w:rPr>
        <w:t>④投标人须专门设‎立一个培‎训组（不少于2人）负责‎本次项目的培训任‎务，所有‎培训人员由资‎深管理人‎员和技术‎人员担当‎，所有主‎要培训人员都具有‎三年以上‎的实际教‎学经验。</w:t>
      </w:r>
    </w:p>
    <w:p>
      <w:pPr>
        <w:spacing w:line="360" w:lineRule="auto"/>
        <w:ind w:firstLine="420" w:firstLineChars="200"/>
        <w:rPr>
          <w:rFonts w:hint="eastAsia" w:ascii="宋体" w:hAnsi="宋体" w:cs="宋体"/>
          <w:szCs w:val="21"/>
        </w:rPr>
      </w:pPr>
      <w:r>
        <w:rPr>
          <w:rFonts w:hint="eastAsia" w:ascii="宋体" w:hAnsi="宋体" w:cs="宋体"/>
          <w:szCs w:val="21"/>
        </w:rPr>
        <w:t>⑤在‎项目正式‎实施前，中标人现场施工技术人员需‎对用户相‎关子系统‎的技术人‎员进行简‎单的培训‎，实施过程中，进行全程项目同步培训，培训人数根据项目的实际情况，‎每次培训的人员数量将以甲方的需求为准。</w:t>
      </w:r>
    </w:p>
    <w:p>
      <w:pPr>
        <w:spacing w:line="360" w:lineRule="auto"/>
        <w:ind w:firstLine="420" w:firstLineChars="200"/>
        <w:rPr>
          <w:rFonts w:hint="eastAsia" w:ascii="宋体" w:hAnsi="宋体" w:cs="宋体"/>
          <w:szCs w:val="21"/>
        </w:rPr>
      </w:pPr>
      <w:r>
        <w:rPr>
          <w:rFonts w:hint="eastAsia" w:ascii="宋体" w:hAnsi="宋体" w:cs="宋体"/>
          <w:szCs w:val="21"/>
        </w:rPr>
        <w:t>培训时间及地点：</w:t>
      </w:r>
    </w:p>
    <w:p>
      <w:pPr>
        <w:spacing w:line="360" w:lineRule="auto"/>
        <w:ind w:firstLine="420" w:firstLineChars="200"/>
        <w:rPr>
          <w:rFonts w:hint="eastAsia" w:ascii="宋体" w:hAnsi="宋体" w:cs="宋体"/>
          <w:szCs w:val="21"/>
        </w:rPr>
      </w:pPr>
      <w:r>
        <w:rPr>
          <w:rFonts w:hint="eastAsia" w:ascii="宋体" w:hAnsi="宋体" w:cs="宋体"/>
          <w:szCs w:val="21"/>
        </w:rPr>
        <w:t>时间：</w:t>
      </w:r>
    </w:p>
    <w:p>
      <w:pPr>
        <w:spacing w:line="360" w:lineRule="auto"/>
        <w:ind w:firstLine="420" w:firstLineChars="200"/>
        <w:rPr>
          <w:rFonts w:hint="eastAsia" w:ascii="宋体" w:hAnsi="宋体" w:cs="宋体"/>
          <w:szCs w:val="21"/>
        </w:rPr>
      </w:pPr>
      <w:r>
        <w:rPr>
          <w:rFonts w:hint="eastAsia" w:ascii="宋体" w:hAnsi="宋体" w:cs="宋体"/>
          <w:szCs w:val="21"/>
        </w:rPr>
        <w:t>①现场培训随‎项目实施‎在现场‎进行培训；</w:t>
      </w:r>
    </w:p>
    <w:p>
      <w:pPr>
        <w:spacing w:line="360" w:lineRule="auto"/>
        <w:ind w:firstLine="420" w:firstLineChars="200"/>
        <w:rPr>
          <w:rFonts w:hint="eastAsia" w:ascii="宋体" w:hAnsi="宋体" w:cs="宋体"/>
          <w:szCs w:val="21"/>
        </w:rPr>
      </w:pPr>
      <w:r>
        <w:rPr>
          <w:rFonts w:hint="eastAsia" w:ascii="宋体" w:hAnsi="宋体" w:cs="宋体"/>
          <w:szCs w:val="21"/>
        </w:rPr>
        <w:t>②集‎中系统的‎培训，时‎间定于试‎运行完成‎前开‎始，培训‎时间双方‎根据项目‎情况、用‎户技术人‎员技术基‎础情况协商。</w:t>
      </w:r>
    </w:p>
    <w:p>
      <w:pPr>
        <w:spacing w:line="360" w:lineRule="auto"/>
        <w:ind w:firstLine="420" w:firstLineChars="200"/>
        <w:rPr>
          <w:rFonts w:hint="eastAsia" w:ascii="宋体" w:hAnsi="宋体" w:cs="宋体"/>
          <w:szCs w:val="21"/>
        </w:rPr>
      </w:pPr>
      <w:r>
        <w:rPr>
          <w:rFonts w:hint="eastAsia" w:ascii="宋体" w:hAnsi="宋体" w:cs="宋体"/>
          <w:szCs w:val="21"/>
        </w:rPr>
        <w:t>地点:</w:t>
      </w:r>
    </w:p>
    <w:p>
      <w:pPr>
        <w:spacing w:line="360" w:lineRule="auto"/>
        <w:ind w:firstLine="420" w:firstLineChars="200"/>
        <w:rPr>
          <w:rFonts w:hint="eastAsia" w:ascii="宋体" w:hAnsi="宋体" w:cs="宋体"/>
          <w:szCs w:val="21"/>
        </w:rPr>
      </w:pPr>
      <w:r>
        <w:rPr>
          <w:rFonts w:hint="eastAsia" w:ascii="宋体" w:hAnsi="宋体" w:cs="宋体"/>
          <w:szCs w:val="21"/>
        </w:rPr>
        <w:t>①在‎项目实施‎期在施工‎现场作为‎培训地点‎予以手把‎手的培训‎；</w:t>
      </w:r>
    </w:p>
    <w:p>
      <w:pPr>
        <w:spacing w:line="360" w:lineRule="auto"/>
        <w:ind w:firstLine="420" w:firstLineChars="200"/>
        <w:rPr>
          <w:rFonts w:hint="eastAsia" w:ascii="宋体" w:hAnsi="宋体" w:cs="宋体"/>
          <w:szCs w:val="21"/>
        </w:rPr>
      </w:pPr>
      <w:r>
        <w:rPr>
          <w:rFonts w:hint="eastAsia" w:ascii="宋体" w:hAnsi="宋体" w:cs="宋体"/>
          <w:szCs w:val="21"/>
        </w:rPr>
        <w:t>②集‎中培训地‎点由双方‎协商安排‎培训会址‎。</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1</w:t>
      </w:r>
      <w:r>
        <w:rPr>
          <w:rFonts w:hint="eastAsia" w:ascii="宋体" w:hAnsi="宋体" w:eastAsia="宋体" w:cs="宋体"/>
          <w:szCs w:val="21"/>
          <w:lang w:val="en-US" w:eastAsia="zh-CN"/>
        </w:rPr>
        <w:t>2</w:t>
      </w:r>
      <w:r>
        <w:rPr>
          <w:rFonts w:hint="eastAsia" w:ascii="宋体" w:hAnsi="宋体" w:eastAsia="宋体" w:cs="宋体"/>
          <w:szCs w:val="21"/>
        </w:rPr>
        <w:t>.知识产权：</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12.1</w:t>
      </w:r>
      <w:r>
        <w:rPr>
          <w:rFonts w:hint="eastAsia" w:ascii="宋体" w:hAnsi="宋体" w:eastAsia="宋体" w:cs="宋体"/>
          <w:szCs w:val="21"/>
        </w:rPr>
        <w:t>本项目定制开发软件所有权知识产权归甲方所有。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12.2</w:t>
      </w:r>
      <w:r>
        <w:rPr>
          <w:rFonts w:hint="eastAsia" w:ascii="宋体" w:hAnsi="宋体" w:eastAsia="宋体" w:cs="宋体"/>
          <w:szCs w:val="21"/>
        </w:rPr>
        <w:t>涉及的源代码（含质保期内的后续版本升级）必须遵循相关标准和规范，并无条件提交给甲方。</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12.3</w:t>
      </w:r>
      <w:r>
        <w:rPr>
          <w:rFonts w:hint="eastAsia" w:ascii="宋体" w:hAnsi="宋体" w:eastAsia="宋体" w:cs="宋体"/>
          <w:szCs w:val="21"/>
        </w:rPr>
        <w:t>涉及接口的必须遵循相关标准和规范，向下部署的，必须无条件开放所有接口且满足国家共享相关规定要求，项目承建单位（施工单位、实施单位）有义务配合甲方做好有关信息共享工作。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12.4</w:t>
      </w:r>
      <w:r>
        <w:rPr>
          <w:rFonts w:hint="eastAsia" w:ascii="宋体" w:hAnsi="宋体" w:eastAsia="宋体" w:cs="宋体"/>
          <w:szCs w:val="21"/>
        </w:rPr>
        <w:t>本项目在开发、使用和维护过程中接触到的甲方所有资料，未经甲方授权代表书面许可，不得留存、私自查阅及向任何第三方泄露。</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12.5</w:t>
      </w:r>
      <w:r>
        <w:rPr>
          <w:rFonts w:hint="eastAsia" w:ascii="宋体" w:hAnsi="宋体" w:eastAsia="宋体" w:cs="宋体"/>
          <w:szCs w:val="21"/>
        </w:rPr>
        <w:t>本项目的设计开发专利申请权、技术秘密的使用权和转让权归甲方所有。</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.其他：</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.1投标人应对招标、实施、操作等过程中采取保密和安全措施，因投标人造成的不良影响和损失，投标人应承担相应责任。</w:t>
      </w:r>
    </w:p>
    <w:p>
      <w:pPr>
        <w:spacing w:line="360" w:lineRule="auto"/>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3</w:t>
      </w:r>
      <w:r>
        <w:rPr>
          <w:rFonts w:hint="eastAsia" w:ascii="宋体" w:hAnsi="宋体" w:cs="宋体"/>
          <w:szCs w:val="21"/>
        </w:rPr>
        <w:t>.2招标人认为投标人提供的产品和服务不能满足需求，可否决、终止本次采购。</w:t>
      </w:r>
    </w:p>
    <w:p>
      <w:pPr>
        <w:spacing w:line="360" w:lineRule="auto"/>
        <w:jc w:val="left"/>
        <w:outlineLvl w:val="0"/>
        <w:rPr>
          <w:rFonts w:hint="eastAsia" w:ascii="宋体" w:hAnsi="宋体"/>
          <w:b/>
          <w:szCs w:val="21"/>
        </w:rPr>
      </w:pPr>
      <w:r>
        <w:rPr>
          <w:rFonts w:hint="eastAsia" w:ascii="宋体" w:hAnsi="宋体"/>
          <w:bCs/>
          <w:szCs w:val="21"/>
        </w:rPr>
        <w:br w:type="page"/>
      </w:r>
      <w:r>
        <w:rPr>
          <w:rFonts w:hint="eastAsia" w:ascii="宋体" w:hAnsi="宋体"/>
          <w:b/>
          <w:szCs w:val="21"/>
        </w:rPr>
        <w:t>附表：采购清单及技术要求</w:t>
      </w:r>
    </w:p>
    <w:p>
      <w:pPr>
        <w:spacing w:line="360" w:lineRule="auto"/>
        <w:jc w:val="left"/>
        <w:outlineLvl w:val="0"/>
        <w:rPr>
          <w:rFonts w:hint="eastAsia" w:ascii="宋体" w:hAnsi="宋体" w:cs="宋体"/>
          <w:b/>
          <w:szCs w:val="21"/>
        </w:rPr>
      </w:pPr>
      <w:r>
        <w:rPr>
          <w:rFonts w:hint="eastAsia" w:ascii="宋体" w:hAnsi="宋体"/>
          <w:b/>
          <w:szCs w:val="21"/>
        </w:rPr>
        <w:t>一、</w:t>
      </w:r>
      <w:r>
        <w:rPr>
          <w:rFonts w:hint="eastAsia" w:ascii="宋体" w:hAnsi="宋体"/>
          <w:b/>
          <w:szCs w:val="21"/>
          <w:lang w:val="en-US" w:eastAsia="zh-CN"/>
        </w:rPr>
        <w:t>成品硬件部分</w:t>
      </w:r>
      <w:r>
        <w:rPr>
          <w:rFonts w:hint="eastAsia" w:ascii="宋体" w:hAnsi="宋体"/>
          <w:b/>
          <w:szCs w:val="21"/>
        </w:rPr>
        <w:t>（投标人所投货物技术参数应满足或优于招标文件要求的技术参数）</w:t>
      </w:r>
    </w:p>
    <w:bookmarkEnd w:id="4"/>
    <w:bookmarkEnd w:id="5"/>
    <w:bookmarkEnd w:id="6"/>
    <w:bookmarkEnd w:id="7"/>
    <w:bookmarkEnd w:id="8"/>
    <w:tbl>
      <w:tblPr>
        <w:tblStyle w:val="2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1480"/>
        <w:gridCol w:w="6456"/>
        <w:gridCol w:w="8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序号</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设备名称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主要技术参数</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数量</w:t>
            </w:r>
          </w:p>
        </w:tc>
        <w:tc>
          <w:tcPr>
            <w:tcW w:w="46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（一）、入区大厅</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LCD拼接屏</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1、使用55英寸液晶显示单位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2、▲最大支持分辨率1920 × 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3、★视角≥178°(水平)/ 178°(垂直)；</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4、响应时间：≤8 ms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5、对比度：≥1200:1；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6、▲亮度：≥500cd/㎡；</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7、▲物理拼缝≤3.5mm；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8、▲支持VGA、DVI、HDMI、DP等主流视频接口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9、输入接口≥3，输出接口数量≥1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10、支持网络信号输入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11、液晶显示单元内置图像处理芯片，支持实时分析显示内容资料，支持图像与视频场景模式智能切换。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拼接屏具有实时分析当前画面亮度分布比例，自动调整亮度值的功能，具有动态调节画面对比度，可提高暗阶画面亮度，增强暗画面显示细节的功能。（提供具有CMA或ilac-MRA或CNAS标志的权威检测机构的检测报告复印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13、★LCD显示单元具备智能光感护眼功能,液晶单元可自动识别环境光强弱,根据环境光变化调节屏幕亮度。（提供权威机构出具的检测报告）</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LCD屏支架</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1、▲钢结构支架，采用高强度钢板材质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2、▲箱体背后安装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3、▲支架表面须进行静电处理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4、★安装需考虑墙面承重</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集中式拼控器输出板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1、▲使用HDMI或DVI接口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2、▲最大支持分辨率1920x1200，适配主流分辨率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3、单个口基线允许窗口数≥4</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集中式拼控器输入板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1、▲使用HDMI或DVI接口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2、▲最大支持分辨率1920x1200，适配主流分辨率</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集中式拼控器机箱</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1、★标准机箱，含主控板和电源，支持在现有基础上对输入输出板卡进行扩展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2、支持信号源列表预览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3、▲支持VGA、DVI、HDMI、DP及IP源多种信号源采集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4、▲支持网络信号解码上墙和本地录像文件回放上墙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5、支持1/4/9/16画面分割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6、支持图层叠加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7、★内置矩阵，支持单个信号源开多个窗口同时显示（提供权威机构出具的检测报告证明）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8、支持信号开窗、漫游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9、▲配套控制软件支持PC端和PAD端同时进行远程控制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10、▲所投产品支持预览功能，能同时对矩阵和显示终端进行配置；设备可同时输出不同信号源视频图象，并在同一屏幕上显示；可通过屏幕编号调整分屏显示顺序；可对视频文件进行回放。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11、▲支持客户端管理功能，支持用户管理、日志管理、权限管理、告警管理、远程维护等功能。</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辅助线材</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配套线缆</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（二）、登记处</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热成像双光谱一体机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1、▲传感器像素：≥400万，自带热成像功能，支持双通道</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2、热成像测温距离：0.5米~3米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3、热成像测温范围：30℃至45℃</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4、热成像测温精度：±0.6℃以内，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5、★热像分辨率输出最大支持1920*1080，可见光分辨率输出最大支持2560*1440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6、带补光灯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7、支持自动报警，可根据设置温度异常自动报警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8、支持三码流同时输出，主码流分辨率最高不低于2560x1440@25fps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9、支持3D数字降噪、白平衡、背光补偿、宽动态、强光抑制、透雾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10、支持H.265、H.264 HP/MP/BP、M-JPEG编码，支持S+超级码流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11、绊线、双绊线、周界、物品丢失、徘徊、奔跑、停车、人群聚集、人数统计、虚焦检测、音频异常诊断</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12、具备人脸抓拍功能，支持叠加人体温度、口罩检测、性别信息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13、★支持防水功能、防雷功能，防护等级≥IP67、4级防雷、防浪涌（需提供权威机构提供的检测报告）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14、支持外置存储卡，最大存储容量不低于512G</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15、内置MIC和扬声器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16、支持POE、DC12V供电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17、▲客户端支持人脸识别，支持与公安网数据对接加载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18、▲支持同时检测多张人脸并同步测温，自动框出人脸叠加实时人体测温数据</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智能核验终端</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1、操作系统基于Android平台，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2、▲触控屏尺寸不低于10.1寸，屏幕分辨率不低于1280x800,系统运行内存不低于2GB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3、内置摄像机，像素不低于300万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4、★支持拍摄人脸照片并进行人/证比对，内置扬声器，可通过智能语音提示指导验证过程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5、★支持人脸识别功能，支持智能逆光补偿、增强人脸轮廓边缘、通过程序自动采集人脸照片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6、▲内置居民身份证阅读器，支持自动读取居民身份证芯片中的文字、人脸等特征信息</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手环读写卡器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1、温度适用范围-20～+60ºC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2、内置电池，支持给卡片供电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3、卡触点可使用次数≥10万次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4、▲支持PC设备连接读取，USB免驱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5、支持WINDOWS操作系统、LINUX操作系统以及国产操作系统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指纹签章一体机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1、指纹采集、电子签名功能一体机，支持电子签章、电子指纹采集过程同步录影录像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2、支持分辨率≥1280x800，无故障点击次数≥100万次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3、自带人像鱼眼摄像机，并支持畸变矫正功能、3D降噪、颜色矫正、亮度矫正等功能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4、▲所投产品须与浙江省公安机关笔录系统、办案系统适配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5、▲产品须符合公安部最新版相关产品目录要求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6、指纹仪认假率&lt;0.0001%(提供权威机构出具的检测报告证明）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7、内置系统，支持原笔迹签名、信息交互、人像拍照、录音录像等应用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8、内置国密芯片，支持对整机的静态数据进行加密处理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9、采用加密+签名的方式保证数据传输过程的保密性和防篡改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全自动光盘刻印机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1、支持BD/DVD/CD等主流光盘材质刻录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2、支持六色分体墨水，满足高品质盘面印刷要求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3、▲刻录速度：CD不低于50张/小时、DVD不低于25张/小时、BD不低于8张/小时（需提供彩页说明）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4、内置2个刻录机，支持双光盘同时刻录，支持USB3.0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5、支持CD\DVD\BD等主流材质光盘刻录</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信息登记操作台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 5600*880*800mm≥台面尺寸≥5400*800*750mm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2、基材：采用中密度板基材；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3、贴面： 0.6MM胡桃木木皮贴面，纹理均匀清晰；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4、油漆：PU底漆，光泽丰满，附着力强，PE面漆，耐腐蚀性，耐水耐磨，光泽均匀，硬度高达3H，抗刮性强，不褪色，绿色环保；</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5、五金配件：DTC五金配件。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6、台面坡度+预留电脑显示器孔</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7、★须具备耐腐蚀、高温、防水功能。（提供彩页证明）</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办案自助终端</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1、集成工控主机、触控屏、信息屏、摄像头、二代身份证阅读器、手环读写卡器、键盘等，支持指纹采集、打印功能。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2、★工控主机CPU采用I5七代及以上处理器，内存不低于8GB，容量存储使用固态硬盘容量不低于120GB；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3、内置触控屏不低于19寸；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4、内置指导屏不低于21.5寸；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5、内置摄像头，拍摄像素不低于200万；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6、内置扬声器。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7、▲支持身份证信息读取、手环信息读取、指纹采集；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8、▲内置储物仓，支持对手环读写卡器及卡片充。</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办公等候人员坐椅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（三）、人身安全检查区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手环读写卡器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1、温度适用范围-20～+60ºC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2、内置电池，支持给卡片供电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3、卡触点可使用次数≥10万次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4、支持PC设备连接读取，USB免驱，通讯协议支持ISO14443 Type A</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5、支持WINDOWS操作系统、LINUX操作系统以及国产操作系统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伤疤抓拍摄像机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1、感光元件CMOS：1/3英寸，像素不低于210万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2、支持33倍光学变焦，16倍数字变焦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3、支持网络视频、BNC同步输出；支持H.265、H.264（HP/MP/BP）编码压缩算法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4、支持智能分析，包括证人保护、绊线、周界、人脸检测、值岗检测和人数统计等功能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5、支持音频降噪、音频异常侦测功能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6、支持水平360°连续旋转，垂直转动角度-30°～90°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7、具备USB接口和TF卡接口，支持扩展外置存储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8、支持镜像自动翻转；支持内置无源MIC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9、支持POE+/12V两种供电方式。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10、支持人脸抓拍和人脸识别，支持人脸运动识别；</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11、支持23倍光学变倍，支持手动对焦拍摄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12、支持夜间拍摄模式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13、支持防补光过曝</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安检门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1、电源:使用标准220V市电电压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2、测量距离:≥70cm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3、工作环境:-5℃至 40℃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4、支持最大显示≥9999</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5、产品尺寸(mm):≥2220mm高+830mm宽+522mm厚</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6、产品净重(kg):≤70</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手持金属探测器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1、使用9V方块电池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2、检测距离2-10cm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3、工作环境温度：-5℃至40℃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4、可检测材质包括且不限于铁、铜、铝、不锈钢等金属</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人身安全检查操作台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1、台面尺寸≥120cm*75cm*76cm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2、使用2.0冷轧钢板焊接成型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3、▲表面平整光滑无毛刺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4、▲台面四角作饨角或弧形处理，保证无法伤人</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（四）、随身物品保管区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手环读写卡器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1、温度适用范围-20～+60ºC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2、内置电池，支持给卡片供电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3、卡触点可使用次数≥10万次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4、支持PC设备连接读取，USB免驱，通讯协议支持ISO14443 Type A</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5、支持WINDOWS操作系统、LINUX操作系统以及国产操作系统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电脑音箱</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1、有源音箱，单声道立体声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2、支持音量调节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3、信噪比&gt;75db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4、失真度&lt;10%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5、支持3.5Mm音频接口，包含2米及以上音频线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6、音质清晰，有穿透性，可在小范围嘈杂环境中清晰分辨</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高拍仪</w:t>
            </w:r>
          </w:p>
        </w:tc>
        <w:tc>
          <w:tcPr>
            <w:tcW w:w="3183" w:type="pc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1、最大拍摄A4幅面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2、高清500万定焦镜头</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3、光学分辨率2592×1944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4、可拍物件类型：证件、文档、各类凭证、立体实物等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5、接口类型USB2.0及以上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6、标配触控LED辅助灯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7、图像格式：JPG、TIF、PNG、BMP、PDF</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8、图片大小：彩色≤300K；黑白≤60K</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9、基于TWAIN协议接口，提供完善的DEMO/SDK/API</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指纹签章一体机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1、指纹采集、电子签名功能一体机，支持电子签章、电子指纹采集过程同步录影录像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2、支持分辨率≥1280x800，无故障点击次数≥100万次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3、自带人像鱼眼摄像机，并支持畸变矫正功能、3D降噪、颜色矫正、亮度矫正等功能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5、▲产品须符合公安部最新版相关产品目录要求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6、内置系统，支持原笔迹签名、信息交互、人像拍照、录音录像等应用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7、内置国密芯片，支持对整机的静态数据进行加密处理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8、采用加密+签名的方式保证数据传输过程的保密性和防篡改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随身物品柜（主柜）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1、工控机CPU核心频率≥1.99GHZ，三级缓存≥1MB，内存≥4GB，DDR3及以上，硬盘≥120GB SSD固态硬盘，支持VGA\HDMI视频输出，板载USB接口数量不低于6个，具备至少2个千兆网卡接口、1个音频输入输出接口；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2、内置触摸显示屏，尺寸≥15寸，分辨率≥1024*768，亮度≥420CD/M</w:t>
            </w:r>
            <w:r>
              <w:rPr>
                <w:rFonts w:hint="eastAsia" w:ascii="宋体" w:hAnsi="宋体" w:eastAsia="宋体" w:cs="宋体"/>
                <w:i w:val="0"/>
                <w:iCs w:val="0"/>
                <w:color w:val="auto"/>
                <w:kern w:val="0"/>
                <w:sz w:val="18"/>
                <w:szCs w:val="18"/>
                <w:u w:val="none"/>
                <w:vertAlign w:val="superscript"/>
                <w:lang w:val="en-US" w:eastAsia="zh-CN" w:bidi="ar"/>
              </w:rPr>
              <w:t>2</w:t>
            </w:r>
            <w:r>
              <w:rPr>
                <w:rFonts w:hint="eastAsia" w:ascii="宋体" w:hAnsi="宋体" w:eastAsia="宋体" w:cs="宋体"/>
                <w:i w:val="0"/>
                <w:iCs w:val="0"/>
                <w:color w:val="auto"/>
                <w:kern w:val="0"/>
                <w:sz w:val="18"/>
                <w:szCs w:val="18"/>
                <w:u w:val="none"/>
                <w:lang w:val="en-US" w:eastAsia="zh-CN" w:bidi="ar"/>
              </w:rPr>
              <w:t>，触摸精度中心区域&lt;1.5mm，边缘区域&lt;3.2mm，触摸直径&gt;5mm，显示屏采用钢化玻璃，厚度≥3mm；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3、内置摄像头，拍摄像素不低于500万；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4、★柜体包含触摸显示屏、托盘、面板摄像头、智能卡阅读器、电控锁和电气控制箱；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5、柜体材质采用的优质镀锌钢板，厚度≥0.8mm，柜体表面具备防腐防锈功能；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6、★箱门使用电控锁，采用电磁式单舌机械锁；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7、▲箱门数量不低于20个，支持前后双面开关门；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8、柜体尺寸：宽*深*高≥600*450*1880mm；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9、▲支持在停电情况下，通过机械方式开门；同时支持断电保护，断电情况下系统自动记录有关数据；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10、支持多副机柜级联，支持拓展多个从柜；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11、支持拓展连接指纹签章一体机使用；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12、▲支持与软件系统对接，可由浙江省公安机关综合执法办案系统远程控制开关门，并实时记录所有开关门数据；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13、▲柜机外壳具备防冲击功能，防护等级不低于IP30(需提供权威机构提供的检测报告）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14、支持刷手环开门。</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随身物品柜（从柜）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1、配套主柜使用。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2、▲从柜与主柜为同一品牌厂家；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3、★箱门数量不低于24个，支持前后双面开关门；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4、▲支持与软件系统对接，可由浙江省公安机关综合执法办案系统远程控制开关门，并实时记录所有开关门数据；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5、▲柜机外壳具备防冲击功能，防护等级不低于IP30(需提供权威机构提供的检测报告）</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验钞机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1、支持联网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2、支持与假钞数据库同步更新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3、点钞速度：≥900张/分钟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操作台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1、台面尺寸≥150cm*75cm*76cm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2、主体结构采用2.0冷轧钢板激光切割成型；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3、台面台采用一体化延伸，表面作抛光处理，光滑无毛刺，边缘和四角无尖锐突起；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4、★须具备耐腐蚀、高温、防水功能。（提供彩页证明）</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（五）、信息采集处</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手环读写卡器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1、温度适用范围-20～+60ºC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2、内置电池，支持给卡片供电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3、卡触点可使用次数≥10万次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4、支持PC设备连接读取，USB免驱，通讯协议支持ISO14443 Type A</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5、支持WINDOWS操作系统、LINUX操作系统以及国产操作系统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标采设备一体机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1、主机CPU采用4核处理器</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2、内存容量≥8G内存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3、存储容量≥1TB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4、显示器：21.5英寸液晶屏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5、▲集成计算机、摄像头、指掌纹采集仪或指纹采集仪、二代身份证阅读器、条形码阅读器、手机全信息采集设备、声纹采集设备、虹膜采集仪、足迹采集仪等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6、★自带液晶显示器且固定安装于桌面上，支持左右旋转旋转角度≥70゜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7、工作台尺寸≥1650*690*820mm(L*W*H)；</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8、柜体台面采用木质面板和钢板结构结合，柜体框架采用优质冷轧钢板材质，并作高温亚光涂料喷涂处理，柜体内置10A进线电源插座（含备用保险）、防漏电空开、部电源转接插座和工业PDU，使用市电电压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9、条码阅读器：支持 CCD扫描模式，扫描速率≥100线/秒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10、摄像头像素≥500万像素，采用彩色CMOS逐行扫描图像传感器，支持静态的图像捕捉（JPG、BMP）与动态AVI图像捕捉（MP4）；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11、二代证阅读器符合《GA450-2003 台式居民身份证阅读器通用技术要求》、GA467-2004 居民身份证验证安全控制模块接口技术规范 》（需提供权威机构提供的检测报告）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12、指掌纹采集仪采集的有效图像尺寸不低于117mm×117mm ；滚动指纹采集窗口须大于40.64mm×40.64mm；滚动指纹图像尺寸不低于32.5mm×32.5mm；图像像素数分别不低于2304×2304像素（掌纹）、1024×1968像素（侧掌纹）、1600×1500像素 （四连指）、640×640像素（滚动指纹，最大800×800像素）；图像畸变≤1%；分辨率≥490 dpi；采集速率单指滚动采集≥15 帧/秒；四连指和掌纹≥2 帧/秒；（需提供产品彩页证明）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13、身高体重测量：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身高测量模块：超声波自动测量，测量范围120厘米~200厘米，采集结果精确至0.5厘米；（需提供产品彩页证明）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体重测量模块：测量范围10~200公斤，采集结果精确至0.1公斤；（需提供产品彩页证明）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14、足长（鞋长）测量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测量模块：测量范围15厘米~36厘米，采集结果精确到0.5厘米；（需提供产品彩页证明）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15、照相设备支持电动升降，最高高度不低于1.9m；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16、内置DNA检材干燥箱、收纳盒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17、产品须包含所有配套辅助线缆、接口扩展卡、USB共享器等。</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（六）、尿检室</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毒检管控终端</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1、▲自带指纹识别模块</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2、★内置彩色双面打印机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3、★内置存储硬盘，要求使用固态硬盘且存储容量不低于128GB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4、内置双目人脸识别摄像机，像素≥300w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5、内置物证采集摄像机，像素≥200w，自带红外补光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6、内置中控系统、触摸屏，触摸屏显示尺寸不低于19寸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7、工作环境-10℃至60℃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8、具备静电防护功能，防护等级不低于4级</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9、外设接口:USB接口≥2，支持3.5mm音频输入输出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10、▲支持民警卡、人脸识别、账号密码登录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11、▲支持通过手环、人脸识别确认嫌疑人身份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12、▲登记录入时可选择检测项，然后录入检测结果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13、内置彩色双面打印模块，支持自助打印检测报告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14、内置条码打印模块，支持自助打印条码签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15、▲支持各操作步骤语音提示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16、▲支持嫌疑人签字捺印和民警签字</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医用冷藏柜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1、容量≥350L</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2、智能温控0-8°C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3、无霜不结冰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4、支持试剂、药品及血样存储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5、隔架层数≥6</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6、噪声≤38db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（七）、候问管理区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手环读写卡器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1、温度适用范围-20～+60ºC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2、内置电池，支持给卡片供电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3、卡触点可使用次数≥10万次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4、支持PC设备连接读取，USB免驱，通讯协议支持ISO14443 Type A</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5、支持WINDOWS操作系统、LINUX操作系统以及国产操作系统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（八）、候问室</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智能交互门禁</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1、支持RJ45接口，内置Mic，内置扬声器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2、内置补光灯，并可自动开关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3、▲支持人员检测功能，通过红外感应有无人员自动控制屏幕点亮和熄灭</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4、支持人脸比对功能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5、▲支持活体检测和电子照片验证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6、★性能容量要求用户数≥10000人，面部容量≥10000张，记录容量≥10万条（提供权威机构检测报告证明）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7、支持门禁控制功能，可通过人脸识别、刷卡和密码开门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8、▲支持显示当前房间使用状态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9、▲与办案区管理模块对接，支持通过办案区管理模块录入并在交互页面显示当前人员信息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10、采用POE或者DC12V电源供电</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辅助线缆</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配套</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（九）、问询室</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指纹签章一体机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1、指纹采集、电子签名功能一体机，支持电子签章、电子指纹采集过程同步录影录像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2、支持分辨率≥1280x800，无故障点击次数≥100万次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3、自带人像鱼眼摄像机，并支持畸变矫正功能、3D降噪、颜色矫正、亮度矫正等功能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5、▲产品须符合公安部最新版相关产品目录要求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6、内置系统，支持原笔迹签名、信息交互、人像拍照、录音录像等应用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7、内置国密芯片，支持对整机的静态数据进行加密处理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8、采用加密+签名的方式保证数据传输过程的保密性和防篡改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笔录操作台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1、台面尺寸≥150cm*75cm*76cm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2、主体结构采用2.0冷轧钢板激光切割成型；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3、台面台采用一体化延伸，表面作抛光处理，光滑无毛刺，边缘和四角无尖锐突起；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4、★须具备耐腐蚀、高温、防水功能。（提供彩页证明）</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（十）、毒品称重室</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智能审讯一体桌</w:t>
            </w:r>
          </w:p>
        </w:tc>
        <w:tc>
          <w:tcPr>
            <w:tcW w:w="3183" w:type="pct"/>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CPU采用I5 10代以上处理器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2、硬盘采用固态硬盘+机械硬盘组合形式，固态硬盘容量≥240GB，机械硬盘容量≥500GB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3、内存容量≥16GB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4、内置独立显卡，显卡显存≥4G，位宽≥512Bit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5、显示屏尺寸≥21寸，支持分辨率最大1920*1080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6、示证单元显示屏尺寸≥43寸，支持分辨率1920*1080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7、▲集成审讯台、特写摄像机、拾音器、音箱、插排、交换机、报警按钮、智能触摸中控控制模块、升降显示功能、红黑打印功能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8、▲审讯台台面采用木制材料，四周及边缘不可有尖锐突起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9、★支持一键开关机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10、▲全向拾音，支持环境噪音过滤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11、内置音箱、交换机和手动报警按钮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12、支持HDMI输入、音频3.5mm输入输出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13、▲支持朗读权利义务告知书、电子笔录录入、笔录打印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14、▲支持语音和文字交互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15、▲所投产品须与浙江省公安机关笔录系统、办案系统适配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16、包含键盘鼠标套装和正版操作系统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公安审讯主机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1、支持不拆机箱更换光驱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2、支持RJ45网络接口、POE网络接口、HDMI输入、VGA输入、VGA输出、报警输入接口，报警输出接口、USB2.0接口、USB3.0接口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3、▲支持4K、5MP、1080P等分辨率的摄像机混合接入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4、▲合成画面支持4K分辨率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5、▲支持高音质音频接入，音频编码标准采用AAC，音频采样率8KHz/32KHz/48KHz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6、▲支持校正时钟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7、★单张光盘刻录的音视频时长不低于4小时，且不影响刻录的音视频质量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采集讯问室实时音视频和环境信息，包括讯问民警人声、嫌疑人人声、其他环境声音、嫌疑人正面画面、室内全景画面、时间、温度、湿度等；采集的声音和图像应清晰无损坏，支持多路通道的同时采集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9、▲支持视频自动叠加片头，叠加内容可设置案件编号、案件名称、审讯民警姓名、嫌疑人姓名等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10、支持硬盘自动存储和双光驱刻录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11、支持打点功能，在硬盘存储和光盘刻录过程中可对重点内容进行打点标记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12、▲支持视频、音频丢失报警功能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13、支持自动对光盘进行封盘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14、讯问结束后刻录的时间不超过5分钟。支持通过硬盘音视频数据实现光盘更换自动回补刻录。支持静音光盘复制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15、★刻录光盘需包含播放器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16、支持对光盘进行加密，未通过验证不可进行擦写或拷贝操作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17、访问主机需支持BS和CS两种方式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18、支持音频混音，路数≥9路。可显示声音波形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19、支持一键直刻，光盘刻录可选择单盘直刻、双盘直刻或循环直刻，并可自定义刻录通道</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20、支持GB/T28181、RTSP等接入协议，并具有H.323协议相关设置功能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21、磁盘管理支持盘组和配额两种模式，支持单块最大6T硬盘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22、支持画面合成，合成数量支持1/2/3/4/5/6/8，合成画面可独立编码，支持H.265编码格式，分辨率支持不低于4K，帧率支持60fps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23、支持本机上传证据资料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24、▲支持单人讯问、无人看管、攀高、离岗、人数异常、静止、摔倒等智能分析功能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25、支持接入人体生命体征信息，可在实时视频上同步叠加血压、血氧、心律等体征信息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26、▲主机标配硬盘存储容量不低于4TB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利旧</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（十一）、讯问区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智能审讯一体桌</w:t>
            </w:r>
          </w:p>
        </w:tc>
        <w:tc>
          <w:tcPr>
            <w:tcW w:w="3183" w:type="pct"/>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CPU采用I5 10代以上处理器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2、硬盘采用固态硬盘+机械硬盘组合形式，固态硬盘容量≥240GB，机械硬盘容量≥500GB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3、内存容量≥16GB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4、内置独立显卡，显卡显存≥4G，位宽≥512Bit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5、显示屏尺寸≥21寸，支持分辨率最大1920*1080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6、示证单元显示屏尺寸≥43寸，支持分辨率1920*1080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7、▲集成审讯台、特写摄像机、拾音器、音箱、插排、交换机、报警按钮、智能触摸中控控制模块、升降显示功能、红黑打印功能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8、▲审讯台台面采用木制材料，四周及边缘不可有尖锐突起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9、★支持一键开关机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10、▲全向拾音，支持环境噪音过滤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11、内置音箱、交换机和手动报警按钮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12、支持HDMI输入、音频3.5mm输入输出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13、▲支持朗读权利义务告知书、电子笔录录入、笔录打印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14、▲支持语音和文字交互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15、▲所投产品须与浙江省公安机关笔录系统、办案系统适配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16、包含键盘鼠标套装和正版操作系统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公安审讯主机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1、支持不拆机箱更换光驱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2、支持RJ45网络接口、POE网络接口、HDMI输入、VGA输入、VGA输出、报警输入接口，报警输出接口、USB2.0接口、USB3.0接口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3、▲支持4K、5MP、1080P等分辨率的摄像机混合接入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4、▲合成画面支持4K分辨率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5、▲支持高音质音频接入，音频编码标准采用AAC，音频采样率8KHz/32KHz/48KHz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6、▲支持校正时钟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7、★单张光盘刻录的音视频时长不低于4小时，且不影响刻录的音视频质量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采集讯问室实时音视频和环境信息，包括讯问民警人声、嫌疑人人声、其他环境声音、嫌疑人正面画面、室内全景画面、时间、温度、湿度等；采集的声音和图像应清晰无损坏，支持多路通道的同时采集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9、▲支持视频自动叠加片头，叠加内容可设置案件编号、案件名称、审讯民警姓名、嫌疑人姓名等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10、支持硬盘自动存储和双光驱刻录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11、支持打点功能，在硬盘存储和光盘刻录过程中可对重点内容进行打点标记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12、▲支持视频、音频丢失报警功能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13、支持自动对光盘进行封盘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14、讯问结束后刻录的时间不超过5分钟。支持通过硬盘音视频数据实现光盘更换自动回补刻录。支持静音光盘复制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15、★刻录光盘需包含播放器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16、支持对光盘进行加密，未通过验证不可进行擦写或拷贝操作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17、访问主机需支持BS和CS两种方式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18、支持音频混音，路数≥9路。可显示声音波形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19、支持一键直刻，光盘刻录可选择单盘直刻、双盘直刻或循环直刻，并可自定义刻录通道</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20、支持GB/T28181、RTSP等接入协议，并具有H.323协议相关设置功能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21、磁盘管理支持盘组和配额两种模式，支持单块最大6T硬盘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22、支持画面合成，合成数量支持1/2/3/4/5/6/8，合成画面可独立编码，支持H.265编码格式，分辨率支持不低于4K，帧率支持60fps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23、支持本机上传证据资料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24、▲支持单人讯问、无人看管、攀高、离岗、人数异常、静止、摔倒等智能分析功能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25、支持接入人体生命体征信息，可在实时视频上同步叠加血压、血氧、心律等体征信息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26、▲主机标配硬盘存储容量不低于4TB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签字板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1、内置显示屏幕，采用FSTN正面反射，屏幕尺寸≥4.5英寸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2、工作环境：5°C至40°C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3、▲配置USB接口，支持连接电脑使用，支持WINDOWS操作系统、LINUX操作系统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4、书写区像素点距≥0.3*0.3mm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5、书写区数位活动区域≥95*95mm，分辨率≥2540Lpi</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7、▲产品须符合公安部最新版相关产品目录要求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8、配件包含USB连接线、电子笔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电脑耳麦</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1、▲头戴式单边话务耳机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2、支持USB即插即用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3、响应频率：42-17000Mhz（耳机）,90-15000Mhz(麦克风）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4、灵敏度：≥-40dBV</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5、声压：≤95dB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6、支持降噪拾声</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远程审讯终端</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1、互动终端，输入机位≥4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2、支持H.323 多媒体框架协Q.931\H.221\H.225\H.241\H.245\RTP\RTCP 协议标准；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3、视音频采集低于200ms；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4、支持视音频唇音同步， 视频输入最大支持1080P@60fps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5、支持手动接听、自动接听、手动拒听、自动拒听、视频呼出等丰富的呼叫控制功能；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6、支持H.264 视频编码；支持G711、G722 音频编码； 融合互通，支持与主流标准终端和网络设备互通；</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7、支持APII接口，支持HDMI、VGA视频接口输入输出；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8、支持SDI输入，最大支持接口数≥ 6个；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9、▲设备内含笔录软件，支持笔录制作，并与省厅执法办案平台无缝对接，实现本地和远程笔录的融合电子上传。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10、▲笔录软件实现功能：依托执法办案系统通过笔录实现远程审讯、关联同步视音频，笔录远程预约，支持远程电子签名捺印。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11、▲与省厅执法办案综合应用系统及笔录系统实现无缝对接.</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全景温湿度一体机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1、内置MIC和扬声器，具有不少于1个RJ45接口、1路音频输入接口、1路音频输出接口、2路报警输入接口、1路报警输出接口、1个RS485接口、1个复位按钮、1个存储卡接口。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2、▲支持自动校准时钟，与摄像机、审讯主机时间同步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3、支持通过触摸按键设置显示屏年、月、日、时、分、秒，支持调节年月日自动联动星期显示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4、▲支持将实时温湿度信息叠加到视频画面上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5、摄像机支持1/2.8英寸500万像素CMOS传感器，2.1mm定焦镜头，ICR双滤切换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6、摄像机分辨率不低于2592×1944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7、★支持音频异常检测报警提示，支持超高音报警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8、★支持音视频本地存储卡存储，录制的文件可使用通用播放软件播放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9、★摄像机支持畸变矫正、远端放大功能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10、支持红外、白光补光，红外距离不低于15m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11、★支持值岗、攀高、人数异常等智能分析功能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12、支持三码流同时输出，主码流最高分辨率2592*1944@30fps；最高帧率1920*1080@60 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13、★支持POE、DC12V供电</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审讯椅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1、坐高43.5CM，坐宽46.5CM，椅背高90厘米（误差不超过±5%），坐椅高度支持可调节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2、椅面选用优质皮艺面料。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3、座垫采用一体成型高密度发泡成型棉；具有透气性强，回弹性好，不易变型,不老化等特点。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28</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嫌疑人座椅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1、整体结构采用国标304不锈钢一体成型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2、座面厚度≥1.5mm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3、桌面采用可开合设计，厚度≥1.5mm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4、扶手管壁厚度≥2.5mm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5、嫌疑人座椅上方安装U型锁具用于约束手腕；下部安装脚环装置，采用5.0mm工业不锈钢约束脚部；腰部安装安全杠，防止头部前倾；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6、靠背、座面、椅腿、扶手采用西皮软包，具备高度耐磨性质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7、靠背高度≥930mm,宽度≥620mm，椅腿长≥850mm ,扶手高≥720mm,方形桌面长≥600mm,宽为≥280mm,座面宽为≥550mm,长为≥600mm；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8、座椅主体结构无毛刺、气孔，座面和桌面作边缘钝化处理，无尖锐棱角，保证无法伤人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9、▲桌面镶嵌指纹签章捺印板，与审讯一体桌配合使用，捺印板须与浙江省公安机关笔录系统、办案系统适配。</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（十二）、未成年人讯问区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智能审讯一体桌</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1、CPU采用I5 10代以上处理器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2、硬盘采用固态硬盘+机械硬盘组合形式，固态硬盘容量≥240GB，机械硬盘容量≥500GB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3、内存容量≥16GB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4、内置独立显卡，显卡显存≥4G，位宽≥512Bit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5、显示屏尺寸≥21寸，支持分辨率最大1920*1080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6、示证单元显示屏尺寸≥43寸，支持分辨率1920*1080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7、▲集成审讯台、特写摄像机、拾音器、音箱、插排、交换机、报警按钮、智能触摸中控控制模块、升降显示功能、红黑打印功能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8、▲审讯台台面采用木制材料，四周及边缘不可有尖锐突起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9、★支持一键开关机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10、▲全向拾音，支持环境噪音过滤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11、内置音箱、交换机和手动报警按钮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12、支持HDMI输入、音频3.5mm输入输出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13、▲支持朗读权利义务告知书、电子笔录录入、笔录打印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14、▲支持语音和文字交互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15、▲所投产品须与浙江省公安机关笔录系统、办案系统适配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16、包含键盘鼠标套装和正版操作系统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公安审讯主机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1、支持不拆机箱更换光驱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2、支持RJ45网络接口、POE网络接口、HDMI输入、VGA输入、VGA输出、报警输入接口，报警输出接口、USB2.0接口、USB3.0接口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3、▲支持4K、5MP、1080P等分辨率的摄像机混合接入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4、▲合成画面支持4K分辨率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5、▲支持高音质音频接入，音频编码标准采用AAC，音频采样率8KHz/32KHz/48KHz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6、▲支持校正时钟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7、★单张光盘刻录的音视频时长不低于4小时，且不影响刻录的音视频质量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采集讯问室实时音视频和环境信息，包括讯问民警人声、嫌疑人人声、其他环境声音、嫌疑人正面画面、室内全景画面、时间、温度、湿度等；采集的声音和图像应清晰无损坏，支持多路通道的同时采集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9、▲支持视频自动叠加片头，叠加内容可设置案件编号、案件名称、审讯民警姓名、嫌疑人姓名等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10、支持硬盘自动存储和双光驱刻录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11、支持打点功能，在硬盘存储和光盘刻录过程中可对重点内容进行打点标记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12、▲支持视频、音频丢失报警功能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13、支持自动对光盘进行封盘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14、讯问结束后刻录的时间不超过5分钟。支持通过硬盘音视频数据实现光盘更换自动回补刻录。支持静音光盘复制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15、★刻录光盘需包含播放器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16、支持对光盘进行加密，未通过验证不可进行擦写或拷贝操作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17、访问主机需支持BS和CS两种方式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18、支持音频混音，路数≥9路。可显示声音波形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19、支持一键直刻，光盘刻录可选择单盘直刻、双盘直刻或循环直刻，并可自定义刻录通道</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20、支持GB/T28181、RTSP等接入协议，并具有H.323协议相关设置功能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21、磁盘管理支持盘组和配额两种模式，支持单块最大6T硬盘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22、支持画面合成，合成数量支持1/2/3/4/5/6/8，合成画面可独立编码，支持H.265编码格式，分辨率支持不低于4K，帧率支持60fps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23、支持本机上传证据资料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24、▲支持单人讯问、无人看管、攀高、离岗、人数异常、静止、摔倒等智能分析功能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25、支持接入人体生命体征信息，可在实时视频上同步叠加血压、血氧、心律等体征信息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26、▲主机标配硬盘存储容量不低于4TB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签字板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1、内置显示屏幕，采用FSTN正面反射，屏幕尺寸≥4.5英寸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2、工作环境：5°C至40°C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3、▲配置USB接口，支持连接电脑使用，支持WINDOWS操作系统、LINUX操作系统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4、书写区像素点距≥0.3*0.3mm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5、书写区数位活动区域≥95*95mm，分辨率≥2540Lpi</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7、配件包含USB连接线、电子笔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电脑耳麦</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1、▲头戴式单边话务耳机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2、支持USB即插即用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3、响应频率：42-17000Mhz（耳机）,90-15000Mhz(麦克风）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4、灵敏度：≥-40dBV</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5、声压：≤95dB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6、支持降噪拾声</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全景温湿度一体机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1、内置MIC和扬声器，具有不少于1个RJ45接口、1路音频输入接口、1路音频输出接口、2路报警输入接口、1路报警输出接口、1个RS485接口、1个复位按钮、1个存储卡接口。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2、▲支持自动校准时钟，与摄像机、审讯主机时间同步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3、支持通过触摸按键设置显示屏年、月、日、时、分、秒，支持调节年月日自动联动星期显示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4、▲支持将实时温湿度信息叠加到视频画面上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5、摄像机支持1/2.8英寸500万像素CMOS传感器，2.1mm定焦镜头，ICR双滤切换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6、摄像机分辨率不低于2592×1944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7、★支持音频异常检测报警提示，支持超高音报警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8、★支持音视频本地存储卡存储，录制的文件可使用通用播放软件播放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9、★摄像机支持畸变矫正、远端放大功能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10、支持红外、白光补光，红外距离不低于15m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11、★支持值岗、攀高、人数异常等智能分析功能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12、支持三码流同时输出，主码流最高分辨率2592*1944@30fps；最高帧率1920*1080@60 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13、★支持POE、DC12V供电</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审讯椅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1、坐高43.5CM，坐宽46.5CM，椅背高90厘米（误差不超过±5%），坐椅高度支持可调节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2、椅面选用优质皮艺面料。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3、座垫采用一体成型高密度发泡成型棉；具有透气性强，回弹性好，不易变型,不老化等特点。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未成年人询问椅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1、体征监测椅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2、主体采用实木结构、全皮软包，具备耐磨防划透气透汗特质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3、▲内置多参数体征监测仪，支持实时监测被审讯人员的心电、血氧、脉律、血压等参数，波形图即时显示变化，视频叠加体征动态参数，超出安全范围即时报警；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4、▲支持通过体征参数初步判定被讯问人员的身体、心态、情绪等基本情况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5、靠背采用优质皮质，具备柔韧性极和抗拉伸性</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6、椅子四周全为加厚软包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7、座面采用高密度优质海绵</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未成年监护人陪同座椅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1、坐高43.5CM，坐宽46.5CM，椅背高90厘米（误差不超过±5%），坐椅高度支持可调节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2、椅面选用优质皮艺面料。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3、座垫采用一体成型高密度发泡成型棉；具有透气性强，回弹性好，不易变型,不老化等特点。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（十三）、特殊讯问区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智能审讯一体桌</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1、CPU采用I5 10代以上处理器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2、硬盘采用固态硬盘+机械硬盘组合形式，固态硬盘容量≥240GB，机械硬盘容量≥500GB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3、内存容量≥16GB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4、内置独立显卡，显卡显存≥4G，位宽≥512Bit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5、显示屏尺寸≥21寸，支持分辨率最大1920*1080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6、示证单元显示屏尺寸≥43寸，支持分辨率1920*1080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7、▲集成审讯台、特写摄像机、拾音器、音箱、插排、交换机、报警按钮、智能触摸中控控制模块、升降显示功能、红黑打印功能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8、▲审讯台台面采用木制材料，四周及边缘不可有尖锐突起</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9、★支持一键开关机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10、▲全向拾音，支持环境噪音过滤</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11、内置音箱、交换机和手动报警按钮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12、支持HDMI输入、音频3.5mm输入输出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13、▲支持朗读权利义务告知书、电子笔录录入、笔录打印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14、▲支持语音和文字交互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15、▲所投产品须与浙江省公安机关笔录系统、办案系统适配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16、包含键盘鼠标套装和正版操作系统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公安审讯主机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1、支持不拆机箱更换光驱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2、支持RJ45网络接口、POE网络接口、HDMI输入、VGA输入、VGA输出、报警输入接口，报警输出接口、USB2.0接口、USB3.0接口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3、▲支持4K、5MP、1080P等分辨率的摄像机混合接入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4、▲合成画面支持4K分辨率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5、▲支持高音质音频接入，音频编码标准采用AAC，音频采样率8KHz/32KHz/48KHz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6、▲支持校正时钟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7、★单张光盘刻录的音视频时长不低于4小时，且不影响刻录的音视频质量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采集讯问室实时音视频和环境信息，包括讯问民警人声、嫌疑人人声、其他环境声音、嫌疑人正面画面、室内全景画面、时间、温度、湿度等；采集的声音和图像应清晰无损坏，支持多路通道的同时采集录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9、▲支持视频自动叠加片头，叠加内容可设置案件编号、案件名称、审讯民警姓名、嫌疑人姓名等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10、支持硬盘自动存储和双光驱刻录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11、支持打点功能，在硬盘存储和光盘刻录过程中可对重点内容进行打点标记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12、▲支持视频、音频丢失报警功能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13、支持自动对光盘进行封盘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14、讯问结束后刻录的时间不超过5分钟。支持通过硬盘音视频数据实现光盘更换自动回补刻录。支持静音光盘复制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15、★刻录光盘需包含播放器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16、支持对光盘进行加密，未通过验证不可进行擦写或拷贝操作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17、访问主机需支持BS和CS两种方式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18、支持音频混音，路数≥9路。可显示声音波形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19、支持一键直刻，光盘刻录可选择单盘直刻、双盘直刻或循环直刻，并可自定义刻录通道</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20、支持GB/T28181、RTSP等接入协议，并具有H.323协议相关设置功能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21、磁盘管理支持盘组和配额两种模式，支持单块最大6T硬盘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22、支持画面合成，合成数量支持1/2/3/4/5/6/8，合成画面可独立编码，支持H.265编码格式，分辨率支持不低于4K，帧率支持60fps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23、支持本机上传证据资料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24、▲支持单人讯问、无人看管、攀高、离岗、人数异常、静止、摔倒等智能分析功能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25、支持接入人体生命体征信息，可在实时视频上同步叠加血压、血氧、心律等体征信息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26、▲主机标配硬盘存储容量不低于4TB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电脑耳麦</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线长2.1米，头戴式二级，ABS材质，支持麦克风音频输入</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签字板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1、内置显示屏幕，采用FSTN正面反射，屏幕尺寸≥4.5英寸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2、工作环境：5°C至40°C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3、▲配置USB接口，支持连接电脑使用，支持WINDOWS操作系统、LINUX操作系统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4、书写区像素点距≥0.3*0.3mm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5、书写区数位活动区域≥95*95mm，分辨率≥2540Lpi</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6、▲产品须与浙江省公安机关笔录系统、办案系统适配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7、▲产品须符合公安部最新版相关产品目录要求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8、配件包含USB连接线、电子笔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生命体征仪</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1、自带高亮度显示屏，屏幕显示尺寸≥10.4寸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2、▲支持心电、无创血压、血氧饱和度、脉搏、呼吸、体温检测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3、▲支持心电、血氧、心电、呼吸检测报告现场打印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4、▲支持心电波形回放，支持片断式存贮或趋势图贮存，时长≥6小时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5、有抗高频电刀干扰、抗除颤功能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6、支持声、光双重三级报警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7、★内置存储空间，支持所有采集数据存储，存储时间不低于1个月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8、★心电测量范围：支持至少（27-300）次/分心电微弱信号的提取技术标准，导联线支持相互转换，支持导联脱落自动识别；心电抑制比≥89dB。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9、★无创血压测量范围：成人10-300nnHg；小儿30-180mmHg；新生儿:30-155mmHg。</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10、★无创血压报警支持收缩压、舒张压、平均压、超限报警，可根据具体要求调整报警上、下限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11、支持血氧饱和度测量范围：0—100%，精度满足：±1%（70~100%）， ±2%（35~69%）*脉搏范围: 10-300bpm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12、体温支持测量范围：25-45摄氏度，可任意切换摄氏和华氏温度单位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13、呼吸测量范围：0-100次/分，可任意切换腹式/胸阻抗式测量方式</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全景温湿度一体机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1、内置MIC和扬声器，具有不少于1个RJ45接口、1路音频输入接口、1路音频输出接口、2路报警输入接口、1路报警输出接口、1个RS485接口、1个复位按钮、1个存储卡接口。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2、▲支持自动校准时钟，与摄像机、审讯主机时间同步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3、支持通过触摸按键设置显示屏年、月、日、时、分、秒，支持调节年月日自动联动星期显示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4、▲支持将实时温湿度信息叠加到视频画面上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5、摄像机支持1/2.8英寸500万像素CMOS传感器，2.1mm定焦镜头，ICR双滤切换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6、摄像机分辨率不低于2592×1944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7、★支持音频异常检测报警提示，支持超高音报警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8、★支持音视频本地存储卡存储，录制的文件可使用通用播放软件播放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9、★摄像机支持畸变矫正、远端放大功能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10、支持红外、白光补光，红外距离不低于15m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11、★支持值岗、攀高、人数异常等智能分析功能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12、支持三码流同时输出，主码流最高分辨率2592*1944@30fps；最高帧率1920*1080@60 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13、★支持POE、DC12V供电</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测谎终端设备</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硬件部分：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1、▲CPU采用I7 9代以上处理器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2、★内存容量≥64GB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3、★采用固态硬盘+机械硬盘组合，固态硬盘容量≥512GB，机械硬盘容量≥1TB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4、★独立显卡，显存位宽不低于512Bit,显存容量不低于4GB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软件部分：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微表情识别系统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1、▲支持通过采集可见光视频，分析受测人的的表情情绪；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2、▲支持分析不少于6种瞬态情绪；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3、▲支持分析不少于5种情绪状态，包括情绪压力、效价（正负向）、唤醒度、关注度、配合度等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生理特征分析性能指标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1、▲支持通过采集可见光视频，分析受测人的生命体征；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2、▲拍摄距离1-5米；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3、▲可分析不少于5种生理指标，包括心率、心率变异性、呼吸率、血压、血氧饱和度；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4、▲支持分析时域和频域心率变异性指标；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5、▲可输出生理心理压力；</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6、▲静息态下心率准确率不小于90%；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7、▲支持人脸追踪；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8、▲支持头部上下左右30度偏转及晃动，保持生理指标不中断；</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9、▲支持皮电指标与摄像机采集数据综合分析判断并实时输出判断结果；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表情情绪分析性能指标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1、▲支持通过采集可见光视频，分析受测人的的表情情绪；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2、▲支持分析不少于6种瞬态情绪；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3、▲支持分析不少于5种情绪状态，包括情绪压力、效价（正负向）、唤醒度、关注度、配合度等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    微动作分析性能指标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1、▲支持通过采集可见光视频，分析受测人的的微动作单元；</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2、▲支持分析脸部肌肉动作单元，类别数不少于20种；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3、▲支持分析不少于15种头部及眼球位置动作单元；</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双向分离麦克风</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1、▲内置角色分离算法，可以把被询问人与办案人员声音独立隔离出2路独立的音频，分为左右声道分别提供给语音识别系统做语音识别,用于声纹比对、语音情绪分析等。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2、★麦克风阵列：采用MEMS阵列设计，麦克风MEMS数量不少于4个。</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3、★对每个麦克，具有避免掩蔽效应，即产品正常使用场景下，保证声源的直达声（非反射声）到达每个麦克的机会是均等的。</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4、噪声抑制算法：在不影响人声语谱图情况下具有稳态噪声抑制功能；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5、波束形成算法：要求设备将拾音范围精确划分，麦克风前后方±45度入射角的范围内声音具有人声增强处理。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6、▲采集距离：支持有效采集距离≥80cm。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7、稳定性：支持常温下连续工作48小时以上。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8、灵敏度级：≥50mV/Pa（参考1 V/Pa，1 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9、信噪比≥60dB。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10、频率响应：50-8kHz。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11、▲采集语音格式windows pcm wav格式，16KHz采样率，16位量化精度（需提供产品彩页证明）</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微表情专用摄像头</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1、摄像头分辨率不低于200万像素；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2、10倍光学变焦；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3、支持随时调整焦距及对焦，拍摄距离1--5米，自动对焦；</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10</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皮电采集设备</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1、支持有线和无线数据传输，部署简单方便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2、皮电传感器体积小，重量轻，佩戴舒适。</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11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审讯椅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1、坐高43.5CM，坐宽46.5CM，椅背高90厘米（误差不超过±5%），坐椅高度支持可调节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2、椅面选用优质皮艺面料。</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3、座垫采用一体成型高密度发泡成型棉；具有透气性强，回弹性好，不易变型,不老化等特点。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宋体" w:hAnsi="宋体" w:eastAsia="宋体" w:cs="宋体"/>
                <w:i w:val="0"/>
                <w:iCs w:val="0"/>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12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嫌疑人座椅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1、整体结构采用国标304不锈钢一体成型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2、座面厚度≥1.5mm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3、桌面采用可开合设计，厚度≥1.5mm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4、扶手管壁厚度≥2.5mm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5、嫌疑人座椅上方安装U型锁具用于约束手腕；下部安装脚环装置，采用5.0mm工业不锈钢约束脚部；腰部安装安全杠，防止头部前倾；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6、靠背、座面、椅腿、扶手采用西皮软包，具备高度耐磨性质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7、靠背高度≥930mm,宽度≥620mm，椅腿长≥850mm ,扶手高≥720mm,方形桌面长≥600mm,宽为≥280mm,座面宽为≥550mm,长为≥600mm；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8、座椅主体结构无毛刺、气孔，座面和桌面作边缘钝化处理，无尖锐棱角，保证无法伤人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9、▲桌面镶嵌指纹签章捺印板，与审讯一体桌配合使用，捺印板须与浙江省公安机关笔录系统、办案系统适配。</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（十四）、速裁法庭</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标准庭审主机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1、自带高清显示屏，屏幕尺寸≥7英寸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2、RS-232通讯接口≥4，RS-485通讯接口≥4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3、红外输出接口≥8</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4、嵌入式架构，集成数字视频矩阵、数字音频矩阵、中控、视频编码器、画面分割合成器、录播系统、存储等功能；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5、★支持物理信号直接输入输出，接口数量≥8，支持当前主流分辨率，并向下兼容；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6、支持1/2/3/4/5/6/7/8/9多画面分割，画面风格样式支持自定义配置；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7、合成画面配置可视化操作，合成画面输出分辨率不低于1080P，同时支持向下兼容；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8、支持画面任意一路单独通道信号输出；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9、支持混音输出，支持远程音频输出，支持示证音频输出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10、支持4k/30帧信号的同步实时编码；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11、▲支持语音激励功能，可根据语音发言人变化，自动跟踪切换对应视频摄像机信号，切换过程自然过渡，无黑屏、停顿、花屏；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12、主机内置4TB机械式硬盘；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13、▲内置远程高清音视频解码器，支持法院法庭通过法院专网或政法专网，实现与不同法院及检察院、看守所、监狱的互联互通；</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14、支持光盘复制；支持双光盘回放；支持双光盘备份，支持大容量数据连续备份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15、支持一键刻录功能，可选择合成画面刻录、单画面刻录或全部刻录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16、支持通过触摸屏实现主机的核心业务设置、管理、案件信息录入、刻录录像操作等</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点对点麦克单元</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1、声控话筒，支持语音开启话筒 ；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2、频率范围 50～18000Hz；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3、灵敏度 -42dB(0dB=1V/Pa at 1kHz)；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4、最大声压级 138dB (at 1kHz ≤1% T.H.D)；</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5、等效噪声级 22dB；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6、信噪比：72dB；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7、数字ID识别；</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点对点立麦主控</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1、19英寸标准机箱；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2、▲内有反馈抑制电路：设有高、低音数码调节电路，独立调整系统音质；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3、▲话筒音量调节；</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4、具有三组8P-DIN插座用于系统多路连接，每路可以扩展控制不少于50套话筒，可远程禁用话筒；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5、★具备混音音频输出；</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庭审直播高清编解码器  </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1、支持2路1080P高清视频同时解码或16路标清视频同时解码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2、支持H.264编码视频和AAC-LC/G.711编码音频输出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3、智能网络延时控制，解码延时＜200ms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4、支持HDMI\VGA\DVI等主流接口</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网络强电控制器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1、采用ARM双核32位处理器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2、自带LCD屏液晶显示屏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3、支持密码设置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4、▲内置定时开关机功能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5、内置中控代码生成器，支持第三方设备进行代码编辑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6、内置远程控制，支持对设备进行开启关闭操作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7、支持同型号的电源时序器进行多台扩展及级联设置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8、支持红外学习功能及IO控制功能对第三方设备进行控制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9、★远程控制接口支持：RS485、RS232、TCP/IP、USB3.0/USB2.0、线控</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10、内置10路继电器，每路开关动作提供状态指示灯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11、▲支持升降互锁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12、★支持手动和远程通讯命令控制，提供通讯状态指示灯。</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无线触摸屏-庭审中控PAD</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1、显示屏≥10.1英寸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2、八核CPU：主频≥2.0GHz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3、内存≥3GB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4、存储容量≥16GB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5、USB接口数量≥1，支持与PC数据同步、充电等功能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6、支持外置存储，通用microSD卡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7、双摄像头，前置摄像头≥500万像素，后置摄像头≥1300万像素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8、★显示屏像素≥1600万色、具备防指纹功能，最大分辨率支持1920x1200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9、▲内置WIFI</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10、支持蓝牙连接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11、▲内置控制软件，支持对庭审主机的开关机、一键开闭庭、法庭内视频切换、音频切换、音量调节、红外设备控制、电源控制器控制</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调音台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1、支持连接话筒数量≥10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2、频响范围 0.5dB/-0.5dB（20Hz-20kHz）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3、总谐波失真≤0.03%</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4、输入通道≥16</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5、单声道≥8；</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6、立体声≥4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7、兼容USB音频2.0</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音频功放</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1、8路输出，输出功率≥400W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2、4路输出，输出功率≥500W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3、信噪比≤82dB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4、频率响应范围20Hz-20KHz(+/-0.5dB)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1、壁挂式音箱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2、额定功率≥220W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3、频率响应：45Hz-20KHz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4、灵敏度：96dB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5、最大声压级：121dB（峰值127dB）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6、壁挂安装，含辅材</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审判席</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1、台面尺寸≥5600*800*760mm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2、采用中密度板基材；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3、MM胡桃木木皮贴面，纹理均匀清晰；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4、底漆具备光泽丰满，附着力强，耐腐蚀性，耐水耐磨，抗刮性强，不褪色等性质；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5、采用橡木实木封边，具备防腐、防虫、防泼水功能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6、五金配件：DTC五金配件。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7、台面坡度+预留电脑显示器孔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书记员操作席</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1、台面尺寸≥1400*800*760mm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2、采用中密度板基材；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3、MM胡桃木木皮贴面，纹理均匀清晰；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4、底漆具备光泽丰满，附着力强，耐腐蚀性，耐水耐磨，抗刮性强，不褪色等性质；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5、采用橡木实木封边，具备防腐、防虫、防泼水功能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6、五金配件：DTC五金配件。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7、台面坡度+预留电脑显示器孔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辩论席</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1、台面尺寸≥ 2200*800*760mm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2、采用中密度板基材；</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3、MM胡桃木木皮贴面，纹理均匀清晰；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4、底漆具备光泽丰满，附着力强，耐腐蚀性，耐水耐磨，抗刮性强，不褪色等性质；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5、采用橡木实木封边，具备防腐、防虫、防泼水功能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6、五金配件：DTC五金配件。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7、台面坡度+预留电脑显示器孔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坐椅</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1、木制坐椅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2、采用优制木料实木框架，木面使用雕刻工艺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3、靠背及坐垫使用优质皮革或人造皮革软包处理</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4、采用优质环保涂漆，表面光滑柔和，无颗粒，无气泡，无渣点，颜色均匀、硬度高。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5、具备防虫咬、防腐蚀、防潮等性能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6、主尺寸：700宽×620深×1720高（长宽深误差不超过±2%）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7、副尺寸：700宽×620深×1620高（长宽深误差不超过±2%）</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实物展台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1、▲像素：≥500万像素；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2、变焦：光学放大10倍，数码放大10倍；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3、清晰度：≥1000TV线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4、对焦/白平衡：自动/手动；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5、图像特技：标题、负片、冻结、旋转(0、90、180、270)、同屏对比、镜像、文本/图像、黑白、屏中屏、幕布、阅读窗；</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6、显示速率≥30fps；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7、▲SD卡存储：最大大支持32G存储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8、▲支持RGB输入输出，输入输出路数≥2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9、▲支持HDMI输入输，输入输出路数≥1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10、★内置USB接口,内置SD卡插槽，支持音频输入输出，内置麦克风；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11、▲支持实时批注，简易电子白板功能；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12、★内置简易中控功能，可控制投影机开关机，投影机输入信号切换等；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13、▲支持全高清FHD录制。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14、包含放置台面柜</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液晶电视</w:t>
            </w:r>
          </w:p>
        </w:tc>
        <w:tc>
          <w:tcPr>
            <w:tcW w:w="3183" w:type="pct"/>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分辨率：≥3840×2160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2、ROM容量：≥8GB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3、网络功能：有线/WiFi(双频，2.4/5GHz)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4、刷新率:不低于60Hz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5、▲屏幕尺寸:≥55英寸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6、▲屏幕比例:16:9</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7、CPU:采用四核核芯，主频≥1.5GHZ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8、RAM内存:≥2GB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9、▲HDR显示:支持4K HDR</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10、能效等级:≤3级能效</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11、功耗(W):≤130W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12、待机功耗:≤0.5W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13、遥控器:蓝牙语音遥控器外观设计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14、安装方式：壁挂，含安装支架</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桌面显示器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1、▲液晶宽屏显示器,显示比例16：9</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2、▲屏幕尺寸：≥24英寸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3、亮度：≥250cd/m²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4、面板材质：IPS</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VGA切换器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1、与桌面显示器配套使用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2、支持多个输出设备连接一个显示设备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3、支持按键切换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4、支持1080P</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显示屏可调节倾斜支架</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显示器可调节倾斜支架，支持30度以内角度调节</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桌面显示分配器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支持VGA\DVI\HDMI视频接口，支持1拖4视频输出</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书记员电脑图像分配器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支持VGA\DVI\HDMI视频接口，支持1拖8视频输出</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辅助线缆</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配套</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19U标准机柜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19U标准机柜，包含拖盘及10A PDU</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数字化法庭总控制器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1、内存容量≥16GB，支持扩展，最高支持扩展至64GB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2、内置千兆网卡，网卡数量≥4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3、支持PCIE 3.0，插槽容量≥2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4、使用固态硬盘+机械硬盘，固态硬盘存储容量≥256GB，机械硬盘支持扩展，扩展槽位≥8，支持硬盘执插拔</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5、配套正版Linux操作系统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6、▲支持案件数据的校对、上传、存储功能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7、▲支持法院庭审数据的后期管理功能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8、支持案件数据的网络查询、点播等功能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9、▲支持庭审笔录模版导入、导出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10、▲支持文本格式庭审笔录上传至庭审资源后台管理系统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11、▲支持对庭审音视频资源集中管理，庭审音视频录像及笔录文件自动归档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12、支持后台光盘集中刻录功能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13、▲支持自动同步、手动录入法院基本信息，案件信息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14、可进行基于案件号、法庭名称、庭审相关人等的复合条件查询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15、▲支持自动显示法庭庭审状态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16、▲支持图文庭审直播功能：同屏显示庭审音视频与庭审笔录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17、▲支持根据多种关键字（案件号、法庭名称、庭审当事人、庭审法官等）进行快速模糊查询</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18、★具备点播功能，可按照年、月、周查看点播排行并添加我的收藏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19、★具备统计分析功能。按年份和月份对所有案件分类显示和归档，可按案件统计、按法庭统计、案件开庭统计、法庭使用统计、业务统计的类型进行统计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20、★具备设备状态监测，可查看设备是否在线、磁盘使用状况、音频通道状态等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21、支持“一键开庭”支持“一键闭庭”</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22、★具有休庭功能，重新开庭时不影响庭审实况录制</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23、★支持笔录校对；支持打点功能；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24、★支持笔录文件当庭打印；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25、▲包含系统数字化法庭总控管理软件</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（十五）、案件管理区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案件管理柜（主柜）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1、CPU使用双核处理器，核心主频≥1.5GHZ，，内存容量≥4GB；固态硬盘≥120G；</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2、支持硬盘扩展；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3、内置6声道高保真音频控制器,支持MIC、Line_out;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4、内置千兆网卡,接口数量≥2，支持网络唤醒、PXE功能;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5、RS232串行接口数量≥4,USB2.0接口数量≥2,USB3.0接口≥2;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6、支持HDMI、VGA视频输入输出≥1;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7、自带显示屏，显示屏支持触摸，显示尺寸≥19英寸；分辨率不低于1440*1920；；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8、▲隔口数量不低于8个，隔口尺寸（L*W）310mm*380mm（误差不低过±2%）；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9、内置二维码扫描仪,使用CMOS图像传感器，像素不低于960*640；识读精度≥3mil，采用感应式识读和触发式识读</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10、条码灵敏度倾斜±50°，旋转360°，偏转±55°；</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11、符号反差≥25%</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12、★具备防冲击功能，防护等级不低于IP54（需提供权威机构出具的检测报告说明）；</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13、读卡器使用USB接口，工作频率不低于13.56MHz，射频标准采用ISO14443A协议，支持IC卡；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14、锁控系统采用精钢锁芯，支持网络操控开关锁；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15、内置摄像头,分辨率不低于1280*1024；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16、▲支持与智能案卷管理嵌入式软件对接；</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案件管理柜（从柜）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1、▲内置千兆网卡,接口数量≥2，支持网络唤醒、PXE功能；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2、RS232串行接口≥4,USB2.0接口≥4, USB3.0接口≥2；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3、支持HDMI、VGA视频输入输出≥1；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4、支持MIC、Line_out</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案件管理柜（带电从柜）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1、▲支持外置电源和配套电源直连</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2、▲内置千兆网卡,接口数量≥2，支持网络唤醒、PXE功能；</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3、RS232串行接口≥4,USB2.0接口≥4, USB3.0接口≥2；</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4、支持HDMI、VGA视频输入输出≥1；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5、支持MIC、Line_out</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（十六）、合成作战室（执法巡查区）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室内全彩LED显示屏</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1、▲显示屏采用无金线倒装COB技术，即“发光晶元直接在板封装”（提供第三方检测机构出具的检测报告）。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2、▲LED发光二极管：COB 3 in 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3、▲像素间距：≤1.25mm。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4、像素密度：≥640000dots/m²；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5、★灰度等级16bit, 整屏最大亮度≥600cd/m²（提供整条第三方检测机构出具的检测报告）；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6、★对比度≥9000：1，屏体色温支持不小于3000-10000K范围可调（提供整条第三方检测机构出具的检测报告）；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7、★水平、垂直视角≥160°，亮度均匀性≥97%（提供整条第三方检测机构出具的检测报告）；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8、★刷新率：≥1920Hz，换帧频率≥60 Hz（提供整条第三方检测机构出具的检测报告）；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9、整屏平整度≤0.1mm/m²，内部360°全方位散热设计，散热无死角；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10、模组表面无覆膜；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11、箱体与箱体间卡扣安装，无需外部工具；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12、★显示单元具备3C认证证书（提供权威机构出具的证明文件或者免检证书）；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13、箱体与模组间采用分离式设计，完全前维护；箱体外壳、电源、接收卡、模组、HUB板都可前安装前拆卸；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14、驱动方式为恒流驱动；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15、画面清晰完整，色彩角度完美显示；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16、支持7*24小时无间断工作；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17、★支持任意方向、任意尺寸、任意造型拼接，画面均匀一致，无黑线，实现真正无缝拼接；</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14.58</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LED发送卡</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1、视频输入：DVI≥1，1路HDMI≥1</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2、网口输出：≥6</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LED支架</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一体式结构，根据现场环境搭建，包含LED模块的输入电缆、电源线、网线、各类辅材</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20.34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大屏控制软件</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1、▲产品支持DVI和HDMI接口，支持4K分辨率信号接入；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2、▲产品支持640*480至3840*2160之间的多种分辨率视频信号自适应接入和视频信号输出，支持条屏模式，最大支持10000*100点。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3、信号输出：≥4 路，网口输出≥1路 DVI 输出。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4、▲最大带载分辨率：2048×1152@60Hz 或 1920×1200@60Hz。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5、换帧频率(Hz)：60。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6、刷新率(Hz)：3840。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7、▲支持WINDOWS系统安装和国产系统安装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8、▲与云控分布式控制软件兼容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配电柜</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1、★20KW配电柜</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2、输入电路：三相五线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3、输出回路：双三相回路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4、▲支持网络远程控制</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大屏线缆</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辅助线缆，支持高清输入输出</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视频综合平台机箱</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1、8U标准机箱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2、标准机架式设计，采用运营级ATCA机箱系统；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3、支持模块插拔，机箱槽位≥5，业务模块支持热插拔</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4、双电源适配器，双电源冗余，单主控板；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5、智能风扇自动调温，确保系统运行稳定</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视频综合平台输入编码板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1、视频输入≥8，支持VGA\DVI</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2、支持主流分辨率，最大支持1920*1200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3、8路音频输入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4、编码标准H.264</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视频综合平台输出解码板</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1、视频输出≥8，支持VGA\DVI</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2、最大支持分辨率1080P</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3、编码标准H.264</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10</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交换机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1、非网管式交换机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2、▲接口数量≥9（8口出，1口进）</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3、传输速率：10Mbs/100Mbs/1000Mbs)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4、传输模式:全双工/半双工自适应</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5、背板带宽≥16Gbps</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w:t>
            </w: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sz w:val="18"/>
                <w:szCs w:val="18"/>
                <w:u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指挥终端</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1、双核CPU，主频不低于2.6GHZ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2、内存容量不低于16GB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3、硬盘采用固态+机械，固态硬盘存储容量≥256GB（可根据需求增减），机械硬盘存储容量≥1TB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4、配套16：9宽屏显示器,显示尺寸≥21.5英寸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5、包含键盘鼠标套件和正版操作系统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辅助线缆</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配套线缆</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调音台</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1、支持连接话筒数量≥10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2、频响范围 0.5dB/-0.5dB（20Hz-20kHz）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3、总谐波失真≤0.03%</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4、输入通道≥16</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5、单声道≥8；</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6、立体声≥4</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7、兼容USB音频2.0</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功放</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1、8路输出，输出功率≥400W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2、4路输出，输出功率≥500W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3、信噪比≤82dB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4、频率响应范围20Hz-20KHz(+/-0.5dB)</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音箱</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1、壁挂式音箱（可根据现场环境进行调整）</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2、额定功能：≥100W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3、定阻输入≤8Ω</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4、频率响应：90-16000MHZ</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电源时序器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1、支持配置CH1和CH2通道为受控或不受控状态。</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2、带电脑中控连接RS232串口，自由设定开机和关机延时时间。</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3、单个通道最大负载功率2000W，所有通道负载总功率达6000W。</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4、输入连接器：大功率线码式电源连接器。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5、输出连接器：多用途电源插座10A标准接口。</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宋体" w:hAnsi="宋体" w:eastAsia="宋体" w:cs="宋体"/>
                <w:i w:val="0"/>
                <w:iCs w:val="0"/>
                <w:color w:val="auto"/>
                <w:sz w:val="18"/>
                <w:szCs w:val="18"/>
                <w:u w:val="none"/>
                <w:lang w:val="en-US" w:eastAsia="zh-CN"/>
              </w:rPr>
            </w:pPr>
            <w:r>
              <w:rPr>
                <w:rFonts w:hint="eastAsia" w:ascii="宋体" w:hAnsi="宋体" w:eastAsia="宋体" w:cs="宋体"/>
                <w:i w:val="0"/>
                <w:iCs w:val="0"/>
                <w:color w:val="auto"/>
                <w:sz w:val="18"/>
                <w:szCs w:val="18"/>
                <w:u w:val="none"/>
                <w:lang w:val="en-US" w:eastAsia="zh-CN"/>
              </w:rPr>
              <w:t>17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反馈抑制器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1、采样频率：48kHz；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2、动态范围：＞109dB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3、输出电平：+4dBu,1kHz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4、频率响应：20Hz-20kHz，±0.5dB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5、总谐波失真+噪声：典型值0.003%</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话筒</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1、频率范围：640-690MHZ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2、可调范围：50MHZ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3、通道数目：≥60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4、频率稳定性：±0.005%以内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5、动态范围：≤100db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6、综合性噪比：≥105DB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7、综合失真：≤0.5%</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8、支持抗手机信号干扰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9、支持过滤电流保障音质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10、▲产品包含接收机</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（十七）、审讯指挥作战区</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移动会议会商屏</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1、★屏幕尺寸≥65英寸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2、★屏幕分辨率4K或以上</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3、亮度≥350cd/m²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4、▲自带OPS，支持安卓、WINDOWS双系统安装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5、支持多点触控，触控点≥20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6、触点精度误差±1mm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7、支持HDMI\VGA\DVI等多种视频接口输入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8、▲支持无线投屏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9、包含可移动支架、无线投屏器、无线遥控和智能笔。</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1拖2无线麦克风</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1、▲含USB接收器，内置声卡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2、即插即用WIN7以上免驱</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3、▲支持连接电脑、平板一体机（WINDOWS系统和安卓系统）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4、连接使用范围≥20米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5、延迟≤5ms</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6、信噪比≤96db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7、谐波辐射＜10dBc</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（十八）、嫌疑人定位系统</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定位腕带（心率）</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1、定位距离50米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2、定位精度10cm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3、360</w:t>
            </w:r>
            <w:r>
              <w:rPr>
                <w:rFonts w:hint="eastAsia" w:ascii="宋体" w:hAnsi="宋体" w:eastAsia="宋体" w:cs="宋体"/>
                <w:i w:val="0"/>
                <w:iCs w:val="0"/>
                <w:color w:val="auto"/>
                <w:kern w:val="0"/>
                <w:sz w:val="18"/>
                <w:szCs w:val="18"/>
                <w:u w:val="none"/>
                <w:vertAlign w:val="superscript"/>
                <w:lang w:val="en-US" w:eastAsia="zh-CN" w:bidi="ar"/>
              </w:rPr>
              <w:t>o</w:t>
            </w:r>
            <w:r>
              <w:rPr>
                <w:rFonts w:hint="eastAsia" w:ascii="宋体" w:hAnsi="宋体" w:eastAsia="宋体" w:cs="宋体"/>
                <w:i w:val="0"/>
                <w:iCs w:val="0"/>
                <w:color w:val="auto"/>
                <w:kern w:val="0"/>
                <w:sz w:val="18"/>
                <w:szCs w:val="18"/>
                <w:u w:val="none"/>
                <w:lang w:val="en-US" w:eastAsia="zh-CN" w:bidi="ar"/>
              </w:rPr>
              <w:t>全向识别</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4、间歇定时心率监测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5、频道隔离，多个标签互不干扰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6、支持重力传感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7、自带求救按钮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8、按键次数≥300万次</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9、内置300mAh锂聚合物电池,微瓦级功率消耗</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10、电压低于预设值时以无线提示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11、工作温度 -20℃~60℃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12防浸泡防冲击，支持工业环境下正常工作</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60</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定位腕带拆解工具</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配套工具</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定位卡片</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1、定位距离50米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2、定位精度10cm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3、360o全向识别</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4、间歇定时心率监测</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5、频道隔离，多个标签互不干扰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6、支持重力传感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7、自带求救按钮</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8、按键次数≥300万次</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腕带充电器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1、输出电压 5V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2、充电电压 DC5V 2A</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3、一拖五 同时对5条手环同时充电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4、输入接口 Type-C 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5、输出接口 (Pogo pin触点)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6、产品颜色 浅灰</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7、屏幕指示 自带屏幕，显示每条手环的充电信息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8、自动充电功能 即插即充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9、产品净重 约650g</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10、产品尺寸 长363mm*宽96mm*高45mm</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卡片充电器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1、输出电压 DC5V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2、充电适配器规格 DC5V 2A</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3、充电位 同时支持5张标签充电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4、输入接口 Type-C 接口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5、输出接口 (Pogo pin触点)</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6、充放功能 支持边充边放</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7、电量指示 4颗指示灯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8、自动充电功能 即插即充</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9、产品净重 525g</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10、产品尺寸 130mm*90mm*80mm</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定位基站</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1、内置天线</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2、支持标准POE网口供电</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3、定位 距离80米</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4、支持同时识别标签≥200张</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5、定位精度≤10cm</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6、采用吸顶式固定安装</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定位软件</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1、支持将定位基站数据回传、对接至执法办案管理系统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2、支持单人审讯、无人看管报警并进行通知、报警、以及数据展示</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3、与办案区模块高度兼容</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定位引擎</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1、支持实时位置定位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2、支持地图导入，基站导入，基站编组，区域约束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 TCP、WEBSOCKET 两种数据分发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 SOS报警、剪断报警、低电量报警</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地图服务器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1、CPU主频≥2.8Ghz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2、DDR4内存≥16GB ，最大支持扩展256GB内存</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3、硬盘容量≥1T，支持热插拔</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4、千兆网口，最大支持2个PCI-E扩展槽</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（十九）、服务器</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应用服务器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1、使用CentOS操作系统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2、CPU主频≥3.0Ghz，8核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3、内存容量≥32GB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4、硬盘容量≥1T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5、内置千兆网卡</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流媒体服务器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1、支持IPC、NVR/DVR、解码器、网络矩阵、网络报警主机等设备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2、高清视频转发≥1000路</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3、支持接入4G单兵/车载设备的图像预览和语音对讲</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4、支持平台级联服务，支持上下级平台间的信令转分发，支持跨网段/网关传输。</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5、支持报警联动和报警转发。</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数据中心服务器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1、使用CentOS操作系统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2、CPU主频≥3.0Ghz，8核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3、内存容量≥32GB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4、硬盘容量≥1T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5、内置千兆网卡</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即时指挥/即时通讯服务器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1、使用CentOS操作系统</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2、CPU主频≥3.0Ghz，8核</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 xml:space="preserve">3、内存容量≥32GB </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4、硬盘容量≥1T</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5、内置千兆网卡</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证据存储服务器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1、支持流式存储和文件存储两种存储方式</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2、支持Onvif、GB/T28181、SDK；</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3、支持RAID0、1、3、5、6、10、50、60；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4、自带RJ45千兆网口；</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网络存储服务器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1、支持流式存储和文件存储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2、运行内存≥8GB；</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3、最大支持36盘位</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4、使用软RAID系统，支持RAID0、1、5、6、10、50、60；</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5、自带RJ45千兆网口</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6、使用LINUX操作系统</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6T企业级硬盘</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SATA硬盘，存储容量6T</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156</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人脸识别主机</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1、▲支持通过头肩模型智能跟踪活动目标，实时抓拍提取人脸照片</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2、支持智能适配人脸质量阈值，实时更新比对相似度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3、支持按时间/点位/人脸属性/人脸照片等信息查询抓拍记录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4、支持将抓拍的人脸与目标库实时比对，发现布控人员时实时报警提示和联动声音报警</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5、▲支持突出显示比中人脸照片和人员属性，提醒管理者重点关注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6、▲支持查询比中报警信息和统计报表</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7、支持多目标库管理</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北斗校时服务器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1、相对北斗时间偏差＜20ns(UTC)</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2、支持windows、linux、unix等主流操作系统时间同步</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3、NTP授时带载能力≥8000/s</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73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安全审计服务器</w:t>
            </w:r>
          </w:p>
        </w:tc>
        <w:tc>
          <w:tcPr>
            <w:tcW w:w="3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支持身份认证及访问授权；数据安全管理：加密存放；访问控制及异常告警；配置管理；密码管理；部署方式；深度解析；高可用性；实时监控；操作行为记录</w:t>
            </w:r>
          </w:p>
        </w:tc>
        <w:tc>
          <w:tcPr>
            <w:tcW w:w="40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466" w:type="pct"/>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小计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133"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合计</w:t>
            </w:r>
          </w:p>
        </w:tc>
        <w:tc>
          <w:tcPr>
            <w:tcW w:w="4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b/>
                <w:bCs/>
                <w:i w:val="0"/>
                <w:iCs w:val="0"/>
                <w:color w:val="auto"/>
                <w:sz w:val="18"/>
                <w:szCs w:val="18"/>
                <w:u w:val="none"/>
              </w:rPr>
            </w:pPr>
          </w:p>
        </w:tc>
        <w:tc>
          <w:tcPr>
            <w:tcW w:w="466" w:type="pct"/>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宋体" w:hAnsi="宋体" w:eastAsia="宋体" w:cs="宋体"/>
                <w:i w:val="0"/>
                <w:iCs w:val="0"/>
                <w:color w:val="auto"/>
                <w:sz w:val="18"/>
                <w:szCs w:val="18"/>
                <w:u w:val="none"/>
              </w:rPr>
            </w:pPr>
          </w:p>
        </w:tc>
      </w:tr>
    </w:tbl>
    <w:p>
      <w:pPr>
        <w:tabs>
          <w:tab w:val="left" w:pos="3720"/>
        </w:tabs>
        <w:spacing w:line="360" w:lineRule="auto"/>
        <w:outlineLvl w:val="0"/>
        <w:rPr>
          <w:rFonts w:hint="eastAsia" w:ascii="宋体" w:hAnsi="宋体" w:cs="宋体"/>
          <w:b/>
          <w:bCs/>
          <w:szCs w:val="21"/>
        </w:rPr>
      </w:pPr>
      <w:r>
        <w:rPr>
          <w:rFonts w:ascii="宋体" w:hAnsi="宋体" w:cs="宋体"/>
          <w:b/>
          <w:bCs/>
          <w:szCs w:val="21"/>
        </w:rPr>
        <w:br w:type="page"/>
      </w:r>
      <w:r>
        <w:rPr>
          <w:rFonts w:hint="eastAsia" w:ascii="宋体" w:hAnsi="宋体" w:cs="宋体"/>
          <w:b/>
          <w:bCs/>
          <w:szCs w:val="21"/>
        </w:rPr>
        <w:t>二、软件开发部分</w:t>
      </w:r>
    </w:p>
    <w:tbl>
      <w:tblPr>
        <w:tblStyle w:val="2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827"/>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任务项</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办案区管理模块</w:t>
            </w:r>
          </w:p>
        </w:tc>
        <w:tc>
          <w:tcPr>
            <w:tcW w:w="4261" w:type="pct"/>
            <w:noWrap w:val="0"/>
            <w:vAlign w:val="center"/>
          </w:tcPr>
          <w:p>
            <w:pPr>
              <w:spacing w:line="240" w:lineRule="auto"/>
              <w:jc w:val="both"/>
              <w:rPr>
                <w:rFonts w:hint="eastAsia" w:ascii="宋体" w:hAnsi="宋体" w:eastAsia="宋体" w:cs="宋体"/>
                <w:b/>
                <w:bCs/>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民警工作台</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将个人工作所需模块直接展示，由管理员设置根据不同角色设置不同内容。用于快速切换办案区、案卷管理、涉案财物管理、远程提讯管理模块；分类统计并展示办案区使用情况；实时展现办案区内24小时嫌疑人动态；按时间段显示刑事案件、刑事案件入区及裁决数据；显示各类申请流程详情；在区人员统计，包括嫌疑人、民警、其他人员等；统计侯问室各类型人员数量，并快速打开候问室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业务流程</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1、入区登记：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1.1、预约登记：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预约时必须填写预约基本信息和嫌疑人基本信息。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预约时选中预约民警后自动填充民警电话、办案单位。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预约时支持民警上传入区手续，可上传多个。</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预约时支持标记男女、未成年、残疾人、传染病人等人员类型及对应的人数。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未成年嫌疑人登记时，支持选择是否需要法定代理人。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嫌疑人登记时，支持选择是否需要翻译人员。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翻译类型可选手语、维语、蒙语、日语、韩语、英语、藏语翻译。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支持发送短信消息给审核民警，提醒审核预约流程，如：XX警官，预约编号XXX请及时审核。</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支持预约的查询、查看详情、编辑、延期、删除功能。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支持根据条件查询预约信息，包括预约编号、预约民警、办案单位等。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选中预约，右侧显示嫌疑人详细信息，包括姓名、性别、证件号码。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支持延期预约，且不改变审核状态。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预约审核时，支持下载入区手续附件。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审核通过后，支持发送短信消息给办案民警，通知预约审核成功。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嫌疑人登记：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支持刷手环直接打开入区登记页面。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支持设置多个入区登记区域。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支持定位腕带的发放功能，通过定位腕带和嫌疑人进行绑定，对嫌疑人进行唯一标识。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支持通过腕带读卡器自动录入腕带编号信息。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嫌疑人入区登记时，如果已经预约的可关联预约信息自动填充。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选择预约人员信息后/通过二代身份证信息读取设备，可自动识别嫌疑人二代身份证上的信息，并将数据自动录入系统。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支持将身份证信息与预约信息进行比对,如有不符合项给出报警提示，无不符合项覆盖修改身份证信息。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通过身份证号码（全国违法犯罪人员库）自动比对嫌疑人是否为有前科人员（需做对接）。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支持抓拍嫌疑人照片并上传。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支持采集嫌疑人人像，并同公安在逃等人员库（需做对接）进行比对，辅助筛查嫌疑人的身份信息，若经比对发现嫌疑人为在逃人员，系统会弹出信息提示。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支持出入区嫌疑人照片抓拍比对功能，验证出入区是否为同一人，防止误放。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人证核验，实拍人像和身份证读取照片比对，核对身份是否真实。人证核验有三种方案可供选择，一是通过人脸检测摄像机配合二代身份证阅读器和人脸识别主机实现；二是人脸识别半球配合二代身份证阅读器和人脸识别主机实现；三是通过智能核验终端实现，智能核验终端集成300万像素单目摄像机和身份证阅读器，支持人证核验功能及出入区嫌疑人抓拍比功能，无需额外单独配置摄像机、身份证阅读器和人脸识别主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1.3、办案民警登记：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支持定位卡片的发放功能，通过定位卡片和办案民警进行绑定，对办案民警进行唯一标识。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支持通过读卡器自动录入定位卡片编号信息。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支持抓拍办案民警照片并上传。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系统符合公安部标准案由模板，支持登记案由。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本单位办案人员信息登记支持人脸识别（需配置人脸识别服务器）及手动模糊搜索，快速录入办案民警的姓名等基本信息。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非本单位办案人员登记支持手动录入办案民警的姓名等基本信息。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1.4、其他功能：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在嫌疑人入出区界面，支持列表显示已登记嫌疑人信息，并进行查看详情、签名捺印、下载、裁决、出区操作。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人员入区登记时，可抓拍人员面部照片，并录入登记表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支持条件查询嫌疑人信息。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支持根据查询条件导出嫌疑人登记列表。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支持查看详情并修改（手环编号不可修改）。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支持对人员体表进行抓拍，可控制摄像机对准伤疤位置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支持下载pdf格式台账，包括入区台账、出区台账、五合一台账等。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已入区的嫌疑人，支持重新抓拍照片。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支持对比平台和警综人员信息，不同项用颜色标记。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支持分类登记入区人员，包括嫌疑人、警员、受害人、证人、工作人员及其他人员。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支持多个人员批量入区。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支持刷身份证填充身份信息。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支持列表展示警员、其他人员入区记录，并支持条件检索和导出列表功能。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人身安全检查</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支持扫描嫌疑人腕带自动弹出到该嫌疑人人身安全检查界面。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支持嫌疑人进入办案区不进行人身安全检查，系统会进行语音报警提示。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支持记录人身安全检查环节的开始时间与结束时间。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伤疤抓拍照片支持本地电脑上传方式导入系统。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支持将人员身体检查情况录入系统。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抓拍嫌疑人外伤照片，附在人身安全检查表后面，支持打印。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支持标记并抓拍嫌疑人受伤位置照片并保存到系统中，支持删除错误的体表标记。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支持人身安全检查台账生成、预览、下载、打印。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支持修改后重新生成人身安全检查登记表，重新签名。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支持列表显示所有嫌疑人的人身安全检查情况，并支持条件检索和导出列表功能。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可对接执法办案平台数据，自动导入已录入信息。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支持全程留痕，对检查照片进行上传，如不按照流程操作无法进行到下一步。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财物暂存</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支持嫌疑人进入办案区不进行随身物品暂存，系统会进行语音报警提示。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支持对财物进行暂存登记，支持记录物品名称、物品数量、计数单位、特征描述等物品信息。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支持登记多件物品，支持打开嫌疑人关联的所有柜子。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支持扫描嫌疑人腕带自动带出嫌疑人信息。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支持对登记的财物分类标记，分为是否涉案，涉案物品可选扣押或暂存。</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支持手动选取储物柜规格（大、中、小），并打开相应的储物箱。</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支持对物品进行拍照并自动上传图片，可同时抓拍多张照片，最多5张。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支持嫌疑人随身物品暂存台账生成、预览、打印、导出。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嫌疑人随身物品暂存新增、修改、删除、查看。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嫌疑人随身物品领取台账生成、预览、打印、导出。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支持查看登记人员的随身物品列表，涉案物品列表，扣押物品列表。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支持通过储物柜编号、开柜时间精确查询开柜记录。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支持记录随身物品暂存环节的开始时间与结束时间。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支持修改后重新生成随身财物暂存台账，重新签名。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 支持单面随身物品柜和双面随身物品柜。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 支持列表展示随身物品暂存情况，可进行条件检索。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 支持可视化展示随身物品柜布局及存储情况，可点击打开箱门。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信息采集</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支持嫌疑人进入办案区不进行信息采集，系统会进行语音报警提示。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支持记录信息采集环节的开始时间与结束时间，生成完整的台账记录。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支持扫描嫌疑人腕带联动信息采集页面，并自动带出嫌疑人信息。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支持列表展示信息采集情况，可进行条件检索。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支持选中嫌疑人信息，右侧列表显示该嫌疑人所有采集的信息，包括采集项和状态。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**检测</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支持嫌疑人进入办案区不进行**检测，系统会进行语音报警提示。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支持通过嫌疑人姓名自动带出人员信息。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支持记录尿样检测和毛发检测结果。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支持扫描嫌疑人腕带联动**检测页面，并自动带出嫌疑人信息。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支持列表展示**检测记录，可进行条件检索。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支持多种毒品类型选择，并可自定义毒品类型。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使用证据抓拍摄像机抓拍嫌疑人和尿检结果的物证。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支持记录检测结果、特征描述并生成报表，支持打印。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支持记录**检测环节的开始时间和结束时间。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支持修改后重新生成**检测台账，重新签名。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尿样管理</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支持对嫌疑人检测尿样进行管理，并保留记录。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支持对尿样进行登记、取出操作，并支持查看详情。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支持列表显示尿样管理记录，可进行条件检索。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尿样进行登记、取出后，**检测界面此嫌疑人的尿检项则不可编辑。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候问管理</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支持看押登记、带出登记、返回登记。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支持候问历史记录查询、查看、导出。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候问室分配规则满足男女分离、同案分离、特殊人群、未成年人分离等。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看押时支持扫描嫌疑人腕带自动跳转到嫌疑人看押登记界面，并分配候问室；看押民警自动填充登陆人信息。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带出时支持扫描嫌疑人腕带自动跳转到嫌疑人带出登记界面，嫌疑人信息自动录入，带出民警自动填充登陆人信息。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返回时支持扫描嫌疑人腕带自动跳转到嫌疑人返回候问页面，并返回之前使用的候问室；若已满员给出提示。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支持扫描嫌疑人腕带时语音提示看押的候问室。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支持可视化展示各候问室状态，包括各候问室的当前在押人数、在押人性别。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支持标记空闲、已使用的候问室；支持颜色标记候问室人数范围。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支持查看候问室实时视频，并展示当前候问室在押人员列表及嫌疑人基本信息。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支持根据嫌疑人姓名查询其所在的候问室。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支持统计候问室所有在押人员信息，显示剩余可容纳人数，并可根据人员类型分类统计显示。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支持选中候问室显示该候问室嫌疑人看押情况，包括嫌疑人姓名和图片。选中嫌疑人图片可查看嫌疑人详细信息。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支持更换候问室，更换分配规则满足男女分离、同案分离、特殊人群、未成年人分离等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在候问室门外，安装智能交互终端，实时显示当前候问室内候问人员数量和名单；同时支持兼顾门禁控制。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审讯管理</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系统可自动或手动录入案件及审讯基本信息。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开始办案后自动开始同步录音录像。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支持预设办案笔录模板功能。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支持嫌疑人信息自动关联并更新到笔录表头，无须手动录入。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支持常用问答模板辅助民警讯问问答。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支持告知书副屏展示，支持全文朗读、光标朗读、选择朗读告知书、支持打印告知书。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支持语音朗读笔录，并可通过显示设备进行展示，也可打印为纸质笔录，以实现笔录校对。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支持语音朗读权利义务告知书。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支持法律法规的关键字检索、查看功能，为办案提供法律依据，方便民警查询。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支持对关键笔录重点标记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支持协同办案，同案件的多个审讯室可互相查看对方的笔录和视频信息。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支持两个讯问室实时共享视频和笔录信息，实现协同办案。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支持笔录校对及校对时朗读本地笔录。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支持笔录和视频关联，实现两者互相定位。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15) 支持查看同一案件的历史笔录，支持列表显示及条件检索。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16) 支持列表显示审讯记录，并支持条件检索。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17) 支持对审讯记录进行查看详情、修改、删除、点播、下载、查看笔录、权限分配、再次审讯等操作。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18) 支持继续审讯，系统异常退出后，只要没有结束审讯，可以继续审讯。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19) 支持案件资料全自动光盘刻录，并可进行光盘封面打印。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 支持查看刻录进度，并支持条件检索。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21) 支持证据管理，包括证据资料的查询、预览、下载、上传、刷新、删除。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22) 支持证据资料副屏展示。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23) 支持笔录导出导入功能。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24) 办案时长展示及定时提醒。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25) 支持快捷键协助办案。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26) 支持民警在办案区远程审讯不在本地的嫌疑人。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27) 询/讯问室状态管理，超时办案提醒。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28) 支持自定义设置LED电子门牌的播放方式、播放速度和停留时间。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29)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30) 支持远程查看讯询问室的音视频、电子笔录、案件信息，实现相关人员对办案民警的远程参审指挥。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31) 支持违规督导功能，发现讯询问室内出现违规行为时下发给相关管理人员，同时可发送违规照片，对违规行为进行督导整改。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物品返还</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支持扫描嫌疑人腕带自动在物品返还列表中定位到该嫌疑人信息，同时可查看对应的物品信息。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嫌疑人再次刷腕带联动腕带读写卡器打开储物柜，对物品进行取出。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支持三种提取方式，包括全部提取、正式调用、临时调用。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全部提取时，物品去向支持扣押、移交、本人领取、家人代领、代保管。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正式调用时，列表显示嫌疑人暂存物品，并支持对每一个物品进行标记状态，包括物品状态(正常/异常)、涉案(是，否)、物品去向(扣押、移交、本人领取、家人代领、代保管)。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临时调用时，并支持对每一个物品进行标记状态，包括物品状态(正常/异常)、物品去向(采集、检查、其他)、领取说明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支持暂存物品扣押信息生成报表并打印。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支持暂存物品返还信息生成报表并打印。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支持记录物品返还环节的开始时间和结束时间。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支持列表查询嫌疑人信息或嫌疑人所有物品。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支持列表查询嫌疑人所有物品存取信息。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医疗体检</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支持列表显示嫌疑人医疗体检记录，并支持条件检索。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支持电子签名及指纹捺印。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支持选择模板填写体检结果，并支持打印。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出区登记</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 支持出区申请及出区审批功能。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支持刷手环直接打开出区登记页面。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支持选择嫌疑人出区原因生成出区记录，出区原因可以多选。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临时出区人员返回并输入身份证后，支持直接关联到临时出区人员信息并自动填充到页面。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正常出区流程，支持选择裁决结果、出区去向，填写出区说明。</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临时出区流程，临时出区指认现场、查封扣押、辨认、搜查、出区就医等。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临时出区返回流程，嫌疑人如出现临时出区就医情况，再重新入区时系统中可上传病例、诊断证明等信息。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特殊情况出区可办理强制出区。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支持出区裁决功能，23小时未裁决系统自动提示。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支持校验需要出区人员是否符合出区条件，出区条件可配置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民警出区管理。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民警卡片回收注销。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 根据嫌疑人在办案区内移动轨迹和时间生成办案区活动表，打印后签名记录。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 支持电子签名及指纹捺印。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电子档案</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通过列表显示嫌疑人列表，包括嫌疑人、姓名、证件号码、案由等，选择查看嫌疑人电子档案，包括入出区记录、人身安全检测记录、随身物品存取记录、信息采集记录、**检测记录、审讯记录。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审讯指挥</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需求提出申请，审批通过，合成作战室收到请求后，可进行相应研判文件上传，办案民警办案时可在审讯界面查看文件列表，并进行在线预览和下载查看，为民警办案提供信息支撑。功能包括：远程参审智慧、案件信息调阅、案件审核、信息研判、远程作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每日报表</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根据出区人员概况、羁押情况、重点在押人员情况、执法监督检查情况等生成每日动态分析报表，支持查看、编辑、下载报表；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基本功能</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办案区管理可分为四个功能子模块：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审讯终端模块：审讯终端是办案人员业务操作的终端，通过该终端审讯人员可直接进行高清视频的浏览与控制、案件信息的录入、电子笔录的录入、案件资料的查阅、远程领导指挥命令的接收与回复等，是审讯业务流程的重要保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指挥终端模块：指挥终端是系统的重要组成部分，是领导对前端审讯进行实时监控、指挥的操作终端，通过该终端指挥人员可直接进行前端高清音视频的实时浏览与控制、实时笔录的查看、案件资料及审讯录音录像的查阅、对审讯人员远程指挥等，保证案件的快速侦破，提高办案效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管理平台模块：视频管理模块主要用于**值勤室或中心控制室工作人员实施监看审讯室、办案区楼道及其他功能区域的情况，以防止与审讯无关人员的突然闯入或在有突发事件发生时在第一时间进行处置。客户端软件以工作人员操作准确快捷为原则规划设计界面，强调客户端的易用性、互操作性、稳定性、安全性，无需繁琐的系统设置，支持简便的个性化配置，提高管理使用效率，增强审讯室的安全保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视频管理模块：管理平台是智慧法制一体化管理系统的重要组成部分，是系统管理人员对系统设置管理的部分，管理人员可进行业务管理、电子地图管理、设备管理、报警管理、门禁管、系统设置与管理等操作，为系统正常运行提供有力保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依据各模块的业务应用场合不同其功能也不相同，可适应公安机关执法办案区不同权限、不同职能的工作人员应用。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408"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执法监督模块</w:t>
            </w:r>
          </w:p>
        </w:tc>
        <w:tc>
          <w:tcPr>
            <w:tcW w:w="4261" w:type="pct"/>
            <w:noWrap w:val="0"/>
            <w:vAlign w:val="center"/>
          </w:tcPr>
          <w:p>
            <w:pPr>
              <w:spacing w:line="240" w:lineRule="auto"/>
              <w:jc w:val="both"/>
              <w:rPr>
                <w:rFonts w:hint="eastAsia" w:ascii="宋体" w:hAnsi="宋体" w:eastAsia="宋体" w:cs="宋体"/>
                <w:b/>
                <w:bCs/>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可视化分析研判</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警、案、人、物、卷、场”为执法监督关键要素，科学组织各类执法信息资源，通过直观、关联的视频监督、地图展示、数据可视化展示，将各类执法活动通过集成的可视化界面应用进行统一的展示，既可以宏观了解全省的执法活动，也可以直接监督到每个执法现场和执法环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功能包括：</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（1）支持通过警情编号和案件编号跳转到警综平台详情页，六要素管理、日常执法监督、基层、职能、数据研判、大屏展示等涉及到案件编号展示都可以超链接到警综平台（需要对接警综平台数据）；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（2）支持警情、案件、场所、财物、案卷、音视频概要入口，点击后出对应统计内容；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（3）支持大屏展示打处数据统计，统计类型包括取保候审数、监视居住数、移送审查数、强制戒毒数、刑事拘留数、行政拘留数、刑事逮捕数、警告数、罚款数、拘留并罚款数。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地图展示区域：</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（1）地图中支持展现出省厅、市局、分局，以及各个区所管辖范围内的基层所；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（2）支持显示办案场所各环节登记人数以及涉案财物、案卷流转数据；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（3）选择相应区域的地图，可自动联动警情、案件、场所、财物、案卷、音视频、执法档案等切换为该区域数据展示；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（4）支持根据违规数量在地图上进行红、橙、绿三种颜色动态展示。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警情管理：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（1）支持展示相关地区警情总量，110警情数量，非110警情数量；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（2）支持通过关键字（如盗、抢、骗、打等）判断展示各类常见警情的数量及占比；</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（3）支持显示刑事案件类警情数量、行政案件类警情数量、事件类警情数量等；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（4）支持向下钻取警情详细信息；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（5）支持以柱状图形式展示前一日各级未处警/未审批的警情；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（6）支持以折线图形式展示涉案种类数量情况；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（7）支持以饼状图形式展示分类警情占比情况；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（8）支持以柱状形式展示警情分流情况；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（9）支持折线图形式展示警情趋势图；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（10）支持市局显示各县区分局排名；各分局显示各所队排名。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案件管理：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支持展示相关地区的案件数据，包括行政受案数量、刑事受案数量、刑事立案数量等；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支持展示各办案场所对盗抢骗类疑似违规处理率；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支持向下钻取案件详细信息；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支持受立案情况显示，展示类型包括行政案件24小时内未上传证据材料;行政案件3日内未受理;行政案件30天内未结案;刑事案件受案24小时未上传证据料;刑事案件超过72小时未受案;刑事案件超过7天未立案；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支持通过图形化形式展示刑事案件打处刑事打处类型有刑事拘留、取保候审监视居住、提捕、逮捕、起诉；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支持通过图形化形式展示行政案件打处人员数量情况，行政打处类型有罚款、行政拘留、拘留罚款、吊销、强制隔离戒毒、社区戒警告、其他；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支持通过图形化形式展示刑事案件各打处类型占比情况；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支持通过图形化形式展示行政案件各打处类型占比情况；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支持通过图形化形式展示行政案件办理情况，展示类型有调解、处罚、受理、调解、结案、其他； 支持以案件类型来展示行政各种高发案件；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 支持现场调解信息分析，对相关单位某时间段内的现场调解数量以图形化的方式进行直观展示。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11) 支持通过图形化形式展示刑事案件办理情况，展示类型有受理、立案、不予立案、破案、撤销件、其他；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 支持通过图形化形式展示高发案件数量统计。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办案场所管理：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（1）支持选择特定办案场所展示其使用概况，包括讯问室总数及使用中数量、询问室总数及使用中数量，候问室总数及使用中数量；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（2）支持显示该办案场所正在办案人数、已裁决人数、违规告警数；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（3）支持向下钻取相关详细信息；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（4）支持统计公安机关办案区总数；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（5）支持统计办案区入区人员总数；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（6）支持统计并通过环形图展示办案区入区人员类型；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（7）支持统计并通过柱状图展示办案区入区原因；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（8）支持统计并通过环形图展示办案区临时出区人员类型；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（9）支持统计并通过环形图展示办案区临时出区人员出区原因。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涉案财物管理：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（1）支持显示相关地区一段时间内的涉案财物总数及在管物品总数；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（2）支持按日、周、月分别显示待入库物品数、入库物品数、调取物品数、处理物品数；（需对接涉案财物数据）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（3）支持向下钻取相关详细信息；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（4）支持以柱状图形式统计各区县涉案财物存放地点总数；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（5）支持以柱状图形式统计各类物品在柜存储情况；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（6）支持以柱状图形式统计每日物品出库情况；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（7）支持以表格形式统计即将到期的涉案财物提示；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（8）支持以柱状图形式统计涉案财物的处理状态，处理状态包括待归还、待入库、待借出、已出库、已入库；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（9）支持以折线图形式统计各部门的未入库物品情况。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案卷管理：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（1）支持显示相关地区一段时间内的案卷总数、在柜案卷数及案卷在柜比例；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（2）支持按日、周、月分别显示待入库案卷数、入库案卷数、调用案卷数、处理案卷数；（需对接案卷数据）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（3）支持向下钻取相关详细信息；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（4）支持以图表形式统计卷宗在柜状态，刑事和行政卷宗分别统计；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（5）支持以图表形式统计入库案卷类型，分为刑事案卷和行政案卷；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（6）支持以图形式统计各部门案卷状态；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（7）支持以饼状图形式统计案卷状态数量，案卷状态包括登记、借阅、移交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（8）支持统计案卷各环节状态，刑事案件包括受案、立案、强制措施、结案；行政案件包括受案、处理、结案。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音视频管理：</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（1）支持展示各办案场所的音视频上传率，并支持在线预览音视频内容；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（2）支持向下钻取相关详细信息；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（3）支持统计各单位音视频上传数与各单位案件数对比情况；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（4）支持以柱状图形式统计视频上传数量；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（5）支持以柱状图形式统计各单位音视频上传人数；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（6）支持以列表形式统计各单位执法记录仪信息采集站在线情况。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执法档案：</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（1）支持以柱状图显示相关单位的执法档案数据，包括执法通报数量、执法检查登记数量、责令整改数量。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服务保障</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通过服务保障模块可进行法律法规、证据规格和规范文件的快速检索、查看，民警可进行实时查阅，主动规范办案。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软件功能：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1、支持批量上传文件功能；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2、支持展示界面分屏展示，上屏展示文件列表，下屏展示文件内容；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3、支持OFD格式文件上传及预览；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4、支持对法律法规进行分类查看和全文展示，具体分类包括宪法类、民商法类、刑法类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5、支持通过关键字检索规范文件，并在检索结果中对关键字进行红色字体标记，并可查看规范文件全文内容。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智能预警</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1、警情管理：公安机关接到警情处警后，将警情分类为刑事案件、行政案件和其他，系统对分配为其他的警情内容进行关键字智能分析，发现疑似违规问题提醒案管民警核查是否属实。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案件管理：通过规范案件办理流程，节点监控，强化管理。利用系统将所有案件纳入流程管理，从接处警，受立案、案件办理到结案、归档，根据不同类型案件设定执法问题风险点，发现疑似违规问题提醒案管民警核查是否属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3、场所管理：系统可对办案场所进行智能监督，支持无人看管、单人讯/询问、手环暴力拆除、审讯超时等违规行为自动检测，发现疑似违规问题提醒案管民警核查是否属实。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4、案卷管理：系统可对案卷是否归档与归还进行智能监督，发现疑似违规问题提醒案管民警核查是否属实。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5、涉案财物管理：系统可对涉案财物流转过程中的行为进行智能监督，发现疑似违规问题提醒案管民警核查是否属实。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6、音视频管理：通过对接执法音视频管理平台，对接处警、民警外出执法及案件办理全过程是否上传音视频文件以及音视频文件质量进行分析，发现疑似违规问题提醒案管民警核查是否属实。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日常执法监督</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系统支持查看警情、案件、涉案财物、场所、案卷、音视频六位一体详情信息；可对警情、案件、涉案财物、办案场所、案卷、音视频进行人工巡查监督，发现执法违规行为进行核查并下发督办。功能包括：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1、警情监督（需对接110接处警数据）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列表展示全省警情信息包括：警情编号、报警内容、接警时间、处警单号、所属单位、处警时间、处置结果等；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 支持对警情录音文件进行添加、编辑、删除；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支持对警情录音文件操作进行开关控制；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 支持警情数据导入，并提供Excel模板；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支持对警情进行条件检索；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支持查看警情详情信息，包括接警信息、登记信息、处警及反馈信息、登记信息等；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支持联动案件总台，可选择警情、案件、场所、案卷、财物、音视频六要素查看对应要素详细信息；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支持人工巡查、下发督办，显示督办次数。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2、案件监督（需对接警综数据）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列表展示案件巡查信息包括：案件编号、案件名称、督办次数等；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支持案件数据导入，并提供Excel模板；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支持对案件进行条件检索；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支持查看案件详情信息，包括案件编号、案件类型、案由、嫌疑人、被害人、简要案情等；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支持联动案件总台，可选择警情、案件、场所、案卷、财物、音视频六要素查看对应要素详细信息；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支持人工巡查、下发督办，显示督办次数；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 支持导出案件基本信息。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 支持当系统检测到《不予立案通知书》超三日未送达、撤案超3日未送达犯罪嫌疑人家属、《对保证人罚款决定书》送达保证人超3日、查封期限超2年、取保候审超3个月未进行取证、取保候审超6个月未进行侦查活动、监视居住超3个月未进行侦查活动、治安案件没收保证金超3日、刑事案件没收保证金超3日、《不予变更强制措施通知书》超3日告知申请人、《变更羁押期限通知书》超5日、《会见犯罪嫌疑人申请表》超3日审核、《提供法律援助通知书》超3日告知法律援助机构、《驳回申请回避决定书》超2日送达等违规情况时自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 支持警情人工巡查和下发督办；支持查看全局警情编号、报警人、报警电话、督办次数等警情信息列表；支持警情检索，并可设定检索条件范围。（需对接涉案财物数据）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3、场所监督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系统可对办案场所从不同维度进行实时监督，针对具体嫌疑人，支持对该嫌疑人从入区到出区台账进行监督并检测是否存在违规行为；针对审讯过程，支持对具体审讯室进行视频点播巡查，检测是否存在违规行为。若发现存在违规行为可下发督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当系统检测到无人看管、单人讯问、单人询问、非法离开办案区域、暴力拆除手环、审讯超时（24小时）、传讯后嫌疑人未进入办案区或到达超时、传唤后嫌疑人未进入办案区或到达超时、继续盘问但嫌疑人未进入办案区或到达超时、拘留嫌疑人但未进入办案区、办案区登记表信息不全等违规情况时自动报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4、涉案财物监督（需对接涉案财物数据）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列表展示涉案财物巡查详细信息包括：物品编号、物品名称、案件编号、督办次数等；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支持对全部涉案财物进行条件检索；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支持查看涉案财物详情信息，包括物品编号、物品名称、持有人、物品照片等；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支持联动案件总台，可选择警情、案件、场所、案卷、财物、音视频六要素查看对应要素详细信息；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支持人工巡查、下发督办，显示督办次数。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支持涉案财物巡查和人工下发督办；支持查看物品名称、办案单位、承办人、督办次数等涉案财物巡查信息列表；支持对涉案财物进行检索，并可设定检索条件范围。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5、案卷监督（需对接案卷数据）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列表展示案卷巡查详细信息包括：案件编号、案件名称、督办次数等；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支持对全部案卷进行条件检索；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支持查看案卷详情信息，支持按照目录分类选择查看，包括法律手续、口供卷、电子笔录、电子文书等；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支持联动案件总台，可选择警情、案件、场所、案卷、财物、音视频六要素查看对应要素详细信息；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支持人工巡查、下发督办，显示督办次数。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6、音视频监督（需对接执法音视频数据）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列表展示音视频详细信息包括：警情编号、报警内容、督办次数、音视频录像等；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支持对全部音视频进行条件检索；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支持播放音视频，包括接处警录像、押解录像、询问录像等；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支持联动案件总台，可选择警情、案件、场所、案卷、财物、音视频六要素查看对应要素详细信息；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支持人工巡查、下发督办，显示督办次数。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视频监督</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1、视频预览：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支持办案区人工巡查，查看办案场所音视频；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根据登录用户权限不同，可实现对应权限内的办案区视频监控预览；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支持根据角色分配音、视频预览权限，可预览音视频或仅预览视频；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支持不规范行为的手动抓拍照片、录像；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支持对办案场所违规行为手动下发督办。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支持办案区人工巡查，用户可对其权限范围内的办案区视频进行监控预览，发现违规行为可手动抓拍照片、录像并下发督办。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2、视频回放：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支持办案区录像的回放预览；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根据登录用户权限不同，可实现对应权限内的办案区录像进行回放；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支持按时间段回放办案区录像，具有电子放大功能；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支持在查看办案区录像时发现不规范行为进行手动抓拍照片、录像；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支持对办案场所违规行为手动下发督办；</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 可对权限范围内的录像文件进行下载。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监督流程</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支持上级单位向下级问题单位发起督办流程，省厅可分别下发督办至市局、分局、***、直属单位；市局可分别下发督办至分局、***、直属单位；分局可分别下发督办至***、直属单位。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1、所有任务：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列表展示所有监督流程任务详细信息，包括：关联编号、责任单位、案件名称/报警内容、反馈期限等；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支持查看流程任务详情，并进行督办反馈；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支持对监督流程进行条件检索。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2、待办任务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列表展示所有待办监督流程任务详细信息，包括：关联编号、责任单位、案件名称/报警内容、反馈期限等；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支持查看流程任务详情，并进行督办反馈；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支持对待办监督流程进行条件检索。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3、已办任务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列表展示所有已办监督流程任务详细信息，包括：关联编号、责任单位、案件名称/报警内容、反馈期限等；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支持查看流程任务详情，并进行督办反馈；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支持对已办监督流程进行条件检索。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4、已办结任务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列表展示所有已办结监督流程任务详细信息，包括：关联编号、责任单位、案件名称/报警内容、反馈期限等；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支持查看流程任务详情，并进行督办反馈；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支持对已办结监督流程进行条件检索。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基层执法监督</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支持对执法单位开展专项检查；可对专项检查进行增删改查；支持对专项检查进行评查和下发督办；支持对执法单位的执法问题进行统计。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职能监督</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具备完善的权限管理功能，通过权限分配，监察部门、信访部门、审计部门、刑侦总队、经侦总队、禁毒总队、治安总队、预审部门等相关人员可登入系统记录其在执法过程中发现的违规情况。功能包括：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1、监察监督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列表展示监察相关的监督记录信息包括：反映时间、反映人、反映内容、联系电话等；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支持对监督记录的添加、删除、修改；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支持对监督记录等进行条件检索。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2、信访监督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列表展示信访相关的监督记录信息包括：反映时间、反映人、反映内容、联系电话等；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支持对监督记录的添加、删除、修改；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支持对监督记录进行条件检索。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3、审计监督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列表展示审计相关的监督记录信息包括：审计时间、被审计单位、审计问题等；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支持对审计监督记录的添加、删除、修改；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支持对审计监督记录进行条件检索。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4、刑侦监督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列表展示刑侦相关的监督记录信息包括：录入时间、检查名称、录入人、录入人单位、检查案件/警情数量等；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支持对刑侦监督记录的新增、删除、修改；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支持对刑侦监督记录进行条件检索。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5、经侦监督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列表展示经侦相关的监督记录信息包括：录入时间、检查名称、录入人、录入单位、检查案件/警情数量等；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支持对检查记录的新增、删除、修改；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支持对检查记录进行条件检索。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6、预审监督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列表展示预审相关的监督记录信息包括：录入时间、检查名称、录入人、录入单位、检查案件/警情数量等；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支持对检查记录的新增、删除、修改；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支持对检查记录进行条件检索。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7、禁毒监督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列表展示禁毒相关的监督记录信息包括：录入时间、检查名称、录入人、录入人单位、检查案件/警情数量等；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支持对检查记录的新增、删除、修改；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支持对检查记录进行条件检索。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8、治安监督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列表展示治安相关的监督记录信息包括：录入时间、检查名称、录入人、录入单位、检查案件/警情数量等；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支持对检查记录的新增、删除、修改；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支持根据检查时间进行查询。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外部监督</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1、检察院监督：系统通过与检察机关建立案件评价反馈体系，将检察机关对案件的评价结果通过平台反馈评价意见，作为执法监督的重要依据。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2、法院监督：系统通过与法院建立案件评价反馈体系，将法院对案件的评价结果通过平台反馈评价意见，作为执法监督的重要依据。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3、外部考评：系统支持记录外部群众对公安执法工作反映的问题。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责任追究</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1、列表展示责任追究记录包括：关联编号、部门或民警、所属单位、执法过错事由等；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2、支持查看责任追究详情；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3、支持对责任追究信息进行条件检索；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4、支持责任追究的添加、修改、删除；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5、支持对责任追究进行录入和修改，也可删除已有的责任追究记录；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6、警情数据来源以执法办案二期数为准，支持以***民警的案件性质进行标签分类。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综合查询</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持列表形式展示案件信息；支持按照下发督办编号进行模糊查询；支持根据关键字查询案件信息，包括案件类型、案件环节、受理时间等；支持按照人员类型、受理时间、发案地点、案件结果等进行高级搜索；支持联动案件总台，可选择警情、案件、场所、案卷、财物、音视频六要素查看对应要素详细信息；支持搜索结果案件的人员信息、卷宗信息、涉案财物、音视频文件进行打包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报表管理</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系统支持根据模板自动生成关于警情、案件及所有报警点的报表并支持下载。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数据研判</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办案数据的统计分析功能，如警情信息分析、案件信息分析、涉案财物信息分析、案卷信息分析、音视频信息分析以及智能监督信息分析，用于法制民警对办案数据的宏观把控，方便数据汇总以及分析研判，为领导决策提供有力的数据支撑。功能包括：警情信息分析、案件信息分析、场所信息分析、涉案财物信息分析、案卷信息分析、音视频信息分析、智能监督信息分析、依法处理、受案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教育培训</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传教学资料供民警学习，民警可对上传的教学视频和资料进行点播。通过学习相关教学资料，不断规范民警执法行为，树立民警规范意识，提升民警知识水平，对教育培训模块进行综合管理，包括阅卷管理功能、试题管理功能，试卷管理功能、资料管理功能、计划管理功能、警种管理功能、统计分析功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支持上传教学资料并查看，资料类型包括视频和文档。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 支持模拟考试，到达考试时限时强制交卷，支持客观考题（选择、判断）自动判卷并由系统计算考试成绩，支持考题答案分析。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 支持正式考试，到达考试时限时强制交卷，支持客观考题（选择、判断）自动判卷并由系统计算考试成绩，支持考题答案分析。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 支持通过考卷名称和考试时间等检索查询正式考试成绩。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 支持考题管理，内置考题模板可供下载使用，支持考题的新建、导入、查询、编辑和删除；支持查看考题题目、考题类型、考题分类、正确答案、考题解析等考题信息列表；支持对考题进行检索查询，并可设定检索条件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考核评价</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各办案单位的办案情况进行统计、生成档案并对考核评价结果进行展示。统计内容包括基本情况、办案总体情况，考核评价要素包括警情、案件、场所、财物、案卷、音视频，通过丰富的可视化图形与列表，将办案单位的整体执法质量水平一目了然展现，便于领导决策分析，也便于各单位进行针对性提升与改进，对民警的工作情况进行统计、生成档案并对考核评价结果进行展示，民警包括办案民警及案管民警。统计内容包括民警基本信息、办案总体情况或执法监督情况，考核评价要素包括警情、案件、场所、财物、案卷、音视频，通过丰富的可视化图形与列表，将民警的工作水平全面展现，便于各单位对民警工作情况更加深入地了解和掌握，也能够提醒民警进行针对性提升与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即时指挥</w:t>
            </w:r>
          </w:p>
        </w:tc>
        <w:tc>
          <w:tcPr>
            <w:tcW w:w="4261" w:type="pct"/>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将各指挥中心通过视频会议系统连接到一起，并通过对接办案区视频调取各办案场所审讯室视频。各单位建设的指挥中心互联互通后，重大、涉众、跨区域的违法案件在进行并案指挥时，指挥人员及各地办案民警可在同一时间查看相关审讯室的实时视频、研读重要文件和嫌疑人照片、观看机密录像，通过信息共享、证据和案件信息传输，即时开展研判工作，发挥集成作战优势，实现各指挥室之间的沟通和协作，提高办案效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功能包括：</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 支持对上级指挥中心和下级指挥室、办案室进行组会；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（2）支持地图方式添加相关指挥室、办案室；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（3）支持加入会议申请和发起人审核申请；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（4）支持参与组会的指挥室、办案室群组发送文件，支持文件共享；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（5）支持查看办案室的实时审讯笔录；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（6）支持多方文字、视频、语音交流；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（7）支持发起人可以对参与者禁音禁言和参与者自我禁音禁言；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（8）支持重新开启已关闭历史会议；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（9）支持电脑的音视频输入输出参与组会；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（10）支持特定用户登录即可开会，无需强行绑定指挥室、办案室；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（11）支持即时指挥参会可共享文件、查看证据信息、笔录资料；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（12）支持即时指挥可远程共享屏幕；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（13）支持分别在指挥室、案卷管理室的PC端插入USB摄像头，进行远程视频会议交互；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（14）支持联动微表情系统，对被审讯人的微表情进行管理。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辅助办案系统</w:t>
            </w:r>
          </w:p>
        </w:tc>
        <w:tc>
          <w:tcPr>
            <w:tcW w:w="4261" w:type="pct"/>
            <w:shd w:val="clear" w:color="auto" w:fill="FFFFFF"/>
            <w:noWrap w:val="0"/>
            <w:vAlign w:val="center"/>
          </w:tcPr>
          <w:p>
            <w:pPr>
              <w:spacing w:line="240" w:lineRule="auto"/>
              <w:jc w:val="both"/>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驾驶舱门户</w:t>
            </w:r>
          </w:p>
        </w:tc>
        <w:tc>
          <w:tcPr>
            <w:tcW w:w="4261"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（1）通过可视化分析，多种维度展现了中心人员辅助办案效率、实时状况等，为领导提供辅助决策作用。</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（2）需要至少包括智能化组件、实时数据展示、中心办件维度展示、办件效率展示模块内容。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邮寄代办</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（1）主要用于各办案单位执法过程中需要寄送法律文书和其他附件（Word、电子表格、图片）等，民警可直接发起代办，由中心对接人员进行审批及流转。</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（2）需要至少包括面向民警的发起邮寄、审核管理、邮寄查询查看，面向中心的代办管理、邮寄回执、邮寄查询查看功能模块。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法律援助代办</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（1）基于民警法律援助代办诉求，为民警提供统一的流程管理渠道，民警可发起法律援助代办，服务中心人员进行审批和流转。</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（2）需要至少包括面向民警的发起援助、审核管理、援助查询查看，面向中心的代办管理、援助回执、援助查询查看功能模块。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辅助预约</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（1）通过统一对接联系见证人、帮助人、合适成年人、陪审预约（陪审员），由中心接收预约之后，向基层单位指派；统一对接刑事速裁相关法院、检察官、援助律师，中心根据实际情况反馈相关时间和地点。</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（2）需要至少包括面向民警的发起预约、审核管理、预约查询查看，面向中心的代办管理、预约回执、预约查询查看、预约人员管理、预约单位管理功能模块。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评估鉴定</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（1）通过电子化流转的方式，民警可发起协助委托代办，由中心对接人员进行签收，利用外网价格认证系统进行价格认证。</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（2）需要至少包括面向民警的发起评估、审核管理、评估查询查看，面向中心的代办管理、评估回执、评估查询查看功能模块。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代理接收</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（1）通过内置的案件、嫌疑人，民警可发起代理接收鉴定结论、保证金款项、证据材料申请，由中心对接人员进行签收，可上传鉴定结果。</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（2）需要至少包括面向民警的发起代理接收、审核管理、代理接收查询查看，面向中心的代办管理、代理接收回执、代理接收查询查看功能模块。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看守所代办</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（1）联系专业队伍投送看守所或拘留所，看守所或拘留所根据情况，进行签收和退回。通过提前预约以及线上流转，看守所可避免重复进行检查。</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（2）需要至少包括面向民警的发起看守所代办、审核管理、看守所代办查询查看，面向中心的代办管理、代办回执、看守所代办查询查看、看守所信息管理功能模块。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330"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408" w:type="pct"/>
            <w:vMerge w:val="restar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资料调取</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（1）民警可在线发起相关证据材料调阅申请，再由中心进行中转，移交给相关单位，相关单位调取资料上传至系统，并反馈给服务中心以及相关申请民警。</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（2）需要至少包括面向民警的发起调取、审核管理、调取查询查看，面向中心的代办管理、调取回执、调取查询查看功能模块。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330"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408"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集中押送</w:t>
            </w:r>
          </w:p>
        </w:tc>
        <w:tc>
          <w:tcPr>
            <w:tcW w:w="4261" w:type="pct"/>
            <w:shd w:val="clear" w:color="auto" w:fill="FFFFFF"/>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（1）民警通过案件在线发起押送请求，信息提交申请表进行审批，由服务中心联系指派人员进行集中押送。</w:t>
            </w:r>
          </w:p>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（2）需要至少包括面向民警的发起押送、审核管理、押送查询查看，面向中心的代办管理、押送回执、押送查询查看功能模块。</w:t>
            </w:r>
          </w:p>
        </w:tc>
      </w:tr>
    </w:tbl>
    <w:p>
      <w:pPr>
        <w:spacing w:line="360" w:lineRule="auto"/>
        <w:jc w:val="center"/>
        <w:outlineLvl w:val="0"/>
        <w:rPr>
          <w:rFonts w:hint="eastAsia" w:ascii="宋体" w:hAnsi="宋体" w:cs="宋体"/>
          <w:b/>
          <w:sz w:val="28"/>
          <w:szCs w:val="28"/>
        </w:rPr>
      </w:pPr>
      <w:r>
        <w:rPr>
          <w:rFonts w:ascii="宋体" w:hAnsi="宋体" w:cs="宋体"/>
          <w:b/>
          <w:bCs/>
          <w:szCs w:val="21"/>
        </w:rPr>
        <w:br w:type="page"/>
      </w:r>
      <w:r>
        <w:rPr>
          <w:rFonts w:hint="eastAsia" w:ascii="宋体" w:hAnsi="宋体" w:cs="宋体"/>
          <w:b/>
          <w:sz w:val="28"/>
          <w:szCs w:val="28"/>
        </w:rPr>
        <w:t>第三章  投标人须知</w:t>
      </w:r>
    </w:p>
    <w:p>
      <w:pPr>
        <w:snapToGrid w:val="0"/>
        <w:spacing w:line="276" w:lineRule="auto"/>
        <w:jc w:val="center"/>
        <w:rPr>
          <w:rFonts w:hint="eastAsia" w:ascii="宋体" w:hAnsi="宋体" w:cs="宋体"/>
          <w:b/>
          <w:szCs w:val="21"/>
        </w:rPr>
      </w:pPr>
      <w:r>
        <w:rPr>
          <w:rFonts w:hint="eastAsia" w:ascii="宋体" w:hAnsi="宋体" w:cs="宋体"/>
          <w:b/>
          <w:szCs w:val="21"/>
        </w:rPr>
        <w:t>前附表</w:t>
      </w:r>
    </w:p>
    <w:tbl>
      <w:tblPr>
        <w:tblStyle w:val="23"/>
        <w:tblW w:w="10081"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7"/>
        <w:gridCol w:w="1560"/>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序号</w:t>
            </w:r>
          </w:p>
        </w:tc>
        <w:tc>
          <w:tcPr>
            <w:tcW w:w="9413" w:type="dxa"/>
            <w:gridSpan w:val="2"/>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1</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项目名称</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rPr>
              <w:t>舟山市公安局执法办案管理中心改扩建工程（信息化部分）项目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2</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采购人名称</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rPr>
              <w:t>舟山市公安局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3</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采购内容</w:t>
            </w:r>
          </w:p>
        </w:tc>
        <w:tc>
          <w:tcPr>
            <w:tcW w:w="7853" w:type="dxa"/>
            <w:shd w:val="clear" w:color="auto" w:fill="FFFFFF"/>
            <w:noWrap w:val="0"/>
            <w:vAlign w:val="center"/>
          </w:tcPr>
          <w:p>
            <w:pPr>
              <w:spacing w:line="300" w:lineRule="auto"/>
              <w:rPr>
                <w:rFonts w:hint="eastAsia" w:ascii="宋体" w:hAnsi="宋体"/>
                <w:bCs/>
                <w:szCs w:val="21"/>
              </w:rPr>
            </w:pPr>
            <w:r>
              <w:rPr>
                <w:rFonts w:hint="eastAsia" w:ascii="宋体" w:hAnsi="宋体" w:cs="宋体"/>
                <w:szCs w:val="21"/>
              </w:rPr>
              <w:t>舟山市公安局执法办案管理中心改扩建工程（信息化部分）</w:t>
            </w:r>
            <w:r>
              <w:rPr>
                <w:rFonts w:hint="eastAsia" w:ascii="宋体" w:hAnsi="宋体"/>
                <w:bCs/>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4</w:t>
            </w:r>
          </w:p>
        </w:tc>
        <w:tc>
          <w:tcPr>
            <w:tcW w:w="1546" w:type="dxa"/>
            <w:shd w:val="clear" w:color="auto" w:fill="E0E0E0"/>
            <w:noWrap w:val="0"/>
            <w:vAlign w:val="center"/>
          </w:tcPr>
          <w:p>
            <w:pPr>
              <w:spacing w:line="300" w:lineRule="auto"/>
              <w:jc w:val="center"/>
              <w:rPr>
                <w:rFonts w:hint="eastAsia" w:ascii="宋体" w:hAnsi="宋体" w:eastAsia="宋体" w:cs="宋体"/>
                <w:b/>
                <w:szCs w:val="21"/>
                <w:lang w:eastAsia="zh-CN"/>
              </w:rPr>
            </w:pPr>
            <w:r>
              <w:rPr>
                <w:rFonts w:hint="eastAsia" w:ascii="宋体" w:hAnsi="宋体" w:cs="宋体"/>
                <w:b/>
                <w:szCs w:val="21"/>
                <w:lang w:val="en-US" w:eastAsia="zh-CN"/>
              </w:rPr>
              <w:t>最高限价</w:t>
            </w:r>
          </w:p>
        </w:tc>
        <w:tc>
          <w:tcPr>
            <w:tcW w:w="7853" w:type="dxa"/>
            <w:shd w:val="clear" w:color="auto" w:fill="FFFFFF"/>
            <w:noWrap w:val="0"/>
            <w:vAlign w:val="center"/>
          </w:tcPr>
          <w:p>
            <w:pPr>
              <w:spacing w:line="300" w:lineRule="auto"/>
              <w:rPr>
                <w:rFonts w:ascii="宋体" w:hAnsi="宋体" w:cs="宋体"/>
                <w:szCs w:val="21"/>
              </w:rPr>
            </w:pPr>
            <w:r>
              <w:rPr>
                <w:rFonts w:hint="eastAsia" w:ascii="宋体" w:hAnsi="宋体" w:cs="宋体"/>
                <w:szCs w:val="21"/>
              </w:rPr>
              <w:t>748001</w:t>
            </w:r>
            <w:r>
              <w:rPr>
                <w:rFonts w:hint="eastAsia" w:ascii="宋体" w:hAnsi="宋体" w:cs="宋体"/>
                <w:szCs w:val="21"/>
                <w:lang w:val="en-US" w:eastAsia="zh-CN"/>
              </w:rPr>
              <w:t>0</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5</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工期要求</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6</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投标有效期</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u w:val="single"/>
              </w:rPr>
              <w:t>90日</w:t>
            </w:r>
            <w:r>
              <w:rPr>
                <w:rFonts w:hint="eastAsia" w:ascii="宋体" w:hAnsi="宋体" w:cs="宋体"/>
                <w:szCs w:val="21"/>
              </w:rPr>
              <w:t>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7</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评标办法</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8</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付款方式</w:t>
            </w:r>
          </w:p>
        </w:tc>
        <w:tc>
          <w:tcPr>
            <w:tcW w:w="7853" w:type="dxa"/>
            <w:shd w:val="clear" w:color="auto" w:fill="FFFFFF"/>
            <w:noWrap w:val="0"/>
            <w:vAlign w:val="center"/>
          </w:tcPr>
          <w:p>
            <w:pPr>
              <w:spacing w:line="300" w:lineRule="auto"/>
              <w:rPr>
                <w:rFonts w:hint="eastAsia" w:ascii="宋体" w:hAnsi="宋体"/>
                <w:szCs w:val="21"/>
              </w:rPr>
            </w:pPr>
            <w:r>
              <w:rPr>
                <w:rFonts w:hint="eastAsia" w:ascii="宋体" w:hAnsi="宋体"/>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9</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投标报价</w:t>
            </w:r>
          </w:p>
          <w:p>
            <w:pPr>
              <w:spacing w:line="300" w:lineRule="auto"/>
              <w:jc w:val="center"/>
              <w:rPr>
                <w:rFonts w:ascii="宋体" w:hAnsi="宋体" w:cs="宋体"/>
                <w:b/>
                <w:szCs w:val="21"/>
              </w:rPr>
            </w:pPr>
            <w:r>
              <w:rPr>
                <w:rFonts w:hint="eastAsia" w:ascii="宋体" w:hAnsi="宋体" w:cs="宋体"/>
                <w:b/>
                <w:szCs w:val="21"/>
              </w:rPr>
              <w:t>与相关费用</w:t>
            </w:r>
          </w:p>
        </w:tc>
        <w:tc>
          <w:tcPr>
            <w:tcW w:w="7853" w:type="dxa"/>
            <w:shd w:val="clear" w:color="auto" w:fill="FFFFFF"/>
            <w:noWrap w:val="0"/>
            <w:vAlign w:val="center"/>
          </w:tcPr>
          <w:p>
            <w:pPr>
              <w:spacing w:line="300" w:lineRule="auto"/>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.投标人所投报的投标报价为投标人所能承受的整个项目的一次性最终最低合同总价，包括完成本项目工作内容所需的一切费用。合同总价不得超过本项目对应的</w:t>
            </w:r>
            <w:r>
              <w:rPr>
                <w:rFonts w:hint="eastAsia" w:ascii="宋体" w:hAnsi="宋体" w:cs="宋体"/>
                <w:szCs w:val="21"/>
              </w:rPr>
              <w:t>预算金额或最高限价</w:t>
            </w:r>
            <w:r>
              <w:rPr>
                <w:rFonts w:hint="eastAsia" w:ascii="宋体" w:hAnsi="宋体" w:cs="宋体"/>
                <w:szCs w:val="21"/>
                <w:lang w:val="zh-CN"/>
              </w:rPr>
              <w:t>。</w:t>
            </w:r>
          </w:p>
          <w:p>
            <w:pPr>
              <w:spacing w:line="300" w:lineRule="auto"/>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.按国家规定由中标人缴纳的各种税收已包含在投标总价内，由中标人向税务机关缴纳相关费用。</w:t>
            </w:r>
          </w:p>
          <w:p>
            <w:pPr>
              <w:spacing w:line="300" w:lineRule="auto"/>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.投标人应承担其参加本招标活动自身所发生的费用。</w:t>
            </w:r>
          </w:p>
          <w:p>
            <w:pPr>
              <w:spacing w:line="300" w:lineRule="auto"/>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.中标人须缴纳招标代理服务费，招标代理服务收费标准金额为：</w:t>
            </w:r>
            <w:r>
              <w:rPr>
                <w:rFonts w:hint="eastAsia" w:ascii="宋体" w:hAnsi="宋体" w:cs="宋体"/>
                <w:szCs w:val="21"/>
              </w:rPr>
              <w:t>根据项目中标价收取，100万元以下部分按1.05%收取，100-500万元部分按0.77%收取，500-1000万元部分按0.56%收取，最低收费6000元</w:t>
            </w:r>
            <w:r>
              <w:rPr>
                <w:rFonts w:hint="eastAsia" w:ascii="宋体" w:hAnsi="宋体" w:cs="宋体"/>
                <w:szCs w:val="21"/>
                <w:lang w:val="zh-CN"/>
              </w:rPr>
              <w:t>。支付方式及时间为：中标通知书发出后5个工作日内一次性支付给招标代理机构。</w:t>
            </w:r>
          </w:p>
          <w:p>
            <w:pPr>
              <w:spacing w:line="300" w:lineRule="auto"/>
              <w:rPr>
                <w:rFonts w:hint="eastAsia" w:ascii="宋体" w:hAnsi="宋体" w:cs="宋体"/>
                <w:szCs w:val="21"/>
                <w:lang w:val="zh-CN"/>
              </w:rPr>
            </w:pPr>
            <w:r>
              <w:rPr>
                <w:rFonts w:hint="eastAsia" w:ascii="宋体" w:hAnsi="宋体" w:cs="宋体"/>
                <w:szCs w:val="21"/>
                <w:lang w:val="zh-CN"/>
              </w:rPr>
              <w:t>收款单位名称：中金招标有限责任公司舟山分公司</w:t>
            </w:r>
          </w:p>
          <w:p>
            <w:pPr>
              <w:spacing w:line="300" w:lineRule="auto"/>
              <w:rPr>
                <w:rFonts w:hint="eastAsia" w:ascii="宋体" w:hAnsi="宋体" w:cs="宋体"/>
                <w:szCs w:val="21"/>
                <w:lang w:val="zh-CN"/>
              </w:rPr>
            </w:pPr>
            <w:r>
              <w:rPr>
                <w:rFonts w:hint="eastAsia" w:ascii="宋体" w:hAnsi="宋体" w:cs="宋体"/>
                <w:szCs w:val="21"/>
                <w:lang w:val="zh-CN"/>
              </w:rPr>
              <w:t>开户银行：中国建设银行股份有限公司舟山新城支行</w:t>
            </w:r>
          </w:p>
          <w:p>
            <w:pPr>
              <w:spacing w:line="300" w:lineRule="auto"/>
              <w:rPr>
                <w:rFonts w:hint="eastAsia" w:ascii="宋体" w:hAnsi="宋体" w:cs="宋体"/>
                <w:szCs w:val="21"/>
              </w:rPr>
            </w:pPr>
            <w:r>
              <w:rPr>
                <w:rFonts w:hint="eastAsia" w:ascii="宋体" w:hAnsi="宋体" w:cs="宋体"/>
                <w:szCs w:val="21"/>
                <w:lang w:val="zh-CN"/>
              </w:rPr>
              <w:t>银行账号：3300 1706 2550 5300 3969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10</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投标文件的组成</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szCs w:val="21"/>
              </w:rPr>
              <w:t>本项目实行网上投标。</w:t>
            </w:r>
          </w:p>
          <w:p>
            <w:pPr>
              <w:spacing w:line="300" w:lineRule="auto"/>
              <w:rPr>
                <w:rFonts w:hint="eastAsia" w:ascii="宋体" w:hAnsi="宋体" w:cs="宋体"/>
                <w:szCs w:val="21"/>
              </w:rPr>
            </w:pPr>
            <w:r>
              <w:rPr>
                <w:rFonts w:hint="eastAsia" w:ascii="宋体" w:hAnsi="宋体" w:cs="宋体"/>
                <w:szCs w:val="21"/>
              </w:rPr>
              <w:t>投标人应准备电子投标文件、以介质存储的数据电文形式的备份投标文件：</w:t>
            </w:r>
          </w:p>
          <w:p>
            <w:pPr>
              <w:spacing w:line="300" w:lineRule="auto"/>
              <w:rPr>
                <w:rFonts w:hint="eastAsia" w:ascii="宋体" w:hAnsi="宋体" w:cs="宋体"/>
                <w:szCs w:val="21"/>
              </w:rPr>
            </w:pPr>
            <w:r>
              <w:rPr>
                <w:rFonts w:hint="eastAsia" w:ascii="宋体" w:hAnsi="宋体" w:cs="宋体"/>
                <w:szCs w:val="21"/>
              </w:rPr>
              <w:t>（1）电子投标文件，按政采云供应商项目采购-电子招投标操作指南及本招标文件要求制作，加密并递交。</w:t>
            </w:r>
          </w:p>
          <w:p>
            <w:pPr>
              <w:spacing w:line="300" w:lineRule="auto"/>
              <w:rPr>
                <w:rFonts w:hint="eastAsia" w:ascii="宋体" w:hAnsi="宋体" w:cs="宋体"/>
                <w:b/>
                <w:szCs w:val="21"/>
              </w:rPr>
            </w:pPr>
            <w:r>
              <w:rPr>
                <w:rFonts w:hint="eastAsia" w:ascii="宋体" w:hAnsi="宋体" w:cs="宋体"/>
                <w:b/>
                <w:szCs w:val="21"/>
              </w:rPr>
              <w:t>（2）以介质存储的数据电文形式的备份投标文件，按政采云供应商项目采购-电子招投标操作指南中制作的电子投标文件，以DVD光盘或U盘形式提供。数量为1份。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11</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开标地点</w:t>
            </w:r>
          </w:p>
        </w:tc>
        <w:tc>
          <w:tcPr>
            <w:tcW w:w="7853" w:type="dxa"/>
            <w:shd w:val="clear" w:color="auto" w:fill="FFFFFF"/>
            <w:noWrap w:val="0"/>
            <w:vAlign w:val="center"/>
          </w:tcPr>
          <w:p>
            <w:pPr>
              <w:spacing w:line="300" w:lineRule="auto"/>
              <w:rPr>
                <w:rFonts w:hint="eastAsia" w:ascii="宋体" w:hAnsi="宋体" w:cs="宋体"/>
                <w:szCs w:val="21"/>
              </w:rPr>
            </w:pPr>
            <w:r>
              <w:rPr>
                <w:rFonts w:hint="eastAsia" w:ascii="宋体" w:hAnsi="宋体" w:cs="宋体"/>
                <w:b/>
                <w:kern w:val="0"/>
                <w:szCs w:val="21"/>
              </w:rPr>
              <w:t>舟山市新城翁山路555号四楼舟山市公共资源交易中心（大宗商品交易中心同幢西边）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ascii="宋体" w:hAnsi="宋体" w:cs="宋体"/>
                <w:b/>
                <w:szCs w:val="21"/>
              </w:rPr>
            </w:pPr>
            <w:r>
              <w:rPr>
                <w:rFonts w:hint="eastAsia" w:ascii="宋体" w:hAnsi="宋体" w:cs="宋体"/>
                <w:b/>
                <w:szCs w:val="21"/>
              </w:rPr>
              <w:t>12</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投标文件的递交</w:t>
            </w:r>
          </w:p>
        </w:tc>
        <w:tc>
          <w:tcPr>
            <w:tcW w:w="7853" w:type="dxa"/>
            <w:shd w:val="clear" w:color="auto" w:fill="FFFFFF"/>
            <w:noWrap w:val="0"/>
            <w:vAlign w:val="center"/>
          </w:tcPr>
          <w:p>
            <w:pPr>
              <w:adjustRightInd w:val="0"/>
              <w:snapToGrid w:val="0"/>
              <w:spacing w:before="156" w:beforeLines="50" w:after="156" w:afterLines="50" w:line="300" w:lineRule="auto"/>
              <w:ind w:firstLine="420" w:firstLineChars="200"/>
              <w:rPr>
                <w:rFonts w:hint="eastAsia" w:ascii="宋体" w:hAnsi="宋体" w:cs="宋体"/>
                <w:szCs w:val="21"/>
              </w:rPr>
            </w:pP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before="156" w:beforeLines="50" w:after="156" w:afterLines="50" w:line="300" w:lineRule="auto"/>
              <w:ind w:firstLine="420" w:firstLineChars="200"/>
              <w:rPr>
                <w:rFonts w:hint="eastAsia" w:ascii="宋体" w:hAnsi="宋体" w:cs="宋体"/>
                <w:szCs w:val="21"/>
              </w:rPr>
            </w:pPr>
            <w:r>
              <w:rPr>
                <w:rFonts w:hint="eastAsia" w:ascii="宋体" w:hAnsi="宋体" w:cs="宋体"/>
                <w:szCs w:val="21"/>
              </w:rPr>
              <w:t>投标人将备份投标文件于202</w:t>
            </w:r>
            <w:r>
              <w:rPr>
                <w:rFonts w:hint="eastAsia" w:ascii="宋体" w:hAnsi="宋体" w:cs="宋体"/>
                <w:szCs w:val="21"/>
                <w:lang w:val="en-US" w:eastAsia="zh-CN"/>
              </w:rPr>
              <w:t>2</w:t>
            </w:r>
            <w:r>
              <w:rPr>
                <w:rFonts w:hint="eastAsia" w:ascii="宋体" w:hAnsi="宋体" w:cs="宋体"/>
                <w:szCs w:val="21"/>
              </w:rPr>
              <w:t>年</w:t>
            </w:r>
            <w:r>
              <w:rPr>
                <w:rFonts w:hint="eastAsia" w:ascii="宋体" w:hAnsi="宋体" w:cs="宋体"/>
                <w:szCs w:val="21"/>
                <w:lang w:val="en-US" w:eastAsia="zh-CN"/>
              </w:rPr>
              <w:t>6</w:t>
            </w:r>
            <w:r>
              <w:rPr>
                <w:rFonts w:hint="eastAsia" w:ascii="宋体" w:hAnsi="宋体" w:cs="宋体"/>
                <w:szCs w:val="21"/>
              </w:rPr>
              <w:t>月</w:t>
            </w:r>
            <w:r>
              <w:rPr>
                <w:rFonts w:hint="eastAsia" w:ascii="宋体" w:hAnsi="宋体" w:cs="宋体"/>
                <w:szCs w:val="21"/>
                <w:lang w:val="en-US" w:eastAsia="zh-CN"/>
              </w:rPr>
              <w:t>7</w:t>
            </w:r>
            <w:r>
              <w:rPr>
                <w:rFonts w:hint="eastAsia" w:ascii="宋体" w:hAnsi="宋体" w:cs="宋体"/>
                <w:szCs w:val="21"/>
              </w:rPr>
              <w:t>日17:00（北京时间）前通过邮寄或派人递送的方式送交到采购代理机构处（地址：舟山市新城海天大道998号创客码头四楼；联系人：许冰冰；联系方式：0580-2083003），也可以在开标时间前送至开标地点（开标地点送交备份投标文件的联系方式：15888079927），未按时送达的自行承担风险。备份投标文件须密封完好，并注明投标人单位名称。投标人未按规定递交的备份投标文件，采购人有权拒收。</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投标人递交备份投标文件时，如出现下列情况之一的，将被拒收：</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1、未按规定密封或标记的投标文件；</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2、由于包装不妥，在送交途中严重破损或失散的；</w:t>
            </w:r>
          </w:p>
          <w:p>
            <w:pPr>
              <w:snapToGrid w:val="0"/>
              <w:spacing w:line="300" w:lineRule="auto"/>
              <w:ind w:firstLine="420" w:firstLineChars="200"/>
              <w:jc w:val="left"/>
              <w:rPr>
                <w:rFonts w:hint="eastAsia" w:ascii="宋体" w:hAnsi="宋体" w:cs="宋体"/>
                <w:szCs w:val="21"/>
              </w:rPr>
            </w:pPr>
            <w:r>
              <w:rPr>
                <w:rFonts w:hint="eastAsia" w:ascii="宋体" w:hAnsi="宋体" w:cs="宋体"/>
                <w:szCs w:val="21"/>
              </w:rPr>
              <w:t>3、超过投标截止时间送达的。</w:t>
            </w:r>
          </w:p>
          <w:p>
            <w:pPr>
              <w:autoSpaceDE w:val="0"/>
              <w:autoSpaceDN w:val="0"/>
              <w:snapToGrid w:val="0"/>
              <w:spacing w:line="300" w:lineRule="auto"/>
              <w:ind w:firstLine="420" w:firstLineChars="200"/>
              <w:jc w:val="left"/>
              <w:textAlignment w:val="bottom"/>
              <w:rPr>
                <w:rFonts w:hint="eastAsia" w:ascii="宋体" w:hAnsi="宋体" w:cs="宋体"/>
                <w:szCs w:val="21"/>
              </w:rPr>
            </w:pPr>
            <w:r>
              <w:rPr>
                <w:rFonts w:hint="eastAsia" w:ascii="宋体" w:hAnsi="宋体" w:cs="宋体"/>
                <w:szCs w:val="21"/>
              </w:rPr>
              <w:t>4、仅提供备份投标文件的。</w:t>
            </w:r>
          </w:p>
          <w:p>
            <w:pPr>
              <w:spacing w:line="300" w:lineRule="auto"/>
              <w:ind w:firstLine="420" w:firstLineChars="200"/>
              <w:rPr>
                <w:rFonts w:hint="eastAsia" w:ascii="宋体" w:hAnsi="宋体" w:cs="宋体"/>
                <w:b/>
                <w:kern w:val="0"/>
                <w:szCs w:val="21"/>
              </w:rPr>
            </w:pPr>
            <w:r>
              <w:rPr>
                <w:rFonts w:hint="eastAsia" w:ascii="宋体" w:hAnsi="宋体" w:cs="宋体"/>
                <w:szCs w:val="21"/>
              </w:rPr>
              <w:t>当发生解密失败或未按时解密的，投标人提供了备份投标文件的，以备份投标文件为依据，否则视为投标文件撤回。投标文件已按时解密的，备份投标文件自动失效。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13</w:t>
            </w:r>
          </w:p>
        </w:tc>
        <w:tc>
          <w:tcPr>
            <w:tcW w:w="1546" w:type="dxa"/>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投标文件提交截止时间及开标时间</w:t>
            </w:r>
          </w:p>
        </w:tc>
        <w:tc>
          <w:tcPr>
            <w:tcW w:w="7853" w:type="dxa"/>
            <w:shd w:val="clear" w:color="auto" w:fill="FFFFFF"/>
            <w:noWrap w:val="0"/>
            <w:vAlign w:val="center"/>
          </w:tcPr>
          <w:p>
            <w:pPr>
              <w:spacing w:line="300" w:lineRule="auto"/>
              <w:jc w:val="left"/>
              <w:rPr>
                <w:rFonts w:hint="eastAsia" w:ascii="宋体" w:hAnsi="宋体"/>
                <w:b/>
                <w:szCs w:val="21"/>
              </w:rPr>
            </w:pPr>
            <w:r>
              <w:rPr>
                <w:rFonts w:hint="eastAsia" w:ascii="宋体" w:hAnsi="宋体"/>
                <w:b/>
                <w:bCs/>
                <w:szCs w:val="21"/>
              </w:rPr>
              <w:t>202</w:t>
            </w:r>
            <w:r>
              <w:rPr>
                <w:rFonts w:hint="eastAsia" w:ascii="宋体" w:hAnsi="宋体"/>
                <w:b/>
                <w:bCs/>
                <w:szCs w:val="21"/>
                <w:lang w:val="en-US" w:eastAsia="zh-CN"/>
              </w:rPr>
              <w:t>2</w:t>
            </w:r>
            <w:r>
              <w:rPr>
                <w:rFonts w:hint="eastAsia" w:ascii="宋体" w:hAnsi="宋体"/>
                <w:b/>
                <w:bCs/>
                <w:szCs w:val="21"/>
              </w:rPr>
              <w:t>年</w:t>
            </w:r>
            <w:r>
              <w:rPr>
                <w:rFonts w:hint="eastAsia" w:ascii="宋体" w:hAnsi="宋体"/>
                <w:b/>
                <w:bCs/>
                <w:szCs w:val="21"/>
                <w:lang w:val="en-US" w:eastAsia="zh-CN"/>
              </w:rPr>
              <w:t>6</w:t>
            </w:r>
            <w:r>
              <w:rPr>
                <w:rFonts w:hint="eastAsia" w:ascii="宋体" w:hAnsi="宋体"/>
                <w:b/>
                <w:bCs/>
                <w:szCs w:val="21"/>
              </w:rPr>
              <w:t>月</w:t>
            </w:r>
            <w:r>
              <w:rPr>
                <w:rFonts w:hint="eastAsia" w:ascii="宋体" w:hAnsi="宋体"/>
                <w:b/>
                <w:bCs/>
                <w:szCs w:val="21"/>
                <w:lang w:val="en-US" w:eastAsia="zh-CN"/>
              </w:rPr>
              <w:t>8</w:t>
            </w:r>
            <w:r>
              <w:rPr>
                <w:rFonts w:hint="eastAsia" w:ascii="宋体" w:hAnsi="宋体"/>
                <w:b/>
                <w:bCs/>
                <w:szCs w:val="21"/>
              </w:rPr>
              <w:t>日</w:t>
            </w:r>
            <w:r>
              <w:rPr>
                <w:rFonts w:hint="eastAsia" w:ascii="宋体" w:hAnsi="宋体"/>
                <w:b/>
                <w:bCs/>
                <w:szCs w:val="21"/>
                <w:lang w:val="en-US" w:eastAsia="zh-CN"/>
              </w:rPr>
              <w:t>09</w:t>
            </w:r>
            <w:r>
              <w:rPr>
                <w:rFonts w:hint="eastAsia" w:ascii="宋体" w:hAnsi="宋体"/>
                <w:b/>
                <w:bCs/>
                <w:szCs w:val="21"/>
              </w:rPr>
              <w:t>:</w:t>
            </w:r>
            <w:r>
              <w:rPr>
                <w:rFonts w:hint="eastAsia" w:ascii="宋体" w:hAnsi="宋体"/>
                <w:b/>
                <w:bCs/>
                <w:szCs w:val="21"/>
                <w:lang w:val="en-US" w:eastAsia="zh-CN"/>
              </w:rPr>
              <w:t>00</w:t>
            </w:r>
            <w:r>
              <w:rPr>
                <w:rFonts w:hint="eastAsia" w:ascii="宋体" w:hAnsi="宋体" w:cs="宋体"/>
                <w:b/>
                <w:bCs/>
                <w:szCs w:val="21"/>
              </w:rPr>
              <w:t>（北京</w:t>
            </w:r>
            <w:r>
              <w:rPr>
                <w:rFonts w:hint="eastAsia" w:ascii="宋体" w:hAnsi="宋体" w:cs="宋体"/>
                <w:b/>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vMerge w:val="restart"/>
            <w:shd w:val="clear" w:color="auto" w:fill="E0E0E0"/>
            <w:noWrap w:val="0"/>
            <w:vAlign w:val="center"/>
          </w:tcPr>
          <w:p>
            <w:pPr>
              <w:spacing w:line="300" w:lineRule="auto"/>
              <w:jc w:val="center"/>
              <w:rPr>
                <w:rFonts w:ascii="宋体" w:hAnsi="宋体" w:cs="宋体"/>
                <w:b/>
                <w:szCs w:val="21"/>
              </w:rPr>
            </w:pPr>
            <w:r>
              <w:rPr>
                <w:rFonts w:hint="eastAsia" w:ascii="宋体" w:hAnsi="宋体" w:cs="宋体"/>
                <w:b/>
                <w:szCs w:val="21"/>
              </w:rPr>
              <w:t>14</w:t>
            </w:r>
          </w:p>
        </w:tc>
        <w:tc>
          <w:tcPr>
            <w:tcW w:w="1546" w:type="dxa"/>
            <w:vMerge w:val="restart"/>
            <w:shd w:val="clear" w:color="auto" w:fill="E0E0E0"/>
            <w:noWrap w:val="0"/>
            <w:vAlign w:val="center"/>
          </w:tcPr>
          <w:p>
            <w:pPr>
              <w:spacing w:line="300" w:lineRule="auto"/>
              <w:jc w:val="center"/>
              <w:rPr>
                <w:rFonts w:hint="eastAsia" w:ascii="宋体" w:hAnsi="宋体" w:cs="宋体"/>
                <w:b/>
                <w:szCs w:val="21"/>
              </w:rPr>
            </w:pPr>
            <w:r>
              <w:rPr>
                <w:rFonts w:hint="eastAsia" w:ascii="宋体" w:hAnsi="宋体" w:cs="宋体"/>
                <w:b/>
                <w:szCs w:val="21"/>
              </w:rPr>
              <w:t>中小企业</w:t>
            </w:r>
          </w:p>
          <w:p>
            <w:pPr>
              <w:spacing w:line="300" w:lineRule="auto"/>
              <w:jc w:val="center"/>
              <w:rPr>
                <w:rFonts w:hint="eastAsia" w:ascii="宋体" w:hAnsi="宋体" w:cs="宋体"/>
                <w:b/>
                <w:szCs w:val="21"/>
              </w:rPr>
            </w:pPr>
            <w:r>
              <w:rPr>
                <w:rFonts w:hint="eastAsia" w:ascii="宋体" w:hAnsi="宋体" w:cs="宋体"/>
                <w:b/>
                <w:szCs w:val="21"/>
              </w:rPr>
              <w:t>扶持政策</w:t>
            </w:r>
          </w:p>
        </w:tc>
        <w:tc>
          <w:tcPr>
            <w:tcW w:w="7853" w:type="dxa"/>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本项目为未预留份额专门面向中小企业采购的采购项目。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vMerge w:val="continue"/>
            <w:shd w:val="clear" w:color="auto" w:fill="E0E0E0"/>
            <w:noWrap w:val="0"/>
            <w:vAlign w:val="center"/>
          </w:tcPr>
          <w:p>
            <w:pPr>
              <w:spacing w:line="300" w:lineRule="auto"/>
              <w:jc w:val="center"/>
              <w:rPr>
                <w:rFonts w:hint="eastAsia" w:ascii="宋体" w:hAnsi="宋体" w:cs="宋体"/>
                <w:b/>
                <w:szCs w:val="21"/>
              </w:rPr>
            </w:pPr>
          </w:p>
        </w:tc>
        <w:tc>
          <w:tcPr>
            <w:tcW w:w="1546" w:type="dxa"/>
            <w:vMerge w:val="continue"/>
            <w:shd w:val="clear" w:color="auto" w:fill="E0E0E0"/>
            <w:noWrap w:val="0"/>
            <w:vAlign w:val="center"/>
          </w:tcPr>
          <w:p>
            <w:pPr>
              <w:spacing w:line="300" w:lineRule="auto"/>
              <w:jc w:val="center"/>
              <w:rPr>
                <w:rFonts w:hint="eastAsia" w:ascii="宋体" w:hAnsi="宋体" w:cs="宋体"/>
                <w:b/>
                <w:szCs w:val="21"/>
              </w:rPr>
            </w:pPr>
          </w:p>
        </w:tc>
        <w:tc>
          <w:tcPr>
            <w:tcW w:w="7853" w:type="dxa"/>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vMerge w:val="continue"/>
            <w:shd w:val="clear" w:color="auto" w:fill="E0E0E0"/>
            <w:noWrap w:val="0"/>
            <w:vAlign w:val="center"/>
          </w:tcPr>
          <w:p>
            <w:pPr>
              <w:spacing w:line="300" w:lineRule="auto"/>
              <w:jc w:val="center"/>
              <w:rPr>
                <w:rFonts w:hint="eastAsia" w:ascii="宋体" w:hAnsi="宋体" w:cs="宋体"/>
                <w:b/>
                <w:szCs w:val="21"/>
              </w:rPr>
            </w:pPr>
          </w:p>
        </w:tc>
        <w:tc>
          <w:tcPr>
            <w:tcW w:w="1546" w:type="dxa"/>
            <w:vMerge w:val="continue"/>
            <w:shd w:val="clear" w:color="auto" w:fill="E0E0E0"/>
            <w:noWrap w:val="0"/>
            <w:vAlign w:val="center"/>
          </w:tcPr>
          <w:p>
            <w:pPr>
              <w:spacing w:line="300" w:lineRule="auto"/>
              <w:jc w:val="center"/>
              <w:rPr>
                <w:rFonts w:hint="eastAsia" w:ascii="宋体" w:hAnsi="宋体" w:cs="宋体"/>
                <w:b/>
                <w:szCs w:val="21"/>
              </w:rPr>
            </w:pPr>
          </w:p>
        </w:tc>
        <w:tc>
          <w:tcPr>
            <w:tcW w:w="7853" w:type="dxa"/>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vMerge w:val="continue"/>
            <w:shd w:val="clear" w:color="auto" w:fill="E0E0E0"/>
            <w:noWrap w:val="0"/>
            <w:vAlign w:val="center"/>
          </w:tcPr>
          <w:p>
            <w:pPr>
              <w:spacing w:line="300" w:lineRule="auto"/>
              <w:jc w:val="center"/>
              <w:rPr>
                <w:rFonts w:hint="eastAsia" w:ascii="宋体" w:hAnsi="宋体" w:cs="宋体"/>
                <w:b/>
                <w:szCs w:val="21"/>
              </w:rPr>
            </w:pPr>
          </w:p>
        </w:tc>
        <w:tc>
          <w:tcPr>
            <w:tcW w:w="1546" w:type="dxa"/>
            <w:vMerge w:val="continue"/>
            <w:shd w:val="clear" w:color="auto" w:fill="E0E0E0"/>
            <w:noWrap w:val="0"/>
            <w:vAlign w:val="center"/>
          </w:tcPr>
          <w:p>
            <w:pPr>
              <w:spacing w:line="300" w:lineRule="auto"/>
              <w:jc w:val="center"/>
              <w:rPr>
                <w:rFonts w:hint="eastAsia" w:ascii="宋体" w:hAnsi="宋体" w:cs="宋体"/>
                <w:b/>
                <w:szCs w:val="21"/>
              </w:rPr>
            </w:pPr>
          </w:p>
        </w:tc>
        <w:tc>
          <w:tcPr>
            <w:tcW w:w="7853" w:type="dxa"/>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本项目采购标的对应的中小企业划分标准所属行业：工业。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vMerge w:val="continue"/>
            <w:shd w:val="clear" w:color="auto" w:fill="E0E0E0"/>
            <w:noWrap w:val="0"/>
            <w:vAlign w:val="center"/>
          </w:tcPr>
          <w:p>
            <w:pPr>
              <w:spacing w:line="300" w:lineRule="auto"/>
              <w:jc w:val="center"/>
              <w:rPr>
                <w:rFonts w:hint="eastAsia" w:ascii="宋体" w:hAnsi="宋体" w:cs="宋体"/>
                <w:b/>
                <w:szCs w:val="21"/>
              </w:rPr>
            </w:pPr>
          </w:p>
        </w:tc>
        <w:tc>
          <w:tcPr>
            <w:tcW w:w="1546" w:type="dxa"/>
            <w:vMerge w:val="continue"/>
            <w:shd w:val="clear" w:color="auto" w:fill="E0E0E0"/>
            <w:noWrap w:val="0"/>
            <w:vAlign w:val="center"/>
          </w:tcPr>
          <w:p>
            <w:pPr>
              <w:spacing w:line="300" w:lineRule="auto"/>
              <w:jc w:val="center"/>
              <w:rPr>
                <w:rFonts w:hint="eastAsia" w:ascii="宋体" w:hAnsi="宋体" w:cs="宋体"/>
                <w:b/>
                <w:szCs w:val="21"/>
              </w:rPr>
            </w:pPr>
          </w:p>
        </w:tc>
        <w:tc>
          <w:tcPr>
            <w:tcW w:w="7853" w:type="dxa"/>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本项目为货物采购项目。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567" w:hRule="atLeast"/>
          <w:tblCellSpacing w:w="7" w:type="dxa"/>
          <w:jc w:val="center"/>
        </w:trPr>
        <w:tc>
          <w:tcPr>
            <w:tcW w:w="626" w:type="dxa"/>
            <w:vMerge w:val="continue"/>
            <w:shd w:val="clear" w:color="auto" w:fill="E0E0E0"/>
            <w:noWrap w:val="0"/>
            <w:vAlign w:val="center"/>
          </w:tcPr>
          <w:p>
            <w:pPr>
              <w:spacing w:line="300" w:lineRule="auto"/>
              <w:jc w:val="center"/>
              <w:rPr>
                <w:rFonts w:hint="eastAsia" w:ascii="宋体" w:hAnsi="宋体" w:cs="宋体"/>
                <w:b/>
                <w:szCs w:val="21"/>
              </w:rPr>
            </w:pPr>
          </w:p>
        </w:tc>
        <w:tc>
          <w:tcPr>
            <w:tcW w:w="1546" w:type="dxa"/>
            <w:vMerge w:val="continue"/>
            <w:shd w:val="clear" w:color="auto" w:fill="E0E0E0"/>
            <w:noWrap w:val="0"/>
            <w:vAlign w:val="center"/>
          </w:tcPr>
          <w:p>
            <w:pPr>
              <w:spacing w:line="300" w:lineRule="auto"/>
              <w:jc w:val="center"/>
              <w:rPr>
                <w:rFonts w:hint="eastAsia" w:ascii="宋体" w:hAnsi="宋体" w:cs="宋体"/>
                <w:b/>
                <w:szCs w:val="21"/>
              </w:rPr>
            </w:pPr>
          </w:p>
        </w:tc>
        <w:tc>
          <w:tcPr>
            <w:tcW w:w="7853" w:type="dxa"/>
            <w:shd w:val="clear" w:color="auto" w:fill="FFFFFF"/>
            <w:noWrap w:val="0"/>
            <w:vAlign w:val="center"/>
          </w:tcPr>
          <w:p>
            <w:pPr>
              <w:spacing w:line="300" w:lineRule="auto"/>
              <w:jc w:val="left"/>
              <w:rPr>
                <w:rFonts w:hint="eastAsia" w:ascii="宋体" w:hAnsi="宋体" w:cs="宋体"/>
                <w:b/>
                <w:kern w:val="0"/>
                <w:szCs w:val="21"/>
              </w:rPr>
            </w:pPr>
            <w:r>
              <w:rPr>
                <w:rFonts w:hint="eastAsia" w:ascii="宋体" w:hAnsi="宋体" w:cs="宋体"/>
                <w:b/>
                <w:kern w:val="0"/>
                <w:szCs w:val="21"/>
              </w:rPr>
              <w:t>一、根据《政府采购促进中小企业发展管理办法》（财库[2020]46号）规定：</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jc w:val="left"/>
              <w:rPr>
                <w:rFonts w:hint="eastAsia" w:ascii="宋体" w:hAnsi="宋体" w:cs="宋体"/>
                <w:b/>
                <w:kern w:val="0"/>
                <w:szCs w:val="21"/>
              </w:rPr>
            </w:pPr>
            <w:r>
              <w:rPr>
                <w:rFonts w:hint="eastAsia" w:ascii="宋体" w:hAnsi="宋体" w:cs="宋体"/>
                <w:b/>
                <w:kern w:val="0"/>
                <w:szCs w:val="21"/>
              </w:rPr>
              <w:t>符合中小企业划分标准的个体工商户，在政府采购活动中视同中小企业。</w:t>
            </w:r>
          </w:p>
          <w:p>
            <w:pPr>
              <w:spacing w:line="300" w:lineRule="auto"/>
              <w:jc w:val="left"/>
              <w:rPr>
                <w:rFonts w:hint="eastAsia" w:ascii="宋体" w:hAnsi="宋体" w:cs="宋体"/>
                <w:b/>
                <w:kern w:val="0"/>
                <w:szCs w:val="21"/>
              </w:rPr>
            </w:pPr>
            <w:r>
              <w:rPr>
                <w:rFonts w:hint="eastAsia" w:ascii="宋体" w:hAnsi="宋体" w:cs="宋体"/>
                <w:b/>
                <w:kern w:val="0"/>
                <w:szCs w:val="21"/>
              </w:rPr>
              <w:t>2.在政府采购活动中，供应商提供的货物、工程或者服务符合下列情形的，享受本办法规定的中小企业扶持政策：</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（1）在货物采购项目中，货物由中小企业制造，即货物由中小企业生产且使用该中小企业商号或者注册商标； </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（2）在工程采购项目中，工程由中小企业承建，即工程施工单位为中小企业； </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（3）在服务采购项目中，服务由中小企业承接，即提供服务的人员为中小企业依照《中华人民共和国劳动合同法》订立劳动合同的从业人员。 </w:t>
            </w:r>
          </w:p>
          <w:p>
            <w:pPr>
              <w:spacing w:line="300" w:lineRule="auto"/>
              <w:jc w:val="left"/>
              <w:rPr>
                <w:rFonts w:hint="eastAsia" w:ascii="宋体" w:hAnsi="宋体" w:cs="宋体"/>
                <w:b/>
                <w:kern w:val="0"/>
                <w:szCs w:val="21"/>
              </w:rPr>
            </w:pPr>
            <w:r>
              <w:rPr>
                <w:rFonts w:hint="eastAsia" w:ascii="宋体" w:hAnsi="宋体" w:cs="宋体"/>
                <w:b/>
                <w:kern w:val="0"/>
                <w:szCs w:val="21"/>
              </w:rPr>
              <w:t xml:space="preserve">在货物采购项目中，供应商提供的货物既有中小企业制造货物，也有大型企业制造货物的，不享受本办法规定的中小企业扶持政策。 </w:t>
            </w:r>
          </w:p>
          <w:p>
            <w:pPr>
              <w:spacing w:line="300" w:lineRule="auto"/>
              <w:jc w:val="left"/>
              <w:rPr>
                <w:rFonts w:hint="eastAsia" w:ascii="宋体" w:hAnsi="宋体" w:cs="宋体"/>
                <w:b/>
                <w:kern w:val="0"/>
                <w:szCs w:val="21"/>
              </w:rPr>
            </w:pPr>
            <w:r>
              <w:rPr>
                <w:rFonts w:hint="eastAsia" w:ascii="宋体" w:hAnsi="宋体" w:cs="宋体"/>
                <w:b/>
                <w:kern w:val="0"/>
                <w:szCs w:val="21"/>
              </w:rPr>
              <w:t>3.在政府采购活动中，监狱企业、残疾人福利性单位视同小型、微型企业，享受本办法规定的中小企业扶持政策；监狱企业、残疾人福利性单位属于小型、微型企业的，不重复享受政策。</w:t>
            </w:r>
          </w:p>
          <w:p>
            <w:pPr>
              <w:spacing w:line="300" w:lineRule="auto"/>
              <w:jc w:val="left"/>
              <w:rPr>
                <w:rFonts w:hint="eastAsia" w:ascii="宋体" w:hAnsi="宋体" w:cs="宋体"/>
                <w:b/>
                <w:kern w:val="0"/>
                <w:szCs w:val="21"/>
              </w:rPr>
            </w:pPr>
            <w:r>
              <w:rPr>
                <w:rFonts w:hint="eastAsia" w:ascii="宋体" w:hAnsi="宋体" w:cs="宋体"/>
                <w:b/>
                <w:kern w:val="0"/>
                <w:szCs w:val="21"/>
              </w:rPr>
              <w:t>二、本项目中小企业扶持政策：</w:t>
            </w:r>
          </w:p>
          <w:p>
            <w:pPr>
              <w:spacing w:line="300" w:lineRule="auto"/>
              <w:jc w:val="left"/>
              <w:rPr>
                <w:rFonts w:hint="eastAsia" w:ascii="宋体" w:hAnsi="宋体" w:cs="宋体"/>
                <w:b/>
                <w:kern w:val="0"/>
                <w:szCs w:val="21"/>
              </w:rPr>
            </w:pPr>
            <w:r>
              <w:rPr>
                <w:rFonts w:hint="eastAsia" w:ascii="宋体" w:hAnsi="宋体" w:cs="宋体"/>
                <w:b/>
                <w:kern w:val="0"/>
                <w:szCs w:val="21"/>
              </w:rPr>
              <w:t>1.【评审中价格扣除政策】本项目对符合本办法规定的小微企业报价给予</w:t>
            </w:r>
            <w:r>
              <w:rPr>
                <w:rFonts w:hint="eastAsia" w:ascii="宋体" w:hAnsi="宋体" w:cs="宋体"/>
                <w:b/>
                <w:kern w:val="0"/>
                <w:szCs w:val="21"/>
                <w:lang w:val="en-US" w:eastAsia="zh-CN"/>
              </w:rPr>
              <w:t>1</w:t>
            </w:r>
            <w:r>
              <w:rPr>
                <w:rFonts w:hint="eastAsia" w:ascii="宋体" w:hAnsi="宋体" w:cs="宋体"/>
                <w:b/>
                <w:kern w:val="0"/>
                <w:szCs w:val="21"/>
                <w:lang w:val="en-US" w:eastAsia="zh-CN"/>
              </w:rPr>
              <w:t>0</w:t>
            </w:r>
            <w:r>
              <w:rPr>
                <w:rFonts w:hint="eastAsia" w:ascii="宋体" w:hAnsi="宋体" w:cs="宋体"/>
                <w:b/>
                <w:kern w:val="0"/>
                <w:szCs w:val="21"/>
              </w:rPr>
              <w:t>%的扣除，用扣除后的价格参加评审：</w:t>
            </w:r>
          </w:p>
          <w:p>
            <w:pPr>
              <w:spacing w:line="300" w:lineRule="auto"/>
              <w:jc w:val="left"/>
              <w:rPr>
                <w:rFonts w:hint="eastAsia" w:ascii="宋体" w:hAnsi="宋体" w:cs="宋体"/>
                <w:b/>
                <w:kern w:val="0"/>
                <w:szCs w:val="21"/>
              </w:rPr>
            </w:pPr>
            <w:r>
              <w:rPr>
                <w:rFonts w:hint="eastAsia" w:ascii="宋体" w:hAnsi="宋体" w:cs="宋体"/>
                <w:b/>
                <w:kern w:val="0"/>
                <w:szCs w:val="21"/>
              </w:rPr>
              <w:t>（1）小微企业须提供《中小企业声明函》，附在报价文件内，否则不享受评审中价格扣除政策；</w:t>
            </w:r>
          </w:p>
          <w:p>
            <w:pPr>
              <w:spacing w:line="300" w:lineRule="auto"/>
              <w:jc w:val="left"/>
              <w:rPr>
                <w:rFonts w:hint="eastAsia" w:ascii="宋体" w:hAnsi="宋体" w:cs="宋体"/>
                <w:b/>
                <w:kern w:val="0"/>
                <w:szCs w:val="21"/>
              </w:rPr>
            </w:pPr>
            <w:r>
              <w:rPr>
                <w:rFonts w:hint="eastAsia" w:ascii="宋体" w:hAnsi="宋体" w:cs="宋体"/>
                <w:b/>
                <w:kern w:val="0"/>
                <w:szCs w:val="21"/>
              </w:rPr>
              <w:t>（2）监狱企业须提供由省级以上监狱管理局、戒毒管理局（含新疆生产建设兵团）出具的属于监狱企业的证明文件，附在报价文件内，否则不享受评审中价格扣除政策；</w:t>
            </w:r>
          </w:p>
          <w:p>
            <w:pPr>
              <w:spacing w:line="300" w:lineRule="auto"/>
              <w:jc w:val="left"/>
              <w:rPr>
                <w:rFonts w:hint="eastAsia" w:ascii="宋体" w:hAnsi="宋体" w:cs="宋体"/>
                <w:b/>
                <w:kern w:val="0"/>
                <w:szCs w:val="21"/>
              </w:rPr>
            </w:pPr>
            <w:r>
              <w:rPr>
                <w:rFonts w:hint="eastAsia" w:ascii="宋体" w:hAnsi="宋体" w:cs="宋体"/>
                <w:b/>
                <w:kern w:val="0"/>
                <w:szCs w:val="21"/>
              </w:rPr>
              <w:t>（3）残疾人福利性单位须提供《残疾人福利性单位声明函》，附在报价文件内，否则不享受评审中价格扣除政策。</w:t>
            </w:r>
          </w:p>
        </w:tc>
      </w:tr>
    </w:tbl>
    <w:p>
      <w:pPr>
        <w:snapToGrid w:val="0"/>
        <w:spacing w:line="276" w:lineRule="auto"/>
        <w:rPr>
          <w:rFonts w:ascii="宋体" w:hAnsi="宋体" w:cs="宋体"/>
          <w:b/>
          <w:szCs w:val="21"/>
        </w:rPr>
      </w:pPr>
    </w:p>
    <w:p>
      <w:pPr>
        <w:pStyle w:val="64"/>
        <w:rPr>
          <w:szCs w:val="21"/>
        </w:rPr>
      </w:pPr>
    </w:p>
    <w:p>
      <w:pPr>
        <w:pStyle w:val="64"/>
        <w:rPr>
          <w:szCs w:val="21"/>
        </w:rPr>
      </w:pPr>
    </w:p>
    <w:p>
      <w:pPr>
        <w:snapToGrid w:val="0"/>
        <w:spacing w:line="276" w:lineRule="auto"/>
        <w:jc w:val="center"/>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一、总  则</w:t>
      </w:r>
    </w:p>
    <w:p>
      <w:pPr>
        <w:pStyle w:val="9"/>
        <w:snapToGrid w:val="0"/>
        <w:spacing w:before="120" w:after="120" w:line="360" w:lineRule="auto"/>
        <w:ind w:firstLine="422" w:firstLineChars="200"/>
        <w:rPr>
          <w:rFonts w:hint="eastAsia" w:hAnsi="宋体" w:eastAsia="宋体" w:cs="宋体"/>
          <w:b/>
          <w:sz w:val="21"/>
          <w:szCs w:val="21"/>
        </w:rPr>
      </w:pPr>
      <w:r>
        <w:rPr>
          <w:rFonts w:hint="eastAsia" w:hAnsi="宋体" w:eastAsia="宋体" w:cs="宋体"/>
          <w:b/>
          <w:sz w:val="21"/>
          <w:szCs w:val="21"/>
        </w:rPr>
        <w:t>（一）适用范围</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本招标文件适用于本次项目的评标、定标、验收、合同履约、付款等（法律、法规另有规定的，从其规定）。</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（二）定义</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1、“采购人”、“招标人”系指组织本次采购的单位：舟山市公安局。</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2、“采购代理机构”系指中金招标有限责任公司。</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3、“投标人”系指向采购代理机构提交投标文件的供应商。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4、“中标人”系指经评审小组评定，且审查通过，并经公示无异议的合格投标人。</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5、“投标人代表”系指全权代表投标人参加本次投标活动并签署投标文件的人，如果投标人代表不是投标人的法定代表人，须提供《法定代表人授权函》。</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6、“产品”系指供方按招标文件规定，须向采购人提供的一切产品、保险、税金、备品备件、工具、手册及其它有关技术资料和材料。</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7、“服务”系指招标文件规定投标人须承担的安装、调试、技术协助、校准、培训、数据服务以及其他类似的义务。</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8、“项目”系指投标人按招标文件规定向采购人提供的产品和服务。</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9、“书面形式”包括信函、传真、快递、电报等。</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（三）采购方式</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本次采用公开招标方式进行。</w:t>
      </w:r>
    </w:p>
    <w:p>
      <w:pPr>
        <w:pStyle w:val="9"/>
        <w:snapToGrid w:val="0"/>
        <w:spacing w:line="360" w:lineRule="auto"/>
        <w:ind w:firstLine="417" w:firstLineChars="198"/>
        <w:rPr>
          <w:rFonts w:hint="eastAsia" w:hAnsi="宋体" w:eastAsia="宋体" w:cs="宋体"/>
          <w:b/>
          <w:sz w:val="21"/>
          <w:szCs w:val="21"/>
          <w:lang w:eastAsia="zh-CN"/>
        </w:rPr>
      </w:pPr>
      <w:r>
        <w:rPr>
          <w:rFonts w:hint="eastAsia" w:hAnsi="宋体" w:eastAsia="宋体" w:cs="宋体"/>
          <w:b/>
          <w:sz w:val="21"/>
          <w:szCs w:val="21"/>
        </w:rPr>
        <w:t>（四）</w:t>
      </w:r>
      <w:r>
        <w:rPr>
          <w:rFonts w:hint="eastAsia" w:hAnsi="宋体" w:eastAsia="宋体" w:cs="宋体"/>
          <w:b/>
          <w:sz w:val="21"/>
          <w:szCs w:val="21"/>
          <w:lang w:val="en-US" w:eastAsia="zh-CN"/>
        </w:rPr>
        <w:t>最高限价</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748001</w:t>
      </w:r>
      <w:r>
        <w:rPr>
          <w:rFonts w:hint="eastAsia" w:ascii="宋体" w:hAnsi="宋体" w:cs="宋体"/>
          <w:b/>
          <w:szCs w:val="21"/>
          <w:lang w:val="en-US" w:eastAsia="zh-CN"/>
        </w:rPr>
        <w:t>0</w:t>
      </w:r>
      <w:r>
        <w:rPr>
          <w:rFonts w:hint="eastAsia" w:ascii="宋体" w:hAnsi="宋体" w:cs="宋体"/>
          <w:b/>
          <w:szCs w:val="21"/>
        </w:rPr>
        <w:t>元，超过作投标无效处理。</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（五）联合体投标</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不接受联合体投标。</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（六）转包与分包</w:t>
      </w:r>
    </w:p>
    <w:p>
      <w:pPr>
        <w:pStyle w:val="9"/>
        <w:snapToGrid w:val="0"/>
        <w:spacing w:line="360" w:lineRule="auto"/>
        <w:ind w:firstLine="420" w:firstLineChars="200"/>
        <w:rPr>
          <w:rFonts w:hAnsi="宋体" w:eastAsia="宋体" w:cs="宋体"/>
          <w:sz w:val="21"/>
          <w:szCs w:val="21"/>
        </w:rPr>
      </w:pPr>
      <w:r>
        <w:rPr>
          <w:rFonts w:hint="eastAsia" w:hAnsi="宋体" w:eastAsia="宋体" w:cs="宋体"/>
          <w:sz w:val="21"/>
          <w:szCs w:val="21"/>
        </w:rPr>
        <w:t>1.本项目不允许转包。</w:t>
      </w:r>
    </w:p>
    <w:p>
      <w:pPr>
        <w:snapToGrid w:val="0"/>
        <w:spacing w:line="360" w:lineRule="auto"/>
        <w:ind w:firstLine="420" w:firstLineChars="200"/>
        <w:jc w:val="left"/>
        <w:rPr>
          <w:rFonts w:ascii="宋体" w:hAnsi="宋体" w:cs="宋体"/>
          <w:bCs/>
          <w:szCs w:val="21"/>
        </w:rPr>
      </w:pPr>
      <w:r>
        <w:rPr>
          <w:rFonts w:hint="eastAsia" w:ascii="宋体" w:hAnsi="宋体" w:cs="宋体"/>
          <w:bCs/>
          <w:szCs w:val="21"/>
        </w:rPr>
        <w:t>2.本项目不允许分包。</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（七）投标费用</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不论投标结果如何，投标人均应自行承担所有与投标有关的全部费用。</w:t>
      </w:r>
    </w:p>
    <w:p>
      <w:pPr>
        <w:pStyle w:val="9"/>
        <w:snapToGrid w:val="0"/>
        <w:spacing w:line="360" w:lineRule="auto"/>
        <w:ind w:firstLine="422" w:firstLineChars="200"/>
        <w:rPr>
          <w:rFonts w:hint="eastAsia" w:hAnsi="宋体" w:eastAsia="宋体" w:cs="宋体"/>
          <w:b/>
          <w:kern w:val="0"/>
          <w:sz w:val="21"/>
          <w:szCs w:val="21"/>
        </w:rPr>
      </w:pPr>
      <w:r>
        <w:rPr>
          <w:rFonts w:hint="eastAsia" w:hAnsi="宋体" w:eastAsia="宋体" w:cs="宋体"/>
          <w:b/>
          <w:kern w:val="0"/>
          <w:sz w:val="21"/>
          <w:szCs w:val="21"/>
        </w:rPr>
        <w:t>（八）答疑与澄清</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投标人如认为招标文件表述不清晰、存在歧视性、排他性或者其他违法内容的，应当于202</w:t>
      </w:r>
      <w:r>
        <w:rPr>
          <w:rFonts w:hint="eastAsia" w:hAnsi="宋体" w:eastAsia="宋体" w:cs="宋体"/>
          <w:kern w:val="0"/>
          <w:sz w:val="21"/>
          <w:szCs w:val="21"/>
          <w:lang w:val="en-US" w:eastAsia="zh-CN"/>
        </w:rPr>
        <w:t>2</w:t>
      </w:r>
      <w:r>
        <w:rPr>
          <w:rFonts w:hint="eastAsia" w:hAnsi="宋体" w:eastAsia="宋体" w:cs="宋体"/>
          <w:kern w:val="0"/>
          <w:sz w:val="21"/>
          <w:szCs w:val="21"/>
        </w:rPr>
        <w:t>年</w:t>
      </w:r>
      <w:r>
        <w:rPr>
          <w:rFonts w:hint="eastAsia" w:hAnsi="宋体" w:eastAsia="宋体" w:cs="宋体"/>
          <w:kern w:val="0"/>
          <w:sz w:val="21"/>
          <w:szCs w:val="21"/>
          <w:lang w:val="en-US" w:eastAsia="zh-CN"/>
        </w:rPr>
        <w:t>5</w:t>
      </w:r>
      <w:r>
        <w:rPr>
          <w:rFonts w:hint="eastAsia" w:hAnsi="宋体" w:eastAsia="宋体" w:cs="宋体"/>
          <w:kern w:val="0"/>
          <w:sz w:val="21"/>
          <w:szCs w:val="21"/>
        </w:rPr>
        <w:t>月</w:t>
      </w:r>
      <w:r>
        <w:rPr>
          <w:rFonts w:hint="eastAsia" w:hAnsi="宋体" w:eastAsia="宋体" w:cs="宋体"/>
          <w:kern w:val="0"/>
          <w:sz w:val="21"/>
          <w:szCs w:val="21"/>
          <w:lang w:val="en-US" w:eastAsia="zh-CN"/>
        </w:rPr>
        <w:t>23</w:t>
      </w:r>
      <w:r>
        <w:rPr>
          <w:rFonts w:hint="eastAsia" w:hAnsi="宋体" w:eastAsia="宋体" w:cs="宋体"/>
          <w:kern w:val="0"/>
          <w:sz w:val="21"/>
          <w:szCs w:val="21"/>
        </w:rPr>
        <w:t>日17：00前，以书面形式要求采购人作出书面解释、澄清或者向采购人提出一次性书面质疑；采购人将组织答疑；答疑内容是招标文件的组成部份，并将以书面形式送达所有已依法获取采购文件的投标人。</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1、根据《中华人民共和国政府采购法实施条例》第五十三条：政府采购法第五十二条规定的供应商应知其权益受到损害之日，是指：</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①对可以质疑的采购文件提出质疑的，为收到采购文件之日或者采购文件公告期限届满之日；</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②对采购过程提出质疑的，为各采购程序环节结束之日；</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③对中标或者成交结果提出质疑的，为中标或者成交结果公告期限届满之日。</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2、质疑书应包括下列主要内容：</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①质疑人的名称、地址、邮政编码、联系人、联系电话，以及被质疑人名称及联系方式；</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②被质疑采购项目名称、编号及采购内容；</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③具体的质疑事项及事实依据；</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④认为自己合法权益受到损害或可能受到损害的相关证据材料；</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⑤提出质疑的日期。</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3、采购人或者采购代理机构应当在3个工作日内对供应商依法提出的询问作出答复。采购人或者采购代理机构应当在7个工作日内对供应商依法提出的质疑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9"/>
        <w:snapToGrid w:val="0"/>
        <w:spacing w:line="360" w:lineRule="auto"/>
        <w:ind w:firstLine="420" w:firstLineChars="200"/>
        <w:rPr>
          <w:rFonts w:hint="eastAsia" w:hAnsi="宋体" w:eastAsia="宋体" w:cs="宋体"/>
          <w:kern w:val="0"/>
          <w:sz w:val="21"/>
          <w:szCs w:val="21"/>
        </w:rPr>
      </w:pPr>
      <w:r>
        <w:rPr>
          <w:rFonts w:hint="eastAsia" w:hAnsi="宋体" w:eastAsia="宋体" w:cs="宋体"/>
          <w:kern w:val="0"/>
          <w:sz w:val="21"/>
          <w:szCs w:val="21"/>
        </w:rPr>
        <w:t>4、质疑供应商对采购人、采购代理机构的答复不满意或者采购人、采购代理机构未在规定的时间内作出答复的，可以在答复期满后十五个工作日内向同级政府采购监督管理部门投诉。</w:t>
      </w:r>
    </w:p>
    <w:p>
      <w:pPr>
        <w:pStyle w:val="9"/>
        <w:snapToGrid w:val="0"/>
        <w:spacing w:line="360" w:lineRule="auto"/>
        <w:ind w:firstLine="420" w:firstLineChars="200"/>
        <w:rPr>
          <w:rFonts w:hint="eastAsia" w:hAnsi="宋体" w:eastAsia="宋体" w:cs="宋体"/>
          <w:b/>
          <w:kern w:val="0"/>
          <w:sz w:val="21"/>
          <w:szCs w:val="21"/>
        </w:rPr>
      </w:pPr>
      <w:r>
        <w:rPr>
          <w:rFonts w:hint="eastAsia" w:hAnsi="宋体" w:eastAsia="宋体" w:cs="宋体"/>
          <w:kern w:val="0"/>
          <w:sz w:val="21"/>
          <w:szCs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（九）信用记录：</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根据财库[2016]125号《关于在政府采购活动中查询及使用信用记录有关问题的通知》要求，采购代理机构会对供应商信用记录进行查询并甄别。</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1、信用信息查询的截止时点：投标截止时间前查询；</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2、查询渠道：</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信用中国（www.creditchina.gov.cn）；</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中国政府采购网（www.ccgp.gov.cn）；</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3、信用信息查询记录和证据留存具体方式：采购代理机构经办人和监督人员将查询网页打印、签字与其他采购文件一并保存；</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4、信用信息的使用规则：投标人存在不良信用记录的，其投标将被作为无效投标被拒绝。</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不良信用记录指：被列入失信被执行人、重大税收违法案件当事人名单、政府采购严重违法失信行为记录名单。</w:t>
      </w:r>
    </w:p>
    <w:p>
      <w:pPr>
        <w:snapToGrid w:val="0"/>
        <w:spacing w:line="360" w:lineRule="auto"/>
        <w:ind w:firstLine="422" w:firstLineChars="200"/>
        <w:jc w:val="left"/>
        <w:rPr>
          <w:rFonts w:hint="eastAsia" w:ascii="宋体" w:hAnsi="宋体" w:cs="宋体"/>
          <w:b/>
          <w:bCs/>
          <w:szCs w:val="21"/>
        </w:rPr>
      </w:pPr>
      <w:r>
        <w:rPr>
          <w:rFonts w:hint="eastAsia" w:ascii="宋体" w:hAnsi="宋体" w:cs="宋体"/>
          <w:b/>
          <w:bCs/>
          <w:szCs w:val="21"/>
        </w:rPr>
        <w:t>（十）信贷政策</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1"/>
        <w:gridCol w:w="3668"/>
        <w:gridCol w:w="1403"/>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4"/>
            <w:noWrap w:val="0"/>
            <w:vAlign w:val="top"/>
          </w:tcPr>
          <w:p>
            <w:pPr>
              <w:jc w:val="center"/>
              <w:rPr>
                <w:rFonts w:hint="eastAsia" w:ascii="宋体" w:hAnsi="宋体" w:cs="宋体"/>
                <w:color w:val="000000"/>
                <w:kern w:val="0"/>
                <w:szCs w:val="21"/>
              </w:rPr>
            </w:pPr>
            <w:r>
              <w:rPr>
                <w:rFonts w:hint="eastAsia" w:ascii="宋体" w:hAnsi="宋体" w:cs="宋体"/>
                <w:color w:val="000000"/>
                <w:kern w:val="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银行名称</w:t>
            </w:r>
          </w:p>
        </w:tc>
        <w:tc>
          <w:tcPr>
            <w:tcW w:w="1992"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产品特点</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经办人</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中国工商银行股份有限公司舟山分行</w:t>
            </w:r>
          </w:p>
        </w:tc>
        <w:tc>
          <w:tcPr>
            <w:tcW w:w="1992" w:type="pct"/>
            <w:noWrap w:val="0"/>
            <w:vAlign w:val="top"/>
          </w:tcPr>
          <w:p>
            <w:pPr>
              <w:rPr>
                <w:rFonts w:hint="eastAsia" w:ascii="宋体" w:hAnsi="宋体" w:cs="宋体"/>
                <w:color w:val="000000"/>
                <w:kern w:val="0"/>
                <w:szCs w:val="21"/>
              </w:rPr>
            </w:pPr>
            <w:r>
              <w:rPr>
                <w:rFonts w:hint="eastAsia" w:ascii="宋体" w:hAnsi="宋体" w:cs="宋体"/>
                <w:color w:val="000000"/>
                <w:kern w:val="0"/>
                <w:szCs w:val="21"/>
              </w:rPr>
              <w:t>“采购贷”业务是指符合条件的中小企业供应商客户，在其取得政府采购合同后，以合同项下的预期销货款抵押为基础，为其提供的融资业务。融资额度根据政府采购合同实有金额（合同金额减去预收货款）及供应商资金需求确定，融资本息最高可达政府采购合同实有金额的100%。</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柳超颖</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rPr>
                <w:rFonts w:hint="eastAsia" w:ascii="宋体" w:hAnsi="宋体" w:cs="宋体"/>
                <w:color w:val="000000"/>
                <w:kern w:val="0"/>
                <w:szCs w:val="21"/>
              </w:rPr>
            </w:pPr>
            <w:r>
              <w:rPr>
                <w:rFonts w:hint="eastAsia" w:ascii="宋体" w:hAnsi="宋体" w:cs="宋体"/>
                <w:color w:val="000000"/>
                <w:kern w:val="0"/>
                <w:szCs w:val="21"/>
              </w:rPr>
              <w:t>中国建设银行股份有限公司舟山分行</w:t>
            </w:r>
          </w:p>
        </w:tc>
        <w:tc>
          <w:tcPr>
            <w:tcW w:w="1992" w:type="pct"/>
            <w:noWrap w:val="0"/>
            <w:vAlign w:val="top"/>
          </w:tcPr>
          <w:p>
            <w:pPr>
              <w:rPr>
                <w:rFonts w:hint="eastAsia" w:ascii="宋体" w:hAnsi="宋体" w:cs="宋体"/>
                <w:color w:val="000000"/>
                <w:kern w:val="0"/>
                <w:szCs w:val="21"/>
              </w:rPr>
            </w:pPr>
            <w:r>
              <w:rPr>
                <w:rFonts w:hint="eastAsia" w:ascii="宋体" w:hAnsi="宋体" w:cs="宋体"/>
                <w:color w:val="000000"/>
                <w:kern w:val="0"/>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普陀片区：蔡妮妮</w:t>
            </w:r>
          </w:p>
          <w:p>
            <w:pPr>
              <w:jc w:val="center"/>
              <w:rPr>
                <w:rFonts w:hint="eastAsia" w:ascii="宋体" w:hAnsi="宋体" w:cs="宋体"/>
                <w:color w:val="000000"/>
                <w:kern w:val="0"/>
                <w:szCs w:val="21"/>
              </w:rPr>
            </w:pPr>
            <w:r>
              <w:rPr>
                <w:rFonts w:hint="eastAsia" w:ascii="宋体" w:hAnsi="宋体" w:cs="宋体"/>
                <w:color w:val="000000"/>
                <w:kern w:val="0"/>
                <w:szCs w:val="21"/>
              </w:rPr>
              <w:t>定海片区：杨莹</w:t>
            </w:r>
          </w:p>
          <w:p>
            <w:pPr>
              <w:jc w:val="center"/>
              <w:rPr>
                <w:rFonts w:hint="eastAsia" w:ascii="宋体" w:hAnsi="宋体" w:cs="宋体"/>
                <w:color w:val="000000"/>
                <w:kern w:val="0"/>
                <w:szCs w:val="21"/>
              </w:rPr>
            </w:pPr>
            <w:r>
              <w:rPr>
                <w:rFonts w:hint="eastAsia" w:ascii="宋体" w:hAnsi="宋体" w:cs="宋体"/>
                <w:color w:val="000000"/>
                <w:kern w:val="0"/>
                <w:szCs w:val="21"/>
              </w:rPr>
              <w:t>自贸区片区：郑佳奇</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普陀片区：13957201791</w:t>
            </w:r>
          </w:p>
          <w:p>
            <w:pPr>
              <w:jc w:val="center"/>
              <w:rPr>
                <w:rFonts w:hint="eastAsia" w:ascii="宋体" w:hAnsi="宋体" w:cs="宋体"/>
                <w:color w:val="000000"/>
                <w:kern w:val="0"/>
                <w:szCs w:val="21"/>
              </w:rPr>
            </w:pPr>
            <w:r>
              <w:rPr>
                <w:rFonts w:hint="eastAsia" w:ascii="宋体" w:hAnsi="宋体" w:cs="宋体"/>
                <w:color w:val="000000"/>
                <w:kern w:val="0"/>
                <w:szCs w:val="21"/>
              </w:rPr>
              <w:t>定海片区：13655803997</w:t>
            </w:r>
          </w:p>
          <w:p>
            <w:pPr>
              <w:jc w:val="center"/>
              <w:rPr>
                <w:rFonts w:hint="eastAsia" w:ascii="宋体" w:hAnsi="宋体" w:cs="宋体"/>
                <w:color w:val="000000"/>
                <w:kern w:val="0"/>
                <w:szCs w:val="21"/>
              </w:rPr>
            </w:pPr>
            <w:r>
              <w:rPr>
                <w:rFonts w:hint="eastAsia" w:ascii="宋体" w:hAnsi="宋体" w:cs="宋体"/>
                <w:color w:val="000000"/>
                <w:kern w:val="0"/>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杭州银行股份有限公司舟山市分行</w:t>
            </w:r>
          </w:p>
        </w:tc>
        <w:tc>
          <w:tcPr>
            <w:tcW w:w="1992" w:type="pct"/>
            <w:noWrap w:val="0"/>
            <w:vAlign w:val="top"/>
          </w:tcPr>
          <w:p>
            <w:pPr>
              <w:rPr>
                <w:rFonts w:hint="eastAsia" w:ascii="宋体" w:hAnsi="宋体" w:cs="宋体"/>
                <w:color w:val="000000"/>
                <w:kern w:val="0"/>
                <w:szCs w:val="21"/>
              </w:rPr>
            </w:pPr>
            <w:r>
              <w:rPr>
                <w:rFonts w:hint="eastAsia" w:ascii="宋体" w:hAnsi="宋体" w:cs="宋体"/>
                <w:color w:val="000000"/>
                <w:kern w:val="0"/>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方经理</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招商银行股份有限公司浙江自贸试验区舟山分行</w:t>
            </w:r>
          </w:p>
        </w:tc>
        <w:tc>
          <w:tcPr>
            <w:tcW w:w="1992" w:type="pct"/>
            <w:noWrap w:val="0"/>
            <w:vAlign w:val="top"/>
          </w:tcPr>
          <w:p>
            <w:pPr>
              <w:rPr>
                <w:rFonts w:hint="eastAsia" w:ascii="宋体" w:hAnsi="宋体" w:cs="宋体"/>
                <w:color w:val="000000"/>
                <w:kern w:val="0"/>
                <w:szCs w:val="21"/>
              </w:rPr>
            </w:pPr>
            <w:r>
              <w:rPr>
                <w:rFonts w:hint="eastAsia" w:ascii="宋体" w:hAnsi="宋体" w:cs="宋体"/>
                <w:color w:val="000000"/>
                <w:kern w:val="0"/>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李玲</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温州银行股份有限公司舟山市分行</w:t>
            </w:r>
          </w:p>
        </w:tc>
        <w:tc>
          <w:tcPr>
            <w:tcW w:w="1992" w:type="pct"/>
            <w:noWrap w:val="0"/>
            <w:vAlign w:val="top"/>
          </w:tcPr>
          <w:p>
            <w:pPr>
              <w:rPr>
                <w:rFonts w:hint="eastAsia" w:ascii="宋体" w:hAnsi="宋体" w:cs="宋体"/>
                <w:bCs/>
                <w:color w:val="000000"/>
                <w:kern w:val="0"/>
                <w:szCs w:val="21"/>
              </w:rPr>
            </w:pPr>
            <w:r>
              <w:rPr>
                <w:rFonts w:hint="eastAsia" w:ascii="宋体" w:hAnsi="宋体" w:cs="宋体"/>
                <w:bCs/>
                <w:color w:val="000000"/>
                <w:kern w:val="0"/>
                <w:szCs w:val="21"/>
              </w:rPr>
              <w:t>“政采订单贷”</w:t>
            </w:r>
            <w:r>
              <w:rPr>
                <w:rFonts w:hint="eastAsia" w:ascii="宋体" w:hAnsi="宋体" w:cs="宋体"/>
                <w:kern w:val="0"/>
                <w:szCs w:val="21"/>
              </w:rPr>
              <w:t xml:space="preserve"> ：</w:t>
            </w:r>
            <w:r>
              <w:rPr>
                <w:rFonts w:hint="eastAsia" w:ascii="宋体" w:hAnsi="宋体" w:cs="宋体"/>
                <w:bCs/>
                <w:color w:val="000000"/>
                <w:kern w:val="0"/>
                <w:szCs w:val="21"/>
              </w:rPr>
              <w:t>单户授信最高为500万，单笔申请最高可按中标金额0.8折，贷款期限最少三个月、最长一年，可通过政采云平台向本行发起政采订单贷业务申请</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郑贤栋</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交通银行股份有限公司舟山分行</w:t>
            </w:r>
          </w:p>
        </w:tc>
        <w:tc>
          <w:tcPr>
            <w:tcW w:w="1992" w:type="pct"/>
            <w:noWrap w:val="0"/>
            <w:vAlign w:val="top"/>
          </w:tcPr>
          <w:p>
            <w:pPr>
              <w:autoSpaceDE w:val="0"/>
              <w:autoSpaceDN w:val="0"/>
              <w:adjustRightInd w:val="0"/>
              <w:rPr>
                <w:rFonts w:hint="eastAsia" w:ascii="宋体" w:hAnsi="宋体" w:cs="宋体"/>
                <w:color w:val="000000"/>
                <w:kern w:val="0"/>
                <w:szCs w:val="21"/>
              </w:rPr>
            </w:pPr>
            <w:r>
              <w:rPr>
                <w:rFonts w:hint="eastAsia" w:ascii="宋体" w:hAnsi="宋体" w:cs="宋体"/>
                <w:color w:val="000000"/>
                <w:kern w:val="0"/>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赵争艳</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中信银行股份有限公司舟山分行</w:t>
            </w:r>
          </w:p>
        </w:tc>
        <w:tc>
          <w:tcPr>
            <w:tcW w:w="1992" w:type="pct"/>
            <w:noWrap w:val="0"/>
            <w:vAlign w:val="top"/>
          </w:tcPr>
          <w:p>
            <w:pPr>
              <w:rPr>
                <w:rFonts w:hint="eastAsia" w:ascii="宋体" w:hAnsi="宋体" w:cs="宋体"/>
                <w:bCs/>
                <w:color w:val="000000"/>
                <w:kern w:val="0"/>
                <w:szCs w:val="21"/>
              </w:rPr>
            </w:pPr>
            <w:r>
              <w:rPr>
                <w:rFonts w:hint="eastAsia" w:ascii="宋体" w:hAnsi="宋体" w:cs="宋体"/>
                <w:bCs/>
                <w:color w:val="000000"/>
                <w:kern w:val="0"/>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杨莉丹</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泰隆银行舟山市分行</w:t>
            </w:r>
          </w:p>
        </w:tc>
        <w:tc>
          <w:tcPr>
            <w:tcW w:w="1992" w:type="pct"/>
            <w:noWrap w:val="0"/>
            <w:vAlign w:val="top"/>
          </w:tcPr>
          <w:p>
            <w:pPr>
              <w:rPr>
                <w:rFonts w:hint="eastAsia" w:ascii="宋体" w:hAnsi="宋体" w:cs="宋体"/>
                <w:bCs/>
                <w:color w:val="000000"/>
                <w:kern w:val="0"/>
                <w:szCs w:val="21"/>
              </w:rPr>
            </w:pPr>
            <w:r>
              <w:rPr>
                <w:rFonts w:hint="eastAsia" w:ascii="宋体" w:hAnsi="宋体" w:cs="宋体"/>
                <w:bCs/>
                <w:color w:val="000000"/>
                <w:kern w:val="0"/>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rPr>
                <w:rFonts w:hint="eastAsia" w:ascii="宋体" w:hAnsi="宋体" w:cs="宋体"/>
                <w:bCs/>
                <w:color w:val="000000"/>
                <w:kern w:val="0"/>
                <w:szCs w:val="21"/>
              </w:rPr>
            </w:pPr>
            <w:r>
              <w:rPr>
                <w:rFonts w:hint="eastAsia" w:ascii="宋体" w:hAnsi="宋体" w:cs="宋体"/>
                <w:bCs/>
                <w:color w:val="000000"/>
                <w:kern w:val="0"/>
                <w:szCs w:val="21"/>
              </w:rPr>
              <w:t>贷至合同付款日。</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胡亢宇</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中国农业银行股份有限公司舟山分行</w:t>
            </w:r>
          </w:p>
        </w:tc>
        <w:tc>
          <w:tcPr>
            <w:tcW w:w="1992" w:type="pct"/>
            <w:noWrap w:val="0"/>
            <w:vAlign w:val="top"/>
          </w:tcPr>
          <w:p>
            <w:pPr>
              <w:rPr>
                <w:rFonts w:hint="eastAsia" w:ascii="宋体" w:hAnsi="宋体" w:cs="宋体"/>
                <w:bCs/>
                <w:color w:val="000000"/>
                <w:kern w:val="0"/>
                <w:szCs w:val="21"/>
              </w:rPr>
            </w:pPr>
            <w:r>
              <w:rPr>
                <w:rFonts w:hint="eastAsia" w:ascii="宋体" w:hAnsi="宋体" w:cs="宋体"/>
                <w:bCs/>
                <w:color w:val="000000"/>
                <w:kern w:val="0"/>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邵琼</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3" w:type="pct"/>
            <w:noWrap w:val="0"/>
            <w:vAlign w:val="top"/>
          </w:tcPr>
          <w:p>
            <w:pPr>
              <w:jc w:val="left"/>
              <w:rPr>
                <w:rFonts w:hint="eastAsia" w:ascii="宋体" w:hAnsi="宋体" w:cs="宋体"/>
                <w:color w:val="000000"/>
                <w:kern w:val="0"/>
                <w:szCs w:val="21"/>
              </w:rPr>
            </w:pPr>
            <w:r>
              <w:rPr>
                <w:rFonts w:hint="eastAsia" w:ascii="宋体" w:hAnsi="宋体" w:cs="宋体"/>
                <w:color w:val="000000"/>
                <w:kern w:val="0"/>
                <w:szCs w:val="21"/>
              </w:rPr>
              <w:t>中国邮政储蓄银行股份有限公司舟山市分行</w:t>
            </w:r>
          </w:p>
        </w:tc>
        <w:tc>
          <w:tcPr>
            <w:tcW w:w="1992" w:type="pct"/>
            <w:noWrap w:val="0"/>
            <w:vAlign w:val="top"/>
          </w:tcPr>
          <w:p>
            <w:pPr>
              <w:rPr>
                <w:rFonts w:hint="eastAsia" w:ascii="宋体" w:hAnsi="宋体" w:cs="宋体"/>
                <w:bCs/>
                <w:color w:val="000000"/>
                <w:kern w:val="0"/>
                <w:szCs w:val="21"/>
              </w:rPr>
            </w:pPr>
            <w:r>
              <w:rPr>
                <w:rFonts w:hint="eastAsia" w:ascii="宋体" w:hAnsi="宋体" w:cs="宋体"/>
                <w:bCs/>
                <w:color w:val="000000"/>
                <w:kern w:val="0"/>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875"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曾超</w:t>
            </w:r>
          </w:p>
        </w:tc>
        <w:tc>
          <w:tcPr>
            <w:tcW w:w="797" w:type="pct"/>
            <w:noWrap w:val="0"/>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15924008387</w:t>
            </w:r>
          </w:p>
        </w:tc>
      </w:tr>
    </w:tbl>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2.一般步骤</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（1）供应商先与银行对接，办理融资前期手续；</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（2）供应商中标后，凭中标通知书等材料，向相关合作银行发出融资申请；</w:t>
      </w:r>
    </w:p>
    <w:p>
      <w:pPr>
        <w:snapToGrid w:val="0"/>
        <w:spacing w:line="360" w:lineRule="auto"/>
        <w:ind w:firstLine="420" w:firstLineChars="200"/>
        <w:jc w:val="left"/>
        <w:rPr>
          <w:rFonts w:hint="eastAsia" w:ascii="宋体" w:hAnsi="宋体" w:cs="宋体"/>
          <w:szCs w:val="21"/>
        </w:rPr>
      </w:pPr>
      <w:r>
        <w:rPr>
          <w:rFonts w:hint="eastAsia" w:ascii="宋体" w:hAnsi="宋体" w:cs="宋体"/>
          <w:szCs w:val="21"/>
        </w:rPr>
        <w:t>（3）银行、供应商线下办理审批、放贷事宜。</w:t>
      </w:r>
    </w:p>
    <w:p>
      <w:pPr>
        <w:snapToGrid w:val="0"/>
        <w:spacing w:line="276" w:lineRule="auto"/>
        <w:ind w:firstLine="422" w:firstLineChars="200"/>
        <w:jc w:val="left"/>
        <w:rPr>
          <w:rFonts w:hint="eastAsia" w:ascii="宋体" w:hAnsi="宋体" w:cs="宋体"/>
          <w:b/>
          <w:szCs w:val="21"/>
        </w:rPr>
      </w:pPr>
      <w:r>
        <w:rPr>
          <w:rFonts w:hint="eastAsia" w:ascii="宋体" w:hAnsi="宋体" w:cs="宋体"/>
          <w:b/>
          <w:szCs w:val="21"/>
        </w:rPr>
        <w:t>（十一）中金招标有限责任公司拥有本招标文件最终解释权。</w:t>
      </w:r>
    </w:p>
    <w:p>
      <w:pPr>
        <w:snapToGrid w:val="0"/>
        <w:spacing w:line="276" w:lineRule="auto"/>
        <w:rPr>
          <w:rFonts w:hint="eastAsia" w:ascii="宋体" w:hAnsi="宋体" w:cs="宋体"/>
          <w:b/>
          <w:szCs w:val="21"/>
        </w:rPr>
      </w:pPr>
    </w:p>
    <w:p>
      <w:pPr>
        <w:snapToGrid w:val="0"/>
        <w:spacing w:line="276" w:lineRule="auto"/>
        <w:jc w:val="center"/>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二、招标文件</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（一）招标文件的构成</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第一章  招标公告</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第二章  采购需求</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第三章  投标人须知</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第四章  评标办法及标准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第五章  合同主要条款</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第六章  投标文件组成</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其他有关补充文件</w:t>
      </w:r>
    </w:p>
    <w:p>
      <w:pPr>
        <w:pStyle w:val="5"/>
        <w:widowControl w:val="0"/>
        <w:snapToGrid w:val="0"/>
        <w:spacing w:after="0" w:afterLines="0" w:line="360" w:lineRule="auto"/>
        <w:ind w:left="0" w:firstLine="422" w:firstLineChars="200"/>
        <w:rPr>
          <w:rFonts w:hint="eastAsia" w:ascii="宋体" w:hAnsi="宋体" w:cs="宋体"/>
          <w:b/>
          <w:kern w:val="2"/>
          <w:sz w:val="21"/>
          <w:szCs w:val="21"/>
        </w:rPr>
      </w:pPr>
      <w:r>
        <w:rPr>
          <w:rFonts w:hint="eastAsia" w:ascii="宋体" w:hAnsi="宋体" w:cs="宋体"/>
          <w:b/>
          <w:sz w:val="21"/>
          <w:szCs w:val="21"/>
        </w:rPr>
        <w:t>（</w:t>
      </w:r>
      <w:r>
        <w:rPr>
          <w:rFonts w:hint="eastAsia" w:ascii="宋体" w:hAnsi="宋体" w:cs="宋体"/>
          <w:b/>
          <w:kern w:val="2"/>
          <w:sz w:val="21"/>
          <w:szCs w:val="21"/>
        </w:rPr>
        <w:t xml:space="preserve">二）招标文件的澄清与修改 </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依法获取采购文件的潜在投标人。</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2、采购人以书面形式答复投标人要求澄清的问题，并将不包含问题来源的答复书面通知所有已依法获取采购文件的潜在投标人；除书面答复以外的其他澄清方式及澄清内容均无效。</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招标文件的答复、澄清、修改、补充通知实质上改变采购需求相关内容，且自招标文件的答复、澄清、修改、补充通知发出之日起至投标截止时间止不足15天的，采购人可视情况推迟投标截止时间和开标时间，按规定在相关的采购信息发布媒体上发布变更公告，并将变更后的时间通知所有已依法获取采购文件的潜在投标人。</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4、招标文件澄清、答复、修改、补充的内容为招标文件的组成部分。当招标文件与招标文件的答复、澄清、修改、补充通知就同一内容的表述不一致时，以最后发出的书面文件为准。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5、招标文件的澄清、答复、修改或补充都应该通过本采购代理机构以法定形式发布，采购人非通过本采购代理机构的，不得擅自澄清、答复、修改或补充招标文件。</w:t>
      </w:r>
    </w:p>
    <w:p>
      <w:pPr>
        <w:snapToGrid w:val="0"/>
        <w:spacing w:line="276" w:lineRule="auto"/>
        <w:jc w:val="center"/>
        <w:rPr>
          <w:rFonts w:hint="eastAsia" w:ascii="宋体" w:hAnsi="宋体" w:cs="宋体"/>
          <w:b/>
          <w:szCs w:val="21"/>
        </w:rPr>
      </w:pPr>
    </w:p>
    <w:p>
      <w:pPr>
        <w:snapToGrid w:val="0"/>
        <w:spacing w:line="276" w:lineRule="auto"/>
        <w:jc w:val="center"/>
        <w:rPr>
          <w:rFonts w:hint="eastAsia" w:ascii="宋体" w:hAnsi="宋体" w:cs="宋体"/>
          <w:b/>
          <w:szCs w:val="21"/>
        </w:rPr>
      </w:pPr>
      <w:r>
        <w:rPr>
          <w:rFonts w:hint="eastAsia" w:ascii="宋体" w:hAnsi="宋体" w:cs="宋体"/>
          <w:b/>
          <w:szCs w:val="21"/>
        </w:rPr>
        <w:t>三、投标文件的编制</w:t>
      </w:r>
    </w:p>
    <w:p>
      <w:pPr>
        <w:snapToGrid w:val="0"/>
        <w:spacing w:line="460" w:lineRule="exact"/>
        <w:ind w:firstLine="413" w:firstLineChars="196"/>
        <w:jc w:val="left"/>
        <w:rPr>
          <w:rFonts w:hint="eastAsia" w:ascii="宋体" w:hAnsi="宋体" w:cs="宋体"/>
          <w:b/>
          <w:szCs w:val="21"/>
        </w:rPr>
      </w:pPr>
      <w:r>
        <w:rPr>
          <w:rFonts w:hint="eastAsia" w:ascii="宋体" w:hAnsi="宋体" w:cs="宋体"/>
          <w:b/>
          <w:szCs w:val="21"/>
        </w:rPr>
        <w:t>（一）投标文件的形式和效力</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投标文件分为电子投标文件以及备份投标文件，备份投标文件为以介质存储的数据电文形式的投标文件。</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1、电子投标文件，按“政采云供应商项目采购-电子招投标操作指南”及本招标文件要求制作、加密并递交。</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2、以介质存储的数据电文形式的备份投标文件，按政采云供应商项目采购-电子招投标操作指南中制作的电子投标文件。</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（二）投标文件的组成</w:t>
      </w:r>
    </w:p>
    <w:p>
      <w:pPr>
        <w:snapToGrid w:val="0"/>
        <w:spacing w:line="360" w:lineRule="auto"/>
        <w:ind w:firstLine="415" w:firstLineChars="198"/>
        <w:rPr>
          <w:rFonts w:hint="eastAsia" w:ascii="宋体" w:hAnsi="宋体" w:cs="宋体"/>
          <w:szCs w:val="21"/>
        </w:rPr>
      </w:pPr>
      <w:r>
        <w:rPr>
          <w:rFonts w:hint="eastAsia" w:ascii="宋体" w:hAnsi="宋体" w:cs="宋体"/>
          <w:szCs w:val="21"/>
        </w:rPr>
        <w:t>投标文件由投标报价文件、资格证明文件、商务文件、技术文件组成。电子投标文件中所须加盖公章部分均采用CA签章。（具体要求详见第六章 投标文件组成）</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（三）投标文件的语言及计量</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1、投标文件以及投标人与采购代理机构就有关投标事宜的所有来往函电，均应以中文汉语书写。除签名、盖章、专用名称、特殊证明材料等情形外，以中文汉语以外的文字表述的投标文件视同未提供。</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2、投标计量单位，应采用中华人民共和国法定计量单位（货币单位：人民币元），否则视同未响应。</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（四）投标报价与相关费用</w:t>
      </w:r>
    </w:p>
    <w:p>
      <w:pPr>
        <w:pStyle w:val="9"/>
        <w:snapToGrid w:val="0"/>
        <w:spacing w:line="360" w:lineRule="auto"/>
        <w:ind w:firstLine="415" w:firstLineChars="198"/>
        <w:rPr>
          <w:rFonts w:hAnsi="宋体" w:eastAsia="宋体" w:cs="宋体"/>
          <w:sz w:val="21"/>
          <w:szCs w:val="21"/>
        </w:rPr>
      </w:pPr>
      <w:r>
        <w:rPr>
          <w:rFonts w:hint="eastAsia" w:hAnsi="宋体" w:eastAsia="宋体" w:cs="宋体"/>
          <w:sz w:val="21"/>
          <w:szCs w:val="21"/>
        </w:rPr>
        <w:t>详见投标人须知前附表。</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（五）投标文件的有效期</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1、自投标截止日起90天投标文件应保持有效。有效期不足的投标文件将被拒绝。</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2、在特殊情况下，采购人可与投标人协商延长投标文件的有效期，这种要求和答复均以书面形式进行。</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3、中标人的投标文件自开标之日起至合同履行完毕止均应保持有效。</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（六）投标文件的签署和编制</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1、电子投标文件部分：</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投标人应根据“政采云供应商项目采购-电子招投标操作指南”及本招标文件规定的格式和顺序编制电子投标文件并进行关联定位。</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2、以介质存储的数据电文形式的备份投标文件部分：</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备份电子投标文件，以DVD光盘、U盘形式存储。</w:t>
      </w:r>
    </w:p>
    <w:p>
      <w:pPr>
        <w:snapToGrid w:val="0"/>
        <w:spacing w:line="360" w:lineRule="auto"/>
        <w:ind w:firstLine="413" w:firstLineChars="196"/>
        <w:jc w:val="left"/>
        <w:rPr>
          <w:rFonts w:hint="eastAsia" w:ascii="宋体" w:hAnsi="宋体" w:cs="宋体"/>
          <w:b/>
          <w:szCs w:val="21"/>
        </w:rPr>
      </w:pPr>
      <w:r>
        <w:rPr>
          <w:rFonts w:hint="eastAsia" w:ascii="宋体" w:hAnsi="宋体" w:cs="宋体"/>
          <w:b/>
          <w:szCs w:val="21"/>
        </w:rPr>
        <w:t>（七）备份投标文件的修改和撤回</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（八）投标无效的情形</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1、在符合性审查和商务评审时，如发现下列情形之一的，投标文件将被视为无效投标：</w:t>
      </w:r>
    </w:p>
    <w:p>
      <w:pPr>
        <w:snapToGrid w:val="0"/>
        <w:spacing w:line="360" w:lineRule="auto"/>
        <w:ind w:firstLine="417" w:firstLineChars="198"/>
        <w:rPr>
          <w:rFonts w:ascii="宋体" w:hAnsi="宋体" w:cs="宋体"/>
          <w:b/>
          <w:szCs w:val="21"/>
        </w:rPr>
      </w:pPr>
      <w:r>
        <w:rPr>
          <w:rFonts w:hint="eastAsia" w:ascii="宋体" w:hAnsi="宋体" w:cs="宋体"/>
          <w:b/>
          <w:szCs w:val="21"/>
        </w:rPr>
        <w:t>1.1电子投标文件解密失败的，且未在规定时间内提交有效备份投标文件的；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1.2未按招标文件要求密封、签字、盖章的；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1.3资格证明文件不全的，或者不符合招标文件标明的资格要求的；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1.4投标文件组成不全的；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1.5投标文件的实质性内容未使用中文表述、意思表述不明确、前后矛盾或者使用计量单位不符合招标文件要求的；（经评审小组认定允许其当场更正的笔误除外）</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1.6投标文件的关键内容字迹模糊、无法辨认的，或者投标文件中经修正的内容字迹模糊难以辩认或者修改处未按规定签名盖章的；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1.7实质性条款不能满足招标文件要求的；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1.8不响应招标文件要求或者投标文件有采购人不能接受的附加条件的；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1.9 投标文件没有按招标文件要求提供有标“▲”的条款的资料和材料的；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1.10投标文件资格证明、商务、技术部分中出现投标报价信息的。</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2、在技术评审时，如发现下列情形之一的，投标文件将被视为无效投标：</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2.1投标文件标明的响应或偏离与事实不符或虚假投标的；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2.2明显不符合招标文件中标“▲”的技术指标、主要功能项目发生实质性偏离的；</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2.3投标技术方案不明确，存在一个或一个以上备选（替代）投标的；</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3、在投标报价文件评审时，如发现下列情形之一的，投标文件将被视为无效投标：</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3.1超过项目的预算金额或最高限价的；</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3.2有选择或有条件的报价的；</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3.3 报价文件中缺失报价的。</w:t>
      </w:r>
    </w:p>
    <w:p>
      <w:pPr>
        <w:snapToGrid w:val="0"/>
        <w:spacing w:line="360" w:lineRule="auto"/>
        <w:ind w:firstLine="417" w:firstLineChars="198"/>
        <w:rPr>
          <w:rFonts w:ascii="宋体" w:hAnsi="宋体" w:cs="宋体"/>
          <w:b/>
          <w:szCs w:val="21"/>
        </w:rPr>
      </w:pPr>
      <w:r>
        <w:rPr>
          <w:rFonts w:hint="eastAsia" w:ascii="宋体" w:hAnsi="宋体" w:cs="宋体"/>
          <w:b/>
          <w:szCs w:val="21"/>
        </w:rPr>
        <w:t>4、被拒绝的投标文件为无效。</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（九）出现以下情形，导致电子交易平台无法正常运行，或者无法保证电子交易的公平、公正和安全时，中止电子交易活动：</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1、电子交易平台发生故障而无法登录访问的；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2、电子交易平台应用或数据库出现错误，不能进行正常操作的；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3、电子交易平台发现严重安全漏洞，有潜在泄密危险的；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4、病毒发作导致不能进行正常操作的；</w:t>
      </w:r>
    </w:p>
    <w:p>
      <w:pPr>
        <w:snapToGrid w:val="0"/>
        <w:spacing w:line="360" w:lineRule="auto"/>
        <w:ind w:firstLine="420" w:firstLineChars="200"/>
        <w:rPr>
          <w:rFonts w:hint="eastAsia" w:ascii="宋体" w:hAnsi="宋体" w:cs="宋体"/>
          <w:bCs/>
          <w:szCs w:val="21"/>
        </w:rPr>
      </w:pPr>
      <w:r>
        <w:rPr>
          <w:rFonts w:hint="eastAsia" w:ascii="宋体" w:hAnsi="宋体" w:cs="宋体"/>
          <w:bCs/>
          <w:szCs w:val="21"/>
        </w:rPr>
        <w:t>5、其他无法保证电子交易的公平、公正和安全的情况。</w:t>
      </w:r>
    </w:p>
    <w:p>
      <w:pPr>
        <w:snapToGrid w:val="0"/>
        <w:spacing w:line="360" w:lineRule="auto"/>
        <w:ind w:firstLine="415" w:firstLineChars="198"/>
        <w:rPr>
          <w:rFonts w:hint="eastAsia" w:ascii="宋体" w:hAnsi="宋体" w:cs="宋体"/>
          <w:bCs/>
          <w:szCs w:val="21"/>
        </w:rPr>
      </w:pPr>
      <w:r>
        <w:rPr>
          <w:rFonts w:hint="eastAsia" w:ascii="宋体" w:hAnsi="宋体" w:cs="宋体"/>
          <w:bCs/>
          <w:szCs w:val="21"/>
        </w:rPr>
        <w:t>出现前款规定情形，不影响采购公平、公正性的，采购代理机构可以待上述情形消除后继续组织电子交易活动，也可以决定某些环节以纸质形式进行；影响或可能影响采购公平、公正性的，重新采购。</w:t>
      </w:r>
    </w:p>
    <w:p>
      <w:pPr>
        <w:snapToGrid w:val="0"/>
        <w:spacing w:line="276" w:lineRule="auto"/>
        <w:jc w:val="center"/>
        <w:rPr>
          <w:rFonts w:ascii="宋体" w:hAnsi="宋体" w:cs="宋体"/>
          <w:b/>
          <w:szCs w:val="21"/>
        </w:rPr>
      </w:pPr>
    </w:p>
    <w:p>
      <w:pPr>
        <w:snapToGrid w:val="0"/>
        <w:spacing w:line="276" w:lineRule="auto"/>
        <w:jc w:val="center"/>
        <w:rPr>
          <w:rFonts w:hint="eastAsia" w:ascii="宋体" w:hAnsi="宋体" w:cs="宋体"/>
          <w:b/>
          <w:szCs w:val="21"/>
        </w:rPr>
      </w:pPr>
      <w:r>
        <w:rPr>
          <w:rFonts w:hint="eastAsia" w:ascii="宋体" w:hAnsi="宋体" w:cs="宋体"/>
          <w:b/>
          <w:szCs w:val="21"/>
        </w:rPr>
        <w:t>四、开标</w:t>
      </w:r>
    </w:p>
    <w:p>
      <w:pPr>
        <w:pStyle w:val="9"/>
        <w:snapToGrid w:val="0"/>
        <w:spacing w:line="360" w:lineRule="auto"/>
        <w:ind w:firstLine="422" w:firstLineChars="200"/>
        <w:rPr>
          <w:rFonts w:hint="eastAsia" w:hAnsi="宋体" w:eastAsia="宋体" w:cs="宋体"/>
          <w:b/>
          <w:sz w:val="21"/>
          <w:szCs w:val="21"/>
        </w:rPr>
      </w:pPr>
      <w:r>
        <w:rPr>
          <w:rFonts w:hint="eastAsia" w:hAnsi="宋体" w:eastAsia="宋体" w:cs="宋体"/>
          <w:b/>
          <w:sz w:val="21"/>
          <w:szCs w:val="21"/>
        </w:rPr>
        <w:t>（一）开标准备</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采购代理机构将在规定的时间和地点进行开标。本项目不要求供应商授权代表参加现场开标、开启响应文件活动。</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（二）开标程序</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1、开标会由采购代理机构相关工作人员主持，主持人宣布开标会议开始。</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2、介绍参加开标会的人员名单。</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3、宣布开标纪律和有关事项，告知应当回避的情形，提请有关人员回避。</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4、电子招投标开标及评审程序</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4.1投标截止时间后，投标人登录政采云平台，用“项目采购-开标评标”功能对电子投标文件进行在线解密。</w:t>
      </w:r>
    </w:p>
    <w:p>
      <w:pPr>
        <w:pStyle w:val="9"/>
        <w:snapToGrid w:val="0"/>
        <w:spacing w:line="360" w:lineRule="auto"/>
        <w:ind w:firstLine="417" w:firstLineChars="198"/>
        <w:rPr>
          <w:rFonts w:hAnsi="宋体" w:eastAsia="宋体" w:cs="宋体"/>
          <w:b/>
          <w:sz w:val="21"/>
          <w:szCs w:val="21"/>
        </w:rPr>
      </w:pPr>
      <w:r>
        <w:rPr>
          <w:rFonts w:hint="eastAsia" w:hAnsi="宋体" w:eastAsia="宋体" w:cs="宋体"/>
          <w:b/>
          <w:sz w:val="21"/>
          <w:szCs w:val="21"/>
        </w:rPr>
        <w:t>4.2各投标人的资格由采购代理机构人员负责初审；</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4.3评标委员会对商务技术响应文件进行评审；</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4.4在系统上公开资格和商务技术评审结果；</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4.5在系统上公开报价开标情况；</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4.6评标委员会对报价情况进行评审；</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4.7在系统上公布评审结果。</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特别说明：政采云公司如对电子化开标及评审程序有调整的，按调整后的程序操作。</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5、如遇电子招投标系统故障的，启用备份投标文件</w:t>
      </w:r>
    </w:p>
    <w:p>
      <w:pPr>
        <w:snapToGrid w:val="0"/>
        <w:spacing w:line="360" w:lineRule="auto"/>
        <w:ind w:firstLine="417" w:firstLineChars="198"/>
        <w:rPr>
          <w:rFonts w:hint="eastAsia" w:ascii="宋体" w:hAnsi="宋体" w:cs="宋体"/>
          <w:b/>
          <w:bCs/>
          <w:szCs w:val="21"/>
        </w:rPr>
      </w:pPr>
      <w:r>
        <w:rPr>
          <w:rFonts w:hint="eastAsia" w:ascii="宋体" w:hAnsi="宋体" w:cs="宋体"/>
          <w:b/>
          <w:bCs/>
          <w:szCs w:val="21"/>
        </w:rPr>
        <w:t>6、本项目原则上采用政采云电子招投标开标及评审程序，但若投标人在规定时间内无法解密或解密失败，采购代理机构将开启未能在规定时间内解密的投标人递交的备份投标文件。</w:t>
      </w:r>
    </w:p>
    <w:p>
      <w:pPr>
        <w:snapToGrid w:val="0"/>
        <w:spacing w:line="276" w:lineRule="auto"/>
        <w:jc w:val="center"/>
        <w:rPr>
          <w:rFonts w:ascii="宋体" w:hAnsi="宋体" w:cs="宋体"/>
          <w:b/>
          <w:szCs w:val="21"/>
        </w:rPr>
      </w:pPr>
    </w:p>
    <w:p>
      <w:pPr>
        <w:snapToGrid w:val="0"/>
        <w:spacing w:line="276" w:lineRule="auto"/>
        <w:jc w:val="center"/>
        <w:rPr>
          <w:rFonts w:hint="eastAsia" w:ascii="宋体" w:hAnsi="宋体" w:cs="宋体"/>
          <w:b/>
          <w:szCs w:val="21"/>
        </w:rPr>
      </w:pPr>
      <w:r>
        <w:rPr>
          <w:rFonts w:hint="eastAsia" w:ascii="宋体" w:hAnsi="宋体" w:cs="宋体"/>
          <w:b/>
          <w:szCs w:val="21"/>
        </w:rPr>
        <w:t>五、评标</w:t>
      </w:r>
    </w:p>
    <w:p>
      <w:pPr>
        <w:pStyle w:val="9"/>
        <w:snapToGrid w:val="0"/>
        <w:spacing w:line="360" w:lineRule="auto"/>
        <w:ind w:firstLine="422" w:firstLineChars="200"/>
        <w:rPr>
          <w:rFonts w:hint="eastAsia" w:hAnsi="宋体" w:eastAsia="宋体" w:cs="宋体"/>
          <w:b/>
          <w:sz w:val="21"/>
          <w:szCs w:val="21"/>
        </w:rPr>
      </w:pPr>
      <w:r>
        <w:rPr>
          <w:rFonts w:hint="eastAsia" w:hAnsi="宋体" w:eastAsia="宋体" w:cs="宋体"/>
          <w:b/>
          <w:sz w:val="21"/>
          <w:szCs w:val="21"/>
        </w:rPr>
        <w:t>（一）组建评审小组</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评标委员会由采购人代表和评审专家组成，成员人数为 5 人以上单数，其中评审专家不少于成员总数的三分之二。</w:t>
      </w:r>
    </w:p>
    <w:p>
      <w:pPr>
        <w:pStyle w:val="9"/>
        <w:snapToGrid w:val="0"/>
        <w:spacing w:line="360" w:lineRule="auto"/>
        <w:ind w:firstLine="422" w:firstLineChars="200"/>
        <w:rPr>
          <w:rFonts w:hint="eastAsia" w:hAnsi="宋体" w:eastAsia="宋体" w:cs="宋体"/>
          <w:b/>
          <w:sz w:val="21"/>
          <w:szCs w:val="21"/>
        </w:rPr>
      </w:pPr>
      <w:r>
        <w:rPr>
          <w:rFonts w:hint="eastAsia" w:hAnsi="宋体" w:eastAsia="宋体" w:cs="宋体"/>
          <w:b/>
          <w:sz w:val="21"/>
          <w:szCs w:val="21"/>
        </w:rPr>
        <w:t>（二）评标程序</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1、资格审查</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代理机构对投标人的资格进行审查。</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2、实质审查与比较</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2.1评审小组审查投标文件的实质性内容是否符合招标文件的实质性要求。</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2.2评审小组将根据投标人的投标文件进行审查、核对，如有疑问，将对投标人进行询标，投标人要向评审小组澄清有关问题，并最终以书面形式进行答复。</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2.3投标人代表未到场或者拒绝澄清或者澄清的内容改变了投标文件的实质性内容的，评审小组有权对该投标文件作出不利于投标人的评判。</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2.4各投标人的商务技术得分由指定专人进行计算复核。</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2.5各投标人报价得分根据评分标准计算。</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2.6评审小组完成评标后，对各部分得分汇总，得出本项目最终得分，评审小组按评标原则推荐中标候选人同时起草评审报告。</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（三）澄清问题的形式</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9"/>
        <w:snapToGrid w:val="0"/>
        <w:spacing w:line="360" w:lineRule="auto"/>
        <w:ind w:firstLine="420" w:firstLineChars="199"/>
        <w:rPr>
          <w:rFonts w:hint="eastAsia" w:hAnsi="宋体" w:eastAsia="宋体" w:cs="宋体"/>
          <w:b/>
          <w:sz w:val="21"/>
          <w:szCs w:val="21"/>
        </w:rPr>
      </w:pPr>
      <w:r>
        <w:rPr>
          <w:rFonts w:hint="eastAsia" w:hAnsi="宋体" w:eastAsia="宋体" w:cs="宋体"/>
          <w:b/>
          <w:sz w:val="21"/>
          <w:szCs w:val="21"/>
        </w:rPr>
        <w:t>（四）报价错误修正</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投标文件如果出现计算或表达上的错误，修正错误的原则如下：</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1、投标文件开标一览表（报价表）内容与投标文件中相应内容不一致的，以开标一览表（报价表）为准；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2、大写金额和小写金额不一致的，以大写金额为准；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3、单价金额小数点或者百分比有明显错位的，以开标一览表的总价为准，并修改单价；</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4、总价金额与按单价汇总金额不一致的，以单价金额计算结果为准；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5、电子交易平台客户端里开标一览表录入的信息与投标文件不一致的，以投标文件为准。</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同时出现两种以上不一致的，按上述顺序修正；按上述修正错误的原则及方法调整或修正投标文件的投标报价，投标人同意并签字确认后，调整后的投标报价对投标人具有约束作用。如果投标人不接受修正后的报价，则其投标将作为无效投标处理。</w:t>
      </w:r>
    </w:p>
    <w:p>
      <w:pPr>
        <w:pStyle w:val="9"/>
        <w:snapToGrid w:val="0"/>
        <w:spacing w:line="360" w:lineRule="auto"/>
        <w:ind w:firstLine="417" w:firstLineChars="198"/>
        <w:rPr>
          <w:rFonts w:hint="eastAsia" w:hAnsi="宋体" w:eastAsia="宋体" w:cs="宋体"/>
          <w:b/>
          <w:sz w:val="21"/>
          <w:szCs w:val="21"/>
        </w:rPr>
      </w:pPr>
      <w:r>
        <w:rPr>
          <w:rFonts w:hint="eastAsia" w:hAnsi="宋体" w:eastAsia="宋体" w:cs="宋体"/>
          <w:b/>
          <w:sz w:val="21"/>
          <w:szCs w:val="21"/>
        </w:rPr>
        <w:t>（五）评标原则和评标办法</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2、评标办法。本项目评标办法是</w:t>
      </w:r>
      <w:r>
        <w:rPr>
          <w:rFonts w:hint="eastAsia" w:hAnsi="宋体" w:eastAsia="宋体" w:cs="宋体"/>
          <w:sz w:val="21"/>
          <w:szCs w:val="21"/>
          <w:u w:val="single"/>
        </w:rPr>
        <w:t>综合评分法</w:t>
      </w:r>
      <w:r>
        <w:rPr>
          <w:rFonts w:hint="eastAsia" w:hAnsi="宋体" w:eastAsia="宋体" w:cs="宋体"/>
          <w:sz w:val="21"/>
          <w:szCs w:val="21"/>
        </w:rPr>
        <w:t>，具体评标内容及评分标准等详见《第四章：评标办法及评分标准》。</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3、《政府采购货物和服务招标投标管理办法》</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第三十一条: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9"/>
        <w:snapToGrid w:val="0"/>
        <w:spacing w:line="360" w:lineRule="auto"/>
        <w:ind w:firstLine="422" w:firstLineChars="200"/>
        <w:rPr>
          <w:rFonts w:hint="eastAsia" w:hAnsi="宋体" w:eastAsia="宋体" w:cs="宋体"/>
          <w:b/>
          <w:bCs/>
          <w:sz w:val="21"/>
          <w:szCs w:val="21"/>
        </w:rPr>
      </w:pPr>
      <w:r>
        <w:rPr>
          <w:rFonts w:hint="eastAsia" w:hAnsi="宋体" w:eastAsia="宋体" w:cs="宋体"/>
          <w:b/>
          <w:bCs/>
          <w:sz w:val="21"/>
          <w:szCs w:val="21"/>
        </w:rPr>
        <w:t>本项目核心产品：</w:t>
      </w:r>
      <w:r>
        <w:rPr>
          <w:rFonts w:hint="eastAsia" w:hAnsi="宋体" w:eastAsia="宋体" w:cs="宋体"/>
          <w:b/>
          <w:bCs/>
          <w:sz w:val="21"/>
          <w:szCs w:val="21"/>
          <w:lang w:val="en-US" w:eastAsia="zh-CN"/>
        </w:rPr>
        <w:t>执法办案管理系统、LED显示屏、视频综合平台机箱、视频会议系统终端</w:t>
      </w:r>
      <w:r>
        <w:rPr>
          <w:rFonts w:hint="eastAsia" w:hAnsi="宋体" w:eastAsia="宋体" w:cs="宋体"/>
          <w:b/>
          <w:bCs/>
          <w:sz w:val="21"/>
          <w:szCs w:val="21"/>
        </w:rPr>
        <w:t>，核心产品同时为相同品牌时，符合第三十一条的规定。</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第四十三条：公开招标数额标准以上的采购项目，投标截止后投标人不足3家或者通过资格审查或符合性审查的投标人不足3家的，除采购任务取消情形外，按照以下方式处理：</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（一）招标文件存在不合理条款或者招标程序不符合规定的，采购人、采购代理机构改正后依法重新招标；</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（二）招标文件没有不合理条款、招标程序符合规定，需要采用其他采购人式采购的，采购人应当依法报财政部门批准。</w:t>
      </w:r>
    </w:p>
    <w:p>
      <w:pPr>
        <w:pStyle w:val="9"/>
        <w:snapToGrid w:val="0"/>
        <w:spacing w:line="360" w:lineRule="auto"/>
        <w:ind w:firstLine="422" w:firstLineChars="200"/>
        <w:rPr>
          <w:rFonts w:hint="eastAsia" w:hAnsi="宋体" w:eastAsia="宋体" w:cs="宋体"/>
          <w:b/>
          <w:sz w:val="21"/>
          <w:szCs w:val="21"/>
        </w:rPr>
      </w:pPr>
      <w:r>
        <w:rPr>
          <w:rFonts w:hint="eastAsia" w:hAnsi="宋体" w:eastAsia="宋体" w:cs="宋体"/>
          <w:b/>
          <w:sz w:val="21"/>
          <w:szCs w:val="21"/>
        </w:rPr>
        <w:t>（六）评标过程的监控</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本项目评标过程实行全程录音、录像监控，投标人在评标过程中所进行的试图影响评标结果的不公正活动，可能导致其投标被拒绝。</w:t>
      </w:r>
    </w:p>
    <w:p>
      <w:pPr>
        <w:snapToGrid w:val="0"/>
        <w:spacing w:line="276" w:lineRule="auto"/>
        <w:rPr>
          <w:rFonts w:hint="eastAsia" w:ascii="宋体" w:hAnsi="宋体" w:cs="宋体"/>
          <w:b/>
          <w:szCs w:val="21"/>
        </w:rPr>
      </w:pPr>
    </w:p>
    <w:p>
      <w:pPr>
        <w:snapToGrid w:val="0"/>
        <w:spacing w:line="276" w:lineRule="auto"/>
        <w:jc w:val="center"/>
        <w:rPr>
          <w:rFonts w:ascii="宋体" w:hAnsi="宋体" w:cs="宋体"/>
          <w:b/>
          <w:szCs w:val="21"/>
        </w:rPr>
      </w:pPr>
      <w:r>
        <w:rPr>
          <w:rFonts w:hint="eastAsia" w:ascii="宋体" w:hAnsi="宋体" w:cs="宋体"/>
          <w:b/>
          <w:szCs w:val="21"/>
        </w:rPr>
        <w:t>六、废标</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根据《中华人民共和国政府采购法》第三十六条，出现下列情形之一的，应予以废标：</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1、符合专业条件的供应商或者对招标文件作实质响应的供应商不足三家的；</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2、出现影响采购公正的违法、违规行为的；</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3、投标人的报价均超过了采购预算，采购人不能支付的；</w:t>
      </w:r>
    </w:p>
    <w:p>
      <w:pPr>
        <w:pStyle w:val="9"/>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4、因重大变故，采购任务取消的。</w:t>
      </w:r>
    </w:p>
    <w:p>
      <w:pPr>
        <w:pStyle w:val="9"/>
        <w:snapToGrid w:val="0"/>
        <w:spacing w:line="360" w:lineRule="auto"/>
        <w:ind w:firstLine="420" w:firstLineChars="200"/>
        <w:rPr>
          <w:rFonts w:hint="eastAsia"/>
          <w:sz w:val="21"/>
          <w:szCs w:val="21"/>
        </w:rPr>
      </w:pPr>
      <w:r>
        <w:rPr>
          <w:rFonts w:hint="eastAsia" w:hAnsi="宋体" w:eastAsia="宋体" w:cs="宋体"/>
          <w:sz w:val="21"/>
          <w:szCs w:val="21"/>
        </w:rPr>
        <w:t>废标后，采购人应当将废标理由通知所有投标人，废标后，除采购任务取消情形外，应当重新组织招标。</w:t>
      </w:r>
    </w:p>
    <w:p>
      <w:pPr>
        <w:snapToGrid w:val="0"/>
        <w:spacing w:line="276" w:lineRule="auto"/>
        <w:jc w:val="center"/>
        <w:rPr>
          <w:rFonts w:hint="eastAsia" w:ascii="宋体" w:hAnsi="宋体" w:cs="宋体"/>
          <w:b/>
          <w:szCs w:val="21"/>
        </w:rPr>
      </w:pPr>
    </w:p>
    <w:p>
      <w:pPr>
        <w:snapToGrid w:val="0"/>
        <w:spacing w:line="276" w:lineRule="auto"/>
        <w:jc w:val="center"/>
        <w:rPr>
          <w:rFonts w:hint="eastAsia" w:ascii="宋体" w:hAnsi="宋体" w:cs="宋体"/>
          <w:b/>
          <w:szCs w:val="21"/>
        </w:rPr>
      </w:pPr>
      <w:r>
        <w:rPr>
          <w:rFonts w:ascii="宋体" w:hAnsi="宋体" w:cs="宋体"/>
          <w:b/>
          <w:szCs w:val="21"/>
        </w:rPr>
        <w:br w:type="page"/>
      </w:r>
      <w:r>
        <w:rPr>
          <w:rFonts w:hint="eastAsia" w:ascii="宋体" w:hAnsi="宋体" w:cs="宋体"/>
          <w:b/>
          <w:szCs w:val="21"/>
        </w:rPr>
        <w:t>七、定标</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（一）确定中标人。本项目由采购人事先授权评审小组确定中标候选人3名。推荐第一名中标候选人为中标人，经采购人确认后，确定项目中标人，同时发布采购结果公告，发出中标通知书。</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1.采购代理机构在评标结束后在2个工作日内将评审报告交采购人确认。</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2.采购人应当自收到评审报告之日起5个工作日内在评审报告推荐的中标或者成交候选人中按顺序确定中标或者成交供应商。</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3.采购代理机构应当自中标、成交供应商确定之日起2个工作日内，发出中标、成交通知书，并在省级以上人民政府财政部门指定的媒体上公告中标、成交结果，招标文件随中标、成交结果同时公告。</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snapToGrid w:val="0"/>
        <w:spacing w:line="276" w:lineRule="auto"/>
        <w:jc w:val="center"/>
        <w:rPr>
          <w:rFonts w:hint="eastAsia" w:ascii="宋体" w:hAnsi="宋体" w:cs="宋体"/>
          <w:b/>
          <w:szCs w:val="21"/>
        </w:rPr>
      </w:pPr>
    </w:p>
    <w:p>
      <w:pPr>
        <w:snapToGrid w:val="0"/>
        <w:spacing w:line="276" w:lineRule="auto"/>
        <w:jc w:val="center"/>
        <w:rPr>
          <w:rFonts w:hint="eastAsia" w:ascii="宋体" w:hAnsi="宋体" w:cs="宋体"/>
          <w:b/>
          <w:szCs w:val="21"/>
        </w:rPr>
      </w:pPr>
      <w:r>
        <w:rPr>
          <w:rFonts w:hint="eastAsia" w:ascii="宋体" w:hAnsi="宋体" w:cs="宋体"/>
          <w:b/>
          <w:szCs w:val="21"/>
        </w:rPr>
        <w:t>八、合同授予</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（一）签订合同</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1、中标人应自接到中标通知书后30日内与采购人签定合同。同时，采购代理机构对合同内容进行审查，如发现与采购结果和投标承诺内容不一致的，应予以纠正。</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2、中标人拖延、拒签合同的，将被取消中标资格。</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3、中标人和采购人签订合同，按合同约定执行。</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4、中标或者成交供应商拒绝与采购人签订合同的，采购人可以按照评审报告推荐的中标或者成交候选人名单排序，确定下一候选人为中标或者成交供应商，也可以重新开展政府采购活动。</w:t>
      </w:r>
    </w:p>
    <w:p>
      <w:pPr>
        <w:pStyle w:val="9"/>
        <w:snapToGrid w:val="0"/>
        <w:spacing w:line="360" w:lineRule="auto"/>
        <w:ind w:firstLine="415" w:firstLineChars="198"/>
        <w:rPr>
          <w:rFonts w:hint="eastAsia" w:hAnsi="宋体" w:eastAsia="宋体" w:cs="宋体"/>
          <w:sz w:val="21"/>
          <w:szCs w:val="21"/>
        </w:rPr>
      </w:pPr>
      <w:r>
        <w:rPr>
          <w:rFonts w:hint="eastAsia" w:hAnsi="宋体" w:eastAsia="宋体" w:cs="宋体"/>
          <w:sz w:val="21"/>
          <w:szCs w:val="21"/>
        </w:rPr>
        <w:t>（二）合同公告：采购人应当自政府采购合同签订之日起2个工作日内，将政府采购合同在省级以上人民政府财政部门指定的媒体上公告，但政府采购合同中涉及国家秘密、商业秘密的内容除外。</w:t>
      </w:r>
    </w:p>
    <w:p>
      <w:pPr>
        <w:pStyle w:val="9"/>
        <w:snapToGrid w:val="0"/>
        <w:spacing w:before="120" w:after="120"/>
        <w:jc w:val="center"/>
        <w:outlineLvl w:val="0"/>
        <w:rPr>
          <w:rFonts w:hint="eastAsia" w:hAnsi="宋体" w:eastAsia="宋体" w:cs="宋体"/>
          <w:b/>
          <w:sz w:val="28"/>
          <w:szCs w:val="28"/>
        </w:rPr>
      </w:pPr>
      <w:r>
        <w:rPr>
          <w:rFonts w:hint="eastAsia" w:hAnsi="宋体" w:eastAsia="宋体" w:cs="宋体"/>
          <w:b/>
          <w:sz w:val="28"/>
          <w:szCs w:val="28"/>
        </w:rPr>
        <w:br w:type="page"/>
      </w:r>
      <w:r>
        <w:rPr>
          <w:rFonts w:hint="eastAsia" w:hAnsi="宋体" w:eastAsia="宋体" w:cs="宋体"/>
          <w:b/>
          <w:sz w:val="28"/>
          <w:szCs w:val="28"/>
        </w:rPr>
        <w:t>第四章  评标办法及标准</w:t>
      </w:r>
    </w:p>
    <w:p>
      <w:pPr>
        <w:spacing w:line="360" w:lineRule="auto"/>
        <w:ind w:firstLine="420" w:firstLineChars="200"/>
        <w:rPr>
          <w:rFonts w:hint="eastAsia"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为公正、公平、科学地选择中标人，根据《中华人民共和国政府采购法》等有关法律法规的规定，并结合本项目的实际，制定本办法，本办法适用本项目的评标。</w:t>
      </w: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1、由招标代理机构对投标人的资格进行审查。</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2、按以下内容审核投标文件是否符合招标文件的资格文件要求。</w:t>
      </w:r>
    </w:p>
    <w:tbl>
      <w:tblPr>
        <w:tblStyle w:val="23"/>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67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6" w:hRule="atLeast"/>
        </w:trPr>
        <w:tc>
          <w:tcPr>
            <w:tcW w:w="1326" w:type="dxa"/>
            <w:noWrap w:val="0"/>
            <w:vAlign w:val="center"/>
          </w:tcPr>
          <w:p>
            <w:pPr>
              <w:spacing w:line="336" w:lineRule="auto"/>
              <w:jc w:val="center"/>
              <w:rPr>
                <w:rFonts w:hint="eastAsia" w:ascii="宋体" w:hAnsi="宋体" w:cs="宋体"/>
                <w:b/>
                <w:szCs w:val="21"/>
              </w:rPr>
            </w:pPr>
            <w:r>
              <w:rPr>
                <w:rFonts w:hint="eastAsia" w:ascii="宋体" w:hAnsi="宋体" w:cs="宋体"/>
                <w:b/>
                <w:szCs w:val="21"/>
              </w:rPr>
              <w:t>序号</w:t>
            </w:r>
          </w:p>
        </w:tc>
        <w:tc>
          <w:tcPr>
            <w:tcW w:w="6675" w:type="dxa"/>
            <w:tcBorders>
              <w:tl2br w:val="single" w:color="auto" w:sz="4" w:space="0"/>
            </w:tcBorders>
            <w:noWrap w:val="0"/>
            <w:vAlign w:val="top"/>
          </w:tcPr>
          <w:p>
            <w:pPr>
              <w:spacing w:line="336" w:lineRule="auto"/>
              <w:jc w:val="right"/>
              <w:rPr>
                <w:rFonts w:hint="eastAsia" w:ascii="宋体" w:hAnsi="宋体" w:cs="宋体"/>
                <w:b/>
                <w:szCs w:val="21"/>
              </w:rPr>
            </w:pPr>
            <w:r>
              <w:rPr>
                <w:rFonts w:hint="eastAsia" w:ascii="宋体" w:hAnsi="宋体" w:cs="宋体"/>
                <w:b/>
                <w:szCs w:val="21"/>
              </w:rPr>
              <w:t>投标人</w:t>
            </w:r>
          </w:p>
          <w:p>
            <w:pPr>
              <w:spacing w:line="336" w:lineRule="auto"/>
              <w:rPr>
                <w:rFonts w:hint="eastAsia" w:ascii="宋体" w:hAnsi="宋体" w:cs="宋体"/>
                <w:b/>
                <w:szCs w:val="21"/>
              </w:rPr>
            </w:pPr>
            <w:r>
              <w:rPr>
                <w:rFonts w:hint="eastAsia" w:ascii="宋体" w:hAnsi="宋体" w:cs="宋体"/>
                <w:b/>
                <w:szCs w:val="21"/>
              </w:rPr>
              <w:t>内容</w:t>
            </w:r>
          </w:p>
        </w:tc>
        <w:tc>
          <w:tcPr>
            <w:tcW w:w="2137" w:type="dxa"/>
            <w:noWrap w:val="0"/>
            <w:vAlign w:val="center"/>
          </w:tcPr>
          <w:p>
            <w:pPr>
              <w:spacing w:line="336" w:lineRule="auto"/>
              <w:jc w:val="center"/>
              <w:rPr>
                <w:rFonts w:hint="eastAsia" w:ascii="宋体" w:hAnsi="宋体" w:cs="宋体"/>
                <w:b/>
                <w:szCs w:val="21"/>
              </w:rPr>
            </w:pPr>
            <w:r>
              <w:rPr>
                <w:rFonts w:hint="eastAsia" w:ascii="宋体" w:hAnsi="宋体" w:cs="宋体"/>
                <w:b/>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69" w:hRule="atLeast"/>
        </w:trPr>
        <w:tc>
          <w:tcPr>
            <w:tcW w:w="1326" w:type="dxa"/>
            <w:noWrap w:val="0"/>
            <w:vAlign w:val="center"/>
          </w:tcPr>
          <w:p>
            <w:pPr>
              <w:spacing w:line="336" w:lineRule="auto"/>
              <w:jc w:val="center"/>
              <w:rPr>
                <w:rFonts w:hint="eastAsia" w:ascii="宋体" w:hAnsi="宋体" w:cs="宋体"/>
                <w:szCs w:val="21"/>
              </w:rPr>
            </w:pPr>
            <w:r>
              <w:rPr>
                <w:rFonts w:ascii="宋体" w:hAnsi="宋体" w:cs="宋体"/>
                <w:szCs w:val="21"/>
              </w:rPr>
              <w:t>1</w:t>
            </w:r>
          </w:p>
        </w:tc>
        <w:tc>
          <w:tcPr>
            <w:tcW w:w="6675" w:type="dxa"/>
            <w:noWrap w:val="0"/>
            <w:vAlign w:val="center"/>
          </w:tcPr>
          <w:p>
            <w:pPr>
              <w:rPr>
                <w:rFonts w:hint="eastAsia" w:ascii="宋体" w:hAnsi="宋体" w:cs="宋体"/>
                <w:szCs w:val="21"/>
              </w:rPr>
            </w:pPr>
            <w:r>
              <w:rPr>
                <w:rFonts w:hint="eastAsia" w:ascii="宋体" w:hAnsi="宋体" w:cs="宋体"/>
                <w:szCs w:val="21"/>
              </w:rPr>
              <w:t>投标人 “多证合一”的营业执照复印件</w:t>
            </w:r>
          </w:p>
        </w:tc>
        <w:tc>
          <w:tcPr>
            <w:tcW w:w="2137" w:type="dxa"/>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 w:hRule="atLeast"/>
        </w:trPr>
        <w:tc>
          <w:tcPr>
            <w:tcW w:w="1326" w:type="dxa"/>
            <w:noWrap w:val="0"/>
            <w:vAlign w:val="center"/>
          </w:tcPr>
          <w:p>
            <w:pPr>
              <w:spacing w:line="336" w:lineRule="auto"/>
              <w:jc w:val="center"/>
              <w:rPr>
                <w:rFonts w:hint="eastAsia" w:ascii="宋体" w:hAnsi="宋体" w:cs="宋体"/>
                <w:szCs w:val="21"/>
              </w:rPr>
            </w:pPr>
            <w:r>
              <w:rPr>
                <w:rFonts w:ascii="宋体" w:hAnsi="宋体" w:cs="宋体"/>
                <w:szCs w:val="21"/>
              </w:rPr>
              <w:t>2</w:t>
            </w:r>
          </w:p>
        </w:tc>
        <w:tc>
          <w:tcPr>
            <w:tcW w:w="6675" w:type="dxa"/>
            <w:noWrap w:val="0"/>
            <w:vAlign w:val="center"/>
          </w:tcPr>
          <w:p>
            <w:pPr>
              <w:rPr>
                <w:rFonts w:hint="eastAsia" w:ascii="宋体" w:hAnsi="宋体" w:cs="宋体"/>
                <w:szCs w:val="21"/>
              </w:rPr>
            </w:pPr>
            <w:r>
              <w:rPr>
                <w:rFonts w:hint="eastAsia" w:ascii="宋体" w:hAnsi="宋体" w:cs="宋体"/>
                <w:szCs w:val="21"/>
              </w:rPr>
              <w:t>投标人财务状况相关报告相关材料（主要为资产负债表、利润表等）</w:t>
            </w:r>
          </w:p>
        </w:tc>
        <w:tc>
          <w:tcPr>
            <w:tcW w:w="2137" w:type="dxa"/>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1326" w:type="dxa"/>
            <w:noWrap w:val="0"/>
            <w:vAlign w:val="center"/>
          </w:tcPr>
          <w:p>
            <w:pPr>
              <w:spacing w:line="336" w:lineRule="auto"/>
              <w:jc w:val="center"/>
              <w:rPr>
                <w:rFonts w:hint="eastAsia" w:ascii="宋体" w:hAnsi="宋体" w:cs="宋体"/>
                <w:szCs w:val="21"/>
              </w:rPr>
            </w:pPr>
            <w:r>
              <w:rPr>
                <w:rFonts w:ascii="宋体" w:hAnsi="宋体" w:cs="宋体"/>
                <w:szCs w:val="21"/>
              </w:rPr>
              <w:t>3</w:t>
            </w:r>
          </w:p>
        </w:tc>
        <w:tc>
          <w:tcPr>
            <w:tcW w:w="6675" w:type="dxa"/>
            <w:noWrap w:val="0"/>
            <w:vAlign w:val="center"/>
          </w:tcPr>
          <w:p>
            <w:pPr>
              <w:rPr>
                <w:rFonts w:hint="eastAsia" w:ascii="宋体" w:hAnsi="宋体" w:cs="宋体"/>
                <w:szCs w:val="21"/>
              </w:rPr>
            </w:pPr>
            <w:r>
              <w:rPr>
                <w:rFonts w:hint="eastAsia" w:ascii="宋体" w:hAnsi="宋体" w:cs="宋体"/>
                <w:szCs w:val="21"/>
              </w:rPr>
              <w:t>投标人法定代表人身份证复印件</w:t>
            </w:r>
          </w:p>
        </w:tc>
        <w:tc>
          <w:tcPr>
            <w:tcW w:w="2137" w:type="dxa"/>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1326" w:type="dxa"/>
            <w:noWrap w:val="0"/>
            <w:vAlign w:val="center"/>
          </w:tcPr>
          <w:p>
            <w:pPr>
              <w:spacing w:line="336" w:lineRule="auto"/>
              <w:jc w:val="center"/>
              <w:rPr>
                <w:rFonts w:hint="eastAsia" w:ascii="宋体" w:hAnsi="宋体" w:cs="宋体"/>
                <w:szCs w:val="21"/>
              </w:rPr>
            </w:pPr>
            <w:r>
              <w:rPr>
                <w:rFonts w:ascii="宋体" w:hAnsi="宋体" w:cs="宋体"/>
                <w:szCs w:val="21"/>
              </w:rPr>
              <w:t>4</w:t>
            </w:r>
          </w:p>
        </w:tc>
        <w:tc>
          <w:tcPr>
            <w:tcW w:w="6675" w:type="dxa"/>
            <w:noWrap w:val="0"/>
            <w:vAlign w:val="center"/>
          </w:tcPr>
          <w:p>
            <w:pPr>
              <w:rPr>
                <w:rFonts w:hint="eastAsia" w:hAnsi="宋体" w:cs="宋体"/>
                <w:szCs w:val="21"/>
              </w:rPr>
            </w:pPr>
            <w:r>
              <w:rPr>
                <w:rFonts w:hint="eastAsia" w:hAnsi="宋体" w:cs="宋体"/>
                <w:szCs w:val="21"/>
              </w:rPr>
              <w:t>投标函</w:t>
            </w:r>
          </w:p>
        </w:tc>
        <w:tc>
          <w:tcPr>
            <w:tcW w:w="2137" w:type="dxa"/>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1326" w:type="dxa"/>
            <w:noWrap w:val="0"/>
            <w:vAlign w:val="center"/>
          </w:tcPr>
          <w:p>
            <w:pPr>
              <w:spacing w:line="336" w:lineRule="auto"/>
              <w:jc w:val="center"/>
              <w:rPr>
                <w:rFonts w:hint="eastAsia" w:ascii="宋体" w:hAnsi="宋体" w:cs="宋体"/>
                <w:szCs w:val="21"/>
              </w:rPr>
            </w:pPr>
            <w:r>
              <w:rPr>
                <w:rFonts w:ascii="宋体" w:hAnsi="宋体" w:cs="宋体"/>
                <w:szCs w:val="21"/>
              </w:rPr>
              <w:t>5</w:t>
            </w:r>
          </w:p>
        </w:tc>
        <w:tc>
          <w:tcPr>
            <w:tcW w:w="6675" w:type="dxa"/>
            <w:noWrap w:val="0"/>
            <w:vAlign w:val="center"/>
          </w:tcPr>
          <w:p>
            <w:pPr>
              <w:rPr>
                <w:rFonts w:hint="eastAsia" w:ascii="宋体" w:hAnsi="宋体" w:cs="宋体"/>
                <w:szCs w:val="21"/>
              </w:rPr>
            </w:pPr>
            <w:r>
              <w:rPr>
                <w:rFonts w:hint="eastAsia" w:ascii="宋体" w:hAnsi="宋体" w:cs="宋体"/>
                <w:szCs w:val="21"/>
              </w:rPr>
              <w:t>法定代表人授权函，非法定代表人参加投标时提供</w:t>
            </w:r>
          </w:p>
        </w:tc>
        <w:tc>
          <w:tcPr>
            <w:tcW w:w="2137" w:type="dxa"/>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trPr>
        <w:tc>
          <w:tcPr>
            <w:tcW w:w="1326" w:type="dxa"/>
            <w:noWrap w:val="0"/>
            <w:vAlign w:val="center"/>
          </w:tcPr>
          <w:p>
            <w:pPr>
              <w:spacing w:line="336" w:lineRule="auto"/>
              <w:jc w:val="center"/>
              <w:rPr>
                <w:rFonts w:hint="eastAsia" w:ascii="宋体" w:hAnsi="宋体" w:cs="宋体"/>
                <w:szCs w:val="21"/>
              </w:rPr>
            </w:pPr>
            <w:r>
              <w:rPr>
                <w:rFonts w:ascii="宋体" w:hAnsi="宋体" w:cs="宋体"/>
                <w:szCs w:val="21"/>
              </w:rPr>
              <w:t>6</w:t>
            </w:r>
          </w:p>
        </w:tc>
        <w:tc>
          <w:tcPr>
            <w:tcW w:w="6675" w:type="dxa"/>
            <w:noWrap w:val="0"/>
            <w:vAlign w:val="center"/>
          </w:tcPr>
          <w:p>
            <w:pPr>
              <w:rPr>
                <w:rFonts w:hint="eastAsia" w:ascii="宋体" w:hAnsi="宋体" w:cs="宋体"/>
                <w:szCs w:val="21"/>
              </w:rPr>
            </w:pPr>
            <w:r>
              <w:rPr>
                <w:rFonts w:hint="eastAsia" w:ascii="宋体" w:hAnsi="宋体" w:cs="宋体"/>
                <w:szCs w:val="21"/>
              </w:rPr>
              <w:t>投标人代表身份证复印件，非法定代表人参加投标时提供</w:t>
            </w:r>
          </w:p>
        </w:tc>
        <w:tc>
          <w:tcPr>
            <w:tcW w:w="2137" w:type="dxa"/>
            <w:noWrap w:val="0"/>
            <w:vAlign w:val="center"/>
          </w:tcPr>
          <w:p>
            <w:pPr>
              <w:spacing w:line="336"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1" w:hRule="atLeast"/>
        </w:trPr>
        <w:tc>
          <w:tcPr>
            <w:tcW w:w="8001" w:type="dxa"/>
            <w:gridSpan w:val="2"/>
            <w:noWrap w:val="0"/>
            <w:vAlign w:val="top"/>
          </w:tcPr>
          <w:p>
            <w:pPr>
              <w:pStyle w:val="10"/>
              <w:spacing w:line="336" w:lineRule="auto"/>
              <w:ind w:left="0" w:firstLine="0" w:firstLineChars="0"/>
              <w:jc w:val="center"/>
              <w:rPr>
                <w:rFonts w:hint="eastAsia" w:ascii="宋体" w:hAnsi="宋体" w:cs="宋体"/>
                <w:b/>
                <w:sz w:val="21"/>
                <w:szCs w:val="21"/>
              </w:rPr>
            </w:pPr>
            <w:r>
              <w:rPr>
                <w:rFonts w:hint="eastAsia" w:ascii="宋体" w:hAnsi="宋体" w:cs="宋体"/>
                <w:b/>
                <w:sz w:val="21"/>
                <w:szCs w:val="21"/>
              </w:rPr>
              <w:t>结   论</w:t>
            </w:r>
          </w:p>
        </w:tc>
        <w:tc>
          <w:tcPr>
            <w:tcW w:w="2137" w:type="dxa"/>
            <w:noWrap w:val="0"/>
            <w:vAlign w:val="center"/>
          </w:tcPr>
          <w:p>
            <w:pPr>
              <w:spacing w:line="336" w:lineRule="auto"/>
              <w:ind w:left="180"/>
              <w:jc w:val="center"/>
              <w:rPr>
                <w:rFonts w:hint="eastAsia" w:ascii="宋体" w:hAnsi="宋体" w:cs="宋体"/>
                <w:b/>
                <w:szCs w:val="21"/>
              </w:rPr>
            </w:pPr>
          </w:p>
        </w:tc>
      </w:tr>
    </w:tbl>
    <w:p>
      <w:pPr>
        <w:autoSpaceDE w:val="0"/>
        <w:autoSpaceDN w:val="0"/>
        <w:adjustRightInd w:val="0"/>
        <w:spacing w:line="360" w:lineRule="auto"/>
        <w:ind w:firstLine="720"/>
        <w:rPr>
          <w:rFonts w:hint="eastAsia" w:ascii="宋体" w:hAnsi="宋体" w:cs="宋体"/>
          <w:szCs w:val="21"/>
        </w:rPr>
      </w:pPr>
      <w:r>
        <w:rPr>
          <w:rFonts w:hint="eastAsia" w:ascii="宋体" w:hAnsi="宋体" w:cs="宋体"/>
          <w:szCs w:val="21"/>
          <w:lang w:val="zh-CN"/>
        </w:rPr>
        <w:t>注：1、表中只需填写“√”或“×”；</w:t>
      </w:r>
      <w:r>
        <w:rPr>
          <w:rFonts w:hint="eastAsia" w:ascii="宋体" w:hAnsi="宋体" w:cs="宋体"/>
          <w:szCs w:val="21"/>
        </w:rPr>
        <w:t xml:space="preserve"> </w:t>
      </w:r>
      <w:r>
        <w:rPr>
          <w:rFonts w:hint="eastAsia" w:ascii="宋体" w:hAnsi="宋体" w:cs="宋体"/>
          <w:szCs w:val="21"/>
          <w:lang w:val="zh-CN"/>
        </w:rPr>
        <w:t>2、在结论栏中填写“合格”或“不合格”。</w:t>
      </w:r>
    </w:p>
    <w:p>
      <w:pPr>
        <w:autoSpaceDE w:val="0"/>
        <w:autoSpaceDN w:val="0"/>
        <w:adjustRightInd w:val="0"/>
        <w:spacing w:line="360" w:lineRule="auto"/>
        <w:rPr>
          <w:rFonts w:hint="eastAsia" w:ascii="宋体" w:hAnsi="宋体" w:cs="宋体"/>
          <w:b/>
          <w:szCs w:val="21"/>
        </w:rPr>
      </w:pPr>
      <w:r>
        <w:rPr>
          <w:rFonts w:hint="eastAsia" w:ascii="宋体" w:hAnsi="宋体" w:cs="宋体"/>
          <w:b/>
          <w:szCs w:val="21"/>
        </w:rPr>
        <w:t>二、中标候选人的选取</w:t>
      </w:r>
    </w:p>
    <w:p>
      <w:pPr>
        <w:spacing w:line="360" w:lineRule="auto"/>
        <w:ind w:firstLine="420" w:firstLineChars="200"/>
        <w:rPr>
          <w:rFonts w:hint="eastAsia" w:ascii="宋体" w:hAnsi="宋体" w:cs="宋体"/>
          <w:b/>
          <w:szCs w:val="21"/>
          <w:lang w:val="zh-CN"/>
        </w:rPr>
      </w:pPr>
      <w:r>
        <w:rPr>
          <w:rFonts w:hint="eastAsia" w:ascii="宋体" w:hAnsi="宋体" w:cs="宋体"/>
          <w:szCs w:val="21"/>
        </w:rPr>
        <w:t>将综合评估分从高到低排序，得出投标人名次,按照综合评估分名次推荐中标候选人3名。综合评估分相同时，按投标报价由低到高顺序排列，综合评估分且投标报价相同的，抽签决定排序（弃权视为自动放弃中标资格）。</w:t>
      </w:r>
    </w:p>
    <w:p>
      <w:pPr>
        <w:spacing w:line="360" w:lineRule="auto"/>
        <w:rPr>
          <w:rFonts w:hint="eastAsia" w:ascii="宋体" w:hAnsi="宋体" w:cs="宋体"/>
          <w:b/>
          <w:szCs w:val="21"/>
        </w:rPr>
      </w:pPr>
      <w:r>
        <w:rPr>
          <w:rFonts w:hint="eastAsia" w:ascii="宋体" w:hAnsi="宋体" w:cs="宋体"/>
          <w:b/>
          <w:szCs w:val="21"/>
        </w:rPr>
        <w:t>三、中标人选取依据</w:t>
      </w:r>
    </w:p>
    <w:p>
      <w:pPr>
        <w:spacing w:line="360" w:lineRule="auto"/>
        <w:ind w:firstLine="420" w:firstLineChars="200"/>
        <w:rPr>
          <w:rFonts w:hint="eastAsia" w:ascii="宋体" w:hAnsi="宋体" w:cs="宋体"/>
          <w:szCs w:val="21"/>
        </w:rPr>
      </w:pPr>
      <w:r>
        <w:rPr>
          <w:rFonts w:hint="eastAsia" w:ascii="宋体" w:hAnsi="宋体" w:cs="宋体"/>
          <w:szCs w:val="21"/>
        </w:rPr>
        <w:t>评审小组根据综合评估分得分排序，推荐第一名中标候选人为中标人，经采购人确认后，确定项目中标人，同时发布采购结果公告，发出中标通知书。</w:t>
      </w:r>
    </w:p>
    <w:p>
      <w:pPr>
        <w:spacing w:line="360" w:lineRule="auto"/>
        <w:rPr>
          <w:rFonts w:hint="eastAsia" w:ascii="宋体" w:hAnsi="宋体" w:cs="宋体"/>
          <w:b/>
          <w:szCs w:val="21"/>
        </w:rPr>
      </w:pPr>
      <w:r>
        <w:rPr>
          <w:rFonts w:hint="eastAsia" w:ascii="宋体" w:hAnsi="宋体" w:cs="宋体"/>
          <w:b/>
          <w:szCs w:val="21"/>
        </w:rPr>
        <w:t>四、综合评估分计分方法</w:t>
      </w:r>
    </w:p>
    <w:p>
      <w:pPr>
        <w:autoSpaceDE w:val="0"/>
        <w:autoSpaceDN w:val="0"/>
        <w:adjustRightIn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满足招标文件要求且投标价格最低的投标报价为评标基准价，其价格分为满分，其他投标人的价格分按下列公式计算：投标报价得分＝（评标基准价/投标报价）×价格权重×100。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根据《政府采购促进中小企业发展管理办法》（财库[2020]46号）规定：本项目对符合本办法规定的小微企业报价给予</w:t>
      </w:r>
      <w:r>
        <w:rPr>
          <w:rFonts w:hint="eastAsia" w:ascii="宋体" w:hAnsi="宋体"/>
          <w:szCs w:val="21"/>
          <w:lang w:val="en-US" w:eastAsia="zh-CN"/>
        </w:rPr>
        <w:t>10%</w:t>
      </w:r>
      <w:r>
        <w:rPr>
          <w:rFonts w:hint="eastAsia" w:ascii="宋体" w:hAnsi="宋体"/>
          <w:szCs w:val="21"/>
        </w:rPr>
        <w:t>的扣除，用扣除后的价格参加评审。</w:t>
      </w:r>
    </w:p>
    <w:p>
      <w:pPr>
        <w:autoSpaceDE w:val="0"/>
        <w:autoSpaceDN w:val="0"/>
        <w:adjustRightInd w:val="0"/>
        <w:spacing w:line="360" w:lineRule="auto"/>
        <w:ind w:firstLine="420" w:firstLineChars="200"/>
        <w:rPr>
          <w:rFonts w:hint="eastAsia" w:ascii="宋体" w:hAnsi="宋体"/>
          <w:szCs w:val="21"/>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360" w:lineRule="auto"/>
        <w:ind w:firstLine="420" w:firstLineChars="200"/>
        <w:rPr>
          <w:rFonts w:ascii="宋体" w:hAnsi="宋体" w:cs="宋体"/>
          <w:szCs w:val="21"/>
          <w:lang w:val="zh-CN"/>
        </w:rPr>
      </w:pPr>
      <w:r>
        <w:rPr>
          <w:rFonts w:ascii="宋体" w:hAnsi="宋体"/>
          <w:szCs w:val="21"/>
        </w:rPr>
        <w:t>在评分时，各投标人投标报价得分保留小数点后二位，第三位四舍五入。</w:t>
      </w:r>
      <w:r>
        <w:rPr>
          <w:rFonts w:hint="eastAsia" w:ascii="宋体" w:hAnsi="宋体"/>
          <w:szCs w:val="21"/>
        </w:rPr>
        <w:t>评审专家打分准确到小数点后一位，</w:t>
      </w:r>
      <w:r>
        <w:rPr>
          <w:rFonts w:hint="eastAsia" w:ascii="宋体" w:hAnsi="宋体" w:cs="宋体"/>
          <w:szCs w:val="21"/>
        </w:rPr>
        <w:t>综合评估分=商务技术部分得分＋投标报价得分，商务技术部分得分为所有评委评分的算术平均值，</w:t>
      </w:r>
      <w:r>
        <w:rPr>
          <w:rFonts w:ascii="宋体" w:hAnsi="宋体" w:cs="宋体"/>
          <w:szCs w:val="21"/>
        </w:rPr>
        <w:t>得分保留小数点后二位。</w:t>
      </w:r>
      <w:r>
        <w:rPr>
          <w:rFonts w:hint="eastAsia" w:ascii="宋体" w:hAnsi="宋体" w:cs="宋体"/>
          <w:szCs w:val="21"/>
        </w:rPr>
        <w:t xml:space="preserve"> </w:t>
      </w:r>
    </w:p>
    <w:p>
      <w:pPr>
        <w:numPr>
          <w:ilvl w:val="0"/>
          <w:numId w:val="5"/>
        </w:numPr>
        <w:autoSpaceDE w:val="0"/>
        <w:autoSpaceDN w:val="0"/>
        <w:adjustRightInd w:val="0"/>
        <w:spacing w:line="360" w:lineRule="auto"/>
        <w:rPr>
          <w:rFonts w:hint="eastAsia" w:ascii="宋体" w:hAnsi="宋体" w:cs="宋体"/>
          <w:b/>
          <w:szCs w:val="21"/>
          <w:lang w:val="zh-CN"/>
        </w:rPr>
      </w:pPr>
      <w:r>
        <w:rPr>
          <w:rFonts w:hint="eastAsia" w:ascii="宋体" w:hAnsi="宋体" w:cs="宋体"/>
          <w:b/>
          <w:szCs w:val="21"/>
          <w:lang w:val="zh-CN"/>
        </w:rPr>
        <w:t>评分表</w:t>
      </w:r>
    </w:p>
    <w:tbl>
      <w:tblPr>
        <w:tblStyle w:val="23"/>
        <w:tblW w:w="39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9"/>
        <w:gridCol w:w="2156"/>
        <w:gridCol w:w="215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4" w:type="pct"/>
            <w:noWrap w:val="0"/>
            <w:vAlign w:val="center"/>
          </w:tcPr>
          <w:p>
            <w:pPr>
              <w:jc w:val="center"/>
              <w:rPr>
                <w:rFonts w:hint="eastAsia" w:ascii="宋体" w:hAnsi="宋体" w:cs="宋体"/>
                <w:szCs w:val="21"/>
              </w:rPr>
            </w:pPr>
            <w:r>
              <w:rPr>
                <w:rFonts w:hint="eastAsia" w:ascii="宋体" w:hAnsi="宋体" w:cs="宋体"/>
                <w:szCs w:val="21"/>
              </w:rPr>
              <w:t>评标指标</w:t>
            </w:r>
          </w:p>
        </w:tc>
        <w:tc>
          <w:tcPr>
            <w:tcW w:w="1350" w:type="pct"/>
            <w:noWrap w:val="0"/>
            <w:vAlign w:val="center"/>
          </w:tcPr>
          <w:p>
            <w:pPr>
              <w:jc w:val="center"/>
              <w:rPr>
                <w:rFonts w:hint="eastAsia" w:ascii="宋体" w:hAnsi="宋体" w:cs="宋体"/>
                <w:szCs w:val="21"/>
              </w:rPr>
            </w:pPr>
            <w:r>
              <w:rPr>
                <w:rFonts w:hint="eastAsia" w:ascii="宋体" w:hAnsi="宋体" w:cs="宋体"/>
                <w:szCs w:val="21"/>
              </w:rPr>
              <w:t>投标报价</w:t>
            </w:r>
          </w:p>
        </w:tc>
        <w:tc>
          <w:tcPr>
            <w:tcW w:w="1350" w:type="pct"/>
            <w:noWrap w:val="0"/>
            <w:vAlign w:val="center"/>
          </w:tcPr>
          <w:p>
            <w:pPr>
              <w:jc w:val="center"/>
              <w:rPr>
                <w:rFonts w:hint="eastAsia" w:ascii="宋体" w:hAnsi="宋体" w:cs="宋体"/>
                <w:szCs w:val="21"/>
              </w:rPr>
            </w:pPr>
            <w:r>
              <w:rPr>
                <w:rFonts w:hint="eastAsia" w:ascii="宋体" w:hAnsi="宋体" w:cs="宋体"/>
                <w:szCs w:val="21"/>
              </w:rPr>
              <w:t>商务技术部分</w:t>
            </w:r>
          </w:p>
        </w:tc>
        <w:tc>
          <w:tcPr>
            <w:tcW w:w="813" w:type="pct"/>
            <w:noWrap w:val="0"/>
            <w:vAlign w:val="center"/>
          </w:tcPr>
          <w:p>
            <w:pPr>
              <w:jc w:val="center"/>
              <w:rPr>
                <w:rFonts w:hint="eastAsia"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4" w:type="pct"/>
            <w:noWrap w:val="0"/>
            <w:vAlign w:val="center"/>
          </w:tcPr>
          <w:p>
            <w:pPr>
              <w:jc w:val="center"/>
              <w:rPr>
                <w:rFonts w:hint="eastAsia" w:ascii="宋体" w:hAnsi="宋体" w:cs="宋体"/>
                <w:szCs w:val="21"/>
              </w:rPr>
            </w:pPr>
            <w:r>
              <w:rPr>
                <w:rFonts w:hint="eastAsia" w:ascii="宋体" w:hAnsi="宋体" w:cs="宋体"/>
                <w:szCs w:val="21"/>
              </w:rPr>
              <w:t>权重（%）</w:t>
            </w:r>
          </w:p>
        </w:tc>
        <w:tc>
          <w:tcPr>
            <w:tcW w:w="1350" w:type="pct"/>
            <w:noWrap w:val="0"/>
            <w:vAlign w:val="center"/>
          </w:tcPr>
          <w:p>
            <w:pPr>
              <w:jc w:val="center"/>
              <w:rPr>
                <w:rFonts w:ascii="宋体" w:hAnsi="宋体" w:cs="宋体"/>
                <w:szCs w:val="21"/>
              </w:rPr>
            </w:pPr>
            <w:r>
              <w:rPr>
                <w:rFonts w:hint="eastAsia" w:ascii="宋体" w:hAnsi="宋体" w:cs="宋体"/>
                <w:szCs w:val="21"/>
              </w:rPr>
              <w:t>30</w:t>
            </w:r>
          </w:p>
        </w:tc>
        <w:tc>
          <w:tcPr>
            <w:tcW w:w="1350" w:type="pct"/>
            <w:noWrap w:val="0"/>
            <w:vAlign w:val="center"/>
          </w:tcPr>
          <w:p>
            <w:pPr>
              <w:jc w:val="center"/>
              <w:rPr>
                <w:rFonts w:ascii="宋体" w:hAnsi="宋体" w:cs="宋体"/>
                <w:szCs w:val="21"/>
              </w:rPr>
            </w:pPr>
            <w:r>
              <w:rPr>
                <w:rFonts w:hint="eastAsia" w:ascii="宋体" w:hAnsi="宋体" w:cs="宋体"/>
                <w:szCs w:val="21"/>
              </w:rPr>
              <w:t>70</w:t>
            </w:r>
          </w:p>
        </w:tc>
        <w:tc>
          <w:tcPr>
            <w:tcW w:w="813" w:type="pct"/>
            <w:noWrap w:val="0"/>
            <w:vAlign w:val="center"/>
          </w:tcPr>
          <w:p>
            <w:pPr>
              <w:jc w:val="center"/>
              <w:rPr>
                <w:rFonts w:hint="eastAsia" w:ascii="宋体" w:hAnsi="宋体" w:cs="宋体"/>
                <w:szCs w:val="21"/>
              </w:rPr>
            </w:pPr>
            <w:r>
              <w:rPr>
                <w:rFonts w:hint="eastAsia" w:ascii="宋体" w:hAnsi="宋体" w:cs="宋体"/>
                <w:szCs w:val="21"/>
              </w:rPr>
              <w:t>100</w:t>
            </w:r>
          </w:p>
        </w:tc>
      </w:tr>
    </w:tbl>
    <w:p>
      <w:pPr>
        <w:autoSpaceDE w:val="0"/>
        <w:autoSpaceDN w:val="0"/>
        <w:adjustRightInd w:val="0"/>
        <w:spacing w:line="360" w:lineRule="auto"/>
        <w:rPr>
          <w:rFonts w:hint="eastAsia" w:ascii="宋体" w:hAnsi="宋体" w:cs="宋体"/>
          <w:spacing w:val="6"/>
          <w:sz w:val="24"/>
          <w:szCs w:val="24"/>
        </w:rPr>
      </w:pPr>
    </w:p>
    <w:tbl>
      <w:tblPr>
        <w:tblStyle w:val="23"/>
        <w:tblW w:w="10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660"/>
        <w:gridCol w:w="691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66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类别</w:t>
            </w:r>
          </w:p>
        </w:tc>
        <w:tc>
          <w:tcPr>
            <w:tcW w:w="691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标准</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投标人资质</w:t>
            </w:r>
          </w:p>
        </w:tc>
        <w:tc>
          <w:tcPr>
            <w:tcW w:w="66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客观</w:t>
            </w:r>
          </w:p>
        </w:tc>
        <w:tc>
          <w:tcPr>
            <w:tcW w:w="6915"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投标人具有ISO9001质量管理体系认证证书、ISO14001环境管理体系认证证书、ISO/IEC20000信息技术服务管理体系认证证书、ISO/IEC27001信息安全管理体系认证证书的，每个得1分，最多得4分。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注：提供证书复印件，否则不得分。</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60"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915" w:type="dxa"/>
            <w:vMerge w:val="continue"/>
            <w:noWrap w:val="0"/>
            <w:vAlign w:val="center"/>
          </w:tcPr>
          <w:p>
            <w:pPr>
              <w:spacing w:line="240" w:lineRule="auto"/>
              <w:jc w:val="left"/>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60"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915" w:type="dxa"/>
            <w:vMerge w:val="continue"/>
            <w:noWrap w:val="0"/>
            <w:vAlign w:val="center"/>
          </w:tcPr>
          <w:p>
            <w:pPr>
              <w:spacing w:line="240" w:lineRule="auto"/>
              <w:jc w:val="left"/>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相关业绩</w:t>
            </w:r>
          </w:p>
        </w:tc>
        <w:tc>
          <w:tcPr>
            <w:tcW w:w="66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客观</w:t>
            </w:r>
          </w:p>
        </w:tc>
        <w:tc>
          <w:tcPr>
            <w:tcW w:w="6915"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核心产品执法办案管理平台在2019年1月1日以来（以合同签订时间为准）建设项目案例，每个得1分，最多得2分。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注：提供合同复印件，否则不得分。</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60"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915" w:type="dxa"/>
            <w:vMerge w:val="continue"/>
            <w:noWrap w:val="0"/>
            <w:vAlign w:val="center"/>
          </w:tcPr>
          <w:p>
            <w:pPr>
              <w:spacing w:line="240" w:lineRule="auto"/>
              <w:jc w:val="left"/>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拟派本项目团队</w:t>
            </w:r>
          </w:p>
        </w:tc>
        <w:tc>
          <w:tcPr>
            <w:tcW w:w="66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客观</w:t>
            </w:r>
          </w:p>
        </w:tc>
        <w:tc>
          <w:tcPr>
            <w:tcW w:w="6915"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（1）拟投入本项目的实施团队人员结构中，项目负责人具备系统集成项目管理工程师、高级项目经理证书，每项得1分，最高得2分；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（2）项目团队人员中拥有网络工程</w:t>
            </w:r>
            <w:r>
              <w:rPr>
                <w:rFonts w:hint="eastAsia" w:ascii="宋体" w:hAnsi="宋体" w:eastAsia="宋体" w:cs="宋体"/>
                <w:i w:val="0"/>
                <w:iCs w:val="0"/>
                <w:color w:val="auto"/>
                <w:kern w:val="0"/>
                <w:sz w:val="21"/>
                <w:szCs w:val="21"/>
                <w:u w:val="none"/>
                <w:lang w:val="en-US" w:eastAsia="zh-CN" w:bidi="ar"/>
              </w:rPr>
              <w:t>师、软件设计师（原高级程序员）</w:t>
            </w:r>
            <w:r>
              <w:rPr>
                <w:rFonts w:hint="eastAsia" w:ascii="宋体" w:hAnsi="宋体" w:eastAsia="宋体" w:cs="宋体"/>
                <w:i w:val="0"/>
                <w:iCs w:val="0"/>
                <w:color w:val="000000"/>
                <w:kern w:val="0"/>
                <w:sz w:val="21"/>
                <w:szCs w:val="21"/>
                <w:u w:val="none"/>
                <w:lang w:val="en-US" w:eastAsia="zh-CN" w:bidi="ar"/>
              </w:rPr>
              <w:t>、IT运维工程师、</w:t>
            </w:r>
            <w:r>
              <w:rPr>
                <w:rFonts w:hint="eastAsia" w:ascii="宋体" w:hAnsi="宋体" w:eastAsia="宋体" w:cs="宋体"/>
                <w:i w:val="0"/>
                <w:iCs w:val="0"/>
                <w:color w:val="auto"/>
                <w:kern w:val="0"/>
                <w:sz w:val="21"/>
                <w:szCs w:val="21"/>
                <w:u w:val="none"/>
                <w:lang w:val="en-US" w:eastAsia="zh-CN" w:bidi="ar"/>
              </w:rPr>
              <w:t>计算机硬件工程师，</w:t>
            </w:r>
            <w:r>
              <w:rPr>
                <w:rFonts w:hint="eastAsia" w:ascii="宋体" w:hAnsi="宋体" w:eastAsia="宋体" w:cs="宋体"/>
                <w:i w:val="0"/>
                <w:iCs w:val="0"/>
                <w:color w:val="000000"/>
                <w:kern w:val="0"/>
                <w:sz w:val="21"/>
                <w:szCs w:val="21"/>
                <w:u w:val="none"/>
                <w:lang w:val="en-US" w:eastAsia="zh-CN" w:bidi="ar"/>
              </w:rPr>
              <w:t>每有一类得1分，最高得4分。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注：提供人员证书复印件及近三个月任意一个月的本单位社保缴纳证明材料，否则不得分。</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60"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915" w:type="dxa"/>
            <w:vMerge w:val="continue"/>
            <w:noWrap w:val="0"/>
            <w:vAlign w:val="center"/>
          </w:tcPr>
          <w:p>
            <w:pPr>
              <w:spacing w:line="240" w:lineRule="auto"/>
              <w:jc w:val="left"/>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60"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915" w:type="dxa"/>
            <w:vMerge w:val="continue"/>
            <w:noWrap w:val="0"/>
            <w:vAlign w:val="center"/>
          </w:tcPr>
          <w:p>
            <w:pPr>
              <w:spacing w:line="240" w:lineRule="auto"/>
              <w:jc w:val="left"/>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硬件技术参数偏离</w:t>
            </w:r>
          </w:p>
        </w:tc>
        <w:tc>
          <w:tcPr>
            <w:tcW w:w="660"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客观</w:t>
            </w:r>
          </w:p>
        </w:tc>
        <w:tc>
          <w:tcPr>
            <w:tcW w:w="6915"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根据投标人提供的成品硬件部分技术参数偏离情况进行打分：基础分30分。标“▲”参数负偏离将导致投标无效；标“★”参数每负偏离一项扣1分；其他参数每负偏离一项扣0.5分；最低得0分。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注：要求提供相关证明材料的，以证明材料为准，不提供或不符合要求的视作负偏离。</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60"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c>
          <w:tcPr>
            <w:tcW w:w="6915" w:type="dxa"/>
            <w:vMerge w:val="continue"/>
            <w:noWrap w:val="0"/>
            <w:vAlign w:val="center"/>
          </w:tcPr>
          <w:p>
            <w:pPr>
              <w:spacing w:line="240" w:lineRule="auto"/>
              <w:jc w:val="left"/>
              <w:rPr>
                <w:rFonts w:hint="eastAsia" w:ascii="宋体" w:hAnsi="宋体" w:eastAsia="宋体" w:cs="宋体"/>
                <w:i w:val="0"/>
                <w:iCs w:val="0"/>
                <w:color w:val="000000"/>
                <w:sz w:val="21"/>
                <w:szCs w:val="21"/>
                <w:u w:val="none"/>
              </w:rPr>
            </w:pPr>
          </w:p>
        </w:tc>
        <w:tc>
          <w:tcPr>
            <w:tcW w:w="1065" w:type="dxa"/>
            <w:vMerge w:val="continue"/>
            <w:noWrap w:val="0"/>
            <w:vAlign w:val="center"/>
          </w:tcPr>
          <w:p>
            <w:pPr>
              <w:spacing w:line="240" w:lineRule="auto"/>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整体建设方案</w:t>
            </w:r>
          </w:p>
        </w:tc>
        <w:tc>
          <w:tcPr>
            <w:tcW w:w="66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主观</w:t>
            </w:r>
          </w:p>
        </w:tc>
        <w:tc>
          <w:tcPr>
            <w:tcW w:w="6915"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根据投标人对项目总体建设目标的理解，技术思路、平台架构、功能设计的描述，是否符合本项目当前的要求进行打分：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设计较为合理，功能设计完善，技术架构充分考虑易用性、可扩展性等并能提供准确的网络拓扑结构的得3.1-5分；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设计基本合理，功能设计基本完善、技术架构基本考虑了易用性、可扩展性等并能提供基本准确的网络拓扑结构的得1.1-3分；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对项目总体建设目标及内容描述不全，相关网络拓扑结构不准确的得0.1-1分；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未做相关描述的不得分。</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原厂质保函</w:t>
            </w:r>
          </w:p>
        </w:tc>
        <w:tc>
          <w:tcPr>
            <w:tcW w:w="66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客观</w:t>
            </w:r>
          </w:p>
        </w:tc>
        <w:tc>
          <w:tcPr>
            <w:tcW w:w="6915"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投标人在投标文件中提供所投执法办案管理系统、LED显示屏、视频综合平台机箱、视频会议系统终端原厂针对本项目的五年以上质保函的，每个得1分，最多得3分。</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响应能力</w:t>
            </w:r>
          </w:p>
        </w:tc>
        <w:tc>
          <w:tcPr>
            <w:tcW w:w="66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客观</w:t>
            </w:r>
          </w:p>
        </w:tc>
        <w:tc>
          <w:tcPr>
            <w:tcW w:w="6915"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投标人承诺的故障响应时间：</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电话即时响应，0.5小时内能到达现场处理故障的得2分；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电话即时响应，1小时内能到达现场处理故障的得1.5分；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电话即时响应，2小时内能到达现场处理故障的得1分；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电话非即时响应或2小时外到达现场处理故障的得0.5分。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注：提供服务网点及其他相关证明材料，不提供或评审小组认定承诺不合理的不得分。</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售后服务方案</w:t>
            </w:r>
          </w:p>
        </w:tc>
        <w:tc>
          <w:tcPr>
            <w:tcW w:w="660"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主观</w:t>
            </w:r>
          </w:p>
        </w:tc>
        <w:tc>
          <w:tcPr>
            <w:tcW w:w="6915"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根据投标人为本项目提供的售后服务方案进行打分：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售后服务方案完整，服务团队人员齐全，备品备件充足的得2.1-3分；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售后服务方案较为完整，服务团队人员较为齐全，备品备件较为充足的得0.1-2分；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售后服务方案不完整，人员不齐，备品备件不足的不得分。</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06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系统演示</w:t>
            </w:r>
          </w:p>
        </w:tc>
        <w:tc>
          <w:tcPr>
            <w:tcW w:w="660" w:type="dxa"/>
            <w:noWrap w:val="0"/>
            <w:vAlign w:val="center"/>
          </w:tcPr>
          <w:p>
            <w:pPr>
              <w:keepNext w:val="0"/>
              <w:keepLines w:val="0"/>
              <w:widowControl/>
              <w:suppressLineNumbers w:val="0"/>
              <w:spacing w:line="240" w:lineRule="auto"/>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主观</w:t>
            </w:r>
          </w:p>
        </w:tc>
        <w:tc>
          <w:tcPr>
            <w:tcW w:w="6915"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供应商对软件系统及页面设计进行演示，根据演示内容的符合情况酌情打分，用PPT演示或仅提供静态页面的不得分。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供应商须将演示内容录制成视频，制作成一个 U 盘递交，递交方式及要求同招标公告中“备份投标文件”的递交方式及要求。</w:t>
            </w:r>
          </w:p>
        </w:tc>
        <w:tc>
          <w:tcPr>
            <w:tcW w:w="106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6" w:hRule="atLeast"/>
          <w:jc w:val="center"/>
        </w:trPr>
        <w:tc>
          <w:tcPr>
            <w:tcW w:w="1065" w:type="dxa"/>
            <w:vMerge w:val="restart"/>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9.1</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辅助办案系统</w:t>
            </w:r>
          </w:p>
        </w:tc>
        <w:tc>
          <w:tcPr>
            <w:tcW w:w="660"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主观</w:t>
            </w:r>
          </w:p>
        </w:tc>
        <w:tc>
          <w:tcPr>
            <w:tcW w:w="6915"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1、根据对驾驶舱门户界面演示情况进行评分，演示内容包括但不限于实时数据展示、中心办件维度展示0-1分</w:t>
            </w:r>
          </w:p>
          <w:p>
            <w:pPr>
              <w:keepNext w:val="0"/>
              <w:keepLines w:val="0"/>
              <w:widowControl/>
              <w:suppressLineNumbers w:val="0"/>
              <w:spacing w:line="240" w:lineRule="auto"/>
              <w:jc w:val="lef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2、根据对邮寄代办界面演示情况进行评分，演示内容包括但不限于发起邮寄、审核管理内容0-0.5分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3、根据对法律援助代办界面演示情况进行评分，演示内容包括但不限于发起援助、审核管理内容0-0.5分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4、根据对辅助预约界面演示情况进行评分，演示内容包括但不限于辅助预约业务全流程的展现、预约人员管理内容0-0.5分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5、根据对评估鉴定界面演示情况进行评分，演示内容包括但不限于发起评估、审核管理、代办管理内容0-0.5分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6、根据对代理接收界面演示情况进行评分，演示内容包括但不限于发起代理接收、审核管理、代办管理内容0-0.5分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7、根据对看守所代办界面演示情况进行评分，演示内容包括但不限于看守所代办业务全流程的展现、看守所信息管理内容0-0.5分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8、根据对资料调取界面演示情况进行评分，演示内容包括但不限于发起调取、审核管理、代办管理内容0-0.5分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9、根据对集中押送界面演示情况进行评分，演示内容包括但不限于发起押送、审核管理、代办管理内容0-0.5分</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065" w:type="dxa"/>
            <w:vMerge w:val="restart"/>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9.2</w:t>
            </w:r>
          </w:p>
        </w:tc>
        <w:tc>
          <w:tcPr>
            <w:tcW w:w="1065"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办案区管理模块</w:t>
            </w:r>
          </w:p>
        </w:tc>
        <w:tc>
          <w:tcPr>
            <w:tcW w:w="660"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主观</w:t>
            </w:r>
          </w:p>
        </w:tc>
        <w:tc>
          <w:tcPr>
            <w:tcW w:w="6915" w:type="dxa"/>
            <w:vMerge w:val="restart"/>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大屏可视化展示，在区人员管理，以图形化的形式显示嫌疑人（刑事）、嫌疑人（行政）、民警、其他人员数量；功能房管理，可显示候问室、询问室、讯问室、办案室、特讯室当前人数；办案场所管理，可显示当前办案场所内候问室、办案室、讯问室、询问室、特讯室的数量和正在使用的房间数量，同时可显示报备警员、违规告警、留置人员、已裁决人员数量；暂存财物统计，包括随身财物以及涉案财物，可显示财物的总量、暂存、本人领取、代保管、家人代领数量；执法监督统计，以图形化的形式显示执法监督数据，包括重点人员、违规羁押、超时入出区、越界监测、体征异常、流程违规、异动报警、单警执法；办案情况统计，可按时间段统计当前场所，入区及裁决人数，以及各流程环节人数统计，包括预约、安检、标采、存物、看押、审讯、临时出区、正式出区。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2、嫌疑人入区登记管理，支持对嫌疑人进行信息登记，包括姓名、性别、证件类型、证件号码、出生日期、现住址、户籍地址、国籍、民族。0-0.5分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3、候问管理，支持看押登记、带出登记、返回候问室、历史记录，支持显示候问人员统计信息，包括在押总人数、八类案件、敏感案件、传染病/重大疾病、涉毒、怀孕哺乳期、特殊身份、未成年。0-1分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4、支持查看嫌疑人电子档案，可显示嫌疑人姓名、性别、证件号码、案由、案件名称等基本信息，还可浏览嫌疑人入区记录、检查记录、存取记录、采集记录、**检测、审讯记录等信息。0-0.5分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5、支持入、出区全流程登记管理，流程包括入区登记、安全检查、信息采集、财物暂存、**检查、物品返还、出区登记。0-0.5分</w:t>
            </w:r>
          </w:p>
        </w:tc>
        <w:tc>
          <w:tcPr>
            <w:tcW w:w="106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0" w:hRule="atLeast"/>
          <w:jc w:val="center"/>
        </w:trPr>
        <w:tc>
          <w:tcPr>
            <w:tcW w:w="106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9.3</w:t>
            </w:r>
          </w:p>
        </w:tc>
        <w:tc>
          <w:tcPr>
            <w:tcW w:w="1065"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执法监督模块</w:t>
            </w:r>
          </w:p>
        </w:tc>
        <w:tc>
          <w:tcPr>
            <w:tcW w:w="660"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主观</w:t>
            </w:r>
          </w:p>
        </w:tc>
        <w:tc>
          <w:tcPr>
            <w:tcW w:w="6915" w:type="dxa"/>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1、支持每个角色有单独的工作台界面，展示个人信息、待办任务、经办任务、工作进度、执法培训、执法考评等信息，使民警总览个人工作情况，快速处理个人工作任务，有效提高办公效率。0-1分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2、选择相应区域的地图，可自动联动警情、案件、场所、财物、案卷、音视频、执法档案等切换为该区域数据展示。0-0.5分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3、支持以柱状图显示相关单位的执法档案数据，包括执法通报数量、执法检查登记数量、责令整改数量。0-0.5分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4、支持根据宪法类、民商法类、刑法类、治安管理、消防管理、综合类、办理行政案件、办理刑事案件等进行分类查看。0-1分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5、支持场所预警催办和违规核查的数据统计和图形化展示，包括预警催办和违规核查总数及各类处理数量、单位分析、类型分析和时间趋势。0-1分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6、支持联动案件总台，可选择警情、案件、场所、案卷、财物、音视频六要素查看对要素详细信息。0-1分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7、支持按时间段回放办案区录像，具有电子放大功能；支持对权限范围内的录像文件进行下载。0-1分</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支持办案数据的统计分析功能，包括警情信息分析、案件信息分析、涉案财物信息分析、案卷信息分析、音视频信息分析、智能管理信息分析、依法处理以及受案立案，用于法制民警对办案数据的宏观把控，方便数据汇总以及分析研判，为领导决策提供有力的数据支撑。0-0.5分</w:t>
            </w:r>
          </w:p>
        </w:tc>
        <w:tc>
          <w:tcPr>
            <w:tcW w:w="1065"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noWrap/>
            <w:vAlign w:val="center"/>
          </w:tcPr>
          <w:p>
            <w:pPr>
              <w:spacing w:line="240" w:lineRule="auto"/>
              <w:rPr>
                <w:rFonts w:hint="eastAsia" w:ascii="宋体" w:hAnsi="宋体" w:eastAsia="宋体" w:cs="宋体"/>
                <w:i w:val="0"/>
                <w:iCs w:val="0"/>
                <w:color w:val="000000"/>
                <w:sz w:val="21"/>
                <w:szCs w:val="21"/>
                <w:u w:val="none"/>
              </w:rPr>
            </w:pPr>
          </w:p>
        </w:tc>
        <w:tc>
          <w:tcPr>
            <w:tcW w:w="1065" w:type="dxa"/>
            <w:noWrap/>
            <w:vAlign w:val="center"/>
          </w:tcPr>
          <w:p>
            <w:pPr>
              <w:spacing w:line="240" w:lineRule="auto"/>
              <w:rPr>
                <w:rFonts w:hint="eastAsia" w:ascii="宋体" w:hAnsi="宋体" w:eastAsia="宋体" w:cs="宋体"/>
                <w:i w:val="0"/>
                <w:iCs w:val="0"/>
                <w:color w:val="000000"/>
                <w:sz w:val="21"/>
                <w:szCs w:val="21"/>
                <w:u w:val="none"/>
              </w:rPr>
            </w:pPr>
          </w:p>
        </w:tc>
        <w:tc>
          <w:tcPr>
            <w:tcW w:w="660" w:type="dxa"/>
            <w:noWrap/>
            <w:vAlign w:val="center"/>
          </w:tcPr>
          <w:p>
            <w:pPr>
              <w:spacing w:line="240" w:lineRule="auto"/>
              <w:rPr>
                <w:rFonts w:hint="eastAsia" w:ascii="宋体" w:hAnsi="宋体" w:eastAsia="宋体" w:cs="宋体"/>
                <w:i w:val="0"/>
                <w:iCs w:val="0"/>
                <w:color w:val="000000"/>
                <w:sz w:val="21"/>
                <w:szCs w:val="21"/>
                <w:u w:val="none"/>
              </w:rPr>
            </w:pPr>
          </w:p>
        </w:tc>
        <w:tc>
          <w:tcPr>
            <w:tcW w:w="6915" w:type="dxa"/>
            <w:noWrap/>
            <w:vAlign w:val="center"/>
          </w:tcPr>
          <w:p>
            <w:pPr>
              <w:spacing w:line="240" w:lineRule="auto"/>
              <w:rPr>
                <w:rFonts w:hint="eastAsia" w:ascii="宋体" w:hAnsi="宋体" w:eastAsia="宋体" w:cs="宋体"/>
                <w:i w:val="0"/>
                <w:iCs w:val="0"/>
                <w:color w:val="000000"/>
                <w:sz w:val="21"/>
                <w:szCs w:val="21"/>
                <w:u w:val="none"/>
              </w:rPr>
            </w:pPr>
          </w:p>
        </w:tc>
        <w:tc>
          <w:tcPr>
            <w:tcW w:w="1065" w:type="dxa"/>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r>
    </w:tbl>
    <w:p>
      <w:pPr>
        <w:autoSpaceDE w:val="0"/>
        <w:autoSpaceDN w:val="0"/>
        <w:adjustRightInd w:val="0"/>
        <w:spacing w:line="360" w:lineRule="auto"/>
        <w:jc w:val="center"/>
        <w:outlineLvl w:val="0"/>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第五章  合同主要条款</w:t>
      </w:r>
    </w:p>
    <w:p>
      <w:pPr>
        <w:snapToGrid w:val="0"/>
        <w:spacing w:before="156" w:beforeLines="50" w:after="156" w:afterLines="50" w:line="360" w:lineRule="auto"/>
        <w:jc w:val="center"/>
        <w:rPr>
          <w:rFonts w:hint="eastAsia"/>
          <w:sz w:val="28"/>
          <w:szCs w:val="28"/>
        </w:rPr>
      </w:pPr>
      <w:r>
        <w:rPr>
          <w:rFonts w:hint="eastAsia" w:ascii="宋体" w:hAnsi="宋体" w:cs="宋体"/>
          <w:b/>
          <w:sz w:val="28"/>
          <w:szCs w:val="28"/>
        </w:rPr>
        <w:t>（具体条款以甲方为主协商确定）</w:t>
      </w: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p>
    <w:p>
      <w:pPr>
        <w:spacing w:line="360" w:lineRule="auto"/>
        <w:jc w:val="center"/>
        <w:rPr>
          <w:rFonts w:hint="eastAsia" w:ascii="宋体" w:hAnsi="宋体" w:cs="宋体"/>
          <w:sz w:val="44"/>
        </w:rPr>
      </w:pPr>
      <w:r>
        <w:rPr>
          <w:rFonts w:hint="eastAsia" w:ascii="宋体" w:hAnsi="宋体" w:cs="宋体"/>
          <w:sz w:val="44"/>
        </w:rPr>
        <w:t>项目合同</w:t>
      </w:r>
    </w:p>
    <w:p>
      <w:pPr>
        <w:spacing w:line="276" w:lineRule="auto"/>
        <w:jc w:val="center"/>
        <w:rPr>
          <w:rFonts w:hint="eastAsia" w:ascii="宋体" w:hAnsi="宋体" w:cs="宋体"/>
          <w:sz w:val="30"/>
          <w:szCs w:val="30"/>
        </w:rPr>
      </w:pPr>
    </w:p>
    <w:p>
      <w:pPr>
        <w:spacing w:line="700" w:lineRule="exact"/>
        <w:ind w:firstLine="1026" w:firstLineChars="342"/>
        <w:rPr>
          <w:rFonts w:hint="eastAsia"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p>
    <w:p>
      <w:pPr>
        <w:spacing w:line="500" w:lineRule="exact"/>
        <w:ind w:firstLine="354" w:firstLineChars="118"/>
        <w:rPr>
          <w:rFonts w:hint="eastAsia" w:ascii="宋体" w:hAnsi="宋体" w:cs="宋体"/>
          <w:sz w:val="30"/>
          <w:szCs w:val="30"/>
        </w:rPr>
      </w:pPr>
    </w:p>
    <w:p>
      <w:pPr>
        <w:spacing w:line="700" w:lineRule="exact"/>
        <w:ind w:firstLine="1026" w:firstLineChars="342"/>
        <w:rPr>
          <w:rFonts w:hint="eastAsia" w:ascii="宋体" w:hAnsi="宋体" w:cs="宋体"/>
          <w:sz w:val="30"/>
          <w:szCs w:val="30"/>
          <w:u w:val="single"/>
        </w:rPr>
      </w:pPr>
      <w:r>
        <w:rPr>
          <w:rFonts w:hint="eastAsia" w:ascii="宋体" w:hAnsi="宋体" w:cs="宋体"/>
          <w:sz w:val="30"/>
          <w:szCs w:val="30"/>
        </w:rPr>
        <w:t>项目编号：</w:t>
      </w:r>
      <w:r>
        <w:rPr>
          <w:rFonts w:hint="eastAsia" w:ascii="宋体" w:hAnsi="宋体" w:cs="宋体"/>
          <w:sz w:val="30"/>
          <w:szCs w:val="30"/>
          <w:u w:val="single"/>
        </w:rPr>
        <w:t xml:space="preserve">                                        </w:t>
      </w:r>
    </w:p>
    <w:p>
      <w:pPr>
        <w:spacing w:line="500" w:lineRule="exact"/>
        <w:rPr>
          <w:rFonts w:hint="eastAsia" w:ascii="宋体" w:hAnsi="宋体" w:cs="宋体"/>
          <w:sz w:val="28"/>
          <w:szCs w:val="28"/>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ind w:firstLine="1026" w:firstLineChars="342"/>
        <w:rPr>
          <w:rFonts w:hint="eastAsia" w:ascii="宋体" w:hAnsi="宋体" w:cs="宋体"/>
          <w:sz w:val="30"/>
          <w:szCs w:val="30"/>
        </w:rPr>
      </w:pPr>
      <w:r>
        <w:rPr>
          <w:rFonts w:hint="eastAsia" w:ascii="宋体" w:hAnsi="宋体" w:cs="宋体"/>
          <w:sz w:val="30"/>
          <w:szCs w:val="30"/>
        </w:rPr>
        <w:t>采购人（甲方）：</w:t>
      </w:r>
      <w:r>
        <w:rPr>
          <w:rFonts w:hint="eastAsia" w:ascii="宋体" w:hAnsi="宋体" w:cs="宋体"/>
          <w:sz w:val="36"/>
          <w:szCs w:val="36"/>
          <w:u w:val="single"/>
        </w:rPr>
        <w:t xml:space="preserve">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中标人（乙方）：</w:t>
      </w:r>
      <w:r>
        <w:rPr>
          <w:rFonts w:hint="eastAsia" w:ascii="宋体" w:hAnsi="宋体" w:cs="宋体"/>
          <w:sz w:val="36"/>
          <w:szCs w:val="36"/>
          <w:u w:val="single"/>
        </w:rPr>
        <w:t xml:space="preserve">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合同签定日：</w:t>
      </w:r>
      <w:r>
        <w:rPr>
          <w:rFonts w:hint="eastAsia" w:ascii="宋体" w:hAnsi="宋体" w:cs="宋体"/>
          <w:sz w:val="30"/>
          <w:szCs w:val="30"/>
          <w:u w:val="single"/>
        </w:rPr>
        <w:t xml:space="preserve"> 20  年   月   日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合同签定地点：</w:t>
      </w:r>
      <w:r>
        <w:rPr>
          <w:rFonts w:hint="eastAsia" w:ascii="宋体" w:hAnsi="宋体" w:cs="宋体"/>
          <w:sz w:val="36"/>
          <w:szCs w:val="36"/>
          <w:u w:val="single"/>
        </w:rPr>
        <w:t xml:space="preserve">  </w:t>
      </w:r>
      <w:r>
        <w:rPr>
          <w:rFonts w:hint="eastAsia" w:ascii="宋体" w:hAnsi="宋体" w:cs="宋体"/>
          <w:sz w:val="28"/>
          <w:szCs w:val="36"/>
          <w:u w:val="single"/>
        </w:rPr>
        <w:t xml:space="preserve"> </w:t>
      </w:r>
      <w:r>
        <w:rPr>
          <w:rFonts w:hint="eastAsia" w:ascii="宋体" w:hAnsi="宋体" w:cs="宋体"/>
          <w:sz w:val="30"/>
          <w:szCs w:val="30"/>
          <w:u w:val="single"/>
        </w:rPr>
        <w:t>舟山市</w:t>
      </w:r>
      <w:r>
        <w:rPr>
          <w:rFonts w:hint="eastAsia" w:ascii="宋体" w:hAnsi="宋体" w:cs="宋体"/>
          <w:sz w:val="36"/>
          <w:szCs w:val="36"/>
          <w:u w:val="single"/>
        </w:rPr>
        <w:t xml:space="preserve">                       </w:t>
      </w: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napToGrid w:val="0"/>
        <w:spacing w:line="400" w:lineRule="exact"/>
        <w:rPr>
          <w:rFonts w:hint="eastAsia" w:ascii="宋体" w:hAnsi="宋体" w:cs="宋体"/>
          <w:szCs w:val="21"/>
        </w:rPr>
      </w:pPr>
    </w:p>
    <w:p>
      <w:pPr>
        <w:spacing w:line="360" w:lineRule="auto"/>
        <w:ind w:right="6" w:firstLine="496" w:firstLineChars="200"/>
        <w:rPr>
          <w:rFonts w:hint="eastAsia" w:ascii="宋体" w:hAnsi="宋体"/>
          <w:spacing w:val="4"/>
          <w:sz w:val="24"/>
          <w:szCs w:val="24"/>
        </w:rPr>
      </w:pPr>
    </w:p>
    <w:p>
      <w:pPr>
        <w:spacing w:line="360" w:lineRule="auto"/>
        <w:ind w:right="6" w:firstLine="436" w:firstLineChars="200"/>
        <w:rPr>
          <w:rFonts w:hint="eastAsia" w:ascii="宋体" w:hAnsi="宋体" w:cs="宋体"/>
          <w:spacing w:val="4"/>
          <w:szCs w:val="21"/>
        </w:rPr>
      </w:pPr>
      <w:r>
        <w:rPr>
          <w:rFonts w:hint="eastAsia" w:ascii="宋体" w:hAnsi="宋体" w:cs="宋体"/>
          <w:spacing w:val="4"/>
          <w:szCs w:val="21"/>
        </w:rPr>
        <w:t>甲方对</w:t>
      </w:r>
      <w:r>
        <w:rPr>
          <w:rFonts w:hint="eastAsia" w:ascii="宋体" w:hAnsi="宋体" w:cs="宋体"/>
          <w:szCs w:val="21"/>
          <w:u w:val="single"/>
        </w:rPr>
        <w:t xml:space="preserve">                                                </w:t>
      </w:r>
      <w:r>
        <w:rPr>
          <w:rFonts w:hint="eastAsia" w:ascii="宋体" w:hAnsi="宋体" w:cs="宋体"/>
          <w:spacing w:val="4"/>
          <w:szCs w:val="21"/>
        </w:rPr>
        <w:t>进行公开招标。经评审小组评定并最终审核通过，确定乙方为本项采购项目的中标人。甲乙双方根据《中华人民共和国政府采购法》、《中华人民共和国民法典》等相关法律法规及本项目招标文件的规定，双方经平等协商达成一致意见，订立本合同。</w:t>
      </w:r>
    </w:p>
    <w:p>
      <w:pPr>
        <w:spacing w:line="360" w:lineRule="auto"/>
        <w:ind w:firstLine="413" w:firstLineChars="196"/>
        <w:rPr>
          <w:rFonts w:hint="eastAsia" w:ascii="宋体" w:hAnsi="宋体" w:cs="宋体"/>
          <w:b/>
          <w:szCs w:val="21"/>
        </w:rPr>
      </w:pPr>
      <w:r>
        <w:rPr>
          <w:rFonts w:hint="eastAsia" w:ascii="宋体" w:hAnsi="宋体" w:cs="宋体"/>
          <w:b/>
          <w:szCs w:val="21"/>
        </w:rPr>
        <w:t>一、合同文件</w:t>
      </w:r>
    </w:p>
    <w:p>
      <w:pPr>
        <w:spacing w:line="360" w:lineRule="auto"/>
        <w:ind w:firstLine="420"/>
        <w:rPr>
          <w:rFonts w:hint="eastAsia" w:ascii="宋体" w:hAnsi="宋体" w:cs="宋体"/>
          <w:szCs w:val="21"/>
        </w:rPr>
      </w:pPr>
      <w:r>
        <w:rPr>
          <w:rFonts w:hint="eastAsia" w:ascii="宋体" w:hAnsi="宋体" w:cs="宋体"/>
          <w:szCs w:val="21"/>
        </w:rPr>
        <w:t>下列文件构成本合同的组成部分：</w:t>
      </w:r>
    </w:p>
    <w:p>
      <w:pPr>
        <w:adjustRightInd w:val="0"/>
        <w:spacing w:line="360" w:lineRule="auto"/>
        <w:ind w:left="480"/>
        <w:textAlignment w:val="baseline"/>
        <w:rPr>
          <w:rFonts w:hint="eastAsia" w:ascii="宋体" w:hAnsi="宋体" w:cs="宋体"/>
          <w:szCs w:val="21"/>
        </w:rPr>
      </w:pPr>
      <w:r>
        <w:rPr>
          <w:rFonts w:hint="eastAsia" w:ascii="宋体" w:hAnsi="宋体" w:cs="宋体"/>
          <w:szCs w:val="21"/>
        </w:rPr>
        <w:t>1、招标文件</w:t>
      </w:r>
    </w:p>
    <w:p>
      <w:pPr>
        <w:adjustRightInd w:val="0"/>
        <w:spacing w:line="360" w:lineRule="auto"/>
        <w:ind w:left="480"/>
        <w:textAlignment w:val="baseline"/>
        <w:rPr>
          <w:rFonts w:hint="eastAsia" w:ascii="宋体" w:hAnsi="宋体" w:cs="宋体"/>
          <w:szCs w:val="21"/>
        </w:rPr>
      </w:pPr>
      <w:r>
        <w:rPr>
          <w:rFonts w:hint="eastAsia" w:ascii="宋体" w:hAnsi="宋体" w:cs="宋体"/>
          <w:szCs w:val="21"/>
        </w:rPr>
        <w:t>2、中标文件</w:t>
      </w:r>
    </w:p>
    <w:p>
      <w:pPr>
        <w:adjustRightInd w:val="0"/>
        <w:spacing w:line="360" w:lineRule="auto"/>
        <w:ind w:left="480"/>
        <w:textAlignment w:val="baseline"/>
        <w:rPr>
          <w:rFonts w:hint="eastAsia" w:ascii="宋体" w:hAnsi="宋体" w:cs="宋体"/>
          <w:szCs w:val="21"/>
        </w:rPr>
      </w:pPr>
      <w:r>
        <w:rPr>
          <w:rFonts w:hint="eastAsia" w:ascii="宋体" w:hAnsi="宋体" w:cs="宋体"/>
          <w:szCs w:val="21"/>
        </w:rPr>
        <w:t>3、相关补充文件</w:t>
      </w:r>
    </w:p>
    <w:p>
      <w:pPr>
        <w:adjustRightInd w:val="0"/>
        <w:spacing w:line="360" w:lineRule="auto"/>
        <w:ind w:firstLine="413" w:firstLineChars="196"/>
        <w:textAlignment w:val="baseline"/>
        <w:rPr>
          <w:rFonts w:hint="eastAsia" w:ascii="宋体" w:hAnsi="宋体" w:cs="宋体"/>
          <w:szCs w:val="21"/>
        </w:rPr>
      </w:pPr>
      <w:r>
        <w:rPr>
          <w:rFonts w:hint="eastAsia" w:ascii="宋体" w:hAnsi="宋体" w:cs="宋体"/>
          <w:b/>
          <w:szCs w:val="21"/>
        </w:rPr>
        <w:t>二、合同范围和条件</w:t>
      </w:r>
    </w:p>
    <w:p>
      <w:pPr>
        <w:spacing w:line="360" w:lineRule="auto"/>
        <w:ind w:firstLine="420" w:firstLineChars="200"/>
        <w:rPr>
          <w:rFonts w:hint="eastAsia" w:ascii="宋体" w:hAnsi="宋体" w:cs="宋体"/>
          <w:szCs w:val="21"/>
        </w:rPr>
      </w:pPr>
      <w:r>
        <w:rPr>
          <w:rFonts w:hint="eastAsia" w:ascii="宋体" w:hAnsi="宋体" w:cs="宋体"/>
          <w:szCs w:val="21"/>
        </w:rPr>
        <w:t>本合同的范围和条件与上述规定的合同文件内容一致。</w:t>
      </w:r>
    </w:p>
    <w:p>
      <w:pPr>
        <w:spacing w:line="360" w:lineRule="auto"/>
        <w:ind w:firstLine="413" w:firstLineChars="196"/>
        <w:rPr>
          <w:rFonts w:hint="eastAsia" w:ascii="宋体" w:hAnsi="宋体" w:cs="宋体"/>
          <w:b/>
          <w:szCs w:val="21"/>
        </w:rPr>
      </w:pPr>
      <w:r>
        <w:rPr>
          <w:rFonts w:hint="eastAsia" w:ascii="宋体" w:hAnsi="宋体" w:cs="宋体"/>
          <w:b/>
          <w:szCs w:val="21"/>
        </w:rPr>
        <w:t>三、合同金额</w:t>
      </w:r>
    </w:p>
    <w:p>
      <w:pPr>
        <w:spacing w:line="360" w:lineRule="auto"/>
        <w:ind w:firstLine="436" w:firstLineChars="200"/>
        <w:rPr>
          <w:rFonts w:hint="eastAsia" w:ascii="宋体" w:hAnsi="宋体" w:cs="宋体"/>
          <w:b/>
          <w:szCs w:val="21"/>
        </w:rPr>
      </w:pPr>
      <w:r>
        <w:rPr>
          <w:rFonts w:hint="eastAsia" w:ascii="宋体" w:hAnsi="宋体" w:cs="宋体"/>
          <w:spacing w:val="4"/>
          <w:szCs w:val="21"/>
        </w:rPr>
        <w:t>本项目的</w:t>
      </w:r>
      <w:r>
        <w:rPr>
          <w:rFonts w:hint="eastAsia" w:ascii="宋体" w:hAnsi="宋体" w:cs="宋体"/>
          <w:szCs w:val="21"/>
        </w:rPr>
        <w:t>合同总价为</w:t>
      </w:r>
      <w:r>
        <w:rPr>
          <w:rFonts w:hint="eastAsia" w:ascii="宋体" w:hAnsi="宋体" w:cs="宋体"/>
          <w:szCs w:val="21"/>
          <w:u w:val="single"/>
        </w:rPr>
        <w:t xml:space="preserve">         </w:t>
      </w:r>
      <w:r>
        <w:rPr>
          <w:rFonts w:hint="eastAsia" w:ascii="宋体" w:hAnsi="宋体" w:cs="宋体"/>
          <w:szCs w:val="21"/>
        </w:rPr>
        <w:t xml:space="preserve">元人民币。 </w:t>
      </w:r>
    </w:p>
    <w:p>
      <w:pPr>
        <w:spacing w:line="360" w:lineRule="auto"/>
        <w:ind w:firstLine="413" w:firstLineChars="196"/>
        <w:rPr>
          <w:rFonts w:hint="eastAsia" w:ascii="宋体" w:hAnsi="宋体" w:cs="宋体"/>
          <w:b/>
          <w:szCs w:val="21"/>
        </w:rPr>
      </w:pPr>
      <w:r>
        <w:rPr>
          <w:rFonts w:hint="eastAsia" w:ascii="宋体" w:hAnsi="宋体" w:cs="宋体"/>
          <w:b/>
          <w:szCs w:val="21"/>
        </w:rPr>
        <w:t>四、付款方式</w:t>
      </w:r>
    </w:p>
    <w:p>
      <w:pPr>
        <w:widowControl/>
        <w:spacing w:line="360" w:lineRule="auto"/>
        <w:ind w:firstLine="417" w:firstLineChars="199"/>
        <w:rPr>
          <w:rFonts w:hint="eastAsia" w:ascii="宋体" w:hAnsi="宋体" w:cs="宋体"/>
          <w:kern w:val="0"/>
          <w:szCs w:val="21"/>
          <w:u w:val="single"/>
        </w:rPr>
      </w:pPr>
      <w:r>
        <w:rPr>
          <w:rFonts w:hint="eastAsia" w:ascii="宋体" w:hAnsi="宋体" w:cs="宋体"/>
          <w:kern w:val="0"/>
          <w:szCs w:val="21"/>
          <w:u w:val="single"/>
        </w:rPr>
        <w:t xml:space="preserve">                                            </w:t>
      </w:r>
    </w:p>
    <w:p>
      <w:pPr>
        <w:spacing w:line="360" w:lineRule="auto"/>
        <w:ind w:firstLine="413" w:firstLineChars="196"/>
        <w:rPr>
          <w:rFonts w:hint="eastAsia" w:ascii="宋体" w:hAnsi="宋体" w:cs="宋体"/>
          <w:b/>
          <w:szCs w:val="21"/>
        </w:rPr>
      </w:pPr>
      <w:r>
        <w:rPr>
          <w:rFonts w:hint="eastAsia" w:ascii="宋体" w:hAnsi="宋体" w:cs="宋体"/>
          <w:b/>
          <w:szCs w:val="21"/>
        </w:rPr>
        <w:t>五、其他要求</w:t>
      </w:r>
    </w:p>
    <w:p>
      <w:pPr>
        <w:widowControl/>
        <w:spacing w:line="360" w:lineRule="auto"/>
        <w:ind w:firstLine="417" w:firstLineChars="199"/>
        <w:rPr>
          <w:rFonts w:hint="eastAsia" w:ascii="宋体" w:hAnsi="宋体" w:cs="宋体"/>
          <w:kern w:val="0"/>
          <w:szCs w:val="21"/>
          <w:u w:val="single"/>
        </w:rPr>
      </w:pPr>
      <w:r>
        <w:rPr>
          <w:rFonts w:hint="eastAsia" w:ascii="宋体" w:hAnsi="宋体" w:cs="宋体"/>
          <w:kern w:val="0"/>
          <w:szCs w:val="21"/>
          <w:u w:val="single"/>
        </w:rPr>
        <w:t xml:space="preserve">                                            </w:t>
      </w:r>
    </w:p>
    <w:p>
      <w:pPr>
        <w:spacing w:line="360" w:lineRule="auto"/>
        <w:ind w:firstLine="422" w:firstLineChars="200"/>
        <w:rPr>
          <w:rFonts w:hint="eastAsia" w:ascii="宋体" w:hAnsi="宋体" w:cs="宋体"/>
          <w:b/>
          <w:szCs w:val="21"/>
        </w:rPr>
      </w:pPr>
      <w:r>
        <w:rPr>
          <w:rFonts w:hint="eastAsia" w:ascii="宋体" w:hAnsi="宋体" w:cs="宋体"/>
          <w:b/>
          <w:szCs w:val="21"/>
        </w:rPr>
        <w:t>六、产品的配置情况、质保期及价格（详见附件）</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8"/>
        <w:gridCol w:w="1494"/>
        <w:gridCol w:w="1494"/>
        <w:gridCol w:w="1494"/>
        <w:gridCol w:w="1495"/>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r>
              <w:rPr>
                <w:rFonts w:hint="eastAsia" w:ascii="宋体" w:hAnsi="宋体" w:cs="宋体"/>
                <w:spacing w:val="4"/>
                <w:szCs w:val="21"/>
              </w:rPr>
              <w:t>名称</w:t>
            </w: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pacing w:val="4"/>
                <w:szCs w:val="21"/>
              </w:rPr>
              <w:t>品牌</w:t>
            </w:r>
            <w:r>
              <w:rPr>
                <w:rFonts w:hint="eastAsia" w:ascii="宋体" w:hAnsi="宋体" w:cs="宋体"/>
                <w:szCs w:val="21"/>
              </w:rPr>
              <w:t>型号</w:t>
            </w:r>
          </w:p>
          <w:p>
            <w:pPr>
              <w:spacing w:line="360" w:lineRule="auto"/>
              <w:jc w:val="center"/>
              <w:rPr>
                <w:rFonts w:hint="eastAsia" w:ascii="宋体" w:hAnsi="宋体" w:cs="宋体"/>
                <w:szCs w:val="21"/>
              </w:rPr>
            </w:pPr>
            <w:r>
              <w:rPr>
                <w:rFonts w:hint="eastAsia" w:ascii="宋体" w:hAnsi="宋体" w:cs="宋体"/>
                <w:szCs w:val="21"/>
              </w:rPr>
              <w:t>技术规格</w:t>
            </w: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数量单位</w:t>
            </w: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单价（元）</w:t>
            </w: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总价（元）</w:t>
            </w:r>
          </w:p>
        </w:tc>
        <w:tc>
          <w:tcPr>
            <w:tcW w:w="736"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3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6"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3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6"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31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szCs w:val="21"/>
              </w:rPr>
            </w:pPr>
          </w:p>
        </w:tc>
        <w:tc>
          <w:tcPr>
            <w:tcW w:w="736" w:type="pc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szCs w:val="21"/>
              </w:rPr>
            </w:pPr>
            <w:r>
              <w:rPr>
                <w:rFonts w:hint="eastAsia" w:ascii="宋体" w:hAnsi="宋体" w:cs="宋体"/>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5000"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szCs w:val="21"/>
              </w:rPr>
            </w:pPr>
            <w:r>
              <w:rPr>
                <w:rFonts w:hint="eastAsia" w:ascii="宋体" w:hAnsi="宋体" w:cs="宋体"/>
                <w:b/>
                <w:szCs w:val="21"/>
              </w:rPr>
              <w:t xml:space="preserve">人民币大写： </w:t>
            </w:r>
          </w:p>
        </w:tc>
      </w:tr>
    </w:tbl>
    <w:p>
      <w:pPr>
        <w:spacing w:line="360" w:lineRule="auto"/>
        <w:ind w:firstLine="413" w:firstLineChars="196"/>
        <w:rPr>
          <w:rFonts w:hint="eastAsia" w:ascii="宋体" w:hAnsi="宋体" w:cs="宋体"/>
          <w:b/>
          <w:szCs w:val="21"/>
        </w:rPr>
      </w:pPr>
      <w:r>
        <w:rPr>
          <w:rFonts w:hint="eastAsia" w:ascii="宋体" w:hAnsi="宋体" w:cs="宋体"/>
          <w:b/>
          <w:szCs w:val="21"/>
        </w:rPr>
        <w:t>八、专利权</w:t>
      </w:r>
    </w:p>
    <w:p>
      <w:pPr>
        <w:spacing w:line="360" w:lineRule="auto"/>
        <w:ind w:firstLine="420" w:firstLineChars="200"/>
        <w:rPr>
          <w:rFonts w:hint="eastAsia" w:ascii="宋体" w:hAnsi="宋体" w:cs="宋体"/>
          <w:szCs w:val="21"/>
        </w:rPr>
      </w:pPr>
      <w:r>
        <w:rPr>
          <w:rFonts w:hint="eastAsia" w:ascii="宋体" w:hAnsi="宋体" w:cs="宋体"/>
          <w:szCs w:val="21"/>
        </w:rPr>
        <w:t>乙方应保护甲方在使用该设备和软件或其任何一部分时不受第三方提出侵犯专利权、商标权或工业设计权等知识产权等的指控。如果任何第三方提出侵权指控，乙方须与第三方交涉并承担可能发生的一切法律责任和费用。</w:t>
      </w:r>
    </w:p>
    <w:p>
      <w:pPr>
        <w:spacing w:line="360" w:lineRule="auto"/>
        <w:ind w:firstLine="422" w:firstLineChars="200"/>
        <w:rPr>
          <w:rFonts w:hint="eastAsia" w:ascii="宋体" w:hAnsi="宋体" w:cs="宋体"/>
          <w:szCs w:val="21"/>
        </w:rPr>
      </w:pPr>
      <w:r>
        <w:rPr>
          <w:rFonts w:hint="eastAsia" w:ascii="宋体" w:hAnsi="宋体" w:cs="宋体"/>
          <w:b/>
          <w:szCs w:val="21"/>
        </w:rPr>
        <w:t>九、追加设备或服务处理</w:t>
      </w:r>
    </w:p>
    <w:p>
      <w:pPr>
        <w:spacing w:line="360" w:lineRule="auto"/>
        <w:ind w:firstLine="420" w:firstLineChars="200"/>
        <w:rPr>
          <w:rFonts w:hint="eastAsia" w:ascii="宋体" w:hAnsi="宋体" w:cs="宋体"/>
          <w:szCs w:val="21"/>
        </w:rPr>
      </w:pPr>
      <w:r>
        <w:rPr>
          <w:rFonts w:hint="eastAsia" w:ascii="宋体" w:hAnsi="宋体" w:cs="宋体"/>
          <w:szCs w:val="21"/>
        </w:rPr>
        <w:t>在合同履行时，甲方有权对合同中所列的设备及服务予以增加（不超过本合同金额的10%），但不对单价或其他的条款作任何改变。</w:t>
      </w:r>
    </w:p>
    <w:p>
      <w:pPr>
        <w:spacing w:line="360" w:lineRule="auto"/>
        <w:ind w:firstLine="422" w:firstLineChars="200"/>
        <w:rPr>
          <w:rFonts w:hint="eastAsia" w:ascii="宋体" w:hAnsi="宋体" w:cs="宋体"/>
          <w:szCs w:val="21"/>
        </w:rPr>
      </w:pPr>
      <w:r>
        <w:rPr>
          <w:rFonts w:hint="eastAsia" w:ascii="宋体" w:hAnsi="宋体" w:cs="宋体"/>
          <w:b/>
          <w:szCs w:val="21"/>
        </w:rPr>
        <w:t>十、延期交货</w:t>
      </w:r>
    </w:p>
    <w:p>
      <w:pPr>
        <w:spacing w:line="360" w:lineRule="auto"/>
        <w:ind w:firstLine="420" w:firstLineChars="200"/>
        <w:rPr>
          <w:rFonts w:hint="eastAsia" w:ascii="宋体" w:hAnsi="宋体" w:cs="宋体"/>
          <w:szCs w:val="21"/>
        </w:rPr>
      </w:pPr>
      <w:r>
        <w:rPr>
          <w:rFonts w:hint="eastAsia" w:ascii="宋体" w:hAnsi="宋体" w:cs="宋体"/>
          <w:szCs w:val="21"/>
        </w:rPr>
        <w:t>1、在履行合同过程中，如果乙方遇到不能按时交货或不能按时完成系统的安装、调试情况，应及时以书面形式将不能按时交货或不能按时完成系统的安装、调试情况的理由、延误时间通知甲方。甲方收到乙方的通知后，应进行分析，如果同意，可通过修改合同，酌情延长交货时间。</w:t>
      </w:r>
    </w:p>
    <w:p>
      <w:pPr>
        <w:spacing w:line="360" w:lineRule="auto"/>
        <w:ind w:firstLine="420" w:firstLineChars="200"/>
        <w:rPr>
          <w:rFonts w:hint="eastAsia" w:ascii="宋体" w:hAnsi="宋体" w:cs="宋体"/>
          <w:szCs w:val="21"/>
        </w:rPr>
      </w:pPr>
      <w:r>
        <w:rPr>
          <w:rFonts w:hint="eastAsia" w:ascii="宋体" w:hAnsi="宋体" w:cs="宋体"/>
          <w:szCs w:val="21"/>
        </w:rPr>
        <w:t>2、如果乙方无正当理由拖延交货或不按时完成系统的安装、调试，将承担违约损失赔偿。</w:t>
      </w:r>
    </w:p>
    <w:p>
      <w:pPr>
        <w:spacing w:line="360" w:lineRule="auto"/>
        <w:ind w:left="420" w:leftChars="200"/>
        <w:rPr>
          <w:rFonts w:hint="eastAsia" w:ascii="宋体" w:hAnsi="宋体" w:cs="宋体"/>
          <w:szCs w:val="21"/>
        </w:rPr>
      </w:pPr>
      <w:r>
        <w:rPr>
          <w:rFonts w:hint="eastAsia" w:ascii="宋体" w:hAnsi="宋体" w:cs="宋体"/>
          <w:b/>
          <w:szCs w:val="21"/>
        </w:rPr>
        <w:t>十一、违约责任</w:t>
      </w:r>
    </w:p>
    <w:p>
      <w:pPr>
        <w:snapToGrid w:val="0"/>
        <w:spacing w:before="50" w:line="360" w:lineRule="auto"/>
        <w:ind w:firstLine="420"/>
        <w:rPr>
          <w:rFonts w:hint="eastAsia" w:ascii="宋体" w:hAnsi="宋体" w:cs="宋体"/>
          <w:bCs/>
          <w:szCs w:val="21"/>
        </w:rPr>
      </w:pPr>
      <w:r>
        <w:rPr>
          <w:rFonts w:hint="eastAsia" w:ascii="宋体" w:hAnsi="宋体" w:cs="宋体"/>
          <w:bCs/>
          <w:szCs w:val="21"/>
        </w:rPr>
        <w:t>1、如乙方无法如期完成设备安装调试、系统配置、项目验收等情况的，逾期每日向甲方支付合同额的万分之五作为违约金。乙方超过约定日期30个工作日仍不能完成相关服务的，甲方可解除本合同。乙方因未能如期提供相关服务或其他违约行为导致甲方解除合同的，乙方应向甲方支付合同额的10%作为违约金，如造成甲方损失超过违约金的，超出部分由乙方继续承担赔付责任。</w:t>
      </w:r>
    </w:p>
    <w:p>
      <w:pPr>
        <w:snapToGrid w:val="0"/>
        <w:spacing w:before="50" w:line="360" w:lineRule="auto"/>
        <w:ind w:firstLine="420"/>
        <w:rPr>
          <w:rFonts w:hint="eastAsia" w:ascii="宋体" w:hAnsi="宋体" w:cs="宋体"/>
          <w:szCs w:val="21"/>
        </w:rPr>
      </w:pPr>
      <w:r>
        <w:rPr>
          <w:rFonts w:hint="eastAsia" w:ascii="宋体" w:hAnsi="宋体" w:cs="宋体"/>
          <w:bCs/>
          <w:szCs w:val="21"/>
        </w:rPr>
        <w:t>2、若由于甲方的原因致使乙方不能按期安装调试完毕的，乙方不承担相应的违约责任。</w:t>
      </w:r>
    </w:p>
    <w:p>
      <w:pPr>
        <w:snapToGrid w:val="0"/>
        <w:spacing w:before="50" w:line="360" w:lineRule="auto"/>
        <w:ind w:firstLine="420"/>
        <w:rPr>
          <w:rFonts w:hint="eastAsia" w:ascii="宋体" w:hAnsi="宋体" w:cs="宋体"/>
          <w:szCs w:val="21"/>
        </w:rPr>
      </w:pPr>
      <w:r>
        <w:rPr>
          <w:rFonts w:hint="eastAsia" w:ascii="宋体" w:hAnsi="宋体" w:cs="宋体"/>
          <w:bCs/>
          <w:szCs w:val="21"/>
        </w:rPr>
        <w:t>3、经甲乙双方友好协商同意，</w:t>
      </w:r>
      <w:r>
        <w:rPr>
          <w:rFonts w:hint="eastAsia" w:ascii="宋体" w:hAnsi="宋体" w:cs="宋体"/>
          <w:szCs w:val="21"/>
        </w:rPr>
        <w:t>延期交货、安装调试、延期支付资金且无须罚款者可不受上述条款约束。</w:t>
      </w:r>
    </w:p>
    <w:p>
      <w:pPr>
        <w:spacing w:before="50" w:line="360" w:lineRule="auto"/>
        <w:ind w:left="1" w:firstLine="417" w:firstLineChars="199"/>
        <w:rPr>
          <w:rFonts w:hint="eastAsia" w:ascii="宋体" w:hAnsi="宋体" w:cs="宋体"/>
          <w:bCs/>
          <w:szCs w:val="21"/>
        </w:rPr>
      </w:pPr>
      <w:r>
        <w:rPr>
          <w:rFonts w:hint="eastAsia" w:ascii="宋体" w:hAnsi="宋体" w:cs="宋体"/>
          <w:szCs w:val="21"/>
        </w:rPr>
        <w:t>4、在诉讼期间，除正在进行诉讼的部分外，本合同其它部分可继续执行。</w:t>
      </w:r>
    </w:p>
    <w:p>
      <w:pPr>
        <w:spacing w:before="50" w:line="360" w:lineRule="auto"/>
        <w:ind w:left="1" w:firstLine="417" w:firstLineChars="199"/>
        <w:rPr>
          <w:rFonts w:hint="eastAsia" w:ascii="宋体" w:hAnsi="宋体" w:cs="宋体"/>
          <w:bCs/>
          <w:szCs w:val="21"/>
        </w:rPr>
      </w:pPr>
      <w:r>
        <w:rPr>
          <w:rFonts w:hint="eastAsia" w:ascii="宋体" w:hAnsi="宋体" w:cs="宋体"/>
          <w:szCs w:val="21"/>
        </w:rPr>
        <w:t>5、如果在甲方发出索赔通知后10天内，乙方未作答复，上述索赔应视为己被乙方接受。甲方有权在甲方需支付给乙方的合同金额中直接扣除。</w:t>
      </w:r>
    </w:p>
    <w:p>
      <w:pPr>
        <w:spacing w:line="360" w:lineRule="auto"/>
        <w:ind w:firstLine="361" w:firstLineChars="171"/>
        <w:rPr>
          <w:rFonts w:hint="eastAsia" w:ascii="宋体" w:hAnsi="宋体" w:cs="宋体"/>
          <w:szCs w:val="21"/>
        </w:rPr>
      </w:pPr>
      <w:r>
        <w:rPr>
          <w:rFonts w:hint="eastAsia" w:ascii="宋体" w:hAnsi="宋体" w:cs="宋体"/>
          <w:b/>
          <w:szCs w:val="21"/>
        </w:rPr>
        <w:t>十二、争议的解决</w:t>
      </w:r>
    </w:p>
    <w:p>
      <w:pPr>
        <w:spacing w:line="360" w:lineRule="auto"/>
        <w:ind w:firstLine="420" w:firstLineChars="200"/>
        <w:rPr>
          <w:rFonts w:hint="eastAsia" w:ascii="宋体" w:hAnsi="宋体" w:cs="宋体"/>
          <w:szCs w:val="21"/>
        </w:rPr>
      </w:pPr>
      <w:r>
        <w:rPr>
          <w:rFonts w:hint="eastAsia" w:ascii="宋体" w:hAnsi="宋体" w:cs="宋体"/>
          <w:szCs w:val="21"/>
        </w:rPr>
        <w:t>1、甲乙双方应通过友好协商，解决在执行本合同中所发生的或与本合同有关的一切争端，如果协商得不到解决，任何一方均可按《中华人民共和国民法典》规定提交诉讼，诉讼应在甲方所在地进行。</w:t>
      </w:r>
    </w:p>
    <w:p>
      <w:pPr>
        <w:spacing w:line="360" w:lineRule="auto"/>
        <w:ind w:firstLine="420" w:firstLineChars="200"/>
        <w:rPr>
          <w:rFonts w:hint="eastAsia" w:ascii="宋体" w:hAnsi="宋体" w:cs="宋体"/>
          <w:szCs w:val="21"/>
        </w:rPr>
      </w:pPr>
      <w:r>
        <w:rPr>
          <w:rFonts w:hint="eastAsia" w:ascii="宋体" w:hAnsi="宋体" w:cs="宋体"/>
          <w:szCs w:val="21"/>
        </w:rPr>
        <w:t>2、诉讼费应由败诉方负担。</w:t>
      </w:r>
    </w:p>
    <w:p>
      <w:pPr>
        <w:spacing w:line="360" w:lineRule="auto"/>
        <w:ind w:firstLine="422" w:firstLineChars="200"/>
        <w:rPr>
          <w:rFonts w:hint="eastAsia" w:ascii="宋体" w:hAnsi="宋体" w:cs="宋体"/>
          <w:szCs w:val="21"/>
        </w:rPr>
      </w:pPr>
      <w:r>
        <w:rPr>
          <w:rFonts w:hint="eastAsia" w:ascii="宋体" w:hAnsi="宋体" w:cs="宋体"/>
          <w:b/>
          <w:szCs w:val="21"/>
        </w:rPr>
        <w:t>十三、合同修改</w:t>
      </w:r>
    </w:p>
    <w:p>
      <w:pPr>
        <w:spacing w:line="360" w:lineRule="auto"/>
        <w:ind w:firstLine="420" w:firstLineChars="200"/>
        <w:rPr>
          <w:rFonts w:hint="eastAsia" w:ascii="宋体" w:hAnsi="宋体" w:cs="宋体"/>
          <w:szCs w:val="21"/>
        </w:rPr>
      </w:pPr>
      <w:r>
        <w:rPr>
          <w:rFonts w:hint="eastAsia" w:ascii="宋体" w:hAnsi="宋体" w:cs="宋体"/>
          <w:szCs w:val="21"/>
        </w:rPr>
        <w:t>合同条款的任何改动，均须由合同签署双方签署合同修改书或合同补充协议。该合同修改或补充被视为本合同的组成部分，具有与本合同同等法律效力。</w:t>
      </w:r>
    </w:p>
    <w:p>
      <w:pPr>
        <w:spacing w:line="360" w:lineRule="auto"/>
        <w:ind w:firstLine="422" w:firstLineChars="200"/>
        <w:rPr>
          <w:rFonts w:hint="eastAsia" w:ascii="宋体" w:hAnsi="宋体" w:cs="宋体"/>
          <w:szCs w:val="21"/>
        </w:rPr>
      </w:pPr>
      <w:r>
        <w:rPr>
          <w:rFonts w:hint="eastAsia" w:ascii="宋体" w:hAnsi="宋体" w:cs="宋体"/>
          <w:b/>
          <w:szCs w:val="21"/>
        </w:rPr>
        <w:t>十四、不可抗力的处理</w:t>
      </w:r>
    </w:p>
    <w:p>
      <w:pPr>
        <w:spacing w:line="360" w:lineRule="auto"/>
        <w:ind w:firstLine="420" w:firstLineChars="200"/>
        <w:rPr>
          <w:rFonts w:hint="eastAsia" w:ascii="宋体" w:hAnsi="宋体" w:cs="宋体"/>
          <w:szCs w:val="21"/>
        </w:rPr>
      </w:pPr>
      <w:r>
        <w:rPr>
          <w:rFonts w:hint="eastAsia" w:ascii="宋体" w:hAnsi="宋体" w:cs="宋体"/>
          <w:szCs w:val="21"/>
        </w:rPr>
        <w:t>1、在合同有效期内，任何一方因不可抗力事件导致不能履行合同，则合同履行期可延长，其延长期与不可抗力影响期相同。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cs="宋体"/>
          <w:szCs w:val="21"/>
        </w:rPr>
      </w:pPr>
      <w:r>
        <w:rPr>
          <w:rFonts w:hint="eastAsia" w:ascii="宋体" w:hAnsi="宋体" w:cs="宋体"/>
          <w:szCs w:val="21"/>
        </w:rPr>
        <w:t>2、不可抗力的事故发生后尽快通知另一方，将有关部门出具的证明文件用挂号信邮寄或派人送达另一方。</w:t>
      </w:r>
    </w:p>
    <w:p>
      <w:pPr>
        <w:spacing w:line="360" w:lineRule="auto"/>
        <w:ind w:firstLine="422" w:firstLineChars="200"/>
        <w:rPr>
          <w:rFonts w:hint="eastAsia" w:ascii="宋体" w:hAnsi="宋体" w:cs="宋体"/>
          <w:szCs w:val="21"/>
        </w:rPr>
      </w:pPr>
      <w:r>
        <w:rPr>
          <w:rFonts w:hint="eastAsia" w:ascii="宋体" w:hAnsi="宋体" w:cs="宋体"/>
          <w:b/>
          <w:szCs w:val="21"/>
        </w:rPr>
        <w:t>十五、适用法律</w:t>
      </w:r>
    </w:p>
    <w:p>
      <w:pPr>
        <w:spacing w:line="360" w:lineRule="auto"/>
        <w:ind w:firstLine="420" w:firstLineChars="200"/>
        <w:rPr>
          <w:rFonts w:hint="eastAsia" w:ascii="宋体" w:hAnsi="宋体" w:cs="宋体"/>
          <w:szCs w:val="21"/>
        </w:rPr>
      </w:pPr>
      <w:r>
        <w:rPr>
          <w:rFonts w:hint="eastAsia" w:ascii="宋体" w:hAnsi="宋体" w:cs="宋体"/>
          <w:szCs w:val="21"/>
        </w:rPr>
        <w:t>甲乙双方所订立的合同应按照中华人民共和国的法律进行解释。</w:t>
      </w:r>
    </w:p>
    <w:p>
      <w:pPr>
        <w:spacing w:line="360" w:lineRule="auto"/>
        <w:ind w:firstLine="422" w:firstLineChars="200"/>
        <w:rPr>
          <w:rFonts w:hint="eastAsia" w:ascii="宋体" w:hAnsi="宋体" w:cs="宋体"/>
          <w:szCs w:val="21"/>
        </w:rPr>
      </w:pPr>
      <w:r>
        <w:rPr>
          <w:rFonts w:hint="eastAsia" w:ascii="宋体" w:hAnsi="宋体" w:cs="宋体"/>
          <w:b/>
          <w:szCs w:val="21"/>
        </w:rPr>
        <w:t>十六、合同生效及其它</w:t>
      </w:r>
    </w:p>
    <w:p>
      <w:pPr>
        <w:spacing w:line="360" w:lineRule="auto"/>
        <w:ind w:firstLine="420" w:firstLineChars="200"/>
        <w:rPr>
          <w:rFonts w:hint="eastAsia" w:ascii="宋体" w:hAnsi="宋体" w:cs="宋体"/>
          <w:szCs w:val="21"/>
        </w:rPr>
      </w:pPr>
      <w:r>
        <w:rPr>
          <w:rFonts w:hint="eastAsia" w:ascii="宋体" w:hAnsi="宋体" w:cs="宋体"/>
          <w:szCs w:val="21"/>
        </w:rPr>
        <w:t>1、合同经双方法定代表人或授权委托代理人签字并加盖单位公章后生效。</w:t>
      </w:r>
    </w:p>
    <w:p>
      <w:pPr>
        <w:spacing w:line="360" w:lineRule="auto"/>
        <w:ind w:firstLine="420" w:firstLineChars="200"/>
        <w:rPr>
          <w:rFonts w:hint="eastAsia" w:ascii="宋体" w:hAnsi="宋体" w:cs="宋体"/>
          <w:szCs w:val="21"/>
        </w:rPr>
      </w:pPr>
      <w:r>
        <w:rPr>
          <w:rFonts w:hint="eastAsia" w:ascii="宋体" w:hAnsi="宋体" w:cs="宋体"/>
          <w:szCs w:val="21"/>
        </w:rPr>
        <w:t>2、合同执行中涉及采购资金和采购内容修改或补充的，须经财政部门审批，并签书面补充协议报财政部门备案，方可作为主合同不可分割的一部分。</w:t>
      </w:r>
    </w:p>
    <w:p>
      <w:pPr>
        <w:spacing w:line="360" w:lineRule="auto"/>
        <w:ind w:firstLine="420" w:firstLineChars="200"/>
        <w:rPr>
          <w:rFonts w:hint="eastAsia" w:ascii="宋体" w:hAnsi="宋体" w:cs="宋体"/>
          <w:szCs w:val="21"/>
        </w:rPr>
      </w:pPr>
      <w:r>
        <w:rPr>
          <w:rFonts w:hint="eastAsia" w:ascii="宋体" w:hAnsi="宋体" w:cs="宋体"/>
          <w:szCs w:val="21"/>
        </w:rPr>
        <w:t>3、本合同未尽事宜，遵照《中华人民共和国民法典》有关条文执行。</w:t>
      </w:r>
    </w:p>
    <w:p>
      <w:pPr>
        <w:spacing w:line="360" w:lineRule="auto"/>
        <w:ind w:firstLine="420" w:firstLineChars="200"/>
        <w:rPr>
          <w:rFonts w:hint="eastAsia" w:ascii="宋体" w:hAnsi="宋体" w:cs="宋体"/>
          <w:szCs w:val="21"/>
        </w:rPr>
      </w:pPr>
      <w:r>
        <w:rPr>
          <w:rFonts w:hint="eastAsia" w:ascii="宋体" w:hAnsi="宋体" w:cs="宋体"/>
          <w:szCs w:val="21"/>
        </w:rPr>
        <w:t>4、本合同正本一式X份，具有同等法律效力，甲乙双方各执X份，招标代理机构执1份。</w:t>
      </w:r>
    </w:p>
    <w:p>
      <w:pPr>
        <w:spacing w:line="360" w:lineRule="auto"/>
        <w:ind w:firstLine="422" w:firstLineChars="200"/>
        <w:rPr>
          <w:rFonts w:ascii="宋体" w:hAnsi="宋体" w:cs="宋体"/>
          <w:b/>
          <w:bCs/>
          <w:szCs w:val="21"/>
        </w:rPr>
      </w:pPr>
    </w:p>
    <w:p>
      <w:pPr>
        <w:spacing w:line="360" w:lineRule="auto"/>
        <w:ind w:firstLine="420" w:firstLineChars="200"/>
        <w:rPr>
          <w:rFonts w:hint="eastAsia" w:ascii="宋体" w:hAnsi="宋体" w:cs="宋体"/>
          <w:szCs w:val="21"/>
        </w:rPr>
      </w:pPr>
      <w:r>
        <w:rPr>
          <w:rFonts w:hint="eastAsia" w:ascii="宋体" w:hAnsi="宋体" w:cs="宋体"/>
          <w:szCs w:val="21"/>
        </w:rPr>
        <w:t xml:space="preserve">甲方：（盖章）                                 乙方：（盖章） </w:t>
      </w:r>
    </w:p>
    <w:p>
      <w:pPr>
        <w:spacing w:line="360" w:lineRule="auto"/>
        <w:ind w:firstLine="420" w:firstLineChars="200"/>
        <w:rPr>
          <w:rFonts w:hint="eastAsia" w:ascii="宋体" w:hAnsi="宋体" w:cs="宋体"/>
          <w:szCs w:val="21"/>
        </w:rPr>
      </w:pPr>
      <w:r>
        <w:rPr>
          <w:rFonts w:hint="eastAsia" w:ascii="宋体" w:hAnsi="宋体" w:cs="宋体"/>
          <w:szCs w:val="21"/>
        </w:rPr>
        <w:t xml:space="preserve">地址：                                         地址： </w:t>
      </w:r>
    </w:p>
    <w:p>
      <w:pPr>
        <w:spacing w:line="360" w:lineRule="auto"/>
        <w:ind w:firstLine="420" w:firstLineChars="200"/>
        <w:rPr>
          <w:rFonts w:hint="eastAsia" w:ascii="宋体" w:hAnsi="宋体" w:cs="宋体"/>
          <w:szCs w:val="21"/>
        </w:rPr>
      </w:pPr>
      <w:r>
        <w:rPr>
          <w:rFonts w:hint="eastAsia" w:ascii="宋体" w:hAnsi="宋体" w:cs="宋体"/>
          <w:szCs w:val="21"/>
        </w:rPr>
        <w:t>法定代表人或授权签字代表：（签字）             法定代表人或授权签字代表：（签字）</w:t>
      </w:r>
    </w:p>
    <w:p>
      <w:pPr>
        <w:spacing w:line="360" w:lineRule="auto"/>
        <w:ind w:firstLine="420" w:firstLineChars="200"/>
        <w:rPr>
          <w:rFonts w:hint="eastAsia" w:ascii="宋体" w:hAnsi="宋体" w:cs="宋体"/>
          <w:szCs w:val="21"/>
        </w:rPr>
      </w:pPr>
      <w:r>
        <w:rPr>
          <w:rFonts w:hint="eastAsia" w:ascii="宋体" w:hAnsi="宋体" w:cs="宋体"/>
          <w:szCs w:val="21"/>
        </w:rPr>
        <w:t>签订日期：   年  月  日                        签订日期：   年  月  日</w:t>
      </w:r>
    </w:p>
    <w:p>
      <w:pPr>
        <w:spacing w:line="360" w:lineRule="auto"/>
        <w:ind w:firstLine="420" w:firstLineChars="200"/>
        <w:rPr>
          <w:rFonts w:hint="eastAsia" w:ascii="宋体" w:hAnsi="宋体" w:cs="宋体"/>
          <w:szCs w:val="21"/>
        </w:rPr>
      </w:pPr>
      <w:r>
        <w:rPr>
          <w:rFonts w:hint="eastAsia" w:ascii="宋体" w:hAnsi="宋体" w:cs="宋体"/>
          <w:szCs w:val="21"/>
        </w:rPr>
        <w:t>甲方收款银行：                                 乙方收款银行：</w:t>
      </w:r>
    </w:p>
    <w:p>
      <w:pPr>
        <w:spacing w:line="360" w:lineRule="auto"/>
        <w:ind w:firstLine="420" w:firstLineChars="200"/>
        <w:rPr>
          <w:rFonts w:hint="eastAsia" w:ascii="宋体" w:hAnsi="宋体" w:cs="宋体"/>
          <w:szCs w:val="21"/>
        </w:rPr>
      </w:pPr>
      <w:r>
        <w:rPr>
          <w:rFonts w:hint="eastAsia" w:ascii="宋体" w:hAnsi="宋体" w:cs="宋体"/>
          <w:szCs w:val="21"/>
        </w:rPr>
        <w:t>甲方收款开户账号：                             乙方收款开户账号：</w:t>
      </w:r>
    </w:p>
    <w:p>
      <w:pPr>
        <w:spacing w:line="360" w:lineRule="auto"/>
        <w:contextualSpacing/>
        <w:rPr>
          <w:rFonts w:hint="eastAsia" w:ascii="宋体" w:hAnsi="宋体" w:cs="宋体"/>
          <w:szCs w:val="21"/>
        </w:rPr>
      </w:pPr>
    </w:p>
    <w:p>
      <w:pPr>
        <w:spacing w:line="360" w:lineRule="auto"/>
        <w:contextualSpacing/>
        <w:rPr>
          <w:rFonts w:hint="eastAsia" w:ascii="宋体" w:hAnsi="宋体" w:cs="宋体"/>
          <w:szCs w:val="21"/>
        </w:rPr>
      </w:pPr>
    </w:p>
    <w:p>
      <w:pPr>
        <w:spacing w:line="360" w:lineRule="auto"/>
        <w:ind w:firstLine="420" w:firstLineChars="200"/>
        <w:contextualSpacing/>
        <w:rPr>
          <w:rFonts w:hint="eastAsia" w:ascii="宋体" w:hAnsi="宋体" w:cs="宋体"/>
          <w:szCs w:val="21"/>
        </w:rPr>
      </w:pPr>
      <w:r>
        <w:rPr>
          <w:rFonts w:hint="eastAsia" w:ascii="宋体" w:hAnsi="宋体" w:cs="宋体"/>
          <w:szCs w:val="21"/>
        </w:rPr>
        <w:t>鉴证方：（盖章）</w:t>
      </w:r>
    </w:p>
    <w:p>
      <w:pPr>
        <w:spacing w:line="360" w:lineRule="auto"/>
        <w:contextualSpacing/>
        <w:rPr>
          <w:rFonts w:hint="eastAsia" w:ascii="宋体" w:hAnsi="宋体" w:cs="宋体"/>
          <w:szCs w:val="21"/>
        </w:rPr>
      </w:pPr>
    </w:p>
    <w:p>
      <w:pPr>
        <w:spacing w:line="360" w:lineRule="auto"/>
        <w:contextualSpacing/>
        <w:rPr>
          <w:rFonts w:hint="eastAsia" w:ascii="宋体" w:hAnsi="宋体" w:cs="宋体"/>
          <w:szCs w:val="21"/>
        </w:rPr>
      </w:pPr>
    </w:p>
    <w:p>
      <w:pPr>
        <w:snapToGrid w:val="0"/>
        <w:spacing w:line="420" w:lineRule="atLeast"/>
        <w:rPr>
          <w:rFonts w:hint="eastAsia" w:ascii="宋体" w:cs="宋体"/>
          <w:color w:val="000000"/>
          <w:szCs w:val="21"/>
        </w:rPr>
      </w:pPr>
      <w:r>
        <w:rPr>
          <w:rFonts w:hint="eastAsia" w:ascii="宋体" w:cs="宋体"/>
          <w:color w:val="000000"/>
          <w:szCs w:val="21"/>
        </w:rPr>
        <w:t>注意事项：</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1.用于政府采购信用融资的政府采购合同：</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（1）应当包含如下条款：</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“第   条：政府采购合同贷款</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本合同同时用于乙方向      银行（金融机构）申请政府采购信用贷款。</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本合同一经签订，原则上不得更改乙方收款账户信息。确须更改的，乙方应取得原合同收款账户开户银行书面同意，否则修改后的合同不予备案，采购资金不予支付。”</w:t>
      </w:r>
    </w:p>
    <w:p>
      <w:pPr>
        <w:snapToGrid w:val="0"/>
        <w:spacing w:line="420" w:lineRule="atLeast"/>
        <w:ind w:firstLine="420" w:firstLineChars="200"/>
        <w:rPr>
          <w:rFonts w:hint="eastAsia" w:ascii="宋体" w:cs="宋体"/>
          <w:color w:val="000000"/>
          <w:szCs w:val="21"/>
        </w:rPr>
      </w:pPr>
      <w:r>
        <w:rPr>
          <w:rFonts w:hint="eastAsia" w:ascii="宋体" w:cs="宋体"/>
          <w:color w:val="000000"/>
          <w:szCs w:val="21"/>
        </w:rPr>
        <w:t>（2）中标供应商需确保政府采购合同的收款账户与融资银行开户账户一致。</w:t>
      </w:r>
    </w:p>
    <w:p>
      <w:pPr>
        <w:spacing w:line="360" w:lineRule="auto"/>
        <w:ind w:firstLine="422" w:firstLineChars="200"/>
        <w:rPr>
          <w:rFonts w:ascii="宋体" w:hAnsi="宋体" w:cs="宋体"/>
          <w:kern w:val="0"/>
          <w:szCs w:val="21"/>
        </w:rPr>
      </w:pPr>
      <w:r>
        <w:rPr>
          <w:rFonts w:hint="eastAsia" w:ascii="宋体" w:cs="宋体"/>
          <w:b/>
          <w:bCs/>
          <w:color w:val="000000"/>
          <w:szCs w:val="21"/>
        </w:rPr>
        <w:t>2.依据《政府采购促进中小企业发展管理办法》（财库[2020]46号）规定享受扶持政策获得政府采购合同的，小微企业不得将合同分包给大中型企业，中型企业不得将合同分包给大型企业。</w:t>
      </w:r>
    </w:p>
    <w:p>
      <w:pPr>
        <w:spacing w:line="360" w:lineRule="auto"/>
        <w:contextualSpacing/>
        <w:rPr>
          <w:rFonts w:hint="eastAsia" w:ascii="宋体" w:hAnsi="宋体" w:cs="宋体"/>
          <w:szCs w:val="21"/>
        </w:rPr>
      </w:pPr>
    </w:p>
    <w:p>
      <w:pPr>
        <w:snapToGrid w:val="0"/>
        <w:spacing w:line="360" w:lineRule="auto"/>
        <w:jc w:val="center"/>
        <w:outlineLvl w:val="0"/>
        <w:rPr>
          <w:rFonts w:hint="eastAsia" w:ascii="宋体" w:hAnsi="宋体" w:cs="宋体"/>
          <w:b/>
          <w:sz w:val="28"/>
          <w:szCs w:val="28"/>
        </w:rPr>
      </w:pPr>
      <w:r>
        <w:rPr>
          <w:rFonts w:ascii="宋体" w:hAnsi="宋体" w:cs="宋体"/>
          <w:b/>
          <w:sz w:val="28"/>
          <w:szCs w:val="28"/>
        </w:rPr>
        <w:br w:type="page"/>
      </w:r>
      <w:r>
        <w:rPr>
          <w:rFonts w:hint="eastAsia" w:ascii="宋体" w:hAnsi="宋体" w:cs="宋体"/>
          <w:b/>
          <w:sz w:val="28"/>
          <w:szCs w:val="28"/>
        </w:rPr>
        <w:t>第六章  投标文件组成</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投标文件由投标报价文件、资格证明文件、商务文件、技术文件组成。投标文件中涉及的有关内容均须提供合法有效的证明材料复印件。（复印件未加盖公章作无效处理，特别注明的除外，有▲标识的条款为必须提交的资料）</w:t>
      </w:r>
    </w:p>
    <w:p>
      <w:pPr>
        <w:snapToGrid w:val="0"/>
        <w:spacing w:line="360" w:lineRule="auto"/>
        <w:jc w:val="left"/>
        <w:rPr>
          <w:rFonts w:hint="eastAsia" w:ascii="宋体" w:hAnsi="宋体" w:cs="宋体"/>
          <w:b/>
          <w:szCs w:val="21"/>
        </w:rPr>
      </w:pPr>
      <w:r>
        <w:rPr>
          <w:rFonts w:hint="eastAsia" w:ascii="宋体" w:hAnsi="宋体" w:cs="宋体"/>
          <w:b/>
          <w:szCs w:val="21"/>
        </w:rPr>
        <w:t>1、投标报价文件部分</w:t>
      </w:r>
    </w:p>
    <w:p>
      <w:pPr>
        <w:snapToGrid w:val="0"/>
        <w:spacing w:line="360" w:lineRule="auto"/>
        <w:jc w:val="left"/>
        <w:rPr>
          <w:rFonts w:hint="eastAsia" w:ascii="宋体" w:hAnsi="宋体" w:cs="宋体"/>
          <w:b/>
          <w:szCs w:val="21"/>
        </w:rPr>
      </w:pPr>
      <w:r>
        <w:rPr>
          <w:rFonts w:hint="eastAsia" w:ascii="宋体" w:hAnsi="宋体" w:cs="宋体"/>
          <w:b/>
          <w:szCs w:val="21"/>
        </w:rPr>
        <w:t>（投标报价信息不得出现在资格证明、商务、技术文件中，否则将导致投标无效。）</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▲1.1开标一览表；（格式一）</w:t>
      </w:r>
    </w:p>
    <w:p>
      <w:pPr>
        <w:snapToGrid w:val="0"/>
        <w:spacing w:line="360" w:lineRule="auto"/>
        <w:ind w:firstLine="422" w:firstLineChars="200"/>
        <w:rPr>
          <w:rFonts w:ascii="宋体" w:hAnsi="宋体" w:cs="宋体"/>
          <w:b/>
          <w:szCs w:val="21"/>
        </w:rPr>
      </w:pPr>
      <w:r>
        <w:rPr>
          <w:rFonts w:hint="eastAsia" w:ascii="宋体" w:hAnsi="宋体" w:cs="宋体"/>
          <w:b/>
          <w:szCs w:val="21"/>
        </w:rPr>
        <w:t>▲1.2报价明细表；（格式二）</w:t>
      </w:r>
    </w:p>
    <w:p>
      <w:pPr>
        <w:snapToGrid w:val="0"/>
        <w:spacing w:line="360" w:lineRule="auto"/>
        <w:ind w:firstLine="420" w:firstLineChars="200"/>
        <w:rPr>
          <w:rFonts w:hint="eastAsia" w:ascii="宋体" w:hAnsi="宋体" w:cs="宋体"/>
          <w:szCs w:val="21"/>
        </w:rPr>
      </w:pPr>
      <w:r>
        <w:rPr>
          <w:rFonts w:hint="eastAsia" w:ascii="宋体" w:hAnsi="宋体" w:cs="宋体"/>
          <w:szCs w:val="21"/>
        </w:rPr>
        <w:t>1.3享受评审中价格扣除政策相关证明文件（符合以下三个子项中的任意一项要求即可）。</w:t>
      </w:r>
    </w:p>
    <w:p>
      <w:pPr>
        <w:snapToGrid w:val="0"/>
        <w:spacing w:line="360" w:lineRule="auto"/>
        <w:ind w:firstLine="420" w:firstLineChars="200"/>
        <w:rPr>
          <w:rFonts w:hint="eastAsia" w:ascii="宋体" w:hAnsi="宋体" w:cs="宋体"/>
          <w:szCs w:val="21"/>
        </w:rPr>
      </w:pPr>
      <w:r>
        <w:rPr>
          <w:rFonts w:hint="eastAsia" w:ascii="宋体" w:hAnsi="宋体" w:cs="宋体"/>
          <w:szCs w:val="21"/>
        </w:rPr>
        <w:t>1.3.1小微企业：《中小企业声明函》（格式三）</w:t>
      </w:r>
    </w:p>
    <w:p>
      <w:pPr>
        <w:snapToGrid w:val="0"/>
        <w:spacing w:line="360" w:lineRule="auto"/>
        <w:ind w:firstLine="420" w:firstLineChars="200"/>
        <w:rPr>
          <w:rFonts w:hint="eastAsia" w:ascii="宋体" w:hAnsi="宋体" w:cs="宋体"/>
          <w:szCs w:val="21"/>
        </w:rPr>
      </w:pPr>
      <w:r>
        <w:rPr>
          <w:rFonts w:hint="eastAsia" w:ascii="宋体" w:hAnsi="宋体" w:cs="宋体"/>
          <w:szCs w:val="21"/>
        </w:rPr>
        <w:t>1.3.2监狱企业：由省级以上监狱管理局、戒毒管理局（含新疆生产建设兵团）出具的属于监狱企业的证明文件</w:t>
      </w:r>
    </w:p>
    <w:p>
      <w:pPr>
        <w:snapToGrid w:val="0"/>
        <w:spacing w:line="360" w:lineRule="auto"/>
        <w:ind w:firstLine="420" w:firstLineChars="200"/>
        <w:rPr>
          <w:rFonts w:hint="eastAsia" w:ascii="宋体" w:hAnsi="宋体" w:cs="宋体"/>
          <w:szCs w:val="21"/>
        </w:rPr>
      </w:pPr>
      <w:r>
        <w:rPr>
          <w:rFonts w:hint="eastAsia" w:ascii="宋体" w:hAnsi="宋体" w:cs="宋体"/>
          <w:szCs w:val="21"/>
        </w:rPr>
        <w:t>1.3.3残疾人福利性单位：《残疾人福利性单位声明函》（格式四）</w:t>
      </w:r>
    </w:p>
    <w:p>
      <w:pPr>
        <w:snapToGrid w:val="0"/>
        <w:spacing w:line="360" w:lineRule="auto"/>
        <w:rPr>
          <w:rFonts w:hint="eastAsia" w:ascii="宋体" w:hAnsi="宋体" w:cs="宋体"/>
          <w:b/>
          <w:szCs w:val="21"/>
        </w:rPr>
      </w:pPr>
      <w:r>
        <w:rPr>
          <w:rFonts w:hint="eastAsia" w:ascii="宋体" w:hAnsi="宋体" w:cs="宋体"/>
          <w:b/>
          <w:szCs w:val="21"/>
        </w:rPr>
        <w:t>▲2、资格证明文件部分</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ascii="宋体" w:hAnsi="宋体" w:cs="宋体"/>
          <w:b/>
          <w:szCs w:val="21"/>
        </w:rPr>
        <w:t>1</w:t>
      </w:r>
      <w:r>
        <w:rPr>
          <w:rFonts w:hint="eastAsia" w:ascii="宋体" w:hAnsi="宋体" w:cs="宋体"/>
          <w:b/>
          <w:szCs w:val="21"/>
        </w:rPr>
        <w:t>投标人 “多证合一”的营业执照复印件；</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ascii="宋体" w:hAnsi="宋体" w:cs="宋体"/>
          <w:b/>
          <w:szCs w:val="21"/>
        </w:rPr>
        <w:t>2</w:t>
      </w:r>
      <w:r>
        <w:rPr>
          <w:rFonts w:hint="eastAsia" w:ascii="宋体" w:hAnsi="宋体" w:cs="宋体"/>
          <w:b/>
          <w:szCs w:val="21"/>
        </w:rPr>
        <w:t>投标人财务状况相关报告相关材料（主要为资产负债表、利润表等）；</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ascii="宋体" w:hAnsi="宋体" w:cs="宋体"/>
          <w:b/>
          <w:szCs w:val="21"/>
        </w:rPr>
        <w:t>3</w:t>
      </w:r>
      <w:r>
        <w:rPr>
          <w:rFonts w:hint="eastAsia" w:ascii="宋体" w:hAnsi="宋体" w:cs="宋体"/>
          <w:b/>
          <w:szCs w:val="21"/>
        </w:rPr>
        <w:t>投标人法定代表人身份证复印件；</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ascii="宋体" w:hAnsi="宋体" w:cs="宋体"/>
          <w:b/>
          <w:szCs w:val="21"/>
        </w:rPr>
        <w:t>4</w:t>
      </w:r>
      <w:r>
        <w:rPr>
          <w:rFonts w:hint="eastAsia" w:ascii="宋体" w:hAnsi="宋体" w:cs="宋体"/>
          <w:b/>
          <w:szCs w:val="21"/>
        </w:rPr>
        <w:t>投标函；（格式五）</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ascii="宋体" w:hAnsi="宋体" w:cs="宋体"/>
          <w:b/>
          <w:szCs w:val="21"/>
        </w:rPr>
        <w:t>5</w:t>
      </w:r>
      <w:r>
        <w:rPr>
          <w:rFonts w:hint="eastAsia" w:ascii="宋体" w:hAnsi="宋体" w:cs="宋体"/>
          <w:b/>
          <w:szCs w:val="21"/>
        </w:rPr>
        <w:t>法定代表人授权函，非法定代表人参加投标时提供；（格式六）</w:t>
      </w:r>
    </w:p>
    <w:p>
      <w:pPr>
        <w:snapToGrid w:val="0"/>
        <w:spacing w:line="360" w:lineRule="auto"/>
        <w:ind w:firstLine="417" w:firstLineChars="198"/>
        <w:rPr>
          <w:rFonts w:hint="eastAsia" w:ascii="宋体" w:hAnsi="宋体" w:cs="宋体"/>
          <w:b/>
          <w:szCs w:val="21"/>
        </w:rPr>
      </w:pPr>
      <w:r>
        <w:rPr>
          <w:rFonts w:hint="eastAsia" w:ascii="宋体" w:hAnsi="宋体" w:cs="宋体"/>
          <w:b/>
          <w:szCs w:val="21"/>
        </w:rPr>
        <w:t>2.</w:t>
      </w:r>
      <w:r>
        <w:rPr>
          <w:rFonts w:ascii="宋体" w:hAnsi="宋体" w:cs="宋体"/>
          <w:b/>
          <w:szCs w:val="21"/>
        </w:rPr>
        <w:t>6</w:t>
      </w:r>
      <w:r>
        <w:rPr>
          <w:rFonts w:hint="eastAsia" w:ascii="宋体" w:hAnsi="宋体" w:cs="宋体"/>
          <w:b/>
          <w:szCs w:val="21"/>
        </w:rPr>
        <w:t>投标人代表身份证复印件，非法定代表人参加投标时提供</w:t>
      </w:r>
      <w:r>
        <w:rPr>
          <w:rFonts w:ascii="宋体" w:hAnsi="宋体" w:cs="宋体"/>
          <w:b/>
          <w:szCs w:val="21"/>
        </w:rPr>
        <w:t>。</w:t>
      </w:r>
    </w:p>
    <w:p>
      <w:pPr>
        <w:snapToGrid w:val="0"/>
        <w:spacing w:line="360" w:lineRule="auto"/>
        <w:rPr>
          <w:rFonts w:hint="eastAsia" w:ascii="宋体" w:hAnsi="宋体" w:cs="宋体"/>
          <w:b/>
          <w:szCs w:val="21"/>
        </w:rPr>
      </w:pPr>
      <w:r>
        <w:rPr>
          <w:rFonts w:hint="eastAsia" w:ascii="宋体" w:hAnsi="宋体" w:cs="宋体"/>
          <w:b/>
          <w:szCs w:val="21"/>
        </w:rPr>
        <w:t>3、商务技术文件部分</w:t>
      </w:r>
    </w:p>
    <w:p>
      <w:pPr>
        <w:snapToGrid w:val="0"/>
        <w:spacing w:line="360" w:lineRule="auto"/>
        <w:ind w:firstLine="417" w:firstLineChars="198"/>
        <w:rPr>
          <w:rFonts w:hint="eastAsia" w:ascii="宋体" w:hAnsi="宋体" w:cs="宋体"/>
          <w:b/>
          <w:bCs/>
          <w:szCs w:val="21"/>
        </w:rPr>
      </w:pPr>
      <w:r>
        <w:rPr>
          <w:rFonts w:hint="eastAsia" w:ascii="宋体" w:hAnsi="宋体" w:cs="宋体"/>
          <w:b/>
          <w:bCs/>
          <w:szCs w:val="21"/>
        </w:rPr>
        <w:t>▲3.</w:t>
      </w:r>
      <w:r>
        <w:rPr>
          <w:rFonts w:ascii="宋体" w:hAnsi="宋体" w:cs="宋体"/>
          <w:b/>
          <w:bCs/>
          <w:szCs w:val="21"/>
        </w:rPr>
        <w:t>1</w:t>
      </w:r>
      <w:r>
        <w:rPr>
          <w:rFonts w:hint="eastAsia" w:ascii="宋体" w:hAnsi="宋体" w:cs="宋体"/>
          <w:b/>
          <w:bCs/>
          <w:szCs w:val="21"/>
        </w:rPr>
        <w:t>投标产品清单表；（格式七）</w:t>
      </w:r>
    </w:p>
    <w:p>
      <w:pPr>
        <w:snapToGrid w:val="0"/>
        <w:spacing w:line="360" w:lineRule="auto"/>
        <w:ind w:firstLine="417" w:firstLineChars="198"/>
        <w:rPr>
          <w:rFonts w:hint="eastAsia" w:ascii="宋体" w:hAnsi="宋体" w:cs="宋体"/>
          <w:b/>
          <w:bCs/>
          <w:szCs w:val="21"/>
        </w:rPr>
      </w:pPr>
      <w:r>
        <w:rPr>
          <w:rFonts w:hint="eastAsia" w:ascii="宋体" w:hAnsi="宋体" w:cs="宋体"/>
          <w:b/>
          <w:bCs/>
          <w:szCs w:val="21"/>
        </w:rPr>
        <w:t>▲3.</w:t>
      </w:r>
      <w:r>
        <w:rPr>
          <w:rFonts w:ascii="宋体" w:hAnsi="宋体" w:cs="宋体"/>
          <w:b/>
          <w:bCs/>
          <w:szCs w:val="21"/>
        </w:rPr>
        <w:t>2</w:t>
      </w:r>
      <w:r>
        <w:rPr>
          <w:rFonts w:hint="eastAsia" w:ascii="宋体" w:hAnsi="宋体" w:cs="宋体"/>
          <w:b/>
          <w:bCs/>
          <w:szCs w:val="21"/>
          <w:lang w:val="en-US" w:eastAsia="zh-CN"/>
        </w:rPr>
        <w:t>成品硬件部分技术参数偏离</w:t>
      </w:r>
      <w:r>
        <w:rPr>
          <w:rFonts w:hint="eastAsia" w:ascii="宋体" w:hAnsi="宋体" w:cs="宋体"/>
          <w:b/>
          <w:bCs/>
          <w:szCs w:val="21"/>
        </w:rPr>
        <w:t>表；（格式八）</w:t>
      </w:r>
    </w:p>
    <w:p>
      <w:pPr>
        <w:snapToGrid w:val="0"/>
        <w:spacing w:line="360" w:lineRule="auto"/>
        <w:ind w:firstLine="417" w:firstLineChars="198"/>
        <w:rPr>
          <w:rFonts w:hint="eastAsia" w:ascii="宋体" w:hAnsi="宋体" w:cs="宋体"/>
          <w:szCs w:val="21"/>
        </w:rPr>
      </w:pPr>
      <w:r>
        <w:rPr>
          <w:rFonts w:hint="eastAsia" w:ascii="宋体" w:hAnsi="宋体" w:eastAsia="宋体" w:cs="宋体"/>
          <w:b/>
          <w:bCs/>
          <w:szCs w:val="21"/>
        </w:rPr>
        <w:t>▲3.</w:t>
      </w:r>
      <w:r>
        <w:rPr>
          <w:rFonts w:hint="eastAsia" w:ascii="宋体" w:hAnsi="宋体" w:eastAsia="宋体" w:cs="宋体"/>
          <w:b/>
          <w:bCs/>
          <w:szCs w:val="21"/>
          <w:lang w:val="en-US" w:eastAsia="zh-CN"/>
        </w:rPr>
        <w:t>3商务要求响应表</w:t>
      </w:r>
      <w:r>
        <w:rPr>
          <w:rFonts w:hint="eastAsia" w:ascii="宋体" w:hAnsi="宋体" w:eastAsia="宋体" w:cs="宋体"/>
          <w:b/>
          <w:bCs/>
          <w:szCs w:val="21"/>
        </w:rPr>
        <w:t>；（格式</w:t>
      </w:r>
      <w:r>
        <w:rPr>
          <w:rFonts w:hint="eastAsia" w:ascii="宋体" w:hAnsi="宋体" w:eastAsia="宋体" w:cs="宋体"/>
          <w:b/>
          <w:bCs/>
          <w:szCs w:val="21"/>
          <w:lang w:val="en-US" w:eastAsia="zh-CN"/>
        </w:rPr>
        <w:t>九</w:t>
      </w:r>
      <w:r>
        <w:rPr>
          <w:rFonts w:hint="eastAsia" w:ascii="宋体" w:hAnsi="宋体" w:eastAsia="宋体" w:cs="宋体"/>
          <w:b/>
          <w:bCs/>
          <w:szCs w:val="21"/>
        </w:rPr>
        <w:t>）</w:t>
      </w:r>
    </w:p>
    <w:p>
      <w:pPr>
        <w:snapToGrid w:val="0"/>
        <w:spacing w:line="360" w:lineRule="auto"/>
        <w:ind w:firstLine="415" w:firstLineChars="198"/>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4</w:t>
      </w:r>
      <w:r>
        <w:rPr>
          <w:rFonts w:hint="eastAsia" w:ascii="宋体" w:hAnsi="宋体" w:cs="宋体"/>
          <w:szCs w:val="21"/>
        </w:rPr>
        <w:t>评分标准页码索引；</w:t>
      </w:r>
    </w:p>
    <w:p>
      <w:pPr>
        <w:snapToGrid w:val="0"/>
        <w:spacing w:line="360" w:lineRule="auto"/>
        <w:ind w:firstLine="415" w:firstLineChars="198"/>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5</w:t>
      </w:r>
      <w:r>
        <w:rPr>
          <w:rFonts w:hint="eastAsia" w:ascii="宋体" w:hAnsi="宋体" w:cs="宋体"/>
          <w:szCs w:val="21"/>
        </w:rPr>
        <w:t>投标人及投标产品简介；</w:t>
      </w:r>
    </w:p>
    <w:p>
      <w:pPr>
        <w:snapToGrid w:val="0"/>
        <w:spacing w:line="360" w:lineRule="auto"/>
        <w:ind w:firstLine="415" w:firstLineChars="198"/>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6</w:t>
      </w:r>
      <w:r>
        <w:rPr>
          <w:rFonts w:hint="eastAsia" w:ascii="宋体" w:hAnsi="宋体" w:cs="宋体"/>
          <w:szCs w:val="21"/>
        </w:rPr>
        <w:t>按评分标准依序提供相关材料、方案；（格式</w:t>
      </w:r>
      <w:r>
        <w:rPr>
          <w:rFonts w:hint="eastAsia" w:ascii="宋体" w:hAnsi="宋体" w:cs="宋体"/>
          <w:szCs w:val="21"/>
          <w:lang w:val="en-US" w:eastAsia="zh-CN"/>
        </w:rPr>
        <w:t>十</w:t>
      </w:r>
      <w:r>
        <w:rPr>
          <w:rFonts w:hint="eastAsia" w:ascii="宋体" w:hAnsi="宋体" w:cs="宋体"/>
          <w:szCs w:val="21"/>
        </w:rPr>
        <w:t>-十</w:t>
      </w:r>
      <w:r>
        <w:rPr>
          <w:rFonts w:hint="eastAsia" w:ascii="宋体" w:hAnsi="宋体" w:cs="宋体"/>
          <w:szCs w:val="21"/>
          <w:lang w:val="en-US" w:eastAsia="zh-CN"/>
        </w:rPr>
        <w:t>二</w:t>
      </w:r>
      <w:r>
        <w:rPr>
          <w:rFonts w:hint="eastAsia" w:ascii="宋体" w:hAnsi="宋体" w:cs="宋体"/>
          <w:szCs w:val="21"/>
        </w:rPr>
        <w:t>）</w:t>
      </w:r>
    </w:p>
    <w:p>
      <w:pPr>
        <w:snapToGrid w:val="0"/>
        <w:spacing w:line="360" w:lineRule="auto"/>
        <w:ind w:firstLine="415" w:firstLineChars="198"/>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7</w:t>
      </w:r>
      <w:r>
        <w:rPr>
          <w:rFonts w:hint="eastAsia" w:ascii="宋体" w:hAnsi="宋体" w:cs="宋体"/>
          <w:szCs w:val="21"/>
        </w:rPr>
        <w:t>本招标文件要求提供的和投标人认为需要提供的其它说明和资料/文件。</w:t>
      </w:r>
    </w:p>
    <w:p>
      <w:pPr>
        <w:snapToGrid w:val="0"/>
        <w:spacing w:before="120" w:after="120" w:line="360" w:lineRule="auto"/>
        <w:jc w:val="center"/>
        <w:outlineLvl w:val="0"/>
        <w:rPr>
          <w:rFonts w:hint="eastAsia"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投标文件格式</w:t>
      </w:r>
    </w:p>
    <w:p>
      <w:pPr>
        <w:snapToGrid w:val="0"/>
        <w:spacing w:before="50" w:after="50"/>
        <w:rPr>
          <w:rFonts w:hint="eastAsia" w:ascii="宋体" w:hAnsi="宋体" w:cs="宋体"/>
          <w:b/>
          <w:spacing w:val="20"/>
          <w:szCs w:val="21"/>
        </w:rPr>
      </w:pPr>
      <w:r>
        <w:rPr>
          <w:rFonts w:hint="eastAsia" w:ascii="宋体" w:hAnsi="宋体" w:cs="宋体"/>
          <w:b/>
          <w:spacing w:val="20"/>
          <w:szCs w:val="21"/>
        </w:rPr>
        <w:t>格式一、开标一览表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1"/>
        <w:gridCol w:w="7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1" w:type="dxa"/>
            <w:noWrap w:val="0"/>
            <w:vAlign w:val="center"/>
          </w:tcPr>
          <w:p>
            <w:pPr>
              <w:spacing w:before="240" w:after="240"/>
              <w:jc w:val="center"/>
              <w:rPr>
                <w:rFonts w:hint="eastAsia" w:ascii="宋体" w:hAnsi="宋体" w:cs="宋体"/>
                <w:szCs w:val="21"/>
              </w:rPr>
            </w:pPr>
            <w:r>
              <w:rPr>
                <w:rFonts w:hint="eastAsia" w:ascii="宋体" w:hAnsi="宋体" w:cs="宋体"/>
                <w:szCs w:val="21"/>
              </w:rPr>
              <w:t>项目名称</w:t>
            </w:r>
          </w:p>
        </w:tc>
        <w:tc>
          <w:tcPr>
            <w:tcW w:w="7961" w:type="dxa"/>
            <w:noWrap w:val="0"/>
            <w:vAlign w:val="center"/>
          </w:tcPr>
          <w:p>
            <w:pPr>
              <w:spacing w:before="240" w:after="240"/>
              <w:jc w:val="center"/>
              <w:rPr>
                <w:rFonts w:hint="eastAsia" w:ascii="宋体" w:hAnsi="宋体" w:cs="宋体"/>
                <w:b/>
                <w:szCs w:val="21"/>
              </w:rPr>
            </w:pPr>
            <w:r>
              <w:rPr>
                <w:rFonts w:hint="eastAsia" w:ascii="宋体" w:hAnsi="宋体" w:cs="宋体"/>
                <w:szCs w:val="21"/>
              </w:rPr>
              <w:t>舟山市公安局执法办案管理中心改扩建工程（信息化部分）项目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1" w:type="dxa"/>
            <w:noWrap w:val="0"/>
            <w:vAlign w:val="center"/>
          </w:tcPr>
          <w:p>
            <w:pPr>
              <w:spacing w:before="240" w:after="240"/>
              <w:jc w:val="center"/>
              <w:rPr>
                <w:rFonts w:hint="eastAsia" w:ascii="宋体" w:hAnsi="宋体" w:cs="宋体"/>
                <w:szCs w:val="21"/>
              </w:rPr>
            </w:pPr>
            <w:r>
              <w:rPr>
                <w:rFonts w:hint="eastAsia" w:ascii="宋体" w:hAnsi="宋体" w:cs="宋体"/>
                <w:szCs w:val="21"/>
              </w:rPr>
              <w:t>投标内容</w:t>
            </w:r>
          </w:p>
        </w:tc>
        <w:tc>
          <w:tcPr>
            <w:tcW w:w="7961" w:type="dxa"/>
            <w:noWrap w:val="0"/>
            <w:vAlign w:val="center"/>
          </w:tcPr>
          <w:p>
            <w:pPr>
              <w:spacing w:before="240" w:after="240"/>
              <w:jc w:val="center"/>
              <w:rPr>
                <w:rFonts w:hint="eastAsia" w:ascii="宋体" w:hAnsi="宋体" w:cs="宋体"/>
                <w:szCs w:val="21"/>
              </w:rPr>
            </w:pPr>
            <w:r>
              <w:rPr>
                <w:rFonts w:hint="eastAsia" w:ascii="宋体" w:hAnsi="宋体" w:cs="宋体"/>
                <w:szCs w:val="21"/>
              </w:rPr>
              <w:t>舟山市公安局执法办案管理中心改扩建工程（信息化部分）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5" w:hRule="atLeast"/>
          <w:jc w:val="center"/>
        </w:trPr>
        <w:tc>
          <w:tcPr>
            <w:tcW w:w="1751" w:type="dxa"/>
            <w:noWrap w:val="0"/>
            <w:vAlign w:val="center"/>
          </w:tcPr>
          <w:p>
            <w:pPr>
              <w:spacing w:before="240" w:after="240"/>
              <w:jc w:val="center"/>
              <w:rPr>
                <w:rFonts w:hint="eastAsia" w:ascii="宋体" w:hAnsi="宋体" w:cs="宋体"/>
                <w:szCs w:val="21"/>
              </w:rPr>
            </w:pPr>
            <w:r>
              <w:rPr>
                <w:rFonts w:hint="eastAsia" w:ascii="宋体" w:hAnsi="宋体" w:cs="宋体"/>
                <w:szCs w:val="21"/>
              </w:rPr>
              <w:t>投标总价（元）</w:t>
            </w:r>
          </w:p>
        </w:tc>
        <w:tc>
          <w:tcPr>
            <w:tcW w:w="7961" w:type="dxa"/>
            <w:noWrap w:val="0"/>
            <w:vAlign w:val="center"/>
          </w:tcPr>
          <w:p>
            <w:pPr>
              <w:spacing w:before="240" w:after="240"/>
              <w:jc w:val="center"/>
              <w:rPr>
                <w:rFonts w:hint="eastAsia" w:ascii="宋体" w:hAnsi="宋体" w:cs="宋体"/>
                <w:szCs w:val="21"/>
              </w:rPr>
            </w:pPr>
            <w:r>
              <w:rPr>
                <w:rFonts w:hint="eastAsia" w:ascii="宋体" w:hAnsi="宋体" w:cs="宋体"/>
                <w:szCs w:val="21"/>
              </w:rPr>
              <w:t>大写：                   小写：</w:t>
            </w:r>
          </w:p>
        </w:tc>
      </w:tr>
    </w:tbl>
    <w:p>
      <w:pPr>
        <w:snapToGrid w:val="0"/>
        <w:spacing w:before="50" w:after="50"/>
        <w:rPr>
          <w:rFonts w:hint="eastAsia" w:ascii="宋体" w:hAnsi="宋体" w:cs="宋体"/>
          <w:b/>
          <w:spacing w:val="20"/>
          <w:szCs w:val="21"/>
        </w:rPr>
      </w:pPr>
    </w:p>
    <w:p>
      <w:pPr>
        <w:spacing w:line="360" w:lineRule="auto"/>
        <w:ind w:firstLine="371" w:firstLineChars="177"/>
        <w:rPr>
          <w:rFonts w:hint="eastAsia" w:ascii="宋体" w:hAnsi="宋体" w:cs="宋体"/>
          <w:szCs w:val="21"/>
        </w:rPr>
      </w:pPr>
    </w:p>
    <w:p>
      <w:pPr>
        <w:spacing w:line="360" w:lineRule="auto"/>
        <w:ind w:firstLine="371" w:firstLineChars="177"/>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（加盖公章）  </w:t>
      </w:r>
    </w:p>
    <w:p>
      <w:pPr>
        <w:spacing w:line="360" w:lineRule="auto"/>
        <w:ind w:firstLine="371" w:firstLineChars="177"/>
        <w:rPr>
          <w:rFonts w:hint="eastAsia" w:ascii="宋体" w:hAnsi="宋体" w:cs="宋体"/>
          <w:szCs w:val="21"/>
        </w:rPr>
      </w:pPr>
      <w:r>
        <w:rPr>
          <w:rFonts w:hint="eastAsia" w:ascii="宋体" w:hAnsi="宋体" w:cs="宋体"/>
          <w:szCs w:val="21"/>
        </w:rPr>
        <w:t>投标人代表：</w:t>
      </w:r>
      <w:r>
        <w:rPr>
          <w:rFonts w:hint="eastAsia" w:ascii="宋体" w:hAnsi="宋体" w:cs="宋体"/>
          <w:szCs w:val="21"/>
          <w:u w:val="single"/>
        </w:rPr>
        <w:t xml:space="preserve">                </w:t>
      </w:r>
      <w:r>
        <w:rPr>
          <w:rFonts w:hint="eastAsia" w:ascii="宋体" w:hAnsi="宋体" w:cs="宋体"/>
          <w:szCs w:val="21"/>
        </w:rPr>
        <w:t>（签字）</w:t>
      </w:r>
    </w:p>
    <w:p>
      <w:pPr>
        <w:spacing w:line="360" w:lineRule="auto"/>
        <w:ind w:firstLine="371" w:firstLineChars="177"/>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before="50" w:after="50"/>
        <w:rPr>
          <w:rFonts w:hint="eastAsia" w:ascii="宋体" w:hAnsi="宋体" w:cs="宋体"/>
          <w:b/>
          <w:spacing w:val="20"/>
          <w:szCs w:val="21"/>
        </w:rPr>
      </w:pPr>
    </w:p>
    <w:p>
      <w:pPr>
        <w:snapToGrid w:val="0"/>
        <w:spacing w:before="50" w:after="50"/>
        <w:rPr>
          <w:rFonts w:hint="eastAsia" w:ascii="宋体" w:hAnsi="宋体" w:cs="宋体"/>
          <w:b/>
          <w:spacing w:val="20"/>
          <w:szCs w:val="21"/>
        </w:rPr>
      </w:pPr>
    </w:p>
    <w:p>
      <w:pPr>
        <w:spacing w:line="360" w:lineRule="auto"/>
        <w:rPr>
          <w:rFonts w:hint="eastAsia" w:ascii="宋体" w:hAnsi="宋体" w:cs="宋体"/>
          <w:spacing w:val="20"/>
          <w:szCs w:val="21"/>
        </w:rPr>
      </w:pPr>
      <w:r>
        <w:rPr>
          <w:rFonts w:hint="eastAsia" w:ascii="宋体" w:hAnsi="宋体" w:cs="宋体"/>
          <w:b/>
          <w:sz w:val="24"/>
          <w:szCs w:val="24"/>
        </w:rPr>
        <w:br w:type="page"/>
      </w:r>
      <w:r>
        <w:rPr>
          <w:rFonts w:hint="eastAsia" w:ascii="宋体" w:hAnsi="宋体" w:cs="宋体"/>
          <w:b/>
          <w:szCs w:val="21"/>
        </w:rPr>
        <w:t>格式二、报价明细表</w:t>
      </w:r>
    </w:p>
    <w:p>
      <w:pPr>
        <w:spacing w:line="360" w:lineRule="auto"/>
        <w:ind w:firstLine="5460" w:firstLineChars="2600"/>
        <w:rPr>
          <w:rFonts w:hint="eastAsia" w:ascii="宋体" w:hAnsi="宋体" w:cs="宋体"/>
          <w:szCs w:val="21"/>
        </w:rPr>
      </w:pPr>
    </w:p>
    <w:tbl>
      <w:tblPr>
        <w:tblStyle w:val="23"/>
        <w:tblW w:w="50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8"/>
        <w:gridCol w:w="2265"/>
        <w:gridCol w:w="1316"/>
        <w:gridCol w:w="1644"/>
        <w:gridCol w:w="180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577" w:type="pct"/>
            <w:noWrap w:val="0"/>
            <w:vAlign w:val="center"/>
          </w:tcPr>
          <w:p>
            <w:pPr>
              <w:jc w:val="center"/>
              <w:rPr>
                <w:rFonts w:hint="eastAsia" w:ascii="宋体" w:hAnsi="宋体" w:cs="宋体"/>
                <w:szCs w:val="21"/>
              </w:rPr>
            </w:pPr>
            <w:r>
              <w:rPr>
                <w:rFonts w:hint="eastAsia" w:ascii="宋体" w:hAnsi="宋体" w:cs="宋体"/>
                <w:szCs w:val="21"/>
              </w:rPr>
              <w:t>序号</w:t>
            </w:r>
          </w:p>
        </w:tc>
        <w:tc>
          <w:tcPr>
            <w:tcW w:w="1138" w:type="pct"/>
            <w:noWrap w:val="0"/>
            <w:vAlign w:val="center"/>
          </w:tcPr>
          <w:p>
            <w:pPr>
              <w:jc w:val="center"/>
              <w:rPr>
                <w:rFonts w:hint="eastAsia" w:ascii="宋体" w:hAnsi="宋体" w:cs="宋体"/>
                <w:szCs w:val="21"/>
              </w:rPr>
            </w:pPr>
            <w:r>
              <w:rPr>
                <w:rFonts w:hint="eastAsia" w:ascii="宋体" w:hAnsi="宋体" w:cs="宋体"/>
                <w:szCs w:val="21"/>
              </w:rPr>
              <w:t>名称</w:t>
            </w:r>
          </w:p>
        </w:tc>
        <w:tc>
          <w:tcPr>
            <w:tcW w:w="661" w:type="pct"/>
            <w:noWrap w:val="0"/>
            <w:vAlign w:val="center"/>
          </w:tcPr>
          <w:p>
            <w:pPr>
              <w:jc w:val="center"/>
              <w:rPr>
                <w:rFonts w:hint="eastAsia" w:ascii="宋体" w:hAnsi="宋体" w:cs="宋体"/>
                <w:szCs w:val="21"/>
              </w:rPr>
            </w:pPr>
            <w:r>
              <w:rPr>
                <w:rFonts w:hint="eastAsia" w:ascii="宋体" w:hAnsi="宋体" w:cs="宋体"/>
                <w:szCs w:val="21"/>
              </w:rPr>
              <w:t>品牌型号</w:t>
            </w:r>
          </w:p>
        </w:tc>
        <w:tc>
          <w:tcPr>
            <w:tcW w:w="826" w:type="pct"/>
            <w:noWrap w:val="0"/>
            <w:vAlign w:val="center"/>
          </w:tcPr>
          <w:p>
            <w:pPr>
              <w:jc w:val="center"/>
              <w:rPr>
                <w:rFonts w:hint="eastAsia" w:ascii="宋体" w:hAnsi="宋体" w:cs="宋体"/>
                <w:szCs w:val="21"/>
              </w:rPr>
            </w:pPr>
            <w:r>
              <w:rPr>
                <w:rFonts w:hint="eastAsia" w:ascii="宋体" w:hAnsi="宋体" w:cs="宋体"/>
                <w:szCs w:val="21"/>
              </w:rPr>
              <w:t>数量单位</w:t>
            </w:r>
          </w:p>
        </w:tc>
        <w:tc>
          <w:tcPr>
            <w:tcW w:w="909" w:type="pct"/>
            <w:noWrap w:val="0"/>
            <w:vAlign w:val="center"/>
          </w:tcPr>
          <w:p>
            <w:pPr>
              <w:jc w:val="center"/>
              <w:rPr>
                <w:rFonts w:hint="eastAsia" w:ascii="宋体" w:hAnsi="宋体" w:cs="宋体"/>
                <w:szCs w:val="21"/>
              </w:rPr>
            </w:pPr>
            <w:r>
              <w:rPr>
                <w:rFonts w:hint="eastAsia" w:ascii="宋体" w:hAnsi="宋体" w:cs="宋体"/>
                <w:szCs w:val="21"/>
              </w:rPr>
              <w:t>单价（元）</w:t>
            </w:r>
          </w:p>
        </w:tc>
        <w:tc>
          <w:tcPr>
            <w:tcW w:w="885" w:type="pct"/>
            <w:noWrap w:val="0"/>
            <w:vAlign w:val="center"/>
          </w:tcPr>
          <w:p>
            <w:pPr>
              <w:jc w:val="center"/>
              <w:rPr>
                <w:rFonts w:hint="eastAsia" w:ascii="宋体" w:hAnsi="宋体" w:cs="宋体"/>
                <w:szCs w:val="21"/>
              </w:rPr>
            </w:pPr>
            <w:r>
              <w:rPr>
                <w:rFonts w:hint="eastAsia" w:ascii="宋体" w:hAnsi="宋体" w:cs="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0" w:hRule="atLeast"/>
          <w:jc w:val="center"/>
        </w:trPr>
        <w:tc>
          <w:tcPr>
            <w:tcW w:w="577" w:type="pct"/>
            <w:noWrap w:val="0"/>
            <w:vAlign w:val="center"/>
          </w:tcPr>
          <w:p>
            <w:pPr>
              <w:jc w:val="center"/>
              <w:rPr>
                <w:rFonts w:hint="eastAsia" w:ascii="宋体" w:hAnsi="宋体" w:cs="宋体"/>
                <w:szCs w:val="21"/>
              </w:rPr>
            </w:pPr>
            <w:r>
              <w:rPr>
                <w:rFonts w:hint="eastAsia" w:ascii="宋体" w:hAnsi="宋体" w:cs="宋体"/>
                <w:szCs w:val="21"/>
              </w:rPr>
              <w:t>1</w:t>
            </w:r>
          </w:p>
        </w:tc>
        <w:tc>
          <w:tcPr>
            <w:tcW w:w="1138" w:type="pct"/>
            <w:noWrap w:val="0"/>
            <w:vAlign w:val="center"/>
          </w:tcPr>
          <w:p>
            <w:pPr>
              <w:jc w:val="center"/>
              <w:rPr>
                <w:rFonts w:hint="eastAsia" w:ascii="Times New Roman" w:hAnsi="Times New Roman"/>
                <w:szCs w:val="21"/>
              </w:rPr>
            </w:pPr>
          </w:p>
        </w:tc>
        <w:tc>
          <w:tcPr>
            <w:tcW w:w="661" w:type="pct"/>
            <w:noWrap w:val="0"/>
            <w:vAlign w:val="center"/>
          </w:tcPr>
          <w:p>
            <w:pPr>
              <w:jc w:val="center"/>
              <w:rPr>
                <w:rFonts w:hint="eastAsia" w:ascii="Times New Roman" w:hAnsi="Times New Roman"/>
                <w:szCs w:val="21"/>
              </w:rPr>
            </w:pPr>
          </w:p>
        </w:tc>
        <w:tc>
          <w:tcPr>
            <w:tcW w:w="826" w:type="pct"/>
            <w:noWrap w:val="0"/>
            <w:vAlign w:val="center"/>
          </w:tcPr>
          <w:p>
            <w:pPr>
              <w:jc w:val="center"/>
              <w:rPr>
                <w:rFonts w:hint="eastAsia" w:ascii="Times New Roman" w:hAnsi="Times New Roman"/>
                <w:szCs w:val="21"/>
              </w:rPr>
            </w:pPr>
          </w:p>
        </w:tc>
        <w:tc>
          <w:tcPr>
            <w:tcW w:w="909" w:type="pct"/>
            <w:noWrap w:val="0"/>
            <w:vAlign w:val="center"/>
          </w:tcPr>
          <w:p>
            <w:pPr>
              <w:ind w:left="420" w:leftChars="200"/>
              <w:jc w:val="center"/>
              <w:rPr>
                <w:rFonts w:hint="eastAsia" w:ascii="宋体" w:hAnsi="宋体" w:cs="宋体"/>
                <w:szCs w:val="21"/>
              </w:rPr>
            </w:pPr>
          </w:p>
        </w:tc>
        <w:tc>
          <w:tcPr>
            <w:tcW w:w="885" w:type="pct"/>
            <w:noWrap w:val="0"/>
            <w:vAlign w:val="center"/>
          </w:tcPr>
          <w:p>
            <w:pPr>
              <w:ind w:left="-107" w:leftChars="-51" w:firstLine="1"/>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4" w:hRule="atLeast"/>
          <w:jc w:val="center"/>
        </w:trPr>
        <w:tc>
          <w:tcPr>
            <w:tcW w:w="577" w:type="pct"/>
            <w:noWrap w:val="0"/>
            <w:vAlign w:val="center"/>
          </w:tcPr>
          <w:p>
            <w:pPr>
              <w:jc w:val="center"/>
              <w:rPr>
                <w:rFonts w:hint="eastAsia" w:ascii="宋体" w:hAnsi="宋体" w:cs="宋体"/>
                <w:szCs w:val="21"/>
              </w:rPr>
            </w:pPr>
            <w:r>
              <w:rPr>
                <w:rFonts w:hint="eastAsia" w:ascii="宋体" w:hAnsi="宋体" w:cs="宋体"/>
                <w:szCs w:val="21"/>
              </w:rPr>
              <w:t>2</w:t>
            </w:r>
          </w:p>
        </w:tc>
        <w:tc>
          <w:tcPr>
            <w:tcW w:w="1138" w:type="pct"/>
            <w:noWrap w:val="0"/>
            <w:vAlign w:val="center"/>
          </w:tcPr>
          <w:p>
            <w:pPr>
              <w:jc w:val="center"/>
              <w:rPr>
                <w:rFonts w:hint="eastAsia" w:ascii="Times New Roman" w:hAnsi="Times New Roman"/>
                <w:szCs w:val="21"/>
              </w:rPr>
            </w:pPr>
          </w:p>
        </w:tc>
        <w:tc>
          <w:tcPr>
            <w:tcW w:w="661" w:type="pct"/>
            <w:noWrap w:val="0"/>
            <w:vAlign w:val="center"/>
          </w:tcPr>
          <w:p>
            <w:pPr>
              <w:jc w:val="center"/>
              <w:rPr>
                <w:rFonts w:hint="eastAsia" w:ascii="Times New Roman" w:hAnsi="Times New Roman"/>
                <w:szCs w:val="21"/>
              </w:rPr>
            </w:pPr>
          </w:p>
        </w:tc>
        <w:tc>
          <w:tcPr>
            <w:tcW w:w="826" w:type="pct"/>
            <w:noWrap w:val="0"/>
            <w:vAlign w:val="center"/>
          </w:tcPr>
          <w:p>
            <w:pPr>
              <w:jc w:val="center"/>
              <w:rPr>
                <w:rFonts w:hint="eastAsia" w:ascii="Times New Roman" w:hAnsi="Times New Roman"/>
                <w:szCs w:val="21"/>
              </w:rPr>
            </w:pPr>
          </w:p>
        </w:tc>
        <w:tc>
          <w:tcPr>
            <w:tcW w:w="909" w:type="pct"/>
            <w:noWrap w:val="0"/>
            <w:vAlign w:val="center"/>
          </w:tcPr>
          <w:p>
            <w:pPr>
              <w:ind w:left="420" w:leftChars="200"/>
              <w:jc w:val="center"/>
              <w:rPr>
                <w:rFonts w:hint="eastAsia" w:ascii="宋体" w:hAnsi="宋体" w:cs="宋体"/>
                <w:szCs w:val="21"/>
              </w:rPr>
            </w:pPr>
          </w:p>
        </w:tc>
        <w:tc>
          <w:tcPr>
            <w:tcW w:w="885" w:type="pct"/>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8" w:hRule="atLeast"/>
          <w:jc w:val="center"/>
        </w:trPr>
        <w:tc>
          <w:tcPr>
            <w:tcW w:w="577" w:type="pct"/>
            <w:noWrap w:val="0"/>
            <w:vAlign w:val="center"/>
          </w:tcPr>
          <w:p>
            <w:pPr>
              <w:jc w:val="center"/>
              <w:rPr>
                <w:rFonts w:hint="eastAsia" w:ascii="宋体" w:hAnsi="宋体" w:cs="宋体"/>
                <w:szCs w:val="21"/>
              </w:rPr>
            </w:pPr>
            <w:r>
              <w:rPr>
                <w:rFonts w:hint="eastAsia" w:ascii="宋体" w:hAnsi="宋体" w:cs="宋体"/>
                <w:szCs w:val="21"/>
              </w:rPr>
              <w:t>3</w:t>
            </w:r>
          </w:p>
        </w:tc>
        <w:tc>
          <w:tcPr>
            <w:tcW w:w="1138" w:type="pct"/>
            <w:noWrap w:val="0"/>
            <w:vAlign w:val="center"/>
          </w:tcPr>
          <w:p>
            <w:pPr>
              <w:jc w:val="center"/>
              <w:rPr>
                <w:rFonts w:hint="eastAsia" w:ascii="Times New Roman" w:hAnsi="Times New Roman"/>
                <w:szCs w:val="21"/>
              </w:rPr>
            </w:pPr>
          </w:p>
        </w:tc>
        <w:tc>
          <w:tcPr>
            <w:tcW w:w="661" w:type="pct"/>
            <w:noWrap w:val="0"/>
            <w:vAlign w:val="center"/>
          </w:tcPr>
          <w:p>
            <w:pPr>
              <w:jc w:val="center"/>
              <w:rPr>
                <w:rFonts w:hint="eastAsia" w:ascii="Times New Roman" w:hAnsi="Times New Roman"/>
                <w:szCs w:val="21"/>
              </w:rPr>
            </w:pPr>
          </w:p>
        </w:tc>
        <w:tc>
          <w:tcPr>
            <w:tcW w:w="826" w:type="pct"/>
            <w:noWrap w:val="0"/>
            <w:vAlign w:val="center"/>
          </w:tcPr>
          <w:p>
            <w:pPr>
              <w:jc w:val="center"/>
              <w:rPr>
                <w:rFonts w:hint="eastAsia" w:ascii="Times New Roman" w:hAnsi="Times New Roman"/>
                <w:szCs w:val="21"/>
              </w:rPr>
            </w:pPr>
          </w:p>
        </w:tc>
        <w:tc>
          <w:tcPr>
            <w:tcW w:w="909" w:type="pct"/>
            <w:noWrap w:val="0"/>
            <w:vAlign w:val="center"/>
          </w:tcPr>
          <w:p>
            <w:pPr>
              <w:ind w:left="420" w:leftChars="200"/>
              <w:jc w:val="center"/>
              <w:rPr>
                <w:rFonts w:hint="eastAsia" w:ascii="宋体" w:hAnsi="宋体" w:cs="宋体"/>
                <w:szCs w:val="21"/>
              </w:rPr>
            </w:pPr>
          </w:p>
        </w:tc>
        <w:tc>
          <w:tcPr>
            <w:tcW w:w="885" w:type="pct"/>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8" w:hRule="atLeast"/>
          <w:jc w:val="center"/>
        </w:trPr>
        <w:tc>
          <w:tcPr>
            <w:tcW w:w="577" w:type="pct"/>
            <w:noWrap w:val="0"/>
            <w:vAlign w:val="center"/>
          </w:tcPr>
          <w:p>
            <w:pPr>
              <w:jc w:val="center"/>
              <w:rPr>
                <w:rFonts w:hint="eastAsia" w:ascii="宋体" w:hAnsi="宋体" w:cs="宋体"/>
                <w:szCs w:val="21"/>
              </w:rPr>
            </w:pPr>
            <w:r>
              <w:rPr>
                <w:rFonts w:hint="eastAsia" w:ascii="宋体" w:hAnsi="宋体" w:cs="宋体"/>
                <w:szCs w:val="21"/>
              </w:rPr>
              <w:t>……</w:t>
            </w:r>
          </w:p>
        </w:tc>
        <w:tc>
          <w:tcPr>
            <w:tcW w:w="1138" w:type="pct"/>
            <w:noWrap w:val="0"/>
            <w:vAlign w:val="center"/>
          </w:tcPr>
          <w:p>
            <w:pPr>
              <w:jc w:val="center"/>
              <w:rPr>
                <w:rFonts w:hint="eastAsia" w:ascii="宋体" w:hAnsi="宋体" w:cs="宋体"/>
                <w:szCs w:val="21"/>
              </w:rPr>
            </w:pPr>
          </w:p>
        </w:tc>
        <w:tc>
          <w:tcPr>
            <w:tcW w:w="661" w:type="pct"/>
            <w:noWrap w:val="0"/>
            <w:vAlign w:val="center"/>
          </w:tcPr>
          <w:p>
            <w:pPr>
              <w:jc w:val="center"/>
              <w:rPr>
                <w:rFonts w:hint="eastAsia" w:ascii="Times New Roman" w:hAnsi="Times New Roman"/>
                <w:szCs w:val="21"/>
              </w:rPr>
            </w:pPr>
          </w:p>
        </w:tc>
        <w:tc>
          <w:tcPr>
            <w:tcW w:w="826" w:type="pct"/>
            <w:noWrap w:val="0"/>
            <w:vAlign w:val="center"/>
          </w:tcPr>
          <w:p>
            <w:pPr>
              <w:jc w:val="center"/>
              <w:rPr>
                <w:rFonts w:hint="eastAsia" w:ascii="宋体" w:hAnsi="宋体" w:cs="宋体"/>
                <w:szCs w:val="21"/>
              </w:rPr>
            </w:pPr>
          </w:p>
        </w:tc>
        <w:tc>
          <w:tcPr>
            <w:tcW w:w="909" w:type="pct"/>
            <w:noWrap w:val="0"/>
            <w:vAlign w:val="center"/>
          </w:tcPr>
          <w:p>
            <w:pPr>
              <w:ind w:left="420" w:leftChars="200"/>
              <w:jc w:val="center"/>
              <w:rPr>
                <w:rFonts w:hint="eastAsia" w:ascii="宋体" w:hAnsi="宋体" w:cs="宋体"/>
                <w:szCs w:val="21"/>
              </w:rPr>
            </w:pPr>
          </w:p>
        </w:tc>
        <w:tc>
          <w:tcPr>
            <w:tcW w:w="885" w:type="pct"/>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5000" w:type="pct"/>
            <w:gridSpan w:val="6"/>
            <w:noWrap w:val="0"/>
            <w:vAlign w:val="center"/>
          </w:tcPr>
          <w:p>
            <w:pPr>
              <w:ind w:firstLine="210" w:firstLineChars="100"/>
              <w:jc w:val="left"/>
              <w:rPr>
                <w:rFonts w:hint="eastAsia" w:ascii="宋体" w:hAnsi="宋体" w:cs="宋体"/>
                <w:szCs w:val="21"/>
              </w:rPr>
            </w:pPr>
            <w:r>
              <w:rPr>
                <w:rFonts w:hint="eastAsia" w:ascii="宋体" w:hAnsi="宋体" w:cs="宋体"/>
                <w:szCs w:val="21"/>
              </w:rPr>
              <w:t>投标总价（小写）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5000" w:type="pct"/>
            <w:gridSpan w:val="6"/>
            <w:noWrap w:val="0"/>
            <w:vAlign w:val="center"/>
          </w:tcPr>
          <w:p>
            <w:pPr>
              <w:ind w:firstLine="210" w:firstLineChars="100"/>
              <w:jc w:val="left"/>
              <w:rPr>
                <w:rFonts w:hint="eastAsia" w:ascii="宋体" w:hAnsi="宋体" w:cs="宋体"/>
                <w:szCs w:val="21"/>
              </w:rPr>
            </w:pPr>
            <w:r>
              <w:rPr>
                <w:rFonts w:hint="eastAsia" w:ascii="宋体" w:hAnsi="宋体" w:cs="宋体"/>
                <w:szCs w:val="21"/>
              </w:rPr>
              <w:t>投标总价（大写）</w:t>
            </w:r>
          </w:p>
        </w:tc>
      </w:tr>
    </w:tbl>
    <w:p>
      <w:pPr>
        <w:spacing w:line="480" w:lineRule="auto"/>
        <w:rPr>
          <w:rFonts w:hint="eastAsia" w:ascii="宋体" w:hAnsi="宋体" w:cs="宋体"/>
          <w:szCs w:val="21"/>
        </w:rPr>
      </w:pPr>
    </w:p>
    <w:p>
      <w:pPr>
        <w:spacing w:line="480" w:lineRule="auto"/>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480" w:lineRule="auto"/>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napToGrid w:val="0"/>
        <w:spacing w:before="120" w:after="120"/>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napToGrid w:val="0"/>
        <w:spacing w:before="50" w:after="156" w:afterLines="50"/>
        <w:jc w:val="left"/>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格式三、中小企业声明函</w:t>
      </w:r>
    </w:p>
    <w:p>
      <w:pPr>
        <w:widowControl/>
        <w:jc w:val="center"/>
        <w:rPr>
          <w:szCs w:val="21"/>
        </w:rPr>
      </w:pPr>
      <w:r>
        <w:rPr>
          <w:rFonts w:hint="eastAsia" w:ascii="宋体" w:hAnsi="宋体" w:cs="宋体"/>
          <w:b/>
          <w:color w:val="000000"/>
          <w:kern w:val="0"/>
          <w:szCs w:val="21"/>
          <w:lang w:bidi="ar"/>
        </w:rPr>
        <w:t>中小企业声明函（货物）</w:t>
      </w:r>
    </w:p>
    <w:p>
      <w:pPr>
        <w:widowControl/>
        <w:spacing w:line="480" w:lineRule="auto"/>
        <w:ind w:firstLine="420" w:firstLineChars="200"/>
        <w:rPr>
          <w:rFonts w:hint="eastAsia" w:ascii="宋体" w:hAnsi="宋体" w:cs="宋体"/>
          <w:szCs w:val="21"/>
        </w:rPr>
      </w:pPr>
      <w:r>
        <w:rPr>
          <w:rFonts w:hint="eastAsia" w:ascii="宋体" w:hAnsi="宋体" w:cs="宋体"/>
          <w:color w:val="000000"/>
          <w:kern w:val="0"/>
          <w:szCs w:val="21"/>
          <w:lang w:bidi="ar"/>
        </w:rPr>
        <w:t>本公司郑重声明，根据《政府采购促进中小企业发展管理办法》（财库﹝2020﹞46 号）的规定，本公司参加</w:t>
      </w:r>
      <w:r>
        <w:rPr>
          <w:rFonts w:hint="eastAsia" w:ascii="宋体" w:hAnsi="宋体" w:cs="宋体"/>
          <w:i/>
          <w:color w:val="000000"/>
          <w:kern w:val="0"/>
          <w:szCs w:val="21"/>
          <w:u w:val="single"/>
          <w:lang w:bidi="ar"/>
        </w:rPr>
        <w:t>（单位名称）</w:t>
      </w:r>
      <w:r>
        <w:rPr>
          <w:rFonts w:hint="eastAsia" w:ascii="宋体" w:hAnsi="宋体" w:cs="宋体"/>
          <w:color w:val="000000"/>
          <w:kern w:val="0"/>
          <w:szCs w:val="21"/>
          <w:lang w:bidi="ar"/>
        </w:rPr>
        <w:t>的</w:t>
      </w:r>
      <w:r>
        <w:rPr>
          <w:rFonts w:hint="eastAsia" w:ascii="宋体" w:hAnsi="宋体" w:cs="宋体"/>
          <w:i/>
          <w:color w:val="000000"/>
          <w:kern w:val="0"/>
          <w:szCs w:val="21"/>
          <w:u w:val="single"/>
          <w:lang w:bidi="ar"/>
        </w:rPr>
        <w:t>（项目名称）</w:t>
      </w:r>
      <w:r>
        <w:rPr>
          <w:rFonts w:hint="eastAsia" w:ascii="宋体" w:hAnsi="宋体" w:cs="宋体"/>
          <w:color w:val="000000"/>
          <w:kern w:val="0"/>
          <w:szCs w:val="21"/>
          <w:lang w:bidi="ar"/>
        </w:rPr>
        <w:t>采购活动，提供的货物全部由符合政策要求的中小企业制造。相关企业的具体情况如下：</w:t>
      </w:r>
    </w:p>
    <w:p>
      <w:pPr>
        <w:widowControl/>
        <w:spacing w:line="480" w:lineRule="auto"/>
        <w:ind w:firstLine="420" w:firstLineChars="200"/>
        <w:rPr>
          <w:rFonts w:hint="eastAsia" w:ascii="宋体" w:hAnsi="宋体" w:cs="宋体"/>
          <w:szCs w:val="21"/>
        </w:rPr>
      </w:pPr>
      <w:r>
        <w:rPr>
          <w:rFonts w:hint="eastAsia" w:ascii="宋体" w:hAnsi="宋体" w:cs="宋体"/>
          <w:color w:val="000000"/>
          <w:kern w:val="0"/>
          <w:szCs w:val="21"/>
          <w:lang w:bidi="ar"/>
        </w:rPr>
        <w:t>1.</w:t>
      </w:r>
      <w:r>
        <w:rPr>
          <w:rFonts w:hint="eastAsia" w:ascii="宋体" w:hAnsi="宋体" w:cs="宋体"/>
          <w:i/>
          <w:color w:val="000000"/>
          <w:kern w:val="0"/>
          <w:szCs w:val="21"/>
          <w:u w:val="single"/>
          <w:lang w:bidi="ar"/>
        </w:rPr>
        <w:t>（标的名称）</w:t>
      </w:r>
      <w:r>
        <w:rPr>
          <w:rFonts w:hint="eastAsia" w:ascii="宋体" w:hAnsi="宋体" w:cs="宋体"/>
          <w:color w:val="000000"/>
          <w:kern w:val="0"/>
          <w:szCs w:val="21"/>
          <w:lang w:bidi="ar"/>
        </w:rPr>
        <w:t>，属于</w:t>
      </w:r>
      <w:r>
        <w:rPr>
          <w:rFonts w:hint="eastAsia" w:ascii="宋体" w:hAnsi="宋体" w:cs="宋体"/>
          <w:i/>
          <w:color w:val="000000"/>
          <w:kern w:val="0"/>
          <w:szCs w:val="21"/>
          <w:u w:val="single"/>
          <w:lang w:bidi="ar"/>
        </w:rPr>
        <w:t>（采购文件中明确的所属行业）行业</w:t>
      </w:r>
      <w:r>
        <w:rPr>
          <w:rFonts w:hint="eastAsia" w:ascii="宋体" w:hAnsi="宋体" w:cs="宋体"/>
          <w:color w:val="000000"/>
          <w:kern w:val="0"/>
          <w:szCs w:val="21"/>
          <w:lang w:bidi="ar"/>
        </w:rPr>
        <w:t>；制造商为</w:t>
      </w:r>
      <w:r>
        <w:rPr>
          <w:rFonts w:hint="eastAsia" w:ascii="宋体" w:hAnsi="宋体" w:cs="宋体"/>
          <w:i/>
          <w:color w:val="000000"/>
          <w:kern w:val="0"/>
          <w:szCs w:val="21"/>
          <w:u w:val="single"/>
          <w:lang w:bidi="ar"/>
        </w:rPr>
        <w:t>（企业名称）</w:t>
      </w:r>
      <w:r>
        <w:rPr>
          <w:rFonts w:hint="eastAsia" w:ascii="宋体" w:hAnsi="宋体" w:cs="宋体"/>
          <w:color w:val="000000"/>
          <w:kern w:val="0"/>
          <w:szCs w:val="21"/>
          <w:lang w:bidi="ar"/>
        </w:rPr>
        <w:t>，从业人员</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人，营业收入为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万元，资产总额为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万元，属于</w:t>
      </w:r>
      <w:r>
        <w:rPr>
          <w:rFonts w:hint="eastAsia" w:ascii="宋体" w:hAnsi="宋体" w:cs="宋体"/>
          <w:i/>
          <w:color w:val="000000"/>
          <w:kern w:val="0"/>
          <w:szCs w:val="21"/>
          <w:u w:val="single"/>
          <w:lang w:bidi="ar"/>
        </w:rPr>
        <w:t>（中型企业、小型企业、微型企业）</w:t>
      </w:r>
      <w:r>
        <w:rPr>
          <w:rFonts w:hint="eastAsia" w:ascii="宋体" w:hAnsi="宋体" w:cs="宋体"/>
          <w:color w:val="000000"/>
          <w:kern w:val="0"/>
          <w:szCs w:val="21"/>
          <w:lang w:bidi="ar"/>
        </w:rPr>
        <w:t xml:space="preserve">； </w:t>
      </w:r>
    </w:p>
    <w:p>
      <w:pPr>
        <w:widowControl/>
        <w:spacing w:line="480" w:lineRule="auto"/>
        <w:ind w:firstLine="420" w:firstLineChars="200"/>
        <w:rPr>
          <w:rFonts w:hint="eastAsia" w:ascii="宋体" w:hAnsi="宋体" w:cs="宋体"/>
          <w:szCs w:val="21"/>
        </w:rPr>
      </w:pPr>
      <w:r>
        <w:rPr>
          <w:rFonts w:hint="eastAsia" w:ascii="宋体" w:hAnsi="宋体" w:cs="宋体"/>
          <w:color w:val="000000"/>
          <w:kern w:val="0"/>
          <w:szCs w:val="21"/>
          <w:lang w:bidi="ar"/>
        </w:rPr>
        <w:t>2.</w:t>
      </w:r>
      <w:r>
        <w:rPr>
          <w:rFonts w:hint="eastAsia" w:ascii="宋体" w:hAnsi="宋体" w:cs="宋体"/>
          <w:i/>
          <w:color w:val="000000"/>
          <w:kern w:val="0"/>
          <w:szCs w:val="21"/>
          <w:u w:val="single"/>
          <w:lang w:bidi="ar"/>
        </w:rPr>
        <w:t>（标的名称）</w:t>
      </w:r>
      <w:r>
        <w:rPr>
          <w:rFonts w:hint="eastAsia" w:ascii="宋体" w:hAnsi="宋体" w:cs="宋体"/>
          <w:color w:val="000000"/>
          <w:kern w:val="0"/>
          <w:szCs w:val="21"/>
          <w:lang w:bidi="ar"/>
        </w:rPr>
        <w:t>，属于</w:t>
      </w:r>
      <w:r>
        <w:rPr>
          <w:rFonts w:hint="eastAsia" w:ascii="宋体" w:hAnsi="宋体" w:cs="宋体"/>
          <w:i/>
          <w:color w:val="000000"/>
          <w:kern w:val="0"/>
          <w:szCs w:val="21"/>
          <w:u w:val="single"/>
          <w:lang w:bidi="ar"/>
        </w:rPr>
        <w:t>（采购文件中明确的所属行业）行业</w:t>
      </w:r>
      <w:r>
        <w:rPr>
          <w:rFonts w:hint="eastAsia" w:ascii="宋体" w:hAnsi="宋体" w:cs="宋体"/>
          <w:color w:val="000000"/>
          <w:kern w:val="0"/>
          <w:szCs w:val="21"/>
          <w:lang w:bidi="ar"/>
        </w:rPr>
        <w:t>；制造商为</w:t>
      </w:r>
      <w:r>
        <w:rPr>
          <w:rFonts w:hint="eastAsia" w:ascii="宋体" w:hAnsi="宋体" w:cs="宋体"/>
          <w:i/>
          <w:color w:val="000000"/>
          <w:kern w:val="0"/>
          <w:szCs w:val="21"/>
          <w:u w:val="single"/>
          <w:lang w:bidi="ar"/>
        </w:rPr>
        <w:t>（企业名称）</w:t>
      </w:r>
      <w:r>
        <w:rPr>
          <w:rFonts w:hint="eastAsia" w:ascii="宋体" w:hAnsi="宋体" w:cs="宋体"/>
          <w:color w:val="000000"/>
          <w:kern w:val="0"/>
          <w:szCs w:val="21"/>
          <w:lang w:bidi="ar"/>
        </w:rPr>
        <w:t>，从业人员</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人，营业收入为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万元，资产总额为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万元，属于</w:t>
      </w:r>
      <w:r>
        <w:rPr>
          <w:rFonts w:hint="eastAsia" w:ascii="宋体" w:hAnsi="宋体" w:cs="宋体"/>
          <w:i/>
          <w:color w:val="000000"/>
          <w:kern w:val="0"/>
          <w:szCs w:val="21"/>
          <w:u w:val="single"/>
          <w:lang w:bidi="ar"/>
        </w:rPr>
        <w:t>（中型企业、小型企业、微型企业）</w:t>
      </w:r>
      <w:r>
        <w:rPr>
          <w:rFonts w:hint="eastAsia" w:ascii="宋体" w:hAnsi="宋体" w:cs="宋体"/>
          <w:color w:val="000000"/>
          <w:kern w:val="0"/>
          <w:szCs w:val="21"/>
          <w:lang w:bidi="ar"/>
        </w:rPr>
        <w:t xml:space="preserve">； </w:t>
      </w:r>
    </w:p>
    <w:p>
      <w:pPr>
        <w:widowControl/>
        <w:spacing w:line="480" w:lineRule="auto"/>
        <w:ind w:firstLine="420" w:firstLineChars="200"/>
        <w:rPr>
          <w:rFonts w:hint="eastAsia" w:ascii="宋体" w:hAnsi="宋体" w:cs="宋体"/>
          <w:szCs w:val="21"/>
        </w:rPr>
      </w:pPr>
      <w:r>
        <w:rPr>
          <w:rFonts w:hint="eastAsia" w:ascii="宋体" w:hAnsi="宋体" w:cs="宋体"/>
          <w:color w:val="000000"/>
          <w:kern w:val="0"/>
          <w:szCs w:val="21"/>
          <w:lang w:bidi="ar"/>
        </w:rPr>
        <w:t>……</w:t>
      </w:r>
    </w:p>
    <w:p>
      <w:pPr>
        <w:widowControl/>
        <w:spacing w:line="480" w:lineRule="auto"/>
        <w:ind w:firstLine="420" w:firstLineChars="200"/>
        <w:rPr>
          <w:rFonts w:hint="eastAsia" w:ascii="宋体" w:hAnsi="宋体" w:cs="宋体"/>
          <w:szCs w:val="21"/>
        </w:rPr>
      </w:pPr>
      <w:r>
        <w:rPr>
          <w:rFonts w:hint="eastAsia" w:ascii="宋体" w:hAnsi="宋体" w:cs="宋体"/>
          <w:color w:val="000000"/>
          <w:kern w:val="0"/>
          <w:szCs w:val="21"/>
          <w:lang w:bidi="ar"/>
        </w:rPr>
        <w:t>以上企业，不属于大企业的分支机构，不存在控股股东为大企业的情形，也不存在与大企业的负责人为同一人的情形。</w:t>
      </w:r>
    </w:p>
    <w:p>
      <w:pPr>
        <w:widowControl/>
        <w:spacing w:line="480" w:lineRule="auto"/>
        <w:ind w:firstLine="420" w:firstLineChars="200"/>
        <w:rPr>
          <w:rFonts w:hint="eastAsia" w:ascii="宋体" w:hAnsi="宋体" w:cs="宋体"/>
          <w:szCs w:val="21"/>
        </w:rPr>
      </w:pPr>
      <w:r>
        <w:rPr>
          <w:rFonts w:hint="eastAsia" w:ascii="宋体" w:hAnsi="宋体" w:cs="宋体"/>
          <w:color w:val="000000"/>
          <w:kern w:val="0"/>
          <w:szCs w:val="21"/>
          <w:lang w:bidi="ar"/>
        </w:rPr>
        <w:t xml:space="preserve">本企业对上述声明内容的真实性负责。如有虚假，将依法承担相应责任。 </w:t>
      </w:r>
    </w:p>
    <w:p>
      <w:pPr>
        <w:widowControl/>
        <w:spacing w:line="480" w:lineRule="auto"/>
        <w:ind w:firstLine="2520" w:firstLineChars="1200"/>
        <w:rPr>
          <w:rFonts w:hint="eastAsia" w:ascii="宋体" w:hAnsi="宋体" w:cs="宋体"/>
          <w:szCs w:val="21"/>
        </w:rPr>
      </w:pPr>
      <w:r>
        <w:rPr>
          <w:rFonts w:hint="eastAsia" w:ascii="宋体" w:hAnsi="宋体" w:cs="宋体"/>
          <w:color w:val="000000"/>
          <w:kern w:val="0"/>
          <w:szCs w:val="21"/>
          <w:lang w:bidi="ar"/>
        </w:rPr>
        <w:t xml:space="preserve">企业名称（盖章）： </w:t>
      </w:r>
    </w:p>
    <w:p>
      <w:pPr>
        <w:widowControl/>
        <w:spacing w:line="480" w:lineRule="auto"/>
        <w:ind w:firstLine="2520" w:firstLineChars="1200"/>
        <w:rPr>
          <w:rFonts w:hint="eastAsia" w:ascii="宋体" w:hAnsi="宋体" w:cs="宋体"/>
          <w:szCs w:val="21"/>
        </w:rPr>
      </w:pPr>
      <w:r>
        <w:rPr>
          <w:rFonts w:hint="eastAsia" w:ascii="宋体" w:hAnsi="宋体" w:cs="宋体"/>
          <w:color w:val="000000"/>
          <w:kern w:val="0"/>
          <w:szCs w:val="21"/>
          <w:lang w:bidi="ar"/>
        </w:rPr>
        <w:t xml:space="preserve">日 期： </w:t>
      </w:r>
    </w:p>
    <w:p>
      <w:pPr>
        <w:spacing w:line="360" w:lineRule="auto"/>
        <w:rPr>
          <w:rFonts w:hint="eastAsia" w:ascii="宋体" w:hAnsi="宋体" w:cs="宋体"/>
          <w:b/>
          <w:spacing w:val="20"/>
          <w:szCs w:val="21"/>
        </w:rPr>
      </w:pPr>
      <w:r>
        <w:rPr>
          <w:rFonts w:hint="eastAsia" w:ascii="宋体" w:hAnsi="宋体" w:cs="宋体"/>
          <w:b/>
          <w:spacing w:val="20"/>
          <w:szCs w:val="21"/>
        </w:rPr>
        <w:t>注：1.从业人员、营业收入、资产总额填报上一年度数据，无上一年度数据的新成立企业可不填报。</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2.中标、成交供应商享受《政府采购促进中小企业发展管理办法》（财库[2020]46号）规定的中小企业扶持政策的，《中小企业声明函》随中标、成交结果公开。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22" w:firstLineChars="200"/>
        <w:rPr>
          <w:rFonts w:hint="eastAsia" w:ascii="宋体" w:hAnsi="宋体" w:cs="宋体"/>
          <w:b/>
          <w:szCs w:val="21"/>
        </w:rPr>
      </w:pPr>
      <w:r>
        <w:rPr>
          <w:rFonts w:hint="eastAsia" w:ascii="宋体" w:hAnsi="宋体" w:cs="宋体"/>
          <w:b/>
          <w:szCs w:val="21"/>
        </w:rPr>
        <w:t>4.本项目采购标的对应的中小企业划分标准所属行业：工业。</w:t>
      </w:r>
    </w:p>
    <w:p>
      <w:pPr>
        <w:snapToGrid w:val="0"/>
        <w:spacing w:before="50" w:after="156" w:afterLines="50"/>
        <w:jc w:val="left"/>
        <w:rPr>
          <w:rFonts w:hint="eastAsia" w:ascii="宋体" w:hAnsi="宋体" w:cs="宋体"/>
          <w:b/>
          <w:szCs w:val="21"/>
        </w:rPr>
      </w:pPr>
      <w:r>
        <w:rPr>
          <w:rFonts w:hint="eastAsia" w:ascii="宋体" w:hAnsi="宋体" w:cs="宋体"/>
          <w:b/>
          <w:szCs w:val="21"/>
        </w:rPr>
        <w:br w:type="page"/>
      </w:r>
      <w:r>
        <w:rPr>
          <w:rFonts w:hint="eastAsia" w:ascii="宋体" w:hAnsi="宋体" w:cs="宋体"/>
          <w:b/>
          <w:szCs w:val="21"/>
        </w:rPr>
        <w:t>格式四、</w:t>
      </w:r>
      <w:bookmarkStart w:id="12" w:name="OLE_LINK13"/>
      <w:bookmarkStart w:id="13" w:name="OLE_LINK14"/>
      <w:r>
        <w:rPr>
          <w:rFonts w:hint="eastAsia" w:ascii="宋体" w:hAnsi="宋体" w:cs="宋体"/>
          <w:b/>
          <w:bCs/>
          <w:szCs w:val="21"/>
        </w:rPr>
        <w:t>残疾人福利性单位声明函</w:t>
      </w:r>
    </w:p>
    <w:bookmarkEnd w:id="12"/>
    <w:bookmarkEnd w:id="13"/>
    <w:p>
      <w:pPr>
        <w:widowControl/>
        <w:spacing w:line="588" w:lineRule="atLeast"/>
        <w:jc w:val="center"/>
        <w:rPr>
          <w:rFonts w:hint="eastAsia" w:ascii="宋体" w:hAnsi="宋体" w:cs="宋体"/>
          <w:b/>
          <w:spacing w:val="6"/>
          <w:kern w:val="0"/>
          <w:szCs w:val="21"/>
        </w:rPr>
      </w:pPr>
      <w:r>
        <w:rPr>
          <w:rFonts w:hint="eastAsia" w:ascii="宋体" w:hAnsi="宋体" w:cs="宋体"/>
          <w:b/>
          <w:spacing w:val="6"/>
          <w:kern w:val="0"/>
          <w:szCs w:val="21"/>
        </w:rPr>
        <w:t>残疾人福利性单位声明函（货物）</w:t>
      </w:r>
    </w:p>
    <w:p>
      <w:pPr>
        <w:widowControl/>
        <w:spacing w:before="312" w:beforeLines="100" w:line="500" w:lineRule="exact"/>
        <w:ind w:firstLine="601"/>
        <w:rPr>
          <w:rFonts w:hint="eastAsia"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spacing w:line="500" w:lineRule="exact"/>
        <w:ind w:firstLine="600"/>
        <w:rPr>
          <w:rFonts w:hint="eastAsia"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hint="eastAsia" w:ascii="宋体" w:hAnsi="宋体" w:cs="宋体"/>
          <w:spacing w:val="6"/>
          <w:kern w:val="0"/>
          <w:szCs w:val="21"/>
        </w:rPr>
      </w:pPr>
    </w:p>
    <w:p>
      <w:pPr>
        <w:widowControl/>
        <w:spacing w:line="500" w:lineRule="exact"/>
        <w:ind w:right="1560" w:firstLine="600"/>
        <w:jc w:val="center"/>
        <w:rPr>
          <w:rFonts w:hint="eastAsia" w:ascii="宋体" w:hAnsi="宋体" w:cs="宋体"/>
          <w:szCs w:val="21"/>
        </w:rPr>
      </w:pPr>
      <w:r>
        <w:rPr>
          <w:rFonts w:hint="eastAsia" w:ascii="宋体" w:hAnsi="宋体" w:cs="宋体"/>
          <w:spacing w:val="6"/>
          <w:kern w:val="0"/>
          <w:szCs w:val="21"/>
        </w:rPr>
        <w:t xml:space="preserve">               </w:t>
      </w:r>
      <w:r>
        <w:rPr>
          <w:rFonts w:hint="eastAsia" w:ascii="宋体" w:hAnsi="宋体" w:cs="宋体"/>
          <w:szCs w:val="21"/>
        </w:rPr>
        <w:t>单位名称（盖章）：</w:t>
      </w:r>
    </w:p>
    <w:p>
      <w:pPr>
        <w:widowControl/>
        <w:spacing w:line="500" w:lineRule="exact"/>
        <w:ind w:right="1560" w:firstLine="600"/>
        <w:jc w:val="center"/>
        <w:rPr>
          <w:rFonts w:hint="eastAsia" w:ascii="宋体" w:hAnsi="宋体" w:cs="宋体"/>
          <w:szCs w:val="21"/>
        </w:rPr>
      </w:pPr>
      <w:r>
        <w:rPr>
          <w:rFonts w:hint="eastAsia" w:ascii="宋体" w:hAnsi="宋体" w:cs="宋体"/>
          <w:szCs w:val="21"/>
        </w:rPr>
        <w:t xml:space="preserve">       日  期：</w:t>
      </w:r>
    </w:p>
    <w:p>
      <w:pPr>
        <w:spacing w:before="312" w:beforeLines="100" w:line="440" w:lineRule="atLeast"/>
        <w:ind w:firstLine="444" w:firstLineChars="200"/>
        <w:rPr>
          <w:rFonts w:hint="eastAsia" w:ascii="宋体" w:hAnsi="宋体" w:cs="宋体"/>
          <w:spacing w:val="6"/>
          <w:szCs w:val="21"/>
        </w:rPr>
      </w:pPr>
    </w:p>
    <w:p>
      <w:pPr>
        <w:spacing w:before="312" w:beforeLines="100" w:line="440" w:lineRule="atLeast"/>
        <w:ind w:firstLine="444" w:firstLineChars="200"/>
        <w:rPr>
          <w:rFonts w:hint="eastAsia" w:ascii="宋体" w:hAnsi="宋体" w:cs="宋体"/>
          <w:spacing w:val="6"/>
          <w:szCs w:val="21"/>
        </w:rPr>
      </w:pPr>
    </w:p>
    <w:p>
      <w:pPr>
        <w:spacing w:line="360" w:lineRule="auto"/>
        <w:rPr>
          <w:rFonts w:hint="eastAsia"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hint="eastAsia"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szCs w:val="21"/>
        </w:rPr>
      </w:pPr>
      <w:r>
        <w:rPr>
          <w:rFonts w:hint="eastAsia" w:ascii="宋体" w:hAnsi="宋体" w:cs="宋体"/>
          <w:b/>
          <w:spacing w:val="20"/>
          <w:szCs w:val="21"/>
        </w:rPr>
        <w:br w:type="page"/>
      </w:r>
      <w:r>
        <w:rPr>
          <w:rFonts w:hint="eastAsia" w:ascii="宋体" w:hAnsi="宋体" w:cs="宋体"/>
          <w:b/>
          <w:spacing w:val="20"/>
          <w:szCs w:val="21"/>
        </w:rPr>
        <w:t>格式五、投标函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rPr>
      </w:pPr>
      <w:r>
        <w:rPr>
          <w:rFonts w:hint="eastAsia" w:ascii="宋体" w:hAnsi="宋体" w:cs="宋体"/>
          <w:spacing w:val="-4"/>
          <w:szCs w:val="21"/>
        </w:rPr>
        <w:t>致：</w:t>
      </w:r>
      <w:r>
        <w:rPr>
          <w:rFonts w:hint="eastAsia" w:ascii="宋体" w:hAnsi="宋体" w:cs="宋体"/>
          <w:szCs w:val="21"/>
        </w:rPr>
        <w:t>舟山市公安局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cs="宋体"/>
          <w:spacing w:val="-4"/>
          <w:szCs w:val="21"/>
        </w:rPr>
      </w:pPr>
      <w:r>
        <w:rPr>
          <w:rFonts w:hint="eastAsia" w:ascii="宋体" w:hAnsi="宋体" w:cs="宋体"/>
          <w:szCs w:val="21"/>
        </w:rPr>
        <w:t>中金招标有限责任公司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szCs w:val="21"/>
        </w:rPr>
      </w:pPr>
      <w:r>
        <w:rPr>
          <w:rFonts w:hint="eastAsia" w:ascii="宋体" w:hAnsi="宋体" w:cs="宋体"/>
          <w:szCs w:val="21"/>
        </w:rPr>
        <w:t>我方</w:t>
      </w:r>
      <w:r>
        <w:rPr>
          <w:rFonts w:hint="eastAsia" w:ascii="宋体" w:hAnsi="宋体" w:cs="宋体"/>
          <w:b/>
          <w:szCs w:val="21"/>
          <w:u w:val="single"/>
        </w:rPr>
        <w:t>（投标人名称）</w:t>
      </w:r>
      <w:r>
        <w:rPr>
          <w:rFonts w:hint="eastAsia" w:ascii="宋体" w:hAnsi="宋体" w:cs="宋体"/>
          <w:szCs w:val="21"/>
        </w:rPr>
        <w:t>已详细审查了</w:t>
      </w:r>
      <w:r>
        <w:rPr>
          <w:rFonts w:hint="eastAsia" w:ascii="宋体" w:hAnsi="宋体" w:cs="宋体"/>
          <w:b/>
          <w:szCs w:val="21"/>
          <w:u w:val="single"/>
        </w:rPr>
        <w:t xml:space="preserve">（项目编号）（项目名称）    </w:t>
      </w:r>
      <w:r>
        <w:rPr>
          <w:rFonts w:hint="eastAsia" w:ascii="宋体" w:hAnsi="宋体" w:cs="宋体"/>
          <w:szCs w:val="21"/>
        </w:rPr>
        <w:t>的招标文件及其相关补充文件</w:t>
      </w:r>
      <w:r>
        <w:rPr>
          <w:rFonts w:hint="eastAsia" w:ascii="宋体" w:hAnsi="宋体" w:cs="宋体"/>
          <w:b/>
          <w:szCs w:val="21"/>
        </w:rPr>
        <w:t>（若有）</w:t>
      </w:r>
      <w:r>
        <w:rPr>
          <w:rFonts w:hint="eastAsia" w:ascii="宋体" w:hAnsi="宋体" w:cs="宋体"/>
          <w:szCs w:val="21"/>
        </w:rPr>
        <w:t>，并正式授权我公司的</w:t>
      </w:r>
      <w:r>
        <w:rPr>
          <w:rFonts w:hint="eastAsia" w:ascii="宋体" w:hAnsi="宋体" w:cs="宋体"/>
          <w:b/>
          <w:szCs w:val="21"/>
          <w:u w:val="single"/>
        </w:rPr>
        <w:t>（被授权人姓名）</w:t>
      </w:r>
      <w:r>
        <w:rPr>
          <w:rFonts w:hint="eastAsia" w:ascii="宋体" w:hAnsi="宋体" w:cs="宋体"/>
          <w:szCs w:val="21"/>
        </w:rPr>
        <w:t>以本公司名义，全权代表我方自愿参加上述采购项目的投标，现就有关事项向采购代理机构郑重承诺如下：</w:t>
      </w:r>
    </w:p>
    <w:p>
      <w:pPr>
        <w:keepNext w:val="0"/>
        <w:keepLines w:val="0"/>
        <w:pageBreakBefore w:val="0"/>
        <w:widowControl w:val="0"/>
        <w:kinsoku/>
        <w:wordWrap/>
        <w:overflowPunct/>
        <w:topLinePunct w:val="0"/>
        <w:autoSpaceDE/>
        <w:autoSpaceDN/>
        <w:bidi w:val="0"/>
        <w:adjustRightInd/>
        <w:snapToGrid/>
        <w:spacing w:line="400" w:lineRule="exact"/>
        <w:ind w:right="-91" w:firstLine="420" w:firstLineChars="200"/>
        <w:textAlignment w:val="auto"/>
        <w:rPr>
          <w:rFonts w:hint="eastAsia" w:ascii="宋体" w:hAnsi="宋体" w:cs="宋体"/>
          <w:szCs w:val="21"/>
        </w:rPr>
      </w:pPr>
      <w:r>
        <w:rPr>
          <w:rFonts w:hint="eastAsia" w:ascii="宋体" w:hAnsi="宋体" w:cs="宋体"/>
          <w:szCs w:val="21"/>
        </w:rPr>
        <w:t>1、我方已详细审查了招标文件的全部内容及其相关补充文件</w:t>
      </w:r>
      <w:r>
        <w:rPr>
          <w:rFonts w:hint="eastAsia" w:ascii="宋体" w:hAnsi="宋体" w:cs="宋体"/>
          <w:b/>
          <w:szCs w:val="21"/>
        </w:rPr>
        <w:t>（若有）</w:t>
      </w:r>
      <w:r>
        <w:rPr>
          <w:rFonts w:hint="eastAsia" w:ascii="宋体" w:hAnsi="宋体" w:cs="宋体"/>
          <w:szCs w:val="21"/>
        </w:rPr>
        <w:t>，并完全清晰理解全部内容及相关的补充文件</w:t>
      </w:r>
      <w:r>
        <w:rPr>
          <w:rFonts w:hint="eastAsia" w:ascii="宋体" w:hAnsi="宋体" w:cs="宋体"/>
          <w:b/>
          <w:szCs w:val="21"/>
        </w:rPr>
        <w:t>（若有）</w:t>
      </w:r>
      <w:r>
        <w:rPr>
          <w:rFonts w:hint="eastAsia" w:ascii="宋体" w:hAnsi="宋体" w:cs="宋体"/>
          <w:szCs w:val="21"/>
        </w:rPr>
        <w:t>，不存在任何误解之处，同意放弃提出异议和质疑的权利。</w:t>
      </w:r>
    </w:p>
    <w:p>
      <w:pPr>
        <w:keepNext w:val="0"/>
        <w:keepLines w:val="0"/>
        <w:pageBreakBefore w:val="0"/>
        <w:widowControl w:val="0"/>
        <w:kinsoku/>
        <w:wordWrap/>
        <w:overflowPunct/>
        <w:topLinePunct w:val="0"/>
        <w:autoSpaceDE/>
        <w:autoSpaceDN/>
        <w:bidi w:val="0"/>
        <w:adjustRightInd/>
        <w:snapToGrid/>
        <w:spacing w:line="400" w:lineRule="exact"/>
        <w:ind w:right="-89" w:firstLine="404" w:firstLineChars="200"/>
        <w:jc w:val="left"/>
        <w:textAlignment w:val="auto"/>
        <w:rPr>
          <w:rFonts w:hint="eastAsia" w:ascii="宋体" w:hAnsi="宋体" w:cs="宋体"/>
          <w:spacing w:val="-4"/>
          <w:szCs w:val="21"/>
        </w:rPr>
      </w:pPr>
      <w:r>
        <w:rPr>
          <w:rFonts w:hint="eastAsia" w:ascii="宋体" w:hAnsi="宋体" w:cs="宋体"/>
          <w:spacing w:val="-4"/>
          <w:szCs w:val="21"/>
        </w:rPr>
        <w:t>2、在项目实施过程中，我方完全响应招标文件的所有条款，履行合同义务。执行标准绝不低于招标文件的标准要求。</w:t>
      </w:r>
    </w:p>
    <w:p>
      <w:pPr>
        <w:keepNext w:val="0"/>
        <w:keepLines w:val="0"/>
        <w:pageBreakBefore w:val="0"/>
        <w:widowControl w:val="0"/>
        <w:kinsoku/>
        <w:wordWrap/>
        <w:overflowPunct/>
        <w:topLinePunct w:val="0"/>
        <w:autoSpaceDE/>
        <w:autoSpaceDN/>
        <w:bidi w:val="0"/>
        <w:adjustRightInd/>
        <w:snapToGrid/>
        <w:spacing w:line="400" w:lineRule="exact"/>
        <w:ind w:right="-89" w:firstLine="404" w:firstLineChars="200"/>
        <w:jc w:val="left"/>
        <w:textAlignment w:val="auto"/>
        <w:rPr>
          <w:rFonts w:hint="eastAsia" w:ascii="宋体" w:hAnsi="宋体" w:cs="宋体"/>
          <w:spacing w:val="-4"/>
          <w:szCs w:val="21"/>
        </w:rPr>
      </w:pPr>
      <w:r>
        <w:rPr>
          <w:rFonts w:hint="eastAsia" w:ascii="宋体" w:hAnsi="宋体" w:cs="宋体"/>
          <w:spacing w:val="-4"/>
          <w:szCs w:val="21"/>
          <w:lang w:val="en-US" w:eastAsia="zh-CN"/>
        </w:rPr>
        <w:t>3</w:t>
      </w:r>
      <w:r>
        <w:rPr>
          <w:rFonts w:hint="eastAsia" w:ascii="宋体" w:hAnsi="宋体" w:cs="宋体"/>
          <w:spacing w:val="-4"/>
          <w:szCs w:val="21"/>
        </w:rPr>
        <w:t>、我方遵守《中华人民共和国政府采购法》及相关法律法规的规定。同意招标文件中所提到的无效标条款，并服从有关开标现场的会议纪律。否则，同意被废除投标资格。</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ascii="宋体" w:hAnsi="宋体" w:cs="宋体"/>
          <w:spacing w:val="-4"/>
          <w:szCs w:val="21"/>
        </w:rPr>
      </w:pPr>
      <w:r>
        <w:rPr>
          <w:rFonts w:hint="eastAsia" w:ascii="宋体" w:hAnsi="宋体" w:cs="宋体"/>
          <w:spacing w:val="-4"/>
          <w:szCs w:val="21"/>
          <w:lang w:val="en-US" w:eastAsia="zh-CN"/>
        </w:rPr>
        <w:t>4</w:t>
      </w:r>
      <w:r>
        <w:rPr>
          <w:rFonts w:hint="eastAsia" w:ascii="宋体" w:hAnsi="宋体" w:cs="宋体"/>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ascii="宋体" w:hAnsi="宋体" w:cs="宋体"/>
          <w:spacing w:val="-4"/>
          <w:szCs w:val="21"/>
        </w:rPr>
      </w:pPr>
      <w:r>
        <w:rPr>
          <w:rFonts w:hint="eastAsia" w:ascii="宋体" w:hAnsi="宋体" w:cs="宋体"/>
          <w:spacing w:val="-4"/>
          <w:szCs w:val="21"/>
          <w:lang w:val="en-US" w:eastAsia="zh-CN"/>
        </w:rPr>
        <w:t>5</w:t>
      </w:r>
      <w:r>
        <w:rPr>
          <w:rFonts w:hint="eastAsia" w:ascii="宋体" w:hAnsi="宋体" w:cs="宋体"/>
          <w:spacing w:val="-4"/>
          <w:szCs w:val="21"/>
        </w:rPr>
        <w:t>、我方所提供的一次性投标报价具有充分的合理性和准确性，保证不存在低于成本的恶意报价行为，同时清楚理解到报价最低并非意味着必定获得合同授予资格。</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ascii="宋体" w:hAnsi="宋体" w:cs="宋体"/>
          <w:spacing w:val="-4"/>
          <w:szCs w:val="21"/>
        </w:rPr>
      </w:pPr>
      <w:r>
        <w:rPr>
          <w:rFonts w:hint="eastAsia" w:ascii="宋体" w:hAnsi="宋体" w:cs="宋体"/>
          <w:spacing w:val="-4"/>
          <w:szCs w:val="21"/>
          <w:lang w:val="en-US" w:eastAsia="zh-CN"/>
        </w:rPr>
        <w:t>6</w:t>
      </w:r>
      <w:r>
        <w:rPr>
          <w:rFonts w:hint="eastAsia" w:ascii="宋体" w:hAnsi="宋体" w:cs="宋体"/>
          <w:spacing w:val="-4"/>
          <w:szCs w:val="21"/>
        </w:rPr>
        <w:t>、投标有效期为自开标之日起</w:t>
      </w:r>
      <w:r>
        <w:rPr>
          <w:rFonts w:hint="eastAsia" w:ascii="宋体" w:hAnsi="宋体" w:cs="宋体"/>
          <w:spacing w:val="-4"/>
          <w:szCs w:val="21"/>
          <w:u w:val="single"/>
        </w:rPr>
        <w:t>90</w:t>
      </w:r>
      <w:r>
        <w:rPr>
          <w:rFonts w:hint="eastAsia" w:ascii="宋体" w:hAnsi="宋体" w:cs="宋体"/>
          <w:spacing w:val="-4"/>
          <w:szCs w:val="21"/>
        </w:rPr>
        <w:t>天内，如在投标有效期内撤回投标，我方同意被废除投标资格。</w:t>
      </w:r>
    </w:p>
    <w:p>
      <w:pPr>
        <w:keepNext w:val="0"/>
        <w:keepLines w:val="0"/>
        <w:pageBreakBefore w:val="0"/>
        <w:widowControl w:val="0"/>
        <w:kinsoku/>
        <w:wordWrap/>
        <w:overflowPunct/>
        <w:topLinePunct w:val="0"/>
        <w:autoSpaceDE/>
        <w:autoSpaceDN/>
        <w:bidi w:val="0"/>
        <w:adjustRightInd/>
        <w:snapToGrid/>
        <w:spacing w:line="400" w:lineRule="exact"/>
        <w:ind w:firstLine="435"/>
        <w:jc w:val="left"/>
        <w:textAlignment w:val="auto"/>
        <w:rPr>
          <w:rFonts w:hint="eastAsia" w:ascii="宋体" w:hAnsi="宋体" w:cs="宋体"/>
          <w:spacing w:val="-4"/>
          <w:szCs w:val="21"/>
        </w:rPr>
      </w:pPr>
      <w:r>
        <w:rPr>
          <w:rFonts w:hint="eastAsia" w:ascii="宋体" w:hAnsi="宋体" w:cs="宋体"/>
          <w:spacing w:val="-4"/>
          <w:szCs w:val="21"/>
          <w:lang w:val="en-US" w:eastAsia="zh-CN"/>
        </w:rPr>
        <w:t>7</w:t>
      </w:r>
      <w:r>
        <w:rPr>
          <w:rFonts w:hint="eastAsia" w:ascii="宋体" w:hAnsi="宋体" w:cs="宋体"/>
          <w:spacing w:val="-4"/>
          <w:szCs w:val="21"/>
        </w:rPr>
        <w:t>、我方承诺参加本次政府采购活动前3年内在经营活动中没有重大违法记录。</w:t>
      </w:r>
    </w:p>
    <w:p>
      <w:pPr>
        <w:keepNext w:val="0"/>
        <w:keepLines w:val="0"/>
        <w:pageBreakBefore w:val="0"/>
        <w:widowControl w:val="0"/>
        <w:kinsoku/>
        <w:wordWrap/>
        <w:overflowPunct/>
        <w:topLinePunct w:val="0"/>
        <w:autoSpaceDE/>
        <w:autoSpaceDN/>
        <w:bidi w:val="0"/>
        <w:adjustRightInd/>
        <w:snapToGrid/>
        <w:spacing w:line="400" w:lineRule="exact"/>
        <w:ind w:firstLine="435"/>
        <w:jc w:val="left"/>
        <w:textAlignment w:val="auto"/>
        <w:rPr>
          <w:rFonts w:hint="eastAsia" w:ascii="宋体" w:hAnsi="宋体" w:cs="宋体"/>
          <w:spacing w:val="-4"/>
          <w:szCs w:val="21"/>
        </w:rPr>
      </w:pPr>
      <w:r>
        <w:rPr>
          <w:rFonts w:hint="eastAsia" w:ascii="宋体" w:hAnsi="宋体" w:cs="宋体"/>
          <w:spacing w:val="-4"/>
          <w:szCs w:val="21"/>
          <w:lang w:val="en-US" w:eastAsia="zh-CN"/>
        </w:rPr>
        <w:t>8</w:t>
      </w:r>
      <w:r>
        <w:rPr>
          <w:rFonts w:hint="eastAsia" w:ascii="宋体" w:hAnsi="宋体" w:cs="宋体"/>
          <w:spacing w:val="-4"/>
          <w:szCs w:val="21"/>
        </w:rPr>
        <w:t>、我方承诺具备履行合同所必需的设备和专业技术能力。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jc w:val="left"/>
        <w:textAlignment w:val="auto"/>
        <w:rPr>
          <w:rFonts w:hint="eastAsia" w:ascii="宋体" w:hAnsi="宋体" w:cs="宋体"/>
          <w:spacing w:val="-4"/>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投标人名称：</w:t>
      </w:r>
      <w:r>
        <w:rPr>
          <w:rFonts w:hint="eastAsia" w:ascii="宋体" w:hAnsi="宋体" w:cs="宋体"/>
          <w:spacing w:val="20"/>
          <w:szCs w:val="21"/>
          <w:u w:val="single"/>
        </w:rPr>
        <w:t xml:space="preserve">                  </w:t>
      </w:r>
      <w:r>
        <w:rPr>
          <w:rFonts w:hint="eastAsia" w:ascii="宋体" w:hAnsi="宋体" w:cs="宋体"/>
          <w:spacing w:val="-4"/>
          <w:szCs w:val="21"/>
        </w:rPr>
        <w:t xml:space="preserve">（加盖公章） </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ascii="宋体" w:hAnsi="宋体" w:cs="宋体"/>
          <w:szCs w:val="21"/>
        </w:rPr>
      </w:pPr>
      <w:r>
        <w:rPr>
          <w:rFonts w:hint="eastAsia" w:ascii="宋体" w:hAnsi="宋体" w:cs="宋体"/>
          <w:spacing w:val="-4"/>
          <w:szCs w:val="21"/>
        </w:rPr>
        <w:t>法定代表人</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（签字或盖章）</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jc w:val="left"/>
        <w:textAlignment w:val="auto"/>
        <w:rPr>
          <w:rFonts w:hint="eastAsia" w:ascii="宋体" w:hAnsi="宋体" w:cs="宋体"/>
          <w:spacing w:val="-4"/>
          <w:szCs w:val="21"/>
        </w:rPr>
      </w:pPr>
      <w:r>
        <w:rPr>
          <w:rFonts w:hint="eastAsia" w:ascii="宋体" w:hAnsi="宋体" w:cs="宋体"/>
          <w:spacing w:val="-4"/>
          <w:szCs w:val="21"/>
        </w:rPr>
        <w:t>投标人代表：</w:t>
      </w:r>
      <w:r>
        <w:rPr>
          <w:rFonts w:hint="eastAsia" w:ascii="宋体" w:hAnsi="宋体" w:cs="宋体"/>
          <w:spacing w:val="20"/>
          <w:szCs w:val="21"/>
          <w:u w:val="single"/>
        </w:rPr>
        <w:t xml:space="preserve">                  </w:t>
      </w:r>
      <w:r>
        <w:rPr>
          <w:rFonts w:hint="eastAsia" w:ascii="宋体" w:hAnsi="宋体" w:cs="宋体"/>
          <w:spacing w:val="-4"/>
          <w:szCs w:val="21"/>
        </w:rPr>
        <w:t xml:space="preserve">（签字） </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ascii="宋体" w:hAnsi="宋体" w:cs="宋体"/>
          <w:spacing w:val="20"/>
          <w:szCs w:val="21"/>
          <w:u w:val="single"/>
        </w:rPr>
      </w:pPr>
      <w:r>
        <w:rPr>
          <w:rFonts w:hint="eastAsia" w:ascii="宋体" w:hAnsi="宋体" w:cs="宋体"/>
          <w:spacing w:val="-4"/>
          <w:szCs w:val="21"/>
        </w:rPr>
        <w:t>投标人地址：</w:t>
      </w:r>
      <w:r>
        <w:rPr>
          <w:rFonts w:hint="eastAsia" w:ascii="宋体" w:hAnsi="宋体" w:cs="宋体"/>
          <w:spacing w:val="20"/>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04" w:firstLineChars="200"/>
        <w:textAlignment w:val="auto"/>
        <w:rPr>
          <w:rFonts w:hint="eastAsia" w:ascii="宋体" w:hAnsi="宋体" w:cs="宋体"/>
          <w:spacing w:val="-4"/>
          <w:szCs w:val="21"/>
        </w:rPr>
      </w:pPr>
      <w:r>
        <w:rPr>
          <w:rFonts w:hint="eastAsia" w:ascii="宋体" w:hAnsi="宋体" w:cs="宋体"/>
          <w:spacing w:val="-4"/>
          <w:szCs w:val="21"/>
        </w:rPr>
        <w:t>日期：</w:t>
      </w:r>
      <w:r>
        <w:rPr>
          <w:rFonts w:hint="eastAsia" w:ascii="宋体" w:hAnsi="宋体" w:cs="宋体"/>
          <w:spacing w:val="-4"/>
          <w:szCs w:val="21"/>
          <w:u w:val="single"/>
        </w:rPr>
        <w:t xml:space="preserve">     </w:t>
      </w:r>
      <w:r>
        <w:rPr>
          <w:rFonts w:hint="eastAsia" w:ascii="宋体" w:hAnsi="宋体" w:cs="宋体"/>
          <w:spacing w:val="-4"/>
          <w:szCs w:val="21"/>
        </w:rPr>
        <w:t>年</w:t>
      </w:r>
      <w:r>
        <w:rPr>
          <w:rFonts w:hint="eastAsia" w:ascii="宋体" w:hAnsi="宋体" w:cs="宋体"/>
          <w:spacing w:val="-4"/>
          <w:szCs w:val="21"/>
          <w:u w:val="single"/>
        </w:rPr>
        <w:t xml:space="preserve">    </w:t>
      </w:r>
      <w:r>
        <w:rPr>
          <w:rFonts w:hint="eastAsia" w:ascii="宋体" w:hAnsi="宋体" w:cs="宋体"/>
          <w:spacing w:val="-4"/>
          <w:szCs w:val="21"/>
        </w:rPr>
        <w:t>月</w:t>
      </w:r>
      <w:r>
        <w:rPr>
          <w:rFonts w:hint="eastAsia" w:ascii="宋体" w:hAnsi="宋体" w:cs="宋体"/>
          <w:spacing w:val="-4"/>
          <w:szCs w:val="21"/>
          <w:u w:val="single"/>
        </w:rPr>
        <w:t xml:space="preserve">   </w:t>
      </w:r>
      <w:r>
        <w:rPr>
          <w:rFonts w:hint="eastAsia" w:ascii="宋体" w:hAnsi="宋体" w:cs="宋体"/>
          <w:spacing w:val="-4"/>
          <w:szCs w:val="21"/>
        </w:rPr>
        <w:t xml:space="preserve">日 </w:t>
      </w:r>
    </w:p>
    <w:p>
      <w:pPr>
        <w:spacing w:line="360" w:lineRule="auto"/>
        <w:jc w:val="left"/>
        <w:rPr>
          <w:rFonts w:hint="eastAsia" w:ascii="宋体" w:hAnsi="宋体" w:cs="宋体"/>
          <w:b/>
          <w:spacing w:val="20"/>
          <w:szCs w:val="21"/>
        </w:rPr>
      </w:pPr>
    </w:p>
    <w:p>
      <w:pPr>
        <w:spacing w:line="360" w:lineRule="auto"/>
        <w:jc w:val="left"/>
        <w:rPr>
          <w:rFonts w:hint="eastAsia" w:ascii="宋体" w:hAnsi="宋体" w:cs="宋体"/>
          <w:b/>
          <w:szCs w:val="21"/>
        </w:rPr>
      </w:pPr>
      <w:r>
        <w:rPr>
          <w:rFonts w:hint="eastAsia" w:ascii="宋体" w:hAnsi="宋体" w:cs="宋体"/>
          <w:b/>
          <w:spacing w:val="20"/>
          <w:szCs w:val="21"/>
        </w:rPr>
        <w:br w:type="page"/>
      </w:r>
      <w:r>
        <w:rPr>
          <w:rFonts w:hint="eastAsia" w:ascii="宋体" w:hAnsi="宋体" w:cs="宋体"/>
          <w:b/>
          <w:spacing w:val="20"/>
          <w:szCs w:val="21"/>
        </w:rPr>
        <w:t>格式六、法定代表人授权函</w:t>
      </w:r>
    </w:p>
    <w:p>
      <w:pPr>
        <w:spacing w:line="360" w:lineRule="auto"/>
        <w:jc w:val="left"/>
        <w:rPr>
          <w:rFonts w:hint="eastAsia" w:ascii="宋体" w:hAnsi="宋体" w:cs="宋体"/>
          <w:spacing w:val="-4"/>
          <w:szCs w:val="21"/>
        </w:rPr>
      </w:pPr>
      <w:r>
        <w:rPr>
          <w:rFonts w:hint="eastAsia" w:ascii="宋体" w:hAnsi="宋体" w:cs="宋体"/>
          <w:spacing w:val="-4"/>
          <w:szCs w:val="21"/>
        </w:rPr>
        <w:t>致：</w:t>
      </w:r>
      <w:r>
        <w:rPr>
          <w:rFonts w:hint="eastAsia" w:ascii="宋体" w:hAnsi="宋体" w:cs="宋体"/>
          <w:szCs w:val="21"/>
        </w:rPr>
        <w:t>舟山市公安局</w:t>
      </w:r>
    </w:p>
    <w:p>
      <w:pPr>
        <w:spacing w:line="360" w:lineRule="auto"/>
        <w:ind w:right="-89" w:firstLine="420" w:firstLineChars="200"/>
        <w:jc w:val="left"/>
        <w:rPr>
          <w:rFonts w:hint="eastAsia" w:ascii="宋体" w:hAnsi="宋体" w:cs="宋体"/>
          <w:szCs w:val="21"/>
        </w:rPr>
      </w:pPr>
      <w:r>
        <w:rPr>
          <w:rFonts w:hint="eastAsia" w:ascii="宋体" w:hAnsi="宋体" w:cs="宋体"/>
          <w:szCs w:val="21"/>
        </w:rPr>
        <w:t>中金招标有限责任公司</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我</w:t>
      </w:r>
      <w:r>
        <w:rPr>
          <w:rFonts w:hint="eastAsia" w:ascii="宋体" w:hAnsi="宋体" w:cs="宋体"/>
          <w:spacing w:val="-4"/>
          <w:szCs w:val="21"/>
          <w:u w:val="single"/>
        </w:rPr>
        <w:t xml:space="preserve">              </w:t>
      </w:r>
      <w:r>
        <w:rPr>
          <w:rFonts w:hint="eastAsia" w:ascii="宋体" w:hAnsi="宋体" w:cs="宋体"/>
          <w:spacing w:val="-4"/>
          <w:szCs w:val="21"/>
        </w:rPr>
        <w:t>（姓名）系</w:t>
      </w:r>
      <w:r>
        <w:rPr>
          <w:rFonts w:hint="eastAsia" w:ascii="宋体" w:hAnsi="宋体" w:cs="宋体"/>
          <w:spacing w:val="-4"/>
          <w:szCs w:val="21"/>
          <w:u w:val="single"/>
        </w:rPr>
        <w:t xml:space="preserve">             </w:t>
      </w:r>
      <w:r>
        <w:rPr>
          <w:rFonts w:hint="eastAsia" w:ascii="宋体" w:hAnsi="宋体" w:cs="宋体"/>
          <w:spacing w:val="-4"/>
          <w:szCs w:val="21"/>
        </w:rPr>
        <w:t>（投标人名称）的法定代表人，现授权委托本单位在职职工</w:t>
      </w:r>
      <w:r>
        <w:rPr>
          <w:rFonts w:hint="eastAsia" w:ascii="宋体" w:hAnsi="宋体" w:cs="宋体"/>
          <w:spacing w:val="-4"/>
          <w:szCs w:val="21"/>
          <w:u w:val="single"/>
        </w:rPr>
        <w:t xml:space="preserve">                   </w:t>
      </w:r>
      <w:r>
        <w:rPr>
          <w:rFonts w:hint="eastAsia" w:ascii="宋体" w:hAnsi="宋体" w:cs="宋体"/>
          <w:spacing w:val="-4"/>
          <w:szCs w:val="21"/>
        </w:rPr>
        <w:t>（姓名）(身份证号码：</w:t>
      </w:r>
      <w:r>
        <w:rPr>
          <w:rFonts w:hint="eastAsia" w:ascii="宋体" w:hAnsi="宋体" w:cs="宋体"/>
          <w:spacing w:val="-4"/>
          <w:szCs w:val="21"/>
          <w:u w:val="single"/>
        </w:rPr>
        <w:t xml:space="preserve">                                </w:t>
      </w:r>
      <w:r>
        <w:rPr>
          <w:rFonts w:hint="eastAsia" w:ascii="宋体" w:hAnsi="宋体" w:cs="宋体"/>
          <w:spacing w:val="-4"/>
          <w:szCs w:val="21"/>
        </w:rPr>
        <w:t>)以我方的名义参加</w:t>
      </w:r>
      <w:r>
        <w:rPr>
          <w:rFonts w:hint="eastAsia" w:ascii="宋体" w:hAnsi="宋体" w:cs="宋体"/>
          <w:spacing w:val="-4"/>
          <w:szCs w:val="21"/>
          <w:u w:val="single"/>
        </w:rPr>
        <w:t xml:space="preserve">                           </w:t>
      </w:r>
      <w:r>
        <w:rPr>
          <w:rFonts w:hint="eastAsia" w:ascii="宋体" w:hAnsi="宋体" w:cs="宋体"/>
          <w:spacing w:val="-4"/>
          <w:szCs w:val="21"/>
        </w:rPr>
        <w:t>（项目名称）（项目编号）的投标活动，并代表我方全权办理针对上述项目的投标、开标、评标、签约等具体事务和签署相关文件。</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我方对被授权人的签名负全部责任。</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在撤销授权的书面通知以前，本授权函一直有效。被授权人在授权函有效期内签署的所有文件不因授权的撤销而失效。</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被授权人无转委托权，特此委托。</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 xml:space="preserve">被授权人（签字）：                           法定代表人（签字或盖章）：          </w:t>
      </w:r>
    </w:p>
    <w:p>
      <w:pPr>
        <w:spacing w:line="360" w:lineRule="auto"/>
        <w:ind w:right="-89" w:firstLine="404" w:firstLineChars="200"/>
        <w:jc w:val="left"/>
        <w:rPr>
          <w:rFonts w:hint="eastAsia" w:ascii="宋体" w:hAnsi="宋体" w:cs="宋体"/>
          <w:spacing w:val="-4"/>
          <w:szCs w:val="21"/>
        </w:rPr>
      </w:pPr>
      <w:r>
        <w:rPr>
          <w:rFonts w:hint="eastAsia" w:ascii="宋体" w:hAnsi="宋体" w:cs="宋体"/>
          <w:spacing w:val="-4"/>
          <w:szCs w:val="21"/>
        </w:rPr>
        <w:t xml:space="preserve">被授权人联系电话：                          </w:t>
      </w:r>
      <w:r>
        <w:rPr>
          <w:rFonts w:ascii="宋体" w:hAnsi="宋体" w:cs="宋体"/>
          <w:spacing w:val="-4"/>
          <w:szCs w:val="21"/>
        </w:rPr>
        <w:t xml:space="preserve"> </w:t>
      </w:r>
      <w:r>
        <w:rPr>
          <w:rFonts w:hint="eastAsia" w:ascii="宋体" w:hAnsi="宋体" w:cs="宋体"/>
          <w:spacing w:val="-4"/>
          <w:szCs w:val="21"/>
        </w:rPr>
        <w:t>法定代表人联系电话：</w:t>
      </w:r>
    </w:p>
    <w:p>
      <w:pPr>
        <w:spacing w:line="360" w:lineRule="auto"/>
        <w:ind w:right="-89" w:firstLine="4444" w:firstLineChars="2200"/>
        <w:jc w:val="left"/>
        <w:rPr>
          <w:rFonts w:hint="eastAsia" w:ascii="宋体" w:hAnsi="宋体" w:cs="宋体"/>
          <w:spacing w:val="-4"/>
          <w:szCs w:val="21"/>
        </w:rPr>
      </w:pPr>
    </w:p>
    <w:p>
      <w:pPr>
        <w:spacing w:line="360" w:lineRule="auto"/>
        <w:ind w:right="-89" w:firstLine="4444" w:firstLineChars="2200"/>
        <w:jc w:val="left"/>
        <w:rPr>
          <w:rFonts w:hint="eastAsia" w:ascii="宋体" w:hAnsi="宋体" w:cs="宋体"/>
          <w:spacing w:val="-4"/>
          <w:szCs w:val="21"/>
        </w:rPr>
      </w:pPr>
    </w:p>
    <w:p>
      <w:pPr>
        <w:spacing w:line="360" w:lineRule="auto"/>
        <w:ind w:right="-89" w:firstLine="4444" w:firstLineChars="2200"/>
        <w:jc w:val="left"/>
        <w:rPr>
          <w:rFonts w:hint="eastAsia" w:ascii="宋体" w:hAnsi="宋体" w:cs="宋体"/>
          <w:spacing w:val="-4"/>
          <w:szCs w:val="21"/>
        </w:rPr>
      </w:pPr>
      <w:r>
        <w:rPr>
          <w:rFonts w:hint="eastAsia" w:ascii="宋体" w:hAnsi="宋体" w:cs="宋体"/>
          <w:spacing w:val="-4"/>
          <w:szCs w:val="21"/>
        </w:rPr>
        <w:t xml:space="preserve">   投标人公章：</w:t>
      </w:r>
    </w:p>
    <w:p>
      <w:pPr>
        <w:spacing w:line="360" w:lineRule="auto"/>
        <w:rPr>
          <w:rFonts w:hint="eastAsia" w:ascii="宋体" w:hAnsi="宋体" w:cs="宋体"/>
          <w:spacing w:val="-4"/>
          <w:szCs w:val="21"/>
        </w:rPr>
      </w:pPr>
      <w:r>
        <w:rPr>
          <w:rFonts w:hint="eastAsia" w:ascii="宋体" w:hAnsi="宋体" w:cs="宋体"/>
          <w:spacing w:val="-4"/>
          <w:szCs w:val="21"/>
        </w:rPr>
        <w:t xml:space="preserve">                                                 </w:t>
      </w:r>
      <w:r>
        <w:rPr>
          <w:rFonts w:hint="eastAsia" w:ascii="宋体" w:hAnsi="宋体" w:cs="宋体"/>
          <w:spacing w:val="-4"/>
          <w:szCs w:val="21"/>
          <w:u w:val="single"/>
        </w:rPr>
        <w:t xml:space="preserve">        </w:t>
      </w:r>
      <w:r>
        <w:rPr>
          <w:rFonts w:hint="eastAsia" w:ascii="宋体" w:hAnsi="宋体" w:cs="宋体"/>
          <w:spacing w:val="-4"/>
          <w:szCs w:val="21"/>
        </w:rPr>
        <w:t xml:space="preserve"> 年</w:t>
      </w:r>
      <w:r>
        <w:rPr>
          <w:rFonts w:hint="eastAsia" w:ascii="宋体" w:hAnsi="宋体" w:cs="宋体"/>
          <w:spacing w:val="-4"/>
          <w:szCs w:val="21"/>
          <w:u w:val="single"/>
        </w:rPr>
        <w:t xml:space="preserve">    </w:t>
      </w:r>
      <w:r>
        <w:rPr>
          <w:rFonts w:hint="eastAsia" w:ascii="宋体" w:hAnsi="宋体" w:cs="宋体"/>
          <w:spacing w:val="-4"/>
          <w:szCs w:val="21"/>
        </w:rPr>
        <w:t>月</w:t>
      </w:r>
      <w:r>
        <w:rPr>
          <w:rFonts w:hint="eastAsia" w:ascii="宋体" w:hAnsi="宋体" w:cs="宋体"/>
          <w:spacing w:val="-4"/>
          <w:szCs w:val="21"/>
          <w:u w:val="single"/>
        </w:rPr>
        <w:t xml:space="preserve">    </w:t>
      </w:r>
      <w:r>
        <w:rPr>
          <w:rFonts w:hint="eastAsia" w:ascii="宋体" w:hAnsi="宋体" w:cs="宋体"/>
          <w:spacing w:val="-4"/>
          <w:szCs w:val="21"/>
        </w:rPr>
        <w:t>日</w:t>
      </w:r>
    </w:p>
    <w:p>
      <w:pPr>
        <w:spacing w:line="360" w:lineRule="auto"/>
        <w:rPr>
          <w:rFonts w:hint="eastAsia" w:ascii="宋体" w:hAnsi="宋体" w:cs="宋体"/>
          <w:spacing w:val="-4"/>
          <w:szCs w:val="21"/>
        </w:rPr>
      </w:pPr>
    </w:p>
    <w:p>
      <w:pPr>
        <w:adjustRightInd w:val="0"/>
        <w:spacing w:line="360" w:lineRule="auto"/>
        <w:textAlignment w:val="baseline"/>
        <w:rPr>
          <w:rFonts w:hint="eastAsia" w:ascii="宋体" w:hAnsi="宋体" w:cs="宋体"/>
          <w:b/>
          <w:spacing w:val="20"/>
          <w:szCs w:val="21"/>
        </w:rPr>
      </w:pPr>
    </w:p>
    <w:p>
      <w:pPr>
        <w:adjustRightInd w:val="0"/>
        <w:spacing w:line="360" w:lineRule="auto"/>
        <w:textAlignment w:val="baseline"/>
        <w:rPr>
          <w:rFonts w:hint="eastAsia" w:ascii="宋体" w:hAnsi="宋体" w:cs="宋体"/>
          <w:b/>
          <w:spacing w:val="20"/>
          <w:kern w:val="0"/>
          <w:szCs w:val="21"/>
        </w:rPr>
      </w:pPr>
    </w:p>
    <w:p>
      <w:pPr>
        <w:snapToGrid w:val="0"/>
        <w:spacing w:line="360" w:lineRule="auto"/>
        <w:ind w:firstLine="415" w:firstLineChars="198"/>
        <w:rPr>
          <w:rFonts w:hint="eastAsia" w:ascii="宋体" w:hAnsi="宋体" w:cs="宋体"/>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adjustRightInd w:val="0"/>
        <w:spacing w:line="360" w:lineRule="auto"/>
        <w:textAlignment w:val="baseline"/>
        <w:rPr>
          <w:rFonts w:hint="eastAsia" w:ascii="宋体" w:hAnsi="宋体" w:cs="宋体"/>
          <w:b/>
          <w:spacing w:val="20"/>
          <w:kern w:val="0"/>
          <w:szCs w:val="21"/>
        </w:rPr>
      </w:pPr>
    </w:p>
    <w:p>
      <w:pPr>
        <w:spacing w:line="360" w:lineRule="auto"/>
        <w:rPr>
          <w:rFonts w:hint="eastAsia" w:ascii="宋体" w:hAnsi="宋体" w:cs="宋体"/>
          <w:b/>
          <w:szCs w:val="21"/>
        </w:rPr>
      </w:pPr>
    </w:p>
    <w:p>
      <w:pPr>
        <w:snapToGrid w:val="0"/>
        <w:rPr>
          <w:rFonts w:hint="eastAsia" w:ascii="宋体" w:hAnsi="宋体" w:cs="宋体"/>
          <w:b/>
          <w:szCs w:val="21"/>
        </w:rPr>
      </w:pPr>
      <w:r>
        <w:rPr>
          <w:rFonts w:hint="eastAsia" w:ascii="宋体" w:hAnsi="宋体" w:cs="宋体"/>
          <w:b/>
          <w:szCs w:val="21"/>
        </w:rPr>
        <w:t>格式七、投标产品清单表</w:t>
      </w:r>
    </w:p>
    <w:tbl>
      <w:tblPr>
        <w:tblStyle w:val="23"/>
        <w:tblpPr w:leftFromText="180" w:rightFromText="180" w:vertAnchor="text" w:horzAnchor="margin" w:tblpXSpec="center" w:tblpY="18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2666"/>
        <w:gridCol w:w="1522"/>
        <w:gridCol w:w="1522"/>
        <w:gridCol w:w="1522"/>
        <w:gridCol w:w="15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序号</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名称</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品牌型号</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生产厂家</w:t>
            </w:r>
          </w:p>
          <w:p>
            <w:pPr>
              <w:autoSpaceDE w:val="0"/>
              <w:autoSpaceDN w:val="0"/>
              <w:spacing w:line="280" w:lineRule="exact"/>
              <w:jc w:val="center"/>
              <w:rPr>
                <w:rFonts w:hint="eastAsia" w:ascii="宋体" w:hAnsi="宋体" w:cs="宋体"/>
                <w:b/>
                <w:szCs w:val="21"/>
              </w:rPr>
            </w:pPr>
            <w:r>
              <w:rPr>
                <w:rFonts w:hint="eastAsia" w:ascii="宋体" w:hAnsi="宋体" w:cs="宋体"/>
                <w:b/>
                <w:szCs w:val="21"/>
              </w:rPr>
              <w:t>及其产地</w:t>
            </w:r>
          </w:p>
        </w:tc>
        <w:tc>
          <w:tcPr>
            <w:tcW w:w="15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计量单位、数量</w:t>
            </w:r>
          </w:p>
        </w:tc>
        <w:tc>
          <w:tcPr>
            <w:tcW w:w="15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280" w:lineRule="exact"/>
              <w:jc w:val="center"/>
              <w:rPr>
                <w:rFonts w:hint="eastAsia"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1</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2</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3</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r>
              <w:rPr>
                <w:rFonts w:hint="eastAsia" w:ascii="宋体" w:hAnsi="宋体" w:cs="宋体"/>
                <w:bCs/>
                <w:szCs w:val="21"/>
              </w:rPr>
              <w:t>……</w:t>
            </w:r>
          </w:p>
        </w:tc>
        <w:tc>
          <w:tcPr>
            <w:tcW w:w="266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c>
          <w:tcPr>
            <w:tcW w:w="152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s="宋体"/>
                <w:b/>
                <w:bCs/>
                <w:szCs w:val="21"/>
              </w:rPr>
            </w:pPr>
          </w:p>
        </w:tc>
      </w:tr>
    </w:tbl>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ind w:left="424" w:leftChars="202"/>
        <w:rPr>
          <w:rFonts w:hint="eastAsia" w:ascii="宋体" w:hAnsi="宋体" w:cs="宋体"/>
          <w:szCs w:val="21"/>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ind w:left="424" w:leftChars="202"/>
        <w:rPr>
          <w:rFonts w:hint="eastAsia" w:ascii="宋体" w:hAnsi="宋体" w:cs="宋体"/>
          <w:szCs w:val="21"/>
          <w:u w:val="single"/>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left="424" w:leftChars="202"/>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r>
        <w:rPr>
          <w:rFonts w:hint="eastAsia" w:ascii="宋体" w:hAnsi="宋体" w:cs="宋体"/>
          <w:b/>
          <w:szCs w:val="21"/>
        </w:rPr>
        <w:t>格式八、</w:t>
      </w:r>
      <w:r>
        <w:rPr>
          <w:rFonts w:hint="eastAsia" w:ascii="宋体" w:hAnsi="宋体" w:cs="宋体"/>
          <w:b/>
          <w:szCs w:val="21"/>
          <w:lang w:val="en-US" w:eastAsia="zh-CN"/>
        </w:rPr>
        <w:t>成品硬件部分技术参数偏离</w:t>
      </w:r>
      <w:r>
        <w:rPr>
          <w:rFonts w:hint="eastAsia" w:ascii="宋体" w:hAnsi="宋体" w:cs="宋体"/>
          <w:b/>
          <w:szCs w:val="21"/>
        </w:rPr>
        <w:t>表</w:t>
      </w:r>
    </w:p>
    <w:p>
      <w:pPr>
        <w:spacing w:line="360" w:lineRule="auto"/>
        <w:rPr>
          <w:rFonts w:hint="eastAsia" w:ascii="宋体" w:hAnsi="宋体" w:cs="宋体"/>
          <w:b/>
          <w:szCs w:val="21"/>
        </w:rPr>
      </w:pP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562"/>
        <w:gridCol w:w="690"/>
        <w:gridCol w:w="651"/>
        <w:gridCol w:w="1610"/>
        <w:gridCol w:w="1661"/>
        <w:gridCol w:w="1616"/>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序号</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产品名称</w:t>
            </w: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品牌</w:t>
            </w: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型号</w:t>
            </w: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招标文件所需技术要求及性能说明</w:t>
            </w: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所投技术要求</w:t>
            </w:r>
          </w:p>
          <w:p>
            <w:pPr>
              <w:jc w:val="center"/>
              <w:rPr>
                <w:rFonts w:hint="eastAsia" w:ascii="Times New Roman" w:hAnsi="Times New Roman"/>
                <w:szCs w:val="21"/>
              </w:rPr>
            </w:pPr>
            <w:r>
              <w:rPr>
                <w:rFonts w:hint="eastAsia" w:ascii="宋体" w:hAnsi="宋体" w:cs="宋体"/>
                <w:b/>
                <w:bCs/>
                <w:spacing w:val="-4"/>
                <w:szCs w:val="21"/>
              </w:rPr>
              <w:t>及性能说明</w:t>
            </w: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相关证明材料页码</w:t>
            </w: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bCs/>
                <w:spacing w:val="-4"/>
                <w:szCs w:val="21"/>
              </w:rPr>
            </w:pPr>
            <w:r>
              <w:rPr>
                <w:rFonts w:hint="eastAsia" w:ascii="宋体" w:hAnsi="宋体" w:cs="宋体"/>
                <w:b/>
                <w:bCs/>
                <w:spacing w:val="-4"/>
                <w:szCs w:val="21"/>
              </w:rPr>
              <w:t>偏离情况及说明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正偏离/符合/负偏离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2</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3</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9"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w:t>
            </w:r>
          </w:p>
        </w:tc>
        <w:tc>
          <w:tcPr>
            <w:tcW w:w="77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32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kern w:val="0"/>
                <w:szCs w:val="21"/>
              </w:rPr>
            </w:pPr>
          </w:p>
        </w:tc>
        <w:tc>
          <w:tcPr>
            <w:tcW w:w="819"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c>
          <w:tcPr>
            <w:tcW w:w="797"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bl>
    <w:p>
      <w:pPr>
        <w:spacing w:line="360" w:lineRule="auto"/>
        <w:rPr>
          <w:rFonts w:hint="eastAsia" w:ascii="宋体" w:hAnsi="宋体" w:eastAsia="宋体" w:cs="宋体"/>
          <w:b/>
          <w:bCs/>
          <w:szCs w:val="21"/>
          <w:lang w:val="en-US" w:eastAsia="zh-CN"/>
        </w:rPr>
      </w:pPr>
      <w:r>
        <w:rPr>
          <w:rFonts w:hint="eastAsia" w:ascii="宋体" w:hAnsi="宋体" w:cs="宋体"/>
          <w:b/>
          <w:bCs/>
          <w:szCs w:val="21"/>
          <w:lang w:val="en-US" w:eastAsia="zh-CN"/>
        </w:rPr>
        <w:t>注：标“▲”条款负偏离或未响应将导致投标无效。</w:t>
      </w:r>
    </w:p>
    <w:p>
      <w:pPr>
        <w:spacing w:line="360" w:lineRule="auto"/>
        <w:rPr>
          <w:rFonts w:hint="eastAsia" w:ascii="宋体" w:hAnsi="宋体" w:cs="宋体"/>
          <w:szCs w:val="21"/>
        </w:rPr>
      </w:pPr>
    </w:p>
    <w:p>
      <w:pPr>
        <w:spacing w:line="360" w:lineRule="auto"/>
        <w:ind w:firstLine="371" w:firstLineChars="177"/>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（加盖公章）  </w:t>
      </w:r>
    </w:p>
    <w:p>
      <w:pPr>
        <w:spacing w:line="360" w:lineRule="auto"/>
        <w:ind w:firstLine="357" w:firstLineChars="177"/>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firstLine="371" w:firstLineChars="177"/>
        <w:rPr>
          <w:rFonts w:hint="eastAsia"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rPr>
          <w:rFonts w:hint="eastAsia" w:ascii="宋体" w:hAnsi="宋体" w:cs="宋体"/>
          <w:b/>
          <w:szCs w:val="21"/>
        </w:rPr>
      </w:pPr>
    </w:p>
    <w:p>
      <w:pPr>
        <w:snapToGrid w:val="0"/>
        <w:jc w:val="left"/>
        <w:rPr>
          <w:rFonts w:hint="eastAsia" w:ascii="宋体" w:hAnsi="宋体" w:eastAsia="宋体" w:cs="宋体"/>
          <w:b/>
          <w:szCs w:val="21"/>
        </w:rPr>
      </w:pPr>
      <w:r>
        <w:rPr>
          <w:rFonts w:hint="eastAsia" w:ascii="宋体" w:hAnsi="宋体" w:cs="宋体"/>
          <w:b/>
          <w:szCs w:val="21"/>
        </w:rPr>
        <w:br w:type="page"/>
      </w:r>
      <w:r>
        <w:rPr>
          <w:rFonts w:hint="eastAsia" w:ascii="宋体" w:hAnsi="宋体" w:eastAsia="宋体" w:cs="Times New Roman"/>
          <w:b/>
          <w:szCs w:val="21"/>
        </w:rPr>
        <w:t>格式</w:t>
      </w:r>
      <w:r>
        <w:rPr>
          <w:rFonts w:hint="eastAsia" w:ascii="宋体" w:hAnsi="宋体" w:eastAsia="宋体" w:cs="Times New Roman"/>
          <w:b/>
          <w:szCs w:val="21"/>
          <w:lang w:val="en-US" w:eastAsia="zh-CN"/>
        </w:rPr>
        <w:t>九</w:t>
      </w:r>
      <w:r>
        <w:rPr>
          <w:rFonts w:hint="eastAsia" w:ascii="宋体" w:hAnsi="宋体" w:eastAsia="宋体" w:cs="Times New Roman"/>
          <w:b/>
          <w:szCs w:val="21"/>
        </w:rPr>
        <w:t>、</w:t>
      </w:r>
      <w:r>
        <w:rPr>
          <w:rFonts w:hint="eastAsia" w:ascii="宋体" w:hAnsi="宋体" w:eastAsia="宋体" w:cs="宋体"/>
          <w:b/>
          <w:szCs w:val="21"/>
          <w:lang w:val="en-US" w:eastAsia="zh-CN"/>
        </w:rPr>
        <w:t>商务要求响应表</w:t>
      </w:r>
    </w:p>
    <w:p>
      <w:pPr>
        <w:ind w:firstLine="420"/>
        <w:rPr>
          <w:rFonts w:hint="eastAsia" w:ascii="仿宋_GB2312" w:hAnsi="Times New Roman" w:eastAsia="仿宋_GB2312" w:cs="Times New Roman"/>
          <w:szCs w:val="21"/>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9"/>
        <w:gridCol w:w="3379"/>
        <w:gridCol w:w="3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招标文件要求</w:t>
            </w:r>
          </w:p>
        </w:tc>
        <w:tc>
          <w:tcPr>
            <w:tcW w:w="3379" w:type="dxa"/>
            <w:noWrap w:val="0"/>
            <w:vAlign w:val="top"/>
          </w:tcPr>
          <w:p>
            <w:pPr>
              <w:spacing w:line="360" w:lineRule="auto"/>
              <w:rPr>
                <w:rFonts w:ascii="宋体" w:hAnsi="宋体" w:eastAsia="宋体" w:cs="宋体"/>
                <w:b/>
                <w:spacing w:val="20"/>
                <w:szCs w:val="21"/>
              </w:rPr>
            </w:pPr>
            <w:r>
              <w:rPr>
                <w:rFonts w:hint="eastAsia" w:ascii="宋体" w:hAnsi="宋体" w:eastAsia="宋体" w:cs="宋体"/>
                <w:b/>
                <w:spacing w:val="20"/>
                <w:szCs w:val="21"/>
              </w:rPr>
              <w:t>投标人响应</w:t>
            </w:r>
          </w:p>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（负偏离/符合/正偏离）</w:t>
            </w:r>
          </w:p>
        </w:tc>
        <w:tc>
          <w:tcPr>
            <w:tcW w:w="3380" w:type="dxa"/>
            <w:noWrap w:val="0"/>
            <w:vAlign w:val="top"/>
          </w:tcPr>
          <w:p>
            <w:pPr>
              <w:spacing w:line="360" w:lineRule="auto"/>
              <w:rPr>
                <w:rFonts w:hint="eastAsia" w:ascii="宋体" w:hAnsi="宋体" w:eastAsia="宋体" w:cs="宋体"/>
                <w:b/>
                <w:spacing w:val="20"/>
                <w:szCs w:val="21"/>
              </w:rPr>
            </w:pPr>
            <w:r>
              <w:rPr>
                <w:rFonts w:hint="eastAsia" w:ascii="宋体" w:hAnsi="宋体" w:eastAsia="宋体" w:cs="宋体"/>
                <w:b/>
                <w:spacing w:val="20"/>
                <w:szCs w:val="21"/>
              </w:rPr>
              <w:t>相关必要说明（如需）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p>
        </w:tc>
        <w:tc>
          <w:tcPr>
            <w:tcW w:w="3379" w:type="dxa"/>
            <w:noWrap w:val="0"/>
            <w:vAlign w:val="top"/>
          </w:tcPr>
          <w:p>
            <w:pPr>
              <w:spacing w:line="360" w:lineRule="auto"/>
              <w:rPr>
                <w:rFonts w:hint="eastAsia" w:ascii="宋体" w:hAnsi="宋体" w:eastAsia="宋体" w:cs="宋体"/>
                <w:b/>
                <w:spacing w:val="20"/>
                <w:szCs w:val="21"/>
              </w:rPr>
            </w:pPr>
          </w:p>
        </w:tc>
        <w:tc>
          <w:tcPr>
            <w:tcW w:w="3380" w:type="dxa"/>
            <w:noWrap w:val="0"/>
            <w:vAlign w:val="top"/>
          </w:tcPr>
          <w:p>
            <w:pPr>
              <w:spacing w:line="360" w:lineRule="auto"/>
              <w:rPr>
                <w:rFonts w:hint="eastAsia" w:ascii="宋体" w:hAnsi="宋体" w:eastAsia="宋体" w:cs="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p>
        </w:tc>
        <w:tc>
          <w:tcPr>
            <w:tcW w:w="3379" w:type="dxa"/>
            <w:noWrap w:val="0"/>
            <w:vAlign w:val="top"/>
          </w:tcPr>
          <w:p>
            <w:pPr>
              <w:spacing w:line="360" w:lineRule="auto"/>
              <w:rPr>
                <w:rFonts w:hint="eastAsia" w:ascii="宋体" w:hAnsi="宋体" w:eastAsia="宋体" w:cs="宋体"/>
                <w:b/>
                <w:spacing w:val="20"/>
                <w:szCs w:val="21"/>
              </w:rPr>
            </w:pPr>
          </w:p>
        </w:tc>
        <w:tc>
          <w:tcPr>
            <w:tcW w:w="3380" w:type="dxa"/>
            <w:noWrap w:val="0"/>
            <w:vAlign w:val="top"/>
          </w:tcPr>
          <w:p>
            <w:pPr>
              <w:spacing w:line="360" w:lineRule="auto"/>
              <w:rPr>
                <w:rFonts w:hint="eastAsia" w:ascii="宋体" w:hAnsi="宋体" w:eastAsia="宋体" w:cs="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p>
        </w:tc>
        <w:tc>
          <w:tcPr>
            <w:tcW w:w="3379" w:type="dxa"/>
            <w:noWrap w:val="0"/>
            <w:vAlign w:val="top"/>
          </w:tcPr>
          <w:p>
            <w:pPr>
              <w:spacing w:line="360" w:lineRule="auto"/>
              <w:rPr>
                <w:rFonts w:hint="eastAsia" w:ascii="宋体" w:hAnsi="宋体" w:eastAsia="宋体" w:cs="宋体"/>
                <w:b/>
                <w:spacing w:val="20"/>
                <w:szCs w:val="21"/>
              </w:rPr>
            </w:pPr>
          </w:p>
        </w:tc>
        <w:tc>
          <w:tcPr>
            <w:tcW w:w="3380" w:type="dxa"/>
            <w:noWrap w:val="0"/>
            <w:vAlign w:val="top"/>
          </w:tcPr>
          <w:p>
            <w:pPr>
              <w:spacing w:line="360" w:lineRule="auto"/>
              <w:rPr>
                <w:rFonts w:hint="eastAsia" w:ascii="宋体" w:hAnsi="宋体" w:eastAsia="宋体" w:cs="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p>
        </w:tc>
        <w:tc>
          <w:tcPr>
            <w:tcW w:w="3379" w:type="dxa"/>
            <w:noWrap w:val="0"/>
            <w:vAlign w:val="top"/>
          </w:tcPr>
          <w:p>
            <w:pPr>
              <w:spacing w:line="360" w:lineRule="auto"/>
              <w:rPr>
                <w:rFonts w:hint="eastAsia" w:ascii="宋体" w:hAnsi="宋体" w:eastAsia="宋体" w:cs="宋体"/>
                <w:b/>
                <w:spacing w:val="20"/>
                <w:szCs w:val="21"/>
              </w:rPr>
            </w:pPr>
          </w:p>
        </w:tc>
        <w:tc>
          <w:tcPr>
            <w:tcW w:w="3380" w:type="dxa"/>
            <w:noWrap w:val="0"/>
            <w:vAlign w:val="top"/>
          </w:tcPr>
          <w:p>
            <w:pPr>
              <w:spacing w:line="360" w:lineRule="auto"/>
              <w:rPr>
                <w:rFonts w:hint="eastAsia" w:ascii="宋体" w:hAnsi="宋体" w:eastAsia="宋体" w:cs="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p>
        </w:tc>
        <w:tc>
          <w:tcPr>
            <w:tcW w:w="3379" w:type="dxa"/>
            <w:noWrap w:val="0"/>
            <w:vAlign w:val="top"/>
          </w:tcPr>
          <w:p>
            <w:pPr>
              <w:spacing w:line="360" w:lineRule="auto"/>
              <w:rPr>
                <w:rFonts w:hint="eastAsia" w:ascii="宋体" w:hAnsi="宋体" w:eastAsia="宋体" w:cs="宋体"/>
                <w:b/>
                <w:spacing w:val="20"/>
                <w:szCs w:val="21"/>
              </w:rPr>
            </w:pPr>
          </w:p>
        </w:tc>
        <w:tc>
          <w:tcPr>
            <w:tcW w:w="3380" w:type="dxa"/>
            <w:noWrap w:val="0"/>
            <w:vAlign w:val="top"/>
          </w:tcPr>
          <w:p>
            <w:pPr>
              <w:spacing w:line="360" w:lineRule="auto"/>
              <w:rPr>
                <w:rFonts w:hint="eastAsia" w:ascii="宋体" w:hAnsi="宋体" w:eastAsia="宋体" w:cs="宋体"/>
                <w:b/>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79" w:type="dxa"/>
            <w:noWrap w:val="0"/>
            <w:vAlign w:val="top"/>
          </w:tcPr>
          <w:p>
            <w:pPr>
              <w:spacing w:line="360" w:lineRule="auto"/>
              <w:rPr>
                <w:rFonts w:hint="eastAsia" w:ascii="宋体" w:hAnsi="宋体" w:eastAsia="宋体" w:cs="宋体"/>
                <w:b/>
                <w:spacing w:val="20"/>
                <w:szCs w:val="21"/>
              </w:rPr>
            </w:pPr>
          </w:p>
        </w:tc>
        <w:tc>
          <w:tcPr>
            <w:tcW w:w="3379" w:type="dxa"/>
            <w:noWrap w:val="0"/>
            <w:vAlign w:val="top"/>
          </w:tcPr>
          <w:p>
            <w:pPr>
              <w:spacing w:line="360" w:lineRule="auto"/>
              <w:rPr>
                <w:rFonts w:hint="eastAsia" w:ascii="宋体" w:hAnsi="宋体" w:eastAsia="宋体" w:cs="宋体"/>
                <w:b/>
                <w:spacing w:val="20"/>
                <w:szCs w:val="21"/>
              </w:rPr>
            </w:pPr>
          </w:p>
        </w:tc>
        <w:tc>
          <w:tcPr>
            <w:tcW w:w="3380" w:type="dxa"/>
            <w:noWrap w:val="0"/>
            <w:vAlign w:val="top"/>
          </w:tcPr>
          <w:p>
            <w:pPr>
              <w:spacing w:line="360" w:lineRule="auto"/>
              <w:rPr>
                <w:rFonts w:hint="eastAsia" w:ascii="宋体" w:hAnsi="宋体" w:eastAsia="宋体" w:cs="宋体"/>
                <w:b/>
                <w:spacing w:val="20"/>
                <w:szCs w:val="21"/>
              </w:rPr>
            </w:pPr>
          </w:p>
        </w:tc>
      </w:tr>
    </w:tbl>
    <w:p>
      <w:pPr>
        <w:spacing w:line="360" w:lineRule="auto"/>
        <w:rPr>
          <w:rFonts w:hint="eastAsia" w:ascii="宋体" w:hAnsi="宋体" w:eastAsia="宋体" w:cs="宋体"/>
          <w:b/>
          <w:bCs/>
          <w:szCs w:val="21"/>
          <w:lang w:val="en-US" w:eastAsia="zh-CN"/>
        </w:rPr>
      </w:pPr>
      <w:r>
        <w:rPr>
          <w:rFonts w:hint="eastAsia" w:ascii="宋体" w:hAnsi="宋体" w:eastAsia="宋体" w:cs="宋体"/>
          <w:b/>
          <w:bCs/>
          <w:szCs w:val="21"/>
          <w:lang w:val="en-US" w:eastAsia="zh-CN"/>
        </w:rPr>
        <w:t>注：标“▲”条款负偏离或未响应将导致投标无效。</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u w:val="single"/>
        </w:rPr>
      </w:pPr>
      <w:r>
        <w:rPr>
          <w:rFonts w:hint="eastAsia" w:ascii="宋体" w:hAnsi="宋体" w:eastAsia="宋体" w:cs="宋体"/>
          <w:szCs w:val="21"/>
        </w:rPr>
        <w:t>投标人名称：</w:t>
      </w:r>
      <w:r>
        <w:rPr>
          <w:rFonts w:hint="eastAsia" w:ascii="宋体" w:hAnsi="宋体" w:eastAsia="宋体" w:cs="宋体"/>
          <w:b/>
          <w:spacing w:val="20"/>
          <w:szCs w:val="21"/>
          <w:u w:val="single"/>
        </w:rPr>
        <w:t xml:space="preserve">                </w:t>
      </w:r>
      <w:r>
        <w:rPr>
          <w:rFonts w:hint="eastAsia" w:ascii="宋体" w:hAnsi="宋体" w:eastAsia="宋体" w:cs="宋体"/>
          <w:szCs w:val="21"/>
        </w:rPr>
        <w:t xml:space="preserve">（加盖公章）  </w:t>
      </w:r>
    </w:p>
    <w:p>
      <w:pPr>
        <w:spacing w:line="360" w:lineRule="auto"/>
        <w:rPr>
          <w:rFonts w:hint="eastAsia" w:ascii="宋体" w:hAnsi="宋体" w:eastAsia="宋体" w:cs="宋体"/>
          <w:szCs w:val="21"/>
        </w:rPr>
      </w:pPr>
      <w:r>
        <w:rPr>
          <w:rFonts w:hint="eastAsia" w:ascii="宋体" w:hAnsi="宋体" w:eastAsia="宋体" w:cs="宋体"/>
          <w:spacing w:val="-4"/>
          <w:szCs w:val="21"/>
        </w:rPr>
        <w:t>投标人代表</w:t>
      </w:r>
      <w:r>
        <w:rPr>
          <w:rFonts w:hint="eastAsia" w:ascii="宋体" w:hAnsi="宋体" w:eastAsia="宋体" w:cs="宋体"/>
          <w:szCs w:val="21"/>
        </w:rPr>
        <w:t>：</w:t>
      </w:r>
      <w:r>
        <w:rPr>
          <w:rFonts w:hint="eastAsia" w:ascii="宋体" w:hAnsi="宋体" w:eastAsia="宋体" w:cs="宋体"/>
          <w:b/>
          <w:spacing w:val="20"/>
          <w:szCs w:val="21"/>
          <w:u w:val="single"/>
        </w:rPr>
        <w:t xml:space="preserve">           </w:t>
      </w:r>
      <w:r>
        <w:rPr>
          <w:rFonts w:hint="eastAsia" w:ascii="宋体" w:hAnsi="宋体" w:eastAsia="宋体" w:cs="宋体"/>
          <w:szCs w:val="21"/>
        </w:rPr>
        <w:t>（签字）</w:t>
      </w:r>
    </w:p>
    <w:p>
      <w:pPr>
        <w:spacing w:line="360" w:lineRule="auto"/>
        <w:rPr>
          <w:rFonts w:hint="eastAsia" w:ascii="宋体" w:hAnsi="宋体" w:eastAsia="宋体" w:cs="宋体"/>
          <w:spacing w:val="20"/>
          <w:szCs w:val="21"/>
        </w:rPr>
      </w:pPr>
      <w:r>
        <w:rPr>
          <w:rFonts w:hint="eastAsia" w:ascii="宋体" w:hAnsi="宋体" w:eastAsia="宋体" w:cs="宋体"/>
          <w:spacing w:val="20"/>
          <w:szCs w:val="21"/>
        </w:rPr>
        <w:t>日期：</w:t>
      </w:r>
      <w:r>
        <w:rPr>
          <w:rFonts w:hint="eastAsia" w:ascii="宋体" w:hAnsi="宋体" w:eastAsia="宋体" w:cs="宋体"/>
          <w:spacing w:val="20"/>
          <w:szCs w:val="21"/>
          <w:u w:val="single"/>
        </w:rPr>
        <w:t xml:space="preserve">    </w:t>
      </w:r>
      <w:r>
        <w:rPr>
          <w:rFonts w:hint="eastAsia" w:ascii="宋体" w:hAnsi="宋体" w:eastAsia="宋体" w:cs="宋体"/>
          <w:spacing w:val="20"/>
          <w:szCs w:val="21"/>
        </w:rPr>
        <w:t>年</w:t>
      </w:r>
      <w:r>
        <w:rPr>
          <w:rFonts w:hint="eastAsia" w:ascii="宋体" w:hAnsi="宋体" w:eastAsia="宋体" w:cs="宋体"/>
          <w:spacing w:val="20"/>
          <w:szCs w:val="21"/>
          <w:u w:val="single"/>
        </w:rPr>
        <w:t xml:space="preserve">   </w:t>
      </w:r>
      <w:r>
        <w:rPr>
          <w:rFonts w:hint="eastAsia" w:ascii="宋体" w:hAnsi="宋体" w:eastAsia="宋体" w:cs="宋体"/>
          <w:spacing w:val="20"/>
          <w:szCs w:val="21"/>
        </w:rPr>
        <w:t>月</w:t>
      </w:r>
      <w:r>
        <w:rPr>
          <w:rFonts w:hint="eastAsia" w:ascii="宋体" w:hAnsi="宋体" w:eastAsia="宋体" w:cs="宋体"/>
          <w:spacing w:val="20"/>
          <w:szCs w:val="21"/>
          <w:u w:val="single"/>
        </w:rPr>
        <w:t xml:space="preserve">   </w:t>
      </w:r>
      <w:r>
        <w:rPr>
          <w:rFonts w:hint="eastAsia" w:ascii="宋体" w:hAnsi="宋体" w:eastAsia="宋体" w:cs="宋体"/>
          <w:spacing w:val="20"/>
          <w:szCs w:val="21"/>
        </w:rPr>
        <w:t>日</w:t>
      </w:r>
    </w:p>
    <w:p>
      <w:pPr>
        <w:snapToGrid w:val="0"/>
        <w:spacing w:before="50" w:after="156" w:afterLines="50"/>
        <w:rPr>
          <w:rFonts w:hint="eastAsia" w:ascii="宋体" w:hAnsi="宋体" w:cs="宋体"/>
          <w:szCs w:val="21"/>
        </w:rPr>
      </w:pPr>
      <w:r>
        <w:rPr>
          <w:rFonts w:hint="eastAsia" w:ascii="宋体" w:hAnsi="宋体" w:cs="宋体"/>
          <w:b/>
          <w:szCs w:val="21"/>
        </w:rPr>
        <w:br w:type="page"/>
      </w:r>
      <w:r>
        <w:rPr>
          <w:rFonts w:hint="eastAsia" w:ascii="宋体" w:hAnsi="宋体" w:cs="宋体"/>
          <w:b/>
          <w:szCs w:val="21"/>
        </w:rPr>
        <w:t>格式</w:t>
      </w:r>
      <w:r>
        <w:rPr>
          <w:rFonts w:hint="eastAsia" w:ascii="宋体" w:hAnsi="宋体" w:cs="宋体"/>
          <w:b/>
          <w:szCs w:val="21"/>
          <w:lang w:val="en-US" w:eastAsia="zh-CN"/>
        </w:rPr>
        <w:t>十</w:t>
      </w:r>
      <w:r>
        <w:rPr>
          <w:rFonts w:hint="eastAsia" w:ascii="宋体" w:hAnsi="宋体" w:cs="宋体"/>
          <w:b/>
          <w:szCs w:val="21"/>
        </w:rPr>
        <w:t>、相关业绩</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59"/>
        <w:gridCol w:w="2304"/>
        <w:gridCol w:w="1200"/>
        <w:gridCol w:w="1200"/>
        <w:gridCol w:w="155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spacing w:line="360" w:lineRule="auto"/>
              <w:jc w:val="center"/>
              <w:rPr>
                <w:rFonts w:ascii="宋体" w:hAnsi="宋体" w:eastAsia="宋体" w:cs="Times New Roman"/>
                <w:b/>
                <w:sz w:val="21"/>
                <w:szCs w:val="21"/>
              </w:rPr>
            </w:pPr>
            <w:r>
              <w:rPr>
                <w:rFonts w:hint="eastAsia" w:ascii="宋体" w:hAnsi="宋体" w:eastAsia="宋体" w:cs="Times New Roman"/>
                <w:b/>
                <w:sz w:val="21"/>
                <w:szCs w:val="21"/>
              </w:rPr>
              <w:t>序号</w:t>
            </w:r>
          </w:p>
        </w:tc>
        <w:tc>
          <w:tcPr>
            <w:tcW w:w="1559" w:type="dxa"/>
            <w:noWrap w:val="0"/>
            <w:vAlign w:val="center"/>
          </w:tcPr>
          <w:p>
            <w:pPr>
              <w:spacing w:line="360" w:lineRule="auto"/>
              <w:jc w:val="center"/>
              <w:rPr>
                <w:rFonts w:ascii="宋体" w:hAnsi="宋体" w:eastAsia="宋体" w:cs="Times New Roman"/>
                <w:b/>
                <w:sz w:val="21"/>
                <w:szCs w:val="21"/>
              </w:rPr>
            </w:pPr>
            <w:r>
              <w:rPr>
                <w:rFonts w:hint="eastAsia" w:ascii="宋体" w:hAnsi="宋体" w:eastAsia="宋体" w:cs="Times New Roman"/>
                <w:b/>
                <w:sz w:val="21"/>
                <w:szCs w:val="21"/>
              </w:rPr>
              <w:t>业主名称</w:t>
            </w:r>
          </w:p>
        </w:tc>
        <w:tc>
          <w:tcPr>
            <w:tcW w:w="2304" w:type="dxa"/>
            <w:noWrap w:val="0"/>
            <w:vAlign w:val="center"/>
          </w:tcPr>
          <w:p>
            <w:pPr>
              <w:spacing w:line="360" w:lineRule="auto"/>
              <w:jc w:val="center"/>
              <w:rPr>
                <w:rFonts w:hint="eastAsia" w:ascii="宋体" w:hAnsi="宋体" w:eastAsia="宋体" w:cs="Times New Roman"/>
                <w:b/>
                <w:sz w:val="21"/>
                <w:szCs w:val="21"/>
              </w:rPr>
            </w:pPr>
            <w:r>
              <w:rPr>
                <w:rFonts w:hint="eastAsia" w:ascii="宋体" w:hAnsi="宋体" w:eastAsia="宋体" w:cs="Times New Roman"/>
                <w:b/>
                <w:sz w:val="21"/>
                <w:szCs w:val="21"/>
              </w:rPr>
              <w:t>项目内容</w:t>
            </w:r>
          </w:p>
        </w:tc>
        <w:tc>
          <w:tcPr>
            <w:tcW w:w="1200" w:type="dxa"/>
            <w:noWrap w:val="0"/>
            <w:vAlign w:val="center"/>
          </w:tcPr>
          <w:p>
            <w:pPr>
              <w:spacing w:line="360" w:lineRule="auto"/>
              <w:jc w:val="center"/>
              <w:rPr>
                <w:rFonts w:hint="eastAsia" w:ascii="宋体" w:hAnsi="宋体" w:eastAsia="宋体" w:cs="Times New Roman"/>
                <w:b/>
                <w:sz w:val="21"/>
                <w:szCs w:val="21"/>
              </w:rPr>
            </w:pPr>
            <w:r>
              <w:rPr>
                <w:rFonts w:hint="eastAsia" w:ascii="宋体" w:hAnsi="宋体" w:eastAsia="宋体" w:cs="Times New Roman"/>
                <w:b/>
                <w:sz w:val="21"/>
                <w:szCs w:val="21"/>
              </w:rPr>
              <w:t>签订日期</w:t>
            </w:r>
          </w:p>
        </w:tc>
        <w:tc>
          <w:tcPr>
            <w:tcW w:w="1200" w:type="dxa"/>
            <w:noWrap w:val="0"/>
            <w:vAlign w:val="center"/>
          </w:tcPr>
          <w:p>
            <w:pPr>
              <w:spacing w:line="360" w:lineRule="auto"/>
              <w:jc w:val="center"/>
              <w:rPr>
                <w:rFonts w:ascii="宋体" w:hAnsi="宋体" w:eastAsia="宋体" w:cs="Times New Roman"/>
                <w:b/>
                <w:sz w:val="21"/>
                <w:szCs w:val="21"/>
              </w:rPr>
            </w:pPr>
            <w:r>
              <w:rPr>
                <w:rFonts w:hint="eastAsia" w:ascii="宋体" w:hAnsi="宋体" w:eastAsia="宋体" w:cs="Times New Roman"/>
                <w:b/>
                <w:sz w:val="21"/>
                <w:szCs w:val="21"/>
              </w:rPr>
              <w:t>合同金额</w:t>
            </w:r>
          </w:p>
        </w:tc>
        <w:tc>
          <w:tcPr>
            <w:tcW w:w="1559" w:type="dxa"/>
            <w:noWrap w:val="0"/>
            <w:vAlign w:val="center"/>
          </w:tcPr>
          <w:p>
            <w:pPr>
              <w:spacing w:line="360" w:lineRule="auto"/>
              <w:jc w:val="center"/>
              <w:rPr>
                <w:rFonts w:ascii="宋体" w:hAnsi="宋体" w:eastAsia="宋体" w:cs="Times New Roman"/>
                <w:b/>
                <w:sz w:val="21"/>
                <w:szCs w:val="21"/>
              </w:rPr>
            </w:pPr>
            <w:r>
              <w:rPr>
                <w:rFonts w:hint="eastAsia" w:ascii="宋体" w:hAnsi="宋体" w:eastAsia="宋体" w:cs="Times New Roman"/>
                <w:b/>
                <w:sz w:val="21"/>
                <w:szCs w:val="21"/>
              </w:rPr>
              <w:t>业主联系人及联系方式</w:t>
            </w:r>
          </w:p>
        </w:tc>
        <w:tc>
          <w:tcPr>
            <w:tcW w:w="816" w:type="dxa"/>
            <w:noWrap w:val="0"/>
            <w:vAlign w:val="center"/>
          </w:tcPr>
          <w:p>
            <w:pPr>
              <w:snapToGrid w:val="0"/>
              <w:jc w:val="center"/>
              <w:rPr>
                <w:rFonts w:ascii="宋体" w:hAnsi="宋体" w:eastAsia="宋体" w:cs="Times New Roman"/>
                <w:b/>
                <w:sz w:val="21"/>
                <w:szCs w:val="21"/>
              </w:rPr>
            </w:pPr>
            <w:r>
              <w:rPr>
                <w:rFonts w:hint="eastAsia" w:ascii="宋体" w:hAnsi="宋体" w:eastAsia="宋体" w:cs="Times New Roman"/>
                <w:b/>
                <w:sz w:val="21"/>
                <w:szCs w:val="21"/>
              </w:rPr>
              <w:t>附件</w:t>
            </w:r>
          </w:p>
          <w:p>
            <w:pPr>
              <w:snapToGrid w:val="0"/>
              <w:jc w:val="center"/>
              <w:rPr>
                <w:rFonts w:ascii="宋体" w:hAnsi="宋体" w:eastAsia="宋体" w:cs="Times New Roman"/>
                <w:b/>
                <w:sz w:val="21"/>
                <w:szCs w:val="21"/>
              </w:rPr>
            </w:pPr>
            <w:r>
              <w:rPr>
                <w:rFonts w:hint="eastAsia" w:ascii="宋体" w:hAnsi="宋体" w:eastAsia="宋体" w:cs="Times New Roman"/>
                <w:b/>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2304"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816" w:type="dxa"/>
            <w:noWrap w:val="0"/>
            <w:vAlign w:val="top"/>
          </w:tcPr>
          <w:p>
            <w:pPr>
              <w:spacing w:line="360" w:lineRule="auto"/>
              <w:rPr>
                <w:rFonts w:ascii="宋体" w:hAnsi="宋体" w:eastAsia="宋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2304"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816" w:type="dxa"/>
            <w:noWrap w:val="0"/>
            <w:vAlign w:val="top"/>
          </w:tcPr>
          <w:p>
            <w:pPr>
              <w:spacing w:line="360" w:lineRule="auto"/>
              <w:rPr>
                <w:rFonts w:ascii="宋体" w:hAnsi="宋体" w:eastAsia="宋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2304"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816" w:type="dxa"/>
            <w:noWrap w:val="0"/>
            <w:vAlign w:val="top"/>
          </w:tcPr>
          <w:p>
            <w:pPr>
              <w:spacing w:line="360" w:lineRule="auto"/>
              <w:rPr>
                <w:rFonts w:ascii="宋体" w:hAnsi="宋体" w:eastAsia="宋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2304"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816" w:type="dxa"/>
            <w:noWrap w:val="0"/>
            <w:vAlign w:val="top"/>
          </w:tcPr>
          <w:p>
            <w:pPr>
              <w:spacing w:line="360" w:lineRule="auto"/>
              <w:rPr>
                <w:rFonts w:ascii="宋体" w:hAnsi="宋体" w:eastAsia="宋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2304"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816" w:type="dxa"/>
            <w:noWrap w:val="0"/>
            <w:vAlign w:val="top"/>
          </w:tcPr>
          <w:p>
            <w:pPr>
              <w:spacing w:line="360" w:lineRule="auto"/>
              <w:rPr>
                <w:rFonts w:ascii="宋体" w:hAnsi="宋体" w:eastAsia="宋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2304"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200" w:type="dxa"/>
            <w:noWrap w:val="0"/>
            <w:vAlign w:val="top"/>
          </w:tcPr>
          <w:p>
            <w:pPr>
              <w:spacing w:line="360" w:lineRule="auto"/>
              <w:rPr>
                <w:rFonts w:ascii="宋体" w:hAnsi="宋体" w:eastAsia="宋体" w:cs="Times New Roman"/>
                <w:b/>
                <w:sz w:val="21"/>
                <w:szCs w:val="21"/>
              </w:rPr>
            </w:pPr>
          </w:p>
        </w:tc>
        <w:tc>
          <w:tcPr>
            <w:tcW w:w="1559" w:type="dxa"/>
            <w:noWrap w:val="0"/>
            <w:vAlign w:val="top"/>
          </w:tcPr>
          <w:p>
            <w:pPr>
              <w:spacing w:line="360" w:lineRule="auto"/>
              <w:rPr>
                <w:rFonts w:ascii="宋体" w:hAnsi="宋体" w:eastAsia="宋体" w:cs="Times New Roman"/>
                <w:b/>
                <w:sz w:val="21"/>
                <w:szCs w:val="21"/>
              </w:rPr>
            </w:pPr>
          </w:p>
        </w:tc>
        <w:tc>
          <w:tcPr>
            <w:tcW w:w="816" w:type="dxa"/>
            <w:noWrap w:val="0"/>
            <w:vAlign w:val="top"/>
          </w:tcPr>
          <w:p>
            <w:pPr>
              <w:spacing w:line="360" w:lineRule="auto"/>
              <w:rPr>
                <w:rFonts w:ascii="宋体" w:hAnsi="宋体" w:eastAsia="宋体" w:cs="Times New Roman"/>
                <w:b/>
                <w:sz w:val="21"/>
                <w:szCs w:val="21"/>
              </w:rPr>
            </w:pPr>
          </w:p>
        </w:tc>
      </w:tr>
    </w:tbl>
    <w:p>
      <w:pPr>
        <w:spacing w:line="360" w:lineRule="auto"/>
        <w:ind w:left="424" w:leftChars="202"/>
        <w:rPr>
          <w:rFonts w:hint="eastAsia" w:ascii="宋体" w:hAnsi="宋体" w:cs="宋体"/>
          <w:szCs w:val="21"/>
        </w:rPr>
      </w:pPr>
    </w:p>
    <w:p>
      <w:pPr>
        <w:spacing w:line="360" w:lineRule="auto"/>
        <w:ind w:left="424" w:leftChars="202"/>
        <w:rPr>
          <w:rFonts w:hint="eastAsia" w:ascii="宋体" w:hAnsi="宋体" w:cs="宋体"/>
          <w:szCs w:val="21"/>
        </w:rPr>
      </w:pPr>
    </w:p>
    <w:p>
      <w:pPr>
        <w:spacing w:line="360" w:lineRule="auto"/>
        <w:ind w:left="424" w:leftChars="202"/>
        <w:rPr>
          <w:rFonts w:hint="eastAsia" w:ascii="宋体" w:hAnsi="宋体" w:cs="宋体"/>
          <w:szCs w:val="21"/>
        </w:rPr>
      </w:pPr>
    </w:p>
    <w:p>
      <w:pPr>
        <w:spacing w:line="360" w:lineRule="auto"/>
        <w:ind w:left="424" w:leftChars="202"/>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ind w:left="424" w:leftChars="202"/>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left="424" w:leftChars="202"/>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hint="eastAsia" w:ascii="宋体" w:hAnsi="宋体" w:cs="宋体"/>
          <w:b/>
          <w:szCs w:val="21"/>
        </w:rPr>
      </w:pPr>
      <w:r>
        <w:rPr>
          <w:rFonts w:hint="eastAsia" w:ascii="宋体" w:hAnsi="宋体" w:cs="宋体"/>
          <w:spacing w:val="20"/>
          <w:sz w:val="24"/>
          <w:szCs w:val="24"/>
        </w:rPr>
        <w:br w:type="page"/>
      </w:r>
      <w:r>
        <w:rPr>
          <w:rFonts w:hint="eastAsia" w:ascii="宋体" w:hAnsi="宋体" w:cs="宋体"/>
          <w:b/>
          <w:szCs w:val="21"/>
        </w:rPr>
        <w:t>格式十</w:t>
      </w:r>
      <w:r>
        <w:rPr>
          <w:rFonts w:hint="eastAsia" w:ascii="宋体" w:hAnsi="宋体" w:cs="宋体"/>
          <w:b/>
          <w:szCs w:val="21"/>
          <w:lang w:val="en-US" w:eastAsia="zh-CN"/>
        </w:rPr>
        <w:t>一</w:t>
      </w:r>
      <w:r>
        <w:rPr>
          <w:rFonts w:hint="eastAsia" w:ascii="宋体" w:hAnsi="宋体" w:cs="宋体"/>
          <w:b/>
          <w:szCs w:val="21"/>
        </w:rPr>
        <w:t>、投标人拟派本项目实施人员情况表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5"/>
        <w:gridCol w:w="1276"/>
        <w:gridCol w:w="1276"/>
        <w:gridCol w:w="1912"/>
        <w:gridCol w:w="1182"/>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本项目负责情况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姓名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项目经历</w:t>
            </w: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资质证书</w:t>
            </w: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从事该</w:t>
            </w:r>
          </w:p>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工作年限</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项目负责人</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r>
              <w:rPr>
                <w:rFonts w:hint="eastAsia" w:ascii="宋体" w:hAnsi="宋体" w:cs="宋体"/>
                <w:b/>
                <w:szCs w:val="21"/>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2575"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91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182"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tabs>
                <w:tab w:val="left" w:pos="2340"/>
                <w:tab w:val="left" w:pos="2520"/>
                <w:tab w:val="left" w:pos="2700"/>
                <w:tab w:val="left" w:pos="3060"/>
              </w:tabs>
              <w:spacing w:line="360" w:lineRule="auto"/>
              <w:jc w:val="center"/>
              <w:rPr>
                <w:rFonts w:hint="eastAsia" w:ascii="宋体" w:hAnsi="宋体" w:cs="宋体"/>
                <w:b/>
                <w:szCs w:val="21"/>
              </w:rPr>
            </w:pPr>
          </w:p>
        </w:tc>
      </w:tr>
    </w:tbl>
    <w:p>
      <w:pPr>
        <w:spacing w:line="360" w:lineRule="auto"/>
        <w:ind w:firstLine="426" w:firstLineChars="202"/>
        <w:rPr>
          <w:rFonts w:hint="eastAsia" w:ascii="宋体" w:hAnsi="宋体" w:cs="宋体"/>
          <w:b/>
          <w:szCs w:val="21"/>
        </w:rPr>
      </w:pPr>
    </w:p>
    <w:p>
      <w:pPr>
        <w:spacing w:line="360" w:lineRule="auto"/>
        <w:rPr>
          <w:rFonts w:hint="eastAsia" w:ascii="宋体" w:hAnsi="宋体" w:cs="宋体"/>
          <w:szCs w:val="21"/>
        </w:rPr>
      </w:pPr>
    </w:p>
    <w:p>
      <w:pPr>
        <w:spacing w:line="360" w:lineRule="auto"/>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rPr>
          <w:rFonts w:hint="eastAsia" w:ascii="宋体" w:hAnsi="宋体" w:cs="宋体"/>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napToGrid w:val="0"/>
        <w:spacing w:before="50" w:after="156" w:afterLines="50"/>
        <w:rPr>
          <w:rFonts w:hint="eastAsia" w:ascii="宋体" w:hAnsi="宋体" w:cs="宋体"/>
          <w:szCs w:val="21"/>
        </w:rPr>
      </w:pPr>
      <w:r>
        <w:rPr>
          <w:rFonts w:hint="eastAsia" w:ascii="宋体" w:hAnsi="宋体" w:cs="宋体"/>
          <w:b/>
          <w:szCs w:val="21"/>
        </w:rPr>
        <w:br w:type="page"/>
      </w:r>
      <w:r>
        <w:rPr>
          <w:rFonts w:hint="eastAsia" w:ascii="宋体" w:hAnsi="宋体" w:cs="宋体"/>
          <w:b/>
          <w:szCs w:val="21"/>
        </w:rPr>
        <w:t>格式十</w:t>
      </w:r>
      <w:r>
        <w:rPr>
          <w:rFonts w:hint="eastAsia" w:ascii="宋体" w:hAnsi="宋体" w:cs="宋体"/>
          <w:b/>
          <w:szCs w:val="21"/>
          <w:lang w:val="en-US" w:eastAsia="zh-CN"/>
        </w:rPr>
        <w:t>二</w:t>
      </w:r>
      <w:r>
        <w:rPr>
          <w:rFonts w:hint="eastAsia" w:ascii="宋体" w:hAnsi="宋体" w:cs="宋体"/>
          <w:b/>
          <w:szCs w:val="21"/>
        </w:rPr>
        <w:t>、投标人最优售后服务网点情况表</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400" w:lineRule="exact"/>
              <w:rPr>
                <w:rFonts w:hint="eastAsia" w:ascii="宋体" w:hAnsi="宋体" w:cs="宋体"/>
                <w:szCs w:val="21"/>
              </w:rPr>
            </w:pPr>
            <w:r>
              <w:rPr>
                <w:rFonts w:hint="eastAsia" w:ascii="宋体" w:hAnsi="宋体" w:cs="宋体"/>
                <w:szCs w:val="21"/>
              </w:rPr>
              <w:t>服务网点名称</w:t>
            </w:r>
          </w:p>
        </w:tc>
        <w:tc>
          <w:tcPr>
            <w:tcW w:w="558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400" w:lineRule="exact"/>
              <w:jc w:val="center"/>
              <w:rPr>
                <w:rFonts w:hint="eastAsia" w:ascii="宋体" w:hAnsi="宋体" w:cs="宋体"/>
                <w:szCs w:val="21"/>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400" w:lineRule="exact"/>
              <w:rPr>
                <w:rFonts w:hint="eastAsia" w:ascii="宋体" w:hAnsi="宋体" w:cs="宋体"/>
                <w:szCs w:val="21"/>
              </w:rPr>
            </w:pPr>
            <w:r>
              <w:rPr>
                <w:rFonts w:hint="eastAsia" w:ascii="宋体" w:hAnsi="宋体" w:cs="宋体"/>
                <w:szCs w:val="21"/>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400" w:lineRule="exact"/>
              <w:rPr>
                <w:rFonts w:hint="eastAsia" w:ascii="宋体" w:hAnsi="宋体" w:cs="宋体"/>
                <w:szCs w:val="21"/>
              </w:rPr>
            </w:pPr>
            <w:r>
              <w:rPr>
                <w:rFonts w:hint="eastAsia" w:ascii="宋体" w:hAnsi="宋体" w:cs="宋体"/>
                <w:szCs w:val="21"/>
              </w:rPr>
              <w:t>地址</w:t>
            </w:r>
          </w:p>
        </w:tc>
        <w:tc>
          <w:tcPr>
            <w:tcW w:w="558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56" w:afterLines="50" w:line="400" w:lineRule="exact"/>
              <w:jc w:val="center"/>
              <w:rPr>
                <w:rFonts w:hint="eastAsia" w:ascii="宋体" w:hAnsi="宋体" w:cs="宋体"/>
                <w:szCs w:val="21"/>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注册资本金</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其中：投标人出资比例</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员工总人数</w:t>
            </w:r>
          </w:p>
        </w:tc>
        <w:tc>
          <w:tcPr>
            <w:tcW w:w="16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2520"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其中：技术人员数</w:t>
            </w:r>
          </w:p>
        </w:tc>
        <w:tc>
          <w:tcPr>
            <w:tcW w:w="143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经营期限</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服务协议</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服务内容</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工作业绩</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服务承诺</w:t>
            </w:r>
          </w:p>
        </w:tc>
        <w:tc>
          <w:tcPr>
            <w:tcW w:w="5580"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业务咨询电话</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宋体" w:hAnsi="宋体" w:cs="宋体"/>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传 真</w:t>
            </w:r>
          </w:p>
        </w:tc>
        <w:tc>
          <w:tcPr>
            <w:tcW w:w="2325" w:type="dxa"/>
            <w:gridSpan w:val="2"/>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2"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负责人</w:t>
            </w:r>
          </w:p>
        </w:tc>
        <w:tc>
          <w:tcPr>
            <w:tcW w:w="1815" w:type="dxa"/>
            <w:gridSpan w:val="2"/>
            <w:tcBorders>
              <w:top w:val="single" w:color="auto" w:sz="4" w:space="0"/>
              <w:left w:val="single" w:color="auto" w:sz="4"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宋体" w:hAnsi="宋体" w:cs="宋体"/>
                <w:szCs w:val="21"/>
              </w:rPr>
            </w:pPr>
          </w:p>
        </w:tc>
        <w:tc>
          <w:tcPr>
            <w:tcW w:w="1440" w:type="dxa"/>
            <w:tcBorders>
              <w:top w:val="single" w:color="auto" w:sz="4" w:space="0"/>
              <w:left w:val="single" w:color="auto" w:sz="2" w:space="0"/>
              <w:bottom w:val="single" w:color="auto" w:sz="4" w:space="0"/>
              <w:right w:val="single" w:color="auto" w:sz="2" w:space="0"/>
            </w:tcBorders>
            <w:noWrap w:val="0"/>
            <w:vAlign w:val="top"/>
          </w:tcPr>
          <w:p>
            <w:pPr>
              <w:snapToGrid w:val="0"/>
              <w:spacing w:before="50" w:after="156" w:afterLines="50" w:line="400" w:lineRule="exact"/>
              <w:jc w:val="left"/>
              <w:rPr>
                <w:rFonts w:hint="eastAsia" w:ascii="宋体" w:hAnsi="宋体" w:cs="宋体"/>
                <w:szCs w:val="21"/>
              </w:rPr>
            </w:pPr>
            <w:r>
              <w:rPr>
                <w:rFonts w:hint="eastAsia" w:ascii="宋体" w:hAnsi="宋体" w:cs="宋体"/>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56" w:afterLines="50" w:line="400" w:lineRule="exact"/>
              <w:jc w:val="left"/>
              <w:rPr>
                <w:rFonts w:hint="eastAsia" w:ascii="宋体" w:hAnsi="宋体" w:cs="宋体"/>
                <w:szCs w:val="21"/>
              </w:rPr>
            </w:pPr>
          </w:p>
        </w:tc>
      </w:tr>
    </w:tbl>
    <w:p>
      <w:pPr>
        <w:snapToGrid w:val="0"/>
        <w:spacing w:before="50" w:after="156" w:afterLines="50"/>
        <w:jc w:val="left"/>
        <w:rPr>
          <w:rFonts w:hint="eastAsia" w:ascii="宋体" w:hAnsi="宋体" w:cs="宋体"/>
          <w:szCs w:val="21"/>
        </w:rPr>
      </w:pPr>
    </w:p>
    <w:p>
      <w:pPr>
        <w:spacing w:line="360" w:lineRule="auto"/>
        <w:ind w:left="424" w:leftChars="202"/>
        <w:rPr>
          <w:rFonts w:hint="eastAsia" w:ascii="宋体" w:hAnsi="宋体" w:cs="宋体"/>
          <w:szCs w:val="21"/>
          <w:u w:val="single"/>
        </w:rPr>
      </w:pPr>
      <w:r>
        <w:rPr>
          <w:rFonts w:hint="eastAsia" w:ascii="宋体" w:hAnsi="宋体" w:cs="宋体"/>
          <w:szCs w:val="21"/>
        </w:rPr>
        <w:t>投标人名称：</w:t>
      </w:r>
      <w:r>
        <w:rPr>
          <w:rFonts w:hint="eastAsia" w:ascii="宋体" w:hAnsi="宋体" w:cs="宋体"/>
          <w:b/>
          <w:spacing w:val="20"/>
          <w:szCs w:val="21"/>
          <w:u w:val="single"/>
        </w:rPr>
        <w:t xml:space="preserve">                </w:t>
      </w:r>
      <w:r>
        <w:rPr>
          <w:rFonts w:hint="eastAsia" w:ascii="宋体" w:hAnsi="宋体" w:cs="宋体"/>
          <w:szCs w:val="21"/>
        </w:rPr>
        <w:t xml:space="preserve">（加盖公章）  </w:t>
      </w:r>
    </w:p>
    <w:p>
      <w:pPr>
        <w:spacing w:line="360" w:lineRule="auto"/>
        <w:ind w:left="424" w:leftChars="202"/>
        <w:rPr>
          <w:rFonts w:hint="eastAsia" w:ascii="宋体" w:hAnsi="宋体" w:cs="宋体"/>
          <w:szCs w:val="21"/>
        </w:rPr>
      </w:pPr>
      <w:r>
        <w:rPr>
          <w:rFonts w:hint="eastAsia" w:ascii="宋体" w:hAnsi="宋体" w:cs="宋体"/>
          <w:spacing w:val="-4"/>
          <w:szCs w:val="21"/>
        </w:rPr>
        <w:t>投标人代表</w:t>
      </w:r>
      <w:r>
        <w:rPr>
          <w:rFonts w:hint="eastAsia" w:ascii="宋体" w:hAnsi="宋体" w:cs="宋体"/>
          <w:szCs w:val="21"/>
        </w:rPr>
        <w:t>：</w:t>
      </w:r>
      <w:r>
        <w:rPr>
          <w:rFonts w:hint="eastAsia" w:ascii="宋体" w:hAnsi="宋体" w:cs="宋体"/>
          <w:b/>
          <w:spacing w:val="20"/>
          <w:szCs w:val="21"/>
          <w:u w:val="single"/>
        </w:rPr>
        <w:t xml:space="preserve">           </w:t>
      </w:r>
      <w:r>
        <w:rPr>
          <w:rFonts w:hint="eastAsia" w:ascii="宋体" w:hAnsi="宋体" w:cs="宋体"/>
          <w:szCs w:val="21"/>
        </w:rPr>
        <w:t>（签字）</w:t>
      </w:r>
    </w:p>
    <w:p>
      <w:pPr>
        <w:spacing w:line="360" w:lineRule="auto"/>
        <w:ind w:left="424" w:leftChars="202"/>
        <w:rPr>
          <w:rFonts w:hint="eastAsia" w:ascii="宋体" w:hAnsi="宋体" w:cs="宋体"/>
          <w:spacing w:val="20"/>
          <w:szCs w:val="21"/>
        </w:rPr>
      </w:pPr>
      <w:r>
        <w:rPr>
          <w:rFonts w:hint="eastAsia" w:ascii="宋体" w:hAnsi="宋体" w:cs="宋体"/>
          <w:spacing w:val="20"/>
          <w:szCs w:val="21"/>
        </w:rPr>
        <w:t>日期：</w:t>
      </w:r>
      <w:r>
        <w:rPr>
          <w:rFonts w:hint="eastAsia" w:ascii="宋体" w:hAnsi="宋体" w:cs="宋体"/>
          <w:spacing w:val="20"/>
          <w:szCs w:val="21"/>
          <w:u w:val="single"/>
        </w:rPr>
        <w:t xml:space="preserve">    </w:t>
      </w:r>
      <w:r>
        <w:rPr>
          <w:rFonts w:hint="eastAsia" w:ascii="宋体" w:hAnsi="宋体" w:cs="宋体"/>
          <w:spacing w:val="20"/>
          <w:szCs w:val="21"/>
        </w:rPr>
        <w:t>年</w:t>
      </w:r>
      <w:r>
        <w:rPr>
          <w:rFonts w:hint="eastAsia" w:ascii="宋体" w:hAnsi="宋体" w:cs="宋体"/>
          <w:spacing w:val="20"/>
          <w:szCs w:val="21"/>
          <w:u w:val="single"/>
        </w:rPr>
        <w:t xml:space="preserve">   </w:t>
      </w:r>
      <w:r>
        <w:rPr>
          <w:rFonts w:hint="eastAsia" w:ascii="宋体" w:hAnsi="宋体" w:cs="宋体"/>
          <w:spacing w:val="20"/>
          <w:szCs w:val="21"/>
        </w:rPr>
        <w:t>月</w:t>
      </w:r>
      <w:r>
        <w:rPr>
          <w:rFonts w:hint="eastAsia" w:ascii="宋体" w:hAnsi="宋体" w:cs="宋体"/>
          <w:spacing w:val="20"/>
          <w:szCs w:val="21"/>
          <w:u w:val="single"/>
        </w:rPr>
        <w:t xml:space="preserve">   </w:t>
      </w:r>
      <w:r>
        <w:rPr>
          <w:rFonts w:hint="eastAsia" w:ascii="宋体" w:hAnsi="宋体" w:cs="宋体"/>
          <w:spacing w:val="20"/>
          <w:szCs w:val="21"/>
        </w:rPr>
        <w:t>日</w:t>
      </w: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pacing w:line="360" w:lineRule="auto"/>
        <w:rPr>
          <w:rFonts w:hint="eastAsia" w:ascii="宋体" w:hAnsi="宋体" w:cs="宋体"/>
          <w:b/>
          <w:szCs w:val="21"/>
        </w:rPr>
      </w:pPr>
    </w:p>
    <w:p>
      <w:pPr>
        <w:snapToGrid w:val="0"/>
        <w:spacing w:before="50" w:after="156" w:afterLines="50"/>
        <w:jc w:val="left"/>
        <w:rPr>
          <w:rFonts w:hint="eastAsia" w:ascii="宋体" w:cs="宋体"/>
          <w:b/>
          <w:bCs/>
          <w:szCs w:val="21"/>
        </w:rPr>
      </w:pPr>
      <w:r>
        <w:rPr>
          <w:rFonts w:hint="eastAsia" w:ascii="宋体" w:cs="宋体"/>
          <w:b/>
          <w:bCs/>
          <w:szCs w:val="21"/>
        </w:rPr>
        <w:t>格式十</w:t>
      </w:r>
      <w:r>
        <w:rPr>
          <w:rFonts w:hint="eastAsia" w:ascii="宋体" w:cs="宋体"/>
          <w:b/>
          <w:bCs/>
          <w:szCs w:val="21"/>
          <w:lang w:val="en-US" w:eastAsia="zh-CN"/>
        </w:rPr>
        <w:t>三</w:t>
      </w:r>
      <w:r>
        <w:rPr>
          <w:rFonts w:hint="eastAsia" w:ascii="宋体" w:cs="宋体"/>
          <w:b/>
          <w:bCs/>
          <w:szCs w:val="21"/>
        </w:rPr>
        <w:t>、质疑函（范本）</w:t>
      </w:r>
    </w:p>
    <w:p>
      <w:pPr>
        <w:spacing w:line="360" w:lineRule="auto"/>
        <w:jc w:val="center"/>
        <w:rPr>
          <w:rFonts w:ascii="宋体" w:hAnsi="宋体"/>
          <w:szCs w:val="21"/>
        </w:rPr>
      </w:pPr>
      <w:r>
        <w:rPr>
          <w:rFonts w:hint="eastAsia" w:ascii="宋体" w:hAnsi="宋体"/>
          <w:szCs w:val="21"/>
        </w:rPr>
        <w:t>质疑函（范本）</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质疑供应商：</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地址：</w:t>
      </w:r>
      <w:r>
        <w:rPr>
          <w:rFonts w:hint="eastAsia" w:ascii="宋体" w:hAnsi="宋体" w:cs="Calibri"/>
          <w:kern w:val="0"/>
          <w:szCs w:val="21"/>
          <w:u w:val="single"/>
          <w:shd w:val="clear" w:color="auto" w:fill="FFFFFF"/>
          <w:lang w:bidi="ar"/>
        </w:rPr>
        <w:t xml:space="preserve">                                                             </w:t>
      </w:r>
      <w:r>
        <w:rPr>
          <w:rFonts w:hint="eastAsia" w:ascii="宋体" w:hAnsi="宋体" w:cs="仿宋"/>
          <w:kern w:val="0"/>
          <w:szCs w:val="21"/>
          <w:shd w:val="clear" w:color="auto" w:fill="FFFFFF"/>
          <w:lang w:bidi="ar"/>
        </w:rPr>
        <w:t>邮编：</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Calibri"/>
          <w:kern w:val="0"/>
          <w:szCs w:val="21"/>
          <w:u w:val="single"/>
          <w:shd w:val="clear" w:color="auto" w:fill="FFFFFF"/>
          <w:lang w:bidi="ar"/>
        </w:rPr>
      </w:pPr>
      <w:r>
        <w:rPr>
          <w:rFonts w:hint="eastAsia" w:ascii="宋体" w:hAnsi="宋体" w:cs="仿宋"/>
          <w:kern w:val="0"/>
          <w:szCs w:val="21"/>
          <w:shd w:val="clear" w:color="auto" w:fill="FFFFFF"/>
          <w:lang w:bidi="ar"/>
        </w:rPr>
        <w:t>联系人：</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联系电话：</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Calibri"/>
          <w:kern w:val="0"/>
          <w:szCs w:val="21"/>
          <w:u w:val="single"/>
          <w:shd w:val="clear" w:color="auto" w:fill="FFFFFF"/>
          <w:lang w:bidi="ar"/>
        </w:rPr>
      </w:pPr>
      <w:r>
        <w:rPr>
          <w:rFonts w:hint="eastAsia" w:ascii="宋体" w:hAnsi="宋体" w:cs="仿宋"/>
          <w:kern w:val="0"/>
          <w:szCs w:val="21"/>
          <w:shd w:val="clear" w:color="auto" w:fill="FFFFFF"/>
          <w:lang w:bidi="ar"/>
        </w:rPr>
        <w:t>授权代表：</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联系电话：</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276" w:lineRule="auto"/>
        <w:jc w:val="left"/>
        <w:rPr>
          <w:rFonts w:hint="eastAsia" w:ascii="宋体" w:hAnsi="宋体" w:cs="宋体"/>
          <w:szCs w:val="21"/>
        </w:rPr>
      </w:pPr>
      <w:r>
        <w:rPr>
          <w:rFonts w:hint="eastAsia" w:ascii="宋体" w:hAnsi="宋体" w:cs="仿宋"/>
          <w:kern w:val="0"/>
          <w:szCs w:val="21"/>
          <w:shd w:val="clear" w:color="auto" w:fill="FFFFFF"/>
          <w:lang w:bidi="ar"/>
        </w:rPr>
        <w:t>地址：</w:t>
      </w:r>
      <w:r>
        <w:rPr>
          <w:rFonts w:hint="eastAsia" w:ascii="宋体" w:hAnsi="宋体" w:cs="Calibri"/>
          <w:kern w:val="0"/>
          <w:szCs w:val="21"/>
          <w:u w:val="single"/>
          <w:shd w:val="clear" w:color="auto" w:fill="FFFFFF"/>
          <w:lang w:bidi="ar"/>
        </w:rPr>
        <w:t xml:space="preserve">                                                             </w:t>
      </w:r>
      <w:r>
        <w:rPr>
          <w:rFonts w:hint="eastAsia" w:ascii="宋体" w:hAnsi="宋体" w:cs="仿宋"/>
          <w:kern w:val="0"/>
          <w:szCs w:val="21"/>
          <w:shd w:val="clear" w:color="auto" w:fill="FFFFFF"/>
          <w:lang w:bidi="ar"/>
        </w:rPr>
        <w:t>邮编：</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黑体"/>
          <w:kern w:val="0"/>
          <w:szCs w:val="21"/>
          <w:shd w:val="clear" w:color="auto" w:fill="FFFFFF"/>
          <w:lang w:bidi="ar"/>
        </w:rPr>
      </w:pPr>
    </w:p>
    <w:p>
      <w:pPr>
        <w:widowControl/>
        <w:spacing w:before="100" w:beforeAutospacing="1" w:after="100" w:afterAutospacing="1" w:line="360" w:lineRule="auto"/>
        <w:jc w:val="left"/>
        <w:rPr>
          <w:rFonts w:hint="eastAsia" w:ascii="宋体" w:hAnsi="宋体" w:cs="宋体"/>
          <w:szCs w:val="21"/>
        </w:rPr>
      </w:pPr>
      <w:r>
        <w:rPr>
          <w:rFonts w:ascii="宋体" w:hAnsi="宋体" w:cs="黑体"/>
          <w:kern w:val="0"/>
          <w:szCs w:val="21"/>
          <w:shd w:val="clear" w:color="auto" w:fill="FFFFFF"/>
          <w:lang w:bidi="ar"/>
        </w:rPr>
        <w:t>二、质疑项目基本情况</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质疑项目的名称：</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质疑项目的编号：</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采购人名称：</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采购文件获取日期：</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黑体"/>
          <w:kern w:val="0"/>
          <w:szCs w:val="21"/>
          <w:shd w:val="clear" w:color="auto" w:fill="FFFFFF"/>
          <w:lang w:bidi="ar"/>
        </w:rPr>
        <w:t>三、质疑事项具体内容</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质疑事项1：</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事实依据：</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法律依据：</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质疑事项2</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仿宋"/>
          <w:kern w:val="0"/>
          <w:szCs w:val="21"/>
          <w:shd w:val="clear" w:color="auto" w:fill="FFFFFF"/>
          <w:lang w:bidi="ar"/>
        </w:rPr>
        <w:t>……</w:t>
      </w:r>
    </w:p>
    <w:p>
      <w:pPr>
        <w:widowControl/>
        <w:spacing w:before="100" w:beforeAutospacing="1" w:after="100" w:afterAutospacing="1" w:line="360" w:lineRule="auto"/>
        <w:jc w:val="left"/>
        <w:rPr>
          <w:rFonts w:hint="eastAsia" w:ascii="宋体" w:hAnsi="宋体" w:cs="宋体"/>
          <w:szCs w:val="21"/>
        </w:rPr>
      </w:pPr>
      <w:r>
        <w:rPr>
          <w:rFonts w:hint="eastAsia" w:ascii="宋体" w:hAnsi="宋体" w:cs="黑体"/>
          <w:kern w:val="0"/>
          <w:szCs w:val="21"/>
          <w:shd w:val="clear" w:color="auto" w:fill="FFFFFF"/>
          <w:lang w:bidi="ar"/>
        </w:rPr>
        <w:t>四、与质疑事项相关的质疑请求</w:t>
      </w:r>
    </w:p>
    <w:p>
      <w:pPr>
        <w:widowControl/>
        <w:spacing w:before="100" w:beforeAutospacing="1" w:after="100" w:afterAutospacing="1" w:line="360" w:lineRule="auto"/>
        <w:jc w:val="left"/>
        <w:rPr>
          <w:rFonts w:hint="eastAsia" w:ascii="宋体" w:hAnsi="宋体" w:cs="Calibri"/>
          <w:kern w:val="0"/>
          <w:szCs w:val="21"/>
          <w:u w:val="single"/>
          <w:shd w:val="clear" w:color="auto" w:fill="FFFFFF"/>
          <w:lang w:bidi="ar"/>
        </w:rPr>
      </w:pPr>
      <w:r>
        <w:rPr>
          <w:rFonts w:hint="eastAsia" w:ascii="宋体" w:hAnsi="宋体" w:cs="仿宋"/>
          <w:kern w:val="0"/>
          <w:szCs w:val="21"/>
          <w:shd w:val="clear" w:color="auto" w:fill="FFFFFF"/>
          <w:lang w:bidi="ar"/>
        </w:rPr>
        <w:t>请求：</w:t>
      </w:r>
      <w:r>
        <w:rPr>
          <w:rFonts w:hint="eastAsia" w:ascii="宋体" w:hAnsi="宋体" w:cs="Calibri"/>
          <w:kern w:val="0"/>
          <w:szCs w:val="21"/>
          <w:u w:val="single"/>
          <w:shd w:val="clear" w:color="auto" w:fill="FFFFFF"/>
          <w:lang w:bidi="ar"/>
        </w:rPr>
        <w:t xml:space="preserve">                                                                            </w:t>
      </w:r>
    </w:p>
    <w:p>
      <w:pPr>
        <w:widowControl/>
        <w:spacing w:before="100" w:beforeAutospacing="1" w:after="100" w:afterAutospacing="1" w:line="360" w:lineRule="auto"/>
        <w:jc w:val="left"/>
        <w:rPr>
          <w:rFonts w:hint="eastAsia" w:ascii="宋体" w:hAnsi="宋体" w:cs="宋体"/>
          <w:szCs w:val="21"/>
        </w:rPr>
      </w:pPr>
    </w:p>
    <w:p>
      <w:pPr>
        <w:widowControl/>
        <w:spacing w:before="100" w:beforeAutospacing="1" w:after="100" w:afterAutospacing="1" w:line="360" w:lineRule="auto"/>
        <w:jc w:val="left"/>
        <w:rPr>
          <w:rFonts w:ascii="宋体" w:hAnsi="宋体" w:cs="仿宋_GB2312"/>
          <w:kern w:val="0"/>
          <w:szCs w:val="21"/>
          <w:shd w:val="clear" w:color="auto" w:fill="FFFFFF"/>
          <w:lang w:bidi="ar"/>
        </w:rPr>
      </w:pPr>
      <w:r>
        <w:rPr>
          <w:rFonts w:ascii="宋体" w:hAnsi="宋体" w:cs="仿宋_GB2312"/>
          <w:kern w:val="0"/>
          <w:szCs w:val="21"/>
          <w:shd w:val="clear" w:color="auto" w:fill="FFFFFF"/>
          <w:lang w:bidi="ar"/>
        </w:rPr>
        <w:t>签字(签章)：</w:t>
      </w:r>
    </w:p>
    <w:p>
      <w:pPr>
        <w:widowControl/>
        <w:spacing w:before="100" w:beforeAutospacing="1" w:after="100" w:afterAutospacing="1" w:line="360" w:lineRule="auto"/>
        <w:jc w:val="left"/>
        <w:rPr>
          <w:rFonts w:hint="eastAsia" w:ascii="宋体" w:hAnsi="宋体" w:cs="宋体"/>
          <w:szCs w:val="21"/>
        </w:rPr>
      </w:pPr>
      <w:r>
        <w:rPr>
          <w:rFonts w:ascii="宋体" w:hAnsi="宋体" w:cs="仿宋_GB2312"/>
          <w:kern w:val="0"/>
          <w:szCs w:val="21"/>
          <w:shd w:val="clear" w:color="auto" w:fill="FFFFFF"/>
          <w:lang w:bidi="ar"/>
        </w:rPr>
        <w:t>公章：</w:t>
      </w:r>
    </w:p>
    <w:p>
      <w:pPr>
        <w:widowControl/>
        <w:spacing w:before="100" w:beforeAutospacing="1" w:after="100" w:afterAutospacing="1" w:line="360" w:lineRule="auto"/>
        <w:jc w:val="left"/>
        <w:rPr>
          <w:rFonts w:hint="eastAsia" w:ascii="宋体" w:hAnsi="宋体" w:cs="Calibri"/>
          <w:kern w:val="0"/>
          <w:szCs w:val="21"/>
          <w:shd w:val="clear" w:color="auto" w:fill="FFFFFF"/>
          <w:lang w:bidi="ar"/>
        </w:rPr>
      </w:pPr>
      <w:r>
        <w:rPr>
          <w:rFonts w:ascii="宋体" w:hAnsi="宋体" w:cs="仿宋_GB2312"/>
          <w:kern w:val="0"/>
          <w:szCs w:val="21"/>
          <w:shd w:val="clear" w:color="auto" w:fill="FFFFFF"/>
          <w:lang w:bidi="ar"/>
        </w:rPr>
        <w:t>日期：</w:t>
      </w:r>
    </w:p>
    <w:p>
      <w:pPr>
        <w:widowControl/>
        <w:spacing w:before="100" w:beforeAutospacing="1" w:after="100" w:afterAutospacing="1" w:line="360" w:lineRule="auto"/>
        <w:jc w:val="left"/>
        <w:rPr>
          <w:rFonts w:hint="eastAsia" w:ascii="宋体" w:hAnsi="宋体" w:cs="宋体"/>
          <w:szCs w:val="21"/>
        </w:rPr>
      </w:pPr>
    </w:p>
    <w:p>
      <w:pPr>
        <w:widowControl/>
        <w:spacing w:before="100" w:beforeAutospacing="1" w:after="100" w:afterAutospacing="1" w:line="360" w:lineRule="auto"/>
        <w:jc w:val="left"/>
        <w:rPr>
          <w:rFonts w:hint="eastAsia" w:ascii="宋体" w:hAnsi="宋体" w:cs="宋体"/>
          <w:szCs w:val="21"/>
        </w:rPr>
      </w:pPr>
      <w:r>
        <w:rPr>
          <w:rFonts w:hint="eastAsia" w:ascii="宋体" w:hAnsi="宋体" w:cs="黑体"/>
          <w:b/>
          <w:kern w:val="0"/>
          <w:szCs w:val="21"/>
          <w:shd w:val="clear" w:color="auto" w:fill="FFFFFF"/>
          <w:lang w:bidi="ar"/>
        </w:rPr>
        <w:t>质疑函制作说明：</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1.供应商提出质疑时，应提交质疑函和必要的证明材料。</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3.质疑供应商若对项目的某一</w:t>
      </w:r>
      <w:r>
        <w:rPr>
          <w:rFonts w:hint="eastAsia" w:ascii="宋体" w:hAnsi="宋体" w:cs="仿宋_GB2312"/>
          <w:kern w:val="0"/>
          <w:szCs w:val="21"/>
          <w:shd w:val="clear" w:color="auto" w:fill="FFFFFF"/>
          <w:lang w:bidi="ar"/>
        </w:rPr>
        <w:t>标项</w:t>
      </w:r>
      <w:r>
        <w:rPr>
          <w:rFonts w:ascii="宋体" w:hAnsi="宋体" w:cs="仿宋_GB2312"/>
          <w:kern w:val="0"/>
          <w:szCs w:val="21"/>
          <w:shd w:val="clear" w:color="auto" w:fill="FFFFFF"/>
          <w:lang w:bidi="ar"/>
        </w:rPr>
        <w:t>进行质疑，质疑函中应列明具体</w:t>
      </w:r>
      <w:r>
        <w:rPr>
          <w:rFonts w:hint="eastAsia" w:ascii="宋体" w:hAnsi="宋体" w:cs="仿宋_GB2312"/>
          <w:kern w:val="0"/>
          <w:szCs w:val="21"/>
          <w:shd w:val="clear" w:color="auto" w:fill="FFFFFF"/>
          <w:lang w:bidi="ar"/>
        </w:rPr>
        <w:t>标项</w:t>
      </w:r>
      <w:r>
        <w:rPr>
          <w:rFonts w:ascii="宋体" w:hAnsi="宋体" w:cs="仿宋_GB2312"/>
          <w:kern w:val="0"/>
          <w:szCs w:val="21"/>
          <w:shd w:val="clear" w:color="auto" w:fill="FFFFFF"/>
          <w:lang w:bidi="ar"/>
        </w:rPr>
        <w:t>。</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4.质疑函的质疑事项应具体、明确，并有必要的事实依据和法律依据。</w:t>
      </w:r>
    </w:p>
    <w:p>
      <w:pPr>
        <w:widowControl/>
        <w:spacing w:before="100" w:beforeAutospacing="1" w:after="100" w:afterAutospacing="1" w:line="360" w:lineRule="auto"/>
        <w:ind w:firstLine="640"/>
        <w:jc w:val="left"/>
        <w:rPr>
          <w:rFonts w:hint="eastAsia" w:ascii="宋体" w:hAnsi="宋体" w:cs="宋体"/>
          <w:szCs w:val="21"/>
        </w:rPr>
      </w:pPr>
      <w:r>
        <w:rPr>
          <w:rFonts w:ascii="宋体" w:hAnsi="宋体" w:cs="仿宋_GB2312"/>
          <w:kern w:val="0"/>
          <w:szCs w:val="21"/>
          <w:shd w:val="clear" w:color="auto" w:fill="FFFFFF"/>
          <w:lang w:bidi="ar"/>
        </w:rPr>
        <w:t>5.质疑函的质疑请求应与质疑事项相关。</w:t>
      </w:r>
    </w:p>
    <w:p>
      <w:pPr>
        <w:widowControl/>
        <w:spacing w:before="100" w:beforeAutospacing="1" w:after="100" w:afterAutospacing="1" w:line="360" w:lineRule="auto"/>
        <w:ind w:firstLine="640"/>
        <w:jc w:val="left"/>
        <w:rPr>
          <w:rFonts w:ascii="宋体" w:hAnsi="宋体" w:cs="仿宋_GB2312"/>
          <w:kern w:val="0"/>
          <w:szCs w:val="21"/>
          <w:shd w:val="clear" w:color="auto" w:fill="FFFFFF"/>
          <w:lang w:bidi="ar"/>
        </w:rPr>
      </w:pPr>
      <w:r>
        <w:rPr>
          <w:rFonts w:ascii="宋体" w:hAnsi="宋体" w:cs="仿宋_GB2312"/>
          <w:kern w:val="0"/>
          <w:szCs w:val="21"/>
          <w:shd w:val="clear" w:color="auto" w:fill="FFFFFF"/>
          <w:lang w:bidi="ar"/>
        </w:rPr>
        <w:t>6.质疑供应商为自然人的，质疑函应由本人签字；质疑供应商为法人或者其他组织的，质疑函应由法定代表人、主要负责人，或者其授权代表签字或者盖章，并加盖公章。</w:t>
      </w:r>
    </w:p>
    <w:p>
      <w:pPr>
        <w:widowControl/>
        <w:spacing w:before="100" w:beforeAutospacing="1" w:after="100" w:afterAutospacing="1" w:line="360" w:lineRule="auto"/>
        <w:jc w:val="both"/>
        <w:rPr>
          <w:rFonts w:hint="eastAsia" w:ascii="宋体" w:hAnsi="宋体" w:eastAsia="宋体" w:cs="宋体"/>
          <w:bCs/>
          <w:kern w:val="2"/>
          <w:sz w:val="84"/>
          <w:szCs w:val="84"/>
          <w:lang w:val="en-US" w:eastAsia="zh-CN" w:bidi="ar-SA"/>
        </w:rPr>
      </w:pPr>
    </w:p>
    <w:p>
      <w:pPr>
        <w:pStyle w:val="9"/>
        <w:snapToGrid w:val="0"/>
        <w:spacing w:line="360" w:lineRule="auto"/>
        <w:rPr>
          <w:rFonts w:hint="eastAsia" w:hAnsi="宋体" w:eastAsia="宋体" w:cs="宋体"/>
          <w:sz w:val="21"/>
          <w:szCs w:val="21"/>
        </w:rPr>
      </w:pPr>
    </w:p>
    <w:sectPr>
      <w:footerReference r:id="rId5" w:type="first"/>
      <w:headerReference r:id="rId3" w:type="default"/>
      <w:footerReference r:id="rId4" w:type="default"/>
      <w:pgSz w:w="11906" w:h="16838"/>
      <w:pgMar w:top="1531" w:right="992" w:bottom="737" w:left="992" w:header="851" w:footer="584" w:gutter="0"/>
      <w:pgBorders>
        <w:top w:val="none" w:sz="0" w:space="0"/>
        <w:left w:val="none" w:sz="0" w:space="0"/>
        <w:bottom w:val="none" w:sz="0" w:space="0"/>
        <w:right w:val="none" w:sz="0" w:space="0"/>
      </w:pgBorders>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1" w:usb1="080E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kern w:val="0"/>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5ihY+ckBAACZAwAADgAAAGRycy9lMm9Eb2MueG1srVPNjtMwEL6vxDtY vlNni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uAmUOG5x4OefP86/Hs8P38mb LE8foMasu4B5aXjvh5w6+QGdmfWgos1f5EMwjuKeLuLKIRGRH62Wq1WFIYGx+YI47Ol5iJA+SG9J NhoacXpFVH78BGlMnVNyNedvtTHo57VxfzkQM3tY7n3sMVtp2A1T4zvfnpBPj4NvqMM9p8R8dKhr 3pHZiLOxm41DiHrflSXK9SC8OyRsovSWK4ywU2GcWGE3bVdeiT/vJevpj9r8Bl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mKFj5yQEAAJkDAAAOAAAAAAAAAAEAIAAAAB4BAABkcnMvZTJvRG9j LnhtbFBLBQYAAAAABgAGAFkBAABZBQAAAAA= ">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8pfMzMkBAACZAwAADgAAAGRycy9lMm9Eb2MueG1srVPNjtMwEL6vxDtY vlNnK4SqqOkKVC1CQoC07AO4jt1Y8p88bpO+ALwBJy573+fqczB2ki4slz1wccYz42/m+2ayvhms IUcZQXvX0OtFRYl0wrfa7Rt6/+329YoSSNy13HgnG3qSQG82r67Wfajl0nfetDISBHFQ96GhXUqh ZgxEJy2HhQ/SYVD5aHnCa9yzNvIe0a1hy6p6y3of2xC9kADo3Y5BOiHGlwB6pbSQWy8OVro0okZp eEJK0OkAdFO6VUqK9EUpkImYhiLTVE4sgvYun2yz5vU+8tBpMbXAX9LCM06Wa4dFL1Bbnjg5RP0P lNUievAqLYS3bCRSFEEW19Uzbe46HmThglJDuIgO/w9WfD5+jUS3DV1S4rjFgZ9//jj/ejw/fCdv sjx9gBqz7gLmpeG9H3BpZj+gM7MeVLT5i3wIxlHc00VcOSQi8qPVcrWqMCQwNl8Qnz09DxHSB+kt yUZDI06viMqPnyCNqXNKrub8rTamTNC4vxyImT0s9z72mK007IaJ0M63J+TT4+Ab6nDPKTEfHeqa d2Q24mzsZuMQot53ZYlyPQjvDgmbKL3lCiPsVBgnVthN25VX4s97yXr6oza/AV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yl8zMyQEAAJkDAAAOAAAAAAAAAAEAIAAAAB4BAABkcnMvZTJvRG9j LnhtbFBLBQYAAAAABgAGAFkBAABZBQAAAAA= ">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rPr>
    </w:pPr>
    <w:r>
      <w:rPr>
        <w:rFonts w:hint="eastAsia" w:ascii="宋体"/>
      </w:rPr>
      <w:drawing>
        <wp:inline distT="0" distB="0" distL="114300" distR="114300">
          <wp:extent cx="1602105" cy="293370"/>
          <wp:effectExtent l="0" t="0" r="17145" b="11430"/>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pic:cNvPicPr>
                </pic:nvPicPr>
                <pic:blipFill>
                  <a:blip r:embed="rId1"/>
                  <a:stretch>
                    <a:fillRect/>
                  </a:stretch>
                </pic:blipFill>
                <pic:spPr>
                  <a:xfrm>
                    <a:off x="0" y="0"/>
                    <a:ext cx="1602105" cy="293370"/>
                  </a:xfrm>
                  <a:prstGeom prst="rect">
                    <a:avLst/>
                  </a:prstGeom>
                  <a:noFill/>
                  <a:ln>
                    <a:noFill/>
                  </a:ln>
                </pic:spPr>
              </pic:pic>
            </a:graphicData>
          </a:graphic>
        </wp:inline>
      </w:drawing>
    </w:r>
    <w:r>
      <w:rPr>
        <w:rFonts w:hint="eastAsia" w:ascii="宋体"/>
      </w:rPr>
      <w:t xml:space="preserve">                           舟山市公安局执法办案管理中心改扩建工程（信息化部分）项目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FC43F"/>
    <w:multiLevelType w:val="singleLevel"/>
    <w:tmpl w:val="C32FC43F"/>
    <w:lvl w:ilvl="0" w:tentative="0">
      <w:start w:val="1"/>
      <w:numFmt w:val="decimal"/>
      <w:suff w:val="nothing"/>
      <w:lvlText w:val="%1、"/>
      <w:lvlJc w:val="left"/>
    </w:lvl>
  </w:abstractNum>
  <w:abstractNum w:abstractNumId="1">
    <w:nsid w:val="C859C1D0"/>
    <w:multiLevelType w:val="singleLevel"/>
    <w:tmpl w:val="C859C1D0"/>
    <w:lvl w:ilvl="0" w:tentative="0">
      <w:start w:val="1"/>
      <w:numFmt w:val="decimal"/>
      <w:suff w:val="nothing"/>
      <w:lvlText w:val="%1、"/>
      <w:lvlJc w:val="left"/>
    </w:lvl>
  </w:abstractNum>
  <w:abstractNum w:abstractNumId="2">
    <w:nsid w:val="EB9D31F2"/>
    <w:multiLevelType w:val="singleLevel"/>
    <w:tmpl w:val="EB9D31F2"/>
    <w:lvl w:ilvl="0" w:tentative="0">
      <w:start w:val="5"/>
      <w:numFmt w:val="chineseCounting"/>
      <w:suff w:val="nothing"/>
      <w:lvlText w:val="%1、"/>
      <w:lvlJc w:val="left"/>
      <w:rPr>
        <w:rFonts w:hint="eastAsia"/>
      </w:rPr>
    </w:lvl>
  </w:abstractNum>
  <w:abstractNum w:abstractNumId="3">
    <w:nsid w:val="1A0DBF04"/>
    <w:multiLevelType w:val="singleLevel"/>
    <w:tmpl w:val="1A0DBF04"/>
    <w:lvl w:ilvl="0" w:tentative="0">
      <w:start w:val="2"/>
      <w:numFmt w:val="decimal"/>
      <w:suff w:val="nothing"/>
      <w:lvlText w:val="%1、"/>
      <w:lvlJc w:val="left"/>
    </w:lvl>
  </w:abstractNum>
  <w:abstractNum w:abstractNumId="4">
    <w:nsid w:val="597B62F6"/>
    <w:multiLevelType w:val="singleLevel"/>
    <w:tmpl w:val="597B62F6"/>
    <w:lvl w:ilvl="0" w:tentative="0">
      <w:start w:val="1"/>
      <w:numFmt w:val="decimal"/>
      <w:suff w:val="nothing"/>
      <w:lvlText w:val="%1、"/>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2FkMTlmZjJkNmI4ZmZkN2IzMzM0YmMyNTc2MDIifQ=="/>
  </w:docVars>
  <w:rsids>
    <w:rsidRoot w:val="00172A27"/>
    <w:rsid w:val="000005EE"/>
    <w:rsid w:val="000008AE"/>
    <w:rsid w:val="00000DA0"/>
    <w:rsid w:val="0000107B"/>
    <w:rsid w:val="00001255"/>
    <w:rsid w:val="00001351"/>
    <w:rsid w:val="00001616"/>
    <w:rsid w:val="00002240"/>
    <w:rsid w:val="0000249F"/>
    <w:rsid w:val="000036AE"/>
    <w:rsid w:val="000053DD"/>
    <w:rsid w:val="000067D2"/>
    <w:rsid w:val="00006CD5"/>
    <w:rsid w:val="00010275"/>
    <w:rsid w:val="00011F5B"/>
    <w:rsid w:val="00012FC0"/>
    <w:rsid w:val="000131FB"/>
    <w:rsid w:val="00013905"/>
    <w:rsid w:val="00013F7B"/>
    <w:rsid w:val="000148CF"/>
    <w:rsid w:val="000150F2"/>
    <w:rsid w:val="00015267"/>
    <w:rsid w:val="00015B00"/>
    <w:rsid w:val="000161B6"/>
    <w:rsid w:val="00020487"/>
    <w:rsid w:val="00021229"/>
    <w:rsid w:val="00021CDE"/>
    <w:rsid w:val="00021CF2"/>
    <w:rsid w:val="000225BC"/>
    <w:rsid w:val="00022EFA"/>
    <w:rsid w:val="00023C49"/>
    <w:rsid w:val="00023E4C"/>
    <w:rsid w:val="0002452C"/>
    <w:rsid w:val="000260AD"/>
    <w:rsid w:val="000265C2"/>
    <w:rsid w:val="00026CC2"/>
    <w:rsid w:val="000273C7"/>
    <w:rsid w:val="00027CC8"/>
    <w:rsid w:val="00027CEC"/>
    <w:rsid w:val="00027D38"/>
    <w:rsid w:val="000303E1"/>
    <w:rsid w:val="00030AD8"/>
    <w:rsid w:val="000317CA"/>
    <w:rsid w:val="0003181C"/>
    <w:rsid w:val="00032134"/>
    <w:rsid w:val="000325CE"/>
    <w:rsid w:val="0003329B"/>
    <w:rsid w:val="00033641"/>
    <w:rsid w:val="00034D19"/>
    <w:rsid w:val="0003660B"/>
    <w:rsid w:val="000369D2"/>
    <w:rsid w:val="00037EE2"/>
    <w:rsid w:val="000407B3"/>
    <w:rsid w:val="0004111B"/>
    <w:rsid w:val="000415B1"/>
    <w:rsid w:val="00041BE4"/>
    <w:rsid w:val="0004279E"/>
    <w:rsid w:val="0004335D"/>
    <w:rsid w:val="00043AC8"/>
    <w:rsid w:val="00044AE2"/>
    <w:rsid w:val="00044B3F"/>
    <w:rsid w:val="00045883"/>
    <w:rsid w:val="00046374"/>
    <w:rsid w:val="00047114"/>
    <w:rsid w:val="0005095B"/>
    <w:rsid w:val="00050DEE"/>
    <w:rsid w:val="000516E3"/>
    <w:rsid w:val="00051B80"/>
    <w:rsid w:val="00052F70"/>
    <w:rsid w:val="00053F58"/>
    <w:rsid w:val="0005415C"/>
    <w:rsid w:val="00055835"/>
    <w:rsid w:val="00055B9A"/>
    <w:rsid w:val="00055C01"/>
    <w:rsid w:val="00055DD9"/>
    <w:rsid w:val="000566FC"/>
    <w:rsid w:val="00056C53"/>
    <w:rsid w:val="00057A16"/>
    <w:rsid w:val="000601BC"/>
    <w:rsid w:val="0006107F"/>
    <w:rsid w:val="00061AE1"/>
    <w:rsid w:val="00061B2C"/>
    <w:rsid w:val="00063583"/>
    <w:rsid w:val="00064447"/>
    <w:rsid w:val="00064E63"/>
    <w:rsid w:val="00065112"/>
    <w:rsid w:val="00065300"/>
    <w:rsid w:val="0006586E"/>
    <w:rsid w:val="00065C18"/>
    <w:rsid w:val="00066224"/>
    <w:rsid w:val="000668F7"/>
    <w:rsid w:val="00067BAD"/>
    <w:rsid w:val="00070E4F"/>
    <w:rsid w:val="00070F6C"/>
    <w:rsid w:val="0007335F"/>
    <w:rsid w:val="0007342A"/>
    <w:rsid w:val="000735C6"/>
    <w:rsid w:val="00074E0B"/>
    <w:rsid w:val="00074E62"/>
    <w:rsid w:val="00074FAC"/>
    <w:rsid w:val="00075588"/>
    <w:rsid w:val="0007669B"/>
    <w:rsid w:val="00076754"/>
    <w:rsid w:val="00077129"/>
    <w:rsid w:val="00077441"/>
    <w:rsid w:val="000779FD"/>
    <w:rsid w:val="0008040C"/>
    <w:rsid w:val="00080D08"/>
    <w:rsid w:val="00081A6F"/>
    <w:rsid w:val="00081C6F"/>
    <w:rsid w:val="00083162"/>
    <w:rsid w:val="000839AD"/>
    <w:rsid w:val="00083C5C"/>
    <w:rsid w:val="00085105"/>
    <w:rsid w:val="00086507"/>
    <w:rsid w:val="00086933"/>
    <w:rsid w:val="00086EEC"/>
    <w:rsid w:val="00087E11"/>
    <w:rsid w:val="00090784"/>
    <w:rsid w:val="000911CB"/>
    <w:rsid w:val="00091498"/>
    <w:rsid w:val="00091A59"/>
    <w:rsid w:val="00091E8E"/>
    <w:rsid w:val="0009261A"/>
    <w:rsid w:val="00094603"/>
    <w:rsid w:val="00094871"/>
    <w:rsid w:val="00096762"/>
    <w:rsid w:val="00096E45"/>
    <w:rsid w:val="00096F0A"/>
    <w:rsid w:val="00097D22"/>
    <w:rsid w:val="00097F86"/>
    <w:rsid w:val="000A0344"/>
    <w:rsid w:val="000A0956"/>
    <w:rsid w:val="000A0D2D"/>
    <w:rsid w:val="000A147D"/>
    <w:rsid w:val="000A258D"/>
    <w:rsid w:val="000A2631"/>
    <w:rsid w:val="000A4033"/>
    <w:rsid w:val="000A40BB"/>
    <w:rsid w:val="000A4221"/>
    <w:rsid w:val="000A4912"/>
    <w:rsid w:val="000A4A6F"/>
    <w:rsid w:val="000A4C96"/>
    <w:rsid w:val="000A566A"/>
    <w:rsid w:val="000A59AD"/>
    <w:rsid w:val="000A693E"/>
    <w:rsid w:val="000A7611"/>
    <w:rsid w:val="000B1196"/>
    <w:rsid w:val="000B123C"/>
    <w:rsid w:val="000B1E98"/>
    <w:rsid w:val="000B28DB"/>
    <w:rsid w:val="000B2A5F"/>
    <w:rsid w:val="000B2EA7"/>
    <w:rsid w:val="000B46A2"/>
    <w:rsid w:val="000B4C39"/>
    <w:rsid w:val="000B7447"/>
    <w:rsid w:val="000B7738"/>
    <w:rsid w:val="000C021F"/>
    <w:rsid w:val="000C0E70"/>
    <w:rsid w:val="000C16D6"/>
    <w:rsid w:val="000C1DC6"/>
    <w:rsid w:val="000C235C"/>
    <w:rsid w:val="000C4808"/>
    <w:rsid w:val="000C48DE"/>
    <w:rsid w:val="000C4B01"/>
    <w:rsid w:val="000C5A51"/>
    <w:rsid w:val="000C783F"/>
    <w:rsid w:val="000C7CF8"/>
    <w:rsid w:val="000D130E"/>
    <w:rsid w:val="000D1459"/>
    <w:rsid w:val="000D1936"/>
    <w:rsid w:val="000D1AA4"/>
    <w:rsid w:val="000D1DF0"/>
    <w:rsid w:val="000D291A"/>
    <w:rsid w:val="000D2B33"/>
    <w:rsid w:val="000D32EC"/>
    <w:rsid w:val="000D33F2"/>
    <w:rsid w:val="000D3438"/>
    <w:rsid w:val="000D3A03"/>
    <w:rsid w:val="000D4477"/>
    <w:rsid w:val="000D5E43"/>
    <w:rsid w:val="000D750F"/>
    <w:rsid w:val="000D79EB"/>
    <w:rsid w:val="000D7AF8"/>
    <w:rsid w:val="000D7E24"/>
    <w:rsid w:val="000E028B"/>
    <w:rsid w:val="000E02F2"/>
    <w:rsid w:val="000E1E85"/>
    <w:rsid w:val="000E2837"/>
    <w:rsid w:val="000E2BC0"/>
    <w:rsid w:val="000E3EEF"/>
    <w:rsid w:val="000E416C"/>
    <w:rsid w:val="000E56DE"/>
    <w:rsid w:val="000E5CD2"/>
    <w:rsid w:val="000E706B"/>
    <w:rsid w:val="000F02E6"/>
    <w:rsid w:val="000F0550"/>
    <w:rsid w:val="000F1074"/>
    <w:rsid w:val="000F13AF"/>
    <w:rsid w:val="000F2A94"/>
    <w:rsid w:val="000F2E5E"/>
    <w:rsid w:val="000F421C"/>
    <w:rsid w:val="000F4838"/>
    <w:rsid w:val="000F4C37"/>
    <w:rsid w:val="000F4F94"/>
    <w:rsid w:val="000F55ED"/>
    <w:rsid w:val="000F5680"/>
    <w:rsid w:val="000F5897"/>
    <w:rsid w:val="000F6027"/>
    <w:rsid w:val="000F6E50"/>
    <w:rsid w:val="001007C1"/>
    <w:rsid w:val="00101001"/>
    <w:rsid w:val="00101417"/>
    <w:rsid w:val="001025CC"/>
    <w:rsid w:val="00102CD6"/>
    <w:rsid w:val="00103EDC"/>
    <w:rsid w:val="00103FBC"/>
    <w:rsid w:val="00105C54"/>
    <w:rsid w:val="001062C4"/>
    <w:rsid w:val="0010669E"/>
    <w:rsid w:val="00107048"/>
    <w:rsid w:val="0010765D"/>
    <w:rsid w:val="00107E23"/>
    <w:rsid w:val="00110878"/>
    <w:rsid w:val="00111204"/>
    <w:rsid w:val="001113A5"/>
    <w:rsid w:val="00111D5D"/>
    <w:rsid w:val="00112791"/>
    <w:rsid w:val="0011355D"/>
    <w:rsid w:val="0011384C"/>
    <w:rsid w:val="0011396E"/>
    <w:rsid w:val="00113E4C"/>
    <w:rsid w:val="00113FC6"/>
    <w:rsid w:val="0011495F"/>
    <w:rsid w:val="00115E32"/>
    <w:rsid w:val="0011602B"/>
    <w:rsid w:val="00116541"/>
    <w:rsid w:val="001172A3"/>
    <w:rsid w:val="00120EEE"/>
    <w:rsid w:val="00120F3A"/>
    <w:rsid w:val="00121115"/>
    <w:rsid w:val="001223F9"/>
    <w:rsid w:val="00122D30"/>
    <w:rsid w:val="00122D3E"/>
    <w:rsid w:val="00123169"/>
    <w:rsid w:val="001232C5"/>
    <w:rsid w:val="00124AFE"/>
    <w:rsid w:val="00124EF7"/>
    <w:rsid w:val="001258CD"/>
    <w:rsid w:val="00125A10"/>
    <w:rsid w:val="00126051"/>
    <w:rsid w:val="0012621D"/>
    <w:rsid w:val="001266A1"/>
    <w:rsid w:val="00126F03"/>
    <w:rsid w:val="0012782B"/>
    <w:rsid w:val="00131683"/>
    <w:rsid w:val="00131B3F"/>
    <w:rsid w:val="00132E4D"/>
    <w:rsid w:val="00133D3A"/>
    <w:rsid w:val="00133F40"/>
    <w:rsid w:val="00135C96"/>
    <w:rsid w:val="00136020"/>
    <w:rsid w:val="001363C1"/>
    <w:rsid w:val="001375A8"/>
    <w:rsid w:val="00141886"/>
    <w:rsid w:val="00143FF7"/>
    <w:rsid w:val="00145C0D"/>
    <w:rsid w:val="001464CC"/>
    <w:rsid w:val="00146B1C"/>
    <w:rsid w:val="00150017"/>
    <w:rsid w:val="001504B3"/>
    <w:rsid w:val="0015086E"/>
    <w:rsid w:val="00150F5B"/>
    <w:rsid w:val="00150FD2"/>
    <w:rsid w:val="001517FA"/>
    <w:rsid w:val="001526CD"/>
    <w:rsid w:val="0015311C"/>
    <w:rsid w:val="001538AB"/>
    <w:rsid w:val="00153ACA"/>
    <w:rsid w:val="001543EB"/>
    <w:rsid w:val="0015506F"/>
    <w:rsid w:val="00155A65"/>
    <w:rsid w:val="00155F0F"/>
    <w:rsid w:val="0015624B"/>
    <w:rsid w:val="00156900"/>
    <w:rsid w:val="00156A6A"/>
    <w:rsid w:val="00156AD8"/>
    <w:rsid w:val="00156B04"/>
    <w:rsid w:val="00157751"/>
    <w:rsid w:val="00157978"/>
    <w:rsid w:val="0016017E"/>
    <w:rsid w:val="00160802"/>
    <w:rsid w:val="001621E5"/>
    <w:rsid w:val="00163495"/>
    <w:rsid w:val="00163779"/>
    <w:rsid w:val="0016455C"/>
    <w:rsid w:val="00165846"/>
    <w:rsid w:val="00165BBD"/>
    <w:rsid w:val="00165C2B"/>
    <w:rsid w:val="00166238"/>
    <w:rsid w:val="001670C9"/>
    <w:rsid w:val="00167C19"/>
    <w:rsid w:val="00170FBD"/>
    <w:rsid w:val="00170FE9"/>
    <w:rsid w:val="001716ED"/>
    <w:rsid w:val="0017193F"/>
    <w:rsid w:val="00171E07"/>
    <w:rsid w:val="00171E68"/>
    <w:rsid w:val="00172AB0"/>
    <w:rsid w:val="00172EC3"/>
    <w:rsid w:val="00173114"/>
    <w:rsid w:val="00174BF0"/>
    <w:rsid w:val="00174CD8"/>
    <w:rsid w:val="001756D5"/>
    <w:rsid w:val="00175E3B"/>
    <w:rsid w:val="001766C9"/>
    <w:rsid w:val="001777BF"/>
    <w:rsid w:val="0018014D"/>
    <w:rsid w:val="00180445"/>
    <w:rsid w:val="001811B0"/>
    <w:rsid w:val="00181604"/>
    <w:rsid w:val="0018175C"/>
    <w:rsid w:val="001822EE"/>
    <w:rsid w:val="001839A5"/>
    <w:rsid w:val="00183DFE"/>
    <w:rsid w:val="0018435A"/>
    <w:rsid w:val="00186E86"/>
    <w:rsid w:val="00190338"/>
    <w:rsid w:val="00191A11"/>
    <w:rsid w:val="00191BAF"/>
    <w:rsid w:val="00193AF0"/>
    <w:rsid w:val="00193D77"/>
    <w:rsid w:val="00196D89"/>
    <w:rsid w:val="00196E1C"/>
    <w:rsid w:val="00197723"/>
    <w:rsid w:val="001A06DA"/>
    <w:rsid w:val="001A0C59"/>
    <w:rsid w:val="001A0CC2"/>
    <w:rsid w:val="001A0D8E"/>
    <w:rsid w:val="001A11C6"/>
    <w:rsid w:val="001A12B0"/>
    <w:rsid w:val="001A174D"/>
    <w:rsid w:val="001A1A69"/>
    <w:rsid w:val="001A26B9"/>
    <w:rsid w:val="001A2735"/>
    <w:rsid w:val="001A390E"/>
    <w:rsid w:val="001A4ED4"/>
    <w:rsid w:val="001A5A17"/>
    <w:rsid w:val="001A6013"/>
    <w:rsid w:val="001A60CD"/>
    <w:rsid w:val="001A6EE2"/>
    <w:rsid w:val="001A7817"/>
    <w:rsid w:val="001B0139"/>
    <w:rsid w:val="001B0528"/>
    <w:rsid w:val="001B1FF0"/>
    <w:rsid w:val="001B3018"/>
    <w:rsid w:val="001B37FC"/>
    <w:rsid w:val="001B3C2A"/>
    <w:rsid w:val="001B3E80"/>
    <w:rsid w:val="001B4EE8"/>
    <w:rsid w:val="001B5DD2"/>
    <w:rsid w:val="001B6AB2"/>
    <w:rsid w:val="001B700B"/>
    <w:rsid w:val="001C0AE0"/>
    <w:rsid w:val="001C10E7"/>
    <w:rsid w:val="001C1A4D"/>
    <w:rsid w:val="001C2753"/>
    <w:rsid w:val="001C2C2A"/>
    <w:rsid w:val="001C2C3B"/>
    <w:rsid w:val="001C3751"/>
    <w:rsid w:val="001C39CD"/>
    <w:rsid w:val="001C4002"/>
    <w:rsid w:val="001C44E0"/>
    <w:rsid w:val="001C45A6"/>
    <w:rsid w:val="001C46EA"/>
    <w:rsid w:val="001C57FE"/>
    <w:rsid w:val="001C62BD"/>
    <w:rsid w:val="001C6CAA"/>
    <w:rsid w:val="001C7CDF"/>
    <w:rsid w:val="001D063F"/>
    <w:rsid w:val="001D158D"/>
    <w:rsid w:val="001D1953"/>
    <w:rsid w:val="001D1C72"/>
    <w:rsid w:val="001D308A"/>
    <w:rsid w:val="001D34F9"/>
    <w:rsid w:val="001D35AA"/>
    <w:rsid w:val="001D3792"/>
    <w:rsid w:val="001D39A1"/>
    <w:rsid w:val="001D4145"/>
    <w:rsid w:val="001D5538"/>
    <w:rsid w:val="001D6CC5"/>
    <w:rsid w:val="001D75C1"/>
    <w:rsid w:val="001D7BAA"/>
    <w:rsid w:val="001D7BB5"/>
    <w:rsid w:val="001E1A83"/>
    <w:rsid w:val="001E1E4B"/>
    <w:rsid w:val="001E27F2"/>
    <w:rsid w:val="001E2A03"/>
    <w:rsid w:val="001E4836"/>
    <w:rsid w:val="001E489E"/>
    <w:rsid w:val="001E4DD3"/>
    <w:rsid w:val="001E6C80"/>
    <w:rsid w:val="001E6F65"/>
    <w:rsid w:val="001E72E4"/>
    <w:rsid w:val="001E77DC"/>
    <w:rsid w:val="001F1468"/>
    <w:rsid w:val="001F2288"/>
    <w:rsid w:val="001F2C36"/>
    <w:rsid w:val="001F2E29"/>
    <w:rsid w:val="001F32E1"/>
    <w:rsid w:val="001F5049"/>
    <w:rsid w:val="001F57E8"/>
    <w:rsid w:val="001F73E3"/>
    <w:rsid w:val="00200B8A"/>
    <w:rsid w:val="00202BAD"/>
    <w:rsid w:val="002033B0"/>
    <w:rsid w:val="00203813"/>
    <w:rsid w:val="00203CBD"/>
    <w:rsid w:val="00204173"/>
    <w:rsid w:val="002041FA"/>
    <w:rsid w:val="00204255"/>
    <w:rsid w:val="00204E0B"/>
    <w:rsid w:val="0020572E"/>
    <w:rsid w:val="002074C7"/>
    <w:rsid w:val="002076B2"/>
    <w:rsid w:val="002077D4"/>
    <w:rsid w:val="00210917"/>
    <w:rsid w:val="002109CC"/>
    <w:rsid w:val="00210A2F"/>
    <w:rsid w:val="00210C93"/>
    <w:rsid w:val="00210FF5"/>
    <w:rsid w:val="00211F2E"/>
    <w:rsid w:val="002121FB"/>
    <w:rsid w:val="002131E2"/>
    <w:rsid w:val="002132F3"/>
    <w:rsid w:val="00213854"/>
    <w:rsid w:val="0021389D"/>
    <w:rsid w:val="00215118"/>
    <w:rsid w:val="00215256"/>
    <w:rsid w:val="002153EE"/>
    <w:rsid w:val="00215753"/>
    <w:rsid w:val="00216140"/>
    <w:rsid w:val="00217077"/>
    <w:rsid w:val="00217D2C"/>
    <w:rsid w:val="00220417"/>
    <w:rsid w:val="002214F8"/>
    <w:rsid w:val="002219DE"/>
    <w:rsid w:val="00221E2B"/>
    <w:rsid w:val="00222143"/>
    <w:rsid w:val="00222549"/>
    <w:rsid w:val="0022331B"/>
    <w:rsid w:val="002234D2"/>
    <w:rsid w:val="00223D20"/>
    <w:rsid w:val="002245E7"/>
    <w:rsid w:val="00225ED0"/>
    <w:rsid w:val="00232FE0"/>
    <w:rsid w:val="0023434B"/>
    <w:rsid w:val="0023487B"/>
    <w:rsid w:val="00234B90"/>
    <w:rsid w:val="00234DDF"/>
    <w:rsid w:val="00235302"/>
    <w:rsid w:val="0023545C"/>
    <w:rsid w:val="00235928"/>
    <w:rsid w:val="0023667C"/>
    <w:rsid w:val="002367A2"/>
    <w:rsid w:val="00236B19"/>
    <w:rsid w:val="00236D74"/>
    <w:rsid w:val="00237206"/>
    <w:rsid w:val="00237FF3"/>
    <w:rsid w:val="0024050C"/>
    <w:rsid w:val="002416B2"/>
    <w:rsid w:val="00242A57"/>
    <w:rsid w:val="002458CA"/>
    <w:rsid w:val="00245F3C"/>
    <w:rsid w:val="0024774E"/>
    <w:rsid w:val="00247806"/>
    <w:rsid w:val="002478C0"/>
    <w:rsid w:val="00247A3F"/>
    <w:rsid w:val="00247CD9"/>
    <w:rsid w:val="00250461"/>
    <w:rsid w:val="002509F6"/>
    <w:rsid w:val="00252F64"/>
    <w:rsid w:val="002549ED"/>
    <w:rsid w:val="00254A27"/>
    <w:rsid w:val="00254C17"/>
    <w:rsid w:val="00255555"/>
    <w:rsid w:val="00255BF9"/>
    <w:rsid w:val="00256489"/>
    <w:rsid w:val="0025677D"/>
    <w:rsid w:val="00256852"/>
    <w:rsid w:val="00257583"/>
    <w:rsid w:val="00257B9B"/>
    <w:rsid w:val="00257C06"/>
    <w:rsid w:val="002600B8"/>
    <w:rsid w:val="00260567"/>
    <w:rsid w:val="002613F0"/>
    <w:rsid w:val="0026184C"/>
    <w:rsid w:val="00262C3E"/>
    <w:rsid w:val="00263D21"/>
    <w:rsid w:val="00265BF6"/>
    <w:rsid w:val="00267758"/>
    <w:rsid w:val="00267846"/>
    <w:rsid w:val="00267917"/>
    <w:rsid w:val="00270ABA"/>
    <w:rsid w:val="00270AC8"/>
    <w:rsid w:val="00270BEF"/>
    <w:rsid w:val="00271361"/>
    <w:rsid w:val="00272DBA"/>
    <w:rsid w:val="00273D91"/>
    <w:rsid w:val="0027448C"/>
    <w:rsid w:val="00275801"/>
    <w:rsid w:val="00276E78"/>
    <w:rsid w:val="002772A6"/>
    <w:rsid w:val="00277869"/>
    <w:rsid w:val="00277FAD"/>
    <w:rsid w:val="00280E3D"/>
    <w:rsid w:val="00281426"/>
    <w:rsid w:val="00282A91"/>
    <w:rsid w:val="00282EDB"/>
    <w:rsid w:val="002839B4"/>
    <w:rsid w:val="00284A1F"/>
    <w:rsid w:val="00284B14"/>
    <w:rsid w:val="002855A8"/>
    <w:rsid w:val="002858CB"/>
    <w:rsid w:val="00285F68"/>
    <w:rsid w:val="002865E2"/>
    <w:rsid w:val="00287327"/>
    <w:rsid w:val="00287CC0"/>
    <w:rsid w:val="00287D61"/>
    <w:rsid w:val="00287F07"/>
    <w:rsid w:val="0029021B"/>
    <w:rsid w:val="00290724"/>
    <w:rsid w:val="00290767"/>
    <w:rsid w:val="00291273"/>
    <w:rsid w:val="0029289B"/>
    <w:rsid w:val="002935DA"/>
    <w:rsid w:val="00294734"/>
    <w:rsid w:val="00294C4F"/>
    <w:rsid w:val="0029596A"/>
    <w:rsid w:val="00297B9B"/>
    <w:rsid w:val="002A0A4D"/>
    <w:rsid w:val="002A143F"/>
    <w:rsid w:val="002A23F6"/>
    <w:rsid w:val="002A33CA"/>
    <w:rsid w:val="002A407B"/>
    <w:rsid w:val="002A40F4"/>
    <w:rsid w:val="002A4F61"/>
    <w:rsid w:val="002A5107"/>
    <w:rsid w:val="002A51D8"/>
    <w:rsid w:val="002A51F8"/>
    <w:rsid w:val="002A5465"/>
    <w:rsid w:val="002A56B4"/>
    <w:rsid w:val="002A6BF4"/>
    <w:rsid w:val="002A7308"/>
    <w:rsid w:val="002A787A"/>
    <w:rsid w:val="002B0084"/>
    <w:rsid w:val="002B0A91"/>
    <w:rsid w:val="002B0EFE"/>
    <w:rsid w:val="002B1551"/>
    <w:rsid w:val="002B1AA7"/>
    <w:rsid w:val="002B2125"/>
    <w:rsid w:val="002B2987"/>
    <w:rsid w:val="002B44A7"/>
    <w:rsid w:val="002B4F2E"/>
    <w:rsid w:val="002B5515"/>
    <w:rsid w:val="002B6782"/>
    <w:rsid w:val="002B6A7C"/>
    <w:rsid w:val="002B6AA8"/>
    <w:rsid w:val="002C01E9"/>
    <w:rsid w:val="002C49B8"/>
    <w:rsid w:val="002C4CBD"/>
    <w:rsid w:val="002C4F37"/>
    <w:rsid w:val="002C595B"/>
    <w:rsid w:val="002C68F3"/>
    <w:rsid w:val="002D0FFF"/>
    <w:rsid w:val="002D19BE"/>
    <w:rsid w:val="002D1CFB"/>
    <w:rsid w:val="002D255E"/>
    <w:rsid w:val="002D2A23"/>
    <w:rsid w:val="002D2B25"/>
    <w:rsid w:val="002D2E0E"/>
    <w:rsid w:val="002D307A"/>
    <w:rsid w:val="002D371F"/>
    <w:rsid w:val="002D3AA3"/>
    <w:rsid w:val="002D54A2"/>
    <w:rsid w:val="002D68BE"/>
    <w:rsid w:val="002D759B"/>
    <w:rsid w:val="002D7D28"/>
    <w:rsid w:val="002E12A6"/>
    <w:rsid w:val="002E207D"/>
    <w:rsid w:val="002E2385"/>
    <w:rsid w:val="002E3A85"/>
    <w:rsid w:val="002E459C"/>
    <w:rsid w:val="002E4F10"/>
    <w:rsid w:val="002E5AE6"/>
    <w:rsid w:val="002E5B85"/>
    <w:rsid w:val="002E6A43"/>
    <w:rsid w:val="002F0DC9"/>
    <w:rsid w:val="002F142C"/>
    <w:rsid w:val="002F167A"/>
    <w:rsid w:val="002F1C69"/>
    <w:rsid w:val="002F1DA5"/>
    <w:rsid w:val="002F1FD6"/>
    <w:rsid w:val="002F21B8"/>
    <w:rsid w:val="002F2219"/>
    <w:rsid w:val="002F27E5"/>
    <w:rsid w:val="002F2931"/>
    <w:rsid w:val="002F39BA"/>
    <w:rsid w:val="002F425E"/>
    <w:rsid w:val="002F5531"/>
    <w:rsid w:val="002F55C4"/>
    <w:rsid w:val="002F5DBB"/>
    <w:rsid w:val="002F609A"/>
    <w:rsid w:val="002F6266"/>
    <w:rsid w:val="002F6F34"/>
    <w:rsid w:val="002F7004"/>
    <w:rsid w:val="002F7C47"/>
    <w:rsid w:val="003004C0"/>
    <w:rsid w:val="003016A8"/>
    <w:rsid w:val="0030369D"/>
    <w:rsid w:val="00303D1E"/>
    <w:rsid w:val="003052B5"/>
    <w:rsid w:val="0030654F"/>
    <w:rsid w:val="00307176"/>
    <w:rsid w:val="00307C2B"/>
    <w:rsid w:val="0031128C"/>
    <w:rsid w:val="00311354"/>
    <w:rsid w:val="003118FE"/>
    <w:rsid w:val="0031207F"/>
    <w:rsid w:val="00312A64"/>
    <w:rsid w:val="00312B07"/>
    <w:rsid w:val="00312C5E"/>
    <w:rsid w:val="00314869"/>
    <w:rsid w:val="003151F1"/>
    <w:rsid w:val="003156AE"/>
    <w:rsid w:val="00315782"/>
    <w:rsid w:val="00316670"/>
    <w:rsid w:val="00316D79"/>
    <w:rsid w:val="00317701"/>
    <w:rsid w:val="00317DFB"/>
    <w:rsid w:val="0032014A"/>
    <w:rsid w:val="00320BB5"/>
    <w:rsid w:val="00320E91"/>
    <w:rsid w:val="00321187"/>
    <w:rsid w:val="00322AC0"/>
    <w:rsid w:val="00322EB5"/>
    <w:rsid w:val="0032419F"/>
    <w:rsid w:val="00324515"/>
    <w:rsid w:val="00325465"/>
    <w:rsid w:val="00325DA0"/>
    <w:rsid w:val="00326083"/>
    <w:rsid w:val="0032642C"/>
    <w:rsid w:val="00327877"/>
    <w:rsid w:val="003304FC"/>
    <w:rsid w:val="0033072C"/>
    <w:rsid w:val="003319AE"/>
    <w:rsid w:val="00332221"/>
    <w:rsid w:val="003327BC"/>
    <w:rsid w:val="00332FD6"/>
    <w:rsid w:val="00333CC4"/>
    <w:rsid w:val="00333FCA"/>
    <w:rsid w:val="0033425E"/>
    <w:rsid w:val="00335037"/>
    <w:rsid w:val="003361AE"/>
    <w:rsid w:val="00336C5A"/>
    <w:rsid w:val="00337523"/>
    <w:rsid w:val="00337B9F"/>
    <w:rsid w:val="003401CF"/>
    <w:rsid w:val="003401F3"/>
    <w:rsid w:val="00340FEB"/>
    <w:rsid w:val="0034131D"/>
    <w:rsid w:val="00341441"/>
    <w:rsid w:val="00341A4A"/>
    <w:rsid w:val="00341AF8"/>
    <w:rsid w:val="00342E67"/>
    <w:rsid w:val="003432E0"/>
    <w:rsid w:val="003445A6"/>
    <w:rsid w:val="00345011"/>
    <w:rsid w:val="00345641"/>
    <w:rsid w:val="00345DF5"/>
    <w:rsid w:val="00345FC9"/>
    <w:rsid w:val="003478E0"/>
    <w:rsid w:val="003516BA"/>
    <w:rsid w:val="00351820"/>
    <w:rsid w:val="00351D4D"/>
    <w:rsid w:val="003529BE"/>
    <w:rsid w:val="00353111"/>
    <w:rsid w:val="00353221"/>
    <w:rsid w:val="003538C4"/>
    <w:rsid w:val="003538CF"/>
    <w:rsid w:val="0035394B"/>
    <w:rsid w:val="00353C85"/>
    <w:rsid w:val="0035411A"/>
    <w:rsid w:val="0035478C"/>
    <w:rsid w:val="00354A83"/>
    <w:rsid w:val="00354C6E"/>
    <w:rsid w:val="003553E5"/>
    <w:rsid w:val="003564AB"/>
    <w:rsid w:val="003565EC"/>
    <w:rsid w:val="00356676"/>
    <w:rsid w:val="00356AD4"/>
    <w:rsid w:val="00357928"/>
    <w:rsid w:val="00360699"/>
    <w:rsid w:val="00360913"/>
    <w:rsid w:val="00360D67"/>
    <w:rsid w:val="0036126C"/>
    <w:rsid w:val="00361720"/>
    <w:rsid w:val="00361CAE"/>
    <w:rsid w:val="003638A9"/>
    <w:rsid w:val="003648B6"/>
    <w:rsid w:val="00366A21"/>
    <w:rsid w:val="00366ED4"/>
    <w:rsid w:val="00367079"/>
    <w:rsid w:val="00370695"/>
    <w:rsid w:val="003711A1"/>
    <w:rsid w:val="00371AC2"/>
    <w:rsid w:val="00371E7B"/>
    <w:rsid w:val="00372D2E"/>
    <w:rsid w:val="00373488"/>
    <w:rsid w:val="00373B32"/>
    <w:rsid w:val="00373B73"/>
    <w:rsid w:val="003740C9"/>
    <w:rsid w:val="00375269"/>
    <w:rsid w:val="00375369"/>
    <w:rsid w:val="00375E48"/>
    <w:rsid w:val="00376C94"/>
    <w:rsid w:val="00377A80"/>
    <w:rsid w:val="00377AD2"/>
    <w:rsid w:val="00377AF7"/>
    <w:rsid w:val="00377D7E"/>
    <w:rsid w:val="0038009B"/>
    <w:rsid w:val="00380A86"/>
    <w:rsid w:val="00382058"/>
    <w:rsid w:val="003827E3"/>
    <w:rsid w:val="00382AA2"/>
    <w:rsid w:val="00383172"/>
    <w:rsid w:val="003847DC"/>
    <w:rsid w:val="003861BD"/>
    <w:rsid w:val="00390A14"/>
    <w:rsid w:val="003916DE"/>
    <w:rsid w:val="00391B33"/>
    <w:rsid w:val="0039215F"/>
    <w:rsid w:val="00392486"/>
    <w:rsid w:val="0039593F"/>
    <w:rsid w:val="003A018D"/>
    <w:rsid w:val="003A060E"/>
    <w:rsid w:val="003A07D1"/>
    <w:rsid w:val="003A15E4"/>
    <w:rsid w:val="003A19DF"/>
    <w:rsid w:val="003A1A79"/>
    <w:rsid w:val="003A26FB"/>
    <w:rsid w:val="003A2C91"/>
    <w:rsid w:val="003A3B63"/>
    <w:rsid w:val="003A3CDF"/>
    <w:rsid w:val="003A50D4"/>
    <w:rsid w:val="003A5854"/>
    <w:rsid w:val="003A5A62"/>
    <w:rsid w:val="003A5FCF"/>
    <w:rsid w:val="003B06D3"/>
    <w:rsid w:val="003B1E64"/>
    <w:rsid w:val="003B2DD8"/>
    <w:rsid w:val="003B483E"/>
    <w:rsid w:val="003B4C85"/>
    <w:rsid w:val="003B5149"/>
    <w:rsid w:val="003B6698"/>
    <w:rsid w:val="003B736A"/>
    <w:rsid w:val="003C04C3"/>
    <w:rsid w:val="003C16A3"/>
    <w:rsid w:val="003C1722"/>
    <w:rsid w:val="003C31BC"/>
    <w:rsid w:val="003C3482"/>
    <w:rsid w:val="003C50C9"/>
    <w:rsid w:val="003C5F35"/>
    <w:rsid w:val="003C5FCB"/>
    <w:rsid w:val="003C7370"/>
    <w:rsid w:val="003C7AD3"/>
    <w:rsid w:val="003C7FF6"/>
    <w:rsid w:val="003D0389"/>
    <w:rsid w:val="003D073E"/>
    <w:rsid w:val="003D0B4C"/>
    <w:rsid w:val="003D1763"/>
    <w:rsid w:val="003D1CA3"/>
    <w:rsid w:val="003D2180"/>
    <w:rsid w:val="003D22CB"/>
    <w:rsid w:val="003D236F"/>
    <w:rsid w:val="003D421B"/>
    <w:rsid w:val="003D53D1"/>
    <w:rsid w:val="003D5C1F"/>
    <w:rsid w:val="003D61C1"/>
    <w:rsid w:val="003D6EA3"/>
    <w:rsid w:val="003E00F6"/>
    <w:rsid w:val="003E020A"/>
    <w:rsid w:val="003E09D5"/>
    <w:rsid w:val="003E2D93"/>
    <w:rsid w:val="003E3B68"/>
    <w:rsid w:val="003E461C"/>
    <w:rsid w:val="003E646C"/>
    <w:rsid w:val="003E78A4"/>
    <w:rsid w:val="003E7D84"/>
    <w:rsid w:val="003E7FAF"/>
    <w:rsid w:val="003F06A1"/>
    <w:rsid w:val="003F0CA2"/>
    <w:rsid w:val="003F0D00"/>
    <w:rsid w:val="003F0D5D"/>
    <w:rsid w:val="003F1001"/>
    <w:rsid w:val="003F1C31"/>
    <w:rsid w:val="003F247F"/>
    <w:rsid w:val="003F287E"/>
    <w:rsid w:val="003F3ACD"/>
    <w:rsid w:val="003F498F"/>
    <w:rsid w:val="003F533D"/>
    <w:rsid w:val="003F54CB"/>
    <w:rsid w:val="003F6578"/>
    <w:rsid w:val="003F65BC"/>
    <w:rsid w:val="003F771B"/>
    <w:rsid w:val="004000E0"/>
    <w:rsid w:val="004006B3"/>
    <w:rsid w:val="00400784"/>
    <w:rsid w:val="00400CA4"/>
    <w:rsid w:val="00400FD2"/>
    <w:rsid w:val="00401676"/>
    <w:rsid w:val="004022E5"/>
    <w:rsid w:val="00402AEA"/>
    <w:rsid w:val="00404FFE"/>
    <w:rsid w:val="00405FF7"/>
    <w:rsid w:val="00406167"/>
    <w:rsid w:val="00406758"/>
    <w:rsid w:val="004074BA"/>
    <w:rsid w:val="00407D4B"/>
    <w:rsid w:val="004107B7"/>
    <w:rsid w:val="004114B0"/>
    <w:rsid w:val="004122A8"/>
    <w:rsid w:val="00413CD3"/>
    <w:rsid w:val="00413DDA"/>
    <w:rsid w:val="00414E41"/>
    <w:rsid w:val="004156DD"/>
    <w:rsid w:val="004156FF"/>
    <w:rsid w:val="00415A34"/>
    <w:rsid w:val="00415B66"/>
    <w:rsid w:val="004169C1"/>
    <w:rsid w:val="00416DAC"/>
    <w:rsid w:val="00417314"/>
    <w:rsid w:val="00417C69"/>
    <w:rsid w:val="0042011E"/>
    <w:rsid w:val="00420792"/>
    <w:rsid w:val="0042094D"/>
    <w:rsid w:val="00421108"/>
    <w:rsid w:val="004228CF"/>
    <w:rsid w:val="004233F5"/>
    <w:rsid w:val="00423638"/>
    <w:rsid w:val="00423920"/>
    <w:rsid w:val="0042395D"/>
    <w:rsid w:val="00423E04"/>
    <w:rsid w:val="004244A9"/>
    <w:rsid w:val="0042490A"/>
    <w:rsid w:val="004253BD"/>
    <w:rsid w:val="00425977"/>
    <w:rsid w:val="004260C1"/>
    <w:rsid w:val="004268E4"/>
    <w:rsid w:val="00426DC2"/>
    <w:rsid w:val="0043100F"/>
    <w:rsid w:val="004317E9"/>
    <w:rsid w:val="00431C92"/>
    <w:rsid w:val="00432F83"/>
    <w:rsid w:val="00433C5E"/>
    <w:rsid w:val="00433CC9"/>
    <w:rsid w:val="00434814"/>
    <w:rsid w:val="00434E86"/>
    <w:rsid w:val="00435A7C"/>
    <w:rsid w:val="00435DFB"/>
    <w:rsid w:val="00435FB9"/>
    <w:rsid w:val="00436B91"/>
    <w:rsid w:val="00441796"/>
    <w:rsid w:val="00443054"/>
    <w:rsid w:val="00444670"/>
    <w:rsid w:val="00444714"/>
    <w:rsid w:val="00444922"/>
    <w:rsid w:val="00444D36"/>
    <w:rsid w:val="004455F2"/>
    <w:rsid w:val="00446AAA"/>
    <w:rsid w:val="0045089C"/>
    <w:rsid w:val="004513AF"/>
    <w:rsid w:val="0045200D"/>
    <w:rsid w:val="00452A57"/>
    <w:rsid w:val="004537CC"/>
    <w:rsid w:val="004542B6"/>
    <w:rsid w:val="00454D8F"/>
    <w:rsid w:val="0045532A"/>
    <w:rsid w:val="004559F0"/>
    <w:rsid w:val="00457476"/>
    <w:rsid w:val="004576C3"/>
    <w:rsid w:val="00457A68"/>
    <w:rsid w:val="00457DA6"/>
    <w:rsid w:val="00461CF9"/>
    <w:rsid w:val="00463360"/>
    <w:rsid w:val="00463831"/>
    <w:rsid w:val="00463CD7"/>
    <w:rsid w:val="00464A12"/>
    <w:rsid w:val="00465688"/>
    <w:rsid w:val="00466FA9"/>
    <w:rsid w:val="004678CE"/>
    <w:rsid w:val="00471A96"/>
    <w:rsid w:val="00471B20"/>
    <w:rsid w:val="00472B4F"/>
    <w:rsid w:val="00473D97"/>
    <w:rsid w:val="00473DBD"/>
    <w:rsid w:val="00474317"/>
    <w:rsid w:val="004748C5"/>
    <w:rsid w:val="00474C0A"/>
    <w:rsid w:val="0047541A"/>
    <w:rsid w:val="0047549D"/>
    <w:rsid w:val="004757A0"/>
    <w:rsid w:val="00475A7E"/>
    <w:rsid w:val="00476392"/>
    <w:rsid w:val="004771A9"/>
    <w:rsid w:val="0047779B"/>
    <w:rsid w:val="00477D77"/>
    <w:rsid w:val="0048017D"/>
    <w:rsid w:val="00480CE0"/>
    <w:rsid w:val="00480F5D"/>
    <w:rsid w:val="00481577"/>
    <w:rsid w:val="0048277C"/>
    <w:rsid w:val="00483E22"/>
    <w:rsid w:val="00484835"/>
    <w:rsid w:val="00484931"/>
    <w:rsid w:val="00484DA3"/>
    <w:rsid w:val="0048502E"/>
    <w:rsid w:val="0048664D"/>
    <w:rsid w:val="00487B00"/>
    <w:rsid w:val="00487EE5"/>
    <w:rsid w:val="004903FD"/>
    <w:rsid w:val="00490645"/>
    <w:rsid w:val="0049084B"/>
    <w:rsid w:val="0049203C"/>
    <w:rsid w:val="0049250A"/>
    <w:rsid w:val="00492C8F"/>
    <w:rsid w:val="00493F47"/>
    <w:rsid w:val="004940F7"/>
    <w:rsid w:val="004951C5"/>
    <w:rsid w:val="004957DD"/>
    <w:rsid w:val="004960D5"/>
    <w:rsid w:val="004963AD"/>
    <w:rsid w:val="00496949"/>
    <w:rsid w:val="0049717B"/>
    <w:rsid w:val="0049728C"/>
    <w:rsid w:val="00497437"/>
    <w:rsid w:val="00497C57"/>
    <w:rsid w:val="004A0CB9"/>
    <w:rsid w:val="004A334D"/>
    <w:rsid w:val="004A33D3"/>
    <w:rsid w:val="004A3805"/>
    <w:rsid w:val="004A38F6"/>
    <w:rsid w:val="004A46D4"/>
    <w:rsid w:val="004A5077"/>
    <w:rsid w:val="004A5EA1"/>
    <w:rsid w:val="004A5EB2"/>
    <w:rsid w:val="004A6038"/>
    <w:rsid w:val="004A6150"/>
    <w:rsid w:val="004A74E8"/>
    <w:rsid w:val="004A7B81"/>
    <w:rsid w:val="004B0BEA"/>
    <w:rsid w:val="004B0EAA"/>
    <w:rsid w:val="004B21C0"/>
    <w:rsid w:val="004B2F0E"/>
    <w:rsid w:val="004B3151"/>
    <w:rsid w:val="004B3E6A"/>
    <w:rsid w:val="004B4C30"/>
    <w:rsid w:val="004B5716"/>
    <w:rsid w:val="004B587A"/>
    <w:rsid w:val="004B5F87"/>
    <w:rsid w:val="004B6317"/>
    <w:rsid w:val="004B6F83"/>
    <w:rsid w:val="004B7F74"/>
    <w:rsid w:val="004C0306"/>
    <w:rsid w:val="004C0428"/>
    <w:rsid w:val="004C0640"/>
    <w:rsid w:val="004C0881"/>
    <w:rsid w:val="004C0919"/>
    <w:rsid w:val="004C09D9"/>
    <w:rsid w:val="004C0F2F"/>
    <w:rsid w:val="004C1522"/>
    <w:rsid w:val="004C2111"/>
    <w:rsid w:val="004C27D8"/>
    <w:rsid w:val="004C4283"/>
    <w:rsid w:val="004C45CB"/>
    <w:rsid w:val="004C49BA"/>
    <w:rsid w:val="004C517F"/>
    <w:rsid w:val="004C51B9"/>
    <w:rsid w:val="004C5250"/>
    <w:rsid w:val="004C526E"/>
    <w:rsid w:val="004C5293"/>
    <w:rsid w:val="004C5FF1"/>
    <w:rsid w:val="004C6BC5"/>
    <w:rsid w:val="004C73FD"/>
    <w:rsid w:val="004D10FC"/>
    <w:rsid w:val="004D2CED"/>
    <w:rsid w:val="004D2D38"/>
    <w:rsid w:val="004D35E5"/>
    <w:rsid w:val="004D3EAC"/>
    <w:rsid w:val="004D4263"/>
    <w:rsid w:val="004D47EA"/>
    <w:rsid w:val="004D4CE9"/>
    <w:rsid w:val="004D6673"/>
    <w:rsid w:val="004D781C"/>
    <w:rsid w:val="004E0B5F"/>
    <w:rsid w:val="004E15D5"/>
    <w:rsid w:val="004E1768"/>
    <w:rsid w:val="004E295D"/>
    <w:rsid w:val="004E2B00"/>
    <w:rsid w:val="004E306B"/>
    <w:rsid w:val="004E33C3"/>
    <w:rsid w:val="004E4054"/>
    <w:rsid w:val="004E5240"/>
    <w:rsid w:val="004E6FCF"/>
    <w:rsid w:val="004E7336"/>
    <w:rsid w:val="004F0711"/>
    <w:rsid w:val="004F094C"/>
    <w:rsid w:val="004F0FBF"/>
    <w:rsid w:val="004F2C39"/>
    <w:rsid w:val="004F34A8"/>
    <w:rsid w:val="004F361E"/>
    <w:rsid w:val="004F38E6"/>
    <w:rsid w:val="004F3B51"/>
    <w:rsid w:val="004F3C21"/>
    <w:rsid w:val="004F4E0B"/>
    <w:rsid w:val="004F50B7"/>
    <w:rsid w:val="004F51DE"/>
    <w:rsid w:val="004F5522"/>
    <w:rsid w:val="004F567B"/>
    <w:rsid w:val="004F59CA"/>
    <w:rsid w:val="004F61A2"/>
    <w:rsid w:val="004F6217"/>
    <w:rsid w:val="004F6E63"/>
    <w:rsid w:val="004F6F73"/>
    <w:rsid w:val="004F76F7"/>
    <w:rsid w:val="00500405"/>
    <w:rsid w:val="005006C9"/>
    <w:rsid w:val="005014E8"/>
    <w:rsid w:val="005019E7"/>
    <w:rsid w:val="005025E7"/>
    <w:rsid w:val="00502832"/>
    <w:rsid w:val="00502B6A"/>
    <w:rsid w:val="0050338F"/>
    <w:rsid w:val="005047D6"/>
    <w:rsid w:val="005050E1"/>
    <w:rsid w:val="00505997"/>
    <w:rsid w:val="00505CBF"/>
    <w:rsid w:val="005060D0"/>
    <w:rsid w:val="005064BC"/>
    <w:rsid w:val="00506725"/>
    <w:rsid w:val="00507386"/>
    <w:rsid w:val="005073EF"/>
    <w:rsid w:val="00510049"/>
    <w:rsid w:val="00510645"/>
    <w:rsid w:val="0051183C"/>
    <w:rsid w:val="00511A97"/>
    <w:rsid w:val="00512B55"/>
    <w:rsid w:val="00513DE8"/>
    <w:rsid w:val="00513FBD"/>
    <w:rsid w:val="00515A0E"/>
    <w:rsid w:val="00516030"/>
    <w:rsid w:val="005200FB"/>
    <w:rsid w:val="00520459"/>
    <w:rsid w:val="005207F6"/>
    <w:rsid w:val="00520FB2"/>
    <w:rsid w:val="00521563"/>
    <w:rsid w:val="00521BED"/>
    <w:rsid w:val="00521F94"/>
    <w:rsid w:val="00523D80"/>
    <w:rsid w:val="00524565"/>
    <w:rsid w:val="005246FB"/>
    <w:rsid w:val="005249E3"/>
    <w:rsid w:val="00525A86"/>
    <w:rsid w:val="0052613D"/>
    <w:rsid w:val="005262E2"/>
    <w:rsid w:val="005264F8"/>
    <w:rsid w:val="00526ADE"/>
    <w:rsid w:val="0052710A"/>
    <w:rsid w:val="00530EC7"/>
    <w:rsid w:val="00531BEE"/>
    <w:rsid w:val="00531E06"/>
    <w:rsid w:val="0053240B"/>
    <w:rsid w:val="00532A36"/>
    <w:rsid w:val="00532F8A"/>
    <w:rsid w:val="00533622"/>
    <w:rsid w:val="00533899"/>
    <w:rsid w:val="0053434A"/>
    <w:rsid w:val="00535762"/>
    <w:rsid w:val="00535DEF"/>
    <w:rsid w:val="00537069"/>
    <w:rsid w:val="00540025"/>
    <w:rsid w:val="0054015D"/>
    <w:rsid w:val="005412EE"/>
    <w:rsid w:val="00541D23"/>
    <w:rsid w:val="00543557"/>
    <w:rsid w:val="00543D14"/>
    <w:rsid w:val="005444CA"/>
    <w:rsid w:val="00544F85"/>
    <w:rsid w:val="00545565"/>
    <w:rsid w:val="00546038"/>
    <w:rsid w:val="00546343"/>
    <w:rsid w:val="0054687B"/>
    <w:rsid w:val="005477FA"/>
    <w:rsid w:val="00547A44"/>
    <w:rsid w:val="00547C05"/>
    <w:rsid w:val="00550B3C"/>
    <w:rsid w:val="00550C96"/>
    <w:rsid w:val="005518FA"/>
    <w:rsid w:val="00551952"/>
    <w:rsid w:val="00551B51"/>
    <w:rsid w:val="00552A19"/>
    <w:rsid w:val="00553D3E"/>
    <w:rsid w:val="00553D47"/>
    <w:rsid w:val="0055443C"/>
    <w:rsid w:val="00554990"/>
    <w:rsid w:val="00554AB3"/>
    <w:rsid w:val="00556D8C"/>
    <w:rsid w:val="00556DDB"/>
    <w:rsid w:val="00556E0A"/>
    <w:rsid w:val="0055787B"/>
    <w:rsid w:val="00560B97"/>
    <w:rsid w:val="00560EE4"/>
    <w:rsid w:val="0056126A"/>
    <w:rsid w:val="00562046"/>
    <w:rsid w:val="005639C3"/>
    <w:rsid w:val="005642DC"/>
    <w:rsid w:val="005645DA"/>
    <w:rsid w:val="00564D75"/>
    <w:rsid w:val="00565B91"/>
    <w:rsid w:val="00565E66"/>
    <w:rsid w:val="00565FB1"/>
    <w:rsid w:val="00566479"/>
    <w:rsid w:val="00566E53"/>
    <w:rsid w:val="005674FB"/>
    <w:rsid w:val="005710E6"/>
    <w:rsid w:val="00571D7C"/>
    <w:rsid w:val="00571FD2"/>
    <w:rsid w:val="0057477A"/>
    <w:rsid w:val="00575360"/>
    <w:rsid w:val="005754AC"/>
    <w:rsid w:val="00576111"/>
    <w:rsid w:val="00576611"/>
    <w:rsid w:val="005800DE"/>
    <w:rsid w:val="005809E3"/>
    <w:rsid w:val="005810FE"/>
    <w:rsid w:val="00581C05"/>
    <w:rsid w:val="005826A4"/>
    <w:rsid w:val="00582A41"/>
    <w:rsid w:val="00582B6E"/>
    <w:rsid w:val="00584270"/>
    <w:rsid w:val="005847BC"/>
    <w:rsid w:val="00584C94"/>
    <w:rsid w:val="00584D21"/>
    <w:rsid w:val="005851D0"/>
    <w:rsid w:val="00585A86"/>
    <w:rsid w:val="005860E4"/>
    <w:rsid w:val="00587B89"/>
    <w:rsid w:val="00587EC3"/>
    <w:rsid w:val="00591F70"/>
    <w:rsid w:val="00592210"/>
    <w:rsid w:val="00592724"/>
    <w:rsid w:val="0059380A"/>
    <w:rsid w:val="00593B36"/>
    <w:rsid w:val="00594524"/>
    <w:rsid w:val="005947D2"/>
    <w:rsid w:val="005965AA"/>
    <w:rsid w:val="00596F5B"/>
    <w:rsid w:val="005976A6"/>
    <w:rsid w:val="005977CE"/>
    <w:rsid w:val="005979F2"/>
    <w:rsid w:val="005A00BC"/>
    <w:rsid w:val="005A053C"/>
    <w:rsid w:val="005A08D8"/>
    <w:rsid w:val="005A08E2"/>
    <w:rsid w:val="005A10AD"/>
    <w:rsid w:val="005A17C1"/>
    <w:rsid w:val="005A42B3"/>
    <w:rsid w:val="005A453B"/>
    <w:rsid w:val="005A485D"/>
    <w:rsid w:val="005A569C"/>
    <w:rsid w:val="005A7B38"/>
    <w:rsid w:val="005B0E97"/>
    <w:rsid w:val="005B1512"/>
    <w:rsid w:val="005B2691"/>
    <w:rsid w:val="005B30FB"/>
    <w:rsid w:val="005B3245"/>
    <w:rsid w:val="005B328A"/>
    <w:rsid w:val="005B6345"/>
    <w:rsid w:val="005B6DD2"/>
    <w:rsid w:val="005B6F56"/>
    <w:rsid w:val="005B6F5A"/>
    <w:rsid w:val="005B709A"/>
    <w:rsid w:val="005B7331"/>
    <w:rsid w:val="005B79EF"/>
    <w:rsid w:val="005B7B2A"/>
    <w:rsid w:val="005C01C6"/>
    <w:rsid w:val="005C0B7A"/>
    <w:rsid w:val="005C0FAB"/>
    <w:rsid w:val="005C2B1C"/>
    <w:rsid w:val="005C3632"/>
    <w:rsid w:val="005C4125"/>
    <w:rsid w:val="005C4587"/>
    <w:rsid w:val="005C6EDC"/>
    <w:rsid w:val="005D1B3A"/>
    <w:rsid w:val="005D1E11"/>
    <w:rsid w:val="005D1E58"/>
    <w:rsid w:val="005D1FBF"/>
    <w:rsid w:val="005D28DF"/>
    <w:rsid w:val="005D454A"/>
    <w:rsid w:val="005D4821"/>
    <w:rsid w:val="005D4CA4"/>
    <w:rsid w:val="005D5B24"/>
    <w:rsid w:val="005D672F"/>
    <w:rsid w:val="005D6894"/>
    <w:rsid w:val="005D750A"/>
    <w:rsid w:val="005D7AC9"/>
    <w:rsid w:val="005E0200"/>
    <w:rsid w:val="005E033A"/>
    <w:rsid w:val="005E0941"/>
    <w:rsid w:val="005E09C7"/>
    <w:rsid w:val="005E1A5B"/>
    <w:rsid w:val="005E231B"/>
    <w:rsid w:val="005E2725"/>
    <w:rsid w:val="005E307C"/>
    <w:rsid w:val="005E36C4"/>
    <w:rsid w:val="005E465F"/>
    <w:rsid w:val="005E647A"/>
    <w:rsid w:val="005E654B"/>
    <w:rsid w:val="005E6A86"/>
    <w:rsid w:val="005E6B00"/>
    <w:rsid w:val="005E708C"/>
    <w:rsid w:val="005E712E"/>
    <w:rsid w:val="005E79F5"/>
    <w:rsid w:val="005E7D01"/>
    <w:rsid w:val="005F1919"/>
    <w:rsid w:val="005F1D5C"/>
    <w:rsid w:val="005F232F"/>
    <w:rsid w:val="005F321F"/>
    <w:rsid w:val="005F4EBD"/>
    <w:rsid w:val="005F530B"/>
    <w:rsid w:val="005F590F"/>
    <w:rsid w:val="005F623C"/>
    <w:rsid w:val="005F6525"/>
    <w:rsid w:val="005F7BC5"/>
    <w:rsid w:val="006003D7"/>
    <w:rsid w:val="00600BB5"/>
    <w:rsid w:val="006014DB"/>
    <w:rsid w:val="006042FA"/>
    <w:rsid w:val="0060635D"/>
    <w:rsid w:val="00607924"/>
    <w:rsid w:val="006108EE"/>
    <w:rsid w:val="00611C7D"/>
    <w:rsid w:val="00611C8A"/>
    <w:rsid w:val="006121E6"/>
    <w:rsid w:val="00614CD6"/>
    <w:rsid w:val="00615A26"/>
    <w:rsid w:val="00615A2E"/>
    <w:rsid w:val="00620EE4"/>
    <w:rsid w:val="00623A9C"/>
    <w:rsid w:val="0062428C"/>
    <w:rsid w:val="0062429B"/>
    <w:rsid w:val="00624805"/>
    <w:rsid w:val="00625A02"/>
    <w:rsid w:val="00625AE7"/>
    <w:rsid w:val="00630161"/>
    <w:rsid w:val="00630415"/>
    <w:rsid w:val="006325C7"/>
    <w:rsid w:val="00633139"/>
    <w:rsid w:val="0063358D"/>
    <w:rsid w:val="006345CE"/>
    <w:rsid w:val="006353B1"/>
    <w:rsid w:val="006354F8"/>
    <w:rsid w:val="00637C2D"/>
    <w:rsid w:val="00640B08"/>
    <w:rsid w:val="00641F45"/>
    <w:rsid w:val="00642CC9"/>
    <w:rsid w:val="00644079"/>
    <w:rsid w:val="00644124"/>
    <w:rsid w:val="0064422E"/>
    <w:rsid w:val="00644768"/>
    <w:rsid w:val="00645926"/>
    <w:rsid w:val="0064648C"/>
    <w:rsid w:val="00646B58"/>
    <w:rsid w:val="00646BEB"/>
    <w:rsid w:val="00646CCB"/>
    <w:rsid w:val="00646E28"/>
    <w:rsid w:val="0065199F"/>
    <w:rsid w:val="006521B2"/>
    <w:rsid w:val="006532B4"/>
    <w:rsid w:val="0065351F"/>
    <w:rsid w:val="00653DAD"/>
    <w:rsid w:val="00656339"/>
    <w:rsid w:val="0065675E"/>
    <w:rsid w:val="00657030"/>
    <w:rsid w:val="006608F1"/>
    <w:rsid w:val="00660B06"/>
    <w:rsid w:val="00660C1B"/>
    <w:rsid w:val="00660E5B"/>
    <w:rsid w:val="0066192D"/>
    <w:rsid w:val="00662C01"/>
    <w:rsid w:val="00663874"/>
    <w:rsid w:val="00663B24"/>
    <w:rsid w:val="00664167"/>
    <w:rsid w:val="00664EE2"/>
    <w:rsid w:val="00664EE4"/>
    <w:rsid w:val="00665C01"/>
    <w:rsid w:val="00665D6C"/>
    <w:rsid w:val="0066697F"/>
    <w:rsid w:val="006675A7"/>
    <w:rsid w:val="00667C59"/>
    <w:rsid w:val="0067002C"/>
    <w:rsid w:val="00670AEB"/>
    <w:rsid w:val="00670BB2"/>
    <w:rsid w:val="00670D99"/>
    <w:rsid w:val="00671837"/>
    <w:rsid w:val="00672D7C"/>
    <w:rsid w:val="00673AF8"/>
    <w:rsid w:val="00673B28"/>
    <w:rsid w:val="006741D7"/>
    <w:rsid w:val="00674F70"/>
    <w:rsid w:val="00675836"/>
    <w:rsid w:val="00675F43"/>
    <w:rsid w:val="00677315"/>
    <w:rsid w:val="00677720"/>
    <w:rsid w:val="00680304"/>
    <w:rsid w:val="00680AF4"/>
    <w:rsid w:val="006811EF"/>
    <w:rsid w:val="0068124D"/>
    <w:rsid w:val="00681E06"/>
    <w:rsid w:val="00681F3E"/>
    <w:rsid w:val="00682612"/>
    <w:rsid w:val="0068332B"/>
    <w:rsid w:val="00683A3A"/>
    <w:rsid w:val="00683DF4"/>
    <w:rsid w:val="00683F6B"/>
    <w:rsid w:val="006841B2"/>
    <w:rsid w:val="006851B1"/>
    <w:rsid w:val="0068575A"/>
    <w:rsid w:val="00685792"/>
    <w:rsid w:val="00685C63"/>
    <w:rsid w:val="006863DE"/>
    <w:rsid w:val="00686729"/>
    <w:rsid w:val="00686CDC"/>
    <w:rsid w:val="00687549"/>
    <w:rsid w:val="006879C6"/>
    <w:rsid w:val="00687C33"/>
    <w:rsid w:val="00693567"/>
    <w:rsid w:val="006936A2"/>
    <w:rsid w:val="00693826"/>
    <w:rsid w:val="00694C49"/>
    <w:rsid w:val="00694F01"/>
    <w:rsid w:val="006954FE"/>
    <w:rsid w:val="006955B0"/>
    <w:rsid w:val="006960E4"/>
    <w:rsid w:val="00696202"/>
    <w:rsid w:val="00696451"/>
    <w:rsid w:val="0069745E"/>
    <w:rsid w:val="006974A5"/>
    <w:rsid w:val="00697815"/>
    <w:rsid w:val="00697E55"/>
    <w:rsid w:val="00697F65"/>
    <w:rsid w:val="006A01AD"/>
    <w:rsid w:val="006A1957"/>
    <w:rsid w:val="006A29F4"/>
    <w:rsid w:val="006A2CB0"/>
    <w:rsid w:val="006A35D9"/>
    <w:rsid w:val="006A38D8"/>
    <w:rsid w:val="006A409E"/>
    <w:rsid w:val="006A42E4"/>
    <w:rsid w:val="006A48A0"/>
    <w:rsid w:val="006A49AE"/>
    <w:rsid w:val="006A4C36"/>
    <w:rsid w:val="006A4E0B"/>
    <w:rsid w:val="006A5922"/>
    <w:rsid w:val="006A5BDE"/>
    <w:rsid w:val="006A72DB"/>
    <w:rsid w:val="006B02B6"/>
    <w:rsid w:val="006B0C53"/>
    <w:rsid w:val="006B0CAA"/>
    <w:rsid w:val="006B12C4"/>
    <w:rsid w:val="006B140F"/>
    <w:rsid w:val="006B1F5F"/>
    <w:rsid w:val="006B1FEE"/>
    <w:rsid w:val="006B22E3"/>
    <w:rsid w:val="006B25FF"/>
    <w:rsid w:val="006B2655"/>
    <w:rsid w:val="006B2E16"/>
    <w:rsid w:val="006B33B9"/>
    <w:rsid w:val="006B3A47"/>
    <w:rsid w:val="006B47E3"/>
    <w:rsid w:val="006B488E"/>
    <w:rsid w:val="006B4A48"/>
    <w:rsid w:val="006B4BB5"/>
    <w:rsid w:val="006B5229"/>
    <w:rsid w:val="006B531B"/>
    <w:rsid w:val="006B670E"/>
    <w:rsid w:val="006B703C"/>
    <w:rsid w:val="006B7D34"/>
    <w:rsid w:val="006B7F0A"/>
    <w:rsid w:val="006C09BD"/>
    <w:rsid w:val="006C120F"/>
    <w:rsid w:val="006C1937"/>
    <w:rsid w:val="006C27E7"/>
    <w:rsid w:val="006C4B00"/>
    <w:rsid w:val="006C553A"/>
    <w:rsid w:val="006C5A9C"/>
    <w:rsid w:val="006C5FB5"/>
    <w:rsid w:val="006C62C2"/>
    <w:rsid w:val="006C66F7"/>
    <w:rsid w:val="006D0EA1"/>
    <w:rsid w:val="006D1D39"/>
    <w:rsid w:val="006D247B"/>
    <w:rsid w:val="006D2641"/>
    <w:rsid w:val="006D3A34"/>
    <w:rsid w:val="006D47E5"/>
    <w:rsid w:val="006D5035"/>
    <w:rsid w:val="006D5977"/>
    <w:rsid w:val="006D5CC1"/>
    <w:rsid w:val="006D64BD"/>
    <w:rsid w:val="006D670E"/>
    <w:rsid w:val="006D749F"/>
    <w:rsid w:val="006D7971"/>
    <w:rsid w:val="006D7E3B"/>
    <w:rsid w:val="006E075F"/>
    <w:rsid w:val="006E0F7E"/>
    <w:rsid w:val="006E10A3"/>
    <w:rsid w:val="006E20FB"/>
    <w:rsid w:val="006E23CE"/>
    <w:rsid w:val="006E2C5D"/>
    <w:rsid w:val="006E2F60"/>
    <w:rsid w:val="006E30F9"/>
    <w:rsid w:val="006E37D9"/>
    <w:rsid w:val="006E3A3C"/>
    <w:rsid w:val="006E3AB7"/>
    <w:rsid w:val="006E573E"/>
    <w:rsid w:val="006E6BE5"/>
    <w:rsid w:val="006E7A2C"/>
    <w:rsid w:val="006E7AC6"/>
    <w:rsid w:val="006F0DC7"/>
    <w:rsid w:val="006F2037"/>
    <w:rsid w:val="006F3688"/>
    <w:rsid w:val="006F6F59"/>
    <w:rsid w:val="006F7B4D"/>
    <w:rsid w:val="00700CFE"/>
    <w:rsid w:val="0070166C"/>
    <w:rsid w:val="0070179E"/>
    <w:rsid w:val="0070369F"/>
    <w:rsid w:val="0070413A"/>
    <w:rsid w:val="00704DDE"/>
    <w:rsid w:val="00704F07"/>
    <w:rsid w:val="007057DA"/>
    <w:rsid w:val="007064A9"/>
    <w:rsid w:val="00706BF8"/>
    <w:rsid w:val="00706F65"/>
    <w:rsid w:val="00713786"/>
    <w:rsid w:val="00714375"/>
    <w:rsid w:val="007150E0"/>
    <w:rsid w:val="0071546D"/>
    <w:rsid w:val="0071570C"/>
    <w:rsid w:val="00716231"/>
    <w:rsid w:val="00716581"/>
    <w:rsid w:val="0071668F"/>
    <w:rsid w:val="00717952"/>
    <w:rsid w:val="00720741"/>
    <w:rsid w:val="00721CDE"/>
    <w:rsid w:val="0072397A"/>
    <w:rsid w:val="00723F5C"/>
    <w:rsid w:val="007248A2"/>
    <w:rsid w:val="00725BD0"/>
    <w:rsid w:val="007260FC"/>
    <w:rsid w:val="00726990"/>
    <w:rsid w:val="00726C7F"/>
    <w:rsid w:val="00727E80"/>
    <w:rsid w:val="007300B0"/>
    <w:rsid w:val="00730C03"/>
    <w:rsid w:val="007318FD"/>
    <w:rsid w:val="00731FF9"/>
    <w:rsid w:val="00732C61"/>
    <w:rsid w:val="0073344D"/>
    <w:rsid w:val="00735043"/>
    <w:rsid w:val="0073551E"/>
    <w:rsid w:val="00735886"/>
    <w:rsid w:val="007369F5"/>
    <w:rsid w:val="00736BF7"/>
    <w:rsid w:val="0073763A"/>
    <w:rsid w:val="0073783F"/>
    <w:rsid w:val="0074005B"/>
    <w:rsid w:val="00741379"/>
    <w:rsid w:val="00741518"/>
    <w:rsid w:val="0074192F"/>
    <w:rsid w:val="00741C93"/>
    <w:rsid w:val="00741EFF"/>
    <w:rsid w:val="007432EA"/>
    <w:rsid w:val="00743517"/>
    <w:rsid w:val="00744442"/>
    <w:rsid w:val="00745253"/>
    <w:rsid w:val="00745AA1"/>
    <w:rsid w:val="00745BB9"/>
    <w:rsid w:val="0074643A"/>
    <w:rsid w:val="0074697D"/>
    <w:rsid w:val="00747049"/>
    <w:rsid w:val="00747412"/>
    <w:rsid w:val="00747972"/>
    <w:rsid w:val="00747D83"/>
    <w:rsid w:val="007509EF"/>
    <w:rsid w:val="00750D6E"/>
    <w:rsid w:val="00751ADB"/>
    <w:rsid w:val="0075463B"/>
    <w:rsid w:val="00754F83"/>
    <w:rsid w:val="007555E4"/>
    <w:rsid w:val="00756074"/>
    <w:rsid w:val="00756F56"/>
    <w:rsid w:val="00757C04"/>
    <w:rsid w:val="00757CCB"/>
    <w:rsid w:val="007612AA"/>
    <w:rsid w:val="0076179F"/>
    <w:rsid w:val="00761866"/>
    <w:rsid w:val="007619FB"/>
    <w:rsid w:val="00761BE9"/>
    <w:rsid w:val="007626BD"/>
    <w:rsid w:val="00765666"/>
    <w:rsid w:val="007657DA"/>
    <w:rsid w:val="00766053"/>
    <w:rsid w:val="00766FA8"/>
    <w:rsid w:val="007703FE"/>
    <w:rsid w:val="00770B14"/>
    <w:rsid w:val="00771928"/>
    <w:rsid w:val="00771B62"/>
    <w:rsid w:val="00773A4D"/>
    <w:rsid w:val="00773AFA"/>
    <w:rsid w:val="0077449D"/>
    <w:rsid w:val="00774A2E"/>
    <w:rsid w:val="00780CD9"/>
    <w:rsid w:val="00780E7C"/>
    <w:rsid w:val="0078270A"/>
    <w:rsid w:val="00782FD6"/>
    <w:rsid w:val="00783AA6"/>
    <w:rsid w:val="00783BE7"/>
    <w:rsid w:val="00783EC5"/>
    <w:rsid w:val="007856F9"/>
    <w:rsid w:val="0078571B"/>
    <w:rsid w:val="00785D24"/>
    <w:rsid w:val="007865C4"/>
    <w:rsid w:val="00787650"/>
    <w:rsid w:val="00787B67"/>
    <w:rsid w:val="00790169"/>
    <w:rsid w:val="007913AE"/>
    <w:rsid w:val="0079247D"/>
    <w:rsid w:val="007928E4"/>
    <w:rsid w:val="00793A0F"/>
    <w:rsid w:val="00796E2A"/>
    <w:rsid w:val="007A05E0"/>
    <w:rsid w:val="007A0C45"/>
    <w:rsid w:val="007A1061"/>
    <w:rsid w:val="007A2386"/>
    <w:rsid w:val="007A3F71"/>
    <w:rsid w:val="007A4712"/>
    <w:rsid w:val="007A703C"/>
    <w:rsid w:val="007A70ED"/>
    <w:rsid w:val="007B015F"/>
    <w:rsid w:val="007B0ECE"/>
    <w:rsid w:val="007B1EC1"/>
    <w:rsid w:val="007B3A08"/>
    <w:rsid w:val="007B4552"/>
    <w:rsid w:val="007B57F7"/>
    <w:rsid w:val="007B5E79"/>
    <w:rsid w:val="007B63C0"/>
    <w:rsid w:val="007B6AE5"/>
    <w:rsid w:val="007B6CE6"/>
    <w:rsid w:val="007B7A72"/>
    <w:rsid w:val="007B7EA9"/>
    <w:rsid w:val="007B7F48"/>
    <w:rsid w:val="007C0C22"/>
    <w:rsid w:val="007C224F"/>
    <w:rsid w:val="007C2AA9"/>
    <w:rsid w:val="007C2EFE"/>
    <w:rsid w:val="007C31F6"/>
    <w:rsid w:val="007C3D21"/>
    <w:rsid w:val="007C4906"/>
    <w:rsid w:val="007C4AA7"/>
    <w:rsid w:val="007C4CD5"/>
    <w:rsid w:val="007C505A"/>
    <w:rsid w:val="007C5632"/>
    <w:rsid w:val="007C5A3A"/>
    <w:rsid w:val="007C5AA4"/>
    <w:rsid w:val="007C5D27"/>
    <w:rsid w:val="007C6900"/>
    <w:rsid w:val="007C786E"/>
    <w:rsid w:val="007C7F40"/>
    <w:rsid w:val="007D03F9"/>
    <w:rsid w:val="007D0D37"/>
    <w:rsid w:val="007D0DF3"/>
    <w:rsid w:val="007D24BF"/>
    <w:rsid w:val="007D273A"/>
    <w:rsid w:val="007D274D"/>
    <w:rsid w:val="007D278B"/>
    <w:rsid w:val="007D2B30"/>
    <w:rsid w:val="007D45B8"/>
    <w:rsid w:val="007D4860"/>
    <w:rsid w:val="007D4885"/>
    <w:rsid w:val="007D4E72"/>
    <w:rsid w:val="007D6970"/>
    <w:rsid w:val="007E0C4D"/>
    <w:rsid w:val="007E0FF4"/>
    <w:rsid w:val="007E1A2D"/>
    <w:rsid w:val="007E3DE8"/>
    <w:rsid w:val="007E4194"/>
    <w:rsid w:val="007E45E0"/>
    <w:rsid w:val="007E49AE"/>
    <w:rsid w:val="007E4D96"/>
    <w:rsid w:val="007E4DFA"/>
    <w:rsid w:val="007E4EAF"/>
    <w:rsid w:val="007E5712"/>
    <w:rsid w:val="007E5AA3"/>
    <w:rsid w:val="007E6098"/>
    <w:rsid w:val="007E7615"/>
    <w:rsid w:val="007E7B27"/>
    <w:rsid w:val="007F0441"/>
    <w:rsid w:val="007F2FD1"/>
    <w:rsid w:val="007F45BE"/>
    <w:rsid w:val="007F4620"/>
    <w:rsid w:val="007F4B0E"/>
    <w:rsid w:val="007F4C67"/>
    <w:rsid w:val="007F52DF"/>
    <w:rsid w:val="007F5C8E"/>
    <w:rsid w:val="007F67F8"/>
    <w:rsid w:val="00800658"/>
    <w:rsid w:val="00801357"/>
    <w:rsid w:val="00801EB4"/>
    <w:rsid w:val="00802D21"/>
    <w:rsid w:val="00804137"/>
    <w:rsid w:val="00804285"/>
    <w:rsid w:val="00804C56"/>
    <w:rsid w:val="0080506B"/>
    <w:rsid w:val="00805370"/>
    <w:rsid w:val="008067E0"/>
    <w:rsid w:val="00806EE5"/>
    <w:rsid w:val="008103B5"/>
    <w:rsid w:val="00813BC7"/>
    <w:rsid w:val="0081594D"/>
    <w:rsid w:val="00815B55"/>
    <w:rsid w:val="00815C56"/>
    <w:rsid w:val="00816250"/>
    <w:rsid w:val="00816AE5"/>
    <w:rsid w:val="00817711"/>
    <w:rsid w:val="00820522"/>
    <w:rsid w:val="00820AC0"/>
    <w:rsid w:val="00821544"/>
    <w:rsid w:val="008215CB"/>
    <w:rsid w:val="00821660"/>
    <w:rsid w:val="008218A6"/>
    <w:rsid w:val="0082272D"/>
    <w:rsid w:val="008227E3"/>
    <w:rsid w:val="008236B6"/>
    <w:rsid w:val="00823B78"/>
    <w:rsid w:val="00823D73"/>
    <w:rsid w:val="008240C2"/>
    <w:rsid w:val="00824225"/>
    <w:rsid w:val="00824428"/>
    <w:rsid w:val="00824ABE"/>
    <w:rsid w:val="008255BA"/>
    <w:rsid w:val="00825F0C"/>
    <w:rsid w:val="00826E27"/>
    <w:rsid w:val="00826EFD"/>
    <w:rsid w:val="008270C2"/>
    <w:rsid w:val="00827615"/>
    <w:rsid w:val="00827776"/>
    <w:rsid w:val="00830492"/>
    <w:rsid w:val="00830AED"/>
    <w:rsid w:val="008329E9"/>
    <w:rsid w:val="00832C00"/>
    <w:rsid w:val="008338DD"/>
    <w:rsid w:val="00834DE7"/>
    <w:rsid w:val="0083522C"/>
    <w:rsid w:val="008355D8"/>
    <w:rsid w:val="00835AC1"/>
    <w:rsid w:val="00836B07"/>
    <w:rsid w:val="0084018A"/>
    <w:rsid w:val="00841383"/>
    <w:rsid w:val="008416EC"/>
    <w:rsid w:val="008425EF"/>
    <w:rsid w:val="008427F7"/>
    <w:rsid w:val="008429B9"/>
    <w:rsid w:val="00842A3D"/>
    <w:rsid w:val="00843761"/>
    <w:rsid w:val="008446B6"/>
    <w:rsid w:val="00844A8D"/>
    <w:rsid w:val="0084540C"/>
    <w:rsid w:val="00846435"/>
    <w:rsid w:val="00847521"/>
    <w:rsid w:val="0084775A"/>
    <w:rsid w:val="00850323"/>
    <w:rsid w:val="00850874"/>
    <w:rsid w:val="00850CE9"/>
    <w:rsid w:val="00851001"/>
    <w:rsid w:val="008537D4"/>
    <w:rsid w:val="00855618"/>
    <w:rsid w:val="0085593E"/>
    <w:rsid w:val="00855AAA"/>
    <w:rsid w:val="00856168"/>
    <w:rsid w:val="00857114"/>
    <w:rsid w:val="0086039B"/>
    <w:rsid w:val="008608B6"/>
    <w:rsid w:val="00860F3C"/>
    <w:rsid w:val="00861146"/>
    <w:rsid w:val="00861399"/>
    <w:rsid w:val="00862ECE"/>
    <w:rsid w:val="0086354A"/>
    <w:rsid w:val="00864057"/>
    <w:rsid w:val="008646DF"/>
    <w:rsid w:val="00864BF5"/>
    <w:rsid w:val="00867175"/>
    <w:rsid w:val="00867DAD"/>
    <w:rsid w:val="0087012E"/>
    <w:rsid w:val="008702A6"/>
    <w:rsid w:val="008711F2"/>
    <w:rsid w:val="00872768"/>
    <w:rsid w:val="00872D74"/>
    <w:rsid w:val="0087300E"/>
    <w:rsid w:val="00873027"/>
    <w:rsid w:val="0087317C"/>
    <w:rsid w:val="00873B6A"/>
    <w:rsid w:val="00874155"/>
    <w:rsid w:val="0087498C"/>
    <w:rsid w:val="008749EA"/>
    <w:rsid w:val="00875432"/>
    <w:rsid w:val="008754C8"/>
    <w:rsid w:val="00875E33"/>
    <w:rsid w:val="00876282"/>
    <w:rsid w:val="0087684C"/>
    <w:rsid w:val="008778F3"/>
    <w:rsid w:val="008802FC"/>
    <w:rsid w:val="008808D8"/>
    <w:rsid w:val="00880C48"/>
    <w:rsid w:val="00880F2D"/>
    <w:rsid w:val="008812F3"/>
    <w:rsid w:val="00881383"/>
    <w:rsid w:val="00881A77"/>
    <w:rsid w:val="00881DDE"/>
    <w:rsid w:val="00882945"/>
    <w:rsid w:val="00883B74"/>
    <w:rsid w:val="00883D71"/>
    <w:rsid w:val="00886573"/>
    <w:rsid w:val="00886FCD"/>
    <w:rsid w:val="008872DC"/>
    <w:rsid w:val="0088764A"/>
    <w:rsid w:val="00887C5F"/>
    <w:rsid w:val="00891E82"/>
    <w:rsid w:val="008922D8"/>
    <w:rsid w:val="008925E0"/>
    <w:rsid w:val="00892BA5"/>
    <w:rsid w:val="008938A4"/>
    <w:rsid w:val="00893E42"/>
    <w:rsid w:val="00894ECB"/>
    <w:rsid w:val="00895C2D"/>
    <w:rsid w:val="0089605C"/>
    <w:rsid w:val="00897372"/>
    <w:rsid w:val="008A2C93"/>
    <w:rsid w:val="008A4E00"/>
    <w:rsid w:val="008A56BD"/>
    <w:rsid w:val="008A5FA4"/>
    <w:rsid w:val="008A6619"/>
    <w:rsid w:val="008A69C9"/>
    <w:rsid w:val="008A6ADE"/>
    <w:rsid w:val="008A6D39"/>
    <w:rsid w:val="008A7591"/>
    <w:rsid w:val="008B0B9E"/>
    <w:rsid w:val="008B1293"/>
    <w:rsid w:val="008B1B8A"/>
    <w:rsid w:val="008B29AD"/>
    <w:rsid w:val="008B4011"/>
    <w:rsid w:val="008B4106"/>
    <w:rsid w:val="008B422E"/>
    <w:rsid w:val="008B49AF"/>
    <w:rsid w:val="008B4BB7"/>
    <w:rsid w:val="008B7172"/>
    <w:rsid w:val="008B75C7"/>
    <w:rsid w:val="008B78D9"/>
    <w:rsid w:val="008C01FD"/>
    <w:rsid w:val="008C02ED"/>
    <w:rsid w:val="008C0E05"/>
    <w:rsid w:val="008C0EC4"/>
    <w:rsid w:val="008C10BE"/>
    <w:rsid w:val="008C2868"/>
    <w:rsid w:val="008C2A1D"/>
    <w:rsid w:val="008C2FE9"/>
    <w:rsid w:val="008C3394"/>
    <w:rsid w:val="008C3658"/>
    <w:rsid w:val="008C3EC4"/>
    <w:rsid w:val="008C3F3C"/>
    <w:rsid w:val="008C49EC"/>
    <w:rsid w:val="008C4B84"/>
    <w:rsid w:val="008C6A51"/>
    <w:rsid w:val="008C6E51"/>
    <w:rsid w:val="008D138D"/>
    <w:rsid w:val="008D1B58"/>
    <w:rsid w:val="008D1F0A"/>
    <w:rsid w:val="008D29EF"/>
    <w:rsid w:val="008D2F73"/>
    <w:rsid w:val="008D3DA9"/>
    <w:rsid w:val="008D3E9A"/>
    <w:rsid w:val="008D45FC"/>
    <w:rsid w:val="008D5CBA"/>
    <w:rsid w:val="008D744B"/>
    <w:rsid w:val="008E0D26"/>
    <w:rsid w:val="008E1D82"/>
    <w:rsid w:val="008E2181"/>
    <w:rsid w:val="008E21AE"/>
    <w:rsid w:val="008E2EDB"/>
    <w:rsid w:val="008E311D"/>
    <w:rsid w:val="008E35EB"/>
    <w:rsid w:val="008E42AE"/>
    <w:rsid w:val="008E46A6"/>
    <w:rsid w:val="008E474D"/>
    <w:rsid w:val="008E4D7B"/>
    <w:rsid w:val="008E510F"/>
    <w:rsid w:val="008E56A7"/>
    <w:rsid w:val="008E5973"/>
    <w:rsid w:val="008E5A90"/>
    <w:rsid w:val="008E681A"/>
    <w:rsid w:val="008E732C"/>
    <w:rsid w:val="008E777D"/>
    <w:rsid w:val="008F0C20"/>
    <w:rsid w:val="008F170E"/>
    <w:rsid w:val="008F1DB7"/>
    <w:rsid w:val="008F263F"/>
    <w:rsid w:val="008F5B67"/>
    <w:rsid w:val="008F6E60"/>
    <w:rsid w:val="008F7329"/>
    <w:rsid w:val="008F76CC"/>
    <w:rsid w:val="00903446"/>
    <w:rsid w:val="00903B1C"/>
    <w:rsid w:val="009077E7"/>
    <w:rsid w:val="009100C1"/>
    <w:rsid w:val="0091029F"/>
    <w:rsid w:val="00910948"/>
    <w:rsid w:val="00910AA5"/>
    <w:rsid w:val="00910B90"/>
    <w:rsid w:val="00911456"/>
    <w:rsid w:val="00911AE9"/>
    <w:rsid w:val="009133FC"/>
    <w:rsid w:val="009143D9"/>
    <w:rsid w:val="009147B3"/>
    <w:rsid w:val="009169F4"/>
    <w:rsid w:val="009171C5"/>
    <w:rsid w:val="00917FB9"/>
    <w:rsid w:val="00920393"/>
    <w:rsid w:val="00920B87"/>
    <w:rsid w:val="0092154F"/>
    <w:rsid w:val="009223B2"/>
    <w:rsid w:val="00922C9F"/>
    <w:rsid w:val="00923126"/>
    <w:rsid w:val="00923261"/>
    <w:rsid w:val="00923A7F"/>
    <w:rsid w:val="00924410"/>
    <w:rsid w:val="00924546"/>
    <w:rsid w:val="00925052"/>
    <w:rsid w:val="00926263"/>
    <w:rsid w:val="009262E9"/>
    <w:rsid w:val="009267D8"/>
    <w:rsid w:val="0092695C"/>
    <w:rsid w:val="00926BDC"/>
    <w:rsid w:val="00926D50"/>
    <w:rsid w:val="00930227"/>
    <w:rsid w:val="00931041"/>
    <w:rsid w:val="0093112A"/>
    <w:rsid w:val="009316BF"/>
    <w:rsid w:val="00931ACB"/>
    <w:rsid w:val="009323B9"/>
    <w:rsid w:val="00932D57"/>
    <w:rsid w:val="00932F88"/>
    <w:rsid w:val="009334CB"/>
    <w:rsid w:val="009358FD"/>
    <w:rsid w:val="0093685C"/>
    <w:rsid w:val="00936CD4"/>
    <w:rsid w:val="0093747B"/>
    <w:rsid w:val="00937ADD"/>
    <w:rsid w:val="00937B20"/>
    <w:rsid w:val="0094020D"/>
    <w:rsid w:val="009408AC"/>
    <w:rsid w:val="009409DE"/>
    <w:rsid w:val="0094232B"/>
    <w:rsid w:val="00942EEB"/>
    <w:rsid w:val="00943993"/>
    <w:rsid w:val="00943DBD"/>
    <w:rsid w:val="009440F9"/>
    <w:rsid w:val="00944DBA"/>
    <w:rsid w:val="0094564A"/>
    <w:rsid w:val="00945728"/>
    <w:rsid w:val="00945F5F"/>
    <w:rsid w:val="009466A0"/>
    <w:rsid w:val="0094685F"/>
    <w:rsid w:val="00946C22"/>
    <w:rsid w:val="00946DD6"/>
    <w:rsid w:val="009472B2"/>
    <w:rsid w:val="00950AF3"/>
    <w:rsid w:val="009515F5"/>
    <w:rsid w:val="00952669"/>
    <w:rsid w:val="00952AC3"/>
    <w:rsid w:val="009532DF"/>
    <w:rsid w:val="00953431"/>
    <w:rsid w:val="0095348C"/>
    <w:rsid w:val="009534F1"/>
    <w:rsid w:val="00954629"/>
    <w:rsid w:val="00954D33"/>
    <w:rsid w:val="0095511A"/>
    <w:rsid w:val="00955BC3"/>
    <w:rsid w:val="0095616F"/>
    <w:rsid w:val="00956E34"/>
    <w:rsid w:val="009571A3"/>
    <w:rsid w:val="009614B1"/>
    <w:rsid w:val="00961F83"/>
    <w:rsid w:val="0096340A"/>
    <w:rsid w:val="00963E79"/>
    <w:rsid w:val="00965ABF"/>
    <w:rsid w:val="00965E11"/>
    <w:rsid w:val="0097064A"/>
    <w:rsid w:val="00970C52"/>
    <w:rsid w:val="00970C88"/>
    <w:rsid w:val="00972F12"/>
    <w:rsid w:val="0097469A"/>
    <w:rsid w:val="00975A7B"/>
    <w:rsid w:val="00976F29"/>
    <w:rsid w:val="0097761F"/>
    <w:rsid w:val="00980380"/>
    <w:rsid w:val="00980FC1"/>
    <w:rsid w:val="00982031"/>
    <w:rsid w:val="00983408"/>
    <w:rsid w:val="00983CC6"/>
    <w:rsid w:val="00984903"/>
    <w:rsid w:val="00984BDD"/>
    <w:rsid w:val="00984CDA"/>
    <w:rsid w:val="00984F9C"/>
    <w:rsid w:val="009862CF"/>
    <w:rsid w:val="00986C7D"/>
    <w:rsid w:val="00986E75"/>
    <w:rsid w:val="00987995"/>
    <w:rsid w:val="00990909"/>
    <w:rsid w:val="00990DAE"/>
    <w:rsid w:val="00991978"/>
    <w:rsid w:val="0099252A"/>
    <w:rsid w:val="00993824"/>
    <w:rsid w:val="00994C63"/>
    <w:rsid w:val="00995BA0"/>
    <w:rsid w:val="009965F7"/>
    <w:rsid w:val="0099662F"/>
    <w:rsid w:val="009A04D3"/>
    <w:rsid w:val="009A07BE"/>
    <w:rsid w:val="009A23D0"/>
    <w:rsid w:val="009A55A8"/>
    <w:rsid w:val="009A5616"/>
    <w:rsid w:val="009A59C2"/>
    <w:rsid w:val="009A59DD"/>
    <w:rsid w:val="009A6C67"/>
    <w:rsid w:val="009A766B"/>
    <w:rsid w:val="009A77C5"/>
    <w:rsid w:val="009A799A"/>
    <w:rsid w:val="009B03FC"/>
    <w:rsid w:val="009B065A"/>
    <w:rsid w:val="009B0D5F"/>
    <w:rsid w:val="009B10C7"/>
    <w:rsid w:val="009B1CF6"/>
    <w:rsid w:val="009B2260"/>
    <w:rsid w:val="009B2491"/>
    <w:rsid w:val="009B3573"/>
    <w:rsid w:val="009B3B52"/>
    <w:rsid w:val="009B48DA"/>
    <w:rsid w:val="009B505B"/>
    <w:rsid w:val="009B6659"/>
    <w:rsid w:val="009B7888"/>
    <w:rsid w:val="009B79E4"/>
    <w:rsid w:val="009C0B67"/>
    <w:rsid w:val="009C0DCA"/>
    <w:rsid w:val="009C16E3"/>
    <w:rsid w:val="009C1739"/>
    <w:rsid w:val="009C1C9C"/>
    <w:rsid w:val="009C2838"/>
    <w:rsid w:val="009C3C63"/>
    <w:rsid w:val="009C47F4"/>
    <w:rsid w:val="009C48B3"/>
    <w:rsid w:val="009C4911"/>
    <w:rsid w:val="009C5600"/>
    <w:rsid w:val="009C5796"/>
    <w:rsid w:val="009C6442"/>
    <w:rsid w:val="009C65D5"/>
    <w:rsid w:val="009C6B72"/>
    <w:rsid w:val="009C7188"/>
    <w:rsid w:val="009C7865"/>
    <w:rsid w:val="009D00D8"/>
    <w:rsid w:val="009D1334"/>
    <w:rsid w:val="009D1C72"/>
    <w:rsid w:val="009D1D9C"/>
    <w:rsid w:val="009D21A2"/>
    <w:rsid w:val="009D24D4"/>
    <w:rsid w:val="009D2521"/>
    <w:rsid w:val="009D27B2"/>
    <w:rsid w:val="009D2D08"/>
    <w:rsid w:val="009D2ED5"/>
    <w:rsid w:val="009D4F3F"/>
    <w:rsid w:val="009D5DDE"/>
    <w:rsid w:val="009D61A5"/>
    <w:rsid w:val="009D66DE"/>
    <w:rsid w:val="009D71C7"/>
    <w:rsid w:val="009D79B4"/>
    <w:rsid w:val="009D7E26"/>
    <w:rsid w:val="009D7E68"/>
    <w:rsid w:val="009E042D"/>
    <w:rsid w:val="009E06AB"/>
    <w:rsid w:val="009E1DEB"/>
    <w:rsid w:val="009E2896"/>
    <w:rsid w:val="009E3160"/>
    <w:rsid w:val="009E5536"/>
    <w:rsid w:val="009E56BA"/>
    <w:rsid w:val="009E5B96"/>
    <w:rsid w:val="009E63AF"/>
    <w:rsid w:val="009E7008"/>
    <w:rsid w:val="009E769C"/>
    <w:rsid w:val="009F0E77"/>
    <w:rsid w:val="009F0E8A"/>
    <w:rsid w:val="009F1367"/>
    <w:rsid w:val="009F1410"/>
    <w:rsid w:val="009F1B26"/>
    <w:rsid w:val="009F1DC9"/>
    <w:rsid w:val="009F2F2A"/>
    <w:rsid w:val="009F3BE9"/>
    <w:rsid w:val="009F58A7"/>
    <w:rsid w:val="009F61D7"/>
    <w:rsid w:val="009F6358"/>
    <w:rsid w:val="009F75CE"/>
    <w:rsid w:val="009F790B"/>
    <w:rsid w:val="009F7DA3"/>
    <w:rsid w:val="00A0095D"/>
    <w:rsid w:val="00A00976"/>
    <w:rsid w:val="00A00B1B"/>
    <w:rsid w:val="00A01847"/>
    <w:rsid w:val="00A020DC"/>
    <w:rsid w:val="00A02FF4"/>
    <w:rsid w:val="00A033E6"/>
    <w:rsid w:val="00A0406E"/>
    <w:rsid w:val="00A04C6C"/>
    <w:rsid w:val="00A05436"/>
    <w:rsid w:val="00A062D6"/>
    <w:rsid w:val="00A06924"/>
    <w:rsid w:val="00A07C15"/>
    <w:rsid w:val="00A104A5"/>
    <w:rsid w:val="00A112FF"/>
    <w:rsid w:val="00A12893"/>
    <w:rsid w:val="00A13881"/>
    <w:rsid w:val="00A13E52"/>
    <w:rsid w:val="00A14D04"/>
    <w:rsid w:val="00A15766"/>
    <w:rsid w:val="00A16E61"/>
    <w:rsid w:val="00A17B22"/>
    <w:rsid w:val="00A2064B"/>
    <w:rsid w:val="00A20B06"/>
    <w:rsid w:val="00A211B8"/>
    <w:rsid w:val="00A21E94"/>
    <w:rsid w:val="00A2325F"/>
    <w:rsid w:val="00A235A2"/>
    <w:rsid w:val="00A23749"/>
    <w:rsid w:val="00A24359"/>
    <w:rsid w:val="00A24594"/>
    <w:rsid w:val="00A25CCE"/>
    <w:rsid w:val="00A27AE0"/>
    <w:rsid w:val="00A30ED6"/>
    <w:rsid w:val="00A311E1"/>
    <w:rsid w:val="00A31DCE"/>
    <w:rsid w:val="00A33DEB"/>
    <w:rsid w:val="00A3401E"/>
    <w:rsid w:val="00A3445F"/>
    <w:rsid w:val="00A3507E"/>
    <w:rsid w:val="00A35471"/>
    <w:rsid w:val="00A35C4F"/>
    <w:rsid w:val="00A36880"/>
    <w:rsid w:val="00A36C44"/>
    <w:rsid w:val="00A377E9"/>
    <w:rsid w:val="00A40A4A"/>
    <w:rsid w:val="00A40E64"/>
    <w:rsid w:val="00A415C2"/>
    <w:rsid w:val="00A42685"/>
    <w:rsid w:val="00A42B99"/>
    <w:rsid w:val="00A4304F"/>
    <w:rsid w:val="00A439DD"/>
    <w:rsid w:val="00A43AC6"/>
    <w:rsid w:val="00A43B1E"/>
    <w:rsid w:val="00A447F7"/>
    <w:rsid w:val="00A44D01"/>
    <w:rsid w:val="00A44F96"/>
    <w:rsid w:val="00A45F9C"/>
    <w:rsid w:val="00A46B1A"/>
    <w:rsid w:val="00A46E38"/>
    <w:rsid w:val="00A50737"/>
    <w:rsid w:val="00A5104D"/>
    <w:rsid w:val="00A51B26"/>
    <w:rsid w:val="00A51CC4"/>
    <w:rsid w:val="00A51F48"/>
    <w:rsid w:val="00A5281F"/>
    <w:rsid w:val="00A52935"/>
    <w:rsid w:val="00A53466"/>
    <w:rsid w:val="00A536F5"/>
    <w:rsid w:val="00A53D38"/>
    <w:rsid w:val="00A544D8"/>
    <w:rsid w:val="00A54787"/>
    <w:rsid w:val="00A54BE6"/>
    <w:rsid w:val="00A55239"/>
    <w:rsid w:val="00A56355"/>
    <w:rsid w:val="00A565C8"/>
    <w:rsid w:val="00A57351"/>
    <w:rsid w:val="00A609DC"/>
    <w:rsid w:val="00A60CC6"/>
    <w:rsid w:val="00A60E09"/>
    <w:rsid w:val="00A61388"/>
    <w:rsid w:val="00A61AA8"/>
    <w:rsid w:val="00A61CE3"/>
    <w:rsid w:val="00A630D2"/>
    <w:rsid w:val="00A6445E"/>
    <w:rsid w:val="00A644BD"/>
    <w:rsid w:val="00A64FAE"/>
    <w:rsid w:val="00A65287"/>
    <w:rsid w:val="00A65746"/>
    <w:rsid w:val="00A65755"/>
    <w:rsid w:val="00A673AB"/>
    <w:rsid w:val="00A67AEE"/>
    <w:rsid w:val="00A70085"/>
    <w:rsid w:val="00A70B72"/>
    <w:rsid w:val="00A73508"/>
    <w:rsid w:val="00A74965"/>
    <w:rsid w:val="00A7712E"/>
    <w:rsid w:val="00A7741B"/>
    <w:rsid w:val="00A77C3D"/>
    <w:rsid w:val="00A80A0E"/>
    <w:rsid w:val="00A81DE9"/>
    <w:rsid w:val="00A81FF7"/>
    <w:rsid w:val="00A822EC"/>
    <w:rsid w:val="00A835F5"/>
    <w:rsid w:val="00A836A9"/>
    <w:rsid w:val="00A8507C"/>
    <w:rsid w:val="00A852C4"/>
    <w:rsid w:val="00A85519"/>
    <w:rsid w:val="00A867E6"/>
    <w:rsid w:val="00A87475"/>
    <w:rsid w:val="00A87811"/>
    <w:rsid w:val="00A8791C"/>
    <w:rsid w:val="00A87EF0"/>
    <w:rsid w:val="00A91CF7"/>
    <w:rsid w:val="00A91E5A"/>
    <w:rsid w:val="00A92250"/>
    <w:rsid w:val="00A94429"/>
    <w:rsid w:val="00A948BF"/>
    <w:rsid w:val="00A9556B"/>
    <w:rsid w:val="00A95637"/>
    <w:rsid w:val="00A95B87"/>
    <w:rsid w:val="00A95F7B"/>
    <w:rsid w:val="00A967D3"/>
    <w:rsid w:val="00A9709B"/>
    <w:rsid w:val="00A97AEC"/>
    <w:rsid w:val="00AA01F7"/>
    <w:rsid w:val="00AA165D"/>
    <w:rsid w:val="00AA1E21"/>
    <w:rsid w:val="00AA1FF5"/>
    <w:rsid w:val="00AA2D9D"/>
    <w:rsid w:val="00AA39B0"/>
    <w:rsid w:val="00AA3DD7"/>
    <w:rsid w:val="00AA75D4"/>
    <w:rsid w:val="00AA75DC"/>
    <w:rsid w:val="00AA79A1"/>
    <w:rsid w:val="00AA7E4C"/>
    <w:rsid w:val="00AB1856"/>
    <w:rsid w:val="00AB2572"/>
    <w:rsid w:val="00AB3785"/>
    <w:rsid w:val="00AB3C22"/>
    <w:rsid w:val="00AB4721"/>
    <w:rsid w:val="00AB4D1E"/>
    <w:rsid w:val="00AB5FF8"/>
    <w:rsid w:val="00AB6091"/>
    <w:rsid w:val="00AB7618"/>
    <w:rsid w:val="00AC03B1"/>
    <w:rsid w:val="00AC03BE"/>
    <w:rsid w:val="00AC0A86"/>
    <w:rsid w:val="00AC0C5D"/>
    <w:rsid w:val="00AC27D8"/>
    <w:rsid w:val="00AC3A6A"/>
    <w:rsid w:val="00AC3B94"/>
    <w:rsid w:val="00AC44F8"/>
    <w:rsid w:val="00AC4B70"/>
    <w:rsid w:val="00AC598D"/>
    <w:rsid w:val="00AC5A1C"/>
    <w:rsid w:val="00AC5A68"/>
    <w:rsid w:val="00AC643A"/>
    <w:rsid w:val="00AC6F82"/>
    <w:rsid w:val="00AC739B"/>
    <w:rsid w:val="00AC7E75"/>
    <w:rsid w:val="00AC7FC5"/>
    <w:rsid w:val="00AD0AE8"/>
    <w:rsid w:val="00AD1251"/>
    <w:rsid w:val="00AD2C66"/>
    <w:rsid w:val="00AD3BA1"/>
    <w:rsid w:val="00AD4D9F"/>
    <w:rsid w:val="00AD4FF5"/>
    <w:rsid w:val="00AD566F"/>
    <w:rsid w:val="00AD617C"/>
    <w:rsid w:val="00AD682C"/>
    <w:rsid w:val="00AD6DD7"/>
    <w:rsid w:val="00AD6F97"/>
    <w:rsid w:val="00AD7BC4"/>
    <w:rsid w:val="00AD7DDF"/>
    <w:rsid w:val="00AE07DA"/>
    <w:rsid w:val="00AE10AC"/>
    <w:rsid w:val="00AE1597"/>
    <w:rsid w:val="00AE1A74"/>
    <w:rsid w:val="00AE2077"/>
    <w:rsid w:val="00AE303D"/>
    <w:rsid w:val="00AE415B"/>
    <w:rsid w:val="00AE49C9"/>
    <w:rsid w:val="00AE4ACB"/>
    <w:rsid w:val="00AE5755"/>
    <w:rsid w:val="00AE5B84"/>
    <w:rsid w:val="00AE7EC6"/>
    <w:rsid w:val="00AF04D1"/>
    <w:rsid w:val="00AF0E9D"/>
    <w:rsid w:val="00AF1F5D"/>
    <w:rsid w:val="00AF2034"/>
    <w:rsid w:val="00AF2BD4"/>
    <w:rsid w:val="00AF2D1E"/>
    <w:rsid w:val="00AF3ADA"/>
    <w:rsid w:val="00AF3C92"/>
    <w:rsid w:val="00AF4979"/>
    <w:rsid w:val="00AF4AEF"/>
    <w:rsid w:val="00AF51FC"/>
    <w:rsid w:val="00AF599A"/>
    <w:rsid w:val="00AF5C74"/>
    <w:rsid w:val="00AF5F82"/>
    <w:rsid w:val="00AF6CB0"/>
    <w:rsid w:val="00AF6F2E"/>
    <w:rsid w:val="00AF72C6"/>
    <w:rsid w:val="00B01423"/>
    <w:rsid w:val="00B02412"/>
    <w:rsid w:val="00B02819"/>
    <w:rsid w:val="00B04704"/>
    <w:rsid w:val="00B050CD"/>
    <w:rsid w:val="00B053FF"/>
    <w:rsid w:val="00B05C17"/>
    <w:rsid w:val="00B061AF"/>
    <w:rsid w:val="00B07342"/>
    <w:rsid w:val="00B077D1"/>
    <w:rsid w:val="00B07ABF"/>
    <w:rsid w:val="00B10719"/>
    <w:rsid w:val="00B108A4"/>
    <w:rsid w:val="00B11046"/>
    <w:rsid w:val="00B11217"/>
    <w:rsid w:val="00B1139B"/>
    <w:rsid w:val="00B11B9A"/>
    <w:rsid w:val="00B11EE4"/>
    <w:rsid w:val="00B13DD8"/>
    <w:rsid w:val="00B14687"/>
    <w:rsid w:val="00B146B3"/>
    <w:rsid w:val="00B15452"/>
    <w:rsid w:val="00B1623A"/>
    <w:rsid w:val="00B170C9"/>
    <w:rsid w:val="00B17A39"/>
    <w:rsid w:val="00B21476"/>
    <w:rsid w:val="00B21935"/>
    <w:rsid w:val="00B21E3A"/>
    <w:rsid w:val="00B21F7F"/>
    <w:rsid w:val="00B23FEC"/>
    <w:rsid w:val="00B2470C"/>
    <w:rsid w:val="00B256BE"/>
    <w:rsid w:val="00B25EB9"/>
    <w:rsid w:val="00B275AD"/>
    <w:rsid w:val="00B3078E"/>
    <w:rsid w:val="00B3110C"/>
    <w:rsid w:val="00B31509"/>
    <w:rsid w:val="00B31A60"/>
    <w:rsid w:val="00B31BB3"/>
    <w:rsid w:val="00B325F4"/>
    <w:rsid w:val="00B3321A"/>
    <w:rsid w:val="00B33916"/>
    <w:rsid w:val="00B33C9D"/>
    <w:rsid w:val="00B344F9"/>
    <w:rsid w:val="00B35095"/>
    <w:rsid w:val="00B35E73"/>
    <w:rsid w:val="00B3605A"/>
    <w:rsid w:val="00B36A9C"/>
    <w:rsid w:val="00B36FEA"/>
    <w:rsid w:val="00B37743"/>
    <w:rsid w:val="00B3775A"/>
    <w:rsid w:val="00B3776A"/>
    <w:rsid w:val="00B402CD"/>
    <w:rsid w:val="00B406BE"/>
    <w:rsid w:val="00B41924"/>
    <w:rsid w:val="00B41C8E"/>
    <w:rsid w:val="00B42F98"/>
    <w:rsid w:val="00B43372"/>
    <w:rsid w:val="00B43E2B"/>
    <w:rsid w:val="00B44736"/>
    <w:rsid w:val="00B4592C"/>
    <w:rsid w:val="00B4698C"/>
    <w:rsid w:val="00B476FB"/>
    <w:rsid w:val="00B5238D"/>
    <w:rsid w:val="00B52D24"/>
    <w:rsid w:val="00B53753"/>
    <w:rsid w:val="00B53BCA"/>
    <w:rsid w:val="00B54AE0"/>
    <w:rsid w:val="00B54C2F"/>
    <w:rsid w:val="00B56112"/>
    <w:rsid w:val="00B566D5"/>
    <w:rsid w:val="00B56FFC"/>
    <w:rsid w:val="00B60ACA"/>
    <w:rsid w:val="00B61F8E"/>
    <w:rsid w:val="00B620AF"/>
    <w:rsid w:val="00B6246D"/>
    <w:rsid w:val="00B624D6"/>
    <w:rsid w:val="00B62813"/>
    <w:rsid w:val="00B62D29"/>
    <w:rsid w:val="00B6413E"/>
    <w:rsid w:val="00B642D8"/>
    <w:rsid w:val="00B647A9"/>
    <w:rsid w:val="00B65C18"/>
    <w:rsid w:val="00B66459"/>
    <w:rsid w:val="00B66520"/>
    <w:rsid w:val="00B669AD"/>
    <w:rsid w:val="00B6797B"/>
    <w:rsid w:val="00B70AE3"/>
    <w:rsid w:val="00B71780"/>
    <w:rsid w:val="00B7272F"/>
    <w:rsid w:val="00B72EDB"/>
    <w:rsid w:val="00B7339A"/>
    <w:rsid w:val="00B739EC"/>
    <w:rsid w:val="00B73C6D"/>
    <w:rsid w:val="00B74C1D"/>
    <w:rsid w:val="00B75187"/>
    <w:rsid w:val="00B7564E"/>
    <w:rsid w:val="00B75BF2"/>
    <w:rsid w:val="00B765B3"/>
    <w:rsid w:val="00B76B79"/>
    <w:rsid w:val="00B76BDB"/>
    <w:rsid w:val="00B77EBA"/>
    <w:rsid w:val="00B77F92"/>
    <w:rsid w:val="00B82084"/>
    <w:rsid w:val="00B8307A"/>
    <w:rsid w:val="00B83807"/>
    <w:rsid w:val="00B848F8"/>
    <w:rsid w:val="00B84A39"/>
    <w:rsid w:val="00B8529F"/>
    <w:rsid w:val="00B85639"/>
    <w:rsid w:val="00B85C69"/>
    <w:rsid w:val="00B86607"/>
    <w:rsid w:val="00B8681B"/>
    <w:rsid w:val="00B9075C"/>
    <w:rsid w:val="00B90F81"/>
    <w:rsid w:val="00B921D7"/>
    <w:rsid w:val="00B922AE"/>
    <w:rsid w:val="00B926AF"/>
    <w:rsid w:val="00B92C76"/>
    <w:rsid w:val="00B95099"/>
    <w:rsid w:val="00B9582E"/>
    <w:rsid w:val="00B96949"/>
    <w:rsid w:val="00B97053"/>
    <w:rsid w:val="00B9730E"/>
    <w:rsid w:val="00B97F42"/>
    <w:rsid w:val="00BA0519"/>
    <w:rsid w:val="00BA0C39"/>
    <w:rsid w:val="00BA1CB2"/>
    <w:rsid w:val="00BA1CB9"/>
    <w:rsid w:val="00BA395A"/>
    <w:rsid w:val="00BA40B7"/>
    <w:rsid w:val="00BA4397"/>
    <w:rsid w:val="00BA47B3"/>
    <w:rsid w:val="00BA538C"/>
    <w:rsid w:val="00BA581E"/>
    <w:rsid w:val="00BA5860"/>
    <w:rsid w:val="00BA6E9D"/>
    <w:rsid w:val="00BA721D"/>
    <w:rsid w:val="00BA7B0E"/>
    <w:rsid w:val="00BB00D2"/>
    <w:rsid w:val="00BB01D5"/>
    <w:rsid w:val="00BB020F"/>
    <w:rsid w:val="00BB06AF"/>
    <w:rsid w:val="00BB1793"/>
    <w:rsid w:val="00BB253B"/>
    <w:rsid w:val="00BB3C74"/>
    <w:rsid w:val="00BB46AD"/>
    <w:rsid w:val="00BB572D"/>
    <w:rsid w:val="00BB66D1"/>
    <w:rsid w:val="00BB7003"/>
    <w:rsid w:val="00BB734A"/>
    <w:rsid w:val="00BB7974"/>
    <w:rsid w:val="00BC03CA"/>
    <w:rsid w:val="00BC0A06"/>
    <w:rsid w:val="00BC0D6E"/>
    <w:rsid w:val="00BC1CA0"/>
    <w:rsid w:val="00BC2486"/>
    <w:rsid w:val="00BC273A"/>
    <w:rsid w:val="00BC28A4"/>
    <w:rsid w:val="00BC2A74"/>
    <w:rsid w:val="00BC3D28"/>
    <w:rsid w:val="00BC4638"/>
    <w:rsid w:val="00BC49D8"/>
    <w:rsid w:val="00BC49EA"/>
    <w:rsid w:val="00BC5355"/>
    <w:rsid w:val="00BC622B"/>
    <w:rsid w:val="00BC6C48"/>
    <w:rsid w:val="00BC6F10"/>
    <w:rsid w:val="00BC7189"/>
    <w:rsid w:val="00BC74D7"/>
    <w:rsid w:val="00BD016F"/>
    <w:rsid w:val="00BD06EE"/>
    <w:rsid w:val="00BD08C5"/>
    <w:rsid w:val="00BD0C9F"/>
    <w:rsid w:val="00BD1165"/>
    <w:rsid w:val="00BD1461"/>
    <w:rsid w:val="00BD1DD9"/>
    <w:rsid w:val="00BD2B19"/>
    <w:rsid w:val="00BD2C07"/>
    <w:rsid w:val="00BD2D14"/>
    <w:rsid w:val="00BD3A45"/>
    <w:rsid w:val="00BD49E8"/>
    <w:rsid w:val="00BD5064"/>
    <w:rsid w:val="00BD5385"/>
    <w:rsid w:val="00BD6D2C"/>
    <w:rsid w:val="00BD726A"/>
    <w:rsid w:val="00BE079A"/>
    <w:rsid w:val="00BE08D9"/>
    <w:rsid w:val="00BE0BA2"/>
    <w:rsid w:val="00BE1888"/>
    <w:rsid w:val="00BE19B0"/>
    <w:rsid w:val="00BE2085"/>
    <w:rsid w:val="00BE27CC"/>
    <w:rsid w:val="00BE2D84"/>
    <w:rsid w:val="00BE2F95"/>
    <w:rsid w:val="00BE4AAB"/>
    <w:rsid w:val="00BE4F39"/>
    <w:rsid w:val="00BE692F"/>
    <w:rsid w:val="00BF0216"/>
    <w:rsid w:val="00BF0845"/>
    <w:rsid w:val="00BF08D2"/>
    <w:rsid w:val="00BF24B7"/>
    <w:rsid w:val="00BF270E"/>
    <w:rsid w:val="00BF340F"/>
    <w:rsid w:val="00BF37A7"/>
    <w:rsid w:val="00BF39F5"/>
    <w:rsid w:val="00BF3B3A"/>
    <w:rsid w:val="00BF41D3"/>
    <w:rsid w:val="00BF4863"/>
    <w:rsid w:val="00BF7065"/>
    <w:rsid w:val="00BF78BE"/>
    <w:rsid w:val="00C003A2"/>
    <w:rsid w:val="00C00C4F"/>
    <w:rsid w:val="00C00C87"/>
    <w:rsid w:val="00C015A6"/>
    <w:rsid w:val="00C016D8"/>
    <w:rsid w:val="00C01DB2"/>
    <w:rsid w:val="00C02974"/>
    <w:rsid w:val="00C03225"/>
    <w:rsid w:val="00C05375"/>
    <w:rsid w:val="00C062C5"/>
    <w:rsid w:val="00C07260"/>
    <w:rsid w:val="00C07985"/>
    <w:rsid w:val="00C1011C"/>
    <w:rsid w:val="00C101D7"/>
    <w:rsid w:val="00C10D85"/>
    <w:rsid w:val="00C1185B"/>
    <w:rsid w:val="00C12974"/>
    <w:rsid w:val="00C12BD7"/>
    <w:rsid w:val="00C13D3A"/>
    <w:rsid w:val="00C1508A"/>
    <w:rsid w:val="00C1539D"/>
    <w:rsid w:val="00C158F5"/>
    <w:rsid w:val="00C1604C"/>
    <w:rsid w:val="00C16674"/>
    <w:rsid w:val="00C16891"/>
    <w:rsid w:val="00C170A7"/>
    <w:rsid w:val="00C179A2"/>
    <w:rsid w:val="00C20A57"/>
    <w:rsid w:val="00C21113"/>
    <w:rsid w:val="00C21987"/>
    <w:rsid w:val="00C2198E"/>
    <w:rsid w:val="00C21FD9"/>
    <w:rsid w:val="00C22557"/>
    <w:rsid w:val="00C22DAD"/>
    <w:rsid w:val="00C230ED"/>
    <w:rsid w:val="00C23766"/>
    <w:rsid w:val="00C24F95"/>
    <w:rsid w:val="00C25079"/>
    <w:rsid w:val="00C255D1"/>
    <w:rsid w:val="00C25C1D"/>
    <w:rsid w:val="00C2606D"/>
    <w:rsid w:val="00C319AF"/>
    <w:rsid w:val="00C3232D"/>
    <w:rsid w:val="00C3257C"/>
    <w:rsid w:val="00C330FF"/>
    <w:rsid w:val="00C3378F"/>
    <w:rsid w:val="00C3381F"/>
    <w:rsid w:val="00C34CFD"/>
    <w:rsid w:val="00C35391"/>
    <w:rsid w:val="00C35F5F"/>
    <w:rsid w:val="00C37E01"/>
    <w:rsid w:val="00C400B5"/>
    <w:rsid w:val="00C40158"/>
    <w:rsid w:val="00C40B78"/>
    <w:rsid w:val="00C412CC"/>
    <w:rsid w:val="00C427A5"/>
    <w:rsid w:val="00C43115"/>
    <w:rsid w:val="00C431BE"/>
    <w:rsid w:val="00C435FA"/>
    <w:rsid w:val="00C437CE"/>
    <w:rsid w:val="00C44600"/>
    <w:rsid w:val="00C453AD"/>
    <w:rsid w:val="00C4602D"/>
    <w:rsid w:val="00C4621D"/>
    <w:rsid w:val="00C471D3"/>
    <w:rsid w:val="00C47527"/>
    <w:rsid w:val="00C5077A"/>
    <w:rsid w:val="00C50A6A"/>
    <w:rsid w:val="00C50DB7"/>
    <w:rsid w:val="00C51460"/>
    <w:rsid w:val="00C51AA5"/>
    <w:rsid w:val="00C524AC"/>
    <w:rsid w:val="00C5351F"/>
    <w:rsid w:val="00C53E40"/>
    <w:rsid w:val="00C5465D"/>
    <w:rsid w:val="00C557EE"/>
    <w:rsid w:val="00C55CA5"/>
    <w:rsid w:val="00C5685B"/>
    <w:rsid w:val="00C570A2"/>
    <w:rsid w:val="00C604E0"/>
    <w:rsid w:val="00C60664"/>
    <w:rsid w:val="00C60B61"/>
    <w:rsid w:val="00C61574"/>
    <w:rsid w:val="00C628EA"/>
    <w:rsid w:val="00C645E2"/>
    <w:rsid w:val="00C65232"/>
    <w:rsid w:val="00C6674B"/>
    <w:rsid w:val="00C66D40"/>
    <w:rsid w:val="00C67D1F"/>
    <w:rsid w:val="00C67E5D"/>
    <w:rsid w:val="00C702C1"/>
    <w:rsid w:val="00C703AD"/>
    <w:rsid w:val="00C70B20"/>
    <w:rsid w:val="00C70C3A"/>
    <w:rsid w:val="00C70E1C"/>
    <w:rsid w:val="00C722A1"/>
    <w:rsid w:val="00C74E37"/>
    <w:rsid w:val="00C80AEE"/>
    <w:rsid w:val="00C811FC"/>
    <w:rsid w:val="00C8233D"/>
    <w:rsid w:val="00C82440"/>
    <w:rsid w:val="00C82535"/>
    <w:rsid w:val="00C831D5"/>
    <w:rsid w:val="00C83411"/>
    <w:rsid w:val="00C836C7"/>
    <w:rsid w:val="00C83B76"/>
    <w:rsid w:val="00C84CDC"/>
    <w:rsid w:val="00C8560A"/>
    <w:rsid w:val="00C86A40"/>
    <w:rsid w:val="00C87407"/>
    <w:rsid w:val="00C8745F"/>
    <w:rsid w:val="00C875F8"/>
    <w:rsid w:val="00C8767B"/>
    <w:rsid w:val="00C87DA2"/>
    <w:rsid w:val="00C87F28"/>
    <w:rsid w:val="00C903DA"/>
    <w:rsid w:val="00C903FF"/>
    <w:rsid w:val="00C90714"/>
    <w:rsid w:val="00C915AF"/>
    <w:rsid w:val="00C91B3D"/>
    <w:rsid w:val="00C92CA1"/>
    <w:rsid w:val="00C92D64"/>
    <w:rsid w:val="00C93592"/>
    <w:rsid w:val="00C94291"/>
    <w:rsid w:val="00C94306"/>
    <w:rsid w:val="00C948A7"/>
    <w:rsid w:val="00C94FAE"/>
    <w:rsid w:val="00C958C3"/>
    <w:rsid w:val="00C9724B"/>
    <w:rsid w:val="00C97F4B"/>
    <w:rsid w:val="00CA065D"/>
    <w:rsid w:val="00CA1923"/>
    <w:rsid w:val="00CA34EE"/>
    <w:rsid w:val="00CA3D48"/>
    <w:rsid w:val="00CA40E2"/>
    <w:rsid w:val="00CA522B"/>
    <w:rsid w:val="00CA5C73"/>
    <w:rsid w:val="00CA5D02"/>
    <w:rsid w:val="00CA5EC8"/>
    <w:rsid w:val="00CA61F4"/>
    <w:rsid w:val="00CA745E"/>
    <w:rsid w:val="00CB001A"/>
    <w:rsid w:val="00CB00B8"/>
    <w:rsid w:val="00CB0ED4"/>
    <w:rsid w:val="00CB168A"/>
    <w:rsid w:val="00CB1717"/>
    <w:rsid w:val="00CB1924"/>
    <w:rsid w:val="00CB1E5F"/>
    <w:rsid w:val="00CB1F2D"/>
    <w:rsid w:val="00CB2DD0"/>
    <w:rsid w:val="00CB4755"/>
    <w:rsid w:val="00CB480B"/>
    <w:rsid w:val="00CB6057"/>
    <w:rsid w:val="00CB68FB"/>
    <w:rsid w:val="00CB6FC3"/>
    <w:rsid w:val="00CB74EF"/>
    <w:rsid w:val="00CB7772"/>
    <w:rsid w:val="00CB7FC7"/>
    <w:rsid w:val="00CC24F6"/>
    <w:rsid w:val="00CC3590"/>
    <w:rsid w:val="00CC3B30"/>
    <w:rsid w:val="00CC5D7C"/>
    <w:rsid w:val="00CC7BD3"/>
    <w:rsid w:val="00CD0D5A"/>
    <w:rsid w:val="00CD197F"/>
    <w:rsid w:val="00CD2980"/>
    <w:rsid w:val="00CD2DCB"/>
    <w:rsid w:val="00CD2FB3"/>
    <w:rsid w:val="00CD379D"/>
    <w:rsid w:val="00CD3AF1"/>
    <w:rsid w:val="00CD3E4D"/>
    <w:rsid w:val="00CD55CC"/>
    <w:rsid w:val="00CD573B"/>
    <w:rsid w:val="00CD5BAD"/>
    <w:rsid w:val="00CD601C"/>
    <w:rsid w:val="00CD625A"/>
    <w:rsid w:val="00CD6317"/>
    <w:rsid w:val="00CD65AB"/>
    <w:rsid w:val="00CD6B64"/>
    <w:rsid w:val="00CD6C75"/>
    <w:rsid w:val="00CD721B"/>
    <w:rsid w:val="00CD7DAB"/>
    <w:rsid w:val="00CE00F6"/>
    <w:rsid w:val="00CE05E7"/>
    <w:rsid w:val="00CE09F6"/>
    <w:rsid w:val="00CE12E9"/>
    <w:rsid w:val="00CE14AC"/>
    <w:rsid w:val="00CE1C09"/>
    <w:rsid w:val="00CE2153"/>
    <w:rsid w:val="00CE2D68"/>
    <w:rsid w:val="00CE39C1"/>
    <w:rsid w:val="00CE4239"/>
    <w:rsid w:val="00CE53E8"/>
    <w:rsid w:val="00CE56EB"/>
    <w:rsid w:val="00CE6352"/>
    <w:rsid w:val="00CE73FB"/>
    <w:rsid w:val="00CE797F"/>
    <w:rsid w:val="00CF05F7"/>
    <w:rsid w:val="00CF0633"/>
    <w:rsid w:val="00CF1865"/>
    <w:rsid w:val="00CF2991"/>
    <w:rsid w:val="00CF38DD"/>
    <w:rsid w:val="00CF42F7"/>
    <w:rsid w:val="00CF5902"/>
    <w:rsid w:val="00CF687B"/>
    <w:rsid w:val="00CF74D4"/>
    <w:rsid w:val="00CF7A8E"/>
    <w:rsid w:val="00D00A46"/>
    <w:rsid w:val="00D00E27"/>
    <w:rsid w:val="00D012A4"/>
    <w:rsid w:val="00D0299D"/>
    <w:rsid w:val="00D02A0C"/>
    <w:rsid w:val="00D02B25"/>
    <w:rsid w:val="00D03721"/>
    <w:rsid w:val="00D042F0"/>
    <w:rsid w:val="00D04FD8"/>
    <w:rsid w:val="00D0508F"/>
    <w:rsid w:val="00D057A7"/>
    <w:rsid w:val="00D06B5C"/>
    <w:rsid w:val="00D0748E"/>
    <w:rsid w:val="00D07887"/>
    <w:rsid w:val="00D07BCE"/>
    <w:rsid w:val="00D10939"/>
    <w:rsid w:val="00D10FCD"/>
    <w:rsid w:val="00D11349"/>
    <w:rsid w:val="00D12A55"/>
    <w:rsid w:val="00D13EF9"/>
    <w:rsid w:val="00D14B83"/>
    <w:rsid w:val="00D1515B"/>
    <w:rsid w:val="00D15241"/>
    <w:rsid w:val="00D15C25"/>
    <w:rsid w:val="00D17D9F"/>
    <w:rsid w:val="00D17DA4"/>
    <w:rsid w:val="00D220B8"/>
    <w:rsid w:val="00D224DB"/>
    <w:rsid w:val="00D22F36"/>
    <w:rsid w:val="00D25381"/>
    <w:rsid w:val="00D255D5"/>
    <w:rsid w:val="00D259ED"/>
    <w:rsid w:val="00D2635B"/>
    <w:rsid w:val="00D27035"/>
    <w:rsid w:val="00D27B65"/>
    <w:rsid w:val="00D27E69"/>
    <w:rsid w:val="00D301AC"/>
    <w:rsid w:val="00D30442"/>
    <w:rsid w:val="00D3057F"/>
    <w:rsid w:val="00D31B03"/>
    <w:rsid w:val="00D31D63"/>
    <w:rsid w:val="00D325E7"/>
    <w:rsid w:val="00D33081"/>
    <w:rsid w:val="00D339DE"/>
    <w:rsid w:val="00D33CC9"/>
    <w:rsid w:val="00D34801"/>
    <w:rsid w:val="00D3618F"/>
    <w:rsid w:val="00D37E51"/>
    <w:rsid w:val="00D43629"/>
    <w:rsid w:val="00D437C2"/>
    <w:rsid w:val="00D44664"/>
    <w:rsid w:val="00D458B9"/>
    <w:rsid w:val="00D46FFD"/>
    <w:rsid w:val="00D47089"/>
    <w:rsid w:val="00D47AA5"/>
    <w:rsid w:val="00D503E7"/>
    <w:rsid w:val="00D50F43"/>
    <w:rsid w:val="00D520F2"/>
    <w:rsid w:val="00D526F0"/>
    <w:rsid w:val="00D52F51"/>
    <w:rsid w:val="00D53320"/>
    <w:rsid w:val="00D54177"/>
    <w:rsid w:val="00D54216"/>
    <w:rsid w:val="00D556D8"/>
    <w:rsid w:val="00D56D74"/>
    <w:rsid w:val="00D60A41"/>
    <w:rsid w:val="00D61205"/>
    <w:rsid w:val="00D61CB8"/>
    <w:rsid w:val="00D62593"/>
    <w:rsid w:val="00D6271F"/>
    <w:rsid w:val="00D634F9"/>
    <w:rsid w:val="00D6395F"/>
    <w:rsid w:val="00D640A7"/>
    <w:rsid w:val="00D642F1"/>
    <w:rsid w:val="00D65276"/>
    <w:rsid w:val="00D65D01"/>
    <w:rsid w:val="00D65D48"/>
    <w:rsid w:val="00D65E3C"/>
    <w:rsid w:val="00D65E53"/>
    <w:rsid w:val="00D66050"/>
    <w:rsid w:val="00D6750A"/>
    <w:rsid w:val="00D67F1A"/>
    <w:rsid w:val="00D67FE9"/>
    <w:rsid w:val="00D70285"/>
    <w:rsid w:val="00D7098C"/>
    <w:rsid w:val="00D71B07"/>
    <w:rsid w:val="00D72629"/>
    <w:rsid w:val="00D732C5"/>
    <w:rsid w:val="00D7385D"/>
    <w:rsid w:val="00D74D4B"/>
    <w:rsid w:val="00D752A6"/>
    <w:rsid w:val="00D756E7"/>
    <w:rsid w:val="00D759D1"/>
    <w:rsid w:val="00D76453"/>
    <w:rsid w:val="00D76723"/>
    <w:rsid w:val="00D76EAA"/>
    <w:rsid w:val="00D7720D"/>
    <w:rsid w:val="00D77743"/>
    <w:rsid w:val="00D77933"/>
    <w:rsid w:val="00D809A8"/>
    <w:rsid w:val="00D80ACF"/>
    <w:rsid w:val="00D80F74"/>
    <w:rsid w:val="00D81544"/>
    <w:rsid w:val="00D818B2"/>
    <w:rsid w:val="00D8272A"/>
    <w:rsid w:val="00D8290B"/>
    <w:rsid w:val="00D82CF1"/>
    <w:rsid w:val="00D82E97"/>
    <w:rsid w:val="00D8348B"/>
    <w:rsid w:val="00D8385F"/>
    <w:rsid w:val="00D83E59"/>
    <w:rsid w:val="00D850ED"/>
    <w:rsid w:val="00D865A8"/>
    <w:rsid w:val="00D86C5C"/>
    <w:rsid w:val="00D8761B"/>
    <w:rsid w:val="00D8771E"/>
    <w:rsid w:val="00D8777D"/>
    <w:rsid w:val="00D87CAB"/>
    <w:rsid w:val="00D906F8"/>
    <w:rsid w:val="00D914C7"/>
    <w:rsid w:val="00D93172"/>
    <w:rsid w:val="00D9595D"/>
    <w:rsid w:val="00D95CE1"/>
    <w:rsid w:val="00D9673D"/>
    <w:rsid w:val="00D96B4F"/>
    <w:rsid w:val="00D97451"/>
    <w:rsid w:val="00DA02E4"/>
    <w:rsid w:val="00DA11A4"/>
    <w:rsid w:val="00DA16F7"/>
    <w:rsid w:val="00DA17EC"/>
    <w:rsid w:val="00DA1F4D"/>
    <w:rsid w:val="00DA26A6"/>
    <w:rsid w:val="00DA2BF0"/>
    <w:rsid w:val="00DA31DC"/>
    <w:rsid w:val="00DA3C22"/>
    <w:rsid w:val="00DA5849"/>
    <w:rsid w:val="00DA5D0A"/>
    <w:rsid w:val="00DA6052"/>
    <w:rsid w:val="00DA6AF4"/>
    <w:rsid w:val="00DA6B0C"/>
    <w:rsid w:val="00DA7F27"/>
    <w:rsid w:val="00DB078E"/>
    <w:rsid w:val="00DB2172"/>
    <w:rsid w:val="00DB25FA"/>
    <w:rsid w:val="00DB2F07"/>
    <w:rsid w:val="00DB3059"/>
    <w:rsid w:val="00DB3280"/>
    <w:rsid w:val="00DB42D4"/>
    <w:rsid w:val="00DB44B2"/>
    <w:rsid w:val="00DB5571"/>
    <w:rsid w:val="00DB6704"/>
    <w:rsid w:val="00DB6C9F"/>
    <w:rsid w:val="00DB6D9B"/>
    <w:rsid w:val="00DB6F89"/>
    <w:rsid w:val="00DC08D5"/>
    <w:rsid w:val="00DC1B53"/>
    <w:rsid w:val="00DC3471"/>
    <w:rsid w:val="00DC3C23"/>
    <w:rsid w:val="00DC525E"/>
    <w:rsid w:val="00DC5B42"/>
    <w:rsid w:val="00DC680D"/>
    <w:rsid w:val="00DC68C7"/>
    <w:rsid w:val="00DC77EB"/>
    <w:rsid w:val="00DC7C57"/>
    <w:rsid w:val="00DD05AD"/>
    <w:rsid w:val="00DD11B3"/>
    <w:rsid w:val="00DD1401"/>
    <w:rsid w:val="00DD14E3"/>
    <w:rsid w:val="00DD1F4A"/>
    <w:rsid w:val="00DD1F9F"/>
    <w:rsid w:val="00DD2891"/>
    <w:rsid w:val="00DD3316"/>
    <w:rsid w:val="00DD3B19"/>
    <w:rsid w:val="00DD5EB4"/>
    <w:rsid w:val="00DD6E30"/>
    <w:rsid w:val="00DD751F"/>
    <w:rsid w:val="00DE06BA"/>
    <w:rsid w:val="00DE0750"/>
    <w:rsid w:val="00DE1C5C"/>
    <w:rsid w:val="00DE2939"/>
    <w:rsid w:val="00DE3F19"/>
    <w:rsid w:val="00DE4615"/>
    <w:rsid w:val="00DE4CB3"/>
    <w:rsid w:val="00DE53E5"/>
    <w:rsid w:val="00DE5AC3"/>
    <w:rsid w:val="00DE6B87"/>
    <w:rsid w:val="00DE75A7"/>
    <w:rsid w:val="00DF0B5A"/>
    <w:rsid w:val="00DF139F"/>
    <w:rsid w:val="00DF1BAD"/>
    <w:rsid w:val="00DF362B"/>
    <w:rsid w:val="00DF397B"/>
    <w:rsid w:val="00DF3DBD"/>
    <w:rsid w:val="00DF504D"/>
    <w:rsid w:val="00DF63C0"/>
    <w:rsid w:val="00DF64BF"/>
    <w:rsid w:val="00DF7021"/>
    <w:rsid w:val="00DF7583"/>
    <w:rsid w:val="00DF7656"/>
    <w:rsid w:val="00E000DE"/>
    <w:rsid w:val="00E00332"/>
    <w:rsid w:val="00E00997"/>
    <w:rsid w:val="00E00A92"/>
    <w:rsid w:val="00E00FAB"/>
    <w:rsid w:val="00E032EF"/>
    <w:rsid w:val="00E03506"/>
    <w:rsid w:val="00E0403D"/>
    <w:rsid w:val="00E04986"/>
    <w:rsid w:val="00E04A9D"/>
    <w:rsid w:val="00E04BFC"/>
    <w:rsid w:val="00E05502"/>
    <w:rsid w:val="00E0596A"/>
    <w:rsid w:val="00E0667E"/>
    <w:rsid w:val="00E077AF"/>
    <w:rsid w:val="00E07BAD"/>
    <w:rsid w:val="00E10309"/>
    <w:rsid w:val="00E106CB"/>
    <w:rsid w:val="00E120EF"/>
    <w:rsid w:val="00E12274"/>
    <w:rsid w:val="00E137A5"/>
    <w:rsid w:val="00E13E96"/>
    <w:rsid w:val="00E13EEA"/>
    <w:rsid w:val="00E1414F"/>
    <w:rsid w:val="00E1418B"/>
    <w:rsid w:val="00E1471B"/>
    <w:rsid w:val="00E14D56"/>
    <w:rsid w:val="00E15861"/>
    <w:rsid w:val="00E15E4D"/>
    <w:rsid w:val="00E162F3"/>
    <w:rsid w:val="00E167CF"/>
    <w:rsid w:val="00E16DAC"/>
    <w:rsid w:val="00E20C11"/>
    <w:rsid w:val="00E21326"/>
    <w:rsid w:val="00E2184A"/>
    <w:rsid w:val="00E2213B"/>
    <w:rsid w:val="00E249B8"/>
    <w:rsid w:val="00E24DAA"/>
    <w:rsid w:val="00E251BC"/>
    <w:rsid w:val="00E251D6"/>
    <w:rsid w:val="00E25454"/>
    <w:rsid w:val="00E25AA0"/>
    <w:rsid w:val="00E26A84"/>
    <w:rsid w:val="00E27C21"/>
    <w:rsid w:val="00E27D25"/>
    <w:rsid w:val="00E3018E"/>
    <w:rsid w:val="00E30230"/>
    <w:rsid w:val="00E30884"/>
    <w:rsid w:val="00E31751"/>
    <w:rsid w:val="00E31B16"/>
    <w:rsid w:val="00E31E49"/>
    <w:rsid w:val="00E31FAE"/>
    <w:rsid w:val="00E32E1C"/>
    <w:rsid w:val="00E3497C"/>
    <w:rsid w:val="00E36165"/>
    <w:rsid w:val="00E36423"/>
    <w:rsid w:val="00E4163E"/>
    <w:rsid w:val="00E41920"/>
    <w:rsid w:val="00E42CE3"/>
    <w:rsid w:val="00E42F7F"/>
    <w:rsid w:val="00E438D6"/>
    <w:rsid w:val="00E43E5A"/>
    <w:rsid w:val="00E44F8E"/>
    <w:rsid w:val="00E46463"/>
    <w:rsid w:val="00E473C0"/>
    <w:rsid w:val="00E47804"/>
    <w:rsid w:val="00E47DE4"/>
    <w:rsid w:val="00E513DD"/>
    <w:rsid w:val="00E51C1E"/>
    <w:rsid w:val="00E51DCB"/>
    <w:rsid w:val="00E52D69"/>
    <w:rsid w:val="00E547CC"/>
    <w:rsid w:val="00E55277"/>
    <w:rsid w:val="00E55618"/>
    <w:rsid w:val="00E5770B"/>
    <w:rsid w:val="00E5779A"/>
    <w:rsid w:val="00E578FC"/>
    <w:rsid w:val="00E60295"/>
    <w:rsid w:val="00E60650"/>
    <w:rsid w:val="00E6117C"/>
    <w:rsid w:val="00E61685"/>
    <w:rsid w:val="00E620CE"/>
    <w:rsid w:val="00E629F8"/>
    <w:rsid w:val="00E63105"/>
    <w:rsid w:val="00E6314E"/>
    <w:rsid w:val="00E633EC"/>
    <w:rsid w:val="00E63D6E"/>
    <w:rsid w:val="00E63DFE"/>
    <w:rsid w:val="00E645CA"/>
    <w:rsid w:val="00E64B4D"/>
    <w:rsid w:val="00E653FF"/>
    <w:rsid w:val="00E65971"/>
    <w:rsid w:val="00E66B0A"/>
    <w:rsid w:val="00E67314"/>
    <w:rsid w:val="00E70152"/>
    <w:rsid w:val="00E706BE"/>
    <w:rsid w:val="00E7266A"/>
    <w:rsid w:val="00E72B52"/>
    <w:rsid w:val="00E72D2D"/>
    <w:rsid w:val="00E73168"/>
    <w:rsid w:val="00E736C3"/>
    <w:rsid w:val="00E74641"/>
    <w:rsid w:val="00E74B22"/>
    <w:rsid w:val="00E74F37"/>
    <w:rsid w:val="00E775B5"/>
    <w:rsid w:val="00E77958"/>
    <w:rsid w:val="00E810C0"/>
    <w:rsid w:val="00E8178E"/>
    <w:rsid w:val="00E81E2A"/>
    <w:rsid w:val="00E83545"/>
    <w:rsid w:val="00E83BAA"/>
    <w:rsid w:val="00E84012"/>
    <w:rsid w:val="00E8535A"/>
    <w:rsid w:val="00E8547B"/>
    <w:rsid w:val="00E85BD2"/>
    <w:rsid w:val="00E86593"/>
    <w:rsid w:val="00E86CC5"/>
    <w:rsid w:val="00E86E17"/>
    <w:rsid w:val="00E8702A"/>
    <w:rsid w:val="00E87305"/>
    <w:rsid w:val="00E87AB9"/>
    <w:rsid w:val="00E87F66"/>
    <w:rsid w:val="00E9114D"/>
    <w:rsid w:val="00E9127F"/>
    <w:rsid w:val="00E9168F"/>
    <w:rsid w:val="00E923DC"/>
    <w:rsid w:val="00E92AAC"/>
    <w:rsid w:val="00E92C43"/>
    <w:rsid w:val="00E94166"/>
    <w:rsid w:val="00E9554D"/>
    <w:rsid w:val="00E9598A"/>
    <w:rsid w:val="00E975AF"/>
    <w:rsid w:val="00E9793A"/>
    <w:rsid w:val="00E97C36"/>
    <w:rsid w:val="00EA137D"/>
    <w:rsid w:val="00EA276D"/>
    <w:rsid w:val="00EA3174"/>
    <w:rsid w:val="00EA340D"/>
    <w:rsid w:val="00EA3EF7"/>
    <w:rsid w:val="00EA4426"/>
    <w:rsid w:val="00EA5999"/>
    <w:rsid w:val="00EA62B3"/>
    <w:rsid w:val="00EA63B3"/>
    <w:rsid w:val="00EA65F2"/>
    <w:rsid w:val="00EA6795"/>
    <w:rsid w:val="00EA6A80"/>
    <w:rsid w:val="00EA6EE3"/>
    <w:rsid w:val="00EA7666"/>
    <w:rsid w:val="00EA7C92"/>
    <w:rsid w:val="00EA7FC1"/>
    <w:rsid w:val="00EB0BD3"/>
    <w:rsid w:val="00EB0E81"/>
    <w:rsid w:val="00EB0E92"/>
    <w:rsid w:val="00EB0F3C"/>
    <w:rsid w:val="00EB1A00"/>
    <w:rsid w:val="00EB1E2D"/>
    <w:rsid w:val="00EB1EFB"/>
    <w:rsid w:val="00EB2FDB"/>
    <w:rsid w:val="00EB4CA2"/>
    <w:rsid w:val="00EB5E63"/>
    <w:rsid w:val="00EB6BF8"/>
    <w:rsid w:val="00EB72BD"/>
    <w:rsid w:val="00EC1767"/>
    <w:rsid w:val="00EC302F"/>
    <w:rsid w:val="00EC4597"/>
    <w:rsid w:val="00EC4D86"/>
    <w:rsid w:val="00EC533A"/>
    <w:rsid w:val="00EC5369"/>
    <w:rsid w:val="00EC711C"/>
    <w:rsid w:val="00EC76E1"/>
    <w:rsid w:val="00ED183A"/>
    <w:rsid w:val="00ED2FF4"/>
    <w:rsid w:val="00ED37FE"/>
    <w:rsid w:val="00ED452A"/>
    <w:rsid w:val="00ED45D8"/>
    <w:rsid w:val="00ED46BE"/>
    <w:rsid w:val="00ED489D"/>
    <w:rsid w:val="00ED4B23"/>
    <w:rsid w:val="00ED55E0"/>
    <w:rsid w:val="00ED64C2"/>
    <w:rsid w:val="00ED7388"/>
    <w:rsid w:val="00ED7D95"/>
    <w:rsid w:val="00EE08EA"/>
    <w:rsid w:val="00EE2EB8"/>
    <w:rsid w:val="00EE3118"/>
    <w:rsid w:val="00EE410F"/>
    <w:rsid w:val="00EE4944"/>
    <w:rsid w:val="00EE5643"/>
    <w:rsid w:val="00EE5DAF"/>
    <w:rsid w:val="00EE60C0"/>
    <w:rsid w:val="00EE6A96"/>
    <w:rsid w:val="00EE7D0D"/>
    <w:rsid w:val="00EF0040"/>
    <w:rsid w:val="00EF0CE7"/>
    <w:rsid w:val="00EF18C0"/>
    <w:rsid w:val="00EF23BB"/>
    <w:rsid w:val="00EF3B2F"/>
    <w:rsid w:val="00EF48E9"/>
    <w:rsid w:val="00EF4CDF"/>
    <w:rsid w:val="00EF58A2"/>
    <w:rsid w:val="00EF6A1C"/>
    <w:rsid w:val="00EF7589"/>
    <w:rsid w:val="00EF75AD"/>
    <w:rsid w:val="00EF79A7"/>
    <w:rsid w:val="00EF7EEF"/>
    <w:rsid w:val="00F00643"/>
    <w:rsid w:val="00F007D0"/>
    <w:rsid w:val="00F00EDE"/>
    <w:rsid w:val="00F00FDC"/>
    <w:rsid w:val="00F01400"/>
    <w:rsid w:val="00F0189E"/>
    <w:rsid w:val="00F02C6E"/>
    <w:rsid w:val="00F04B43"/>
    <w:rsid w:val="00F04E7D"/>
    <w:rsid w:val="00F05C46"/>
    <w:rsid w:val="00F05C5E"/>
    <w:rsid w:val="00F060C1"/>
    <w:rsid w:val="00F062A8"/>
    <w:rsid w:val="00F06479"/>
    <w:rsid w:val="00F07D23"/>
    <w:rsid w:val="00F07E9A"/>
    <w:rsid w:val="00F10544"/>
    <w:rsid w:val="00F10B94"/>
    <w:rsid w:val="00F1121E"/>
    <w:rsid w:val="00F116C2"/>
    <w:rsid w:val="00F1194E"/>
    <w:rsid w:val="00F11F9B"/>
    <w:rsid w:val="00F12832"/>
    <w:rsid w:val="00F12861"/>
    <w:rsid w:val="00F12C74"/>
    <w:rsid w:val="00F13F1B"/>
    <w:rsid w:val="00F14021"/>
    <w:rsid w:val="00F14394"/>
    <w:rsid w:val="00F151A7"/>
    <w:rsid w:val="00F15CA1"/>
    <w:rsid w:val="00F16B71"/>
    <w:rsid w:val="00F175C6"/>
    <w:rsid w:val="00F21212"/>
    <w:rsid w:val="00F2145D"/>
    <w:rsid w:val="00F21666"/>
    <w:rsid w:val="00F23179"/>
    <w:rsid w:val="00F25647"/>
    <w:rsid w:val="00F25802"/>
    <w:rsid w:val="00F2718A"/>
    <w:rsid w:val="00F276DD"/>
    <w:rsid w:val="00F300E5"/>
    <w:rsid w:val="00F302E9"/>
    <w:rsid w:val="00F30E37"/>
    <w:rsid w:val="00F31DD6"/>
    <w:rsid w:val="00F32D9D"/>
    <w:rsid w:val="00F332D8"/>
    <w:rsid w:val="00F336A0"/>
    <w:rsid w:val="00F34515"/>
    <w:rsid w:val="00F363C3"/>
    <w:rsid w:val="00F36D66"/>
    <w:rsid w:val="00F405B4"/>
    <w:rsid w:val="00F405D9"/>
    <w:rsid w:val="00F40B0B"/>
    <w:rsid w:val="00F40B79"/>
    <w:rsid w:val="00F40D47"/>
    <w:rsid w:val="00F42045"/>
    <w:rsid w:val="00F42F5A"/>
    <w:rsid w:val="00F4316A"/>
    <w:rsid w:val="00F43FB4"/>
    <w:rsid w:val="00F44571"/>
    <w:rsid w:val="00F44DEA"/>
    <w:rsid w:val="00F45146"/>
    <w:rsid w:val="00F4641D"/>
    <w:rsid w:val="00F470B6"/>
    <w:rsid w:val="00F47655"/>
    <w:rsid w:val="00F47670"/>
    <w:rsid w:val="00F47B8A"/>
    <w:rsid w:val="00F47CAA"/>
    <w:rsid w:val="00F50163"/>
    <w:rsid w:val="00F507A9"/>
    <w:rsid w:val="00F51634"/>
    <w:rsid w:val="00F52257"/>
    <w:rsid w:val="00F534E9"/>
    <w:rsid w:val="00F538D8"/>
    <w:rsid w:val="00F53F45"/>
    <w:rsid w:val="00F54310"/>
    <w:rsid w:val="00F60849"/>
    <w:rsid w:val="00F6151C"/>
    <w:rsid w:val="00F6197D"/>
    <w:rsid w:val="00F629BD"/>
    <w:rsid w:val="00F63227"/>
    <w:rsid w:val="00F6356E"/>
    <w:rsid w:val="00F63807"/>
    <w:rsid w:val="00F63FD8"/>
    <w:rsid w:val="00F649F2"/>
    <w:rsid w:val="00F65319"/>
    <w:rsid w:val="00F6564F"/>
    <w:rsid w:val="00F65AAF"/>
    <w:rsid w:val="00F65D71"/>
    <w:rsid w:val="00F6636E"/>
    <w:rsid w:val="00F70CAE"/>
    <w:rsid w:val="00F71247"/>
    <w:rsid w:val="00F72D89"/>
    <w:rsid w:val="00F74D7E"/>
    <w:rsid w:val="00F74EF3"/>
    <w:rsid w:val="00F7620D"/>
    <w:rsid w:val="00F7687B"/>
    <w:rsid w:val="00F776C2"/>
    <w:rsid w:val="00F77A9B"/>
    <w:rsid w:val="00F80122"/>
    <w:rsid w:val="00F81CB4"/>
    <w:rsid w:val="00F82907"/>
    <w:rsid w:val="00F82C76"/>
    <w:rsid w:val="00F83BB4"/>
    <w:rsid w:val="00F8524B"/>
    <w:rsid w:val="00F85571"/>
    <w:rsid w:val="00F85A26"/>
    <w:rsid w:val="00F8666B"/>
    <w:rsid w:val="00F86A02"/>
    <w:rsid w:val="00F87057"/>
    <w:rsid w:val="00F8727D"/>
    <w:rsid w:val="00F87FAC"/>
    <w:rsid w:val="00F906CC"/>
    <w:rsid w:val="00F90EE3"/>
    <w:rsid w:val="00F92259"/>
    <w:rsid w:val="00F9231B"/>
    <w:rsid w:val="00F92326"/>
    <w:rsid w:val="00F934DD"/>
    <w:rsid w:val="00F93E3F"/>
    <w:rsid w:val="00F9582D"/>
    <w:rsid w:val="00F95BC8"/>
    <w:rsid w:val="00F97511"/>
    <w:rsid w:val="00F9768E"/>
    <w:rsid w:val="00FA2B7C"/>
    <w:rsid w:val="00FA314C"/>
    <w:rsid w:val="00FA39CF"/>
    <w:rsid w:val="00FA5388"/>
    <w:rsid w:val="00FA6420"/>
    <w:rsid w:val="00FA71FF"/>
    <w:rsid w:val="00FA75D1"/>
    <w:rsid w:val="00FA78C8"/>
    <w:rsid w:val="00FA7FD2"/>
    <w:rsid w:val="00FB02F2"/>
    <w:rsid w:val="00FB2169"/>
    <w:rsid w:val="00FB4183"/>
    <w:rsid w:val="00FB5BBE"/>
    <w:rsid w:val="00FB6BEC"/>
    <w:rsid w:val="00FB7876"/>
    <w:rsid w:val="00FB7E3D"/>
    <w:rsid w:val="00FC00B1"/>
    <w:rsid w:val="00FC05A3"/>
    <w:rsid w:val="00FC0E29"/>
    <w:rsid w:val="00FC0E42"/>
    <w:rsid w:val="00FC1180"/>
    <w:rsid w:val="00FC119D"/>
    <w:rsid w:val="00FC2C49"/>
    <w:rsid w:val="00FC354D"/>
    <w:rsid w:val="00FC3A62"/>
    <w:rsid w:val="00FC3B40"/>
    <w:rsid w:val="00FC3F05"/>
    <w:rsid w:val="00FC47A6"/>
    <w:rsid w:val="00FC53E9"/>
    <w:rsid w:val="00FC5F98"/>
    <w:rsid w:val="00FC6E46"/>
    <w:rsid w:val="00FC704D"/>
    <w:rsid w:val="00FC71F0"/>
    <w:rsid w:val="00FC723D"/>
    <w:rsid w:val="00FC7C50"/>
    <w:rsid w:val="00FD0230"/>
    <w:rsid w:val="00FD0265"/>
    <w:rsid w:val="00FD0B8C"/>
    <w:rsid w:val="00FD177F"/>
    <w:rsid w:val="00FD1976"/>
    <w:rsid w:val="00FD1E19"/>
    <w:rsid w:val="00FD237C"/>
    <w:rsid w:val="00FD251D"/>
    <w:rsid w:val="00FD3056"/>
    <w:rsid w:val="00FD3D91"/>
    <w:rsid w:val="00FD45C8"/>
    <w:rsid w:val="00FD4A18"/>
    <w:rsid w:val="00FD6C6B"/>
    <w:rsid w:val="00FD7C34"/>
    <w:rsid w:val="00FD7E2A"/>
    <w:rsid w:val="00FE00B7"/>
    <w:rsid w:val="00FE0287"/>
    <w:rsid w:val="00FE076D"/>
    <w:rsid w:val="00FE1134"/>
    <w:rsid w:val="00FE1A7E"/>
    <w:rsid w:val="00FE1ADB"/>
    <w:rsid w:val="00FE2A63"/>
    <w:rsid w:val="00FE2BF2"/>
    <w:rsid w:val="00FE3892"/>
    <w:rsid w:val="00FE39FC"/>
    <w:rsid w:val="00FE3AB2"/>
    <w:rsid w:val="00FE3E05"/>
    <w:rsid w:val="00FE4176"/>
    <w:rsid w:val="00FE4474"/>
    <w:rsid w:val="00FE5721"/>
    <w:rsid w:val="00FE6D8B"/>
    <w:rsid w:val="00FE72EE"/>
    <w:rsid w:val="00FE76C8"/>
    <w:rsid w:val="00FE77CC"/>
    <w:rsid w:val="00FF1DFD"/>
    <w:rsid w:val="00FF2ABA"/>
    <w:rsid w:val="00FF3967"/>
    <w:rsid w:val="00FF3EE4"/>
    <w:rsid w:val="00FF4058"/>
    <w:rsid w:val="00FF4534"/>
    <w:rsid w:val="00FF4886"/>
    <w:rsid w:val="00FF4F4C"/>
    <w:rsid w:val="00FF53A9"/>
    <w:rsid w:val="00FF53EE"/>
    <w:rsid w:val="00FF6BCA"/>
    <w:rsid w:val="010F1FEE"/>
    <w:rsid w:val="010F2882"/>
    <w:rsid w:val="01247755"/>
    <w:rsid w:val="01303F65"/>
    <w:rsid w:val="013A09C4"/>
    <w:rsid w:val="014C5266"/>
    <w:rsid w:val="01683BB5"/>
    <w:rsid w:val="018351D3"/>
    <w:rsid w:val="018710A3"/>
    <w:rsid w:val="01A7086A"/>
    <w:rsid w:val="01A93A5A"/>
    <w:rsid w:val="01AD7D01"/>
    <w:rsid w:val="01E4322D"/>
    <w:rsid w:val="01E462AD"/>
    <w:rsid w:val="02060918"/>
    <w:rsid w:val="027F14BA"/>
    <w:rsid w:val="02894C03"/>
    <w:rsid w:val="02C32F68"/>
    <w:rsid w:val="02F21EEB"/>
    <w:rsid w:val="02FA132F"/>
    <w:rsid w:val="033C0E47"/>
    <w:rsid w:val="03470120"/>
    <w:rsid w:val="0351047A"/>
    <w:rsid w:val="035D17A4"/>
    <w:rsid w:val="035D7D75"/>
    <w:rsid w:val="035E5F74"/>
    <w:rsid w:val="035F5C25"/>
    <w:rsid w:val="0365592C"/>
    <w:rsid w:val="036B7E52"/>
    <w:rsid w:val="0372035D"/>
    <w:rsid w:val="03831553"/>
    <w:rsid w:val="038E0FA5"/>
    <w:rsid w:val="04302795"/>
    <w:rsid w:val="043729FA"/>
    <w:rsid w:val="04376B8D"/>
    <w:rsid w:val="04591A2E"/>
    <w:rsid w:val="0461422D"/>
    <w:rsid w:val="046E7456"/>
    <w:rsid w:val="04826CFA"/>
    <w:rsid w:val="04976926"/>
    <w:rsid w:val="04A05494"/>
    <w:rsid w:val="04A9499D"/>
    <w:rsid w:val="04D55D13"/>
    <w:rsid w:val="04EC78FC"/>
    <w:rsid w:val="04FF46D6"/>
    <w:rsid w:val="05301C5F"/>
    <w:rsid w:val="05447943"/>
    <w:rsid w:val="054D67F1"/>
    <w:rsid w:val="05551D4C"/>
    <w:rsid w:val="057A69BF"/>
    <w:rsid w:val="057B0E62"/>
    <w:rsid w:val="0580785F"/>
    <w:rsid w:val="05C05AAE"/>
    <w:rsid w:val="05CB0E27"/>
    <w:rsid w:val="05CC0218"/>
    <w:rsid w:val="05D05124"/>
    <w:rsid w:val="05F33C03"/>
    <w:rsid w:val="063C7A07"/>
    <w:rsid w:val="06416051"/>
    <w:rsid w:val="0642227C"/>
    <w:rsid w:val="066F5174"/>
    <w:rsid w:val="06706E5D"/>
    <w:rsid w:val="06792D62"/>
    <w:rsid w:val="068B1EC9"/>
    <w:rsid w:val="069C5FBF"/>
    <w:rsid w:val="06AD4DCE"/>
    <w:rsid w:val="06DA6645"/>
    <w:rsid w:val="06E930F9"/>
    <w:rsid w:val="0700486F"/>
    <w:rsid w:val="070A780F"/>
    <w:rsid w:val="070E1192"/>
    <w:rsid w:val="070F3382"/>
    <w:rsid w:val="071F0152"/>
    <w:rsid w:val="076707A0"/>
    <w:rsid w:val="07865474"/>
    <w:rsid w:val="078E5B59"/>
    <w:rsid w:val="079B4158"/>
    <w:rsid w:val="07CB2146"/>
    <w:rsid w:val="07CE525D"/>
    <w:rsid w:val="07CF512D"/>
    <w:rsid w:val="07D04F64"/>
    <w:rsid w:val="07E07011"/>
    <w:rsid w:val="07E17544"/>
    <w:rsid w:val="080001B0"/>
    <w:rsid w:val="0806636F"/>
    <w:rsid w:val="080E5F49"/>
    <w:rsid w:val="081661AF"/>
    <w:rsid w:val="0854787A"/>
    <w:rsid w:val="08664345"/>
    <w:rsid w:val="08723626"/>
    <w:rsid w:val="08762F83"/>
    <w:rsid w:val="089A2898"/>
    <w:rsid w:val="089C5B28"/>
    <w:rsid w:val="08CE3215"/>
    <w:rsid w:val="08FA7A77"/>
    <w:rsid w:val="08FC12C8"/>
    <w:rsid w:val="08FE4DC1"/>
    <w:rsid w:val="0927512D"/>
    <w:rsid w:val="093C674A"/>
    <w:rsid w:val="09573866"/>
    <w:rsid w:val="0960347E"/>
    <w:rsid w:val="09652590"/>
    <w:rsid w:val="097653E7"/>
    <w:rsid w:val="097E16AA"/>
    <w:rsid w:val="09917881"/>
    <w:rsid w:val="099536FE"/>
    <w:rsid w:val="09981F6F"/>
    <w:rsid w:val="09F92B47"/>
    <w:rsid w:val="09FF2195"/>
    <w:rsid w:val="0A0E2098"/>
    <w:rsid w:val="0A1E3055"/>
    <w:rsid w:val="0A3B027F"/>
    <w:rsid w:val="0A8074EA"/>
    <w:rsid w:val="0A8729A8"/>
    <w:rsid w:val="0AAB0902"/>
    <w:rsid w:val="0ABC03F5"/>
    <w:rsid w:val="0AE4227C"/>
    <w:rsid w:val="0AE77A0C"/>
    <w:rsid w:val="0AE81B19"/>
    <w:rsid w:val="0AFB755B"/>
    <w:rsid w:val="0B046039"/>
    <w:rsid w:val="0B2A329F"/>
    <w:rsid w:val="0B3543DB"/>
    <w:rsid w:val="0B821434"/>
    <w:rsid w:val="0BC40744"/>
    <w:rsid w:val="0BDC1CE9"/>
    <w:rsid w:val="0BF55601"/>
    <w:rsid w:val="0C0B7609"/>
    <w:rsid w:val="0C1A3D59"/>
    <w:rsid w:val="0C257B40"/>
    <w:rsid w:val="0C2C064B"/>
    <w:rsid w:val="0C316C9B"/>
    <w:rsid w:val="0C3E34A5"/>
    <w:rsid w:val="0C546315"/>
    <w:rsid w:val="0C812DED"/>
    <w:rsid w:val="0C950BA6"/>
    <w:rsid w:val="0CA92997"/>
    <w:rsid w:val="0CAF695A"/>
    <w:rsid w:val="0CB12611"/>
    <w:rsid w:val="0CEF2175"/>
    <w:rsid w:val="0D124D83"/>
    <w:rsid w:val="0D165FB3"/>
    <w:rsid w:val="0D203DB4"/>
    <w:rsid w:val="0D2E24AB"/>
    <w:rsid w:val="0D422A1C"/>
    <w:rsid w:val="0D434BB0"/>
    <w:rsid w:val="0D4E642E"/>
    <w:rsid w:val="0D5E0266"/>
    <w:rsid w:val="0D5E1D12"/>
    <w:rsid w:val="0D6061DE"/>
    <w:rsid w:val="0D683C20"/>
    <w:rsid w:val="0D8C68E2"/>
    <w:rsid w:val="0D972989"/>
    <w:rsid w:val="0D9943EA"/>
    <w:rsid w:val="0DA255F0"/>
    <w:rsid w:val="0DB545D2"/>
    <w:rsid w:val="0DC7118E"/>
    <w:rsid w:val="0DE56FE8"/>
    <w:rsid w:val="0DED34C2"/>
    <w:rsid w:val="0DF47AE0"/>
    <w:rsid w:val="0E154577"/>
    <w:rsid w:val="0E1A3B33"/>
    <w:rsid w:val="0E1E3AB1"/>
    <w:rsid w:val="0E331822"/>
    <w:rsid w:val="0E5B7068"/>
    <w:rsid w:val="0E671431"/>
    <w:rsid w:val="0E710B71"/>
    <w:rsid w:val="0E8D55BC"/>
    <w:rsid w:val="0EB72DE1"/>
    <w:rsid w:val="0EC51CF1"/>
    <w:rsid w:val="0ED6340D"/>
    <w:rsid w:val="0ED87CF3"/>
    <w:rsid w:val="0EF04DE5"/>
    <w:rsid w:val="0EF32D02"/>
    <w:rsid w:val="0EFF43BA"/>
    <w:rsid w:val="0F092CD6"/>
    <w:rsid w:val="0F143963"/>
    <w:rsid w:val="0F215BF5"/>
    <w:rsid w:val="0F4425B0"/>
    <w:rsid w:val="0F5B6AB1"/>
    <w:rsid w:val="0F777651"/>
    <w:rsid w:val="0FA37114"/>
    <w:rsid w:val="100C34AE"/>
    <w:rsid w:val="100D5F57"/>
    <w:rsid w:val="101F3682"/>
    <w:rsid w:val="10447750"/>
    <w:rsid w:val="10454916"/>
    <w:rsid w:val="10672A16"/>
    <w:rsid w:val="107F13A6"/>
    <w:rsid w:val="10A76C07"/>
    <w:rsid w:val="10B4070D"/>
    <w:rsid w:val="10C20616"/>
    <w:rsid w:val="10E832B4"/>
    <w:rsid w:val="111369C6"/>
    <w:rsid w:val="111934E7"/>
    <w:rsid w:val="112172C2"/>
    <w:rsid w:val="114D7618"/>
    <w:rsid w:val="116F6BC1"/>
    <w:rsid w:val="11983D3E"/>
    <w:rsid w:val="11AB78C4"/>
    <w:rsid w:val="11AE39F8"/>
    <w:rsid w:val="11C53F61"/>
    <w:rsid w:val="11CB0A76"/>
    <w:rsid w:val="11D34725"/>
    <w:rsid w:val="11E96A5D"/>
    <w:rsid w:val="11F042B9"/>
    <w:rsid w:val="11F8380E"/>
    <w:rsid w:val="11FC5DEC"/>
    <w:rsid w:val="121767DB"/>
    <w:rsid w:val="12445E42"/>
    <w:rsid w:val="12465C21"/>
    <w:rsid w:val="12550B18"/>
    <w:rsid w:val="12663BE0"/>
    <w:rsid w:val="12735753"/>
    <w:rsid w:val="12736398"/>
    <w:rsid w:val="12BF6976"/>
    <w:rsid w:val="12CA084D"/>
    <w:rsid w:val="12DE6746"/>
    <w:rsid w:val="130E11A0"/>
    <w:rsid w:val="133D6799"/>
    <w:rsid w:val="136007E7"/>
    <w:rsid w:val="136E327B"/>
    <w:rsid w:val="13A07738"/>
    <w:rsid w:val="13AB36C5"/>
    <w:rsid w:val="13B43589"/>
    <w:rsid w:val="13BA3DEE"/>
    <w:rsid w:val="13BB0808"/>
    <w:rsid w:val="13BC175F"/>
    <w:rsid w:val="14060571"/>
    <w:rsid w:val="14206107"/>
    <w:rsid w:val="1426082A"/>
    <w:rsid w:val="145A5FD6"/>
    <w:rsid w:val="14B856A7"/>
    <w:rsid w:val="14DE0C0F"/>
    <w:rsid w:val="14E22466"/>
    <w:rsid w:val="14EE1A04"/>
    <w:rsid w:val="14F134BB"/>
    <w:rsid w:val="15367333"/>
    <w:rsid w:val="1537321C"/>
    <w:rsid w:val="154304FD"/>
    <w:rsid w:val="154923E9"/>
    <w:rsid w:val="156952E9"/>
    <w:rsid w:val="157D32D4"/>
    <w:rsid w:val="15924B9F"/>
    <w:rsid w:val="15957D8F"/>
    <w:rsid w:val="15BD5E7C"/>
    <w:rsid w:val="15DA10CC"/>
    <w:rsid w:val="15DD00D1"/>
    <w:rsid w:val="15DE37A1"/>
    <w:rsid w:val="15E33004"/>
    <w:rsid w:val="1606775E"/>
    <w:rsid w:val="16462E87"/>
    <w:rsid w:val="166C0B9E"/>
    <w:rsid w:val="169F561C"/>
    <w:rsid w:val="16A90C06"/>
    <w:rsid w:val="16B86BB9"/>
    <w:rsid w:val="16BC04A0"/>
    <w:rsid w:val="16C365AB"/>
    <w:rsid w:val="16C8192A"/>
    <w:rsid w:val="171A332F"/>
    <w:rsid w:val="17251EAC"/>
    <w:rsid w:val="172F5A62"/>
    <w:rsid w:val="17342109"/>
    <w:rsid w:val="174602F3"/>
    <w:rsid w:val="174B3433"/>
    <w:rsid w:val="175201A4"/>
    <w:rsid w:val="17581F6D"/>
    <w:rsid w:val="177A1481"/>
    <w:rsid w:val="17844E8E"/>
    <w:rsid w:val="179914B3"/>
    <w:rsid w:val="17A116AE"/>
    <w:rsid w:val="17D252F9"/>
    <w:rsid w:val="17EF5266"/>
    <w:rsid w:val="18071B33"/>
    <w:rsid w:val="180B71E5"/>
    <w:rsid w:val="180C6C8C"/>
    <w:rsid w:val="180E5A00"/>
    <w:rsid w:val="181B2BBC"/>
    <w:rsid w:val="183F3519"/>
    <w:rsid w:val="1841459E"/>
    <w:rsid w:val="184A01D4"/>
    <w:rsid w:val="18573C5A"/>
    <w:rsid w:val="185B02EA"/>
    <w:rsid w:val="18692D3C"/>
    <w:rsid w:val="186F7BC5"/>
    <w:rsid w:val="187351E3"/>
    <w:rsid w:val="188C47E4"/>
    <w:rsid w:val="188E4423"/>
    <w:rsid w:val="189039E8"/>
    <w:rsid w:val="1895034B"/>
    <w:rsid w:val="18B157FE"/>
    <w:rsid w:val="18F00E70"/>
    <w:rsid w:val="19023502"/>
    <w:rsid w:val="19055AD8"/>
    <w:rsid w:val="19104A6E"/>
    <w:rsid w:val="19450804"/>
    <w:rsid w:val="194818B4"/>
    <w:rsid w:val="195C2DAE"/>
    <w:rsid w:val="19601CA0"/>
    <w:rsid w:val="196846B9"/>
    <w:rsid w:val="19704D28"/>
    <w:rsid w:val="1979599D"/>
    <w:rsid w:val="19855AE2"/>
    <w:rsid w:val="19A65C35"/>
    <w:rsid w:val="19A86CE9"/>
    <w:rsid w:val="19AD1CFF"/>
    <w:rsid w:val="19AF3CC9"/>
    <w:rsid w:val="19C32321"/>
    <w:rsid w:val="19C34467"/>
    <w:rsid w:val="19C72EE6"/>
    <w:rsid w:val="19D55685"/>
    <w:rsid w:val="19D63097"/>
    <w:rsid w:val="1A0645A3"/>
    <w:rsid w:val="1A0D2A4A"/>
    <w:rsid w:val="1A2B74EA"/>
    <w:rsid w:val="1A2F6045"/>
    <w:rsid w:val="1A400204"/>
    <w:rsid w:val="1A685EB8"/>
    <w:rsid w:val="1A817DEA"/>
    <w:rsid w:val="1A977783"/>
    <w:rsid w:val="1A994D33"/>
    <w:rsid w:val="1AA36974"/>
    <w:rsid w:val="1ABE7DC8"/>
    <w:rsid w:val="1AC13CB4"/>
    <w:rsid w:val="1AC356AE"/>
    <w:rsid w:val="1AD35B55"/>
    <w:rsid w:val="1ADC4976"/>
    <w:rsid w:val="1AFA5418"/>
    <w:rsid w:val="1AFD117C"/>
    <w:rsid w:val="1B1A5FC1"/>
    <w:rsid w:val="1B571741"/>
    <w:rsid w:val="1B6F33E5"/>
    <w:rsid w:val="1B7F2276"/>
    <w:rsid w:val="1B8061E5"/>
    <w:rsid w:val="1B871004"/>
    <w:rsid w:val="1B963FA6"/>
    <w:rsid w:val="1B9B5BFE"/>
    <w:rsid w:val="1BA94E24"/>
    <w:rsid w:val="1BB362E2"/>
    <w:rsid w:val="1BC162E8"/>
    <w:rsid w:val="1BD83779"/>
    <w:rsid w:val="1BE8457E"/>
    <w:rsid w:val="1C000FBC"/>
    <w:rsid w:val="1C010D1D"/>
    <w:rsid w:val="1C097C83"/>
    <w:rsid w:val="1C0A3439"/>
    <w:rsid w:val="1C154BFE"/>
    <w:rsid w:val="1C282F6F"/>
    <w:rsid w:val="1C3B4A23"/>
    <w:rsid w:val="1C57773B"/>
    <w:rsid w:val="1C6F7463"/>
    <w:rsid w:val="1C762B3D"/>
    <w:rsid w:val="1C8D776B"/>
    <w:rsid w:val="1CA0383F"/>
    <w:rsid w:val="1CCC1EBA"/>
    <w:rsid w:val="1CF75B24"/>
    <w:rsid w:val="1D1D4E2E"/>
    <w:rsid w:val="1D3369BF"/>
    <w:rsid w:val="1D52669D"/>
    <w:rsid w:val="1D5E4918"/>
    <w:rsid w:val="1D8645B5"/>
    <w:rsid w:val="1DE103FA"/>
    <w:rsid w:val="1DE72F8B"/>
    <w:rsid w:val="1DF41671"/>
    <w:rsid w:val="1E2E6377"/>
    <w:rsid w:val="1E3104EB"/>
    <w:rsid w:val="1E544E3F"/>
    <w:rsid w:val="1E6D128D"/>
    <w:rsid w:val="1E722C69"/>
    <w:rsid w:val="1E884867"/>
    <w:rsid w:val="1E9B0B5A"/>
    <w:rsid w:val="1EA63440"/>
    <w:rsid w:val="1EB072B1"/>
    <w:rsid w:val="1EB50BBD"/>
    <w:rsid w:val="1EC06BEC"/>
    <w:rsid w:val="1EC951EC"/>
    <w:rsid w:val="1F5F2F92"/>
    <w:rsid w:val="1F677541"/>
    <w:rsid w:val="1F6F5384"/>
    <w:rsid w:val="1F7761D9"/>
    <w:rsid w:val="1F980D5B"/>
    <w:rsid w:val="1F9853B4"/>
    <w:rsid w:val="1FAA1EEE"/>
    <w:rsid w:val="1FB20C2C"/>
    <w:rsid w:val="1FCD35E0"/>
    <w:rsid w:val="1FD02EE8"/>
    <w:rsid w:val="1FD2597E"/>
    <w:rsid w:val="1FF20FA0"/>
    <w:rsid w:val="1FFF6B0A"/>
    <w:rsid w:val="2004034F"/>
    <w:rsid w:val="200B13E8"/>
    <w:rsid w:val="201E1EB2"/>
    <w:rsid w:val="2030186F"/>
    <w:rsid w:val="203F0AAD"/>
    <w:rsid w:val="20432DCD"/>
    <w:rsid w:val="2044159C"/>
    <w:rsid w:val="20492558"/>
    <w:rsid w:val="205E38F0"/>
    <w:rsid w:val="206724C7"/>
    <w:rsid w:val="2075089D"/>
    <w:rsid w:val="20860302"/>
    <w:rsid w:val="20A20580"/>
    <w:rsid w:val="20AA0500"/>
    <w:rsid w:val="20E86F89"/>
    <w:rsid w:val="210920EF"/>
    <w:rsid w:val="21392153"/>
    <w:rsid w:val="213D3995"/>
    <w:rsid w:val="213E63DA"/>
    <w:rsid w:val="21514B5B"/>
    <w:rsid w:val="21627C9F"/>
    <w:rsid w:val="217F7026"/>
    <w:rsid w:val="21992531"/>
    <w:rsid w:val="21BD7A67"/>
    <w:rsid w:val="21D132BC"/>
    <w:rsid w:val="21F0010E"/>
    <w:rsid w:val="22030BB6"/>
    <w:rsid w:val="2253337B"/>
    <w:rsid w:val="22753104"/>
    <w:rsid w:val="22772BB7"/>
    <w:rsid w:val="22A50CDA"/>
    <w:rsid w:val="22A5210D"/>
    <w:rsid w:val="22AF0896"/>
    <w:rsid w:val="22B2216B"/>
    <w:rsid w:val="22C54964"/>
    <w:rsid w:val="22F14B5A"/>
    <w:rsid w:val="22F310EC"/>
    <w:rsid w:val="230B3186"/>
    <w:rsid w:val="232A7F55"/>
    <w:rsid w:val="2363312E"/>
    <w:rsid w:val="23704814"/>
    <w:rsid w:val="237B4F4F"/>
    <w:rsid w:val="237F3F46"/>
    <w:rsid w:val="23925515"/>
    <w:rsid w:val="23A835D3"/>
    <w:rsid w:val="23C95987"/>
    <w:rsid w:val="23CE11F0"/>
    <w:rsid w:val="23DF4103"/>
    <w:rsid w:val="23F23130"/>
    <w:rsid w:val="24055FBC"/>
    <w:rsid w:val="241271DB"/>
    <w:rsid w:val="242F013F"/>
    <w:rsid w:val="24381601"/>
    <w:rsid w:val="244D5D3A"/>
    <w:rsid w:val="246B0877"/>
    <w:rsid w:val="247A210A"/>
    <w:rsid w:val="24944FF6"/>
    <w:rsid w:val="2498033F"/>
    <w:rsid w:val="249C22E1"/>
    <w:rsid w:val="250F054B"/>
    <w:rsid w:val="251E464F"/>
    <w:rsid w:val="25221B36"/>
    <w:rsid w:val="252E0198"/>
    <w:rsid w:val="25493364"/>
    <w:rsid w:val="255C378E"/>
    <w:rsid w:val="258A22CD"/>
    <w:rsid w:val="258C2F14"/>
    <w:rsid w:val="259C58FE"/>
    <w:rsid w:val="25B862D0"/>
    <w:rsid w:val="25CB3A81"/>
    <w:rsid w:val="25E9141D"/>
    <w:rsid w:val="262C5C6D"/>
    <w:rsid w:val="266F480A"/>
    <w:rsid w:val="267D1FC5"/>
    <w:rsid w:val="26805560"/>
    <w:rsid w:val="26A71D59"/>
    <w:rsid w:val="26C14A80"/>
    <w:rsid w:val="26CA79B1"/>
    <w:rsid w:val="26E36DA9"/>
    <w:rsid w:val="26F53542"/>
    <w:rsid w:val="270D444F"/>
    <w:rsid w:val="271916C3"/>
    <w:rsid w:val="273A24AE"/>
    <w:rsid w:val="27400656"/>
    <w:rsid w:val="27456DDA"/>
    <w:rsid w:val="274704F7"/>
    <w:rsid w:val="27506187"/>
    <w:rsid w:val="27591CFC"/>
    <w:rsid w:val="276F63C2"/>
    <w:rsid w:val="27703BAC"/>
    <w:rsid w:val="27816204"/>
    <w:rsid w:val="278909E9"/>
    <w:rsid w:val="278D77E9"/>
    <w:rsid w:val="27900E5F"/>
    <w:rsid w:val="27B039C8"/>
    <w:rsid w:val="27CB356E"/>
    <w:rsid w:val="27DB14E9"/>
    <w:rsid w:val="27E63708"/>
    <w:rsid w:val="27F95DF6"/>
    <w:rsid w:val="27FC68FC"/>
    <w:rsid w:val="28015AEC"/>
    <w:rsid w:val="280B7F29"/>
    <w:rsid w:val="281F6326"/>
    <w:rsid w:val="28242737"/>
    <w:rsid w:val="28531512"/>
    <w:rsid w:val="286F6445"/>
    <w:rsid w:val="2880029E"/>
    <w:rsid w:val="28872154"/>
    <w:rsid w:val="28955055"/>
    <w:rsid w:val="28AB3FBB"/>
    <w:rsid w:val="28AD4E25"/>
    <w:rsid w:val="28B214EF"/>
    <w:rsid w:val="28EC2844"/>
    <w:rsid w:val="28F8088B"/>
    <w:rsid w:val="290D4165"/>
    <w:rsid w:val="291E414A"/>
    <w:rsid w:val="292661E0"/>
    <w:rsid w:val="29326F94"/>
    <w:rsid w:val="2939014D"/>
    <w:rsid w:val="293A5C24"/>
    <w:rsid w:val="29496672"/>
    <w:rsid w:val="299710B2"/>
    <w:rsid w:val="29C03002"/>
    <w:rsid w:val="29C341ED"/>
    <w:rsid w:val="29D17C06"/>
    <w:rsid w:val="29D3340F"/>
    <w:rsid w:val="29E13C7C"/>
    <w:rsid w:val="29E26806"/>
    <w:rsid w:val="29F4710C"/>
    <w:rsid w:val="29FF0B07"/>
    <w:rsid w:val="2A0E00CA"/>
    <w:rsid w:val="2A2D064F"/>
    <w:rsid w:val="2A3B6720"/>
    <w:rsid w:val="2A4B3C6C"/>
    <w:rsid w:val="2A630D17"/>
    <w:rsid w:val="2A791B21"/>
    <w:rsid w:val="2A87357D"/>
    <w:rsid w:val="2A996A64"/>
    <w:rsid w:val="2AA5169E"/>
    <w:rsid w:val="2AA53D30"/>
    <w:rsid w:val="2AED38FF"/>
    <w:rsid w:val="2AF13218"/>
    <w:rsid w:val="2B2158D3"/>
    <w:rsid w:val="2B273342"/>
    <w:rsid w:val="2B5934AE"/>
    <w:rsid w:val="2B7A5423"/>
    <w:rsid w:val="2B853CF9"/>
    <w:rsid w:val="2B914B5D"/>
    <w:rsid w:val="2BA9469B"/>
    <w:rsid w:val="2BE05F64"/>
    <w:rsid w:val="2BE529C4"/>
    <w:rsid w:val="2BF544D2"/>
    <w:rsid w:val="2C255A4C"/>
    <w:rsid w:val="2C3D1CE0"/>
    <w:rsid w:val="2C7B298A"/>
    <w:rsid w:val="2C9E0649"/>
    <w:rsid w:val="2CA54B1C"/>
    <w:rsid w:val="2CC31B0E"/>
    <w:rsid w:val="2CD17CCF"/>
    <w:rsid w:val="2D031489"/>
    <w:rsid w:val="2D1C517B"/>
    <w:rsid w:val="2D2824B2"/>
    <w:rsid w:val="2D355A17"/>
    <w:rsid w:val="2D4C5977"/>
    <w:rsid w:val="2D6138B7"/>
    <w:rsid w:val="2D666BF9"/>
    <w:rsid w:val="2D763884"/>
    <w:rsid w:val="2D833B32"/>
    <w:rsid w:val="2D896548"/>
    <w:rsid w:val="2D903C3D"/>
    <w:rsid w:val="2D917EAF"/>
    <w:rsid w:val="2D94331D"/>
    <w:rsid w:val="2DA13A86"/>
    <w:rsid w:val="2DB0030F"/>
    <w:rsid w:val="2DBF70E8"/>
    <w:rsid w:val="2DCA0BF2"/>
    <w:rsid w:val="2DD14BA3"/>
    <w:rsid w:val="2E002321"/>
    <w:rsid w:val="2E1C647D"/>
    <w:rsid w:val="2E325CD0"/>
    <w:rsid w:val="2E3C37AA"/>
    <w:rsid w:val="2E3F37FA"/>
    <w:rsid w:val="2E414B35"/>
    <w:rsid w:val="2E580F8F"/>
    <w:rsid w:val="2E5E0768"/>
    <w:rsid w:val="2E675101"/>
    <w:rsid w:val="2E7A5712"/>
    <w:rsid w:val="2E8639C6"/>
    <w:rsid w:val="2EB14DB5"/>
    <w:rsid w:val="2EB81807"/>
    <w:rsid w:val="2EC47A74"/>
    <w:rsid w:val="2ECD17AD"/>
    <w:rsid w:val="2ED9015F"/>
    <w:rsid w:val="2EDB7001"/>
    <w:rsid w:val="2F5E5535"/>
    <w:rsid w:val="2F650E51"/>
    <w:rsid w:val="2F7F38EF"/>
    <w:rsid w:val="2FC66A80"/>
    <w:rsid w:val="2FDC0D67"/>
    <w:rsid w:val="2FDD7AA8"/>
    <w:rsid w:val="2FDF05E9"/>
    <w:rsid w:val="300E54BC"/>
    <w:rsid w:val="302A451F"/>
    <w:rsid w:val="302E0A39"/>
    <w:rsid w:val="30407780"/>
    <w:rsid w:val="305A76AB"/>
    <w:rsid w:val="30841252"/>
    <w:rsid w:val="30AE5D9B"/>
    <w:rsid w:val="30BD5A46"/>
    <w:rsid w:val="30C670C4"/>
    <w:rsid w:val="30CA166B"/>
    <w:rsid w:val="30E87423"/>
    <w:rsid w:val="30ED1101"/>
    <w:rsid w:val="30ED7421"/>
    <w:rsid w:val="30F72E6E"/>
    <w:rsid w:val="30F857B9"/>
    <w:rsid w:val="31170894"/>
    <w:rsid w:val="313A36E5"/>
    <w:rsid w:val="314F6742"/>
    <w:rsid w:val="315C7F7F"/>
    <w:rsid w:val="31754FD5"/>
    <w:rsid w:val="31785A4E"/>
    <w:rsid w:val="31CF2D29"/>
    <w:rsid w:val="31E82675"/>
    <w:rsid w:val="31FE41EC"/>
    <w:rsid w:val="321E6DA8"/>
    <w:rsid w:val="32287A9E"/>
    <w:rsid w:val="322D059F"/>
    <w:rsid w:val="325869D8"/>
    <w:rsid w:val="326D7BCF"/>
    <w:rsid w:val="327A6BD0"/>
    <w:rsid w:val="32832ED6"/>
    <w:rsid w:val="32AC1117"/>
    <w:rsid w:val="32C31B6B"/>
    <w:rsid w:val="32D45531"/>
    <w:rsid w:val="32D96982"/>
    <w:rsid w:val="32F2769B"/>
    <w:rsid w:val="33050AAD"/>
    <w:rsid w:val="33116608"/>
    <w:rsid w:val="332C3F79"/>
    <w:rsid w:val="33392236"/>
    <w:rsid w:val="334530F3"/>
    <w:rsid w:val="336E02D4"/>
    <w:rsid w:val="33861D25"/>
    <w:rsid w:val="33C31966"/>
    <w:rsid w:val="33C96CCF"/>
    <w:rsid w:val="33CE606B"/>
    <w:rsid w:val="33D1513C"/>
    <w:rsid w:val="33E97899"/>
    <w:rsid w:val="33F30E32"/>
    <w:rsid w:val="33F85143"/>
    <w:rsid w:val="34004CF5"/>
    <w:rsid w:val="340505DC"/>
    <w:rsid w:val="342041F4"/>
    <w:rsid w:val="34270AC1"/>
    <w:rsid w:val="342927FC"/>
    <w:rsid w:val="34562F70"/>
    <w:rsid w:val="347E3539"/>
    <w:rsid w:val="34830369"/>
    <w:rsid w:val="34DA4E53"/>
    <w:rsid w:val="350D407B"/>
    <w:rsid w:val="354503F4"/>
    <w:rsid w:val="35497E3D"/>
    <w:rsid w:val="35841377"/>
    <w:rsid w:val="358F1EC3"/>
    <w:rsid w:val="359A09ED"/>
    <w:rsid w:val="359A694D"/>
    <w:rsid w:val="35AA1BCA"/>
    <w:rsid w:val="35B33563"/>
    <w:rsid w:val="35BC4AB2"/>
    <w:rsid w:val="35D31094"/>
    <w:rsid w:val="35E936E6"/>
    <w:rsid w:val="35EB0A3D"/>
    <w:rsid w:val="35FA1982"/>
    <w:rsid w:val="35FE2F69"/>
    <w:rsid w:val="360C3486"/>
    <w:rsid w:val="36197AB6"/>
    <w:rsid w:val="363C4806"/>
    <w:rsid w:val="36441F53"/>
    <w:rsid w:val="364C0351"/>
    <w:rsid w:val="367E53BD"/>
    <w:rsid w:val="368559A2"/>
    <w:rsid w:val="36995CF0"/>
    <w:rsid w:val="36B15DF4"/>
    <w:rsid w:val="36C070E9"/>
    <w:rsid w:val="36D121F1"/>
    <w:rsid w:val="37383C9E"/>
    <w:rsid w:val="37561C60"/>
    <w:rsid w:val="375A58F9"/>
    <w:rsid w:val="376D0505"/>
    <w:rsid w:val="376D4567"/>
    <w:rsid w:val="377759CE"/>
    <w:rsid w:val="377C4C78"/>
    <w:rsid w:val="37965470"/>
    <w:rsid w:val="37A058ED"/>
    <w:rsid w:val="37B07E7F"/>
    <w:rsid w:val="37C472DC"/>
    <w:rsid w:val="37E17558"/>
    <w:rsid w:val="37F609F5"/>
    <w:rsid w:val="38142EE2"/>
    <w:rsid w:val="382D35E2"/>
    <w:rsid w:val="38341B11"/>
    <w:rsid w:val="387F6F98"/>
    <w:rsid w:val="38884D0A"/>
    <w:rsid w:val="388C0C80"/>
    <w:rsid w:val="389D260B"/>
    <w:rsid w:val="38AC2166"/>
    <w:rsid w:val="38AC2771"/>
    <w:rsid w:val="38B31CD2"/>
    <w:rsid w:val="38E55FE1"/>
    <w:rsid w:val="38EE54CC"/>
    <w:rsid w:val="391477F6"/>
    <w:rsid w:val="39194863"/>
    <w:rsid w:val="3937628D"/>
    <w:rsid w:val="3952776E"/>
    <w:rsid w:val="397054D7"/>
    <w:rsid w:val="397131B7"/>
    <w:rsid w:val="39D178FD"/>
    <w:rsid w:val="39D20836"/>
    <w:rsid w:val="39E273E9"/>
    <w:rsid w:val="39E55C79"/>
    <w:rsid w:val="3A0E4A66"/>
    <w:rsid w:val="3A0F5041"/>
    <w:rsid w:val="3A33340F"/>
    <w:rsid w:val="3A49697E"/>
    <w:rsid w:val="3A57248F"/>
    <w:rsid w:val="3A5930B4"/>
    <w:rsid w:val="3AAA1FCB"/>
    <w:rsid w:val="3AB6601A"/>
    <w:rsid w:val="3AC22C8F"/>
    <w:rsid w:val="3B2F0486"/>
    <w:rsid w:val="3B37434F"/>
    <w:rsid w:val="3B401F9F"/>
    <w:rsid w:val="3B406A13"/>
    <w:rsid w:val="3B596F6F"/>
    <w:rsid w:val="3B703203"/>
    <w:rsid w:val="3B754CFB"/>
    <w:rsid w:val="3B91770A"/>
    <w:rsid w:val="3B951E85"/>
    <w:rsid w:val="3B967E52"/>
    <w:rsid w:val="3BB56FEB"/>
    <w:rsid w:val="3BD76595"/>
    <w:rsid w:val="3BE3602E"/>
    <w:rsid w:val="3BE72E68"/>
    <w:rsid w:val="3C1C1508"/>
    <w:rsid w:val="3C266A0E"/>
    <w:rsid w:val="3C335360"/>
    <w:rsid w:val="3C357C06"/>
    <w:rsid w:val="3C404ADE"/>
    <w:rsid w:val="3C4D6189"/>
    <w:rsid w:val="3C85139E"/>
    <w:rsid w:val="3CA55694"/>
    <w:rsid w:val="3CB30A45"/>
    <w:rsid w:val="3CC84549"/>
    <w:rsid w:val="3CD836A5"/>
    <w:rsid w:val="3D2321D5"/>
    <w:rsid w:val="3D631D18"/>
    <w:rsid w:val="3D931C08"/>
    <w:rsid w:val="3D9B0FF3"/>
    <w:rsid w:val="3D9E12A1"/>
    <w:rsid w:val="3DAE3337"/>
    <w:rsid w:val="3DB836BF"/>
    <w:rsid w:val="3DBF54D1"/>
    <w:rsid w:val="3DD0070F"/>
    <w:rsid w:val="3DD0314B"/>
    <w:rsid w:val="3DD24540"/>
    <w:rsid w:val="3DFA21F0"/>
    <w:rsid w:val="3DFF6D97"/>
    <w:rsid w:val="3E0A6273"/>
    <w:rsid w:val="3E1A7695"/>
    <w:rsid w:val="3E4C2268"/>
    <w:rsid w:val="3E4D6BDB"/>
    <w:rsid w:val="3E5D2E08"/>
    <w:rsid w:val="3E65120B"/>
    <w:rsid w:val="3E6825AB"/>
    <w:rsid w:val="3E8F45ED"/>
    <w:rsid w:val="3E983B91"/>
    <w:rsid w:val="3E990BCE"/>
    <w:rsid w:val="3EA74100"/>
    <w:rsid w:val="3ED71CC0"/>
    <w:rsid w:val="3EE54372"/>
    <w:rsid w:val="3F0C16B6"/>
    <w:rsid w:val="3F396430"/>
    <w:rsid w:val="3F3D51AB"/>
    <w:rsid w:val="3F46049A"/>
    <w:rsid w:val="3F483449"/>
    <w:rsid w:val="3F4C559B"/>
    <w:rsid w:val="3F80503B"/>
    <w:rsid w:val="3F9738B9"/>
    <w:rsid w:val="3FA91189"/>
    <w:rsid w:val="3FD40286"/>
    <w:rsid w:val="3FD85B95"/>
    <w:rsid w:val="3FE1730C"/>
    <w:rsid w:val="3FF6064C"/>
    <w:rsid w:val="40006203"/>
    <w:rsid w:val="401A0A3D"/>
    <w:rsid w:val="402E0D38"/>
    <w:rsid w:val="404439DB"/>
    <w:rsid w:val="40457334"/>
    <w:rsid w:val="404A1C06"/>
    <w:rsid w:val="405E6311"/>
    <w:rsid w:val="40805696"/>
    <w:rsid w:val="40945BD7"/>
    <w:rsid w:val="40B77577"/>
    <w:rsid w:val="40C07E55"/>
    <w:rsid w:val="410406EE"/>
    <w:rsid w:val="411A2CA9"/>
    <w:rsid w:val="411A38B2"/>
    <w:rsid w:val="411C1CDD"/>
    <w:rsid w:val="412A58ED"/>
    <w:rsid w:val="41437710"/>
    <w:rsid w:val="4159217C"/>
    <w:rsid w:val="418A2F70"/>
    <w:rsid w:val="419101F1"/>
    <w:rsid w:val="41963683"/>
    <w:rsid w:val="41A60B03"/>
    <w:rsid w:val="41B15792"/>
    <w:rsid w:val="41BD7303"/>
    <w:rsid w:val="41CF3A26"/>
    <w:rsid w:val="421D3B80"/>
    <w:rsid w:val="421E197A"/>
    <w:rsid w:val="42553004"/>
    <w:rsid w:val="42750D5C"/>
    <w:rsid w:val="428B1BDB"/>
    <w:rsid w:val="428E0BC9"/>
    <w:rsid w:val="429121FE"/>
    <w:rsid w:val="42E6012C"/>
    <w:rsid w:val="42E63401"/>
    <w:rsid w:val="42F57D48"/>
    <w:rsid w:val="430B4E03"/>
    <w:rsid w:val="4324415B"/>
    <w:rsid w:val="433B24A0"/>
    <w:rsid w:val="43485634"/>
    <w:rsid w:val="434C6777"/>
    <w:rsid w:val="43762FDE"/>
    <w:rsid w:val="438172BC"/>
    <w:rsid w:val="438D7205"/>
    <w:rsid w:val="43A31501"/>
    <w:rsid w:val="43A51A0F"/>
    <w:rsid w:val="43A63ED9"/>
    <w:rsid w:val="43CA4ED5"/>
    <w:rsid w:val="43D3039E"/>
    <w:rsid w:val="44006148"/>
    <w:rsid w:val="440F5CB7"/>
    <w:rsid w:val="4410164C"/>
    <w:rsid w:val="4421190E"/>
    <w:rsid w:val="44387A96"/>
    <w:rsid w:val="443F6059"/>
    <w:rsid w:val="4440389E"/>
    <w:rsid w:val="44404FD8"/>
    <w:rsid w:val="44467B33"/>
    <w:rsid w:val="44471594"/>
    <w:rsid w:val="44507687"/>
    <w:rsid w:val="446108C6"/>
    <w:rsid w:val="4498109B"/>
    <w:rsid w:val="44983E14"/>
    <w:rsid w:val="44D101C0"/>
    <w:rsid w:val="44D37D84"/>
    <w:rsid w:val="44E7070D"/>
    <w:rsid w:val="44E96140"/>
    <w:rsid w:val="44F3065E"/>
    <w:rsid w:val="45151EC2"/>
    <w:rsid w:val="452D6EC8"/>
    <w:rsid w:val="452E7CA8"/>
    <w:rsid w:val="454017BB"/>
    <w:rsid w:val="4554098B"/>
    <w:rsid w:val="455D6C0E"/>
    <w:rsid w:val="456237E3"/>
    <w:rsid w:val="45646473"/>
    <w:rsid w:val="45674650"/>
    <w:rsid w:val="45694E4F"/>
    <w:rsid w:val="45996092"/>
    <w:rsid w:val="45A20D7F"/>
    <w:rsid w:val="45A24CBD"/>
    <w:rsid w:val="45AF4A67"/>
    <w:rsid w:val="45B70AB6"/>
    <w:rsid w:val="45CF5588"/>
    <w:rsid w:val="45FD2A9F"/>
    <w:rsid w:val="46185997"/>
    <w:rsid w:val="46480C46"/>
    <w:rsid w:val="464E5B22"/>
    <w:rsid w:val="465719BA"/>
    <w:rsid w:val="466A2D2D"/>
    <w:rsid w:val="46995187"/>
    <w:rsid w:val="46C53057"/>
    <w:rsid w:val="46DD6135"/>
    <w:rsid w:val="470D6DF4"/>
    <w:rsid w:val="471609FC"/>
    <w:rsid w:val="473F2635"/>
    <w:rsid w:val="4753398A"/>
    <w:rsid w:val="47537F64"/>
    <w:rsid w:val="477E64CE"/>
    <w:rsid w:val="478A2625"/>
    <w:rsid w:val="47995509"/>
    <w:rsid w:val="47AD2D46"/>
    <w:rsid w:val="47BA075C"/>
    <w:rsid w:val="47BE498F"/>
    <w:rsid w:val="47DA3EE6"/>
    <w:rsid w:val="47E80D20"/>
    <w:rsid w:val="47FE205C"/>
    <w:rsid w:val="48047754"/>
    <w:rsid w:val="48064ED6"/>
    <w:rsid w:val="481B0A7B"/>
    <w:rsid w:val="48286180"/>
    <w:rsid w:val="4843730A"/>
    <w:rsid w:val="4849022C"/>
    <w:rsid w:val="484E10BE"/>
    <w:rsid w:val="485F529B"/>
    <w:rsid w:val="48662799"/>
    <w:rsid w:val="48897354"/>
    <w:rsid w:val="48945E7F"/>
    <w:rsid w:val="489770C9"/>
    <w:rsid w:val="489D09AA"/>
    <w:rsid w:val="48CB623B"/>
    <w:rsid w:val="48DB747C"/>
    <w:rsid w:val="490D0375"/>
    <w:rsid w:val="490F4371"/>
    <w:rsid w:val="4953099D"/>
    <w:rsid w:val="495D254A"/>
    <w:rsid w:val="495D5A00"/>
    <w:rsid w:val="49656C49"/>
    <w:rsid w:val="4989236D"/>
    <w:rsid w:val="49A63C31"/>
    <w:rsid w:val="49D62DD0"/>
    <w:rsid w:val="49DF7B2A"/>
    <w:rsid w:val="49ED3805"/>
    <w:rsid w:val="49F444EB"/>
    <w:rsid w:val="4A1672C9"/>
    <w:rsid w:val="4A3029FF"/>
    <w:rsid w:val="4A495F64"/>
    <w:rsid w:val="4A5F5DCB"/>
    <w:rsid w:val="4A605123"/>
    <w:rsid w:val="4A6361B0"/>
    <w:rsid w:val="4A6D5817"/>
    <w:rsid w:val="4A6D5A21"/>
    <w:rsid w:val="4A764CF9"/>
    <w:rsid w:val="4A780E6E"/>
    <w:rsid w:val="4A7D61F3"/>
    <w:rsid w:val="4A9C4AA6"/>
    <w:rsid w:val="4A9F3116"/>
    <w:rsid w:val="4ABF7A37"/>
    <w:rsid w:val="4AC13BA7"/>
    <w:rsid w:val="4AD43CC2"/>
    <w:rsid w:val="4B03568E"/>
    <w:rsid w:val="4B073250"/>
    <w:rsid w:val="4B157281"/>
    <w:rsid w:val="4B1B4D9A"/>
    <w:rsid w:val="4B2242EF"/>
    <w:rsid w:val="4B43338C"/>
    <w:rsid w:val="4B596AA2"/>
    <w:rsid w:val="4B5C4C55"/>
    <w:rsid w:val="4B6865B5"/>
    <w:rsid w:val="4B741C92"/>
    <w:rsid w:val="4B8455EB"/>
    <w:rsid w:val="4B845D24"/>
    <w:rsid w:val="4BA2361E"/>
    <w:rsid w:val="4BB960AE"/>
    <w:rsid w:val="4BBA1147"/>
    <w:rsid w:val="4BD05255"/>
    <w:rsid w:val="4BE36B62"/>
    <w:rsid w:val="4C037012"/>
    <w:rsid w:val="4C2C12C3"/>
    <w:rsid w:val="4C3008D0"/>
    <w:rsid w:val="4C3679C6"/>
    <w:rsid w:val="4C390B55"/>
    <w:rsid w:val="4C5C5F9D"/>
    <w:rsid w:val="4C7A5603"/>
    <w:rsid w:val="4C8111CA"/>
    <w:rsid w:val="4C8220ED"/>
    <w:rsid w:val="4C961F41"/>
    <w:rsid w:val="4C9E3B27"/>
    <w:rsid w:val="4CA334F9"/>
    <w:rsid w:val="4CAB4709"/>
    <w:rsid w:val="4CD951A0"/>
    <w:rsid w:val="4CE524B9"/>
    <w:rsid w:val="4CE61651"/>
    <w:rsid w:val="4CF2752F"/>
    <w:rsid w:val="4CFC33CA"/>
    <w:rsid w:val="4D271487"/>
    <w:rsid w:val="4D2A7EDF"/>
    <w:rsid w:val="4D2E3A04"/>
    <w:rsid w:val="4D3B65C7"/>
    <w:rsid w:val="4D890E9D"/>
    <w:rsid w:val="4D8F7DD5"/>
    <w:rsid w:val="4D901638"/>
    <w:rsid w:val="4D9F6363"/>
    <w:rsid w:val="4DB87F22"/>
    <w:rsid w:val="4DC459B3"/>
    <w:rsid w:val="4DD80CDF"/>
    <w:rsid w:val="4DDF6B8F"/>
    <w:rsid w:val="4DF60FB8"/>
    <w:rsid w:val="4DF75681"/>
    <w:rsid w:val="4DFA0703"/>
    <w:rsid w:val="4E330228"/>
    <w:rsid w:val="4E340B4C"/>
    <w:rsid w:val="4E67354A"/>
    <w:rsid w:val="4E73266B"/>
    <w:rsid w:val="4EA847B3"/>
    <w:rsid w:val="4ED15497"/>
    <w:rsid w:val="4ED4741A"/>
    <w:rsid w:val="4EEE643C"/>
    <w:rsid w:val="4EFB6A8D"/>
    <w:rsid w:val="4EFD28C2"/>
    <w:rsid w:val="4F3C0C95"/>
    <w:rsid w:val="4F7B128F"/>
    <w:rsid w:val="4F7D3F49"/>
    <w:rsid w:val="4FC4795B"/>
    <w:rsid w:val="4FD24FE2"/>
    <w:rsid w:val="4FD25C82"/>
    <w:rsid w:val="4FD6135A"/>
    <w:rsid w:val="4FF379A4"/>
    <w:rsid w:val="4FFF16B7"/>
    <w:rsid w:val="500217A5"/>
    <w:rsid w:val="503B2CD9"/>
    <w:rsid w:val="505C064C"/>
    <w:rsid w:val="50693ADF"/>
    <w:rsid w:val="506D5405"/>
    <w:rsid w:val="50950C9A"/>
    <w:rsid w:val="50AC4899"/>
    <w:rsid w:val="50E920BD"/>
    <w:rsid w:val="50EE3B03"/>
    <w:rsid w:val="50F82A75"/>
    <w:rsid w:val="51053257"/>
    <w:rsid w:val="510D68D4"/>
    <w:rsid w:val="51160897"/>
    <w:rsid w:val="5154339D"/>
    <w:rsid w:val="51634A9A"/>
    <w:rsid w:val="517073FB"/>
    <w:rsid w:val="51852DBA"/>
    <w:rsid w:val="518E3D0C"/>
    <w:rsid w:val="51906CB3"/>
    <w:rsid w:val="51A947E6"/>
    <w:rsid w:val="52003972"/>
    <w:rsid w:val="52047653"/>
    <w:rsid w:val="52384E06"/>
    <w:rsid w:val="52387C4A"/>
    <w:rsid w:val="52535BCC"/>
    <w:rsid w:val="52623D08"/>
    <w:rsid w:val="52670B1E"/>
    <w:rsid w:val="52757A71"/>
    <w:rsid w:val="527C7722"/>
    <w:rsid w:val="52863AC7"/>
    <w:rsid w:val="52BB12C1"/>
    <w:rsid w:val="52BD6A99"/>
    <w:rsid w:val="52BF212E"/>
    <w:rsid w:val="52F6155C"/>
    <w:rsid w:val="52F7756C"/>
    <w:rsid w:val="52F9655C"/>
    <w:rsid w:val="52FB2878"/>
    <w:rsid w:val="531460EC"/>
    <w:rsid w:val="5315385C"/>
    <w:rsid w:val="531600F1"/>
    <w:rsid w:val="533162A1"/>
    <w:rsid w:val="5342491C"/>
    <w:rsid w:val="538206FB"/>
    <w:rsid w:val="53B770E6"/>
    <w:rsid w:val="53B86A58"/>
    <w:rsid w:val="53C56D73"/>
    <w:rsid w:val="53CC7CB4"/>
    <w:rsid w:val="53D233D8"/>
    <w:rsid w:val="53DD44AD"/>
    <w:rsid w:val="53E002AC"/>
    <w:rsid w:val="53FF5EFB"/>
    <w:rsid w:val="54061A64"/>
    <w:rsid w:val="54217E20"/>
    <w:rsid w:val="542875FB"/>
    <w:rsid w:val="542E4B24"/>
    <w:rsid w:val="54443D9F"/>
    <w:rsid w:val="54480FB7"/>
    <w:rsid w:val="544822BD"/>
    <w:rsid w:val="54673B1F"/>
    <w:rsid w:val="54AF5270"/>
    <w:rsid w:val="54C27769"/>
    <w:rsid w:val="55157F87"/>
    <w:rsid w:val="5519173E"/>
    <w:rsid w:val="551A1F00"/>
    <w:rsid w:val="552F7917"/>
    <w:rsid w:val="5534121F"/>
    <w:rsid w:val="55390B69"/>
    <w:rsid w:val="553B71F6"/>
    <w:rsid w:val="553F1E51"/>
    <w:rsid w:val="5579725C"/>
    <w:rsid w:val="559F30F0"/>
    <w:rsid w:val="55A84BFE"/>
    <w:rsid w:val="55B45F63"/>
    <w:rsid w:val="55B90C0A"/>
    <w:rsid w:val="55D63591"/>
    <w:rsid w:val="55E97700"/>
    <w:rsid w:val="56054C48"/>
    <w:rsid w:val="560A087F"/>
    <w:rsid w:val="56122C31"/>
    <w:rsid w:val="561974BB"/>
    <w:rsid w:val="56281E78"/>
    <w:rsid w:val="562A4387"/>
    <w:rsid w:val="56332FB1"/>
    <w:rsid w:val="56334986"/>
    <w:rsid w:val="56394FFE"/>
    <w:rsid w:val="564F2FAE"/>
    <w:rsid w:val="56533581"/>
    <w:rsid w:val="56556A86"/>
    <w:rsid w:val="565A2E32"/>
    <w:rsid w:val="565D05CA"/>
    <w:rsid w:val="566118CC"/>
    <w:rsid w:val="568858B4"/>
    <w:rsid w:val="56AE6CD3"/>
    <w:rsid w:val="56CF1ADE"/>
    <w:rsid w:val="56D434CE"/>
    <w:rsid w:val="56FA2C95"/>
    <w:rsid w:val="57082B77"/>
    <w:rsid w:val="57172D90"/>
    <w:rsid w:val="57260DE0"/>
    <w:rsid w:val="57313A9F"/>
    <w:rsid w:val="57386662"/>
    <w:rsid w:val="574F03D9"/>
    <w:rsid w:val="576F699C"/>
    <w:rsid w:val="57850AAF"/>
    <w:rsid w:val="578A0950"/>
    <w:rsid w:val="57A21B1B"/>
    <w:rsid w:val="57AD6121"/>
    <w:rsid w:val="57C57C2A"/>
    <w:rsid w:val="580E584B"/>
    <w:rsid w:val="581F1A3E"/>
    <w:rsid w:val="582901C7"/>
    <w:rsid w:val="58290DC5"/>
    <w:rsid w:val="583170EE"/>
    <w:rsid w:val="58527FC8"/>
    <w:rsid w:val="58551587"/>
    <w:rsid w:val="58647470"/>
    <w:rsid w:val="58723020"/>
    <w:rsid w:val="587303D7"/>
    <w:rsid w:val="58806C98"/>
    <w:rsid w:val="58876A3B"/>
    <w:rsid w:val="58961943"/>
    <w:rsid w:val="58B45DE2"/>
    <w:rsid w:val="58CB0566"/>
    <w:rsid w:val="58D411FE"/>
    <w:rsid w:val="58E40C92"/>
    <w:rsid w:val="58FC1269"/>
    <w:rsid w:val="590E217B"/>
    <w:rsid w:val="59121580"/>
    <w:rsid w:val="59160234"/>
    <w:rsid w:val="59682F71"/>
    <w:rsid w:val="5995069F"/>
    <w:rsid w:val="59A41CA5"/>
    <w:rsid w:val="59AE485F"/>
    <w:rsid w:val="59B31149"/>
    <w:rsid w:val="59BE5D95"/>
    <w:rsid w:val="59F82FAA"/>
    <w:rsid w:val="59FA6DBB"/>
    <w:rsid w:val="5A2F034B"/>
    <w:rsid w:val="5A334CA4"/>
    <w:rsid w:val="5A3E3CD2"/>
    <w:rsid w:val="5A4C460E"/>
    <w:rsid w:val="5A4D497B"/>
    <w:rsid w:val="5A5F4F48"/>
    <w:rsid w:val="5A6E11B5"/>
    <w:rsid w:val="5A874A8D"/>
    <w:rsid w:val="5A97386D"/>
    <w:rsid w:val="5A9A2F72"/>
    <w:rsid w:val="5AB250D9"/>
    <w:rsid w:val="5ABB4FF8"/>
    <w:rsid w:val="5AD07020"/>
    <w:rsid w:val="5AD14385"/>
    <w:rsid w:val="5B2A3919"/>
    <w:rsid w:val="5B691FD4"/>
    <w:rsid w:val="5B926846"/>
    <w:rsid w:val="5BA57414"/>
    <w:rsid w:val="5BB8544A"/>
    <w:rsid w:val="5BF67A13"/>
    <w:rsid w:val="5C1C73FB"/>
    <w:rsid w:val="5C2A2C70"/>
    <w:rsid w:val="5C51394C"/>
    <w:rsid w:val="5C72662A"/>
    <w:rsid w:val="5C960E86"/>
    <w:rsid w:val="5CC122D6"/>
    <w:rsid w:val="5CC15D47"/>
    <w:rsid w:val="5CE86B44"/>
    <w:rsid w:val="5CFD25D5"/>
    <w:rsid w:val="5D033BE7"/>
    <w:rsid w:val="5D3C2E5D"/>
    <w:rsid w:val="5D604509"/>
    <w:rsid w:val="5D703211"/>
    <w:rsid w:val="5D9E1D99"/>
    <w:rsid w:val="5DC866D4"/>
    <w:rsid w:val="5DD33B7E"/>
    <w:rsid w:val="5DE03167"/>
    <w:rsid w:val="5DFC0FC1"/>
    <w:rsid w:val="5E117B3B"/>
    <w:rsid w:val="5E135FCC"/>
    <w:rsid w:val="5E3E2722"/>
    <w:rsid w:val="5E8D672F"/>
    <w:rsid w:val="5E9138DC"/>
    <w:rsid w:val="5EC461DB"/>
    <w:rsid w:val="5EC64E6D"/>
    <w:rsid w:val="5EE44A5F"/>
    <w:rsid w:val="5EEB1665"/>
    <w:rsid w:val="5F08322C"/>
    <w:rsid w:val="5F2A0360"/>
    <w:rsid w:val="5F3D3A6B"/>
    <w:rsid w:val="5F457CB2"/>
    <w:rsid w:val="5F635AAB"/>
    <w:rsid w:val="5FB223E4"/>
    <w:rsid w:val="5FB34363"/>
    <w:rsid w:val="5FCB0E07"/>
    <w:rsid w:val="5FD62FEA"/>
    <w:rsid w:val="5FDD424F"/>
    <w:rsid w:val="5FE857D0"/>
    <w:rsid w:val="5FF13B6D"/>
    <w:rsid w:val="5FF31011"/>
    <w:rsid w:val="60067040"/>
    <w:rsid w:val="600F52EB"/>
    <w:rsid w:val="60152B0C"/>
    <w:rsid w:val="603424E2"/>
    <w:rsid w:val="606D7561"/>
    <w:rsid w:val="60803296"/>
    <w:rsid w:val="609465DD"/>
    <w:rsid w:val="60A10BD7"/>
    <w:rsid w:val="60CB0551"/>
    <w:rsid w:val="611368AB"/>
    <w:rsid w:val="612826A2"/>
    <w:rsid w:val="614B240F"/>
    <w:rsid w:val="61767A26"/>
    <w:rsid w:val="61AA0686"/>
    <w:rsid w:val="61DF2510"/>
    <w:rsid w:val="61E80983"/>
    <w:rsid w:val="61F36B4D"/>
    <w:rsid w:val="62465E1A"/>
    <w:rsid w:val="62567799"/>
    <w:rsid w:val="627574D8"/>
    <w:rsid w:val="62903706"/>
    <w:rsid w:val="629358D4"/>
    <w:rsid w:val="62AC1B8A"/>
    <w:rsid w:val="62BC587D"/>
    <w:rsid w:val="62D17FA8"/>
    <w:rsid w:val="62E23E4F"/>
    <w:rsid w:val="62EB04C8"/>
    <w:rsid w:val="62F77154"/>
    <w:rsid w:val="62FB7B80"/>
    <w:rsid w:val="630F0EC2"/>
    <w:rsid w:val="6318550E"/>
    <w:rsid w:val="63353BCF"/>
    <w:rsid w:val="636469B1"/>
    <w:rsid w:val="637D1ECB"/>
    <w:rsid w:val="637E7593"/>
    <w:rsid w:val="63BA052F"/>
    <w:rsid w:val="63BE0AD3"/>
    <w:rsid w:val="63CF45D8"/>
    <w:rsid w:val="63DA11C1"/>
    <w:rsid w:val="63F221BC"/>
    <w:rsid w:val="64032C6B"/>
    <w:rsid w:val="640B57D3"/>
    <w:rsid w:val="641A5836"/>
    <w:rsid w:val="64421735"/>
    <w:rsid w:val="64585427"/>
    <w:rsid w:val="645B2788"/>
    <w:rsid w:val="646B76EF"/>
    <w:rsid w:val="646F5CE5"/>
    <w:rsid w:val="64915A72"/>
    <w:rsid w:val="64B57AEF"/>
    <w:rsid w:val="64B72E0C"/>
    <w:rsid w:val="64B86B2D"/>
    <w:rsid w:val="64CB244A"/>
    <w:rsid w:val="64FE00DF"/>
    <w:rsid w:val="64FE0A7A"/>
    <w:rsid w:val="65213CE2"/>
    <w:rsid w:val="65233767"/>
    <w:rsid w:val="652D26C7"/>
    <w:rsid w:val="65571136"/>
    <w:rsid w:val="65604F99"/>
    <w:rsid w:val="65682F42"/>
    <w:rsid w:val="65685B97"/>
    <w:rsid w:val="656C203B"/>
    <w:rsid w:val="65757083"/>
    <w:rsid w:val="6584208A"/>
    <w:rsid w:val="659A4539"/>
    <w:rsid w:val="65C32871"/>
    <w:rsid w:val="65D51FB2"/>
    <w:rsid w:val="65DA4CF7"/>
    <w:rsid w:val="65DF0CA7"/>
    <w:rsid w:val="65E24BB0"/>
    <w:rsid w:val="66014227"/>
    <w:rsid w:val="660E3E13"/>
    <w:rsid w:val="660F5746"/>
    <w:rsid w:val="661C5600"/>
    <w:rsid w:val="66206B4D"/>
    <w:rsid w:val="66530A5C"/>
    <w:rsid w:val="665836A7"/>
    <w:rsid w:val="667E108E"/>
    <w:rsid w:val="66A60B01"/>
    <w:rsid w:val="66C34609"/>
    <w:rsid w:val="66EF082E"/>
    <w:rsid w:val="670D0413"/>
    <w:rsid w:val="671464E6"/>
    <w:rsid w:val="67187ECE"/>
    <w:rsid w:val="671E6720"/>
    <w:rsid w:val="6728344B"/>
    <w:rsid w:val="672D1356"/>
    <w:rsid w:val="67320624"/>
    <w:rsid w:val="673E76D0"/>
    <w:rsid w:val="67504513"/>
    <w:rsid w:val="67621416"/>
    <w:rsid w:val="677463F2"/>
    <w:rsid w:val="677C68AC"/>
    <w:rsid w:val="67A16DDF"/>
    <w:rsid w:val="67AA29A7"/>
    <w:rsid w:val="67AD71F1"/>
    <w:rsid w:val="67B558B7"/>
    <w:rsid w:val="67B96881"/>
    <w:rsid w:val="67F824D4"/>
    <w:rsid w:val="680A12F6"/>
    <w:rsid w:val="6816794D"/>
    <w:rsid w:val="682928D9"/>
    <w:rsid w:val="683318FD"/>
    <w:rsid w:val="68694A1F"/>
    <w:rsid w:val="68727727"/>
    <w:rsid w:val="68786E71"/>
    <w:rsid w:val="68A0671B"/>
    <w:rsid w:val="68B93CC3"/>
    <w:rsid w:val="68B960C7"/>
    <w:rsid w:val="68D32A7C"/>
    <w:rsid w:val="68DE1086"/>
    <w:rsid w:val="692C1C8F"/>
    <w:rsid w:val="69320D51"/>
    <w:rsid w:val="69384D87"/>
    <w:rsid w:val="694B590C"/>
    <w:rsid w:val="696B2CBA"/>
    <w:rsid w:val="696F7F2A"/>
    <w:rsid w:val="698B577F"/>
    <w:rsid w:val="69972F92"/>
    <w:rsid w:val="69981827"/>
    <w:rsid w:val="699875F6"/>
    <w:rsid w:val="69B87748"/>
    <w:rsid w:val="6A031661"/>
    <w:rsid w:val="6A2922FD"/>
    <w:rsid w:val="6A2A4826"/>
    <w:rsid w:val="6A5260D3"/>
    <w:rsid w:val="6A6A371E"/>
    <w:rsid w:val="6A852222"/>
    <w:rsid w:val="6A903551"/>
    <w:rsid w:val="6A944812"/>
    <w:rsid w:val="6AA32179"/>
    <w:rsid w:val="6AA33495"/>
    <w:rsid w:val="6ADE3F6B"/>
    <w:rsid w:val="6AFF3CC9"/>
    <w:rsid w:val="6B132234"/>
    <w:rsid w:val="6B1A5186"/>
    <w:rsid w:val="6B2C4C29"/>
    <w:rsid w:val="6B3E3B32"/>
    <w:rsid w:val="6B3F768F"/>
    <w:rsid w:val="6B5477F9"/>
    <w:rsid w:val="6B676167"/>
    <w:rsid w:val="6B7B079E"/>
    <w:rsid w:val="6B7E1823"/>
    <w:rsid w:val="6BA55399"/>
    <w:rsid w:val="6BB225E6"/>
    <w:rsid w:val="6BB624BF"/>
    <w:rsid w:val="6BC97482"/>
    <w:rsid w:val="6BDE7AE6"/>
    <w:rsid w:val="6BEF1E2F"/>
    <w:rsid w:val="6C11344C"/>
    <w:rsid w:val="6C380E3A"/>
    <w:rsid w:val="6C680298"/>
    <w:rsid w:val="6C6D5838"/>
    <w:rsid w:val="6C8A5926"/>
    <w:rsid w:val="6C8F62A7"/>
    <w:rsid w:val="6C952553"/>
    <w:rsid w:val="6C9F051B"/>
    <w:rsid w:val="6CB73B9C"/>
    <w:rsid w:val="6CC22FFA"/>
    <w:rsid w:val="6CC74771"/>
    <w:rsid w:val="6CCF2F38"/>
    <w:rsid w:val="6CF879DA"/>
    <w:rsid w:val="6D207157"/>
    <w:rsid w:val="6D3845F0"/>
    <w:rsid w:val="6D3E5422"/>
    <w:rsid w:val="6D55344D"/>
    <w:rsid w:val="6D7B66EA"/>
    <w:rsid w:val="6D7C5122"/>
    <w:rsid w:val="6DB51690"/>
    <w:rsid w:val="6DCA1943"/>
    <w:rsid w:val="6DCB4E90"/>
    <w:rsid w:val="6DDE5E7F"/>
    <w:rsid w:val="6DED0138"/>
    <w:rsid w:val="6E205FD6"/>
    <w:rsid w:val="6E2F26AE"/>
    <w:rsid w:val="6E4B4EE4"/>
    <w:rsid w:val="6E4D5367"/>
    <w:rsid w:val="6E5E7234"/>
    <w:rsid w:val="6E6F2871"/>
    <w:rsid w:val="6E7921E8"/>
    <w:rsid w:val="6E795FB2"/>
    <w:rsid w:val="6E7A1325"/>
    <w:rsid w:val="6E871171"/>
    <w:rsid w:val="6E9F5E9B"/>
    <w:rsid w:val="6EAA17BE"/>
    <w:rsid w:val="6EAA4396"/>
    <w:rsid w:val="6EB81E4D"/>
    <w:rsid w:val="6EB8323D"/>
    <w:rsid w:val="6EEB3AF6"/>
    <w:rsid w:val="6EEE4ED9"/>
    <w:rsid w:val="6F222A98"/>
    <w:rsid w:val="6F523436"/>
    <w:rsid w:val="6F7044B4"/>
    <w:rsid w:val="6F7166F6"/>
    <w:rsid w:val="6F933322"/>
    <w:rsid w:val="6F940239"/>
    <w:rsid w:val="6FA27D4C"/>
    <w:rsid w:val="6FB241F8"/>
    <w:rsid w:val="6FC2588B"/>
    <w:rsid w:val="6FCC5990"/>
    <w:rsid w:val="6FDC4FC3"/>
    <w:rsid w:val="6FDE490E"/>
    <w:rsid w:val="6FE36D2F"/>
    <w:rsid w:val="70094ED2"/>
    <w:rsid w:val="70152AAC"/>
    <w:rsid w:val="703E7AB4"/>
    <w:rsid w:val="7055227F"/>
    <w:rsid w:val="70570FF5"/>
    <w:rsid w:val="70894A34"/>
    <w:rsid w:val="70965CA7"/>
    <w:rsid w:val="70AF0B0E"/>
    <w:rsid w:val="70B842F9"/>
    <w:rsid w:val="710A3193"/>
    <w:rsid w:val="711102D2"/>
    <w:rsid w:val="71332EDE"/>
    <w:rsid w:val="71535404"/>
    <w:rsid w:val="715541A6"/>
    <w:rsid w:val="717B05A6"/>
    <w:rsid w:val="71840E5C"/>
    <w:rsid w:val="7184489C"/>
    <w:rsid w:val="71902AE4"/>
    <w:rsid w:val="71A73234"/>
    <w:rsid w:val="71B06E02"/>
    <w:rsid w:val="71D912D4"/>
    <w:rsid w:val="71DD561D"/>
    <w:rsid w:val="71F20DEA"/>
    <w:rsid w:val="7229032E"/>
    <w:rsid w:val="72357A4A"/>
    <w:rsid w:val="72424EF5"/>
    <w:rsid w:val="72647297"/>
    <w:rsid w:val="72B27CB2"/>
    <w:rsid w:val="72CA1C8E"/>
    <w:rsid w:val="72F62DED"/>
    <w:rsid w:val="730078FC"/>
    <w:rsid w:val="730A3E35"/>
    <w:rsid w:val="731B32C3"/>
    <w:rsid w:val="733A5DD6"/>
    <w:rsid w:val="733B309E"/>
    <w:rsid w:val="73892A07"/>
    <w:rsid w:val="738C335A"/>
    <w:rsid w:val="73CA5314"/>
    <w:rsid w:val="73D24CA1"/>
    <w:rsid w:val="73DF7FDA"/>
    <w:rsid w:val="742C2582"/>
    <w:rsid w:val="74835319"/>
    <w:rsid w:val="74A01E17"/>
    <w:rsid w:val="74A0760B"/>
    <w:rsid w:val="74C70189"/>
    <w:rsid w:val="74C84547"/>
    <w:rsid w:val="74C84657"/>
    <w:rsid w:val="74CE2B0B"/>
    <w:rsid w:val="74F35FA9"/>
    <w:rsid w:val="74F43CCF"/>
    <w:rsid w:val="75312FA0"/>
    <w:rsid w:val="75341056"/>
    <w:rsid w:val="753D7EC6"/>
    <w:rsid w:val="754E4CF1"/>
    <w:rsid w:val="75506001"/>
    <w:rsid w:val="755D5A0A"/>
    <w:rsid w:val="756D3B06"/>
    <w:rsid w:val="75724C91"/>
    <w:rsid w:val="75752FAA"/>
    <w:rsid w:val="7587423B"/>
    <w:rsid w:val="758A609D"/>
    <w:rsid w:val="759C3C2D"/>
    <w:rsid w:val="759E1D8F"/>
    <w:rsid w:val="75A90742"/>
    <w:rsid w:val="75AC6280"/>
    <w:rsid w:val="75B81F99"/>
    <w:rsid w:val="75BB202B"/>
    <w:rsid w:val="75E52664"/>
    <w:rsid w:val="75FA20BE"/>
    <w:rsid w:val="75FF7F78"/>
    <w:rsid w:val="763D4F16"/>
    <w:rsid w:val="76414570"/>
    <w:rsid w:val="76635A18"/>
    <w:rsid w:val="768704C9"/>
    <w:rsid w:val="769B43DA"/>
    <w:rsid w:val="769C0E3E"/>
    <w:rsid w:val="76AF60AC"/>
    <w:rsid w:val="76B145E2"/>
    <w:rsid w:val="76B14BC3"/>
    <w:rsid w:val="76B55028"/>
    <w:rsid w:val="76BC4508"/>
    <w:rsid w:val="76E510A5"/>
    <w:rsid w:val="76F26DE2"/>
    <w:rsid w:val="772D453D"/>
    <w:rsid w:val="7733706B"/>
    <w:rsid w:val="77660698"/>
    <w:rsid w:val="7769030A"/>
    <w:rsid w:val="776E26C5"/>
    <w:rsid w:val="77877C60"/>
    <w:rsid w:val="778B418E"/>
    <w:rsid w:val="77B268BC"/>
    <w:rsid w:val="77BA0EA6"/>
    <w:rsid w:val="77C2448A"/>
    <w:rsid w:val="77C822DD"/>
    <w:rsid w:val="77CB4B65"/>
    <w:rsid w:val="781836F9"/>
    <w:rsid w:val="78374B57"/>
    <w:rsid w:val="784A3CD3"/>
    <w:rsid w:val="78591EBE"/>
    <w:rsid w:val="78615480"/>
    <w:rsid w:val="78622A60"/>
    <w:rsid w:val="78812164"/>
    <w:rsid w:val="78844BD2"/>
    <w:rsid w:val="788C2661"/>
    <w:rsid w:val="78947BB5"/>
    <w:rsid w:val="78AC1E9F"/>
    <w:rsid w:val="78FC3F71"/>
    <w:rsid w:val="79063F3E"/>
    <w:rsid w:val="79093BBE"/>
    <w:rsid w:val="79403559"/>
    <w:rsid w:val="79493484"/>
    <w:rsid w:val="795D308D"/>
    <w:rsid w:val="796850A8"/>
    <w:rsid w:val="79AC79FB"/>
    <w:rsid w:val="79AD1192"/>
    <w:rsid w:val="79EC0475"/>
    <w:rsid w:val="79FE700A"/>
    <w:rsid w:val="7A02599B"/>
    <w:rsid w:val="7A1547FF"/>
    <w:rsid w:val="7A434CC1"/>
    <w:rsid w:val="7A481EBA"/>
    <w:rsid w:val="7A5507C4"/>
    <w:rsid w:val="7A9F1116"/>
    <w:rsid w:val="7AB364C5"/>
    <w:rsid w:val="7AB42307"/>
    <w:rsid w:val="7AB67EEC"/>
    <w:rsid w:val="7ABA2123"/>
    <w:rsid w:val="7ACD1F36"/>
    <w:rsid w:val="7AD62AFA"/>
    <w:rsid w:val="7AFA5C24"/>
    <w:rsid w:val="7B097BDE"/>
    <w:rsid w:val="7B376C34"/>
    <w:rsid w:val="7B3A0A78"/>
    <w:rsid w:val="7B484A08"/>
    <w:rsid w:val="7B6416E8"/>
    <w:rsid w:val="7B675BAF"/>
    <w:rsid w:val="7BA47BCF"/>
    <w:rsid w:val="7BA65D51"/>
    <w:rsid w:val="7BBF53C8"/>
    <w:rsid w:val="7BC37918"/>
    <w:rsid w:val="7BC44B32"/>
    <w:rsid w:val="7BC90C1C"/>
    <w:rsid w:val="7BD16478"/>
    <w:rsid w:val="7BD30F97"/>
    <w:rsid w:val="7BDD0E17"/>
    <w:rsid w:val="7C021D23"/>
    <w:rsid w:val="7C0C4CCC"/>
    <w:rsid w:val="7C15390B"/>
    <w:rsid w:val="7C1B3232"/>
    <w:rsid w:val="7C602641"/>
    <w:rsid w:val="7C762C26"/>
    <w:rsid w:val="7C833A9B"/>
    <w:rsid w:val="7CB138FF"/>
    <w:rsid w:val="7CD460A4"/>
    <w:rsid w:val="7CD82038"/>
    <w:rsid w:val="7CDC699E"/>
    <w:rsid w:val="7CF712F4"/>
    <w:rsid w:val="7D1563E6"/>
    <w:rsid w:val="7D3E0B18"/>
    <w:rsid w:val="7D3E70D3"/>
    <w:rsid w:val="7D5C3EB4"/>
    <w:rsid w:val="7D663E6F"/>
    <w:rsid w:val="7D71615B"/>
    <w:rsid w:val="7D912F29"/>
    <w:rsid w:val="7DB14677"/>
    <w:rsid w:val="7DB36601"/>
    <w:rsid w:val="7DC5730E"/>
    <w:rsid w:val="7DCA57F6"/>
    <w:rsid w:val="7DD64891"/>
    <w:rsid w:val="7DD73BA6"/>
    <w:rsid w:val="7E1C6248"/>
    <w:rsid w:val="7E2B5B66"/>
    <w:rsid w:val="7E3D6F9A"/>
    <w:rsid w:val="7E5514BB"/>
    <w:rsid w:val="7E704832"/>
    <w:rsid w:val="7E761F9C"/>
    <w:rsid w:val="7E800C15"/>
    <w:rsid w:val="7E8D46BF"/>
    <w:rsid w:val="7E8F2119"/>
    <w:rsid w:val="7E953617"/>
    <w:rsid w:val="7EC43638"/>
    <w:rsid w:val="7EF1686D"/>
    <w:rsid w:val="7F0A4EC1"/>
    <w:rsid w:val="7F3E07EB"/>
    <w:rsid w:val="7F593177"/>
    <w:rsid w:val="7F96147F"/>
    <w:rsid w:val="7F9711EC"/>
    <w:rsid w:val="7F9814CA"/>
    <w:rsid w:val="7F9935D5"/>
    <w:rsid w:val="7FB17628"/>
    <w:rsid w:val="7FB53AF5"/>
    <w:rsid w:val="7FE15E36"/>
    <w:rsid w:val="7FED20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qFormat/>
    <w:uiPriority w:val="0"/>
    <w:pPr>
      <w:keepNext/>
      <w:keepLines/>
      <w:spacing w:before="260" w:after="260" w:line="412" w:lineRule="auto"/>
      <w:outlineLvl w:val="1"/>
    </w:pPr>
    <w:rPr>
      <w:rFonts w:ascii="Arial" w:hAnsi="Arial" w:eastAsia="??"/>
      <w:b/>
      <w:sz w:val="32"/>
      <w:szCs w:val="28"/>
    </w:rPr>
  </w:style>
  <w:style w:type="character" w:default="1" w:styleId="25">
    <w:name w:val="Default Paragraph Font"/>
    <w:semiHidden/>
    <w:uiPriority w:val="0"/>
  </w:style>
  <w:style w:type="table" w:default="1" w:styleId="23">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Style w:val="23"/>
      <w:tblCellMar>
        <w:top w:w="0" w:type="dxa"/>
        <w:left w:w="108" w:type="dxa"/>
        <w:bottom w:w="0" w:type="dxa"/>
        <w:right w:w="108" w:type="dxa"/>
      </w:tblCellMar>
    </w:tblPr>
  </w:style>
  <w:style w:type="paragraph" w:styleId="2">
    <w:name w:val="Body Text Indent"/>
    <w:basedOn w:val="1"/>
    <w:next w:val="1"/>
    <w:link w:val="30"/>
    <w:uiPriority w:val="0"/>
    <w:pPr>
      <w:spacing w:after="120"/>
      <w:ind w:left="420" w:leftChars="200"/>
    </w:pPr>
  </w:style>
  <w:style w:type="paragraph" w:styleId="5">
    <w:name w:val="List Number"/>
    <w:basedOn w:val="1"/>
    <w:uiPriority w:val="0"/>
    <w:pPr>
      <w:widowControl/>
      <w:tabs>
        <w:tab w:val="left" w:pos="360"/>
        <w:tab w:val="left" w:pos="454"/>
        <w:tab w:val="left" w:pos="720"/>
      </w:tabs>
      <w:spacing w:after="156" w:afterLines="50"/>
      <w:ind w:left="454" w:hanging="284"/>
      <w:jc w:val="left"/>
    </w:pPr>
    <w:rPr>
      <w:kern w:val="0"/>
      <w:sz w:val="24"/>
    </w:rPr>
  </w:style>
  <w:style w:type="paragraph" w:styleId="6">
    <w:name w:val="Normal Indent"/>
    <w:basedOn w:val="1"/>
    <w:uiPriority w:val="0"/>
    <w:pPr>
      <w:spacing w:line="300" w:lineRule="auto"/>
      <w:ind w:firstLine="420"/>
    </w:pPr>
  </w:style>
  <w:style w:type="paragraph" w:styleId="7">
    <w:name w:val="annotation text"/>
    <w:basedOn w:val="1"/>
    <w:link w:val="33"/>
    <w:uiPriority w:val="0"/>
    <w:pPr>
      <w:jc w:val="left"/>
    </w:pPr>
    <w:rPr>
      <w:szCs w:val="24"/>
    </w:rPr>
  </w:style>
  <w:style w:type="paragraph" w:styleId="8">
    <w:name w:val="Body Text"/>
    <w:basedOn w:val="1"/>
    <w:link w:val="34"/>
    <w:uiPriority w:val="0"/>
    <w:pPr>
      <w:spacing w:after="120"/>
    </w:pPr>
    <w:rPr>
      <w:rFonts w:eastAsia="??"/>
      <w:sz w:val="28"/>
      <w:szCs w:val="28"/>
    </w:rPr>
  </w:style>
  <w:style w:type="paragraph" w:styleId="9">
    <w:name w:val="Plain Text"/>
    <w:basedOn w:val="1"/>
    <w:next w:val="1"/>
    <w:link w:val="35"/>
    <w:qFormat/>
    <w:uiPriority w:val="0"/>
    <w:rPr>
      <w:rFonts w:ascii="宋体" w:hAnsi="Courier New" w:eastAsia="仿宋_GB2312"/>
      <w:sz w:val="30"/>
    </w:rPr>
  </w:style>
  <w:style w:type="paragraph" w:styleId="10">
    <w:name w:val="Body Text Indent 2"/>
    <w:basedOn w:val="1"/>
    <w:link w:val="36"/>
    <w:uiPriority w:val="0"/>
    <w:pPr>
      <w:spacing w:line="500" w:lineRule="exact"/>
      <w:ind w:left="105" w:firstLine="465" w:firstLineChars="166"/>
    </w:pPr>
    <w:rPr>
      <w:sz w:val="28"/>
    </w:rPr>
  </w:style>
  <w:style w:type="paragraph" w:styleId="11">
    <w:name w:val="Balloon Text"/>
    <w:basedOn w:val="1"/>
    <w:link w:val="37"/>
    <w:uiPriority w:val="0"/>
    <w:rPr>
      <w:sz w:val="18"/>
      <w:szCs w:val="18"/>
    </w:rPr>
  </w:style>
  <w:style w:type="paragraph" w:styleId="12">
    <w:name w:val="footer"/>
    <w:basedOn w:val="1"/>
    <w:next w:val="13"/>
    <w:link w:val="38"/>
    <w:uiPriority w:val="99"/>
    <w:pPr>
      <w:tabs>
        <w:tab w:val="center" w:pos="4153"/>
        <w:tab w:val="right" w:pos="8306"/>
      </w:tabs>
      <w:snapToGrid w:val="0"/>
      <w:jc w:val="left"/>
    </w:pPr>
    <w:rPr>
      <w:sz w:val="18"/>
      <w:szCs w:val="18"/>
    </w:rPr>
  </w:style>
  <w:style w:type="paragraph" w:styleId="13">
    <w:name w:val="toc 2"/>
    <w:basedOn w:val="1"/>
    <w:next w:val="1"/>
    <w:qFormat/>
    <w:uiPriority w:val="39"/>
    <w:pPr>
      <w:tabs>
        <w:tab w:val="right" w:leader="middleDot" w:pos="8948"/>
      </w:tabs>
      <w:spacing w:before="60" w:after="60"/>
      <w:ind w:left="210"/>
    </w:pPr>
    <w:rPr>
      <w:smallCaps/>
    </w:rPr>
  </w:style>
  <w:style w:type="paragraph" w:styleId="14">
    <w:name w:val="header"/>
    <w:basedOn w:val="1"/>
    <w:link w:val="39"/>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0"/>
    <w:rPr>
      <w:rFonts w:ascii="Calibri" w:hAnsi="Calibri" w:eastAsia="宋体" w:cs="Times New Roman"/>
      <w:szCs w:val="24"/>
    </w:rPr>
  </w:style>
  <w:style w:type="paragraph" w:styleId="16">
    <w:name w:val="List"/>
    <w:basedOn w:val="1"/>
    <w:uiPriority w:val="0"/>
    <w:pPr>
      <w:ind w:left="200" w:hanging="200" w:hangingChars="200"/>
    </w:pPr>
  </w:style>
  <w:style w:type="paragraph" w:styleId="17">
    <w:name w:val="Body Text Indent 3"/>
    <w:basedOn w:val="1"/>
    <w:link w:val="40"/>
    <w:uiPriority w:val="0"/>
    <w:pPr>
      <w:spacing w:after="120"/>
      <w:ind w:left="420" w:leftChars="200"/>
    </w:pPr>
    <w:rPr>
      <w:sz w:val="16"/>
      <w:szCs w:val="16"/>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Title"/>
    <w:basedOn w:val="1"/>
    <w:link w:val="41"/>
    <w:qFormat/>
    <w:uiPriority w:val="0"/>
    <w:pPr>
      <w:jc w:val="center"/>
    </w:pPr>
    <w:rPr>
      <w:rFonts w:ascii="Calibri" w:hAnsi="Calibri"/>
      <w:sz w:val="30"/>
      <w:szCs w:val="30"/>
    </w:rPr>
  </w:style>
  <w:style w:type="paragraph" w:styleId="20">
    <w:name w:val="annotation subject"/>
    <w:basedOn w:val="7"/>
    <w:next w:val="7"/>
    <w:link w:val="42"/>
    <w:uiPriority w:val="0"/>
    <w:rPr>
      <w:b/>
      <w:bCs/>
    </w:rPr>
  </w:style>
  <w:style w:type="paragraph" w:styleId="21">
    <w:name w:val="Body Text First Indent"/>
    <w:basedOn w:val="8"/>
    <w:qFormat/>
    <w:uiPriority w:val="0"/>
    <w:pPr>
      <w:spacing w:after="120"/>
      <w:ind w:firstLine="420" w:firstLineChars="100"/>
    </w:pPr>
    <w:rPr>
      <w:rFonts w:eastAsia="??"/>
      <w:szCs w:val="24"/>
    </w:rPr>
  </w:style>
  <w:style w:type="paragraph" w:styleId="22">
    <w:name w:val="Body Text First Indent 2"/>
    <w:basedOn w:val="2"/>
    <w:link w:val="43"/>
    <w:uiPriority w:val="0"/>
    <w:pPr>
      <w:ind w:firstLine="420" w:firstLineChars="200"/>
    </w:pPr>
  </w:style>
  <w:style w:type="table" w:styleId="24">
    <w:name w:val="Table Grid"/>
    <w:basedOn w:val="23"/>
    <w:uiPriority w:val="99"/>
    <w:pPr>
      <w:widowControl w:val="0"/>
      <w:jc w:val="both"/>
    </w:p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uiPriority w:val="0"/>
  </w:style>
  <w:style w:type="character" w:styleId="28">
    <w:name w:val="Hyperlink"/>
    <w:uiPriority w:val="0"/>
    <w:rPr>
      <w:color w:val="0000FF"/>
      <w:u w:val="single"/>
    </w:rPr>
  </w:style>
  <w:style w:type="character" w:styleId="29">
    <w:name w:val="annotation reference"/>
    <w:uiPriority w:val="0"/>
    <w:rPr>
      <w:sz w:val="21"/>
      <w:szCs w:val="21"/>
    </w:rPr>
  </w:style>
  <w:style w:type="character" w:customStyle="1" w:styleId="30">
    <w:name w:val="正文文本缩进 Char"/>
    <w:link w:val="2"/>
    <w:uiPriority w:val="0"/>
    <w:rPr>
      <w:kern w:val="2"/>
      <w:sz w:val="21"/>
    </w:rPr>
  </w:style>
  <w:style w:type="character" w:customStyle="1" w:styleId="31">
    <w:name w:val="标题 1 Char"/>
    <w:link w:val="3"/>
    <w:qFormat/>
    <w:uiPriority w:val="9"/>
    <w:rPr>
      <w:b/>
      <w:bCs/>
      <w:kern w:val="44"/>
      <w:sz w:val="44"/>
      <w:szCs w:val="44"/>
    </w:rPr>
  </w:style>
  <w:style w:type="character" w:customStyle="1" w:styleId="32">
    <w:name w:val="标题 2 Char"/>
    <w:link w:val="4"/>
    <w:uiPriority w:val="0"/>
    <w:rPr>
      <w:rFonts w:ascii="Arial" w:hAnsi="Arial" w:eastAsia="??"/>
      <w:b/>
      <w:kern w:val="2"/>
      <w:sz w:val="32"/>
      <w:szCs w:val="28"/>
      <w:lang w:val="en-US" w:eastAsia="zh-CN" w:bidi="ar-SA"/>
    </w:rPr>
  </w:style>
  <w:style w:type="character" w:customStyle="1" w:styleId="33">
    <w:name w:val="批注文字 Char"/>
    <w:link w:val="7"/>
    <w:uiPriority w:val="0"/>
    <w:rPr>
      <w:kern w:val="2"/>
      <w:sz w:val="21"/>
      <w:szCs w:val="24"/>
    </w:rPr>
  </w:style>
  <w:style w:type="character" w:customStyle="1" w:styleId="34">
    <w:name w:val="正文文本 Char"/>
    <w:link w:val="8"/>
    <w:uiPriority w:val="0"/>
    <w:rPr>
      <w:rFonts w:eastAsia="??"/>
      <w:kern w:val="2"/>
      <w:sz w:val="28"/>
      <w:szCs w:val="28"/>
      <w:lang w:val="en-US" w:eastAsia="zh-CN" w:bidi="ar-SA"/>
    </w:rPr>
  </w:style>
  <w:style w:type="character" w:customStyle="1" w:styleId="35">
    <w:name w:val="纯文本 Char"/>
    <w:link w:val="9"/>
    <w:qFormat/>
    <w:uiPriority w:val="0"/>
    <w:rPr>
      <w:rFonts w:ascii="宋体" w:hAnsi="Courier New" w:eastAsia="仿宋_GB2312"/>
      <w:kern w:val="2"/>
      <w:sz w:val="30"/>
      <w:lang w:val="en-US" w:eastAsia="zh-CN" w:bidi="ar-SA"/>
    </w:rPr>
  </w:style>
  <w:style w:type="character" w:customStyle="1" w:styleId="36">
    <w:name w:val="正文文本缩进 2 Char"/>
    <w:link w:val="10"/>
    <w:uiPriority w:val="0"/>
    <w:rPr>
      <w:kern w:val="2"/>
      <w:sz w:val="28"/>
    </w:rPr>
  </w:style>
  <w:style w:type="character" w:customStyle="1" w:styleId="37">
    <w:name w:val="批注框文本 Char"/>
    <w:link w:val="11"/>
    <w:uiPriority w:val="0"/>
    <w:rPr>
      <w:kern w:val="2"/>
      <w:sz w:val="18"/>
      <w:szCs w:val="18"/>
    </w:rPr>
  </w:style>
  <w:style w:type="character" w:customStyle="1" w:styleId="38">
    <w:name w:val="页脚 Char"/>
    <w:link w:val="12"/>
    <w:uiPriority w:val="99"/>
    <w:rPr>
      <w:kern w:val="2"/>
      <w:sz w:val="18"/>
      <w:szCs w:val="18"/>
    </w:rPr>
  </w:style>
  <w:style w:type="character" w:customStyle="1" w:styleId="39">
    <w:name w:val="页眉 Char"/>
    <w:link w:val="14"/>
    <w:uiPriority w:val="99"/>
    <w:rPr>
      <w:kern w:val="2"/>
      <w:sz w:val="18"/>
      <w:szCs w:val="18"/>
    </w:rPr>
  </w:style>
  <w:style w:type="character" w:customStyle="1" w:styleId="40">
    <w:name w:val="正文文本缩进 3 Char"/>
    <w:link w:val="17"/>
    <w:uiPriority w:val="0"/>
    <w:rPr>
      <w:kern w:val="2"/>
      <w:sz w:val="16"/>
      <w:szCs w:val="16"/>
    </w:rPr>
  </w:style>
  <w:style w:type="character" w:customStyle="1" w:styleId="41">
    <w:name w:val="标题 Char"/>
    <w:link w:val="19"/>
    <w:uiPriority w:val="0"/>
    <w:rPr>
      <w:rFonts w:ascii="Calibri" w:hAnsi="Calibri"/>
      <w:kern w:val="2"/>
      <w:sz w:val="30"/>
      <w:szCs w:val="30"/>
    </w:rPr>
  </w:style>
  <w:style w:type="character" w:customStyle="1" w:styleId="42">
    <w:name w:val="批注主题 Char"/>
    <w:link w:val="20"/>
    <w:uiPriority w:val="0"/>
    <w:rPr>
      <w:b/>
      <w:bCs/>
      <w:kern w:val="2"/>
      <w:sz w:val="21"/>
      <w:szCs w:val="24"/>
    </w:rPr>
  </w:style>
  <w:style w:type="character" w:customStyle="1" w:styleId="43">
    <w:name w:val="正文首行缩进 2 Char"/>
    <w:link w:val="22"/>
    <w:uiPriority w:val="0"/>
  </w:style>
  <w:style w:type="character" w:customStyle="1" w:styleId="44">
    <w:name w:val="font01"/>
    <w:uiPriority w:val="0"/>
    <w:rPr>
      <w:rFonts w:hint="eastAsia" w:ascii="宋体" w:hAnsi="宋体" w:eastAsia="宋体" w:cs="宋体"/>
      <w:b/>
      <w:color w:val="000000"/>
      <w:sz w:val="40"/>
      <w:szCs w:val="40"/>
      <w:u w:val="none"/>
    </w:rPr>
  </w:style>
  <w:style w:type="character" w:customStyle="1" w:styleId="45">
    <w:name w:val="apple-style-span"/>
    <w:uiPriority w:val="0"/>
    <w:rPr>
      <w:rFonts w:ascii="Tahoma" w:hAnsi="Tahoma"/>
      <w:sz w:val="24"/>
      <w:szCs w:val="20"/>
    </w:rPr>
  </w:style>
  <w:style w:type="character" w:customStyle="1" w:styleId="46">
    <w:name w:val="font91"/>
    <w:uiPriority w:val="0"/>
    <w:rPr>
      <w:rFonts w:hint="eastAsia" w:ascii="宋体" w:hAnsi="宋体" w:eastAsia="宋体" w:cs="宋体"/>
      <w:color w:val="000000"/>
      <w:sz w:val="20"/>
      <w:szCs w:val="20"/>
      <w:u w:val="none"/>
    </w:rPr>
  </w:style>
  <w:style w:type="character" w:customStyle="1" w:styleId="47">
    <w:name w:val="font11"/>
    <w:uiPriority w:val="0"/>
    <w:rPr>
      <w:rFonts w:hint="eastAsia" w:ascii="宋体" w:hAnsi="宋体" w:eastAsia="宋体" w:cs="宋体"/>
      <w:b/>
      <w:color w:val="000000"/>
      <w:sz w:val="22"/>
      <w:szCs w:val="22"/>
      <w:u w:val="none"/>
    </w:rPr>
  </w:style>
  <w:style w:type="character" w:customStyle="1" w:styleId="48">
    <w:name w:val="font112"/>
    <w:uiPriority w:val="0"/>
    <w:rPr>
      <w:rFonts w:hint="eastAsia" w:ascii="宋体" w:hAnsi="宋体" w:eastAsia="宋体" w:cs="宋体"/>
      <w:color w:val="000000"/>
      <w:sz w:val="22"/>
      <w:szCs w:val="22"/>
      <w:u w:val="none"/>
    </w:rPr>
  </w:style>
  <w:style w:type="character" w:customStyle="1" w:styleId="49">
    <w:name w:val="font61"/>
    <w:uiPriority w:val="0"/>
    <w:rPr>
      <w:rFonts w:hint="default" w:ascii="Times New Roman" w:hAnsi="Times New Roman" w:cs="Times New Roman"/>
      <w:color w:val="000000"/>
      <w:sz w:val="20"/>
      <w:szCs w:val="20"/>
      <w:u w:val="none"/>
    </w:rPr>
  </w:style>
  <w:style w:type="character" w:customStyle="1" w:styleId="50">
    <w:name w:val="font81"/>
    <w:uiPriority w:val="0"/>
    <w:rPr>
      <w:rFonts w:hint="eastAsia" w:ascii="宋体" w:hAnsi="宋体" w:eastAsia="宋体" w:cs="宋体"/>
      <w:color w:val="000000"/>
      <w:sz w:val="20"/>
      <w:szCs w:val="20"/>
      <w:u w:val="none"/>
    </w:rPr>
  </w:style>
  <w:style w:type="character" w:customStyle="1" w:styleId="51">
    <w:name w:val=" Char Char7"/>
    <w:uiPriority w:val="0"/>
    <w:rPr>
      <w:rFonts w:ascii="??" w:hAnsi="??" w:eastAsia="??" w:cs="宋体"/>
      <w:kern w:val="2"/>
      <w:sz w:val="24"/>
      <w:szCs w:val="28"/>
    </w:rPr>
  </w:style>
  <w:style w:type="character" w:customStyle="1" w:styleId="52">
    <w:name w:val="font51"/>
    <w:uiPriority w:val="0"/>
    <w:rPr>
      <w:rFonts w:hint="eastAsia" w:ascii="宋体" w:hAnsi="宋体" w:eastAsia="宋体" w:cs="宋体"/>
      <w:color w:val="000000"/>
      <w:sz w:val="22"/>
      <w:szCs w:val="22"/>
      <w:u w:val="none"/>
    </w:rPr>
  </w:style>
  <w:style w:type="character" w:customStyle="1" w:styleId="53">
    <w:name w:val="font71"/>
    <w:uiPriority w:val="0"/>
    <w:rPr>
      <w:rFonts w:ascii="Arial" w:hAnsi="Arial" w:cs="Arial"/>
      <w:color w:val="000000"/>
      <w:sz w:val="20"/>
      <w:szCs w:val="20"/>
      <w:u w:val="none"/>
    </w:rPr>
  </w:style>
  <w:style w:type="character" w:customStyle="1" w:styleId="54">
    <w:name w:val="NormalCharacter"/>
    <w:uiPriority w:val="0"/>
    <w:rPr>
      <w:rFonts w:ascii="Calibri" w:hAnsi="Calibri" w:eastAsia="宋体"/>
    </w:rPr>
  </w:style>
  <w:style w:type="paragraph" w:customStyle="1" w:styleId="55">
    <w:name w:val="书籍标题1"/>
    <w:basedOn w:val="1"/>
    <w:next w:val="1"/>
    <w:uiPriority w:val="0"/>
    <w:pPr>
      <w:pageBreakBefore/>
      <w:widowControl/>
      <w:tabs>
        <w:tab w:val="left" w:pos="360"/>
      </w:tabs>
      <w:spacing w:before="624" w:beforeLines="200" w:after="624" w:afterLines="200"/>
      <w:ind w:hanging="360"/>
      <w:jc w:val="center"/>
      <w:outlineLvl w:val="0"/>
    </w:pPr>
    <w:rPr>
      <w:rFonts w:eastAsia="黑体"/>
      <w:b/>
      <w:bCs/>
      <w:spacing w:val="20"/>
      <w:kern w:val="44"/>
      <w:sz w:val="44"/>
    </w:rPr>
  </w:style>
  <w:style w:type="paragraph" w:customStyle="1" w:styleId="56">
    <w:name w:val="Default Text"/>
    <w:basedOn w:val="1"/>
    <w:uiPriority w:val="0"/>
    <w:pPr>
      <w:widowControl/>
      <w:overflowPunct w:val="0"/>
      <w:autoSpaceDE w:val="0"/>
      <w:autoSpaceDN w:val="0"/>
      <w:adjustRightInd w:val="0"/>
      <w:jc w:val="left"/>
      <w:textAlignment w:val="baseline"/>
    </w:pPr>
    <w:rPr>
      <w:kern w:val="0"/>
      <w:sz w:val="24"/>
      <w:lang/>
    </w:rPr>
  </w:style>
  <w:style w:type="paragraph" w:customStyle="1" w:styleId="57">
    <w:name w:val="newne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58">
    <w:name w:val="_Style 8"/>
    <w:basedOn w:val="1"/>
    <w:next w:val="59"/>
    <w:qFormat/>
    <w:uiPriority w:val="34"/>
    <w:pPr>
      <w:widowControl w:val="0"/>
      <w:ind w:firstLine="420" w:firstLineChars="200"/>
      <w:jc w:val="both"/>
    </w:pPr>
    <w:rPr>
      <w:rFonts w:ascii="Calibri" w:hAnsi="Calibri" w:cs="Times New Roman"/>
      <w:kern w:val="2"/>
      <w:sz w:val="21"/>
      <w:szCs w:val="22"/>
    </w:rPr>
  </w:style>
  <w:style w:type="paragraph" w:styleId="59">
    <w:name w:val="List Paragraph"/>
    <w:basedOn w:val="1"/>
    <w:qFormat/>
    <w:uiPriority w:val="34"/>
    <w:pPr>
      <w:autoSpaceDE w:val="0"/>
      <w:autoSpaceDN w:val="0"/>
      <w:adjustRightInd w:val="0"/>
      <w:ind w:firstLine="200" w:firstLineChars="200"/>
      <w:jc w:val="left"/>
    </w:pPr>
    <w:rPr>
      <w:rFonts w:eastAsia="??"/>
      <w:kern w:val="0"/>
      <w:sz w:val="24"/>
      <w:szCs w:val="24"/>
    </w:rPr>
  </w:style>
  <w:style w:type="paragraph" w:customStyle="1" w:styleId="60">
    <w:name w:val="xl35"/>
    <w:basedOn w:val="1"/>
    <w:uiPriority w:val="0"/>
    <w:pPr>
      <w:widowControl/>
      <w:spacing w:before="100" w:beforeAutospacing="1" w:after="100" w:afterAutospacing="1"/>
      <w:jc w:val="right"/>
      <w:textAlignment w:val="center"/>
    </w:pPr>
    <w:rPr>
      <w:rFonts w:ascii="宋体" w:hAnsi="宋体"/>
      <w:kern w:val="0"/>
      <w:sz w:val="18"/>
    </w:rPr>
  </w:style>
  <w:style w:type="paragraph" w:customStyle="1" w:styleId="61">
    <w:name w:val="font5"/>
    <w:basedOn w:val="1"/>
    <w:uiPriority w:val="0"/>
    <w:pPr>
      <w:widowControl/>
      <w:spacing w:before="100" w:beforeAutospacing="1" w:after="100" w:afterAutospacing="1"/>
      <w:jc w:val="left"/>
    </w:pPr>
    <w:rPr>
      <w:rFonts w:hint="eastAsia" w:ascii="宋体" w:hAnsi="宋体"/>
      <w:kern w:val="0"/>
      <w:sz w:val="18"/>
    </w:rPr>
  </w:style>
  <w:style w:type="paragraph" w:customStyle="1" w:styleId="62">
    <w:name w:val="p16"/>
    <w:basedOn w:val="1"/>
    <w:uiPriority w:val="0"/>
    <w:pPr>
      <w:widowControl/>
    </w:pPr>
    <w:rPr>
      <w:rFonts w:ascii="宋体" w:hAnsi="宋体" w:cs="宋体"/>
      <w:kern w:val="0"/>
      <w:sz w:val="30"/>
      <w:szCs w:val="30"/>
    </w:rPr>
  </w:style>
  <w:style w:type="paragraph" w:customStyle="1" w:styleId="63">
    <w:name w:val="正文文本缩进1"/>
    <w:basedOn w:val="1"/>
    <w:qFormat/>
    <w:uiPriority w:val="0"/>
    <w:pPr>
      <w:ind w:firstLine="200"/>
    </w:pPr>
    <w:rPr>
      <w:rFonts w:ascii="仿宋_GB2312" w:eastAsia="仿宋_GB2312"/>
      <w:sz w:val="32"/>
    </w:rPr>
  </w:style>
  <w:style w:type="paragraph" w:customStyle="1" w:styleId="64">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65">
    <w:name w:val="Normal"/>
    <w:uiPriority w:val="0"/>
    <w:pPr>
      <w:jc w:val="both"/>
    </w:pPr>
    <w:rPr>
      <w:rFonts w:ascii="Calibri" w:hAnsi="Calibri" w:cs="宋体"/>
      <w:kern w:val="2"/>
      <w:sz w:val="21"/>
      <w:szCs w:val="21"/>
      <w:lang w:val="en-US" w:eastAsia="zh-CN" w:bidi="ar-SA"/>
    </w:rPr>
  </w:style>
  <w:style w:type="paragraph" w:customStyle="1" w:styleId="66">
    <w:name w:val="[Normal]"/>
    <w:qFormat/>
    <w:uiPriority w:val="0"/>
    <w:rPr>
      <w:rFonts w:ascii="宋体" w:hAnsi="宋体"/>
      <w:sz w:val="24"/>
      <w:szCs w:val="22"/>
      <w:lang w:val="zh-CN" w:eastAsia="zh-CN" w:bidi="ar-SA"/>
    </w:rPr>
  </w:style>
  <w:style w:type="paragraph" w:customStyle="1" w:styleId="67">
    <w:name w:val="Body text|1"/>
    <w:basedOn w:val="1"/>
    <w:qFormat/>
    <w:uiPriority w:val="0"/>
    <w:pPr>
      <w:widowControl w:val="0"/>
      <w:shd w:val="clear" w:color="auto" w:fill="auto"/>
      <w:spacing w:line="413" w:lineRule="auto"/>
    </w:pPr>
    <w:rPr>
      <w:rFonts w:ascii="宋体" w:hAnsi="宋体" w:eastAsia="宋体" w:cs="宋体"/>
      <w:sz w:val="20"/>
      <w:szCs w:val="20"/>
      <w:u w:val="none"/>
      <w:shd w:val="clear" w:color="auto" w:fill="auto"/>
      <w:lang w:val="zh-CN" w:eastAsia="zh-CN" w:bidi="zh-CN"/>
    </w:rPr>
  </w:style>
  <w:style w:type="paragraph" w:customStyle="1" w:styleId="68">
    <w:name w:val="正文首行缩进 21"/>
    <w:basedOn w:val="63"/>
    <w:qFormat/>
    <w:uiPriority w:val="0"/>
    <w:pPr>
      <w:ind w:firstLine="420"/>
    </w:pPr>
  </w:style>
  <w:style w:type="paragraph" w:customStyle="1" w:styleId="69">
    <w:name w:val="正文样式"/>
    <w:basedOn w:val="1"/>
    <w:qFormat/>
    <w:uiPriority w:val="0"/>
    <w:pPr>
      <w:spacing w:before="156" w:beforeLines="50" w:line="312" w:lineRule="auto"/>
      <w:ind w:firstLine="200" w:firstLineChars="200"/>
    </w:pPr>
    <w:rPr>
      <w:rFonts w:ascii="Calibri" w:hAnsi="Calibri"/>
      <w:sz w:val="24"/>
      <w:szCs w:val="24"/>
    </w:rPr>
  </w:style>
  <w:style w:type="paragraph" w:customStyle="1" w:styleId="70">
    <w:name w:val="reader-word-layer reader-word-s1-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1">
    <w:name w:val="4"/>
    <w:basedOn w:val="1"/>
    <w:uiPriority w:val="0"/>
    <w:pPr>
      <w:widowControl/>
      <w:spacing w:before="100" w:beforeAutospacing="1" w:after="100" w:afterAutospacing="1"/>
      <w:jc w:val="left"/>
    </w:pPr>
    <w:rPr>
      <w:rFonts w:ascii="宋体" w:hAnsi="宋体" w:cs="宋体"/>
      <w:kern w:val="0"/>
      <w:sz w:val="24"/>
    </w:rPr>
  </w:style>
  <w:style w:type="paragraph" w:customStyle="1" w:styleId="72">
    <w:name w:val="List Paragraph"/>
    <w:basedOn w:val="1"/>
    <w:qFormat/>
    <w:uiPriority w:val="34"/>
    <w:pPr>
      <w:ind w:firstLine="420" w:firstLineChars="200"/>
    </w:pPr>
  </w:style>
  <w:style w:type="paragraph" w:customStyle="1" w:styleId="73">
    <w:name w:val="newnewnewnew"/>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4">
    <w:name w:val="p0"/>
    <w:basedOn w:val="1"/>
    <w:uiPriority w:val="0"/>
    <w:pPr>
      <w:widowControl/>
    </w:pPr>
    <w:rPr>
      <w:kern w:val="0"/>
      <w:szCs w:val="21"/>
    </w:rPr>
  </w:style>
  <w:style w:type="paragraph" w:customStyle="1" w:styleId="75">
    <w:name w:val="列出段落1"/>
    <w:basedOn w:val="1"/>
    <w:qFormat/>
    <w:uiPriority w:val="0"/>
    <w:pPr>
      <w:ind w:firstLine="420" w:firstLineChars="200"/>
    </w:pPr>
    <w:rPr>
      <w:rFonts w:ascii="Calibri" w:hAnsi="Calibri"/>
      <w:szCs w:val="22"/>
    </w:rPr>
  </w:style>
  <w:style w:type="paragraph" w:customStyle="1" w:styleId="76">
    <w:name w:val="Default"/>
    <w:qFormat/>
    <w:uiPriority w:val="0"/>
    <w:pPr>
      <w:widowControl w:val="0"/>
      <w:autoSpaceDE w:val="0"/>
      <w:autoSpaceDN w:val="0"/>
      <w:adjustRightInd w:val="0"/>
    </w:pPr>
    <w:rPr>
      <w:color w:val="000000"/>
      <w:sz w:val="24"/>
      <w:szCs w:val="24"/>
      <w:lang w:val="en-US" w:eastAsia="zh-CN" w:bidi="ar-SA"/>
    </w:rPr>
  </w:style>
  <w:style w:type="paragraph" w:customStyle="1" w:styleId="77">
    <w:name w:val="xl30"/>
    <w:basedOn w:val="1"/>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78">
    <w:name w:val="_Style 3"/>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79">
    <w:name w:val="Char"/>
    <w:basedOn w:val="1"/>
    <w:uiPriority w:val="0"/>
    <w:rPr>
      <w:szCs w:val="24"/>
    </w:rPr>
  </w:style>
  <w:style w:type="table" w:customStyle="1" w:styleId="80">
    <w:name w:val="网格型1"/>
    <w:basedOn w:val="23"/>
    <w:uiPriority w:val="59"/>
    <w:rPr>
      <w:rFonts w:ascii="Calibri" w:hAnsi="Calibri" w:cs="宋体"/>
      <w:kern w:val="2"/>
      <w:sz w:val="21"/>
      <w:szCs w:val="22"/>
    </w:rPr>
    <w:tblPr>
      <w:tblStyle w:val="2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1">
    <w:name w:val="中等深浅列表 2 - 强调文字颜色 41"/>
    <w:basedOn w:val="1"/>
    <w:qFormat/>
    <w:uiPriority w:val="34"/>
    <w:pPr>
      <w:ind w:firstLine="420" w:firstLineChars="200"/>
    </w:pPr>
    <w:rPr>
      <w:rFonts w:ascii="Calibri" w:hAnsi="Calibri"/>
      <w:szCs w:val="22"/>
    </w:rPr>
  </w:style>
  <w:style w:type="paragraph" w:customStyle="1" w:styleId="82">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83">
    <w:name w:val="网格型2"/>
    <w:basedOn w:val="23"/>
    <w:uiPriority w:val="39"/>
    <w:rPr>
      <w:rFonts w:ascii="Calibri" w:hAnsi="Calibri" w:eastAsia="宋体" w:cs="Times New Roman"/>
    </w:r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4">
    <w:name w:val="段"/>
    <w:next w:val="1"/>
    <w:qFormat/>
    <w:uiPriority w:val="0"/>
    <w:pPr>
      <w:autoSpaceDE w:val="0"/>
      <w:autoSpaceDN w:val="0"/>
      <w:adjustRightInd w:val="0"/>
      <w:snapToGrid w:val="0"/>
      <w:spacing w:line="360" w:lineRule="auto"/>
      <w:ind w:firstLine="200" w:firstLineChars="200"/>
      <w:jc w:val="both"/>
    </w:pPr>
    <w:rPr>
      <w:rFonts w:ascii="宋体" w:hAnsi="Calibri"/>
      <w:sz w:val="24"/>
      <w:szCs w:val="22"/>
      <w:lang w:val="en-US" w:eastAsia="zh-CN" w:bidi="ar-SA"/>
    </w:rPr>
  </w:style>
  <w:style w:type="paragraph" w:customStyle="1" w:styleId="85">
    <w:name w:val="_Style 64"/>
    <w:basedOn w:val="1"/>
    <w:next w:val="59"/>
    <w:qFormat/>
    <w:uiPriority w:val="0"/>
    <w:pPr>
      <w:ind w:firstLine="420" w:firstLineChars="200"/>
    </w:pPr>
    <w:rPr>
      <w:rFonts w:ascii="Times New Roman" w:hAnsi="Times New Roman" w:eastAsia="宋体" w:cs="Times New Roman"/>
      <w:szCs w:val="24"/>
    </w:rPr>
  </w:style>
  <w:style w:type="paragraph" w:customStyle="1" w:styleId="86">
    <w:name w:val="Table Text"/>
    <w:qFormat/>
    <w:uiPriority w:val="0"/>
    <w:pPr>
      <w:autoSpaceDE w:val="0"/>
      <w:autoSpaceDN w:val="0"/>
      <w:spacing w:before="80" w:after="80"/>
      <w:textAlignment w:val="bottom"/>
    </w:pPr>
    <w:rPr>
      <w:rFonts w:ascii="Arial" w:hAnsi="Arial" w:cs="Arial Narrow"/>
      <w:sz w:val="18"/>
      <w:szCs w:val="18"/>
      <w:lang w:val="en-US" w:eastAsia="zh-CN" w:bidi="ar-SA"/>
    </w:rPr>
  </w:style>
  <w:style w:type="paragraph" w:customStyle="1" w:styleId="87">
    <w:name w:val="Table Heading"/>
    <w:qFormat/>
    <w:uiPriority w:val="0"/>
    <w:pPr>
      <w:keepNext/>
      <w:spacing w:before="80" w:after="80"/>
      <w:jc w:val="center"/>
    </w:pPr>
    <w:rPr>
      <w:rFonts w:ascii="Arial" w:hAnsi="Arial" w:eastAsia="黑体" w:cs="Arial Narrow"/>
      <w:bCs/>
      <w:sz w:val="18"/>
      <w:lang w:val="en-US" w:eastAsia="zh-CN" w:bidi="ar-SA"/>
    </w:rPr>
  </w:style>
  <w:style w:type="character" w:customStyle="1" w:styleId="88">
    <w:name w:val="font41"/>
    <w:uiPriority w:val="0"/>
    <w:rPr>
      <w:rFonts w:hint="eastAsia" w:ascii="宋体" w:hAnsi="宋体" w:eastAsia="宋体" w:cs="宋体"/>
      <w:color w:val="7030A0"/>
      <w:sz w:val="20"/>
      <w:szCs w:val="20"/>
      <w:u w:val="none"/>
    </w:rPr>
  </w:style>
  <w:style w:type="character" w:customStyle="1" w:styleId="89">
    <w:name w:val="font31"/>
    <w:uiPriority w:val="0"/>
    <w:rPr>
      <w:rFonts w:hint="eastAsia" w:ascii="宋体" w:hAnsi="宋体" w:eastAsia="宋体" w:cs="宋体"/>
      <w:color w:val="000000"/>
      <w:sz w:val="20"/>
      <w:szCs w:val="20"/>
      <w:u w:val="none"/>
    </w:rPr>
  </w:style>
  <w:style w:type="character" w:customStyle="1" w:styleId="90">
    <w:name w:val="font111"/>
    <w:uiPriority w:val="0"/>
    <w:rPr>
      <w:rFonts w:hint="eastAsia" w:ascii="宋体" w:hAnsi="宋体" w:eastAsia="宋体" w:cs="宋体"/>
      <w:color w:val="7030A0"/>
      <w:sz w:val="20"/>
      <w:szCs w:val="20"/>
      <w:u w:val="none"/>
    </w:rPr>
  </w:style>
  <w:style w:type="paragraph" w:styleId="91">
    <w:name w:val=""/>
    <w:unhideWhenUsed/>
    <w:uiPriority w:val="99"/>
    <w:rPr>
      <w:kern w:val="2"/>
      <w:sz w:val="21"/>
      <w:lang w:val="en-US" w:eastAsia="zh-CN" w:bidi="ar-SA"/>
    </w:rPr>
  </w:style>
  <w:style w:type="character" w:customStyle="1" w:styleId="92">
    <w:name w:val="font121"/>
    <w:basedOn w:val="25"/>
    <w:uiPriority w:val="0"/>
    <w:rPr>
      <w:rFonts w:hint="eastAsia" w:ascii="宋体" w:hAnsi="宋体" w:eastAsia="宋体" w:cs="宋体"/>
      <w:color w:val="FF0000"/>
      <w:sz w:val="22"/>
      <w:szCs w:val="22"/>
      <w:u w:val="none"/>
    </w:rPr>
  </w:style>
  <w:style w:type="character" w:customStyle="1" w:styleId="93">
    <w:name w:val="font131"/>
    <w:basedOn w:val="25"/>
    <w:uiPriority w:val="0"/>
    <w:rPr>
      <w:rFonts w:hint="eastAsia" w:ascii="宋体" w:hAnsi="宋体" w:eastAsia="宋体" w:cs="宋体"/>
      <w:color w:val="0070C0"/>
      <w:sz w:val="20"/>
      <w:szCs w:val="20"/>
      <w:u w:val="none"/>
    </w:rPr>
  </w:style>
  <w:style w:type="character" w:customStyle="1" w:styleId="94">
    <w:name w:val="font141"/>
    <w:basedOn w:val="25"/>
    <w:uiPriority w:val="0"/>
    <w:rPr>
      <w:rFonts w:hint="eastAsia" w:ascii="宋体" w:hAnsi="宋体" w:eastAsia="宋体" w:cs="宋体"/>
      <w:color w:val="538DD5"/>
      <w:sz w:val="20"/>
      <w:szCs w:val="20"/>
      <w:u w:val="none"/>
    </w:rPr>
  </w:style>
  <w:style w:type="character" w:customStyle="1" w:styleId="95">
    <w:name w:val="font151"/>
    <w:basedOn w:val="25"/>
    <w:uiPriority w:val="0"/>
    <w:rPr>
      <w:rFonts w:hint="eastAsia" w:ascii="宋体" w:hAnsi="宋体" w:eastAsia="宋体" w:cs="宋体"/>
      <w:color w:val="000000"/>
      <w:sz w:val="20"/>
      <w:szCs w:val="20"/>
      <w:u w:val="none"/>
      <w:vertAlign w:val="superscript"/>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theme/theme1.xml" Type="http://schemas.openxmlformats.org/officeDocument/2006/relationships/theme"/><Relationship Id="rId7" Target="../customXml/item1.xml" Type="http://schemas.openxmlformats.org/officeDocument/2006/relationships/customXml"/><Relationship Id="rId8" Target="numbering.xml" Type="http://schemas.openxmlformats.org/officeDocument/2006/relationships/numbering"/><Relationship Id="rId9" Target="fontTable.xml" Type="http://schemas.openxmlformats.org/officeDocument/2006/relationships/fontTable"/></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92</Pages>
  <Words>68370</Words>
  <Characters>74356</Characters>
  <Lines>587</Lines>
  <Paragraphs>165</Paragraphs>
  <TotalTime>13</TotalTime>
  <ScaleCrop>false</ScaleCrop>
  <LinksUpToDate>false</LinksUpToDate>
  <CharactersWithSpaces>77284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2022-02-18T07:06:00Z</dcterms:created>
  <dc:creator>Administrator</dc:creator>
  <cp:lastModifiedBy>WPS_1701756769</cp:lastModifiedBy>
  <cp:lastPrinted>2021-06-28T08:17:00Z</cp:lastPrinted>
  <dcterms:modified xsi:type="dcterms:W3CDTF">2024-02-23T03:25:48Z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4B2A3FBF87D244A2A329C67EE25CB958_13</vt:lpwstr>
  </property>
</Properties>
</file>