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baseline"/>
        <w:rPr>
          <w:rFonts w:ascii="宋体" w:hAnsi="宋体" w:cs="宋体"/>
          <w:b/>
          <w:color w:val="auto"/>
          <w:spacing w:val="2"/>
          <w:position w:val="-3"/>
          <w:sz w:val="44"/>
          <w:szCs w:val="44"/>
          <w:highlight w:val="none"/>
        </w:rPr>
      </w:pPr>
    </w:p>
    <w:p>
      <w:pPr>
        <w:spacing w:line="360" w:lineRule="auto"/>
        <w:jc w:val="center"/>
        <w:textAlignment w:val="baseline"/>
        <w:rPr>
          <w:rFonts w:ascii="宋体" w:hAnsi="宋体" w:cs="宋体"/>
          <w:b/>
          <w:color w:val="auto"/>
          <w:spacing w:val="2"/>
          <w:position w:val="-3"/>
          <w:sz w:val="44"/>
          <w:szCs w:val="44"/>
          <w:highlight w:val="none"/>
        </w:rPr>
      </w:pPr>
    </w:p>
    <w:p>
      <w:pPr>
        <w:pStyle w:val="2"/>
        <w:jc w:val="center"/>
        <w:rPr>
          <w:rFonts w:ascii="宋体" w:hAnsi="宋体" w:cs="宋体"/>
          <w:b/>
          <w:color w:val="auto"/>
          <w:spacing w:val="2"/>
          <w:position w:val="-3"/>
          <w:sz w:val="44"/>
          <w:szCs w:val="44"/>
          <w:highlight w:val="none"/>
        </w:rPr>
      </w:pPr>
      <w:r>
        <w:rPr>
          <w:rFonts w:hint="eastAsia" w:ascii="宋体" w:hAnsi="宋体" w:cs="宋体"/>
          <w:b/>
          <w:color w:val="auto"/>
          <w:spacing w:val="2"/>
          <w:position w:val="-3"/>
          <w:sz w:val="44"/>
          <w:szCs w:val="44"/>
          <w:highlight w:val="none"/>
        </w:rPr>
        <w:t>爱常山-数字化建设工程（一期）</w:t>
      </w:r>
    </w:p>
    <w:p>
      <w:pPr>
        <w:rPr>
          <w:rFonts w:ascii="宋体" w:hAnsi="宋体" w:cs="宋体"/>
          <w:color w:val="auto"/>
          <w:highlight w:val="none"/>
        </w:rPr>
      </w:pPr>
    </w:p>
    <w:p>
      <w:pPr>
        <w:spacing w:line="360" w:lineRule="auto"/>
        <w:jc w:val="center"/>
        <w:textAlignment w:val="baseline"/>
        <w:rPr>
          <w:rFonts w:ascii="宋体" w:hAnsi="宋体" w:cs="宋体"/>
          <w:b/>
          <w:color w:val="auto"/>
          <w:spacing w:val="2"/>
          <w:position w:val="-3"/>
          <w:sz w:val="44"/>
          <w:szCs w:val="44"/>
          <w:highlight w:val="none"/>
        </w:rPr>
      </w:pPr>
    </w:p>
    <w:p>
      <w:pPr>
        <w:spacing w:line="360" w:lineRule="auto"/>
        <w:jc w:val="center"/>
        <w:textAlignment w:val="baseline"/>
        <w:rPr>
          <w:rFonts w:ascii="宋体" w:hAnsi="宋体" w:cs="宋体"/>
          <w:b/>
          <w:color w:val="auto"/>
          <w:spacing w:val="2"/>
          <w:position w:val="-3"/>
          <w:sz w:val="44"/>
          <w:szCs w:val="44"/>
          <w:highlight w:val="none"/>
        </w:rPr>
      </w:pPr>
      <w:r>
        <w:rPr>
          <w:rFonts w:hint="eastAsia" w:ascii="宋体" w:hAnsi="宋体" w:cs="宋体"/>
          <w:b/>
          <w:color w:val="auto"/>
          <w:spacing w:val="2"/>
          <w:position w:val="-3"/>
          <w:sz w:val="44"/>
          <w:szCs w:val="44"/>
          <w:highlight w:val="none"/>
        </w:rPr>
        <w:t>竞争性磋商文件</w:t>
      </w:r>
    </w:p>
    <w:p>
      <w:pPr>
        <w:spacing w:line="360" w:lineRule="auto"/>
        <w:jc w:val="center"/>
        <w:textAlignment w:val="baseline"/>
        <w:rPr>
          <w:rFonts w:hint="eastAsia" w:ascii="宋体" w:hAnsi="宋体" w:eastAsia="宋体" w:cs="宋体"/>
          <w:b/>
          <w:bCs w:val="0"/>
          <w:color w:val="auto"/>
          <w:sz w:val="28"/>
          <w:szCs w:val="28"/>
          <w:highlight w:val="none"/>
          <w:lang w:eastAsia="zh-CN"/>
        </w:rPr>
      </w:pPr>
      <w:r>
        <w:rPr>
          <w:rFonts w:hint="eastAsia" w:ascii="宋体" w:hAnsi="宋体" w:cs="宋体"/>
          <w:b/>
          <w:bCs w:val="0"/>
          <w:color w:val="auto"/>
          <w:sz w:val="28"/>
          <w:szCs w:val="28"/>
          <w:highlight w:val="none"/>
          <w:lang w:eastAsia="zh-CN"/>
        </w:rPr>
        <w:t>（</w:t>
      </w:r>
      <w:r>
        <w:rPr>
          <w:rFonts w:hint="eastAsia" w:ascii="宋体" w:hAnsi="宋体" w:cs="宋体"/>
          <w:b/>
          <w:bCs w:val="0"/>
          <w:color w:val="auto"/>
          <w:sz w:val="28"/>
          <w:szCs w:val="28"/>
          <w:highlight w:val="none"/>
          <w:lang w:val="en-US" w:eastAsia="zh-CN"/>
        </w:rPr>
        <w:t>征求意见稿</w:t>
      </w:r>
      <w:r>
        <w:rPr>
          <w:rFonts w:hint="eastAsia" w:ascii="宋体" w:hAnsi="宋体" w:cs="宋体"/>
          <w:b/>
          <w:bCs w:val="0"/>
          <w:color w:val="auto"/>
          <w:sz w:val="28"/>
          <w:szCs w:val="28"/>
          <w:highlight w:val="none"/>
          <w:lang w:eastAsia="zh-CN"/>
        </w:rPr>
        <w:t>）</w:t>
      </w:r>
    </w:p>
    <w:p>
      <w:pPr>
        <w:spacing w:line="360" w:lineRule="auto"/>
        <w:jc w:val="center"/>
        <w:textAlignment w:val="baseline"/>
        <w:rPr>
          <w:rFonts w:ascii="宋体" w:hAnsi="宋体" w:cs="宋体"/>
          <w:bCs/>
          <w:color w:val="auto"/>
          <w:sz w:val="24"/>
          <w:szCs w:val="24"/>
          <w:highlight w:val="none"/>
        </w:rPr>
      </w:pPr>
    </w:p>
    <w:p>
      <w:pPr>
        <w:spacing w:line="360" w:lineRule="auto"/>
        <w:jc w:val="center"/>
        <w:textAlignment w:val="baseline"/>
        <w:rPr>
          <w:rFonts w:ascii="宋体" w:hAnsi="宋体" w:cs="宋体"/>
          <w:bCs/>
          <w:color w:val="auto"/>
          <w:sz w:val="24"/>
          <w:szCs w:val="24"/>
          <w:highlight w:val="none"/>
        </w:rPr>
      </w:pPr>
      <w:r>
        <w:rPr>
          <w:rFonts w:hint="eastAsia" w:ascii="宋体" w:hAnsi="宋体" w:cs="宋体"/>
          <w:b/>
          <w:bCs/>
          <w:color w:val="auto"/>
          <w:sz w:val="84"/>
          <w:szCs w:val="84"/>
          <w:highlight w:val="none"/>
        </w:rPr>
        <w:drawing>
          <wp:inline distT="0" distB="0" distL="114300" distR="114300">
            <wp:extent cx="1489075" cy="1489075"/>
            <wp:effectExtent l="0" t="0" r="15875" b="15875"/>
            <wp:docPr id="4" name="图片 1" descr="新版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新版公司LOGO"/>
                    <pic:cNvPicPr>
                      <a:picLocks noChangeAspect="1"/>
                    </pic:cNvPicPr>
                  </pic:nvPicPr>
                  <pic:blipFill>
                    <a:blip r:embed="rId10"/>
                    <a:stretch>
                      <a:fillRect/>
                    </a:stretch>
                  </pic:blipFill>
                  <pic:spPr>
                    <a:xfrm>
                      <a:off x="0" y="0"/>
                      <a:ext cx="1489075" cy="1489075"/>
                    </a:xfrm>
                    <a:prstGeom prst="rect">
                      <a:avLst/>
                    </a:prstGeom>
                    <a:noFill/>
                    <a:ln>
                      <a:noFill/>
                    </a:ln>
                  </pic:spPr>
                </pic:pic>
              </a:graphicData>
            </a:graphic>
          </wp:inline>
        </w:drawing>
      </w:r>
    </w:p>
    <w:p>
      <w:pPr>
        <w:spacing w:line="360" w:lineRule="auto"/>
        <w:jc w:val="center"/>
        <w:textAlignment w:val="baseline"/>
        <w:rPr>
          <w:rFonts w:ascii="宋体" w:hAnsi="宋体" w:cs="宋体"/>
          <w:bCs/>
          <w:color w:val="auto"/>
          <w:sz w:val="24"/>
          <w:szCs w:val="24"/>
          <w:highlight w:val="none"/>
        </w:rPr>
      </w:pPr>
    </w:p>
    <w:p>
      <w:pPr>
        <w:pStyle w:val="2"/>
        <w:textAlignment w:val="baseline"/>
        <w:rPr>
          <w:rFonts w:ascii="宋体" w:hAnsi="宋体" w:cs="宋体"/>
          <w:color w:val="auto"/>
          <w:highlight w:val="none"/>
        </w:rPr>
      </w:pPr>
    </w:p>
    <w:p>
      <w:pPr>
        <w:spacing w:line="360" w:lineRule="auto"/>
        <w:jc w:val="center"/>
        <w:textAlignment w:val="baseline"/>
        <w:rPr>
          <w:rFonts w:ascii="宋体" w:hAnsi="宋体" w:cs="宋体"/>
          <w:bCs/>
          <w:color w:val="auto"/>
          <w:sz w:val="24"/>
          <w:szCs w:val="24"/>
          <w:highlight w:val="none"/>
        </w:rPr>
      </w:pPr>
    </w:p>
    <w:p>
      <w:pPr>
        <w:spacing w:line="760" w:lineRule="exact"/>
        <w:ind w:firstLine="976" w:firstLineChars="300"/>
        <w:textAlignment w:val="baseline"/>
        <w:rPr>
          <w:rFonts w:ascii="宋体" w:hAnsi="宋体" w:cs="宋体"/>
          <w:b/>
          <w:color w:val="auto"/>
          <w:spacing w:val="2"/>
          <w:position w:val="-3"/>
          <w:sz w:val="32"/>
          <w:szCs w:val="32"/>
          <w:highlight w:val="none"/>
          <w:u w:val="single"/>
        </w:rPr>
      </w:pPr>
      <w:r>
        <w:rPr>
          <w:rFonts w:hint="eastAsia" w:ascii="宋体" w:hAnsi="宋体" w:cs="宋体"/>
          <w:b/>
          <w:color w:val="auto"/>
          <w:spacing w:val="2"/>
          <w:position w:val="-3"/>
          <w:sz w:val="32"/>
          <w:szCs w:val="32"/>
          <w:highlight w:val="none"/>
        </w:rPr>
        <w:t>项目编号：GXZFCG-2022-CS09</w:t>
      </w:r>
    </w:p>
    <w:p>
      <w:pPr>
        <w:spacing w:line="760" w:lineRule="exact"/>
        <w:ind w:firstLine="976" w:firstLineChars="300"/>
        <w:textAlignment w:val="baseline"/>
        <w:rPr>
          <w:rFonts w:ascii="宋体" w:hAnsi="宋体" w:cs="宋体"/>
          <w:b/>
          <w:color w:val="auto"/>
          <w:spacing w:val="2"/>
          <w:position w:val="-3"/>
          <w:sz w:val="32"/>
          <w:szCs w:val="32"/>
          <w:highlight w:val="none"/>
        </w:rPr>
      </w:pPr>
      <w:r>
        <w:rPr>
          <w:rFonts w:hint="eastAsia" w:ascii="宋体" w:hAnsi="宋体" w:cs="宋体"/>
          <w:b/>
          <w:color w:val="auto"/>
          <w:spacing w:val="2"/>
          <w:position w:val="-3"/>
          <w:sz w:val="32"/>
          <w:szCs w:val="32"/>
          <w:highlight w:val="none"/>
        </w:rPr>
        <w:t xml:space="preserve">采购人：常山传媒集团 </w:t>
      </w:r>
    </w:p>
    <w:p>
      <w:pPr>
        <w:spacing w:line="760" w:lineRule="exact"/>
        <w:ind w:firstLine="976" w:firstLineChars="300"/>
        <w:textAlignment w:val="baseline"/>
        <w:rPr>
          <w:rFonts w:ascii="宋体" w:hAnsi="宋体" w:cs="宋体"/>
          <w:b/>
          <w:color w:val="auto"/>
          <w:spacing w:val="2"/>
          <w:position w:val="-3"/>
          <w:sz w:val="32"/>
          <w:szCs w:val="32"/>
          <w:highlight w:val="none"/>
        </w:rPr>
      </w:pPr>
      <w:r>
        <w:rPr>
          <w:rFonts w:hint="eastAsia" w:ascii="宋体" w:hAnsi="宋体" w:cs="宋体"/>
          <w:b/>
          <w:color w:val="auto"/>
          <w:spacing w:val="2"/>
          <w:position w:val="-3"/>
          <w:sz w:val="32"/>
          <w:szCs w:val="32"/>
          <w:highlight w:val="none"/>
        </w:rPr>
        <w:t>代理机构：浙江衢州公信工程管理有限公司</w:t>
      </w:r>
    </w:p>
    <w:p>
      <w:pPr>
        <w:spacing w:line="700" w:lineRule="exact"/>
        <w:jc w:val="center"/>
        <w:textAlignment w:val="baseline"/>
        <w:rPr>
          <w:rFonts w:ascii="宋体" w:hAnsi="宋体" w:cs="宋体"/>
          <w:b/>
          <w:color w:val="auto"/>
          <w:spacing w:val="2"/>
          <w:position w:val="-3"/>
          <w:sz w:val="32"/>
          <w:szCs w:val="32"/>
          <w:highlight w:val="none"/>
        </w:rPr>
      </w:pPr>
    </w:p>
    <w:p>
      <w:pPr>
        <w:spacing w:line="700" w:lineRule="exact"/>
        <w:jc w:val="center"/>
        <w:textAlignment w:val="baseline"/>
        <w:rPr>
          <w:rFonts w:ascii="宋体" w:hAnsi="宋体" w:cs="宋体"/>
          <w:b/>
          <w:color w:val="auto"/>
          <w:spacing w:val="2"/>
          <w:position w:val="-3"/>
          <w:sz w:val="32"/>
          <w:szCs w:val="32"/>
          <w:highlight w:val="none"/>
        </w:rPr>
        <w:sectPr>
          <w:headerReference r:id="rId3" w:type="default"/>
          <w:pgSz w:w="11906" w:h="16838"/>
          <w:pgMar w:top="1440" w:right="850" w:bottom="1440" w:left="85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b/>
          <w:color w:val="auto"/>
          <w:spacing w:val="2"/>
          <w:position w:val="-3"/>
          <w:sz w:val="32"/>
          <w:szCs w:val="32"/>
          <w:highlight w:val="none"/>
        </w:rPr>
        <w:t>二〇二二年</w:t>
      </w:r>
      <w:r>
        <w:rPr>
          <w:rFonts w:hint="eastAsia" w:ascii="宋体" w:hAnsi="宋体" w:cs="宋体"/>
          <w:b/>
          <w:color w:val="auto"/>
          <w:spacing w:val="2"/>
          <w:position w:val="-3"/>
          <w:sz w:val="32"/>
          <w:szCs w:val="32"/>
          <w:highlight w:val="none"/>
          <w:lang w:val="en-US" w:eastAsia="zh-CN"/>
        </w:rPr>
        <w:t>六</w:t>
      </w:r>
      <w:r>
        <w:rPr>
          <w:rFonts w:hint="eastAsia" w:ascii="宋体" w:hAnsi="宋体" w:cs="宋体"/>
          <w:b/>
          <w:color w:val="auto"/>
          <w:spacing w:val="2"/>
          <w:position w:val="-3"/>
          <w:sz w:val="32"/>
          <w:szCs w:val="32"/>
          <w:highlight w:val="none"/>
        </w:rPr>
        <w:t>月</w:t>
      </w:r>
    </w:p>
    <w:p>
      <w:pPr>
        <w:spacing w:after="312" w:afterAutospacing="1" w:line="360" w:lineRule="auto"/>
        <w:textAlignment w:val="baseline"/>
        <w:rPr>
          <w:rFonts w:ascii="宋体" w:hAnsi="宋体" w:cs="宋体"/>
          <w:color w:val="auto"/>
          <w:sz w:val="28"/>
          <w:szCs w:val="28"/>
          <w:highlight w:val="none"/>
        </w:rPr>
      </w:pPr>
    </w:p>
    <w:p>
      <w:pPr>
        <w:spacing w:after="312" w:afterAutospacing="1" w:line="360" w:lineRule="auto"/>
        <w:textAlignment w:val="baseline"/>
        <w:rPr>
          <w:rFonts w:ascii="宋体" w:hAnsi="宋体" w:cs="宋体"/>
          <w:color w:val="auto"/>
          <w:sz w:val="28"/>
          <w:szCs w:val="28"/>
          <w:highlight w:val="none"/>
        </w:rPr>
      </w:pPr>
    </w:p>
    <w:p>
      <w:pPr>
        <w:spacing w:before="24" w:after="24" w:line="360" w:lineRule="auto"/>
        <w:jc w:val="center"/>
        <w:textAlignment w:val="baseline"/>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sdt>
      <w:sdtPr>
        <w:rPr>
          <w:rFonts w:hint="eastAsia" w:ascii="宋体" w:hAnsi="宋体" w:cs="宋体"/>
          <w:color w:val="auto"/>
          <w:kern w:val="0"/>
          <w:sz w:val="24"/>
          <w:highlight w:val="none"/>
          <w:lang w:val="zh-CN"/>
        </w:rPr>
        <w:id w:val="147455864"/>
        <w:docPartObj>
          <w:docPartGallery w:val="Table of Contents"/>
          <w:docPartUnique/>
        </w:docPartObj>
      </w:sdtPr>
      <w:sdtEndPr>
        <w:rPr>
          <w:rFonts w:hint="eastAsia" w:ascii="宋体" w:hAnsi="宋体" w:cs="宋体"/>
          <w:bCs/>
          <w:color w:val="auto"/>
          <w:kern w:val="0"/>
          <w:sz w:val="24"/>
          <w:szCs w:val="28"/>
          <w:highlight w:val="none"/>
          <w:lang w:val="zh-CN"/>
        </w:rPr>
      </w:sdtEndPr>
      <w:sdtContent>
        <w:p>
          <w:pPr>
            <w:jc w:val="center"/>
            <w:rPr>
              <w:rFonts w:ascii="宋体" w:hAnsi="宋体" w:cs="宋体"/>
              <w:color w:val="auto"/>
              <w:highlight w:val="none"/>
            </w:rPr>
          </w:pPr>
        </w:p>
        <w:p>
          <w:pPr>
            <w:pStyle w:val="86"/>
            <w:tabs>
              <w:tab w:val="right" w:leader="dot" w:pos="10206"/>
            </w:tabs>
            <w:rPr>
              <w:rFonts w:ascii="宋体" w:hAnsi="宋体" w:cs="宋体"/>
              <w:color w:val="auto"/>
              <w:sz w:val="28"/>
              <w:szCs w:val="28"/>
              <w:highlight w:val="none"/>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TOC \o "1-1" \h \u </w:instrText>
          </w:r>
          <w:r>
            <w:rPr>
              <w:rFonts w:hint="eastAsia" w:ascii="宋体" w:hAnsi="宋体" w:cs="宋体"/>
              <w:b/>
              <w:bCs/>
              <w:color w:val="auto"/>
              <w:sz w:val="28"/>
              <w:szCs w:val="28"/>
              <w:highlight w:val="none"/>
            </w:rPr>
            <w:fldChar w:fldCharType="separate"/>
          </w:r>
          <w:r>
            <w:rPr>
              <w:color w:val="auto"/>
              <w:highlight w:val="none"/>
            </w:rPr>
            <w:fldChar w:fldCharType="begin"/>
          </w:r>
          <w:r>
            <w:rPr>
              <w:color w:val="auto"/>
              <w:highlight w:val="none"/>
            </w:rPr>
            <w:instrText xml:space="preserve"> HYPERLINK \l "_Toc3203" </w:instrText>
          </w:r>
          <w:r>
            <w:rPr>
              <w:color w:val="auto"/>
              <w:highlight w:val="none"/>
            </w:rPr>
            <w:fldChar w:fldCharType="separate"/>
          </w:r>
          <w:r>
            <w:rPr>
              <w:rFonts w:hint="eastAsia" w:ascii="宋体" w:hAnsi="宋体" w:cs="宋体"/>
              <w:bCs/>
              <w:color w:val="auto"/>
              <w:sz w:val="28"/>
              <w:szCs w:val="28"/>
              <w:highlight w:val="none"/>
            </w:rPr>
            <w:t>第一章  竞争性磋商公告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_Toc3203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86"/>
            <w:tabs>
              <w:tab w:val="right" w:leader="dot" w:pos="10206"/>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"_Toc16791" </w:instrText>
          </w:r>
          <w:r>
            <w:rPr>
              <w:color w:val="auto"/>
              <w:highlight w:val="none"/>
            </w:rPr>
            <w:fldChar w:fldCharType="separate"/>
          </w:r>
          <w:r>
            <w:rPr>
              <w:rFonts w:hint="eastAsia" w:ascii="宋体" w:hAnsi="宋体" w:cs="宋体"/>
              <w:bCs/>
              <w:color w:val="auto"/>
              <w:sz w:val="28"/>
              <w:szCs w:val="28"/>
              <w:highlight w:val="none"/>
            </w:rPr>
            <w:t>第二章  磋商供应商须知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_Toc16791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86"/>
            <w:tabs>
              <w:tab w:val="right" w:leader="dot" w:pos="10206"/>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"_Toc26093" </w:instrText>
          </w:r>
          <w:r>
            <w:rPr>
              <w:color w:val="auto"/>
              <w:highlight w:val="none"/>
            </w:rPr>
            <w:fldChar w:fldCharType="separate"/>
          </w:r>
          <w:r>
            <w:rPr>
              <w:rFonts w:hint="eastAsia" w:ascii="宋体" w:hAnsi="宋体" w:cs="宋体"/>
              <w:bCs/>
              <w:color w:val="auto"/>
              <w:kern w:val="2"/>
              <w:sz w:val="28"/>
              <w:szCs w:val="28"/>
              <w:highlight w:val="none"/>
            </w:rPr>
            <w:t xml:space="preserve">第三章  </w:t>
          </w:r>
          <w:r>
            <w:rPr>
              <w:rFonts w:hint="eastAsia" w:ascii="宋体" w:hAnsi="宋体" w:cs="宋体"/>
              <w:bCs/>
              <w:color w:val="auto"/>
              <w:kern w:val="2"/>
              <w:sz w:val="28"/>
              <w:szCs w:val="28"/>
              <w:highlight w:val="none"/>
              <w:lang w:val="zh-CN"/>
            </w:rPr>
            <w:t>采购内容及要求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_Toc26093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20</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86"/>
            <w:tabs>
              <w:tab w:val="right" w:leader="dot" w:pos="10206"/>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"_Toc21547" </w:instrText>
          </w:r>
          <w:r>
            <w:rPr>
              <w:color w:val="auto"/>
              <w:highlight w:val="none"/>
            </w:rPr>
            <w:fldChar w:fldCharType="separate"/>
          </w:r>
          <w:r>
            <w:rPr>
              <w:rFonts w:hint="eastAsia" w:ascii="宋体" w:hAnsi="宋体" w:cs="宋体"/>
              <w:color w:val="auto"/>
              <w:sz w:val="28"/>
              <w:szCs w:val="28"/>
              <w:highlight w:val="none"/>
            </w:rPr>
            <w:t>第四章  合同格式样本</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_Toc21547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86"/>
            <w:tabs>
              <w:tab w:val="right" w:leader="dot" w:pos="10206"/>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"_Toc17895" </w:instrText>
          </w:r>
          <w:r>
            <w:rPr>
              <w:color w:val="auto"/>
              <w:highlight w:val="none"/>
            </w:rPr>
            <w:fldChar w:fldCharType="separate"/>
          </w:r>
          <w:r>
            <w:rPr>
              <w:rFonts w:hint="eastAsia" w:ascii="宋体" w:hAnsi="宋体" w:cs="宋体"/>
              <w:color w:val="auto"/>
              <w:sz w:val="28"/>
              <w:szCs w:val="28"/>
              <w:highlight w:val="none"/>
            </w:rPr>
            <w:t xml:space="preserve">第五章  </w:t>
          </w:r>
          <w:r>
            <w:rPr>
              <w:rFonts w:hint="eastAsia" w:ascii="宋体" w:hAnsi="宋体" w:cs="宋体"/>
              <w:color w:val="auto"/>
              <w:sz w:val="28"/>
              <w:szCs w:val="28"/>
              <w:highlight w:val="none"/>
              <w:lang w:val="zh-CN"/>
            </w:rPr>
            <w:t>评标办法</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_Toc17895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50</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86"/>
            <w:tabs>
              <w:tab w:val="right" w:leader="dot" w:pos="10206"/>
            </w:tabs>
            <w:rPr>
              <w:rFonts w:ascii="宋体" w:hAnsi="宋体" w:cs="宋体"/>
              <w:color w:val="auto"/>
              <w:highlight w:val="none"/>
            </w:rPr>
          </w:pPr>
          <w:r>
            <w:rPr>
              <w:color w:val="auto"/>
              <w:highlight w:val="none"/>
            </w:rPr>
            <w:fldChar w:fldCharType="begin"/>
          </w:r>
          <w:r>
            <w:rPr>
              <w:color w:val="auto"/>
              <w:highlight w:val="none"/>
            </w:rPr>
            <w:instrText xml:space="preserve"> HYPERLINK \l "_Toc4286" </w:instrText>
          </w:r>
          <w:r>
            <w:rPr>
              <w:color w:val="auto"/>
              <w:highlight w:val="none"/>
            </w:rPr>
            <w:fldChar w:fldCharType="separate"/>
          </w:r>
          <w:r>
            <w:rPr>
              <w:rFonts w:hint="eastAsia" w:ascii="宋体" w:hAnsi="宋体" w:cs="宋体"/>
              <w:bCs/>
              <w:color w:val="auto"/>
              <w:sz w:val="28"/>
              <w:szCs w:val="28"/>
              <w:highlight w:val="none"/>
            </w:rPr>
            <w:t>第六章  响应文件格式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_Toc4286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86"/>
            <w:tabs>
              <w:tab w:val="right" w:leader="dot" w:pos="10206"/>
            </w:tabs>
            <w:rPr>
              <w:rFonts w:ascii="宋体" w:hAnsi="宋体" w:cs="宋体"/>
              <w:color w:val="auto"/>
              <w:highlight w:val="none"/>
            </w:rPr>
          </w:pPr>
        </w:p>
        <w:p>
          <w:pPr>
            <w:pStyle w:val="37"/>
            <w:jc w:val="both"/>
            <w:textAlignment w:val="baseline"/>
            <w:rPr>
              <w:rFonts w:cs="宋体"/>
              <w:bCs/>
              <w:color w:val="auto"/>
              <w:szCs w:val="28"/>
              <w:highlight w:val="none"/>
            </w:rPr>
            <w:sectPr>
              <w:footerReference r:id="rId4" w:type="default"/>
              <w:pgSz w:w="11906" w:h="16838"/>
              <w:pgMar w:top="1440" w:right="850" w:bottom="1440" w:left="850"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eastAsia" w:cs="宋体"/>
              <w:bCs/>
              <w:color w:val="auto"/>
              <w:szCs w:val="28"/>
              <w:highlight w:val="none"/>
            </w:rPr>
            <w:fldChar w:fldCharType="end"/>
          </w:r>
        </w:p>
      </w:sdtContent>
    </w:sdt>
    <w:p>
      <w:pPr>
        <w:spacing w:after="312" w:afterAutospacing="1" w:line="360" w:lineRule="auto"/>
        <w:jc w:val="center"/>
        <w:textAlignment w:val="baseline"/>
        <w:outlineLvl w:val="0"/>
        <w:rPr>
          <w:rFonts w:ascii="宋体" w:hAnsi="宋体" w:cs="宋体"/>
          <w:b/>
          <w:bCs/>
          <w:color w:val="auto"/>
          <w:sz w:val="30"/>
          <w:szCs w:val="30"/>
          <w:highlight w:val="none"/>
        </w:rPr>
      </w:pPr>
      <w:bookmarkStart w:id="0" w:name="_Toc421834139"/>
      <w:bookmarkStart w:id="1" w:name="_Toc3203"/>
      <w:bookmarkStart w:id="2" w:name="_Toc32466"/>
      <w:r>
        <w:rPr>
          <w:rFonts w:hint="eastAsia" w:ascii="宋体" w:hAnsi="宋体" w:cs="宋体"/>
          <w:b/>
          <w:bCs/>
          <w:color w:val="auto"/>
          <w:sz w:val="30"/>
          <w:szCs w:val="30"/>
          <w:highlight w:val="none"/>
        </w:rPr>
        <w:t>第一章</w:t>
      </w:r>
      <w:bookmarkEnd w:id="0"/>
      <w:r>
        <w:rPr>
          <w:rFonts w:hint="eastAsia" w:ascii="宋体" w:hAnsi="宋体" w:cs="宋体"/>
          <w:b/>
          <w:bCs/>
          <w:color w:val="auto"/>
          <w:sz w:val="30"/>
          <w:szCs w:val="30"/>
          <w:highlight w:val="none"/>
        </w:rPr>
        <w:t xml:space="preserve">  竞争性磋商公告</w:t>
      </w:r>
      <w:bookmarkEnd w:id="1"/>
      <w:bookmarkEnd w:id="2"/>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tcPr>
          <w:p>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项目概况</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 xml:space="preserve"> 爱常山-数字化建设工程（一期）</w:t>
            </w:r>
            <w:r>
              <w:rPr>
                <w:rFonts w:hint="eastAsia" w:ascii="宋体" w:hAnsi="宋体" w:cs="宋体"/>
                <w:color w:val="auto"/>
                <w:szCs w:val="21"/>
                <w:highlight w:val="none"/>
              </w:rPr>
              <w:t>的潜在供应商应在</w:t>
            </w:r>
            <w:r>
              <w:rPr>
                <w:rFonts w:hint="eastAsia" w:ascii="宋体" w:hAnsi="宋体" w:cs="宋体"/>
                <w:b/>
                <w:bCs/>
                <w:color w:val="auto"/>
                <w:szCs w:val="21"/>
                <w:highlight w:val="none"/>
                <w:u w:val="single" w:color="000000"/>
              </w:rPr>
              <w:t>政府采购云平台（www.zcygov.cn）</w:t>
            </w:r>
            <w:r>
              <w:rPr>
                <w:rFonts w:hint="eastAsia" w:ascii="宋体" w:hAnsi="宋体" w:cs="宋体"/>
                <w:color w:val="auto"/>
                <w:szCs w:val="21"/>
                <w:highlight w:val="none"/>
              </w:rPr>
              <w:t>获取采购文件，并于</w:t>
            </w:r>
            <w:r>
              <w:rPr>
                <w:rFonts w:hint="eastAsia" w:ascii="宋体" w:hAnsi="宋体" w:cs="宋体"/>
                <w:b/>
                <w:bCs/>
                <w:color w:val="auto"/>
                <w:szCs w:val="21"/>
                <w:highlight w:val="none"/>
                <w:u w:val="single" w:color="000000"/>
              </w:rPr>
              <w:t>2022年  月    日09时30分</w:t>
            </w:r>
            <w:r>
              <w:rPr>
                <w:rFonts w:hint="eastAsia" w:ascii="宋体" w:hAnsi="宋体" w:cs="宋体"/>
                <w:color w:val="auto"/>
                <w:szCs w:val="21"/>
                <w:highlight w:val="none"/>
              </w:rPr>
              <w:t>（北京时间）前提交响应文件。</w:t>
            </w:r>
          </w:p>
        </w:tc>
      </w:tr>
    </w:tbl>
    <w:p>
      <w:pPr>
        <w:keepNext w:val="0"/>
        <w:keepLines w:val="0"/>
        <w:pageBreakBefore w:val="0"/>
        <w:widowControl/>
        <w:kinsoku/>
        <w:overflowPunct/>
        <w:topLinePunct w:val="0"/>
        <w:autoSpaceDE/>
        <w:autoSpaceDN/>
        <w:bidi w:val="0"/>
        <w:adjustRightInd/>
        <w:snapToGrid/>
        <w:spacing w:line="360" w:lineRule="exact"/>
        <w:ind w:firstLine="422" w:firstLineChars="200"/>
        <w:textAlignment w:val="baseline"/>
        <w:rPr>
          <w:rFonts w:ascii="宋体" w:hAnsi="宋体" w:cs="宋体"/>
          <w:b/>
          <w:bCs/>
          <w:color w:val="auto"/>
          <w:sz w:val="20"/>
          <w:highlight w:val="none"/>
        </w:rPr>
      </w:pPr>
      <w:bookmarkStart w:id="3" w:name="_Toc28359090"/>
      <w:bookmarkStart w:id="4" w:name="_Toc28359013"/>
      <w:bookmarkStart w:id="5" w:name="_Toc35393630"/>
      <w:bookmarkStart w:id="6" w:name="_Toc35393799"/>
      <w:r>
        <w:rPr>
          <w:rFonts w:hint="eastAsia" w:ascii="宋体" w:hAnsi="宋体" w:cs="宋体"/>
          <w:b/>
          <w:bCs/>
          <w:color w:val="auto"/>
          <w:highlight w:val="none"/>
        </w:rPr>
        <w:t>一、项目基本情况</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项目编号：GXZFCG-2022-CS09</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项目名称： 爱常山-数字化建设工程（一期）</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采购方式：竞争性磋商</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预算金额（元）：3</w:t>
      </w:r>
      <w:r>
        <w:rPr>
          <w:rFonts w:hint="eastAsia" w:ascii="宋体" w:hAnsi="宋体" w:cs="宋体"/>
          <w:color w:val="auto"/>
          <w:szCs w:val="21"/>
          <w:highlight w:val="none"/>
          <w:lang w:val="en-US" w:eastAsia="zh-CN"/>
        </w:rPr>
        <w:t>82</w:t>
      </w:r>
      <w:r>
        <w:rPr>
          <w:rFonts w:hint="eastAsia" w:ascii="宋体" w:hAnsi="宋体" w:cs="宋体"/>
          <w:color w:val="auto"/>
          <w:szCs w:val="21"/>
          <w:highlight w:val="none"/>
        </w:rPr>
        <w:t>0000</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最高限价（元）：3</w:t>
      </w:r>
      <w:r>
        <w:rPr>
          <w:rFonts w:hint="eastAsia" w:ascii="宋体" w:hAnsi="宋体" w:cs="宋体"/>
          <w:color w:val="auto"/>
          <w:szCs w:val="21"/>
          <w:highlight w:val="none"/>
          <w:lang w:val="en-US" w:eastAsia="zh-CN"/>
        </w:rPr>
        <w:t>82</w:t>
      </w:r>
      <w:r>
        <w:rPr>
          <w:rFonts w:hint="eastAsia" w:ascii="宋体" w:hAnsi="宋体" w:cs="宋体"/>
          <w:color w:val="auto"/>
          <w:szCs w:val="21"/>
          <w:highlight w:val="none"/>
        </w:rPr>
        <w:t>0000</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采购需求：</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标项一</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 xml:space="preserve">数量：1 </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预算金额（元）：3</w:t>
      </w:r>
      <w:r>
        <w:rPr>
          <w:rFonts w:hint="eastAsia" w:ascii="宋体" w:hAnsi="宋体" w:cs="宋体"/>
          <w:color w:val="auto"/>
          <w:szCs w:val="21"/>
          <w:highlight w:val="none"/>
          <w:lang w:val="en-US" w:eastAsia="zh-CN"/>
        </w:rPr>
        <w:t>82</w:t>
      </w:r>
      <w:r>
        <w:rPr>
          <w:rFonts w:hint="eastAsia" w:ascii="宋体" w:hAnsi="宋体" w:cs="宋体"/>
          <w:color w:val="auto"/>
          <w:szCs w:val="21"/>
          <w:highlight w:val="none"/>
        </w:rPr>
        <w:t>0000</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 xml:space="preserve">单位：项 </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简要规格描述：详见采购文件第三章</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备注：</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合同履约期限：详见采购文件第三章。</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本项目（否）接受联合体。</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二、申请人的资格要求：</w:t>
      </w:r>
      <w:bookmarkEnd w:id="3"/>
      <w:bookmarkEnd w:id="4"/>
      <w:bookmarkEnd w:id="5"/>
      <w:bookmarkEnd w:id="6"/>
      <w:bookmarkStart w:id="7" w:name="_Toc28359091"/>
      <w:bookmarkStart w:id="8" w:name="_Toc28359014"/>
      <w:bookmarkStart w:id="9" w:name="_Toc35393800"/>
      <w:bookmarkStart w:id="10" w:name="_Toc35393631"/>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1.满足《中华人民共和国政府采购法》第二十二条规定。</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2.必须为未被列入“信用中国”网站(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Cs w:val="21"/>
          <w:highlight w:val="none"/>
        </w:rPr>
        <w:t>www.creditchina.gov.cn</w:t>
      </w:r>
      <w:r>
        <w:rPr>
          <w:rFonts w:hint="eastAsia" w:ascii="宋体" w:hAnsi="宋体" w:cs="宋体"/>
          <w:color w:val="auto"/>
          <w:szCs w:val="21"/>
          <w:highlight w:val="none"/>
        </w:rPr>
        <w:fldChar w:fldCharType="end"/>
      </w:r>
      <w:r>
        <w:rPr>
          <w:rFonts w:hint="eastAsia" w:ascii="宋体" w:hAnsi="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szCs w:val="21"/>
          <w:highlight w:val="none"/>
        </w:rPr>
        <w:t>www.ccgp.gov.cn</w:t>
      </w:r>
      <w:r>
        <w:rPr>
          <w:rFonts w:hint="eastAsia" w:ascii="宋体" w:hAnsi="宋体" w:cs="宋体"/>
          <w:color w:val="auto"/>
          <w:szCs w:val="21"/>
          <w:highlight w:val="none"/>
        </w:rPr>
        <w:fldChar w:fldCharType="end"/>
      </w:r>
      <w:r>
        <w:rPr>
          <w:rFonts w:hint="eastAsia" w:ascii="宋体" w:hAnsi="宋体" w:cs="宋体"/>
          <w:color w:val="auto"/>
          <w:szCs w:val="21"/>
          <w:highlight w:val="none"/>
        </w:rPr>
        <w:t>)渠道信用记录失信被执行人、重大税收违法案件当事人名单、政府采购严重违法失信行为记录名单的投标人。</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3.落实政府采购政策需满足的资格要求：无。</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b/>
          <w:bCs/>
          <w:color w:val="auto"/>
          <w:sz w:val="20"/>
          <w:szCs w:val="21"/>
          <w:highlight w:val="none"/>
        </w:rPr>
      </w:pPr>
      <w:r>
        <w:rPr>
          <w:rFonts w:hint="eastAsia" w:ascii="宋体" w:hAnsi="宋体" w:cs="宋体"/>
          <w:color w:val="auto"/>
          <w:szCs w:val="21"/>
          <w:highlight w:val="none"/>
        </w:rPr>
        <w:t>4.本项目的特定资格要求：无。</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三、获取采购文件</w:t>
      </w:r>
      <w:bookmarkEnd w:id="7"/>
      <w:bookmarkEnd w:id="8"/>
      <w:bookmarkEnd w:id="9"/>
      <w:bookmarkEnd w:id="10"/>
      <w:bookmarkStart w:id="11" w:name="_Toc35393801"/>
      <w:bookmarkStart w:id="12" w:name="_Toc35393632"/>
      <w:bookmarkStart w:id="13" w:name="_Toc28359092"/>
      <w:bookmarkStart w:id="14" w:name="_Toc28359015"/>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color="000000"/>
        </w:rPr>
        <w:t>/</w:t>
      </w:r>
      <w:r>
        <w:rPr>
          <w:rFonts w:hint="eastAsia" w:ascii="宋体" w:hAnsi="宋体" w:cs="宋体"/>
          <w:color w:val="auto"/>
          <w:szCs w:val="21"/>
          <w:highlight w:val="none"/>
        </w:rPr>
        <w:t>至2022年  月     日，每天上午00:00至12:00，下午12:00至23:59（北京时间，线上获取法定节假日均可，线下获取文件法定节假日除外）</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 w:val="20"/>
          <w:szCs w:val="21"/>
          <w:highlight w:val="none"/>
          <w:u w:val="single"/>
        </w:rPr>
      </w:pPr>
      <w:r>
        <w:rPr>
          <w:rFonts w:hint="eastAsia" w:ascii="宋体" w:hAnsi="宋体" w:cs="宋体"/>
          <w:color w:val="auto"/>
          <w:szCs w:val="21"/>
          <w:highlight w:val="none"/>
        </w:rPr>
        <w:t>地点（网址）：政府采购云平台（www.zcygov.cn）</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 w:val="20"/>
          <w:szCs w:val="21"/>
          <w:highlight w:val="none"/>
          <w:u w:val="single"/>
        </w:rPr>
      </w:pPr>
      <w:r>
        <w:rPr>
          <w:rFonts w:hint="eastAsia" w:ascii="宋体" w:hAnsi="宋体" w:cs="宋体"/>
          <w:color w:val="auto"/>
          <w:szCs w:val="21"/>
          <w:highlight w:val="none"/>
        </w:rPr>
        <w:t>方式：网上下载。拟参加本项目采购活动的潜在供应商直接登录“政采云”平台（www.zcygov.cn）或点击浙江政府采购网本项目公告附件“潜在供应商--获取采购文件”链接跳转登录后，在线申请获取采购文件（进入“项目采购”应用，在“获取采购文件”菜单中选择本项目并申请获取采购文件）。仅需浏览采购文件的供应商可点击“游客--浏览采购文件”直接下载采购文件用于浏览。</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售价（元）：0</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四、响应文件提交</w:t>
      </w:r>
      <w:bookmarkEnd w:id="11"/>
      <w:bookmarkEnd w:id="12"/>
      <w:bookmarkEnd w:id="13"/>
      <w:bookmarkEnd w:id="14"/>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b/>
          <w:bCs/>
          <w:color w:val="auto"/>
          <w:sz w:val="20"/>
          <w:szCs w:val="21"/>
          <w:highlight w:val="none"/>
        </w:rPr>
      </w:pPr>
      <w:r>
        <w:rPr>
          <w:rFonts w:hint="eastAsia" w:ascii="宋体" w:hAnsi="宋体" w:cs="宋体"/>
          <w:color w:val="auto"/>
          <w:szCs w:val="21"/>
          <w:highlight w:val="none"/>
        </w:rPr>
        <w:t>1.投标截止时间：2022年  月    日09时30分</w:t>
      </w:r>
      <w:r>
        <w:rPr>
          <w:rFonts w:hint="eastAsia" w:ascii="宋体" w:hAnsi="宋体" w:cs="宋体"/>
          <w:b/>
          <w:bCs/>
          <w:color w:val="auto"/>
          <w:szCs w:val="21"/>
          <w:highlight w:val="none"/>
        </w:rPr>
        <w:t>（北京时间）</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2.投标地点：“政府采购云平台（www.zcygov.cn）”在线提交（上传），供应商无须前往开标现场。</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 w:val="20"/>
          <w:szCs w:val="21"/>
          <w:highlight w:val="none"/>
        </w:rPr>
      </w:pPr>
      <w:bookmarkStart w:id="15" w:name="_Toc35393802"/>
      <w:bookmarkStart w:id="16" w:name="_Toc35393633"/>
      <w:bookmarkStart w:id="17" w:name="_Toc28359016"/>
      <w:bookmarkStart w:id="18" w:name="_Toc28359093"/>
      <w:r>
        <w:rPr>
          <w:rFonts w:hint="eastAsia" w:ascii="宋体" w:hAnsi="宋体" w:cs="宋体"/>
          <w:color w:val="auto"/>
          <w:szCs w:val="21"/>
          <w:highlight w:val="none"/>
        </w:rPr>
        <w:t>五、开启（竞争性磋商方式必须填写）</w:t>
      </w:r>
      <w:bookmarkEnd w:id="15"/>
      <w:bookmarkEnd w:id="16"/>
      <w:bookmarkEnd w:id="17"/>
      <w:bookmarkEnd w:id="18"/>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时间：2022年    月   日09时30分</w:t>
      </w:r>
      <w:r>
        <w:rPr>
          <w:rFonts w:hint="eastAsia" w:ascii="宋体" w:hAnsi="宋体" w:cs="宋体"/>
          <w:b/>
          <w:bCs/>
          <w:color w:val="auto"/>
          <w:szCs w:val="21"/>
          <w:highlight w:val="none"/>
        </w:rPr>
        <w:t>（北京时间）</w:t>
      </w:r>
    </w:p>
    <w:p>
      <w:pPr>
        <w:keepNext w:val="0"/>
        <w:keepLines w:val="0"/>
        <w:pageBreakBefore w:val="0"/>
        <w:kinsoku/>
        <w:overflowPunct/>
        <w:topLinePunct w:val="0"/>
        <w:autoSpaceDE/>
        <w:autoSpaceDN/>
        <w:bidi w:val="0"/>
        <w:adjustRightInd/>
        <w:snapToGrid/>
        <w:spacing w:line="360" w:lineRule="exact"/>
        <w:ind w:firstLine="420" w:firstLineChars="200"/>
        <w:rPr>
          <w:rFonts w:ascii="宋体" w:hAnsi="宋体" w:cs="宋体"/>
          <w:color w:val="auto"/>
          <w:sz w:val="20"/>
          <w:szCs w:val="21"/>
          <w:highlight w:val="none"/>
        </w:rPr>
      </w:pPr>
      <w:r>
        <w:rPr>
          <w:rFonts w:hint="eastAsia" w:ascii="宋体" w:hAnsi="宋体" w:cs="宋体"/>
          <w:color w:val="auto"/>
          <w:szCs w:val="21"/>
          <w:highlight w:val="none"/>
        </w:rPr>
        <w:t>地点：</w:t>
      </w:r>
      <w:bookmarkStart w:id="19" w:name="_Toc28359094"/>
      <w:bookmarkStart w:id="20" w:name="_Toc28359017"/>
      <w:bookmarkStart w:id="21" w:name="_Toc35393803"/>
      <w:bookmarkStart w:id="22" w:name="_Toc35393634"/>
      <w:r>
        <w:rPr>
          <w:rFonts w:hint="eastAsia" w:ascii="宋体" w:hAnsi="宋体" w:cs="宋体"/>
          <w:color w:val="auto"/>
          <w:szCs w:val="21"/>
          <w:highlight w:val="none"/>
        </w:rPr>
        <w:t>衢州市公共资源交易常山分中心【常山县紫港路2号常山县行政服务中心东边附属楼2楼】 。同步在“政采云远程开标大厅”在线开标。</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六、公告期限</w:t>
      </w:r>
      <w:bookmarkEnd w:id="19"/>
      <w:bookmarkEnd w:id="20"/>
      <w:bookmarkEnd w:id="21"/>
      <w:bookmarkEnd w:id="22"/>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自本公告发布之日起3个工作日。</w:t>
      </w:r>
    </w:p>
    <w:p>
      <w:pPr>
        <w:keepNext w:val="0"/>
        <w:keepLines w:val="0"/>
        <w:pageBreakBefore w:val="0"/>
        <w:kinsoku/>
        <w:overflowPunct/>
        <w:topLinePunct w:val="0"/>
        <w:autoSpaceDE/>
        <w:autoSpaceDN/>
        <w:bidi w:val="0"/>
        <w:adjustRightInd/>
        <w:snapToGrid/>
        <w:spacing w:line="360" w:lineRule="exact"/>
        <w:ind w:firstLine="422" w:firstLineChars="200"/>
        <w:textAlignment w:val="baseline"/>
        <w:rPr>
          <w:rFonts w:ascii="宋体" w:hAnsi="宋体" w:cs="宋体"/>
          <w:b/>
          <w:bCs/>
          <w:color w:val="auto"/>
          <w:sz w:val="20"/>
          <w:szCs w:val="21"/>
          <w:highlight w:val="none"/>
        </w:rPr>
      </w:pPr>
      <w:bookmarkStart w:id="23" w:name="_Toc35393626"/>
      <w:bookmarkStart w:id="24" w:name="_Toc35393795"/>
      <w:bookmarkStart w:id="25" w:name="_Toc28359018"/>
      <w:bookmarkStart w:id="26" w:name="_Toc35393636"/>
      <w:bookmarkStart w:id="27" w:name="_Toc35393805"/>
      <w:bookmarkStart w:id="28" w:name="_Toc28359095"/>
      <w:r>
        <w:rPr>
          <w:rFonts w:hint="eastAsia" w:ascii="宋体" w:hAnsi="宋体" w:cs="宋体"/>
          <w:b/>
          <w:bCs/>
          <w:color w:val="auto"/>
          <w:szCs w:val="21"/>
          <w:highlight w:val="none"/>
        </w:rPr>
        <w:t>七、其他补充事宜</w:t>
      </w:r>
      <w:bookmarkEnd w:id="23"/>
      <w:bookmarkEnd w:id="24"/>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1.质疑和投诉</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供应商认为采购文件、采购过程、采购结果使自己的权益受到损害的，可以在知道或者应知其权益受到损害之日起7个工作日内以书面形式向采购人或采购代理机构提出质疑。针对同一采购程序环节的质疑，供应商应在法定期限内一次性提出（即针对同一采购程序环节的质疑采购人或采购代理机构仅受理一次），逾期提出或针对同一采购程序环节多次提出的质疑将不予受理、答复。供应商对采购人和采购代理机构的质疑答复不满意或者采购人和采购代理机构未在规定时间内作出答复的，可以在答复期满后十五个工作日内向同级政府采购监管部门投诉。</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2.政采</w:t>
      </w:r>
      <w:r>
        <w:rPr>
          <w:rFonts w:hint="eastAsia" w:ascii="宋体" w:hAnsi="宋体" w:cs="宋体"/>
          <w:color w:val="auto"/>
          <w:szCs w:val="21"/>
          <w:highlight w:val="none"/>
          <w:lang w:val="zh-CN"/>
        </w:rPr>
        <w:t>贷</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本采购项目，成交供应商与采购人签订的政府采购合同适用于衢州市常山县政府采购贷款政策，简称“政采贷”，具体内容可参阅《常山县“政采贷”办理指引》，https://mp.weixin.qq.com/s/S-lQ9FA7fuP62RywRqfelQ。</w:t>
      </w:r>
    </w:p>
    <w:p>
      <w:pPr>
        <w:keepNext w:val="0"/>
        <w:keepLines w:val="0"/>
        <w:pageBreakBefore w:val="0"/>
        <w:kinsoku/>
        <w:wordWrap w:val="0"/>
        <w:overflowPunct/>
        <w:topLinePunct w:val="0"/>
        <w:autoSpaceDE/>
        <w:autoSpaceDN/>
        <w:bidi w:val="0"/>
        <w:adjustRightInd/>
        <w:snapToGrid/>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kinsoku/>
        <w:wordWrap w:val="0"/>
        <w:overflowPunct/>
        <w:topLinePunct w:val="0"/>
        <w:autoSpaceDE/>
        <w:autoSpaceDN/>
        <w:bidi w:val="0"/>
        <w:adjustRightInd/>
        <w:snapToGrid/>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overflowPunct/>
        <w:topLinePunct w:val="0"/>
        <w:autoSpaceDE/>
        <w:autoSpaceDN/>
        <w:bidi w:val="0"/>
        <w:adjustRightInd/>
        <w:snapToGrid/>
        <w:spacing w:line="360" w:lineRule="exact"/>
        <w:ind w:firstLine="422" w:firstLineChars="200"/>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rPr>
        <w:t>八．在线投标（电子交易）说明</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1.采购信息发布媒介：浙江政府采购网（http://zfcg.czt.zj.gov.cn/）、常山县公共资源交易网（http://qzcs.zjzwfw.gov.cn/col/col1341066/index.html）。</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2.本项目实行电子招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3.电子交易平台为“政府采购云平台（www.zcygov.cn）”，供应商在投标前，应注册成为政府采购云平台正式供应商。编制电子投标文件前还需申领CA证书并绑定帐号，确保在电子投标过程中能够对相关数据电文进行加密和使用电子签章。供应商应充分考虑完成平台注册、申领CA证书等所需的时间。CA数字证书办理流程详见</w:t>
      </w:r>
      <w:r>
        <w:rPr>
          <w:color w:val="auto"/>
          <w:highlight w:val="none"/>
        </w:rPr>
        <w:fldChar w:fldCharType="begin"/>
      </w:r>
      <w:r>
        <w:rPr>
          <w:color w:val="auto"/>
          <w:highlight w:val="none"/>
        </w:rPr>
        <w:instrText xml:space="preserve"> HYPERLINK "http://zfcg.czt.zj.gov.cn/bidClientTemplate/2019-05-27/12945.html" </w:instrText>
      </w:r>
      <w:r>
        <w:rPr>
          <w:color w:val="auto"/>
          <w:highlight w:val="none"/>
        </w:rPr>
        <w:fldChar w:fldCharType="separate"/>
      </w:r>
      <w:r>
        <w:rPr>
          <w:rFonts w:hint="eastAsia" w:ascii="宋体" w:hAnsi="宋体" w:cs="宋体"/>
          <w:color w:val="auto"/>
          <w:szCs w:val="21"/>
          <w:highlight w:val="none"/>
        </w:rPr>
        <w:t>http://zfcg.czt.zj.gov.cn/bidClientTemplate/2019-05-27/12945.html</w:t>
      </w:r>
      <w:r>
        <w:rPr>
          <w:rFonts w:hint="eastAsia" w:ascii="宋体" w:hAnsi="宋体" w:cs="宋体"/>
          <w:color w:val="auto"/>
          <w:szCs w:val="21"/>
          <w:highlight w:val="none"/>
        </w:rPr>
        <w:fldChar w:fldCharType="end"/>
      </w:r>
      <w:r>
        <w:rPr>
          <w:rFonts w:hint="eastAsia" w:ascii="宋体" w:hAnsi="宋体" w:cs="宋体"/>
          <w:color w:val="auto"/>
          <w:szCs w:val="21"/>
          <w:highlight w:val="none"/>
        </w:rPr>
        <w:t>。完成CA数字证书办理预计一周左右，建议各投标人抓紧时间办理。</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4.供应商编制电子投标文件应安装“电子交易客户端”软件，并按照本招标文件和电子交易平台的要求编制并加密投标文件。未按规定加密的投标文件，将被电子交易平台拒收。“电子交易客户端”请供应商自行前往“浙江政府采购网— 下载专区 — 电子交易客户端”版块获取（下载网址：</w:t>
      </w:r>
      <w:r>
        <w:rPr>
          <w:color w:val="auto"/>
          <w:highlight w:val="none"/>
        </w:rPr>
        <w:fldChar w:fldCharType="begin"/>
      </w:r>
      <w:r>
        <w:rPr>
          <w:color w:val="auto"/>
          <w:highlight w:val="none"/>
        </w:rPr>
        <w:instrText xml:space="preserve"> HYPERLINK "http://zfcg.czt.zj.gov.cn/bidClientTemplate/2019-09-24/12975.html%EF%BC%89%E3%80%82" </w:instrText>
      </w:r>
      <w:r>
        <w:rPr>
          <w:color w:val="auto"/>
          <w:highlight w:val="none"/>
        </w:rPr>
        <w:fldChar w:fldCharType="separate"/>
      </w:r>
      <w:r>
        <w:rPr>
          <w:rFonts w:hint="eastAsia" w:ascii="宋体" w:hAnsi="宋体" w:cs="宋体"/>
          <w:color w:val="auto"/>
          <w:szCs w:val="21"/>
          <w:highlight w:val="none"/>
        </w:rPr>
        <w:t>http://zfcg.czt.zj.gov.cn/bidClientTemplate/2019-09-24/12975.html）。</w:t>
      </w:r>
      <w:r>
        <w:rPr>
          <w:rFonts w:hint="eastAsia" w:ascii="宋体" w:hAnsi="宋体" w:cs="宋体"/>
          <w:color w:val="auto"/>
          <w:szCs w:val="21"/>
          <w:highlight w:val="none"/>
        </w:rPr>
        <w:fldChar w:fldCharType="end"/>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5.电子投标制作具体流程详见政府采购项目电子交易管理操作指南：【请投标供应商点击链接https://service.zcygov.cn/#/knowledges/CW1EtGwBFdiHxlNd6I3m/6IMVAG0BFdiHxlNdQ8Na或登录“政府采购云平台（www.zcygov.cn）”，从首页-服务中心-帮助文档-项目采购-操作流程-电子招投标，查看文档和视频】。</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6.本项目投标文件的解密、报价文件确认等所使用的CA必须和制作电子加密投标文件时使用的CA为同一个。</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九、凡对本次采购提出询问，请按以下方式联系。</w:t>
      </w:r>
      <w:bookmarkEnd w:id="25"/>
      <w:bookmarkEnd w:id="26"/>
      <w:bookmarkEnd w:id="27"/>
      <w:bookmarkEnd w:id="28"/>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1.采购人信息</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 xml:space="preserve">名 称：常山传媒集团           </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联系人：王玮 </w:t>
      </w:r>
      <w:r>
        <w:rPr>
          <w:rFonts w:hint="eastAsia" w:ascii="宋体" w:hAnsi="宋体" w:cs="宋体"/>
          <w:color w:val="auto"/>
          <w:sz w:val="22"/>
          <w:highlight w:val="none"/>
        </w:rPr>
        <w:t xml:space="preserve"> </w:t>
      </w:r>
      <w:r>
        <w:rPr>
          <w:rFonts w:hint="eastAsia" w:ascii="宋体" w:hAnsi="宋体" w:cs="宋体"/>
          <w:color w:val="auto"/>
          <w:szCs w:val="21"/>
          <w:highlight w:val="none"/>
        </w:rPr>
        <w:t xml:space="preserve">     </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电话：13905702770 </w:t>
      </w:r>
      <w:r>
        <w:rPr>
          <w:rFonts w:hint="eastAsia" w:ascii="宋体" w:hAnsi="宋体" w:cs="宋体"/>
          <w:color w:val="auto"/>
          <w:sz w:val="22"/>
          <w:highlight w:val="none"/>
        </w:rPr>
        <w:t xml:space="preserve"> </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 xml:space="preserve">地址：常山县文峰东路1号 </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质疑联系人：王玮 </w:t>
      </w:r>
      <w:r>
        <w:rPr>
          <w:rFonts w:hint="eastAsia" w:ascii="宋体" w:hAnsi="宋体" w:cs="宋体"/>
          <w:color w:val="auto"/>
          <w:sz w:val="22"/>
          <w:highlight w:val="none"/>
        </w:rPr>
        <w:t xml:space="preserve"> </w:t>
      </w:r>
      <w:r>
        <w:rPr>
          <w:rFonts w:hint="eastAsia" w:ascii="宋体" w:hAnsi="宋体" w:cs="宋体"/>
          <w:color w:val="auto"/>
          <w:szCs w:val="21"/>
          <w:highlight w:val="none"/>
        </w:rPr>
        <w:t xml:space="preserve">     </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质疑联系方式：13905702770 </w:t>
      </w:r>
      <w:r>
        <w:rPr>
          <w:rFonts w:hint="eastAsia" w:ascii="宋体" w:hAnsi="宋体" w:cs="宋体"/>
          <w:color w:val="auto"/>
          <w:sz w:val="22"/>
          <w:highlight w:val="none"/>
        </w:rPr>
        <w:t xml:space="preserve"> </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2.采购代理机构信息</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名称：浙江衢州公信工程管理有限公司　　　　　　　　</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地　址：常山县天马街道文峰西路222号</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项目联系人：吴美娟　   　　　　　　　　　　　</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项目联系方式：13157029767</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质疑联系人：徐春妹</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联系电话：15869086030</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3.同级政府采购监管部门：</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名称：常山县财政局政府采购监管科</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地址：常山县天马街道定阳北路415号</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联系人：李卫明</w:t>
      </w:r>
    </w:p>
    <w:p>
      <w:pPr>
        <w:keepNext w:val="0"/>
        <w:keepLines w:val="0"/>
        <w:pageBreakBefore w:val="0"/>
        <w:kinsoku/>
        <w:overflowPunct/>
        <w:topLinePunct w:val="0"/>
        <w:autoSpaceDE/>
        <w:autoSpaceDN/>
        <w:bidi w:val="0"/>
        <w:adjustRightInd/>
        <w:snapToGrid/>
        <w:spacing w:line="36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监督投诉电话：0570-5015373</w:t>
      </w:r>
    </w:p>
    <w:p>
      <w:pPr>
        <w:pStyle w:val="2"/>
        <w:jc w:val="right"/>
        <w:rPr>
          <w:rFonts w:ascii="宋体" w:hAnsi="宋体" w:cs="宋体"/>
          <w:color w:val="auto"/>
          <w:szCs w:val="21"/>
          <w:highlight w:val="none"/>
        </w:rPr>
      </w:pPr>
      <w:bookmarkStart w:id="29" w:name="_Toc421834140"/>
      <w:bookmarkStart w:id="30" w:name="_Toc8258"/>
    </w:p>
    <w:p>
      <w:pPr>
        <w:pStyle w:val="2"/>
        <w:jc w:val="right"/>
        <w:rPr>
          <w:rFonts w:ascii="宋体" w:hAnsi="宋体" w:cs="宋体"/>
          <w:color w:val="auto"/>
          <w:sz w:val="20"/>
          <w:szCs w:val="21"/>
          <w:highlight w:val="none"/>
        </w:rPr>
      </w:pPr>
      <w:r>
        <w:rPr>
          <w:rFonts w:hint="eastAsia" w:ascii="宋体" w:hAnsi="宋体" w:cs="宋体"/>
          <w:color w:val="auto"/>
          <w:szCs w:val="21"/>
          <w:highlight w:val="none"/>
        </w:rPr>
        <w:t>常山传媒集团 　　</w:t>
      </w:r>
    </w:p>
    <w:p>
      <w:pPr>
        <w:pStyle w:val="3"/>
        <w:ind w:firstLine="210"/>
        <w:jc w:val="right"/>
        <w:rPr>
          <w:rFonts w:ascii="宋体" w:hAnsi="宋体" w:cs="宋体"/>
          <w:color w:val="auto"/>
          <w:sz w:val="21"/>
          <w:szCs w:val="21"/>
          <w:highlight w:val="none"/>
        </w:rPr>
      </w:pPr>
      <w:r>
        <w:rPr>
          <w:rFonts w:hint="eastAsia" w:ascii="宋体" w:hAnsi="宋体" w:cs="宋体"/>
          <w:color w:val="auto"/>
          <w:sz w:val="21"/>
          <w:szCs w:val="21"/>
          <w:highlight w:val="none"/>
        </w:rPr>
        <w:t>浙江衢州公信工程管理有限公司　</w:t>
      </w:r>
    </w:p>
    <w:p>
      <w:pPr>
        <w:pStyle w:val="3"/>
        <w:ind w:firstLine="210"/>
        <w:jc w:val="right"/>
        <w:rPr>
          <w:rFonts w:ascii="宋体" w:hAnsi="宋体" w:cs="宋体"/>
          <w:color w:val="auto"/>
          <w:sz w:val="20"/>
          <w:szCs w:val="21"/>
          <w:highlight w:val="none"/>
        </w:rPr>
      </w:pPr>
      <w:r>
        <w:rPr>
          <w:rFonts w:hint="eastAsia" w:ascii="宋体" w:hAnsi="宋体" w:cs="宋体"/>
          <w:color w:val="auto"/>
          <w:sz w:val="21"/>
          <w:szCs w:val="21"/>
          <w:highlight w:val="none"/>
        </w:rPr>
        <w:t>2022年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　　</w:t>
      </w:r>
    </w:p>
    <w:p>
      <w:pPr>
        <w:pStyle w:val="22"/>
        <w:rPr>
          <w:rFonts w:ascii="宋体" w:hAnsi="宋体" w:cs="宋体"/>
          <w:color w:val="auto"/>
          <w:highlight w:val="none"/>
        </w:rPr>
      </w:pPr>
    </w:p>
    <w:p>
      <w:pPr>
        <w:pStyle w:val="22"/>
        <w:rPr>
          <w:rFonts w:ascii="宋体" w:hAnsi="宋体" w:cs="宋体"/>
          <w:color w:val="auto"/>
          <w:highlight w:val="none"/>
        </w:rPr>
      </w:pPr>
    </w:p>
    <w:p>
      <w:pPr>
        <w:pStyle w:val="22"/>
        <w:rPr>
          <w:rFonts w:ascii="宋体" w:hAnsi="宋体" w:cs="宋体"/>
          <w:color w:val="auto"/>
          <w:highlight w:val="none"/>
        </w:rPr>
      </w:pPr>
      <w:bookmarkStart w:id="31" w:name="_Toc16791"/>
    </w:p>
    <w:p>
      <w:pPr>
        <w:pStyle w:val="22"/>
        <w:rPr>
          <w:rFonts w:ascii="宋体" w:hAnsi="宋体" w:cs="宋体"/>
          <w:color w:val="auto"/>
          <w:highlight w:val="none"/>
        </w:rPr>
      </w:pPr>
    </w:p>
    <w:p>
      <w:pPr>
        <w:pStyle w:val="22"/>
        <w:rPr>
          <w:rFonts w:ascii="宋体" w:hAnsi="宋体" w:cs="宋体"/>
          <w:color w:val="auto"/>
          <w:highlight w:val="none"/>
        </w:rPr>
      </w:pPr>
    </w:p>
    <w:p>
      <w:pPr>
        <w:pStyle w:val="22"/>
        <w:rPr>
          <w:rFonts w:ascii="宋体" w:hAnsi="宋体" w:cs="宋体"/>
          <w:color w:val="auto"/>
          <w:highlight w:val="none"/>
        </w:rPr>
      </w:pPr>
    </w:p>
    <w:p>
      <w:pPr>
        <w:pStyle w:val="22"/>
        <w:rPr>
          <w:rFonts w:ascii="宋体" w:hAnsi="宋体" w:cs="宋体"/>
          <w:color w:val="auto"/>
          <w:highlight w:val="none"/>
        </w:rPr>
      </w:pPr>
    </w:p>
    <w:p>
      <w:pPr>
        <w:rPr>
          <w:rFonts w:ascii="宋体" w:hAnsi="宋体" w:cs="宋体"/>
          <w:color w:val="auto"/>
          <w:highlight w:val="none"/>
        </w:rPr>
      </w:pPr>
      <w:r>
        <w:rPr>
          <w:rFonts w:ascii="宋体" w:hAnsi="宋体" w:cs="宋体"/>
          <w:color w:val="auto"/>
          <w:highlight w:val="none"/>
        </w:rPr>
        <w:br w:type="page"/>
      </w:r>
    </w:p>
    <w:p>
      <w:pPr>
        <w:spacing w:after="156" w:line="360" w:lineRule="auto"/>
        <w:jc w:val="center"/>
        <w:textAlignment w:val="baseline"/>
        <w:outlineLvl w:val="0"/>
        <w:rPr>
          <w:rFonts w:ascii="宋体" w:hAnsi="宋体" w:cs="宋体"/>
          <w:b/>
          <w:bCs/>
          <w:color w:val="auto"/>
          <w:sz w:val="30"/>
          <w:szCs w:val="30"/>
          <w:highlight w:val="none"/>
        </w:rPr>
      </w:pPr>
      <w:r>
        <w:rPr>
          <w:rFonts w:hint="eastAsia" w:ascii="宋体" w:hAnsi="宋体" w:cs="宋体"/>
          <w:b/>
          <w:bCs/>
          <w:color w:val="auto"/>
          <w:sz w:val="30"/>
          <w:szCs w:val="30"/>
          <w:highlight w:val="none"/>
        </w:rPr>
        <w:t>第二章  磋商供应商须知</w:t>
      </w:r>
      <w:bookmarkEnd w:id="29"/>
      <w:bookmarkEnd w:id="30"/>
      <w:bookmarkEnd w:id="31"/>
    </w:p>
    <w:p>
      <w:pPr>
        <w:spacing w:before="156" w:after="312" w:afterAutospacing="1" w:line="360" w:lineRule="auto"/>
        <w:jc w:val="center"/>
        <w:textAlignment w:val="baseline"/>
        <w:rPr>
          <w:rFonts w:ascii="宋体" w:hAnsi="宋体" w:cs="宋体"/>
          <w:color w:val="auto"/>
          <w:sz w:val="24"/>
          <w:szCs w:val="24"/>
          <w:highlight w:val="none"/>
        </w:rPr>
      </w:pPr>
      <w:bookmarkStart w:id="32" w:name="_Toc421834141"/>
      <w:bookmarkStart w:id="33" w:name="_Toc8417"/>
      <w:bookmarkStart w:id="34" w:name="_Toc469273548"/>
      <w:bookmarkStart w:id="35" w:name="_Toc469694892"/>
      <w:r>
        <w:rPr>
          <w:rFonts w:hint="eastAsia" w:ascii="宋体" w:hAnsi="宋体" w:cs="宋体"/>
          <w:color w:val="auto"/>
          <w:sz w:val="24"/>
          <w:szCs w:val="24"/>
          <w:highlight w:val="none"/>
        </w:rPr>
        <w:t>磋商供应商须知前附表</w:t>
      </w:r>
      <w:bookmarkEnd w:id="32"/>
      <w:bookmarkEnd w:id="33"/>
      <w:bookmarkEnd w:id="34"/>
      <w:bookmarkEnd w:id="35"/>
    </w:p>
    <w:tbl>
      <w:tblPr>
        <w:tblStyle w:val="28"/>
        <w:tblW w:w="10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90"/>
        <w:gridCol w:w="7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20" w:type="dxa"/>
            <w:vAlign w:val="center"/>
          </w:tcPr>
          <w:p>
            <w:pPr>
              <w:spacing w:line="360" w:lineRule="exact"/>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序号</w:t>
            </w:r>
          </w:p>
        </w:tc>
        <w:tc>
          <w:tcPr>
            <w:tcW w:w="2790" w:type="dxa"/>
            <w:vAlign w:val="center"/>
          </w:tcPr>
          <w:p>
            <w:pPr>
              <w:spacing w:line="360" w:lineRule="exact"/>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条款名称</w:t>
            </w:r>
          </w:p>
        </w:tc>
        <w:tc>
          <w:tcPr>
            <w:tcW w:w="7305" w:type="dxa"/>
            <w:vAlign w:val="center"/>
          </w:tcPr>
          <w:p>
            <w:pPr>
              <w:spacing w:line="360" w:lineRule="exact"/>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numPr>
                <w:ilvl w:val="0"/>
                <w:numId w:val="5"/>
              </w:numPr>
              <w:spacing w:line="360" w:lineRule="exact"/>
              <w:jc w:val="center"/>
              <w:textAlignment w:val="baseline"/>
              <w:rPr>
                <w:rFonts w:ascii="宋体" w:hAnsi="宋体" w:cs="宋体"/>
                <w:color w:val="auto"/>
                <w:sz w:val="20"/>
                <w:szCs w:val="21"/>
                <w:highlight w:val="none"/>
              </w:rPr>
            </w:pPr>
          </w:p>
        </w:tc>
        <w:tc>
          <w:tcPr>
            <w:tcW w:w="2790" w:type="dxa"/>
            <w:vAlign w:val="center"/>
          </w:tcPr>
          <w:p>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采购人</w:t>
            </w:r>
          </w:p>
        </w:tc>
        <w:tc>
          <w:tcPr>
            <w:tcW w:w="7305" w:type="dxa"/>
            <w:vAlign w:val="center"/>
          </w:tcPr>
          <w:p>
            <w:pPr>
              <w:spacing w:line="360" w:lineRule="exact"/>
              <w:textAlignment w:val="baseline"/>
              <w:rPr>
                <w:rFonts w:ascii="宋体" w:hAnsi="宋体" w:cs="宋体"/>
                <w:color w:val="auto"/>
                <w:sz w:val="20"/>
                <w:szCs w:val="21"/>
                <w:highlight w:val="none"/>
              </w:rPr>
            </w:pPr>
            <w:r>
              <w:rPr>
                <w:rFonts w:hint="eastAsia" w:ascii="宋体" w:hAnsi="宋体" w:cs="宋体"/>
                <w:bCs/>
                <w:color w:val="auto"/>
                <w:szCs w:val="21"/>
                <w:highlight w:val="none"/>
              </w:rPr>
              <w:t>常山传媒集团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numPr>
                <w:ilvl w:val="0"/>
                <w:numId w:val="5"/>
              </w:numPr>
              <w:spacing w:line="360" w:lineRule="exact"/>
              <w:jc w:val="center"/>
              <w:textAlignment w:val="baseline"/>
              <w:rPr>
                <w:rFonts w:ascii="宋体" w:hAnsi="宋体" w:cs="宋体"/>
                <w:color w:val="auto"/>
                <w:sz w:val="20"/>
                <w:szCs w:val="21"/>
                <w:highlight w:val="none"/>
              </w:rPr>
            </w:pPr>
          </w:p>
        </w:tc>
        <w:tc>
          <w:tcPr>
            <w:tcW w:w="2790" w:type="dxa"/>
            <w:vAlign w:val="center"/>
          </w:tcPr>
          <w:p>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项目名称</w:t>
            </w:r>
          </w:p>
        </w:tc>
        <w:tc>
          <w:tcPr>
            <w:tcW w:w="7305" w:type="dxa"/>
            <w:vAlign w:val="center"/>
          </w:tcPr>
          <w:p>
            <w:pPr>
              <w:spacing w:line="360" w:lineRule="exact"/>
              <w:textAlignment w:val="baseline"/>
              <w:rPr>
                <w:rFonts w:ascii="宋体" w:hAnsi="宋体" w:cs="宋体"/>
                <w:bCs/>
                <w:color w:val="auto"/>
                <w:sz w:val="20"/>
                <w:szCs w:val="21"/>
                <w:highlight w:val="none"/>
              </w:rPr>
            </w:pPr>
            <w:r>
              <w:rPr>
                <w:rFonts w:hint="eastAsia" w:ascii="宋体" w:hAnsi="宋体" w:cs="宋体"/>
                <w:color w:val="auto"/>
                <w:szCs w:val="21"/>
                <w:highlight w:val="none"/>
              </w:rPr>
              <w:t>爱常山-数字化建设工程（一期）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numPr>
                <w:ilvl w:val="0"/>
                <w:numId w:val="5"/>
              </w:numPr>
              <w:spacing w:line="360" w:lineRule="exact"/>
              <w:jc w:val="center"/>
              <w:textAlignment w:val="baseline"/>
              <w:rPr>
                <w:rFonts w:ascii="宋体" w:hAnsi="宋体" w:cs="宋体"/>
                <w:color w:val="auto"/>
                <w:sz w:val="20"/>
                <w:szCs w:val="21"/>
                <w:highlight w:val="none"/>
              </w:rPr>
            </w:pPr>
          </w:p>
        </w:tc>
        <w:tc>
          <w:tcPr>
            <w:tcW w:w="2790" w:type="dxa"/>
            <w:vAlign w:val="center"/>
          </w:tcPr>
          <w:p>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投标有效期</w:t>
            </w:r>
          </w:p>
        </w:tc>
        <w:tc>
          <w:tcPr>
            <w:tcW w:w="7305" w:type="dxa"/>
            <w:vAlign w:val="center"/>
          </w:tcPr>
          <w:p>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90日历天（从投标截止之日起算）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Align w:val="center"/>
          </w:tcPr>
          <w:p>
            <w:pPr>
              <w:numPr>
                <w:ilvl w:val="0"/>
                <w:numId w:val="5"/>
              </w:numPr>
              <w:spacing w:line="360" w:lineRule="exact"/>
              <w:jc w:val="center"/>
              <w:textAlignment w:val="baseline"/>
              <w:rPr>
                <w:rFonts w:ascii="宋体" w:hAnsi="宋体" w:cs="宋体"/>
                <w:color w:val="auto"/>
                <w:sz w:val="20"/>
                <w:szCs w:val="21"/>
                <w:highlight w:val="none"/>
              </w:rPr>
            </w:pPr>
          </w:p>
        </w:tc>
        <w:tc>
          <w:tcPr>
            <w:tcW w:w="2790" w:type="dxa"/>
            <w:vAlign w:val="center"/>
          </w:tcPr>
          <w:p>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供应商要求澄清磋商文件的截止时间及方式</w:t>
            </w:r>
          </w:p>
        </w:tc>
        <w:tc>
          <w:tcPr>
            <w:tcW w:w="7305" w:type="dxa"/>
            <w:vAlign w:val="center"/>
          </w:tcPr>
          <w:p>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在提交首次响应文件截止时间五日前，供应商将要求澄清的问题以书面形式加盖公章后</w:t>
            </w:r>
            <w:r>
              <w:rPr>
                <w:rFonts w:hint="eastAsia" w:ascii="宋体" w:hAnsi="宋体" w:cs="宋体"/>
                <w:color w:val="auto"/>
                <w:highlight w:val="none"/>
              </w:rPr>
              <w:t>，信函、传真或者直接送达方式至代理机构，</w:t>
            </w:r>
            <w:r>
              <w:rPr>
                <w:rFonts w:hint="eastAsia" w:ascii="宋体" w:hAnsi="宋体" w:cs="宋体"/>
                <w:color w:val="auto"/>
                <w:szCs w:val="21"/>
                <w:highlight w:val="none"/>
              </w:rPr>
              <w:t>其他形式无效。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numPr>
                <w:ilvl w:val="0"/>
                <w:numId w:val="5"/>
              </w:numPr>
              <w:spacing w:line="360" w:lineRule="exact"/>
              <w:jc w:val="center"/>
              <w:textAlignment w:val="baseline"/>
              <w:rPr>
                <w:rFonts w:ascii="宋体" w:hAnsi="宋体" w:cs="宋体"/>
                <w:color w:val="auto"/>
                <w:sz w:val="20"/>
                <w:szCs w:val="21"/>
                <w:highlight w:val="none"/>
              </w:rPr>
            </w:pPr>
          </w:p>
        </w:tc>
        <w:tc>
          <w:tcPr>
            <w:tcW w:w="2790" w:type="dxa"/>
            <w:vAlign w:val="center"/>
          </w:tcPr>
          <w:p>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采购人书面澄清、修改的时间</w:t>
            </w:r>
          </w:p>
        </w:tc>
        <w:tc>
          <w:tcPr>
            <w:tcW w:w="7305" w:type="dxa"/>
            <w:vAlign w:val="center"/>
          </w:tcPr>
          <w:p>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提交首次响应文件截止时间5日前。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numPr>
                <w:ilvl w:val="0"/>
                <w:numId w:val="5"/>
              </w:numPr>
              <w:spacing w:line="360" w:lineRule="exact"/>
              <w:jc w:val="center"/>
              <w:textAlignment w:val="baseline"/>
              <w:rPr>
                <w:rFonts w:ascii="宋体" w:hAnsi="宋体" w:cs="宋体"/>
                <w:color w:val="auto"/>
                <w:sz w:val="20"/>
                <w:szCs w:val="21"/>
                <w:highlight w:val="none"/>
              </w:rPr>
            </w:pPr>
          </w:p>
        </w:tc>
        <w:tc>
          <w:tcPr>
            <w:tcW w:w="2790" w:type="dxa"/>
            <w:vAlign w:val="center"/>
          </w:tcPr>
          <w:p>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供应商确认收到磋商文件澄清、补充、修改的时间</w:t>
            </w:r>
          </w:p>
        </w:tc>
        <w:tc>
          <w:tcPr>
            <w:tcW w:w="7305" w:type="dxa"/>
            <w:vAlign w:val="center"/>
          </w:tcPr>
          <w:p>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发出澄清、修改、补充公告后</w:t>
            </w:r>
            <w:r>
              <w:rPr>
                <w:rFonts w:hint="eastAsia" w:ascii="宋体" w:hAnsi="宋体" w:cs="宋体"/>
                <w:color w:val="auto"/>
                <w:szCs w:val="21"/>
                <w:highlight w:val="none"/>
                <w:u w:val="single" w:color="000000"/>
              </w:rPr>
              <w:t xml:space="preserve">  24  </w:t>
            </w:r>
            <w:r>
              <w:rPr>
                <w:rFonts w:hint="eastAsia" w:ascii="宋体" w:hAnsi="宋体" w:cs="宋体"/>
                <w:color w:val="auto"/>
                <w:szCs w:val="21"/>
                <w:highlight w:val="none"/>
              </w:rPr>
              <w:t>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numPr>
                <w:ilvl w:val="0"/>
                <w:numId w:val="5"/>
              </w:numPr>
              <w:spacing w:line="360" w:lineRule="exact"/>
              <w:jc w:val="center"/>
              <w:textAlignment w:val="baseline"/>
              <w:rPr>
                <w:rFonts w:ascii="宋体" w:hAnsi="宋体" w:cs="宋体"/>
                <w:color w:val="auto"/>
                <w:sz w:val="20"/>
                <w:szCs w:val="21"/>
                <w:highlight w:val="none"/>
              </w:rPr>
            </w:pPr>
          </w:p>
        </w:tc>
        <w:tc>
          <w:tcPr>
            <w:tcW w:w="2790" w:type="dxa"/>
            <w:vAlign w:val="center"/>
          </w:tcPr>
          <w:p>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提交首次响应文件截止时间</w:t>
            </w:r>
          </w:p>
        </w:tc>
        <w:tc>
          <w:tcPr>
            <w:tcW w:w="7305" w:type="dxa"/>
            <w:vAlign w:val="center"/>
          </w:tcPr>
          <w:p>
            <w:pPr>
              <w:spacing w:line="360" w:lineRule="exact"/>
              <w:textAlignment w:val="baseline"/>
              <w:rPr>
                <w:rFonts w:ascii="宋体" w:hAnsi="宋体" w:cs="宋体"/>
                <w:color w:val="auto"/>
                <w:sz w:val="20"/>
                <w:highlight w:val="none"/>
              </w:rPr>
            </w:pPr>
            <w:r>
              <w:rPr>
                <w:rFonts w:hint="eastAsia" w:ascii="宋体" w:hAnsi="宋体" w:cs="宋体"/>
                <w:color w:val="auto"/>
                <w:highlight w:val="none"/>
              </w:rPr>
              <w:t>2022年</w:t>
            </w:r>
            <w:r>
              <w:rPr>
                <w:rFonts w:hint="eastAsia" w:ascii="宋体" w:hAnsi="宋体" w:cs="宋体"/>
                <w:color w:val="auto"/>
                <w:szCs w:val="21"/>
                <w:highlight w:val="none"/>
              </w:rPr>
              <w:t xml:space="preserve">    月   日</w:t>
            </w:r>
            <w:r>
              <w:rPr>
                <w:rFonts w:hint="eastAsia" w:ascii="宋体" w:hAnsi="宋体" w:cs="宋体"/>
                <w:color w:val="auto"/>
                <w:highlight w:val="none"/>
              </w:rPr>
              <w:t>09时30分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numPr>
                <w:ilvl w:val="0"/>
                <w:numId w:val="5"/>
              </w:numPr>
              <w:spacing w:line="360" w:lineRule="exact"/>
              <w:jc w:val="center"/>
              <w:textAlignment w:val="baseline"/>
              <w:rPr>
                <w:rFonts w:ascii="宋体" w:hAnsi="宋体" w:cs="宋体"/>
                <w:color w:val="auto"/>
                <w:sz w:val="20"/>
                <w:szCs w:val="21"/>
                <w:highlight w:val="none"/>
              </w:rPr>
            </w:pPr>
          </w:p>
        </w:tc>
        <w:tc>
          <w:tcPr>
            <w:tcW w:w="2790" w:type="dxa"/>
            <w:vAlign w:val="center"/>
          </w:tcPr>
          <w:p>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报价的次数</w:t>
            </w:r>
          </w:p>
        </w:tc>
        <w:tc>
          <w:tcPr>
            <w:tcW w:w="7305" w:type="dxa"/>
            <w:vAlign w:val="center"/>
          </w:tcPr>
          <w:p>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2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numPr>
                <w:ilvl w:val="0"/>
                <w:numId w:val="5"/>
              </w:numPr>
              <w:spacing w:line="360" w:lineRule="exact"/>
              <w:jc w:val="center"/>
              <w:textAlignment w:val="baseline"/>
              <w:rPr>
                <w:rFonts w:ascii="宋体" w:hAnsi="宋体" w:cs="宋体"/>
                <w:color w:val="auto"/>
                <w:sz w:val="20"/>
                <w:szCs w:val="21"/>
                <w:highlight w:val="none"/>
              </w:rPr>
            </w:pPr>
          </w:p>
        </w:tc>
        <w:tc>
          <w:tcPr>
            <w:tcW w:w="2790" w:type="dxa"/>
            <w:vAlign w:val="center"/>
          </w:tcPr>
          <w:p>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磋商保证金</w:t>
            </w:r>
          </w:p>
        </w:tc>
        <w:tc>
          <w:tcPr>
            <w:tcW w:w="7305" w:type="dxa"/>
            <w:vAlign w:val="center"/>
          </w:tcPr>
          <w:p>
            <w:pPr>
              <w:spacing w:line="360" w:lineRule="exact"/>
              <w:textAlignment w:val="baseline"/>
              <w:rPr>
                <w:rFonts w:ascii="宋体" w:hAnsi="宋体" w:cs="宋体"/>
                <w:color w:val="auto"/>
                <w:sz w:val="20"/>
                <w:szCs w:val="21"/>
                <w:highlight w:val="none"/>
                <w:lang w:val="zh-CN"/>
              </w:rPr>
            </w:pPr>
            <w:r>
              <w:rPr>
                <w:rFonts w:hint="eastAsia" w:ascii="宋体" w:hAnsi="宋体" w:cs="宋体"/>
                <w:color w:val="auto"/>
                <w:szCs w:val="21"/>
                <w:highlight w:val="none"/>
                <w:lang w:val="zh-CN"/>
              </w:rPr>
              <w:t>详见磋商公告。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numPr>
                <w:ilvl w:val="0"/>
                <w:numId w:val="5"/>
              </w:numPr>
              <w:spacing w:line="360" w:lineRule="exact"/>
              <w:jc w:val="center"/>
              <w:textAlignment w:val="baseline"/>
              <w:rPr>
                <w:rFonts w:ascii="宋体" w:hAnsi="宋体" w:cs="宋体"/>
                <w:color w:val="auto"/>
                <w:sz w:val="20"/>
                <w:szCs w:val="21"/>
                <w:highlight w:val="none"/>
              </w:rPr>
            </w:pPr>
          </w:p>
        </w:tc>
        <w:tc>
          <w:tcPr>
            <w:tcW w:w="2790" w:type="dxa"/>
            <w:vAlign w:val="center"/>
          </w:tcPr>
          <w:p>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是否允许提交备选响应方案</w:t>
            </w:r>
          </w:p>
        </w:tc>
        <w:tc>
          <w:tcPr>
            <w:tcW w:w="7305" w:type="dxa"/>
            <w:vAlign w:val="center"/>
          </w:tcPr>
          <w:p>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20" w:type="dxa"/>
            <w:vAlign w:val="center"/>
          </w:tcPr>
          <w:p>
            <w:pPr>
              <w:numPr>
                <w:ilvl w:val="0"/>
                <w:numId w:val="5"/>
              </w:numPr>
              <w:spacing w:line="360" w:lineRule="exact"/>
              <w:jc w:val="center"/>
              <w:textAlignment w:val="baseline"/>
              <w:rPr>
                <w:rFonts w:ascii="宋体" w:hAnsi="宋体" w:cs="宋体"/>
                <w:color w:val="auto"/>
                <w:sz w:val="20"/>
                <w:szCs w:val="21"/>
                <w:highlight w:val="none"/>
              </w:rPr>
            </w:pPr>
          </w:p>
        </w:tc>
        <w:tc>
          <w:tcPr>
            <w:tcW w:w="2790" w:type="dxa"/>
            <w:vAlign w:val="center"/>
          </w:tcPr>
          <w:p>
            <w:pPr>
              <w:spacing w:line="360" w:lineRule="exact"/>
              <w:textAlignment w:val="baseline"/>
              <w:rPr>
                <w:rFonts w:ascii="宋体" w:hAnsi="宋体" w:cs="宋体"/>
                <w:color w:val="auto"/>
                <w:sz w:val="20"/>
                <w:szCs w:val="21"/>
                <w:highlight w:val="none"/>
              </w:rPr>
            </w:pPr>
            <w:r>
              <w:rPr>
                <w:rFonts w:hint="eastAsia" w:ascii="宋体" w:hAnsi="宋体" w:cs="宋体"/>
                <w:bCs/>
                <w:color w:val="auto"/>
                <w:kern w:val="0"/>
                <w:szCs w:val="21"/>
                <w:highlight w:val="none"/>
                <w:lang w:val="zh-CN"/>
              </w:rPr>
              <w:t>磋商小组的组建</w:t>
            </w:r>
          </w:p>
        </w:tc>
        <w:tc>
          <w:tcPr>
            <w:tcW w:w="7305" w:type="dxa"/>
            <w:vAlign w:val="center"/>
          </w:tcPr>
          <w:p>
            <w:pPr>
              <w:spacing w:line="360" w:lineRule="exact"/>
              <w:textAlignment w:val="baseline"/>
              <w:rPr>
                <w:rFonts w:ascii="宋体" w:hAnsi="宋体" w:cs="宋体"/>
                <w:bCs/>
                <w:color w:val="auto"/>
                <w:kern w:val="0"/>
                <w:sz w:val="20"/>
                <w:szCs w:val="21"/>
                <w:highlight w:val="none"/>
              </w:rPr>
            </w:pPr>
            <w:r>
              <w:rPr>
                <w:rFonts w:hint="eastAsia" w:ascii="宋体" w:hAnsi="宋体" w:cs="宋体"/>
                <w:bCs/>
                <w:color w:val="auto"/>
                <w:kern w:val="0"/>
                <w:szCs w:val="21"/>
                <w:highlight w:val="none"/>
              </w:rPr>
              <w:t>按规定组建磋商小组。</w:t>
            </w:r>
          </w:p>
          <w:p>
            <w:pPr>
              <w:snapToGrid w:val="0"/>
              <w:spacing w:line="360" w:lineRule="exact"/>
              <w:textAlignment w:val="baseline"/>
              <w:rPr>
                <w:rFonts w:ascii="宋体" w:hAnsi="宋体" w:cs="宋体"/>
                <w:color w:val="auto"/>
                <w:sz w:val="20"/>
                <w:szCs w:val="21"/>
                <w:highlight w:val="none"/>
              </w:rPr>
            </w:pPr>
            <w:r>
              <w:rPr>
                <w:rFonts w:hint="eastAsia" w:ascii="宋体" w:hAnsi="宋体" w:cs="宋体"/>
                <w:bCs/>
                <w:color w:val="auto"/>
                <w:kern w:val="0"/>
                <w:szCs w:val="21"/>
                <w:highlight w:val="none"/>
              </w:rPr>
              <w:t>评标专家确定方式：共3人组成，由1名采购人代表和2名有关经济、技术专家组成。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20" w:type="dxa"/>
            <w:vAlign w:val="center"/>
          </w:tcPr>
          <w:p>
            <w:pPr>
              <w:numPr>
                <w:ilvl w:val="0"/>
                <w:numId w:val="5"/>
              </w:numPr>
              <w:spacing w:line="360" w:lineRule="exact"/>
              <w:jc w:val="center"/>
              <w:textAlignment w:val="baseline"/>
              <w:rPr>
                <w:rFonts w:ascii="宋体" w:hAnsi="宋体" w:cs="宋体"/>
                <w:color w:val="auto"/>
                <w:sz w:val="20"/>
                <w:szCs w:val="21"/>
                <w:highlight w:val="none"/>
              </w:rPr>
            </w:pPr>
          </w:p>
        </w:tc>
        <w:tc>
          <w:tcPr>
            <w:tcW w:w="2790" w:type="dxa"/>
            <w:vAlign w:val="center"/>
          </w:tcPr>
          <w:p>
            <w:pPr>
              <w:spacing w:line="360" w:lineRule="exact"/>
              <w:textAlignment w:val="baseline"/>
              <w:rPr>
                <w:rFonts w:ascii="宋体" w:hAnsi="宋体" w:cs="宋体"/>
                <w:color w:val="auto"/>
                <w:sz w:val="20"/>
                <w:szCs w:val="21"/>
                <w:highlight w:val="none"/>
              </w:rPr>
            </w:pPr>
            <w:r>
              <w:rPr>
                <w:rFonts w:hint="eastAsia" w:ascii="宋体" w:hAnsi="宋体" w:cs="宋体"/>
                <w:bCs/>
                <w:color w:val="auto"/>
                <w:kern w:val="0"/>
                <w:szCs w:val="21"/>
                <w:highlight w:val="none"/>
              </w:rPr>
              <w:t>响应文件的组成、编制</w:t>
            </w:r>
          </w:p>
        </w:tc>
        <w:tc>
          <w:tcPr>
            <w:tcW w:w="7305" w:type="dxa"/>
            <w:vAlign w:val="center"/>
          </w:tcPr>
          <w:p>
            <w:pPr>
              <w:pStyle w:val="27"/>
              <w:spacing w:line="360" w:lineRule="exact"/>
              <w:ind w:left="0" w:leftChars="0" w:firstLine="0" w:firstLineChars="0"/>
              <w:textAlignment w:val="baseline"/>
              <w:rPr>
                <w:rFonts w:ascii="宋体" w:hAnsi="宋体" w:eastAsia="宋体"/>
                <w:color w:val="auto"/>
                <w:highlight w:val="none"/>
              </w:rPr>
            </w:pPr>
            <w:r>
              <w:rPr>
                <w:rFonts w:hint="eastAsia" w:ascii="宋体" w:hAnsi="宋体" w:eastAsia="宋体"/>
                <w:color w:val="auto"/>
                <w:highlight w:val="none"/>
              </w:rPr>
              <w:t>1.响应文件由</w:t>
            </w:r>
            <w:r>
              <w:rPr>
                <w:rFonts w:hint="eastAsia" w:ascii="宋体" w:hAnsi="宋体" w:eastAsia="宋体"/>
                <w:color w:val="auto"/>
                <w:highlight w:val="none"/>
                <w:lang w:eastAsia="zh-CN"/>
              </w:rPr>
              <w:t>资格审查文件</w:t>
            </w:r>
            <w:r>
              <w:rPr>
                <w:rFonts w:hint="eastAsia" w:ascii="宋体" w:hAnsi="宋体" w:eastAsia="宋体"/>
                <w:color w:val="auto"/>
                <w:highlight w:val="none"/>
              </w:rPr>
              <w:t>、商务技术文件、报价文件组成。</w:t>
            </w:r>
          </w:p>
          <w:p>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2</w:t>
            </w:r>
            <w:r>
              <w:rPr>
                <w:rFonts w:hint="eastAsia" w:ascii="宋体" w:hAnsi="宋体" w:cs="宋体"/>
                <w:color w:val="auto"/>
                <w:highlight w:val="none"/>
              </w:rPr>
              <w:t>.</w:t>
            </w:r>
            <w:r>
              <w:rPr>
                <w:rFonts w:hint="eastAsia" w:ascii="宋体" w:hAnsi="宋体" w:cs="宋体"/>
                <w:color w:val="auto"/>
                <w:highlight w:val="none"/>
                <w:lang w:val="zh-CN"/>
              </w:rPr>
              <w:t>投标文件编制：供应商应先安装“政采云电子交易客户端”，并按照本采购文件和“政府采购云平台”的要求，通过“政采云电子交易客户端”编制并加密投标文件。</w:t>
            </w:r>
          </w:p>
          <w:p>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3</w:t>
            </w:r>
            <w:r>
              <w:rPr>
                <w:rFonts w:hint="eastAsia" w:ascii="宋体" w:hAnsi="宋体" w:cs="宋体"/>
                <w:color w:val="auto"/>
                <w:highlight w:val="none"/>
              </w:rPr>
              <w:t>.</w:t>
            </w:r>
            <w:r>
              <w:rPr>
                <w:rFonts w:hint="eastAsia" w:ascii="宋体" w:hAnsi="宋体" w:cs="宋体"/>
                <w:color w:val="auto"/>
                <w:highlight w:val="none"/>
                <w:lang w:val="zh-CN"/>
              </w:rPr>
              <w:t>投标文件的形式：☑电子投标文件（包括“电子加密投标文件”和“备份投标文件”，在投标文件编制完成后同时生成）；</w:t>
            </w:r>
          </w:p>
          <w:p>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（1）“电子加密投标文件”是指通过“政采云电子交易客户端”完成投标文件编制后生成并加密的数据电文形式的投标文件。</w:t>
            </w:r>
          </w:p>
          <w:p>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（2）“备份投标文件”是指与“电子加密投标文件”同时生成的数据电文形式的电子文件（备份标书），其他方式编制的备份投标文件视为无效备份投标文件。</w:t>
            </w:r>
          </w:p>
          <w:p>
            <w:pPr>
              <w:spacing w:line="360" w:lineRule="exact"/>
              <w:textAlignment w:val="baseline"/>
              <w:rPr>
                <w:rFonts w:ascii="宋体" w:hAnsi="宋体" w:cs="宋体"/>
                <w:color w:val="auto"/>
                <w:sz w:val="20"/>
                <w:szCs w:val="21"/>
                <w:highlight w:val="none"/>
              </w:rPr>
            </w:pPr>
            <w:r>
              <w:rPr>
                <w:rFonts w:hint="eastAsia" w:ascii="宋体" w:hAnsi="宋体" w:cs="宋体"/>
                <w:color w:val="auto"/>
                <w:highlight w:val="none"/>
                <w:lang w:val="zh-CN"/>
              </w:rPr>
              <w:t>4</w:t>
            </w:r>
            <w:r>
              <w:rPr>
                <w:rFonts w:hint="eastAsia" w:ascii="宋体" w:hAnsi="宋体" w:cs="宋体"/>
                <w:color w:val="auto"/>
                <w:highlight w:val="none"/>
              </w:rPr>
              <w:t>.</w:t>
            </w:r>
            <w:r>
              <w:rPr>
                <w:rFonts w:hint="eastAsia" w:ascii="宋体" w:hAnsi="宋体" w:cs="宋体"/>
                <w:color w:val="auto"/>
                <w:highlight w:val="none"/>
                <w:lang w:val="zh-CN"/>
              </w:rPr>
              <w:t>投标文件份数：（1）“电子加密投标文件”：在线上传递交、一份。（2）“备份投标文件”：发送至邮箱：</w:t>
            </w:r>
            <w:r>
              <w:rPr>
                <w:rFonts w:hint="eastAsia" w:ascii="宋体" w:hAnsi="宋体" w:cs="宋体"/>
                <w:b/>
                <w:bCs/>
                <w:color w:val="auto"/>
                <w:kern w:val="0"/>
                <w:szCs w:val="21"/>
                <w:highlight w:val="none"/>
                <w:u w:val="single" w:color="000000"/>
              </w:rPr>
              <w:t>617535062@qq.com，</w:t>
            </w:r>
            <w:r>
              <w:rPr>
                <w:rFonts w:hint="eastAsia" w:ascii="宋体" w:hAnsi="宋体" w:cs="宋体"/>
                <w:color w:val="auto"/>
                <w:kern w:val="0"/>
                <w:szCs w:val="21"/>
                <w:highlight w:val="none"/>
              </w:rPr>
              <w:t>按接收方邮箱收件箱所显示时间为准</w:t>
            </w:r>
            <w:r>
              <w:rPr>
                <w:rFonts w:hint="eastAsia" w:ascii="宋体" w:hAnsi="宋体" w:cs="宋体"/>
                <w:color w:val="auto"/>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0" w:hRule="atLeast"/>
          <w:jc w:val="center"/>
        </w:trPr>
        <w:tc>
          <w:tcPr>
            <w:tcW w:w="720" w:type="dxa"/>
            <w:vAlign w:val="center"/>
          </w:tcPr>
          <w:p>
            <w:pPr>
              <w:numPr>
                <w:ilvl w:val="0"/>
                <w:numId w:val="5"/>
              </w:numPr>
              <w:spacing w:line="360" w:lineRule="exact"/>
              <w:jc w:val="center"/>
              <w:textAlignment w:val="baseline"/>
              <w:rPr>
                <w:rFonts w:ascii="宋体" w:hAnsi="宋体" w:cs="宋体"/>
                <w:color w:val="auto"/>
                <w:sz w:val="20"/>
                <w:szCs w:val="21"/>
                <w:highlight w:val="none"/>
              </w:rPr>
            </w:pPr>
          </w:p>
        </w:tc>
        <w:tc>
          <w:tcPr>
            <w:tcW w:w="2790" w:type="dxa"/>
            <w:vAlign w:val="center"/>
          </w:tcPr>
          <w:p>
            <w:pPr>
              <w:spacing w:line="360" w:lineRule="exact"/>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响应文件的上传和递交</w:t>
            </w:r>
          </w:p>
        </w:tc>
        <w:tc>
          <w:tcPr>
            <w:tcW w:w="7305" w:type="dxa"/>
            <w:vAlign w:val="center"/>
          </w:tcPr>
          <w:p>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（1）“电子加密投标文件”的上传、递交：</w:t>
            </w:r>
          </w:p>
          <w:p>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供应商应在投标截止时间前将“电子加密投标文件”成功上传递交至“政府采购云平台”，否则投标无效。</w:t>
            </w:r>
          </w:p>
          <w:p>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（2）“备份投标文件”的递交：</w:t>
            </w:r>
          </w:p>
          <w:p>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a.供应商在“政府采购云平台”完成“电子加密投标文件”的上传递交后，还可以（以</w:t>
            </w:r>
            <w:r>
              <w:rPr>
                <w:rFonts w:hint="eastAsia" w:ascii="宋体" w:hAnsi="宋体" w:cs="宋体"/>
                <w:color w:val="auto"/>
                <w:highlight w:val="none"/>
              </w:rPr>
              <w:t>电子邮件的</w:t>
            </w:r>
            <w:r>
              <w:rPr>
                <w:rFonts w:hint="eastAsia" w:ascii="宋体" w:hAnsi="宋体" w:cs="宋体"/>
                <w:color w:val="auto"/>
                <w:highlight w:val="none"/>
                <w:lang w:val="zh-CN"/>
              </w:rPr>
              <w:t>形式）在投标截止时间前发送一份加密压缩文件的“备份投标文件”（一份）；</w:t>
            </w:r>
          </w:p>
          <w:p>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b.“备份投标文件”以压缩文件形式加密发送至邮箱：</w:t>
            </w:r>
            <w:r>
              <w:rPr>
                <w:rFonts w:hint="eastAsia" w:ascii="宋体" w:hAnsi="宋体" w:cs="宋体"/>
                <w:b/>
                <w:bCs/>
                <w:color w:val="auto"/>
                <w:kern w:val="0"/>
                <w:szCs w:val="21"/>
                <w:highlight w:val="none"/>
                <w:u w:val="single" w:color="000000"/>
              </w:rPr>
              <w:t>617535062@qq.com，</w:t>
            </w:r>
            <w:r>
              <w:rPr>
                <w:rFonts w:hint="eastAsia" w:ascii="宋体" w:hAnsi="宋体" w:cs="宋体"/>
                <w:color w:val="auto"/>
                <w:kern w:val="0"/>
                <w:szCs w:val="21"/>
                <w:highlight w:val="none"/>
              </w:rPr>
              <w:t>压缩文件命名为</w:t>
            </w:r>
            <w:r>
              <w:rPr>
                <w:rFonts w:hint="eastAsia" w:ascii="宋体" w:hAnsi="宋体" w:cs="宋体"/>
                <w:color w:val="auto"/>
                <w:highlight w:val="none"/>
                <w:lang w:val="zh-CN"/>
              </w:rPr>
              <w:t>投标项目编号和投标单位简称。开标时间起半小时内发送压缩文件密码至邮箱：</w:t>
            </w:r>
            <w:r>
              <w:rPr>
                <w:rFonts w:hint="eastAsia" w:ascii="宋体" w:hAnsi="宋体" w:cs="宋体"/>
                <w:b/>
                <w:bCs/>
                <w:color w:val="auto"/>
                <w:kern w:val="0"/>
                <w:szCs w:val="21"/>
                <w:highlight w:val="none"/>
                <w:u w:val="single" w:color="000000"/>
              </w:rPr>
              <w:t>617535062@qq.com</w:t>
            </w:r>
            <w:r>
              <w:rPr>
                <w:rFonts w:hint="eastAsia" w:ascii="宋体" w:hAnsi="宋体" w:cs="宋体"/>
                <w:color w:val="auto"/>
                <w:highlight w:val="none"/>
                <w:lang w:val="zh-CN"/>
              </w:rPr>
              <w:t>。</w:t>
            </w:r>
          </w:p>
          <w:p>
            <w:pPr>
              <w:spacing w:line="360" w:lineRule="exact"/>
              <w:textAlignment w:val="baseline"/>
              <w:rPr>
                <w:rFonts w:ascii="宋体" w:hAnsi="宋体" w:cs="宋体"/>
                <w:color w:val="auto"/>
                <w:highlight w:val="none"/>
                <w:lang w:val="zh-CN"/>
              </w:rPr>
            </w:pPr>
            <w:r>
              <w:rPr>
                <w:rFonts w:hint="eastAsia" w:ascii="宋体" w:hAnsi="宋体" w:cs="宋体"/>
                <w:color w:val="auto"/>
                <w:highlight w:val="none"/>
                <w:lang w:val="zh-CN"/>
              </w:rPr>
              <w:t>c.通过“政府采购云平台”成功上传递交的“电子加密投标文件”已按时解密的，“备份投标文件”自动失效。投标截止时间前，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numPr>
                <w:ilvl w:val="0"/>
                <w:numId w:val="5"/>
              </w:numPr>
              <w:spacing w:line="360" w:lineRule="exact"/>
              <w:jc w:val="center"/>
              <w:textAlignment w:val="baseline"/>
              <w:rPr>
                <w:rFonts w:ascii="宋体" w:hAnsi="宋体" w:cs="宋体"/>
                <w:color w:val="auto"/>
                <w:sz w:val="20"/>
                <w:szCs w:val="21"/>
                <w:highlight w:val="none"/>
              </w:rPr>
            </w:pPr>
          </w:p>
        </w:tc>
        <w:tc>
          <w:tcPr>
            <w:tcW w:w="2790" w:type="dxa"/>
            <w:vAlign w:val="center"/>
          </w:tcPr>
          <w:p>
            <w:pPr>
              <w:spacing w:line="360" w:lineRule="exact"/>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中标结果公告期限</w:t>
            </w:r>
          </w:p>
        </w:tc>
        <w:tc>
          <w:tcPr>
            <w:tcW w:w="7305" w:type="dxa"/>
            <w:vAlign w:val="center"/>
          </w:tcPr>
          <w:p>
            <w:pPr>
              <w:snapToGrid w:val="0"/>
              <w:spacing w:line="360" w:lineRule="exact"/>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1个工作日</w:t>
            </w:r>
            <w:r>
              <w:rPr>
                <w:rFonts w:hint="eastAsia" w:ascii="宋体" w:hAnsi="宋体" w:cs="宋体"/>
                <w:color w:val="auto"/>
                <w:highlight w:val="none"/>
              </w:rPr>
              <w:t>（中标结果公告发布之日起至第2个工作日止）</w:t>
            </w:r>
            <w:r>
              <w:rPr>
                <w:rFonts w:hint="eastAsia" w:ascii="宋体"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numPr>
                <w:ilvl w:val="0"/>
                <w:numId w:val="5"/>
              </w:numPr>
              <w:spacing w:line="360" w:lineRule="exact"/>
              <w:jc w:val="center"/>
              <w:textAlignment w:val="baseline"/>
              <w:rPr>
                <w:rFonts w:ascii="宋体" w:hAnsi="宋体" w:cs="宋体"/>
                <w:color w:val="auto"/>
                <w:sz w:val="20"/>
                <w:szCs w:val="21"/>
                <w:highlight w:val="none"/>
              </w:rPr>
            </w:pPr>
          </w:p>
        </w:tc>
        <w:tc>
          <w:tcPr>
            <w:tcW w:w="2790" w:type="dxa"/>
            <w:vAlign w:val="center"/>
          </w:tcPr>
          <w:p>
            <w:pPr>
              <w:spacing w:line="360" w:lineRule="exact"/>
              <w:textAlignment w:val="baseline"/>
              <w:rPr>
                <w:rFonts w:ascii="宋体" w:hAnsi="宋体" w:cs="宋体"/>
                <w:b/>
                <w:bCs/>
                <w:color w:val="auto"/>
                <w:sz w:val="20"/>
                <w:szCs w:val="21"/>
                <w:highlight w:val="none"/>
              </w:rPr>
            </w:pPr>
            <w:r>
              <w:rPr>
                <w:rFonts w:hint="eastAsia" w:ascii="宋体" w:hAnsi="宋体" w:cs="宋体"/>
                <w:color w:val="auto"/>
                <w:kern w:val="0"/>
                <w:szCs w:val="21"/>
                <w:highlight w:val="none"/>
              </w:rPr>
              <w:t>签订合同</w:t>
            </w:r>
          </w:p>
        </w:tc>
        <w:tc>
          <w:tcPr>
            <w:tcW w:w="7305" w:type="dxa"/>
            <w:vAlign w:val="center"/>
          </w:tcPr>
          <w:p>
            <w:pPr>
              <w:snapToGrid w:val="0"/>
              <w:spacing w:line="360" w:lineRule="exact"/>
              <w:textAlignment w:val="baseline"/>
              <w:rPr>
                <w:rFonts w:ascii="宋体" w:hAnsi="宋体" w:cs="宋体"/>
                <w:color w:val="auto"/>
                <w:sz w:val="20"/>
                <w:szCs w:val="21"/>
                <w:highlight w:val="none"/>
              </w:rPr>
            </w:pPr>
            <w:r>
              <w:rPr>
                <w:rFonts w:hint="eastAsia" w:ascii="宋体" w:hAnsi="宋体" w:cs="宋体"/>
                <w:color w:val="auto"/>
                <w:kern w:val="0"/>
                <w:szCs w:val="21"/>
                <w:highlight w:val="none"/>
              </w:rPr>
              <w:t>公示期结束无异议后发出中标通知书30天内。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numPr>
                <w:ilvl w:val="0"/>
                <w:numId w:val="5"/>
              </w:numPr>
              <w:spacing w:line="360" w:lineRule="exact"/>
              <w:jc w:val="center"/>
              <w:textAlignment w:val="baseline"/>
              <w:rPr>
                <w:rFonts w:ascii="宋体" w:hAnsi="宋体" w:cs="宋体"/>
                <w:color w:val="auto"/>
                <w:sz w:val="20"/>
                <w:szCs w:val="21"/>
                <w:highlight w:val="none"/>
              </w:rPr>
            </w:pPr>
          </w:p>
        </w:tc>
        <w:tc>
          <w:tcPr>
            <w:tcW w:w="2790" w:type="dxa"/>
            <w:vAlign w:val="center"/>
          </w:tcPr>
          <w:p>
            <w:pPr>
              <w:spacing w:line="360" w:lineRule="exact"/>
              <w:textAlignment w:val="baseline"/>
              <w:rPr>
                <w:rFonts w:ascii="宋体" w:hAnsi="宋体" w:cs="宋体"/>
                <w:color w:val="auto"/>
                <w:kern w:val="0"/>
                <w:sz w:val="20"/>
                <w:szCs w:val="21"/>
                <w:highlight w:val="none"/>
              </w:rPr>
            </w:pPr>
            <w:r>
              <w:rPr>
                <w:rFonts w:hint="eastAsia" w:ascii="宋体" w:hAnsi="宋体" w:cs="宋体"/>
                <w:color w:val="auto"/>
                <w:sz w:val="22"/>
                <w:highlight w:val="none"/>
              </w:rPr>
              <w:t>合同备案</w:t>
            </w:r>
          </w:p>
        </w:tc>
        <w:tc>
          <w:tcPr>
            <w:tcW w:w="7305" w:type="dxa"/>
            <w:vAlign w:val="center"/>
          </w:tcPr>
          <w:p>
            <w:pPr>
              <w:snapToGrid w:val="0"/>
              <w:spacing w:line="360" w:lineRule="exact"/>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中标人与采购人签订合同后，2日历天内将合同扫描件电子版发送至邮箱：</w:t>
            </w:r>
            <w:r>
              <w:rPr>
                <w:rFonts w:hint="eastAsia" w:ascii="宋体" w:hAnsi="宋体" w:cs="宋体"/>
                <w:color w:val="auto"/>
                <w:kern w:val="0"/>
                <w:szCs w:val="21"/>
                <w:highlight w:val="none"/>
                <w:u w:val="single" w:color="000000"/>
              </w:rPr>
              <w:t>617535062@qq.com</w:t>
            </w:r>
            <w:r>
              <w:rPr>
                <w:rFonts w:hint="eastAsia" w:ascii="宋体" w:hAnsi="宋体" w:cs="宋体"/>
                <w:color w:val="auto"/>
                <w:kern w:val="0"/>
                <w:szCs w:val="21"/>
                <w:highlight w:val="none"/>
              </w:rPr>
              <w:t>；本项目政府采购合同按规定在浙江政府采购网（http://www.zjzfcg.gov.cn）予以公告。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pStyle w:val="27"/>
              <w:spacing w:line="360" w:lineRule="exact"/>
              <w:ind w:left="0" w:leftChars="0" w:firstLine="0" w:firstLineChars="0"/>
              <w:jc w:val="center"/>
              <w:textAlignment w:val="baseline"/>
              <w:rPr>
                <w:rFonts w:ascii="宋体" w:hAnsi="宋体" w:eastAsia="宋体"/>
                <w:color w:val="auto"/>
                <w:highlight w:val="none"/>
              </w:rPr>
            </w:pPr>
            <w:r>
              <w:rPr>
                <w:rFonts w:hint="eastAsia" w:ascii="宋体" w:hAnsi="宋体" w:eastAsia="宋体"/>
                <w:color w:val="auto"/>
                <w:highlight w:val="none"/>
              </w:rPr>
              <w:t>17</w:t>
            </w:r>
          </w:p>
        </w:tc>
        <w:tc>
          <w:tcPr>
            <w:tcW w:w="2790" w:type="dxa"/>
            <w:vAlign w:val="center"/>
          </w:tcPr>
          <w:p>
            <w:pPr>
              <w:pStyle w:val="16"/>
              <w:spacing w:line="360" w:lineRule="exact"/>
              <w:textAlignment w:val="baseline"/>
              <w:rPr>
                <w:rFonts w:hAnsi="宋体" w:cs="宋体"/>
                <w:color w:val="auto"/>
                <w:kern w:val="0"/>
                <w:highlight w:val="none"/>
              </w:rPr>
            </w:pPr>
            <w:r>
              <w:rPr>
                <w:rFonts w:hint="eastAsia" w:hAnsi="宋体" w:cs="宋体"/>
                <w:color w:val="auto"/>
                <w:kern w:val="0"/>
                <w:highlight w:val="none"/>
              </w:rPr>
              <w:t>公告及澄清文件</w:t>
            </w:r>
          </w:p>
          <w:p>
            <w:pPr>
              <w:spacing w:line="360" w:lineRule="exact"/>
              <w:textAlignment w:val="baseline"/>
              <w:rPr>
                <w:rFonts w:ascii="宋体" w:hAnsi="宋体" w:cs="宋体"/>
                <w:color w:val="auto"/>
                <w:sz w:val="20"/>
                <w:szCs w:val="21"/>
                <w:highlight w:val="none"/>
              </w:rPr>
            </w:pPr>
            <w:r>
              <w:rPr>
                <w:rFonts w:hint="eastAsia" w:ascii="宋体" w:hAnsi="宋体" w:cs="宋体"/>
                <w:color w:val="auto"/>
                <w:kern w:val="0"/>
                <w:szCs w:val="21"/>
                <w:highlight w:val="none"/>
              </w:rPr>
              <w:t>发布网址</w:t>
            </w:r>
          </w:p>
        </w:tc>
        <w:tc>
          <w:tcPr>
            <w:tcW w:w="7305" w:type="dxa"/>
            <w:vAlign w:val="center"/>
          </w:tcPr>
          <w:p>
            <w:pPr>
              <w:snapToGrid w:val="0"/>
              <w:spacing w:line="360" w:lineRule="exact"/>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浙江政府采购网</w:t>
            </w:r>
            <w:r>
              <w:rPr>
                <w:rFonts w:hint="eastAsia" w:ascii="宋体" w:hAnsi="宋体" w:cs="宋体"/>
                <w:color w:val="auto"/>
                <w:highlight w:val="none"/>
              </w:rPr>
              <w:t>（</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ascii="宋体" w:hAnsi="宋体" w:cs="宋体"/>
                <w:color w:val="auto"/>
                <w:highlight w:val="none"/>
              </w:rPr>
              <w:t>www.zjzfcg.gov.cn</w:t>
            </w:r>
            <w:r>
              <w:rPr>
                <w:rFonts w:hint="eastAsia" w:ascii="宋体" w:hAnsi="宋体" w:cs="宋体"/>
                <w:color w:val="auto"/>
                <w:highlight w:val="none"/>
              </w:rPr>
              <w:fldChar w:fldCharType="end"/>
            </w:r>
            <w:r>
              <w:rPr>
                <w:rFonts w:hint="eastAsia" w:ascii="宋体" w:hAnsi="宋体" w:cs="宋体"/>
                <w:color w:val="auto"/>
                <w:highlight w:val="none"/>
              </w:rPr>
              <w:t>）</w:t>
            </w:r>
            <w:r>
              <w:rPr>
                <w:rFonts w:hint="eastAsia" w:ascii="宋体" w:hAnsi="宋体" w:cs="宋体"/>
                <w:color w:val="auto"/>
                <w:kern w:val="0"/>
                <w:szCs w:val="21"/>
                <w:highlight w:val="none"/>
              </w:rPr>
              <w:t>、常山县公共资源交易网（</w:t>
            </w:r>
            <w:r>
              <w:rPr>
                <w:color w:val="auto"/>
                <w:highlight w:val="none"/>
              </w:rPr>
              <w:fldChar w:fldCharType="begin"/>
            </w:r>
            <w:r>
              <w:rPr>
                <w:color w:val="auto"/>
                <w:highlight w:val="none"/>
              </w:rPr>
              <w:instrText xml:space="preserve"> HYPERLINK "http://www.csztb.net" </w:instrText>
            </w:r>
            <w:r>
              <w:rPr>
                <w:color w:val="auto"/>
                <w:highlight w:val="none"/>
              </w:rPr>
              <w:fldChar w:fldCharType="separate"/>
            </w:r>
            <w:r>
              <w:rPr>
                <w:rFonts w:hint="eastAsia" w:ascii="宋体" w:hAnsi="宋体" w:cs="宋体"/>
                <w:color w:val="auto"/>
                <w:kern w:val="0"/>
                <w:szCs w:val="21"/>
                <w:highlight w:val="none"/>
              </w:rPr>
              <w:t>http://qzcs.zjzwfw.gov.cn/col/col1341066/index.html</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spacing w:line="360" w:lineRule="exact"/>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18</w:t>
            </w:r>
          </w:p>
        </w:tc>
        <w:tc>
          <w:tcPr>
            <w:tcW w:w="2790" w:type="dxa"/>
            <w:vAlign w:val="center"/>
          </w:tcPr>
          <w:p>
            <w:pPr>
              <w:spacing w:line="360" w:lineRule="exact"/>
              <w:textAlignment w:val="baseline"/>
              <w:rPr>
                <w:rFonts w:ascii="宋体" w:hAnsi="宋体" w:cs="宋体"/>
                <w:color w:val="auto"/>
                <w:sz w:val="20"/>
                <w:szCs w:val="21"/>
                <w:highlight w:val="none"/>
              </w:rPr>
            </w:pPr>
            <w:r>
              <w:rPr>
                <w:rFonts w:hint="eastAsia" w:ascii="宋体" w:hAnsi="宋体" w:cs="宋体"/>
                <w:color w:val="auto"/>
                <w:kern w:val="0"/>
                <w:szCs w:val="21"/>
                <w:highlight w:val="none"/>
              </w:rPr>
              <w:t>成交候选供应商</w:t>
            </w:r>
          </w:p>
        </w:tc>
        <w:tc>
          <w:tcPr>
            <w:tcW w:w="7305" w:type="dxa"/>
            <w:vAlign w:val="center"/>
          </w:tcPr>
          <w:p>
            <w:pPr>
              <w:snapToGrid w:val="0"/>
              <w:spacing w:line="360" w:lineRule="exact"/>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本项目由磋商小组推荐1名成交候选供应商。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pStyle w:val="27"/>
              <w:spacing w:line="360" w:lineRule="exact"/>
              <w:ind w:left="0" w:leftChars="0" w:firstLine="0" w:firstLineChars="0"/>
              <w:jc w:val="center"/>
              <w:textAlignment w:val="baseline"/>
              <w:rPr>
                <w:rFonts w:ascii="宋体" w:hAnsi="宋体" w:eastAsia="宋体"/>
                <w:color w:val="auto"/>
                <w:highlight w:val="none"/>
              </w:rPr>
            </w:pPr>
            <w:r>
              <w:rPr>
                <w:rFonts w:hint="eastAsia" w:ascii="宋体" w:hAnsi="宋体" w:eastAsia="宋体"/>
                <w:color w:val="auto"/>
                <w:highlight w:val="none"/>
              </w:rPr>
              <w:t>19</w:t>
            </w:r>
          </w:p>
        </w:tc>
        <w:tc>
          <w:tcPr>
            <w:tcW w:w="2790" w:type="dxa"/>
            <w:vAlign w:val="center"/>
          </w:tcPr>
          <w:p>
            <w:pPr>
              <w:spacing w:line="360" w:lineRule="exact"/>
              <w:jc w:val="center"/>
              <w:textAlignment w:val="baseline"/>
              <w:rPr>
                <w:rFonts w:ascii="宋体" w:hAnsi="宋体" w:cs="宋体"/>
                <w:color w:val="auto"/>
                <w:sz w:val="20"/>
                <w:szCs w:val="21"/>
                <w:highlight w:val="none"/>
              </w:rPr>
            </w:pPr>
            <w:r>
              <w:rPr>
                <w:rFonts w:hint="eastAsia" w:ascii="宋体" w:hAnsi="宋体" w:cs="宋体"/>
                <w:color w:val="auto"/>
                <w:kern w:val="0"/>
                <w:szCs w:val="21"/>
                <w:highlight w:val="none"/>
              </w:rPr>
              <w:t>招标代理费</w:t>
            </w:r>
          </w:p>
        </w:tc>
        <w:tc>
          <w:tcPr>
            <w:tcW w:w="7305" w:type="dxa"/>
            <w:vAlign w:val="center"/>
          </w:tcPr>
          <w:p>
            <w:pPr>
              <w:spacing w:line="36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本项目招标代理费(招标代理费收费标准按照国家计委关于印发《招标代理服务费管理暂行办法》的通知（计价格【2002】1980号）规定的收费标准执行，按服务招标计算），由中标人支付给代理机构。各投标人在投标报价时自行考虑在投标报价中，由中标人在领取中标通知书前一次性支付给代理机构。</w:t>
            </w:r>
          </w:p>
          <w:p>
            <w:pPr>
              <w:pStyle w:val="27"/>
              <w:spacing w:line="360" w:lineRule="exact"/>
              <w:ind w:firstLine="42"/>
              <w:textAlignment w:val="baseline"/>
              <w:rPr>
                <w:rFonts w:ascii="宋体" w:hAnsi="宋体" w:eastAsia="宋体"/>
                <w:color w:val="auto"/>
                <w:highlight w:val="none"/>
              </w:rPr>
            </w:pPr>
            <w:r>
              <w:rPr>
                <w:rFonts w:hint="eastAsia" w:ascii="宋体" w:hAnsi="宋体" w:eastAsia="宋体"/>
                <w:color w:val="auto"/>
                <w:highlight w:val="none"/>
              </w:rPr>
              <w:t>《招标代理服务费管理暂行办法》的通知规定的收费标准</w:t>
            </w:r>
          </w:p>
          <w:tbl>
            <w:tblPr>
              <w:tblStyle w:val="28"/>
              <w:tblW w:w="68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2"/>
              <w:gridCol w:w="2293"/>
              <w:gridCol w:w="2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Borders>
                    <w:top w:val="single" w:color="000000" w:sz="4" w:space="0"/>
                    <w:left w:val="single" w:color="000000" w:sz="4" w:space="0"/>
                    <w:bottom w:val="single" w:color="000000" w:sz="4" w:space="0"/>
                    <w:right w:val="single" w:color="000000" w:sz="4" w:space="0"/>
                  </w:tcBorders>
                </w:tcPr>
                <w:p>
                  <w:pPr>
                    <w:snapToGrid w:val="0"/>
                    <w:spacing w:before="100" w:after="100" w:line="360" w:lineRule="exact"/>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中标金额（万元）</w:t>
                  </w:r>
                </w:p>
              </w:tc>
              <w:tc>
                <w:tcPr>
                  <w:tcW w:w="2293" w:type="dxa"/>
                  <w:tcBorders>
                    <w:top w:val="single" w:color="000000" w:sz="4" w:space="0"/>
                    <w:left w:val="single" w:color="000000" w:sz="4" w:space="0"/>
                    <w:bottom w:val="single" w:color="000000" w:sz="4" w:space="0"/>
                    <w:right w:val="single" w:color="000000" w:sz="4" w:space="0"/>
                  </w:tcBorders>
                </w:tcPr>
                <w:p>
                  <w:pPr>
                    <w:snapToGrid w:val="0"/>
                    <w:spacing w:before="100" w:after="100" w:line="360" w:lineRule="exact"/>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货物费率</w:t>
                  </w:r>
                </w:p>
              </w:tc>
              <w:tc>
                <w:tcPr>
                  <w:tcW w:w="2280" w:type="dxa"/>
                  <w:tcBorders>
                    <w:top w:val="single" w:color="000000" w:sz="4" w:space="0"/>
                    <w:left w:val="single" w:color="000000" w:sz="4" w:space="0"/>
                    <w:bottom w:val="single" w:color="000000" w:sz="4" w:space="0"/>
                    <w:right w:val="single" w:color="000000" w:sz="4" w:space="0"/>
                  </w:tcBorders>
                </w:tcPr>
                <w:p>
                  <w:pPr>
                    <w:snapToGrid w:val="0"/>
                    <w:spacing w:before="100" w:after="100" w:line="360" w:lineRule="exact"/>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服务费率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Borders>
                    <w:top w:val="single" w:color="000000" w:sz="4" w:space="0"/>
                    <w:left w:val="single" w:color="000000" w:sz="4" w:space="0"/>
                    <w:bottom w:val="single" w:color="000000" w:sz="4" w:space="0"/>
                    <w:right w:val="single" w:color="000000" w:sz="4" w:space="0"/>
                  </w:tcBorders>
                </w:tcPr>
                <w:p>
                  <w:pPr>
                    <w:snapToGrid w:val="0"/>
                    <w:spacing w:before="100" w:after="100" w:line="360" w:lineRule="exact"/>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100以下</w:t>
                  </w:r>
                </w:p>
              </w:tc>
              <w:tc>
                <w:tcPr>
                  <w:tcW w:w="2293" w:type="dxa"/>
                  <w:tcBorders>
                    <w:top w:val="single" w:color="000000" w:sz="4" w:space="0"/>
                    <w:left w:val="single" w:color="000000" w:sz="4" w:space="0"/>
                    <w:bottom w:val="single" w:color="000000" w:sz="4" w:space="0"/>
                    <w:right w:val="single" w:color="000000" w:sz="4" w:space="0"/>
                  </w:tcBorders>
                </w:tcPr>
                <w:p>
                  <w:pPr>
                    <w:snapToGrid w:val="0"/>
                    <w:spacing w:before="100" w:after="100" w:line="360" w:lineRule="exact"/>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1.5%</w:t>
                  </w:r>
                </w:p>
              </w:tc>
              <w:tc>
                <w:tcPr>
                  <w:tcW w:w="2280" w:type="dxa"/>
                  <w:tcBorders>
                    <w:top w:val="single" w:color="000000" w:sz="4" w:space="0"/>
                    <w:left w:val="single" w:color="000000" w:sz="4" w:space="0"/>
                    <w:bottom w:val="single" w:color="000000" w:sz="4" w:space="0"/>
                    <w:right w:val="single" w:color="000000" w:sz="4" w:space="0"/>
                  </w:tcBorders>
                </w:tcPr>
                <w:p>
                  <w:pPr>
                    <w:snapToGrid w:val="0"/>
                    <w:spacing w:before="100" w:after="100" w:line="360" w:lineRule="exact"/>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Borders>
                    <w:top w:val="single" w:color="000000" w:sz="4" w:space="0"/>
                    <w:left w:val="single" w:color="000000" w:sz="4" w:space="0"/>
                    <w:bottom w:val="single" w:color="000000" w:sz="4" w:space="0"/>
                    <w:right w:val="single" w:color="000000" w:sz="4" w:space="0"/>
                  </w:tcBorders>
                </w:tcPr>
                <w:p>
                  <w:pPr>
                    <w:snapToGrid w:val="0"/>
                    <w:spacing w:before="100" w:after="100" w:line="360" w:lineRule="exact"/>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100-500</w:t>
                  </w:r>
                </w:p>
              </w:tc>
              <w:tc>
                <w:tcPr>
                  <w:tcW w:w="2293" w:type="dxa"/>
                  <w:tcBorders>
                    <w:top w:val="single" w:color="000000" w:sz="4" w:space="0"/>
                    <w:left w:val="single" w:color="000000" w:sz="4" w:space="0"/>
                    <w:bottom w:val="single" w:color="000000" w:sz="4" w:space="0"/>
                    <w:right w:val="single" w:color="000000" w:sz="4" w:space="0"/>
                  </w:tcBorders>
                </w:tcPr>
                <w:p>
                  <w:pPr>
                    <w:snapToGrid w:val="0"/>
                    <w:spacing w:before="100" w:after="100" w:line="360" w:lineRule="exact"/>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1.1%</w:t>
                  </w:r>
                </w:p>
              </w:tc>
              <w:tc>
                <w:tcPr>
                  <w:tcW w:w="2280" w:type="dxa"/>
                  <w:tcBorders>
                    <w:top w:val="single" w:color="000000" w:sz="4" w:space="0"/>
                    <w:left w:val="single" w:color="000000" w:sz="4" w:space="0"/>
                    <w:bottom w:val="single" w:color="000000" w:sz="4" w:space="0"/>
                    <w:right w:val="single" w:color="000000" w:sz="4" w:space="0"/>
                  </w:tcBorders>
                </w:tcPr>
                <w:p>
                  <w:pPr>
                    <w:snapToGrid w:val="0"/>
                    <w:spacing w:before="100" w:after="100" w:line="360" w:lineRule="exact"/>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Borders>
                    <w:top w:val="single" w:color="000000" w:sz="4" w:space="0"/>
                    <w:left w:val="single" w:color="000000" w:sz="4" w:space="0"/>
                    <w:bottom w:val="single" w:color="000000" w:sz="4" w:space="0"/>
                    <w:right w:val="single" w:color="000000" w:sz="4" w:space="0"/>
                  </w:tcBorders>
                </w:tcPr>
                <w:p>
                  <w:pPr>
                    <w:snapToGrid w:val="0"/>
                    <w:spacing w:before="100" w:after="100" w:line="360" w:lineRule="exact"/>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500-1000</w:t>
                  </w:r>
                </w:p>
              </w:tc>
              <w:tc>
                <w:tcPr>
                  <w:tcW w:w="2293" w:type="dxa"/>
                  <w:tcBorders>
                    <w:top w:val="single" w:color="000000" w:sz="4" w:space="0"/>
                    <w:left w:val="single" w:color="000000" w:sz="4" w:space="0"/>
                    <w:bottom w:val="single" w:color="000000" w:sz="4" w:space="0"/>
                    <w:right w:val="single" w:color="000000" w:sz="4" w:space="0"/>
                  </w:tcBorders>
                </w:tcPr>
                <w:p>
                  <w:pPr>
                    <w:snapToGrid w:val="0"/>
                    <w:spacing w:before="100" w:after="100" w:line="360" w:lineRule="exact"/>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0.8%</w:t>
                  </w:r>
                </w:p>
              </w:tc>
              <w:tc>
                <w:tcPr>
                  <w:tcW w:w="2280" w:type="dxa"/>
                  <w:tcBorders>
                    <w:top w:val="single" w:color="000000" w:sz="4" w:space="0"/>
                    <w:left w:val="single" w:color="000000" w:sz="4" w:space="0"/>
                    <w:bottom w:val="single" w:color="000000" w:sz="4" w:space="0"/>
                    <w:right w:val="single" w:color="000000" w:sz="4" w:space="0"/>
                  </w:tcBorders>
                </w:tcPr>
                <w:p>
                  <w:pPr>
                    <w:snapToGrid w:val="0"/>
                    <w:spacing w:before="100" w:after="100" w:line="360" w:lineRule="exact"/>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0.45%</w:t>
                  </w:r>
                </w:p>
              </w:tc>
            </w:tr>
          </w:tbl>
          <w:p>
            <w:pPr>
              <w:pStyle w:val="45"/>
              <w:spacing w:line="360" w:lineRule="exact"/>
              <w:textAlignment w:val="baseline"/>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pStyle w:val="27"/>
              <w:spacing w:line="360" w:lineRule="exact"/>
              <w:ind w:left="0" w:leftChars="0" w:firstLine="0" w:firstLineChars="0"/>
              <w:jc w:val="center"/>
              <w:textAlignment w:val="baseline"/>
              <w:rPr>
                <w:rFonts w:ascii="宋体" w:hAnsi="宋体" w:eastAsia="宋体"/>
                <w:color w:val="auto"/>
                <w:highlight w:val="none"/>
              </w:rPr>
            </w:pPr>
            <w:r>
              <w:rPr>
                <w:rFonts w:hint="eastAsia" w:ascii="宋体" w:hAnsi="宋体" w:eastAsia="宋体"/>
                <w:color w:val="auto"/>
                <w:highlight w:val="none"/>
              </w:rPr>
              <w:t>20</w:t>
            </w:r>
          </w:p>
        </w:tc>
        <w:tc>
          <w:tcPr>
            <w:tcW w:w="2790" w:type="dxa"/>
            <w:vAlign w:val="center"/>
          </w:tcPr>
          <w:p>
            <w:pPr>
              <w:spacing w:line="360" w:lineRule="exact"/>
              <w:jc w:val="center"/>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特别说明</w:t>
            </w:r>
          </w:p>
        </w:tc>
        <w:tc>
          <w:tcPr>
            <w:tcW w:w="7305" w:type="dxa"/>
            <w:vAlign w:val="center"/>
          </w:tcPr>
          <w:p>
            <w:pPr>
              <w:spacing w:line="360" w:lineRule="exact"/>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未注册加入浙江省政府采购投标人库的投标人一旦被确定为中标人的，应当在《中标通知书》发出前的三个工作日内按《关于印发浙江省政府投标人注册及诚信管理暂行办法通知》[浙财采监字〔2009〕28号]文件的规定进行注册申请，否则，采购单位将拒绝向其发出《中标通知书》，视为未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pStyle w:val="27"/>
              <w:spacing w:line="360" w:lineRule="exact"/>
              <w:ind w:left="0" w:leftChars="0" w:firstLine="0" w:firstLineChars="0"/>
              <w:jc w:val="center"/>
              <w:textAlignment w:val="baseline"/>
              <w:rPr>
                <w:rFonts w:ascii="宋体" w:hAnsi="宋体" w:eastAsia="宋体"/>
                <w:color w:val="auto"/>
                <w:highlight w:val="none"/>
              </w:rPr>
            </w:pPr>
            <w:r>
              <w:rPr>
                <w:rFonts w:hint="eastAsia" w:ascii="宋体" w:hAnsi="宋体" w:eastAsia="宋体"/>
                <w:color w:val="auto"/>
                <w:highlight w:val="none"/>
              </w:rPr>
              <w:t>21</w:t>
            </w:r>
          </w:p>
        </w:tc>
        <w:tc>
          <w:tcPr>
            <w:tcW w:w="2790" w:type="dxa"/>
            <w:vAlign w:val="center"/>
          </w:tcPr>
          <w:p>
            <w:pPr>
              <w:pStyle w:val="12"/>
              <w:snapToGrid w:val="0"/>
              <w:spacing w:before="0" w:line="360" w:lineRule="exact"/>
              <w:textAlignment w:val="baseline"/>
              <w:rPr>
                <w:rFonts w:ascii="宋体" w:hAnsi="宋体" w:eastAsia="宋体" w:cs="宋体"/>
                <w:b w:val="0"/>
                <w:bCs w:val="0"/>
                <w:color w:val="auto"/>
                <w:highlight w:val="none"/>
              </w:rPr>
            </w:pPr>
            <w:r>
              <w:rPr>
                <w:rFonts w:hint="eastAsia" w:ascii="宋体" w:hAnsi="宋体" w:eastAsia="宋体" w:cs="宋体"/>
                <w:b w:val="0"/>
                <w:bCs w:val="0"/>
                <w:color w:val="auto"/>
                <w:kern w:val="2"/>
                <w:sz w:val="21"/>
                <w:highlight w:val="none"/>
              </w:rPr>
              <w:t>磋商供应商信用查询</w:t>
            </w:r>
          </w:p>
        </w:tc>
        <w:tc>
          <w:tcPr>
            <w:tcW w:w="7305" w:type="dxa"/>
            <w:vAlign w:val="center"/>
          </w:tcPr>
          <w:p>
            <w:pPr>
              <w:pStyle w:val="12"/>
              <w:snapToGrid w:val="0"/>
              <w:spacing w:before="0" w:line="360" w:lineRule="exact"/>
              <w:textAlignment w:val="baseline"/>
              <w:rPr>
                <w:rFonts w:ascii="宋体" w:hAnsi="宋体" w:eastAsia="宋体" w:cs="宋体"/>
                <w:b w:val="0"/>
                <w:bCs w:val="0"/>
                <w:color w:val="auto"/>
                <w:kern w:val="2"/>
                <w:sz w:val="21"/>
                <w:highlight w:val="none"/>
              </w:rPr>
            </w:pPr>
            <w:r>
              <w:rPr>
                <w:rFonts w:hint="eastAsia" w:ascii="宋体" w:hAnsi="宋体" w:eastAsia="宋体" w:cs="宋体"/>
                <w:b w:val="0"/>
                <w:bCs w:val="0"/>
                <w:color w:val="auto"/>
                <w:kern w:val="2"/>
                <w:sz w:val="21"/>
                <w:highlight w:val="none"/>
              </w:rPr>
              <w:t>根据《关于在政府采购活动中查询及使用信用记录有关问题的通知》财库[2016]125号的规定：</w:t>
            </w:r>
          </w:p>
          <w:p>
            <w:pPr>
              <w:pStyle w:val="12"/>
              <w:snapToGrid w:val="0"/>
              <w:spacing w:before="0" w:line="360" w:lineRule="exact"/>
              <w:textAlignment w:val="baseline"/>
              <w:rPr>
                <w:rFonts w:ascii="宋体" w:hAnsi="宋体" w:eastAsia="宋体" w:cs="宋体"/>
                <w:b w:val="0"/>
                <w:bCs w:val="0"/>
                <w:color w:val="auto"/>
                <w:kern w:val="2"/>
                <w:sz w:val="21"/>
                <w:highlight w:val="none"/>
              </w:rPr>
            </w:pPr>
            <w:r>
              <w:rPr>
                <w:rFonts w:hint="eastAsia" w:ascii="宋体" w:hAnsi="宋体" w:eastAsia="宋体" w:cs="宋体"/>
                <w:b w:val="0"/>
                <w:bCs w:val="0"/>
                <w:color w:val="auto"/>
                <w:kern w:val="2"/>
                <w:sz w:val="21"/>
                <w:highlight w:val="none"/>
              </w:rPr>
              <w:t>1）采购代理机构将对本项目投标供应商的信用信息进行查询和甄别，查询渠道为信用中国网站（www.creditchina.gov.cn）、中国政府采购网（www.ccgp.gov.cn）。</w:t>
            </w:r>
          </w:p>
          <w:p>
            <w:pPr>
              <w:pStyle w:val="12"/>
              <w:snapToGrid w:val="0"/>
              <w:spacing w:before="0" w:line="360" w:lineRule="exact"/>
              <w:textAlignment w:val="baseline"/>
              <w:rPr>
                <w:rFonts w:ascii="宋体" w:hAnsi="宋体" w:eastAsia="宋体" w:cs="宋体"/>
                <w:b w:val="0"/>
                <w:bCs w:val="0"/>
                <w:color w:val="auto"/>
                <w:kern w:val="2"/>
                <w:sz w:val="21"/>
                <w:highlight w:val="none"/>
              </w:rPr>
            </w:pPr>
            <w:r>
              <w:rPr>
                <w:rFonts w:hint="eastAsia" w:ascii="宋体" w:hAnsi="宋体" w:eastAsia="宋体" w:cs="宋体"/>
                <w:b w:val="0"/>
                <w:bCs w:val="0"/>
                <w:color w:val="auto"/>
                <w:kern w:val="2"/>
                <w:sz w:val="21"/>
                <w:highlight w:val="none"/>
              </w:rPr>
              <w:t>2）截止时点：提交投标文件（响应文件）截止时间前3年内。</w:t>
            </w:r>
          </w:p>
          <w:p>
            <w:pPr>
              <w:pStyle w:val="12"/>
              <w:snapToGrid w:val="0"/>
              <w:spacing w:before="0" w:line="360" w:lineRule="exact"/>
              <w:textAlignment w:val="baseline"/>
              <w:rPr>
                <w:rFonts w:ascii="宋体" w:hAnsi="宋体" w:eastAsia="宋体" w:cs="宋体"/>
                <w:b w:val="0"/>
                <w:bCs w:val="0"/>
                <w:color w:val="auto"/>
                <w:kern w:val="2"/>
                <w:sz w:val="21"/>
                <w:highlight w:val="none"/>
              </w:rPr>
            </w:pPr>
            <w:r>
              <w:rPr>
                <w:rFonts w:hint="eastAsia" w:ascii="宋体" w:hAnsi="宋体" w:eastAsia="宋体" w:cs="宋体"/>
                <w:b w:val="0"/>
                <w:bCs w:val="0"/>
                <w:color w:val="auto"/>
                <w:kern w:val="2"/>
                <w:sz w:val="21"/>
                <w:highlight w:val="none"/>
              </w:rPr>
              <w:t>3）信用信息查询记录和证据以网页截图方式留存。</w:t>
            </w:r>
          </w:p>
          <w:p>
            <w:pPr>
              <w:pStyle w:val="12"/>
              <w:snapToGrid w:val="0"/>
              <w:spacing w:before="0" w:line="360" w:lineRule="exact"/>
              <w:textAlignment w:val="baseline"/>
              <w:rPr>
                <w:rFonts w:ascii="宋体" w:hAnsi="宋体" w:eastAsia="宋体" w:cs="宋体"/>
                <w:b w:val="0"/>
                <w:bCs w:val="0"/>
                <w:color w:val="auto"/>
                <w:kern w:val="2"/>
                <w:sz w:val="21"/>
                <w:highlight w:val="none"/>
              </w:rPr>
            </w:pPr>
            <w:r>
              <w:rPr>
                <w:rFonts w:hint="eastAsia" w:ascii="宋体" w:hAnsi="宋体" w:eastAsia="宋体" w:cs="宋体"/>
                <w:b w:val="0"/>
                <w:bCs w:val="0"/>
                <w:color w:val="auto"/>
                <w:kern w:val="2"/>
                <w:sz w:val="21"/>
                <w:highlight w:val="none"/>
              </w:rPr>
              <w:t>4）不良信用记录指：1.被列入信用中国网站“失信被执行人”“重大税收违法案件当事人”名单； 2.被列入中国政府采购网政府采购严重违法失信行为记录名单；</w:t>
            </w:r>
          </w:p>
          <w:p>
            <w:pPr>
              <w:pStyle w:val="12"/>
              <w:snapToGrid w:val="0"/>
              <w:spacing w:before="0" w:line="360" w:lineRule="exact"/>
              <w:textAlignment w:val="baseline"/>
              <w:rPr>
                <w:rFonts w:ascii="宋体" w:hAnsi="宋体" w:eastAsia="宋体" w:cs="宋体"/>
                <w:b w:val="0"/>
                <w:bCs w:val="0"/>
                <w:color w:val="auto"/>
                <w:kern w:val="2"/>
                <w:sz w:val="21"/>
                <w:highlight w:val="none"/>
              </w:rPr>
            </w:pPr>
            <w:r>
              <w:rPr>
                <w:rFonts w:hint="eastAsia" w:ascii="宋体" w:hAnsi="宋体" w:eastAsia="宋体" w:cs="宋体"/>
                <w:b w:val="0"/>
                <w:bCs w:val="0"/>
                <w:color w:val="auto"/>
                <w:kern w:val="2"/>
                <w:sz w:val="21"/>
                <w:highlight w:val="none"/>
              </w:rPr>
              <w:t>5）信用信息的使用规则：供应商存在不良信用记录的，其投标文件将被拒绝。</w:t>
            </w:r>
          </w:p>
          <w:p>
            <w:pPr>
              <w:spacing w:line="360" w:lineRule="exact"/>
              <w:jc w:val="left"/>
              <w:textAlignment w:val="baseline"/>
              <w:rPr>
                <w:rFonts w:ascii="宋体" w:hAnsi="宋体" w:cs="宋体"/>
                <w:color w:val="auto"/>
                <w:kern w:val="0"/>
                <w:sz w:val="20"/>
                <w:szCs w:val="21"/>
                <w:highlight w:val="none"/>
              </w:rPr>
            </w:pPr>
            <w:r>
              <w:rPr>
                <w:rFonts w:hint="eastAsia" w:ascii="宋体" w:hAnsi="宋体" w:cs="宋体"/>
                <w:color w:val="auto"/>
                <w:highlight w:val="none"/>
              </w:rPr>
              <w:t>6）如允许联合体投标的，联合体成员存在不良信用记录视同联合体存在不良信用记录。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pStyle w:val="27"/>
              <w:spacing w:line="360" w:lineRule="exact"/>
              <w:ind w:left="0" w:leftChars="0" w:firstLine="0" w:firstLineChars="0"/>
              <w:jc w:val="center"/>
              <w:textAlignment w:val="baseline"/>
              <w:rPr>
                <w:rFonts w:ascii="宋体" w:hAnsi="宋体" w:eastAsia="宋体"/>
                <w:color w:val="auto"/>
                <w:highlight w:val="none"/>
              </w:rPr>
            </w:pPr>
            <w:r>
              <w:rPr>
                <w:rFonts w:hint="eastAsia" w:ascii="宋体" w:hAnsi="宋体" w:eastAsia="宋体"/>
                <w:color w:val="auto"/>
                <w:highlight w:val="none"/>
              </w:rPr>
              <w:t>22</w:t>
            </w:r>
          </w:p>
        </w:tc>
        <w:tc>
          <w:tcPr>
            <w:tcW w:w="2790" w:type="dxa"/>
            <w:vAlign w:val="center"/>
          </w:tcPr>
          <w:p>
            <w:pPr>
              <w:pStyle w:val="12"/>
              <w:snapToGrid w:val="0"/>
              <w:spacing w:before="0" w:line="360" w:lineRule="exact"/>
              <w:jc w:val="center"/>
              <w:textAlignment w:val="baseline"/>
              <w:rPr>
                <w:rFonts w:ascii="宋体" w:hAnsi="宋体" w:eastAsia="宋体" w:cs="宋体"/>
                <w:b w:val="0"/>
                <w:bCs w:val="0"/>
                <w:color w:val="auto"/>
                <w:kern w:val="2"/>
                <w:sz w:val="21"/>
                <w:highlight w:val="none"/>
              </w:rPr>
            </w:pPr>
            <w:r>
              <w:rPr>
                <w:rFonts w:hint="eastAsia" w:ascii="宋体" w:hAnsi="宋体" w:eastAsia="宋体" w:cs="宋体"/>
                <w:b w:val="0"/>
                <w:bCs w:val="0"/>
                <w:color w:val="auto"/>
                <w:kern w:val="2"/>
                <w:sz w:val="21"/>
                <w:highlight w:val="none"/>
              </w:rPr>
              <w:t>投标人失信被执行人查询</w:t>
            </w:r>
          </w:p>
        </w:tc>
        <w:tc>
          <w:tcPr>
            <w:tcW w:w="7305" w:type="dxa"/>
            <w:vAlign w:val="center"/>
          </w:tcPr>
          <w:p>
            <w:pPr>
              <w:pStyle w:val="12"/>
              <w:snapToGrid w:val="0"/>
              <w:spacing w:before="0" w:line="360" w:lineRule="exact"/>
              <w:textAlignment w:val="baseline"/>
              <w:rPr>
                <w:rFonts w:ascii="宋体" w:hAnsi="宋体" w:eastAsia="宋体" w:cs="宋体"/>
                <w:b w:val="0"/>
                <w:bCs w:val="0"/>
                <w:color w:val="auto"/>
                <w:kern w:val="2"/>
                <w:sz w:val="21"/>
                <w:highlight w:val="none"/>
              </w:rPr>
            </w:pPr>
            <w:r>
              <w:rPr>
                <w:rFonts w:hint="eastAsia" w:ascii="宋体" w:hAnsi="宋体" w:eastAsia="宋体" w:cs="宋体"/>
                <w:b w:val="0"/>
                <w:bCs w:val="0"/>
                <w:color w:val="auto"/>
                <w:kern w:val="2"/>
                <w:sz w:val="21"/>
                <w:highlight w:val="none"/>
              </w:rPr>
              <w:t>根据《关于在公共资源交易活动中对失信被执行人实施联合惩戒的通知》常监管办[2019]10号的规定：</w:t>
            </w:r>
          </w:p>
          <w:p>
            <w:pPr>
              <w:pStyle w:val="12"/>
              <w:snapToGrid w:val="0"/>
              <w:spacing w:before="0" w:line="360" w:lineRule="exact"/>
              <w:textAlignment w:val="baseline"/>
              <w:rPr>
                <w:rFonts w:ascii="宋体" w:hAnsi="宋体" w:eastAsia="宋体" w:cs="宋体"/>
                <w:b w:val="0"/>
                <w:bCs w:val="0"/>
                <w:color w:val="auto"/>
                <w:kern w:val="2"/>
                <w:sz w:val="21"/>
                <w:highlight w:val="none"/>
              </w:rPr>
            </w:pPr>
            <w:r>
              <w:rPr>
                <w:rFonts w:hint="eastAsia" w:ascii="宋体" w:hAnsi="宋体" w:eastAsia="宋体" w:cs="宋体"/>
                <w:b w:val="0"/>
                <w:bCs w:val="0"/>
                <w:color w:val="auto"/>
                <w:kern w:val="2"/>
                <w:sz w:val="21"/>
                <w:highlight w:val="none"/>
              </w:rPr>
              <w:t>1）采购组织机构将对本项目投标供应商的法定代表人（或单位负责人）及拟派项目负责人的失信被执行信息进行查询和甄别，通过中国执行信息公开网（http://zxgk.court.gov.cn/）查询。</w:t>
            </w:r>
          </w:p>
          <w:p>
            <w:pPr>
              <w:pStyle w:val="12"/>
              <w:snapToGrid w:val="0"/>
              <w:spacing w:before="0" w:line="360" w:lineRule="exact"/>
              <w:textAlignment w:val="baseline"/>
              <w:rPr>
                <w:rFonts w:ascii="宋体" w:hAnsi="宋体" w:eastAsia="宋体" w:cs="宋体"/>
                <w:b w:val="0"/>
                <w:bCs w:val="0"/>
                <w:color w:val="auto"/>
                <w:kern w:val="2"/>
                <w:sz w:val="21"/>
                <w:highlight w:val="none"/>
              </w:rPr>
            </w:pPr>
            <w:r>
              <w:rPr>
                <w:rFonts w:hint="eastAsia" w:ascii="宋体" w:hAnsi="宋体" w:eastAsia="宋体" w:cs="宋体"/>
                <w:b w:val="0"/>
                <w:bCs w:val="0"/>
                <w:color w:val="auto"/>
                <w:kern w:val="2"/>
                <w:sz w:val="21"/>
                <w:highlight w:val="none"/>
              </w:rPr>
              <w:t>2）失信被执行信息的使用规则：供应商存在失信被执行信息的，限制参与本项目。</w:t>
            </w:r>
          </w:p>
          <w:p>
            <w:pPr>
              <w:spacing w:line="360" w:lineRule="exact"/>
              <w:jc w:val="left"/>
              <w:textAlignment w:val="baseline"/>
              <w:rPr>
                <w:rFonts w:ascii="宋体" w:hAnsi="宋体" w:cs="宋体"/>
                <w:color w:val="auto"/>
                <w:sz w:val="20"/>
                <w:highlight w:val="none"/>
              </w:rPr>
            </w:pPr>
            <w:r>
              <w:rPr>
                <w:rFonts w:hint="eastAsia" w:ascii="宋体" w:hAnsi="宋体" w:cs="宋体"/>
                <w:color w:val="auto"/>
                <w:highlight w:val="none"/>
              </w:rPr>
              <w:t>3）如允许联合体参加投标的，联合体成员存在失信被执行信息的，视同联合体存在失信被执行信息的。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pStyle w:val="3"/>
              <w:ind w:firstLine="0" w:firstLineChars="0"/>
              <w:jc w:val="center"/>
              <w:rPr>
                <w:rFonts w:ascii="宋体" w:hAnsi="宋体" w:cs="宋体"/>
                <w:color w:val="auto"/>
                <w:highlight w:val="none"/>
              </w:rPr>
            </w:pPr>
            <w:r>
              <w:rPr>
                <w:rFonts w:hint="eastAsia" w:ascii="宋体" w:hAnsi="宋体" w:cs="宋体"/>
                <w:color w:val="auto"/>
                <w:sz w:val="21"/>
                <w:szCs w:val="21"/>
                <w:highlight w:val="none"/>
              </w:rPr>
              <w:t>23</w:t>
            </w:r>
          </w:p>
        </w:tc>
        <w:tc>
          <w:tcPr>
            <w:tcW w:w="2790" w:type="dxa"/>
            <w:vAlign w:val="center"/>
          </w:tcPr>
          <w:p>
            <w:pPr>
              <w:pStyle w:val="12"/>
              <w:spacing w:before="0" w:line="300" w:lineRule="auto"/>
              <w:jc w:val="center"/>
              <w:rPr>
                <w:rFonts w:ascii="宋体" w:hAnsi="宋体" w:eastAsia="宋体" w:cs="宋体"/>
                <w:b w:val="0"/>
                <w:bCs w:val="0"/>
                <w:color w:val="auto"/>
                <w:kern w:val="2"/>
                <w:sz w:val="21"/>
                <w:highlight w:val="none"/>
              </w:rPr>
            </w:pPr>
            <w:r>
              <w:rPr>
                <w:rFonts w:hint="eastAsia" w:ascii="宋体" w:hAnsi="宋体" w:eastAsia="宋体" w:cs="宋体"/>
                <w:b w:val="0"/>
                <w:bCs w:val="0"/>
                <w:color w:val="auto"/>
                <w:kern w:val="2"/>
                <w:sz w:val="21"/>
                <w:highlight w:val="none"/>
              </w:rPr>
              <w:t>本项目落实的政府</w:t>
            </w:r>
          </w:p>
          <w:p>
            <w:pPr>
              <w:pStyle w:val="12"/>
              <w:spacing w:before="0" w:line="300" w:lineRule="auto"/>
              <w:jc w:val="center"/>
              <w:rPr>
                <w:rFonts w:ascii="宋体" w:hAnsi="宋体" w:eastAsia="宋体" w:cs="宋体"/>
                <w:b w:val="0"/>
                <w:bCs w:val="0"/>
                <w:color w:val="auto"/>
                <w:kern w:val="2"/>
                <w:sz w:val="21"/>
                <w:highlight w:val="none"/>
              </w:rPr>
            </w:pPr>
            <w:r>
              <w:rPr>
                <w:rFonts w:hint="eastAsia" w:ascii="宋体" w:hAnsi="宋体" w:eastAsia="宋体" w:cs="宋体"/>
                <w:b w:val="0"/>
                <w:bCs w:val="0"/>
                <w:color w:val="auto"/>
                <w:kern w:val="2"/>
                <w:sz w:val="21"/>
                <w:highlight w:val="none"/>
              </w:rPr>
              <w:t>采购政策</w:t>
            </w:r>
          </w:p>
        </w:tc>
        <w:tc>
          <w:tcPr>
            <w:tcW w:w="7305" w:type="dxa"/>
            <w:vAlign w:val="center"/>
          </w:tcPr>
          <w:p>
            <w:pPr>
              <w:pStyle w:val="25"/>
              <w:tabs>
                <w:tab w:val="left" w:pos="6930"/>
              </w:tabs>
              <w:spacing w:beforeAutospacing="0" w:afterAutospacing="0" w:line="300" w:lineRule="auto"/>
              <w:rPr>
                <w:rFonts w:ascii="宋体" w:hAnsi="宋体" w:cs="宋体"/>
                <w:color w:val="auto"/>
                <w:sz w:val="21"/>
                <w:szCs w:val="21"/>
                <w:highlight w:val="none"/>
              </w:rPr>
            </w:pPr>
            <w:r>
              <w:rPr>
                <w:rFonts w:hint="eastAsia" w:ascii="宋体" w:hAnsi="宋体" w:cs="宋体"/>
                <w:color w:val="auto"/>
                <w:sz w:val="21"/>
                <w:szCs w:val="21"/>
                <w:highlight w:val="none"/>
              </w:rPr>
              <w:t>一、政府采购促进中小企业发展扶持政策</w:t>
            </w:r>
          </w:p>
          <w:p>
            <w:pPr>
              <w:pStyle w:val="25"/>
              <w:tabs>
                <w:tab w:val="left" w:pos="6930"/>
              </w:tabs>
              <w:spacing w:beforeAutospacing="0" w:afterAutospacing="0" w:line="300" w:lineRule="auto"/>
              <w:rPr>
                <w:rFonts w:ascii="宋体" w:hAnsi="宋体" w:cs="宋体"/>
                <w:color w:val="auto"/>
                <w:sz w:val="21"/>
                <w:szCs w:val="21"/>
                <w:highlight w:val="none"/>
              </w:rPr>
            </w:pPr>
            <w:r>
              <w:rPr>
                <w:rFonts w:hint="eastAsia" w:ascii="宋体" w:hAnsi="宋体" w:cs="宋体"/>
                <w:color w:val="auto"/>
                <w:sz w:val="21"/>
                <w:szCs w:val="21"/>
                <w:highlight w:val="none"/>
              </w:rPr>
              <w:t>1.根据《政府采购促进中小企业发展管理办法》（财库[2020]46 号）、《财政部、司法部关于政府采购支持监狱企业发展有关问题的通知》（财库〔2014〕68号）、《关于促进残疾人就业政府采购政策的通知》（财库〔2017〕141号）及《关于进一步发挥政府采购政策功能全力推动经济稳进提质的通知》（浙财采监〔2022〕3号）规定，本项目对小型或微型企业执行价格扣除优惠政策（符合规定条件的监狱企业或残疾人福利性单位视同小微企业），具体措施为：对小型和微型企业（监狱企业、残疾人福利性单位）制造的货物或承接的服务报价给予10%的扣除、承建的工程项目报价给予5%的扣除；对于联合体协议或者分包意向协议约定小微企业的合同份额占到合同总金额30%以上的，对于联合体或者大中型企业制造的货物或承接的服务报价给予3%的扣除、承建的工程项目报价给予2%的扣除。用扣除后的价格参加报价分评审，欢迎符合规定的供应商参与本项目采购活动。</w:t>
            </w:r>
          </w:p>
          <w:p>
            <w:pPr>
              <w:pStyle w:val="25"/>
              <w:tabs>
                <w:tab w:val="left" w:pos="6930"/>
              </w:tabs>
              <w:spacing w:beforeAutospacing="0" w:afterAutospacing="0" w:line="300" w:lineRule="auto"/>
              <w:rPr>
                <w:rFonts w:ascii="宋体" w:hAnsi="宋体" w:cs="宋体"/>
                <w:color w:val="auto"/>
                <w:sz w:val="21"/>
                <w:szCs w:val="21"/>
                <w:highlight w:val="none"/>
              </w:rPr>
            </w:pPr>
            <w:r>
              <w:rPr>
                <w:rFonts w:hint="eastAsia" w:ascii="宋体" w:hAnsi="宋体" w:cs="宋体"/>
                <w:color w:val="auto"/>
                <w:sz w:val="21"/>
                <w:szCs w:val="21"/>
                <w:highlight w:val="none"/>
              </w:rPr>
              <w:t>2.满足相关规定且有意享受价格扣除优惠政策的供应商，应当根据自身企业类型或所投产品制造商企业类型不同，按采购文件要求分别如实填写并提供证明材料供评审小组核实、认定，经评审小组认定填写内容错误或未提供所需证明材料的，不给予评标价格扣除。</w:t>
            </w:r>
          </w:p>
          <w:p>
            <w:pPr>
              <w:pStyle w:val="25"/>
              <w:tabs>
                <w:tab w:val="left" w:pos="6930"/>
              </w:tabs>
              <w:spacing w:beforeAutospacing="0" w:afterAutospacing="0" w:line="300" w:lineRule="auto"/>
              <w:rPr>
                <w:rFonts w:ascii="宋体" w:hAnsi="宋体" w:cs="宋体"/>
                <w:color w:val="auto"/>
                <w:sz w:val="21"/>
                <w:szCs w:val="21"/>
                <w:highlight w:val="none"/>
              </w:rPr>
            </w:pPr>
            <w:r>
              <w:rPr>
                <w:rFonts w:hint="eastAsia" w:ascii="宋体" w:hAnsi="宋体" w:cs="宋体"/>
                <w:color w:val="auto"/>
                <w:sz w:val="21"/>
                <w:szCs w:val="21"/>
                <w:highlight w:val="none"/>
              </w:rPr>
              <w:t>3.依据《政府采购促进中小企业发展管理办法》（财库〔2020〕46号）规定享受价格扣除优惠政策而中标（成交）获得政府采购合同的小微企业，不得将合同分包给大中型企业。否则按提供虚假材料谋取中标（成交）处理。</w:t>
            </w:r>
          </w:p>
          <w:p>
            <w:pPr>
              <w:pStyle w:val="25"/>
              <w:tabs>
                <w:tab w:val="left" w:pos="6930"/>
              </w:tabs>
              <w:spacing w:beforeAutospacing="0" w:afterAutospacing="0" w:line="300" w:lineRule="auto"/>
              <w:rPr>
                <w:rFonts w:ascii="宋体" w:hAnsi="宋体" w:cs="宋体"/>
                <w:color w:val="auto"/>
                <w:sz w:val="21"/>
                <w:szCs w:val="21"/>
                <w:highlight w:val="none"/>
              </w:rPr>
            </w:pPr>
            <w:r>
              <w:rPr>
                <w:rFonts w:hint="eastAsia" w:ascii="宋体" w:hAnsi="宋体" w:cs="宋体"/>
                <w:color w:val="auto"/>
                <w:sz w:val="21"/>
                <w:szCs w:val="21"/>
                <w:highlight w:val="none"/>
              </w:rPr>
              <w:t>4.本采购文件所称中小企业，是指在中华人民共和国境内依法设立，依据国务院批准的中小企业划分标准确定的中型企业、小型企业和微型企业，但与大企业的负责人为同一人，或者与大企业存在直接控股、管理关系的除外。符合小微企业划分标准的个体工商户，视同小微企业。</w:t>
            </w:r>
          </w:p>
          <w:p>
            <w:pPr>
              <w:pStyle w:val="25"/>
              <w:tabs>
                <w:tab w:val="left" w:pos="6930"/>
              </w:tabs>
              <w:spacing w:beforeAutospacing="0" w:afterAutospacing="0" w:line="300" w:lineRule="auto"/>
              <w:rPr>
                <w:rFonts w:ascii="宋体" w:hAnsi="宋体" w:cs="宋体"/>
                <w:color w:val="auto"/>
                <w:sz w:val="21"/>
                <w:szCs w:val="21"/>
                <w:highlight w:val="none"/>
              </w:rPr>
            </w:pPr>
            <w:r>
              <w:rPr>
                <w:rFonts w:hint="eastAsia" w:ascii="宋体" w:hAnsi="宋体" w:cs="宋体"/>
                <w:color w:val="auto"/>
                <w:sz w:val="21"/>
                <w:szCs w:val="21"/>
                <w:highlight w:val="none"/>
              </w:rPr>
              <w:t>二、政府采购节能环保政策（适用于货物采购项目）</w:t>
            </w:r>
          </w:p>
          <w:p>
            <w:pPr>
              <w:pStyle w:val="25"/>
              <w:tabs>
                <w:tab w:val="left" w:pos="6930"/>
              </w:tabs>
              <w:spacing w:beforeAutospacing="0" w:afterAutospacing="0" w:line="300" w:lineRule="auto"/>
              <w:rPr>
                <w:rFonts w:ascii="宋体" w:hAnsi="宋体" w:cs="宋体"/>
                <w:color w:val="auto"/>
                <w:sz w:val="21"/>
                <w:szCs w:val="21"/>
                <w:highlight w:val="none"/>
              </w:rPr>
            </w:pPr>
            <w:r>
              <w:rPr>
                <w:rFonts w:hint="eastAsia" w:ascii="宋体" w:hAnsi="宋体" w:cs="宋体"/>
                <w:color w:val="auto"/>
                <w:sz w:val="21"/>
                <w:szCs w:val="21"/>
                <w:highlight w:val="none"/>
              </w:rPr>
              <w:t>1.根据《关于调整优化节能产品、环境标志产品政府采购执行机制的通知》（财库〔 2019 〕9号）规定，采购需求产品在《环境标志产品政府采购品目清单》范围内或在《节能产品政府采购品目清单》中属于未标注“★”的一般节能产品的，实施优先采购。供应商提供的产品属于节能、环保产品且按照采购文件要求提供国家确定的认证机构出具的、处于有效期之内的《环境标志产品认证证书》或《节能产品认证证书》的，将依据评审标准给予其相应得分。认证机构范围以《市场监管总局关于发布参与实施政府采购节能产品、环境标志产品认证机构名录的公告》中公布的认证机构名录为准。</w:t>
            </w:r>
          </w:p>
          <w:p>
            <w:pPr>
              <w:pStyle w:val="25"/>
              <w:tabs>
                <w:tab w:val="left" w:pos="6930"/>
              </w:tabs>
              <w:spacing w:beforeAutospacing="0" w:afterAutospacing="0" w:line="300" w:lineRule="auto"/>
              <w:rPr>
                <w:rFonts w:ascii="宋体" w:hAnsi="宋体" w:cs="宋体"/>
                <w:color w:val="auto"/>
                <w:szCs w:val="24"/>
                <w:highlight w:val="none"/>
              </w:rPr>
            </w:pPr>
            <w:r>
              <w:rPr>
                <w:rFonts w:hint="eastAsia" w:ascii="宋体" w:hAnsi="宋体" w:cs="宋体"/>
                <w:color w:val="auto"/>
                <w:sz w:val="21"/>
                <w:szCs w:val="21"/>
                <w:highlight w:val="none"/>
              </w:rPr>
              <w:t>▲2.采购需求产品属于《节能产品政府采购品目清单》中标注“ ★ ”的节能产品的，实施强制采购。供应商应当根据采购文件要求提供国家确定的认证机构（范围同上一条）出具的、处于有效期之内的《节能产品认证证书》，否则按无效响应处理。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pStyle w:val="3"/>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24</w:t>
            </w:r>
          </w:p>
        </w:tc>
        <w:tc>
          <w:tcPr>
            <w:tcW w:w="2790" w:type="dxa"/>
            <w:vAlign w:val="center"/>
          </w:tcPr>
          <w:p>
            <w:pPr>
              <w:pStyle w:val="12"/>
              <w:snapToGrid w:val="0"/>
              <w:spacing w:before="0" w:line="300" w:lineRule="auto"/>
              <w:jc w:val="center"/>
              <w:rPr>
                <w:rFonts w:ascii="宋体" w:hAnsi="宋体" w:eastAsia="宋体" w:cs="宋体"/>
                <w:b w:val="0"/>
                <w:bCs w:val="0"/>
                <w:color w:val="auto"/>
                <w:kern w:val="2"/>
                <w:sz w:val="21"/>
                <w:highlight w:val="none"/>
              </w:rPr>
            </w:pPr>
            <w:r>
              <w:rPr>
                <w:rFonts w:hint="eastAsia" w:ascii="宋体" w:hAnsi="宋体" w:eastAsia="宋体" w:cs="宋体"/>
                <w:b w:val="0"/>
                <w:bCs w:val="0"/>
                <w:color w:val="auto"/>
                <w:kern w:val="2"/>
                <w:sz w:val="21"/>
                <w:highlight w:val="none"/>
              </w:rPr>
              <w:t>专门面向中小企业预留采购份额情况</w:t>
            </w:r>
          </w:p>
        </w:tc>
        <w:tc>
          <w:tcPr>
            <w:tcW w:w="7305" w:type="dxa"/>
            <w:vAlign w:val="center"/>
          </w:tcPr>
          <w:p>
            <w:pPr>
              <w:pStyle w:val="25"/>
              <w:tabs>
                <w:tab w:val="left" w:pos="6930"/>
              </w:tabs>
              <w:spacing w:beforeAutospacing="0" w:afterAutospacing="0" w:line="300" w:lineRule="auto"/>
              <w:rPr>
                <w:rFonts w:ascii="宋体" w:hAnsi="宋体" w:cs="宋体"/>
                <w:color w:val="auto"/>
                <w:highlight w:val="none"/>
              </w:rPr>
            </w:pPr>
            <w:r>
              <w:rPr>
                <w:rFonts w:hint="eastAsia" w:ascii="宋体" w:hAnsi="宋体" w:cs="宋体"/>
                <w:b/>
                <w:bCs/>
                <w:color w:val="auto"/>
                <w:sz w:val="21"/>
                <w:szCs w:val="21"/>
                <w:highlight w:val="none"/>
              </w:rPr>
              <w:t>本项目【</w:t>
            </w:r>
            <w:r>
              <w:rPr>
                <w:rFonts w:hint="eastAsia" w:ascii="宋体" w:hAnsi="宋体" w:cs="宋体"/>
                <w:color w:val="auto"/>
                <w:sz w:val="21"/>
                <w:szCs w:val="21"/>
                <w:highlight w:val="none"/>
              </w:rPr>
              <w:t>（ ）</w:t>
            </w:r>
            <w:r>
              <w:rPr>
                <w:rFonts w:hint="eastAsia" w:ascii="宋体" w:hAnsi="宋体" w:cs="宋体"/>
                <w:b/>
                <w:bCs/>
                <w:color w:val="auto"/>
                <w:sz w:val="21"/>
                <w:szCs w:val="21"/>
                <w:highlight w:val="none"/>
              </w:rPr>
              <w:t>是</w:t>
            </w:r>
            <w:r>
              <w:rPr>
                <w:rFonts w:hint="eastAsia" w:ascii="宋体" w:hAnsi="宋体" w:cs="宋体"/>
                <w:color w:val="auto"/>
                <w:sz w:val="21"/>
                <w:szCs w:val="21"/>
                <w:highlight w:val="none"/>
              </w:rPr>
              <w:t>（√）</w:t>
            </w:r>
            <w:r>
              <w:rPr>
                <w:rFonts w:hint="eastAsia" w:ascii="宋体" w:hAnsi="宋体" w:cs="宋体"/>
                <w:b/>
                <w:bCs/>
                <w:color w:val="auto"/>
                <w:sz w:val="21"/>
                <w:szCs w:val="21"/>
                <w:highlight w:val="none"/>
              </w:rPr>
              <w:t>非】预留（或部分预留）份额专门面向中小企业采购的采购项目。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pStyle w:val="3"/>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25</w:t>
            </w:r>
          </w:p>
        </w:tc>
        <w:tc>
          <w:tcPr>
            <w:tcW w:w="2790" w:type="dxa"/>
            <w:vAlign w:val="center"/>
          </w:tcPr>
          <w:p>
            <w:pPr>
              <w:pStyle w:val="12"/>
              <w:spacing w:before="0" w:line="300" w:lineRule="auto"/>
              <w:jc w:val="center"/>
              <w:rPr>
                <w:rFonts w:ascii="宋体" w:hAnsi="宋体" w:eastAsia="宋体" w:cs="宋体"/>
                <w:b w:val="0"/>
                <w:bCs w:val="0"/>
                <w:color w:val="auto"/>
                <w:kern w:val="2"/>
                <w:sz w:val="21"/>
                <w:highlight w:val="none"/>
              </w:rPr>
            </w:pPr>
            <w:r>
              <w:rPr>
                <w:rFonts w:hint="eastAsia" w:ascii="宋体" w:hAnsi="宋体" w:eastAsia="宋体" w:cs="宋体"/>
                <w:b w:val="0"/>
                <w:bCs w:val="0"/>
                <w:color w:val="auto"/>
                <w:kern w:val="2"/>
                <w:sz w:val="21"/>
                <w:highlight w:val="none"/>
              </w:rPr>
              <w:t>采购标的及对应的中小企业划型标准所属行业</w:t>
            </w:r>
          </w:p>
        </w:tc>
        <w:tc>
          <w:tcPr>
            <w:tcW w:w="7305" w:type="dxa"/>
            <w:vAlign w:val="center"/>
          </w:tcPr>
          <w:p>
            <w:pPr>
              <w:pStyle w:val="25"/>
              <w:tabs>
                <w:tab w:val="left" w:pos="6930"/>
              </w:tabs>
              <w:spacing w:beforeAutospacing="0" w:afterAutospacing="0" w:line="300" w:lineRule="auto"/>
              <w:rPr>
                <w:rFonts w:ascii="宋体" w:hAnsi="宋体" w:cs="宋体"/>
                <w:color w:val="auto"/>
                <w:sz w:val="21"/>
                <w:szCs w:val="21"/>
                <w:highlight w:val="none"/>
              </w:rPr>
            </w:pPr>
            <w:r>
              <w:rPr>
                <w:rFonts w:hint="eastAsia" w:ascii="宋体" w:hAnsi="宋体" w:cs="宋体"/>
                <w:color w:val="auto"/>
                <w:sz w:val="21"/>
                <w:szCs w:val="21"/>
                <w:highlight w:val="none"/>
              </w:rPr>
              <w:t>本项目采购标的内容为</w:t>
            </w:r>
            <w:r>
              <w:rPr>
                <w:rFonts w:hint="eastAsia" w:ascii="宋体" w:hAnsi="宋体" w:cs="宋体"/>
                <w:b/>
                <w:bCs/>
                <w:color w:val="auto"/>
                <w:sz w:val="21"/>
                <w:szCs w:val="21"/>
                <w:highlight w:val="none"/>
                <w:u w:val="single"/>
              </w:rPr>
              <w:t>数字化建设工程</w:t>
            </w:r>
            <w:r>
              <w:rPr>
                <w:rFonts w:hint="eastAsia" w:ascii="宋体" w:hAnsi="宋体" w:cs="宋体"/>
                <w:color w:val="auto"/>
                <w:sz w:val="21"/>
                <w:szCs w:val="21"/>
                <w:highlight w:val="none"/>
              </w:rPr>
              <w:t>。根据《关于印发中小企业划型标准规定的</w:t>
            </w:r>
            <w:r>
              <w:rPr>
                <w:rFonts w:hint="eastAsia" w:ascii="宋体" w:hAnsi="宋体" w:cs="宋体"/>
                <w:bCs/>
                <w:color w:val="auto"/>
                <w:sz w:val="21"/>
                <w:szCs w:val="21"/>
                <w:highlight w:val="none"/>
              </w:rPr>
              <w:t>通知</w:t>
            </w:r>
            <w:r>
              <w:rPr>
                <w:rFonts w:hint="eastAsia" w:ascii="宋体" w:hAnsi="宋体" w:cs="宋体"/>
                <w:color w:val="auto"/>
                <w:sz w:val="21"/>
                <w:szCs w:val="21"/>
                <w:highlight w:val="none"/>
              </w:rPr>
              <w:t>》（工信部联企业〔2011〕300号），对应的中小企业划型标准所属行业均为</w:t>
            </w:r>
            <w:r>
              <w:rPr>
                <w:rFonts w:hint="eastAsia" w:ascii="宋体" w:hAnsi="宋体" w:cs="宋体"/>
                <w:color w:val="auto"/>
                <w:sz w:val="21"/>
                <w:szCs w:val="21"/>
                <w:highlight w:val="none"/>
                <w:u w:val="single"/>
              </w:rPr>
              <w:t xml:space="preserve"> </w:t>
            </w:r>
            <w:r>
              <w:rPr>
                <w:rFonts w:hint="eastAsia" w:ascii="宋体" w:hAnsi="宋体" w:cs="宋体"/>
                <w:b/>
                <w:bCs/>
                <w:color w:val="auto"/>
                <w:sz w:val="21"/>
                <w:szCs w:val="21"/>
                <w:highlight w:val="none"/>
                <w:u w:val="single"/>
              </w:rPr>
              <w:t xml:space="preserve">其他未列明行业（科学研究和技术服务业） </w:t>
            </w:r>
            <w:r>
              <w:rPr>
                <w:rFonts w:hint="eastAsia" w:ascii="宋体" w:hAnsi="宋体" w:cs="宋体"/>
                <w:color w:val="auto"/>
                <w:sz w:val="21"/>
                <w:szCs w:val="21"/>
                <w:highlight w:val="none"/>
              </w:rPr>
              <w:t>。</w:t>
            </w:r>
          </w:p>
          <w:p>
            <w:pPr>
              <w:pStyle w:val="25"/>
              <w:widowControl/>
              <w:tabs>
                <w:tab w:val="left" w:pos="6930"/>
              </w:tabs>
              <w:wordWrap w:val="0"/>
              <w:spacing w:beforeAutospacing="0" w:afterAutospacing="0" w:line="300" w:lineRule="auto"/>
              <w:rPr>
                <w:rFonts w:ascii="宋体" w:hAnsi="宋体" w:cs="宋体"/>
                <w:color w:val="auto"/>
                <w:highlight w:val="none"/>
              </w:rPr>
            </w:pPr>
            <w:r>
              <w:rPr>
                <w:rFonts w:hint="eastAsia" w:ascii="宋体" w:hAnsi="宋体" w:cs="宋体"/>
                <w:color w:val="auto"/>
                <w:sz w:val="21"/>
                <w:szCs w:val="21"/>
                <w:highlight w:val="none"/>
              </w:rPr>
              <w:t>供应商可根据工业和信息化部中小企业局《中小企业规模类型自测小程序《中小企业规模类型自测小程序》（</w:t>
            </w:r>
            <w:r>
              <w:rPr>
                <w:color w:val="auto"/>
                <w:highlight w:val="none"/>
              </w:rPr>
              <w:fldChar w:fldCharType="begin"/>
            </w:r>
            <w:r>
              <w:rPr>
                <w:color w:val="auto"/>
                <w:highlight w:val="none"/>
              </w:rPr>
              <w:instrText xml:space="preserve"> HYPERLINK "http://sme.miit.gov.cn/baosong/appweb/orgScale.html" </w:instrText>
            </w:r>
            <w:r>
              <w:rPr>
                <w:color w:val="auto"/>
                <w:highlight w:val="none"/>
              </w:rPr>
              <w:fldChar w:fldCharType="separate"/>
            </w:r>
            <w:r>
              <w:rPr>
                <w:rStyle w:val="33"/>
                <w:rFonts w:hint="eastAsia" w:ascii="宋体" w:hAnsi="宋体" w:cs="宋体"/>
                <w:color w:val="auto"/>
                <w:sz w:val="21"/>
                <w:szCs w:val="21"/>
                <w:highlight w:val="none"/>
              </w:rPr>
              <w:t>http://sme.miit.gov.cn/baosong/appweb/orgScale.html</w:t>
            </w:r>
            <w:r>
              <w:rPr>
                <w:rStyle w:val="33"/>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）结合本项目采购标的对应的中小企业划型标准所属行业和自身（或所投产品</w:t>
            </w:r>
            <w:r>
              <w:rPr>
                <w:rFonts w:hint="eastAsia" w:ascii="宋体" w:hAnsi="宋体" w:cs="宋体"/>
                <w:bCs/>
                <w:color w:val="auto"/>
                <w:sz w:val="21"/>
                <w:szCs w:val="21"/>
                <w:highlight w:val="none"/>
              </w:rPr>
              <w:t>制造商</w:t>
            </w:r>
            <w:r>
              <w:rPr>
                <w:rFonts w:hint="eastAsia" w:ascii="宋体" w:hAnsi="宋体" w:cs="宋体"/>
                <w:color w:val="auto"/>
                <w:sz w:val="21"/>
                <w:szCs w:val="21"/>
                <w:highlight w:val="none"/>
              </w:rPr>
              <w:t>）各项指标自测相关企业规模类型。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pStyle w:val="3"/>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26</w:t>
            </w:r>
          </w:p>
        </w:tc>
        <w:tc>
          <w:tcPr>
            <w:tcW w:w="2790" w:type="dxa"/>
            <w:vAlign w:val="center"/>
          </w:tcPr>
          <w:p>
            <w:pPr>
              <w:pStyle w:val="12"/>
              <w:snapToGrid w:val="0"/>
              <w:spacing w:before="0" w:line="300" w:lineRule="auto"/>
              <w:jc w:val="center"/>
              <w:rPr>
                <w:rFonts w:ascii="宋体" w:hAnsi="宋体" w:eastAsia="宋体" w:cs="宋体"/>
                <w:b w:val="0"/>
                <w:bCs w:val="0"/>
                <w:color w:val="auto"/>
                <w:kern w:val="2"/>
                <w:sz w:val="21"/>
                <w:highlight w:val="none"/>
              </w:rPr>
            </w:pPr>
            <w:r>
              <w:rPr>
                <w:rFonts w:hint="eastAsia" w:ascii="宋体" w:hAnsi="宋体" w:eastAsia="宋体" w:cs="宋体"/>
                <w:b w:val="0"/>
                <w:bCs w:val="0"/>
                <w:color w:val="auto"/>
                <w:kern w:val="2"/>
                <w:sz w:val="21"/>
                <w:highlight w:val="none"/>
              </w:rPr>
              <w:t>联合体投标</w:t>
            </w:r>
          </w:p>
        </w:tc>
        <w:tc>
          <w:tcPr>
            <w:tcW w:w="7305" w:type="dxa"/>
            <w:vAlign w:val="center"/>
          </w:tcPr>
          <w:p>
            <w:pPr>
              <w:pStyle w:val="25"/>
              <w:tabs>
                <w:tab w:val="left" w:pos="6930"/>
              </w:tabs>
              <w:spacing w:beforeAutospacing="0" w:afterAutospacing="0" w:line="300" w:lineRule="auto"/>
              <w:rPr>
                <w:rFonts w:ascii="宋体" w:hAnsi="宋体" w:cs="宋体"/>
                <w:color w:val="auto"/>
                <w:sz w:val="21"/>
                <w:szCs w:val="21"/>
                <w:highlight w:val="none"/>
              </w:rPr>
            </w:pPr>
            <w:r>
              <w:rPr>
                <w:rFonts w:hint="eastAsia" w:ascii="宋体" w:hAnsi="宋体" w:cs="宋体"/>
                <w:color w:val="auto"/>
                <w:sz w:val="21"/>
                <w:szCs w:val="21"/>
                <w:highlight w:val="none"/>
              </w:rPr>
              <w:t>1.本项目【（ ）</w:t>
            </w:r>
            <w:r>
              <w:rPr>
                <w:rFonts w:hint="eastAsia" w:ascii="宋体" w:hAnsi="宋体" w:cs="宋体"/>
                <w:bCs/>
                <w:color w:val="auto"/>
                <w:sz w:val="21"/>
                <w:szCs w:val="21"/>
                <w:highlight w:val="none"/>
              </w:rPr>
              <w:t>接受</w:t>
            </w:r>
            <w:r>
              <w:rPr>
                <w:rFonts w:hint="eastAsia" w:ascii="宋体" w:hAnsi="宋体" w:cs="宋体"/>
                <w:color w:val="auto"/>
                <w:sz w:val="21"/>
                <w:szCs w:val="21"/>
                <w:highlight w:val="none"/>
              </w:rPr>
              <w:t>（ ×）不接受】大中型企业与小微企业组成联合体；</w:t>
            </w:r>
          </w:p>
          <w:p>
            <w:pPr>
              <w:pStyle w:val="25"/>
              <w:tabs>
                <w:tab w:val="left" w:pos="6930"/>
              </w:tabs>
              <w:spacing w:beforeAutospacing="0" w:afterAutospacing="0" w:line="300" w:lineRule="auto"/>
              <w:rPr>
                <w:rFonts w:ascii="宋体" w:hAnsi="宋体" w:cs="宋体"/>
                <w:color w:val="auto"/>
                <w:highlight w:val="none"/>
              </w:rPr>
            </w:pPr>
            <w:r>
              <w:rPr>
                <w:rFonts w:hint="eastAsia" w:ascii="宋体" w:hAnsi="宋体" w:cs="宋体"/>
                <w:color w:val="auto"/>
                <w:sz w:val="21"/>
                <w:szCs w:val="21"/>
                <w:highlight w:val="none"/>
              </w:rPr>
              <w:t>2.本项目【（</w:t>
            </w:r>
            <w:r>
              <w:rPr>
                <w:rFonts w:hint="eastAsia" w:ascii="宋体" w:hAnsi="宋体" w:cs="宋体"/>
                <w:b/>
                <w:bCs/>
                <w:color w:val="auto"/>
                <w:sz w:val="21"/>
                <w:szCs w:val="21"/>
                <w:highlight w:val="none"/>
              </w:rPr>
              <w:t xml:space="preserve"> </w:t>
            </w:r>
            <w:r>
              <w:rPr>
                <w:rFonts w:hint="eastAsia" w:ascii="宋体" w:hAnsi="宋体" w:cs="宋体"/>
                <w:color w:val="auto"/>
                <w:sz w:val="21"/>
                <w:szCs w:val="21"/>
                <w:highlight w:val="none"/>
              </w:rPr>
              <w:t>）</w:t>
            </w:r>
            <w:r>
              <w:rPr>
                <w:rFonts w:hint="eastAsia" w:ascii="宋体" w:hAnsi="宋体" w:cs="宋体"/>
                <w:bCs/>
                <w:color w:val="auto"/>
                <w:sz w:val="21"/>
                <w:szCs w:val="21"/>
                <w:highlight w:val="none"/>
              </w:rPr>
              <w:t>接受</w:t>
            </w:r>
            <w:r>
              <w:rPr>
                <w:rFonts w:hint="eastAsia" w:ascii="宋体" w:hAnsi="宋体" w:cs="宋体"/>
                <w:color w:val="auto"/>
                <w:sz w:val="21"/>
                <w:szCs w:val="21"/>
                <w:highlight w:val="none"/>
              </w:rPr>
              <w:t>（ × ）不接受】其他形式的联合体。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pStyle w:val="3"/>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27</w:t>
            </w:r>
          </w:p>
        </w:tc>
        <w:tc>
          <w:tcPr>
            <w:tcW w:w="2790" w:type="dxa"/>
            <w:vAlign w:val="center"/>
          </w:tcPr>
          <w:p>
            <w:pPr>
              <w:pStyle w:val="12"/>
              <w:snapToGrid w:val="0"/>
              <w:spacing w:before="0" w:line="300" w:lineRule="auto"/>
              <w:jc w:val="center"/>
              <w:rPr>
                <w:rFonts w:ascii="宋体" w:hAnsi="宋体" w:eastAsia="宋体" w:cs="宋体"/>
                <w:b w:val="0"/>
                <w:bCs w:val="0"/>
                <w:color w:val="auto"/>
                <w:kern w:val="2"/>
                <w:sz w:val="21"/>
                <w:highlight w:val="none"/>
              </w:rPr>
            </w:pPr>
            <w:r>
              <w:rPr>
                <w:rFonts w:hint="eastAsia" w:ascii="宋体" w:hAnsi="宋体" w:eastAsia="宋体" w:cs="宋体"/>
                <w:b w:val="0"/>
                <w:bCs w:val="0"/>
                <w:color w:val="auto"/>
                <w:kern w:val="2"/>
                <w:sz w:val="21"/>
                <w:highlight w:val="none"/>
              </w:rPr>
              <w:t>转包与分包</w:t>
            </w:r>
          </w:p>
        </w:tc>
        <w:tc>
          <w:tcPr>
            <w:tcW w:w="7305" w:type="dxa"/>
            <w:vAlign w:val="center"/>
          </w:tcPr>
          <w:p>
            <w:pPr>
              <w:pStyle w:val="25"/>
              <w:tabs>
                <w:tab w:val="left" w:pos="6930"/>
              </w:tabs>
              <w:wordWrap w:val="0"/>
              <w:spacing w:beforeAutospacing="0" w:afterAutospacing="0" w:line="300" w:lineRule="auto"/>
              <w:rPr>
                <w:rFonts w:ascii="宋体" w:hAnsi="宋体" w:cs="宋体"/>
                <w:color w:val="auto"/>
                <w:sz w:val="21"/>
                <w:szCs w:val="21"/>
                <w:highlight w:val="none"/>
              </w:rPr>
            </w:pPr>
            <w:r>
              <w:rPr>
                <w:rFonts w:hint="eastAsia" w:ascii="宋体" w:hAnsi="宋体" w:cs="宋体"/>
                <w:color w:val="auto"/>
                <w:sz w:val="21"/>
                <w:szCs w:val="21"/>
                <w:highlight w:val="none"/>
              </w:rPr>
              <w:t>1.本项目不允许转包；</w:t>
            </w:r>
          </w:p>
          <w:p>
            <w:pPr>
              <w:pStyle w:val="25"/>
              <w:tabs>
                <w:tab w:val="left" w:pos="6930"/>
              </w:tabs>
              <w:wordWrap w:val="0"/>
              <w:spacing w:beforeAutospacing="0" w:afterAutospacing="0" w:line="300" w:lineRule="auto"/>
              <w:rPr>
                <w:rFonts w:ascii="宋体" w:hAnsi="宋体" w:cs="宋体"/>
                <w:color w:val="auto"/>
                <w:sz w:val="21"/>
                <w:szCs w:val="21"/>
                <w:highlight w:val="none"/>
              </w:rPr>
            </w:pPr>
            <w:r>
              <w:rPr>
                <w:rFonts w:hint="eastAsia" w:ascii="宋体" w:hAnsi="宋体" w:cs="宋体"/>
                <w:color w:val="auto"/>
                <w:sz w:val="21"/>
                <w:szCs w:val="21"/>
                <w:highlight w:val="none"/>
              </w:rPr>
              <w:t>2.本项目【（  ）允许（ × ）不允许】大中型企业向小微企业合理分包。</w:t>
            </w:r>
          </w:p>
          <w:p>
            <w:pPr>
              <w:pStyle w:val="25"/>
              <w:tabs>
                <w:tab w:val="left" w:pos="6930"/>
              </w:tabs>
              <w:wordWrap w:val="0"/>
              <w:spacing w:beforeAutospacing="0" w:afterAutospacing="0" w:line="300" w:lineRule="auto"/>
              <w:rPr>
                <w:rFonts w:ascii="宋体" w:hAnsi="宋体" w:cs="宋体"/>
                <w:color w:val="auto"/>
                <w:highlight w:val="none"/>
              </w:rPr>
            </w:pPr>
            <w:r>
              <w:rPr>
                <w:rFonts w:hint="eastAsia" w:ascii="宋体" w:hAnsi="宋体" w:cs="宋体"/>
                <w:color w:val="auto"/>
                <w:sz w:val="21"/>
                <w:szCs w:val="21"/>
                <w:highlight w:val="none"/>
              </w:rPr>
              <w:t>注：本项目允许合理分包，拟中标后将非主体、非关键性工作进行分包的，应当在响应文件（商务技术文件）中提供分包意向协议，如拟分包部分依法需要具备相关资质方可承接的，还应当提供分包单位的相关资质证书”，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pStyle w:val="27"/>
              <w:spacing w:line="360" w:lineRule="exact"/>
              <w:ind w:left="0" w:leftChars="0" w:firstLine="0" w:firstLineChars="0"/>
              <w:jc w:val="center"/>
              <w:textAlignment w:val="baseline"/>
              <w:rPr>
                <w:rFonts w:ascii="宋体" w:hAnsi="宋体" w:eastAsia="宋体"/>
                <w:color w:val="auto"/>
                <w:highlight w:val="none"/>
              </w:rPr>
            </w:pPr>
            <w:r>
              <w:rPr>
                <w:rFonts w:hint="eastAsia" w:ascii="宋体" w:hAnsi="宋体" w:eastAsia="宋体"/>
                <w:color w:val="auto"/>
                <w:highlight w:val="none"/>
              </w:rPr>
              <w:t>28</w:t>
            </w:r>
          </w:p>
        </w:tc>
        <w:tc>
          <w:tcPr>
            <w:tcW w:w="2790" w:type="dxa"/>
            <w:vAlign w:val="center"/>
          </w:tcPr>
          <w:p>
            <w:pPr>
              <w:pStyle w:val="12"/>
              <w:snapToGrid w:val="0"/>
              <w:spacing w:before="0" w:line="360" w:lineRule="exact"/>
              <w:jc w:val="center"/>
              <w:textAlignment w:val="baseline"/>
              <w:rPr>
                <w:rFonts w:ascii="宋体" w:hAnsi="宋体" w:eastAsia="宋体" w:cs="宋体"/>
                <w:b w:val="0"/>
                <w:bCs w:val="0"/>
                <w:color w:val="auto"/>
                <w:kern w:val="2"/>
                <w:sz w:val="21"/>
                <w:highlight w:val="none"/>
              </w:rPr>
            </w:pPr>
            <w:r>
              <w:rPr>
                <w:rFonts w:hint="eastAsia" w:ascii="宋体" w:hAnsi="宋体" w:eastAsia="宋体" w:cs="宋体"/>
                <w:b w:val="0"/>
                <w:bCs w:val="0"/>
                <w:color w:val="auto"/>
                <w:kern w:val="2"/>
                <w:sz w:val="21"/>
                <w:highlight w:val="none"/>
              </w:rPr>
              <w:t>注意事项</w:t>
            </w:r>
          </w:p>
        </w:tc>
        <w:tc>
          <w:tcPr>
            <w:tcW w:w="7305" w:type="dxa"/>
            <w:vAlign w:val="center"/>
          </w:tcPr>
          <w:p>
            <w:pPr>
              <w:spacing w:line="360" w:lineRule="exact"/>
              <w:jc w:val="left"/>
              <w:textAlignment w:val="baseline"/>
              <w:rPr>
                <w:rFonts w:ascii="宋体" w:hAnsi="宋体" w:cs="宋体"/>
                <w:color w:val="auto"/>
                <w:sz w:val="20"/>
                <w:highlight w:val="none"/>
              </w:rPr>
            </w:pPr>
            <w:r>
              <w:rPr>
                <w:rFonts w:hint="eastAsia" w:ascii="宋体" w:hAnsi="宋体" w:cs="宋体"/>
                <w:color w:val="auto"/>
                <w:highlight w:val="none"/>
              </w:rPr>
              <w:t>由于本项目为电子标，供应商的法定代表人（或其委托代理人）无需出席开标现场会议，均应当准时在线参加</w:t>
            </w:r>
            <w:r>
              <w:rPr>
                <w:rFonts w:hint="eastAsia" w:ascii="宋体" w:hAnsi="宋体" w:cs="宋体"/>
                <w:color w:val="auto"/>
                <w:highlight w:val="none"/>
                <w:lang w:val="zh-CN"/>
              </w:rPr>
              <w:t>，直至评审结束，且保证采购代理机构能够随时与其代表人取得联系。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pStyle w:val="27"/>
              <w:spacing w:line="360" w:lineRule="exact"/>
              <w:ind w:left="0" w:leftChars="0" w:firstLine="0" w:firstLineChars="0"/>
              <w:jc w:val="center"/>
              <w:textAlignment w:val="baseline"/>
              <w:rPr>
                <w:rFonts w:ascii="宋体" w:hAnsi="宋体" w:eastAsia="宋体"/>
                <w:color w:val="auto"/>
                <w:highlight w:val="none"/>
              </w:rPr>
            </w:pPr>
            <w:r>
              <w:rPr>
                <w:rFonts w:hint="eastAsia" w:ascii="宋体" w:hAnsi="宋体" w:eastAsia="宋体"/>
                <w:color w:val="auto"/>
                <w:highlight w:val="none"/>
              </w:rPr>
              <w:t>29</w:t>
            </w:r>
          </w:p>
        </w:tc>
        <w:tc>
          <w:tcPr>
            <w:tcW w:w="2790" w:type="dxa"/>
            <w:vAlign w:val="center"/>
          </w:tcPr>
          <w:p>
            <w:pPr>
              <w:pStyle w:val="12"/>
              <w:snapToGrid w:val="0"/>
              <w:spacing w:before="0" w:line="360" w:lineRule="auto"/>
              <w:jc w:val="center"/>
              <w:textAlignment w:val="baseline"/>
              <w:rPr>
                <w:rFonts w:ascii="宋体" w:hAnsi="宋体" w:eastAsia="宋体" w:cs="宋体"/>
                <w:b w:val="0"/>
                <w:bCs w:val="0"/>
                <w:color w:val="auto"/>
                <w:kern w:val="2"/>
                <w:sz w:val="21"/>
                <w:highlight w:val="none"/>
              </w:rPr>
            </w:pPr>
            <w:r>
              <w:rPr>
                <w:rFonts w:hint="eastAsia" w:ascii="宋体" w:hAnsi="宋体" w:eastAsia="宋体" w:cs="宋体"/>
                <w:b w:val="0"/>
                <w:bCs w:val="0"/>
                <w:color w:val="auto"/>
                <w:kern w:val="2"/>
                <w:sz w:val="21"/>
                <w:highlight w:val="none"/>
              </w:rPr>
              <w:t>特别说明</w:t>
            </w:r>
          </w:p>
        </w:tc>
        <w:tc>
          <w:tcPr>
            <w:tcW w:w="7305" w:type="dxa"/>
            <w:vAlign w:val="center"/>
          </w:tcPr>
          <w:p>
            <w:pPr>
              <w:pStyle w:val="36"/>
              <w:tabs>
                <w:tab w:val="center" w:pos="4153"/>
                <w:tab w:val="right" w:pos="8306"/>
              </w:tabs>
              <w:spacing w:line="360" w:lineRule="auto"/>
              <w:ind w:firstLine="0"/>
              <w:textAlignment w:val="baseline"/>
              <w:rPr>
                <w:rFonts w:cs="宋体"/>
                <w:color w:val="auto"/>
                <w:highlight w:val="none"/>
              </w:rPr>
            </w:pPr>
            <w:r>
              <w:rPr>
                <w:rFonts w:hint="eastAsia" w:cs="宋体"/>
                <w:color w:val="auto"/>
                <w:kern w:val="2"/>
                <w:sz w:val="21"/>
                <w:szCs w:val="24"/>
                <w:highlight w:val="none"/>
              </w:rPr>
              <w:t>中标人应提供与电子投标文件内容一致的纸质投标文件（</w:t>
            </w:r>
            <w:r>
              <w:rPr>
                <w:rFonts w:hint="eastAsia" w:cs="宋体"/>
                <w:color w:val="auto"/>
                <w:kern w:val="2"/>
                <w:sz w:val="21"/>
                <w:szCs w:val="24"/>
                <w:highlight w:val="none"/>
                <w:lang w:eastAsia="zh-CN"/>
              </w:rPr>
              <w:t>资格审查文件</w:t>
            </w:r>
            <w:r>
              <w:rPr>
                <w:rFonts w:hint="eastAsia" w:cs="宋体"/>
                <w:color w:val="auto"/>
                <w:kern w:val="2"/>
                <w:sz w:val="21"/>
                <w:szCs w:val="24"/>
                <w:highlight w:val="none"/>
              </w:rPr>
              <w:t>、商务技术文件、报价文件）一正三副。中标人在领取中标通知书时提供纸质投标文件。</w:t>
            </w:r>
          </w:p>
        </w:tc>
      </w:tr>
    </w:tbl>
    <w:p>
      <w:pPr>
        <w:spacing w:line="360" w:lineRule="auto"/>
        <w:ind w:firstLine="400" w:firstLineChars="200"/>
        <w:textAlignment w:val="baseline"/>
        <w:rPr>
          <w:rFonts w:ascii="宋体" w:hAnsi="宋体" w:cs="宋体"/>
          <w:color w:val="auto"/>
          <w:sz w:val="20"/>
          <w:szCs w:val="21"/>
          <w:highlight w:val="none"/>
        </w:rPr>
      </w:pPr>
    </w:p>
    <w:p>
      <w:pPr>
        <w:pStyle w:val="6"/>
        <w:keepLines/>
        <w:widowControl w:val="0"/>
        <w:numPr>
          <w:ilvl w:val="2"/>
          <w:numId w:val="0"/>
        </w:numPr>
        <w:spacing w:before="156" w:after="156"/>
        <w:jc w:val="center"/>
        <w:textAlignment w:val="baseline"/>
        <w:rPr>
          <w:rFonts w:ascii="宋体" w:hAnsi="宋体" w:cs="宋体"/>
          <w:b/>
          <w:bCs/>
          <w:color w:val="auto"/>
          <w:kern w:val="2"/>
          <w:sz w:val="32"/>
          <w:szCs w:val="32"/>
          <w:highlight w:val="none"/>
        </w:rPr>
      </w:pPr>
      <w:r>
        <w:rPr>
          <w:rFonts w:hint="eastAsia" w:ascii="宋体" w:hAnsi="宋体" w:cs="宋体"/>
          <w:b/>
          <w:bCs/>
          <w:color w:val="auto"/>
          <w:kern w:val="2"/>
          <w:sz w:val="32"/>
          <w:szCs w:val="32"/>
          <w:highlight w:val="none"/>
        </w:rPr>
        <w:t>一、总则</w:t>
      </w:r>
    </w:p>
    <w:p>
      <w:pPr>
        <w:pStyle w:val="11"/>
        <w:spacing w:line="440" w:lineRule="exact"/>
        <w:ind w:left="422" w:firstLine="464" w:firstLineChars="220"/>
        <w:textAlignment w:val="baseline"/>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1.适用范围</w:t>
      </w:r>
    </w:p>
    <w:p>
      <w:pPr>
        <w:pStyle w:val="11"/>
        <w:spacing w:line="440" w:lineRule="exact"/>
        <w:ind w:left="420" w:firstLine="42"/>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1.1本磋商文件适用于本次采购活动中所叙述的爱常山-数字化建设工程（一期）。</w:t>
      </w:r>
    </w:p>
    <w:p>
      <w:pPr>
        <w:pStyle w:val="11"/>
        <w:spacing w:line="440" w:lineRule="exact"/>
        <w:ind w:left="422" w:firstLine="464" w:firstLineChars="220"/>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2.定义解释</w:t>
      </w:r>
    </w:p>
    <w:p>
      <w:pPr>
        <w:pStyle w:val="11"/>
        <w:spacing w:line="440" w:lineRule="exact"/>
        <w:ind w:left="420" w:firstLine="42"/>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2.1“采购代理机构”是指浙江衢州公信工程管理有限公司。</w:t>
      </w:r>
    </w:p>
    <w:p>
      <w:pPr>
        <w:pStyle w:val="11"/>
        <w:spacing w:line="440" w:lineRule="exact"/>
        <w:ind w:left="420" w:firstLine="42"/>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2.2“采购人”是指常山传媒集团。</w:t>
      </w:r>
    </w:p>
    <w:p>
      <w:pPr>
        <w:pStyle w:val="11"/>
        <w:spacing w:line="440" w:lineRule="exact"/>
        <w:ind w:left="420" w:firstLine="42"/>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2.3“采购项目”是指本磋商文件所要求的爱常山-数字化建设工程（一期）。</w:t>
      </w:r>
    </w:p>
    <w:p>
      <w:pPr>
        <w:pStyle w:val="11"/>
        <w:spacing w:line="440" w:lineRule="exact"/>
        <w:ind w:left="420" w:firstLine="42"/>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2.4“磋商供应商”是指获得磋商文件并向采购代理机构提交响应文件的磋商供应商。</w:t>
      </w:r>
    </w:p>
    <w:p>
      <w:pPr>
        <w:pStyle w:val="11"/>
        <w:spacing w:line="440" w:lineRule="exact"/>
        <w:ind w:left="420" w:firstLine="42"/>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2.5“潜在磋商供应商”是指符合磋商文件规定的磋商供应商。</w:t>
      </w:r>
    </w:p>
    <w:p>
      <w:pPr>
        <w:pStyle w:val="11"/>
        <w:spacing w:line="440" w:lineRule="exact"/>
        <w:ind w:left="420" w:firstLine="42"/>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2.6 “中标人”是指经磋商小组审查通过，并经公示无异议的磋商供应商。</w:t>
      </w:r>
    </w:p>
    <w:p>
      <w:pPr>
        <w:pStyle w:val="11"/>
        <w:spacing w:line="440" w:lineRule="exact"/>
        <w:ind w:left="420" w:firstLine="42"/>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2.7“磋商供应商代表”是指磋商供应商法定代表人或磋商供应商法定代表人授权委托的人。</w:t>
      </w:r>
    </w:p>
    <w:p>
      <w:pPr>
        <w:pStyle w:val="11"/>
        <w:spacing w:line="440" w:lineRule="exact"/>
        <w:ind w:left="420" w:firstLine="462" w:firstLineChars="22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2.8“产品（货物）”是指按采购文件要求配置的一切设备、机械、仪器仪表、备品备件、工具、手册及其它有关技术资料和文字材料；</w:t>
      </w:r>
    </w:p>
    <w:p>
      <w:pPr>
        <w:pStyle w:val="11"/>
        <w:spacing w:line="440" w:lineRule="exact"/>
        <w:ind w:left="420" w:firstLine="462" w:firstLineChars="22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2.9“服务”在货物类采购项目中是指采购文件规定供方须承担的货物运输、操作使用、技术支持、培训、维修保养服务；在服务类采购项目是指采购采购内容本身及相关的售后技术支持、培训服务；</w:t>
      </w:r>
    </w:p>
    <w:p>
      <w:pPr>
        <w:pStyle w:val="11"/>
        <w:spacing w:line="440" w:lineRule="exact"/>
        <w:ind w:left="420" w:firstLine="462" w:firstLineChars="22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2.10“书面形式”包括纸质文件、电子邮件、信函、传真等。</w:t>
      </w:r>
    </w:p>
    <w:p>
      <w:pPr>
        <w:pStyle w:val="11"/>
        <w:spacing w:line="440" w:lineRule="exact"/>
        <w:ind w:left="420" w:firstLine="42"/>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2.11实质性响应：是指投标文件相关内容符合招标（采购）文件规定的实质性内容、条款和规定。</w:t>
      </w:r>
    </w:p>
    <w:p>
      <w:pPr>
        <w:pStyle w:val="11"/>
        <w:spacing w:line="440" w:lineRule="exact"/>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r>
        <w:rPr>
          <w:rFonts w:hint="eastAsia" w:ascii="宋体" w:hAnsi="宋体" w:eastAsia="宋体" w:cs="宋体"/>
          <w:b/>
          <w:bCs/>
          <w:color w:val="auto"/>
          <w:sz w:val="21"/>
          <w:szCs w:val="21"/>
          <w:highlight w:val="none"/>
        </w:rPr>
        <w:t>采购文件中所有标示“▲”的均为采购人提出的实质性条款，如未实质性响应的，将按无效投标处理</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标有“★”符号为重要指标。</w:t>
      </w:r>
    </w:p>
    <w:p>
      <w:pPr>
        <w:spacing w:line="44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 xml:space="preserve">    2.13  “电子投标文件”系指投标人通过政采云电子投标工具编制的数据电文形式的加密标书。</w:t>
      </w:r>
    </w:p>
    <w:p>
      <w:pPr>
        <w:pStyle w:val="11"/>
        <w:spacing w:line="440" w:lineRule="exact"/>
        <w:ind w:left="0" w:leftChars="0" w:firstLine="422" w:firstLineChars="200"/>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3.项目说明</w:t>
      </w:r>
    </w:p>
    <w:p>
      <w:pPr>
        <w:pStyle w:val="11"/>
        <w:spacing w:line="440" w:lineRule="exact"/>
        <w:ind w:left="0" w:firstLine="0" w:firstLineChars="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3.1《中华人民共和国政府采购法》、《中华人民共和国政府采购法实施条例》、《政府采购竞争性磋商采购方式管理暂行办法》、《财政部关于政府采购竞争性磋商采购方式管理暂行办法有关问题的补充通知》和其他有关法律、行政法规以及省市规范性文件规定。</w:t>
      </w:r>
    </w:p>
    <w:p>
      <w:pPr>
        <w:pStyle w:val="11"/>
        <w:spacing w:line="440" w:lineRule="exact"/>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4.合格磋商供应商的条件</w:t>
      </w:r>
    </w:p>
    <w:p>
      <w:pPr>
        <w:pStyle w:val="11"/>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4.1凡符合本磋商文件第一章竞争性磋商公告磋商供应商资格要求的均为合格的磋商供应商。</w:t>
      </w:r>
    </w:p>
    <w:p>
      <w:pPr>
        <w:pStyle w:val="11"/>
        <w:spacing w:line="440" w:lineRule="exact"/>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5.投标费用</w:t>
      </w:r>
    </w:p>
    <w:p>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5.1磋商供应商应承担参加本次投标有关的全部费用，无论结果如何，采购人和采购代理机构在任何情况下均无义务和责任承担这些费用。</w:t>
      </w:r>
    </w:p>
    <w:p>
      <w:pPr>
        <w:spacing w:line="440" w:lineRule="exact"/>
        <w:ind w:firstLine="422" w:firstLineChars="200"/>
        <w:jc w:val="left"/>
        <w:textAlignment w:val="baseline"/>
        <w:rPr>
          <w:rFonts w:ascii="宋体" w:hAnsi="宋体" w:cs="宋体"/>
          <w:b/>
          <w:bCs/>
          <w:color w:val="auto"/>
          <w:sz w:val="20"/>
          <w:szCs w:val="21"/>
          <w:highlight w:val="none"/>
        </w:rPr>
      </w:pPr>
      <w:r>
        <w:rPr>
          <w:rFonts w:hint="eastAsia" w:ascii="宋体" w:hAnsi="宋体" w:cs="宋体"/>
          <w:b/>
          <w:color w:val="auto"/>
          <w:szCs w:val="21"/>
          <w:highlight w:val="none"/>
        </w:rPr>
        <w:t>6.</w:t>
      </w:r>
      <w:r>
        <w:rPr>
          <w:rFonts w:hint="eastAsia" w:ascii="宋体" w:hAnsi="宋体" w:cs="宋体"/>
          <w:b/>
          <w:bCs/>
          <w:color w:val="auto"/>
          <w:szCs w:val="21"/>
          <w:highlight w:val="none"/>
        </w:rPr>
        <w:t>特别说明</w:t>
      </w:r>
    </w:p>
    <w:p>
      <w:pPr>
        <w:pStyle w:val="51"/>
        <w:spacing w:line="440" w:lineRule="exact"/>
        <w:ind w:firstLine="420" w:firstLineChars="200"/>
        <w:rPr>
          <w:rFonts w:ascii="宋体" w:hAnsi="宋体" w:cs="宋体"/>
          <w:color w:val="auto"/>
          <w:highlight w:val="none"/>
        </w:rPr>
      </w:pPr>
      <w:r>
        <w:rPr>
          <w:rFonts w:hint="eastAsia" w:ascii="宋体" w:hAnsi="宋体" w:cs="宋体"/>
          <w:color w:val="auto"/>
          <w:highlight w:val="none"/>
        </w:rPr>
        <w:t>6.1投标人投标所使用的资格、信誉、荣誉、业绩与企业认证必须为本企业所拥有。投标人投标所使用的采购项目实施人员可以为其控股公司的工作人员。</w:t>
      </w:r>
    </w:p>
    <w:p>
      <w:pPr>
        <w:pStyle w:val="51"/>
        <w:spacing w:line="440" w:lineRule="exact"/>
        <w:ind w:firstLine="420" w:firstLineChars="200"/>
        <w:rPr>
          <w:rFonts w:ascii="宋体" w:hAnsi="宋体" w:cs="宋体"/>
          <w:color w:val="auto"/>
          <w:highlight w:val="none"/>
        </w:rPr>
      </w:pPr>
      <w:r>
        <w:rPr>
          <w:rFonts w:hint="eastAsia" w:ascii="宋体" w:hAnsi="宋体" w:cs="宋体"/>
          <w:color w:val="auto"/>
          <w:highlight w:val="none"/>
        </w:rPr>
        <w:t>6.2投标人在投标活动中提供任何虚假材料或从事其他违法活动的,其投标无效，并报监管部门查处；成交后发现的,中标人须依照《中华人民共和国消费者权益保护法》之规定赔偿采购单位。且民事赔偿并不免除违法投标人的行政与刑事责任。</w:t>
      </w:r>
    </w:p>
    <w:p>
      <w:pPr>
        <w:pStyle w:val="51"/>
        <w:spacing w:line="440" w:lineRule="exact"/>
        <w:ind w:firstLine="420" w:firstLineChars="200"/>
        <w:rPr>
          <w:rFonts w:ascii="宋体" w:hAnsi="宋体" w:cs="宋体"/>
          <w:color w:val="auto"/>
          <w:highlight w:val="none"/>
        </w:rPr>
      </w:pPr>
      <w:r>
        <w:rPr>
          <w:rFonts w:hint="eastAsia" w:ascii="宋体" w:hAnsi="宋体" w:cs="宋体"/>
          <w:color w:val="auto"/>
          <w:highlight w:val="none"/>
        </w:rPr>
        <w:t>6.3投标人应仔细阅读招标文件的所有内容，按照招标文件的要求提交投标文件。投标文件应对招标文件的要求作出实质性响应，并对所提供的全部资料的真实性承担法律责任。</w:t>
      </w:r>
    </w:p>
    <w:p>
      <w:pPr>
        <w:spacing w:line="440" w:lineRule="exact"/>
        <w:ind w:firstLine="422" w:firstLineChars="200"/>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rPr>
        <w:t>6.4本项目提供相同品牌产品且通过资格审查、符合性审查的不同投标人参加同一合同项下投标的，按一家投标人计算，评审后得分最高的同品牌投标人获得中标人推荐资格；评审得分相同的，由采购单位现场抽签确定中标人推荐资格，其他同品牌投标人不作为成交候选人。</w:t>
      </w:r>
    </w:p>
    <w:p>
      <w:pPr>
        <w:spacing w:line="440" w:lineRule="exact"/>
        <w:ind w:firstLine="422" w:firstLineChars="200"/>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rPr>
        <w:t>6.5与参加本次项目同一合同项下政府采购活动的其他供应商不存在单位负责人为同一人或者直接控股、管理关系。</w:t>
      </w:r>
    </w:p>
    <w:p>
      <w:pPr>
        <w:spacing w:line="440" w:lineRule="exact"/>
        <w:ind w:firstLine="422" w:firstLineChars="200"/>
        <w:jc w:val="left"/>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rPr>
        <w:t>7.质疑与投诉（疫情期间特别说明）</w:t>
      </w:r>
    </w:p>
    <w:p>
      <w:pPr>
        <w:pStyle w:val="3"/>
        <w:spacing w:after="0" w:line="440" w:lineRule="exact"/>
        <w:ind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我省疫情应急响应终止之日前，政府采购供应商可以通过登录“浙江政务服务网”</w:t>
      </w:r>
      <w:r>
        <w:rPr>
          <w:rFonts w:hint="eastAsia" w:ascii="宋体" w:hAnsi="宋体" w:cs="宋体"/>
          <w:b/>
          <w:bCs/>
          <w:color w:val="auto"/>
          <w:kern w:val="0"/>
          <w:sz w:val="21"/>
          <w:szCs w:val="21"/>
          <w:highlight w:val="none"/>
        </w:rPr>
        <w:t>（http://www.zjzwfw.gov.cn/）</w:t>
      </w:r>
      <w:r>
        <w:rPr>
          <w:rFonts w:hint="eastAsia" w:ascii="宋体" w:hAnsi="宋体" w:cs="宋体"/>
          <w:color w:val="auto"/>
          <w:kern w:val="0"/>
          <w:sz w:val="21"/>
          <w:szCs w:val="21"/>
          <w:highlight w:val="none"/>
        </w:rPr>
        <w:t>，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pPr>
        <w:pStyle w:val="3"/>
        <w:spacing w:after="0" w:line="440" w:lineRule="exact"/>
        <w:ind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供应商也可通过邮寄方式寄递政府采购投诉、举报材料，邮寄地址为涉及政府采购项目采购人预算级次相应的财政部门。政府采购投诉、举报材料中须写明邮箱地址、传真号码，财政部门审查受理、处理决定等相关文书可通过电子邮件、传真等形式送达，供应商明确表示需要邮寄的除外。</w:t>
      </w:r>
    </w:p>
    <w:p>
      <w:pPr>
        <w:pStyle w:val="3"/>
        <w:spacing w:after="0" w:line="440" w:lineRule="exact"/>
        <w:ind w:firstLineChars="200"/>
        <w:rPr>
          <w:rFonts w:ascii="宋体" w:hAnsi="宋体" w:cs="宋体"/>
          <w:color w:val="auto"/>
          <w:highlight w:val="none"/>
        </w:rPr>
      </w:pPr>
      <w:r>
        <w:rPr>
          <w:rFonts w:hint="eastAsia" w:ascii="宋体" w:hAnsi="宋体" w:cs="宋体"/>
          <w:color w:val="auto"/>
          <w:kern w:val="0"/>
          <w:sz w:val="21"/>
          <w:szCs w:val="21"/>
          <w:highlight w:val="none"/>
        </w:rPr>
        <w:t>在线或者邮寄政府采购投诉举报材料当日下班时间点后收到的视为下一个工作日收到。</w:t>
      </w:r>
    </w:p>
    <w:p>
      <w:pPr>
        <w:pStyle w:val="3"/>
        <w:ind w:firstLine="240"/>
        <w:rPr>
          <w:rFonts w:ascii="宋体" w:hAnsi="宋体" w:cs="宋体"/>
          <w:color w:val="auto"/>
          <w:highlight w:val="none"/>
        </w:rPr>
      </w:pPr>
    </w:p>
    <w:p>
      <w:pPr>
        <w:pStyle w:val="6"/>
        <w:keepLines/>
        <w:widowControl w:val="0"/>
        <w:numPr>
          <w:ilvl w:val="2"/>
          <w:numId w:val="0"/>
        </w:numPr>
        <w:spacing w:before="156" w:after="156"/>
        <w:jc w:val="center"/>
        <w:textAlignment w:val="baseline"/>
        <w:rPr>
          <w:rFonts w:ascii="宋体" w:hAnsi="宋体" w:cs="宋体"/>
          <w:b/>
          <w:bCs/>
          <w:color w:val="auto"/>
          <w:kern w:val="2"/>
          <w:sz w:val="32"/>
          <w:szCs w:val="32"/>
          <w:highlight w:val="none"/>
        </w:rPr>
      </w:pPr>
      <w:bookmarkStart w:id="36" w:name="_Toc20292"/>
      <w:r>
        <w:rPr>
          <w:rFonts w:hint="eastAsia" w:ascii="宋体" w:hAnsi="宋体" w:cs="宋体"/>
          <w:b/>
          <w:bCs/>
          <w:color w:val="auto"/>
          <w:kern w:val="2"/>
          <w:sz w:val="32"/>
          <w:szCs w:val="32"/>
          <w:highlight w:val="none"/>
        </w:rPr>
        <w:t>二、磋商文件</w:t>
      </w:r>
      <w:bookmarkEnd w:id="36"/>
    </w:p>
    <w:p>
      <w:pPr>
        <w:pStyle w:val="11"/>
        <w:spacing w:line="440" w:lineRule="exact"/>
        <w:ind w:left="0" w:firstLine="422" w:firstLineChars="200"/>
        <w:textAlignment w:val="baseline"/>
        <w:rPr>
          <w:rFonts w:ascii="宋体" w:hAnsi="宋体" w:cs="宋体"/>
          <w:b/>
          <w:color w:val="auto"/>
          <w:sz w:val="21"/>
          <w:szCs w:val="21"/>
          <w:highlight w:val="none"/>
        </w:rPr>
      </w:pPr>
      <w:bookmarkStart w:id="37" w:name="_Toc15455"/>
      <w:r>
        <w:rPr>
          <w:rFonts w:hint="eastAsia" w:ascii="宋体" w:hAnsi="宋体" w:cs="宋体"/>
          <w:b/>
          <w:color w:val="auto"/>
          <w:sz w:val="21"/>
          <w:szCs w:val="21"/>
          <w:highlight w:val="none"/>
        </w:rPr>
        <w:t>1.磋商文件的组成</w:t>
      </w:r>
      <w:bookmarkEnd w:id="37"/>
    </w:p>
    <w:p>
      <w:pPr>
        <w:pStyle w:val="11"/>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1.1磋商文件共分为6部分，其内容如下：</w:t>
      </w:r>
    </w:p>
    <w:p>
      <w:pPr>
        <w:pStyle w:val="11"/>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第一章 竞争性磋商公告</w:t>
      </w:r>
    </w:p>
    <w:p>
      <w:pPr>
        <w:pStyle w:val="11"/>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 磋商供应商须知</w:t>
      </w:r>
    </w:p>
    <w:p>
      <w:pPr>
        <w:pStyle w:val="11"/>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第三章 采购内容及要求</w:t>
      </w:r>
    </w:p>
    <w:p>
      <w:pPr>
        <w:pStyle w:val="11"/>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第四章 合同条款</w:t>
      </w:r>
    </w:p>
    <w:p>
      <w:pPr>
        <w:pStyle w:val="11"/>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第五章 评标原则及办法</w:t>
      </w:r>
    </w:p>
    <w:p>
      <w:pPr>
        <w:pStyle w:val="11"/>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第六章  响应文件格式</w:t>
      </w:r>
    </w:p>
    <w:p>
      <w:pPr>
        <w:pStyle w:val="11"/>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1.2除上条1.1内容外，采购人、采购代理机构在规定时间前，以书面形式发出的对磋商文件的澄清或修改内容，均为磋商文件的组成部分。</w:t>
      </w:r>
    </w:p>
    <w:p>
      <w:pPr>
        <w:pStyle w:val="11"/>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磋商供应商获取磋商文件后，应仔细检查磋商文件的所有内容，如有残缺等问题，应在获得磋商文件3日内向采购人提出，否则，由此引起的损失由磋商供应商自己承担。磋商供应商同时应认真审阅磋商文件中所有的事项、格式、条款和规范要求等，若磋商供应商的响应文件没有按磋商文件要求提交全部资料，或响应文件没有对磋商文件做出实质性响应，并根据有关条款规定，其风险由磋商供应商自行承担。</w:t>
      </w:r>
    </w:p>
    <w:p>
      <w:pPr>
        <w:pStyle w:val="11"/>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招标采购人允许潜在磋商供应商在磋商文件发售截止时间后至投标截止时间前允许潜在磋商供应商前来认购磋商文件，但该磋商供应商如在法律、法规规定的时间内逾期对磋商文件提出异议的，招标采购人可不予受理、答复。</w:t>
      </w:r>
    </w:p>
    <w:p>
      <w:pPr>
        <w:pStyle w:val="11"/>
        <w:spacing w:line="440" w:lineRule="exact"/>
        <w:ind w:left="0" w:firstLine="422" w:firstLineChars="200"/>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2.磋商文件的澄清与修改</w:t>
      </w:r>
    </w:p>
    <w:p>
      <w:pPr>
        <w:pStyle w:val="16"/>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2.1</w:t>
      </w:r>
      <w:r>
        <w:rPr>
          <w:rFonts w:hint="eastAsia" w:hAnsi="宋体" w:cs="宋体"/>
          <w:bCs/>
          <w:color w:val="auto"/>
          <w:highlight w:val="none"/>
        </w:rPr>
        <w:t>磋商供应商应认真阅读本磋商文件，发现其中有误或有不合理要求的，磋商供应商必须在前附表规定的时间内以书面形式要求招标采购人澄清</w:t>
      </w:r>
      <w:r>
        <w:rPr>
          <w:rFonts w:hint="eastAsia" w:hAnsi="宋体" w:cs="宋体"/>
          <w:color w:val="auto"/>
          <w:highlight w:val="none"/>
        </w:rPr>
        <w:t>。采购代理机构对已发出的磋商文件进行必要澄清、答复、修改或补充的，应当在提交首次响应文件截止时间至少5日前，在财政部门指定的政府采购信息发布媒体上发布更正公告，并以书面形式通知所有获取磋商文件的供应商。</w:t>
      </w:r>
    </w:p>
    <w:p>
      <w:pPr>
        <w:pStyle w:val="16"/>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2.2采购代理机构必须以书面形式答复磋商供应商要求澄清的问题，并将不包含问题来源的答复书面通知所有购买磋商文件的磋商供应商；除书面答复以外的其他澄清方式及澄清内容均无效。</w:t>
      </w:r>
    </w:p>
    <w:p>
      <w:pPr>
        <w:pStyle w:val="16"/>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2.3磋商文件澄清、答复、修改、补充的内容为磋商文件的组成部分。当磋商文件与磋商文件的答复、澄清、修改、补充通知就同一内容的表述不一致时，以最后发出的书面文件为准。</w:t>
      </w:r>
    </w:p>
    <w:p>
      <w:pPr>
        <w:pStyle w:val="16"/>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2.4磋商文件的澄清、答复、修改或补充都应该通过本代理机构以法定形式发布，采购人非通过本机构，不得擅自澄清、答复、修改或补充磋商文件。</w:t>
      </w:r>
    </w:p>
    <w:p>
      <w:pPr>
        <w:pStyle w:val="6"/>
        <w:keepLines/>
        <w:widowControl w:val="0"/>
        <w:numPr>
          <w:ilvl w:val="2"/>
          <w:numId w:val="0"/>
        </w:numPr>
        <w:spacing w:before="156" w:after="156" w:line="440" w:lineRule="exact"/>
        <w:jc w:val="center"/>
        <w:textAlignment w:val="baseline"/>
        <w:rPr>
          <w:rFonts w:ascii="宋体" w:hAnsi="宋体" w:cs="宋体"/>
          <w:b/>
          <w:bCs/>
          <w:color w:val="auto"/>
          <w:kern w:val="2"/>
          <w:sz w:val="32"/>
          <w:szCs w:val="32"/>
          <w:highlight w:val="none"/>
        </w:rPr>
      </w:pPr>
      <w:bookmarkStart w:id="38" w:name="_Toc16910"/>
      <w:r>
        <w:rPr>
          <w:rFonts w:hint="eastAsia" w:ascii="宋体" w:hAnsi="宋体" w:cs="宋体"/>
          <w:b/>
          <w:bCs/>
          <w:color w:val="auto"/>
          <w:kern w:val="2"/>
          <w:sz w:val="32"/>
          <w:szCs w:val="32"/>
          <w:highlight w:val="none"/>
        </w:rPr>
        <w:t>三、响应文件</w:t>
      </w:r>
      <w:bookmarkEnd w:id="38"/>
    </w:p>
    <w:p>
      <w:pPr>
        <w:pStyle w:val="11"/>
        <w:spacing w:line="440" w:lineRule="exact"/>
        <w:ind w:left="0" w:firstLine="422" w:firstLineChars="200"/>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1.响应文件的语言及度量衡单位</w:t>
      </w:r>
    </w:p>
    <w:p>
      <w:pPr>
        <w:pStyle w:val="11"/>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1.1除采购货物有关专用名称外，响应文件和与投标有关的所有文件说明均应使用中文。</w:t>
      </w:r>
    </w:p>
    <w:p>
      <w:pPr>
        <w:pStyle w:val="11"/>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1.2除采购项目规范另有规定外，响应文件使用的度量衡单位，均采用中华人民共和国法定计量单位。</w:t>
      </w:r>
    </w:p>
    <w:p>
      <w:pPr>
        <w:snapToGrid w:val="0"/>
        <w:spacing w:line="440" w:lineRule="exact"/>
        <w:ind w:firstLine="422" w:firstLineChars="200"/>
        <w:textAlignment w:val="baseline"/>
        <w:rPr>
          <w:rFonts w:ascii="宋体" w:hAnsi="宋体" w:cs="宋体"/>
          <w:color w:val="auto"/>
          <w:sz w:val="20"/>
          <w:szCs w:val="21"/>
          <w:highlight w:val="none"/>
        </w:rPr>
      </w:pPr>
      <w:r>
        <w:rPr>
          <w:rFonts w:hint="eastAsia" w:ascii="宋体" w:hAnsi="宋体" w:cs="宋体"/>
          <w:b/>
          <w:color w:val="auto"/>
          <w:szCs w:val="21"/>
          <w:highlight w:val="none"/>
        </w:rPr>
        <w:t>2.响应文件的形式和效力</w:t>
      </w:r>
    </w:p>
    <w:p>
      <w:pPr>
        <w:snapToGrid w:val="0"/>
        <w:spacing w:line="440" w:lineRule="exact"/>
        <w:ind w:firstLine="422" w:firstLineChars="200"/>
        <w:textAlignment w:val="baseline"/>
        <w:rPr>
          <w:rFonts w:ascii="宋体" w:hAnsi="宋体" w:cs="宋体"/>
          <w:color w:val="auto"/>
          <w:sz w:val="20"/>
          <w:highlight w:val="none"/>
        </w:rPr>
      </w:pPr>
      <w:r>
        <w:rPr>
          <w:rFonts w:hint="eastAsia" w:ascii="宋体" w:hAnsi="宋体" w:cs="宋体"/>
          <w:b/>
          <w:color w:val="auto"/>
          <w:szCs w:val="21"/>
          <w:highlight w:val="none"/>
        </w:rPr>
        <w:t>2.1响应文件为电子响应文件。电子响应文件</w:t>
      </w:r>
      <w:r>
        <w:rPr>
          <w:rFonts w:hint="eastAsia" w:ascii="宋体" w:hAnsi="宋体" w:cs="宋体"/>
          <w:b/>
          <w:bCs/>
          <w:color w:val="auto"/>
          <w:szCs w:val="21"/>
          <w:highlight w:val="none"/>
        </w:rPr>
        <w:t>按政采云平台</w:t>
      </w:r>
      <w:r>
        <w:rPr>
          <w:rFonts w:hint="eastAsia" w:ascii="宋体" w:hAnsi="宋体" w:cs="宋体"/>
          <w:b/>
          <w:bCs/>
          <w:color w:val="auto"/>
          <w:kern w:val="0"/>
          <w:szCs w:val="21"/>
          <w:highlight w:val="none"/>
        </w:rPr>
        <w:t>“供应商-政府采购项目电子交易操作指南”</w:t>
      </w:r>
      <w:r>
        <w:rPr>
          <w:rFonts w:hint="eastAsia" w:ascii="宋体" w:hAnsi="宋体" w:cs="宋体"/>
          <w:b/>
          <w:color w:val="auto"/>
          <w:szCs w:val="21"/>
          <w:highlight w:val="none"/>
        </w:rPr>
        <w:t>及本招标文件要求制作、加密并递交。</w:t>
      </w:r>
    </w:p>
    <w:p>
      <w:pPr>
        <w:pStyle w:val="11"/>
        <w:spacing w:line="440" w:lineRule="exact"/>
        <w:ind w:left="0" w:firstLine="422" w:firstLineChars="200"/>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3.响应文件的组成</w:t>
      </w:r>
    </w:p>
    <w:p>
      <w:pPr>
        <w:tabs>
          <w:tab w:val="left" w:pos="0"/>
          <w:tab w:val="left" w:pos="900"/>
          <w:tab w:val="left" w:pos="7020"/>
          <w:tab w:val="left" w:pos="8460"/>
        </w:tabs>
        <w:snapToGrid w:val="0"/>
        <w:spacing w:line="440" w:lineRule="exact"/>
        <w:ind w:firstLine="420" w:firstLineChars="200"/>
        <w:textAlignment w:val="baseline"/>
        <w:rPr>
          <w:rFonts w:ascii="宋体" w:hAnsi="宋体" w:cs="宋体"/>
          <w:b/>
          <w:bCs/>
          <w:color w:val="auto"/>
          <w:sz w:val="20"/>
          <w:szCs w:val="21"/>
          <w:highlight w:val="none"/>
        </w:rPr>
      </w:pPr>
      <w:r>
        <w:rPr>
          <w:rFonts w:hint="eastAsia" w:ascii="宋体" w:hAnsi="宋体" w:cs="宋体"/>
          <w:color w:val="auto"/>
          <w:szCs w:val="21"/>
          <w:highlight w:val="none"/>
        </w:rPr>
        <w:t>2.1响应文件由</w:t>
      </w:r>
      <w:r>
        <w:rPr>
          <w:rFonts w:hint="eastAsia" w:ascii="宋体" w:hAnsi="宋体" w:cs="宋体"/>
          <w:color w:val="auto"/>
          <w:szCs w:val="21"/>
          <w:highlight w:val="none"/>
          <w:lang w:eastAsia="zh-CN"/>
        </w:rPr>
        <w:t>资格审查文件</w:t>
      </w:r>
      <w:r>
        <w:rPr>
          <w:rFonts w:hint="eastAsia" w:ascii="宋体" w:hAnsi="宋体" w:cs="宋体"/>
          <w:color w:val="auto"/>
          <w:szCs w:val="21"/>
          <w:highlight w:val="none"/>
        </w:rPr>
        <w:t>、商务技术文件、报价文件三部分组成。</w:t>
      </w:r>
      <w:r>
        <w:rPr>
          <w:rFonts w:hint="eastAsia" w:ascii="宋体" w:hAnsi="宋体" w:cs="宋体"/>
          <w:b/>
          <w:color w:val="auto"/>
          <w:szCs w:val="21"/>
          <w:highlight w:val="none"/>
        </w:rPr>
        <w:t>电子响应文件中所须加盖公章部分均采用CA签章。</w:t>
      </w:r>
    </w:p>
    <w:p>
      <w:pPr>
        <w:pStyle w:val="11"/>
        <w:spacing w:line="440" w:lineRule="exact"/>
        <w:ind w:left="422" w:firstLine="42"/>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资格审查文件</w:t>
      </w:r>
    </w:p>
    <w:p>
      <w:pPr>
        <w:tabs>
          <w:tab w:val="left" w:pos="0"/>
          <w:tab w:val="left" w:pos="900"/>
          <w:tab w:val="left" w:pos="7020"/>
          <w:tab w:val="left" w:pos="8460"/>
        </w:tabs>
        <w:snapToGrid w:val="0"/>
        <w:spacing w:line="500" w:lineRule="exact"/>
        <w:ind w:firstLine="420" w:firstLineChars="200"/>
        <w:textAlignment w:val="baseline"/>
        <w:rPr>
          <w:rFonts w:ascii="宋体" w:hAnsi="宋体" w:cs="宋体"/>
          <w:color w:val="auto"/>
          <w:sz w:val="20"/>
          <w:szCs w:val="21"/>
          <w:highlight w:val="none"/>
          <w:lang w:val="zh-CN"/>
        </w:rPr>
      </w:pPr>
      <w:r>
        <w:rPr>
          <w:rFonts w:hint="eastAsia" w:ascii="宋体" w:hAnsi="宋体" w:cs="宋体"/>
          <w:color w:val="auto"/>
          <w:szCs w:val="21"/>
          <w:highlight w:val="none"/>
        </w:rPr>
        <w:t>1）有效期内</w:t>
      </w:r>
      <w:r>
        <w:rPr>
          <w:rFonts w:hint="eastAsia" w:ascii="宋体" w:hAnsi="宋体" w:cs="宋体"/>
          <w:color w:val="auto"/>
          <w:szCs w:val="21"/>
          <w:highlight w:val="none"/>
          <w:lang w:val="zh-CN"/>
        </w:rPr>
        <w:t>营业执照扫描件；</w:t>
      </w:r>
    </w:p>
    <w:p>
      <w:pPr>
        <w:tabs>
          <w:tab w:val="left" w:pos="720"/>
          <w:tab w:val="left" w:pos="5355"/>
        </w:tabs>
        <w:spacing w:line="440" w:lineRule="exact"/>
        <w:ind w:left="420" w:leftChars="200"/>
        <w:textAlignment w:val="baseline"/>
        <w:rPr>
          <w:rFonts w:ascii="宋体" w:hAnsi="宋体" w:cs="宋体"/>
          <w:bCs/>
          <w:color w:val="auto"/>
          <w:sz w:val="20"/>
          <w:highlight w:val="none"/>
          <w:lang w:val="zh-CN"/>
        </w:rPr>
      </w:pPr>
      <w:r>
        <w:rPr>
          <w:rFonts w:hint="eastAsia" w:ascii="宋体" w:hAnsi="宋体" w:cs="宋体"/>
          <w:bCs/>
          <w:color w:val="auto"/>
          <w:highlight w:val="none"/>
        </w:rPr>
        <w:t>2</w:t>
      </w:r>
      <w:r>
        <w:rPr>
          <w:rFonts w:hint="eastAsia" w:ascii="宋体" w:hAnsi="宋体" w:cs="宋体"/>
          <w:bCs/>
          <w:color w:val="auto"/>
          <w:highlight w:val="none"/>
          <w:lang w:val="zh-CN"/>
        </w:rPr>
        <w:t>）法定代表人身份证明和本人身份证复印件（</w:t>
      </w:r>
      <w:r>
        <w:rPr>
          <w:rFonts w:hint="eastAsia" w:ascii="宋体" w:hAnsi="宋体" w:cs="宋体"/>
          <w:bCs/>
          <w:color w:val="auto"/>
          <w:highlight w:val="none"/>
          <w:lang w:val="en-US" w:eastAsia="zh-CN"/>
        </w:rPr>
        <w:t>法定代表人参加投标的提供</w:t>
      </w:r>
      <w:r>
        <w:rPr>
          <w:rFonts w:hint="eastAsia" w:ascii="宋体" w:hAnsi="宋体" w:cs="宋体"/>
          <w:bCs/>
          <w:color w:val="auto"/>
          <w:highlight w:val="none"/>
          <w:lang w:val="zh-CN"/>
        </w:rPr>
        <w:t>）或法定代表人授权委托书和委托代理人身份证复印件（授权委托</w:t>
      </w:r>
      <w:r>
        <w:rPr>
          <w:rFonts w:hint="eastAsia" w:ascii="宋体" w:hAnsi="宋体" w:cs="宋体"/>
          <w:bCs/>
          <w:color w:val="auto"/>
          <w:highlight w:val="none"/>
          <w:lang w:val="en-US" w:eastAsia="zh-CN"/>
        </w:rPr>
        <w:t>人参加的提供</w:t>
      </w:r>
      <w:r>
        <w:rPr>
          <w:rFonts w:hint="eastAsia" w:ascii="宋体" w:hAnsi="宋体" w:cs="宋体"/>
          <w:bCs/>
          <w:color w:val="auto"/>
          <w:highlight w:val="none"/>
          <w:lang w:val="zh-CN"/>
        </w:rPr>
        <w:t>）</w:t>
      </w:r>
      <w:r>
        <w:rPr>
          <w:rFonts w:hint="eastAsia" w:ascii="宋体" w:hAnsi="宋体" w:cs="宋体"/>
          <w:b/>
          <w:bCs/>
          <w:color w:val="auto"/>
          <w:szCs w:val="21"/>
          <w:highlight w:val="none"/>
        </w:rPr>
        <w:t>（</w:t>
      </w:r>
      <w:r>
        <w:rPr>
          <w:rFonts w:hint="eastAsia" w:ascii="宋体" w:hAnsi="宋体" w:cs="宋体"/>
          <w:color w:val="auto"/>
          <w:szCs w:val="21"/>
          <w:highlight w:val="none"/>
        </w:rPr>
        <w:t>格式详见附件，</w:t>
      </w:r>
      <w:r>
        <w:rPr>
          <w:rFonts w:hint="eastAsia" w:ascii="宋体" w:hAnsi="宋体" w:cs="宋体"/>
          <w:b/>
          <w:bCs/>
          <w:color w:val="auto"/>
          <w:szCs w:val="21"/>
          <w:highlight w:val="none"/>
        </w:rPr>
        <w:t>电子标书内法定代表人授权委托书需签字的可线下签字后再将其放入线上投标文件内）</w:t>
      </w:r>
      <w:r>
        <w:rPr>
          <w:rFonts w:hint="eastAsia" w:ascii="宋体" w:hAnsi="宋体" w:cs="宋体"/>
          <w:bCs/>
          <w:color w:val="auto"/>
          <w:highlight w:val="none"/>
          <w:lang w:val="zh-CN"/>
        </w:rPr>
        <w:t>；</w:t>
      </w:r>
    </w:p>
    <w:p>
      <w:pPr>
        <w:tabs>
          <w:tab w:val="left" w:pos="720"/>
          <w:tab w:val="left" w:pos="5355"/>
        </w:tabs>
        <w:spacing w:line="5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3）2021</w:t>
      </w:r>
      <w:r>
        <w:rPr>
          <w:rFonts w:hint="eastAsia" w:ascii="宋体" w:hAnsi="宋体" w:cs="宋体"/>
          <w:color w:val="auto"/>
          <w:szCs w:val="21"/>
          <w:highlight w:val="none"/>
          <w:lang w:val="zh-CN"/>
        </w:rPr>
        <w:t>年度财务报表或经审计的财务报告【新成立公司（自公司成立之日起至投标截止时间止不满一周年的）出具银行资信证明】复印件；</w:t>
      </w:r>
    </w:p>
    <w:p>
      <w:pPr>
        <w:numPr>
          <w:ilvl w:val="0"/>
          <w:numId w:val="6"/>
        </w:numPr>
        <w:tabs>
          <w:tab w:val="left" w:pos="720"/>
          <w:tab w:val="left" w:pos="5355"/>
        </w:tabs>
        <w:spacing w:line="5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投标人</w:t>
      </w:r>
      <w:r>
        <w:rPr>
          <w:rFonts w:hint="eastAsia" w:ascii="宋体" w:hAnsi="宋体" w:cs="宋体"/>
          <w:color w:val="auto"/>
          <w:szCs w:val="21"/>
          <w:highlight w:val="none"/>
          <w:lang w:val="en-US" w:eastAsia="zh-CN"/>
        </w:rPr>
        <w:t>近三个月内</w:t>
      </w:r>
      <w:r>
        <w:rPr>
          <w:rFonts w:hint="eastAsia" w:ascii="宋体" w:hAnsi="宋体" w:cs="宋体"/>
          <w:color w:val="auto"/>
          <w:szCs w:val="21"/>
          <w:highlight w:val="none"/>
          <w:lang w:val="zh-CN"/>
        </w:rPr>
        <w:t>任意一个月依法纳税的证明材料或依法免于纳税的证明材料复印件【可以是社保机构或税务部门官方网站查询结果打印件】</w:t>
      </w:r>
    </w:p>
    <w:p>
      <w:pPr>
        <w:numPr>
          <w:ilvl w:val="0"/>
          <w:numId w:val="6"/>
        </w:numPr>
        <w:tabs>
          <w:tab w:val="left" w:pos="720"/>
          <w:tab w:val="left" w:pos="5355"/>
        </w:tabs>
        <w:spacing w:line="50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lang w:val="zh-CN"/>
        </w:rPr>
        <w:t>投标人</w:t>
      </w:r>
      <w:r>
        <w:rPr>
          <w:rFonts w:hint="eastAsia" w:ascii="宋体" w:hAnsi="宋体" w:cs="宋体"/>
          <w:color w:val="auto"/>
          <w:szCs w:val="21"/>
          <w:highlight w:val="none"/>
          <w:lang w:val="en-US" w:eastAsia="zh-CN"/>
        </w:rPr>
        <w:t>近三个月内</w:t>
      </w:r>
      <w:r>
        <w:rPr>
          <w:rFonts w:hint="eastAsia" w:ascii="宋体" w:hAnsi="宋体" w:cs="宋体"/>
          <w:color w:val="auto"/>
          <w:szCs w:val="21"/>
          <w:highlight w:val="none"/>
          <w:lang w:val="zh-CN"/>
        </w:rPr>
        <w:t>任意一个月依法缴纳社会保障资金的证明材料复印件【可以是社保机构或税务部门官方网站查询结果打印件】</w:t>
      </w:r>
      <w:r>
        <w:rPr>
          <w:rFonts w:hint="eastAsia" w:ascii="宋体" w:hAnsi="宋体" w:cs="宋体"/>
          <w:color w:val="auto"/>
          <w:szCs w:val="21"/>
          <w:highlight w:val="none"/>
        </w:rPr>
        <w:t>；</w:t>
      </w:r>
    </w:p>
    <w:p>
      <w:pPr>
        <w:tabs>
          <w:tab w:val="left" w:pos="720"/>
          <w:tab w:val="left" w:pos="5355"/>
        </w:tabs>
        <w:spacing w:line="500" w:lineRule="exact"/>
        <w:ind w:firstLine="420" w:firstLineChars="200"/>
        <w:textAlignment w:val="baseline"/>
        <w:rPr>
          <w:rFonts w:ascii="宋体" w:hAnsi="宋体" w:cs="宋体"/>
          <w:color w:val="auto"/>
          <w:szCs w:val="21"/>
          <w:highlight w:val="none"/>
          <w:lang w:val="zh-CN"/>
        </w:rPr>
      </w:pPr>
      <w:r>
        <w:rPr>
          <w:rFonts w:hint="eastAsia" w:ascii="宋体" w:hAnsi="宋体" w:cs="宋体"/>
          <w:color w:val="auto"/>
          <w:szCs w:val="21"/>
          <w:highlight w:val="none"/>
        </w:rPr>
        <w:t>6</w:t>
      </w:r>
      <w:r>
        <w:rPr>
          <w:rFonts w:hint="eastAsia" w:ascii="宋体" w:hAnsi="宋体" w:cs="宋体"/>
          <w:color w:val="auto"/>
          <w:szCs w:val="21"/>
          <w:highlight w:val="none"/>
          <w:lang w:val="zh-CN"/>
        </w:rPr>
        <w:t>）具有履行合同所必须的设备和专业技术能力的承诺函【格式详见附件】；</w:t>
      </w:r>
    </w:p>
    <w:p>
      <w:pPr>
        <w:tabs>
          <w:tab w:val="left" w:pos="720"/>
          <w:tab w:val="left" w:pos="5355"/>
        </w:tabs>
        <w:spacing w:line="500" w:lineRule="exact"/>
        <w:ind w:firstLine="420" w:firstLineChars="200"/>
        <w:textAlignment w:val="baseline"/>
        <w:rPr>
          <w:rFonts w:ascii="宋体" w:hAnsi="宋体" w:cs="宋体"/>
          <w:color w:val="auto"/>
          <w:szCs w:val="21"/>
          <w:highlight w:val="none"/>
          <w:lang w:val="zh-CN"/>
        </w:rPr>
      </w:pPr>
      <w:r>
        <w:rPr>
          <w:rFonts w:hint="eastAsia" w:ascii="宋体" w:hAnsi="宋体" w:cs="宋体"/>
          <w:color w:val="auto"/>
          <w:szCs w:val="21"/>
          <w:highlight w:val="none"/>
        </w:rPr>
        <w:t>7</w:t>
      </w:r>
      <w:r>
        <w:rPr>
          <w:rFonts w:hint="eastAsia" w:ascii="宋体" w:hAnsi="宋体" w:cs="宋体"/>
          <w:color w:val="auto"/>
          <w:szCs w:val="21"/>
          <w:highlight w:val="none"/>
          <w:lang w:val="zh-CN"/>
        </w:rPr>
        <w:t>）参加本次政府采购活动前三年内，在经营活动中无重大违法记录承诺函【格式详见附件】；</w:t>
      </w:r>
    </w:p>
    <w:p>
      <w:pPr>
        <w:pStyle w:val="11"/>
        <w:spacing w:line="440" w:lineRule="exact"/>
        <w:ind w:left="420" w:firstLine="42"/>
        <w:textAlignment w:val="baseline"/>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商务技术文件（请附“供应商自评表”【格式见附件】，以便评审）：</w:t>
      </w:r>
    </w:p>
    <w:p>
      <w:pPr>
        <w:pStyle w:val="11"/>
        <w:spacing w:line="360" w:lineRule="auto"/>
        <w:ind w:firstLine="42"/>
        <w:textAlignment w:val="baseline"/>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（1）资信部分</w:t>
      </w:r>
    </w:p>
    <w:p>
      <w:pPr>
        <w:tabs>
          <w:tab w:val="left" w:pos="720"/>
          <w:tab w:val="left" w:pos="5355"/>
        </w:tabs>
        <w:spacing w:line="360" w:lineRule="auto"/>
        <w:ind w:left="420" w:leftChars="200"/>
        <w:textAlignment w:val="baseline"/>
        <w:rPr>
          <w:rFonts w:ascii="宋体" w:hAnsi="宋体" w:cs="宋体"/>
          <w:color w:val="auto"/>
          <w:sz w:val="20"/>
          <w:szCs w:val="21"/>
          <w:highlight w:val="none"/>
        </w:rPr>
      </w:pPr>
      <w:r>
        <w:rPr>
          <w:rFonts w:hint="eastAsia" w:ascii="宋体" w:hAnsi="宋体" w:cs="宋体"/>
          <w:color w:val="auto"/>
          <w:szCs w:val="21"/>
          <w:highlight w:val="none"/>
        </w:rPr>
        <w:t>1）投标声明书【格式见附件】；</w:t>
      </w:r>
    </w:p>
    <w:p>
      <w:pPr>
        <w:tabs>
          <w:tab w:val="left" w:pos="720"/>
          <w:tab w:val="left" w:pos="5355"/>
        </w:tabs>
        <w:spacing w:line="360" w:lineRule="auto"/>
        <w:ind w:left="420" w:leftChars="200"/>
        <w:textAlignment w:val="baseline"/>
        <w:rPr>
          <w:rFonts w:ascii="宋体" w:hAnsi="宋体" w:cs="宋体"/>
          <w:color w:val="auto"/>
          <w:sz w:val="20"/>
          <w:szCs w:val="21"/>
          <w:highlight w:val="none"/>
        </w:rPr>
      </w:pPr>
      <w:r>
        <w:rPr>
          <w:rFonts w:hint="eastAsia" w:ascii="宋体" w:hAnsi="宋体" w:cs="宋体"/>
          <w:color w:val="auto"/>
          <w:szCs w:val="21"/>
          <w:highlight w:val="none"/>
        </w:rPr>
        <w:t>2）</w:t>
      </w:r>
      <w:r>
        <w:rPr>
          <w:rFonts w:hint="eastAsia" w:ascii="宋体" w:hAnsi="宋体" w:cs="宋体"/>
          <w:color w:val="auto"/>
          <w:spacing w:val="-3"/>
          <w:szCs w:val="21"/>
          <w:highlight w:val="none"/>
        </w:rPr>
        <w:t>投标人基本情况表</w:t>
      </w:r>
      <w:r>
        <w:rPr>
          <w:rFonts w:hint="eastAsia" w:ascii="宋体" w:hAnsi="宋体" w:cs="宋体"/>
          <w:color w:val="auto"/>
          <w:szCs w:val="21"/>
          <w:highlight w:val="none"/>
        </w:rPr>
        <w:t>【格式见附件】；</w:t>
      </w:r>
    </w:p>
    <w:p>
      <w:pPr>
        <w:tabs>
          <w:tab w:val="left" w:pos="720"/>
          <w:tab w:val="left" w:pos="5355"/>
        </w:tabs>
        <w:spacing w:line="360" w:lineRule="auto"/>
        <w:ind w:firstLine="421"/>
        <w:textAlignment w:val="baseline"/>
        <w:rPr>
          <w:rFonts w:ascii="宋体" w:hAnsi="宋体" w:cs="宋体"/>
          <w:color w:val="auto"/>
          <w:sz w:val="20"/>
          <w:szCs w:val="21"/>
          <w:highlight w:val="none"/>
        </w:rPr>
      </w:pPr>
      <w:r>
        <w:rPr>
          <w:rFonts w:hint="eastAsia" w:ascii="宋体" w:hAnsi="宋体" w:cs="宋体"/>
          <w:color w:val="auto"/>
          <w:szCs w:val="21"/>
          <w:highlight w:val="none"/>
        </w:rPr>
        <w:t>3）企业资质；</w:t>
      </w:r>
    </w:p>
    <w:p>
      <w:pPr>
        <w:tabs>
          <w:tab w:val="left" w:pos="720"/>
          <w:tab w:val="left" w:pos="5355"/>
        </w:tabs>
        <w:spacing w:line="360" w:lineRule="auto"/>
        <w:ind w:firstLine="421"/>
        <w:textAlignment w:val="baseline"/>
        <w:rPr>
          <w:rFonts w:ascii="宋体" w:hAnsi="宋体" w:cs="宋体"/>
          <w:color w:val="auto"/>
          <w:szCs w:val="21"/>
          <w:highlight w:val="none"/>
        </w:rPr>
      </w:pPr>
      <w:r>
        <w:rPr>
          <w:rFonts w:hint="eastAsia" w:ascii="宋体" w:hAnsi="宋体" w:cs="宋体"/>
          <w:color w:val="auto"/>
          <w:szCs w:val="21"/>
          <w:highlight w:val="none"/>
        </w:rPr>
        <w:t>4）企业业绩；</w:t>
      </w:r>
    </w:p>
    <w:p>
      <w:pPr>
        <w:tabs>
          <w:tab w:val="left" w:pos="720"/>
          <w:tab w:val="left" w:pos="5355"/>
        </w:tabs>
        <w:spacing w:line="360" w:lineRule="auto"/>
        <w:ind w:firstLine="421"/>
        <w:textAlignment w:val="baseline"/>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w:t>
      </w:r>
      <w:r>
        <w:rPr>
          <w:rFonts w:hint="eastAsia" w:ascii="宋体" w:hAnsi="宋体" w:cs="宋体"/>
          <w:bCs/>
          <w:color w:val="auto"/>
          <w:kern w:val="28"/>
          <w:sz w:val="21"/>
          <w:szCs w:val="21"/>
          <w:highlight w:val="none"/>
          <w:lang w:val="en-US" w:eastAsia="zh-CN"/>
        </w:rPr>
        <w:t>人员保障</w:t>
      </w:r>
      <w:r>
        <w:rPr>
          <w:rFonts w:hint="eastAsia" w:ascii="宋体" w:hAnsi="宋体" w:cs="宋体"/>
          <w:color w:val="auto"/>
          <w:szCs w:val="21"/>
          <w:highlight w:val="none"/>
        </w:rPr>
        <w:t>【格式见附件】</w:t>
      </w:r>
      <w:r>
        <w:rPr>
          <w:rFonts w:hint="eastAsia" w:ascii="宋体" w:hAnsi="宋体" w:cs="宋体"/>
          <w:bCs/>
          <w:color w:val="auto"/>
          <w:kern w:val="28"/>
          <w:sz w:val="21"/>
          <w:szCs w:val="21"/>
          <w:highlight w:val="none"/>
          <w:lang w:val="en-US" w:eastAsia="zh-CN"/>
        </w:rPr>
        <w:t>；</w:t>
      </w:r>
    </w:p>
    <w:p>
      <w:pPr>
        <w:tabs>
          <w:tab w:val="left" w:pos="720"/>
          <w:tab w:val="left" w:pos="5355"/>
        </w:tabs>
        <w:spacing w:line="360" w:lineRule="auto"/>
        <w:ind w:firstLine="421"/>
        <w:textAlignment w:val="baseline"/>
        <w:rPr>
          <w:rFonts w:ascii="宋体" w:hAnsi="宋体" w:cs="宋体"/>
          <w:color w:val="auto"/>
          <w:sz w:val="20"/>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投标人认为有必要提供的其他文件和说明（格式自拟）。</w:t>
      </w:r>
    </w:p>
    <w:p>
      <w:pPr>
        <w:pStyle w:val="11"/>
        <w:spacing w:line="360" w:lineRule="auto"/>
        <w:ind w:firstLine="42"/>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（2）技术部分</w:t>
      </w:r>
    </w:p>
    <w:p>
      <w:pPr>
        <w:tabs>
          <w:tab w:val="left" w:pos="720"/>
          <w:tab w:val="left" w:pos="5355"/>
        </w:tabs>
        <w:spacing w:line="360" w:lineRule="auto"/>
        <w:ind w:firstLine="420"/>
        <w:textAlignment w:val="baseline"/>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供应商自评表</w:t>
      </w:r>
      <w:r>
        <w:rPr>
          <w:rFonts w:hint="eastAsia" w:ascii="宋体" w:hAnsi="宋体" w:cs="宋体"/>
          <w:color w:val="auto"/>
          <w:szCs w:val="21"/>
          <w:highlight w:val="none"/>
        </w:rPr>
        <w:t>【格式见附件】；</w:t>
      </w:r>
    </w:p>
    <w:p>
      <w:pPr>
        <w:tabs>
          <w:tab w:val="left" w:pos="720"/>
          <w:tab w:val="left" w:pos="5355"/>
        </w:tabs>
        <w:spacing w:line="360" w:lineRule="auto"/>
        <w:ind w:firstLine="420"/>
        <w:textAlignment w:val="baseline"/>
        <w:rPr>
          <w:rFonts w:ascii="宋体" w:hAnsi="宋体" w:cs="宋体"/>
          <w:color w:val="auto"/>
          <w:sz w:val="20"/>
          <w:szCs w:val="21"/>
          <w:highlight w:val="none"/>
        </w:rPr>
      </w:pPr>
      <w:r>
        <w:rPr>
          <w:rFonts w:hint="eastAsia" w:ascii="宋体" w:hAnsi="宋体" w:cs="宋体"/>
          <w:color w:val="auto"/>
          <w:szCs w:val="21"/>
          <w:highlight w:val="none"/>
          <w:lang w:val="en-US" w:eastAsia="zh-CN"/>
        </w:rPr>
        <w:t>2）项目熟悉程度</w:t>
      </w:r>
      <w:r>
        <w:rPr>
          <w:rFonts w:hint="eastAsia" w:ascii="宋体" w:hAnsi="宋体" w:cs="宋体"/>
          <w:color w:val="auto"/>
          <w:szCs w:val="21"/>
          <w:highlight w:val="none"/>
        </w:rPr>
        <w:t>；</w:t>
      </w:r>
    </w:p>
    <w:p>
      <w:pPr>
        <w:spacing w:line="360" w:lineRule="auto"/>
        <w:ind w:firstLine="420"/>
        <w:textAlignment w:val="baseline"/>
        <w:rPr>
          <w:rFonts w:ascii="宋体" w:hAnsi="宋体" w:cs="宋体"/>
          <w:color w:val="auto"/>
          <w:sz w:val="20"/>
          <w:szCs w:val="21"/>
          <w:highlight w:val="none"/>
        </w:rPr>
      </w:pPr>
      <w:r>
        <w:rPr>
          <w:rFonts w:hint="eastAsia" w:ascii="宋体" w:hAnsi="宋体" w:cs="宋体"/>
          <w:color w:val="auto"/>
          <w:szCs w:val="21"/>
          <w:highlight w:val="none"/>
        </w:rPr>
        <w:t>3）</w:t>
      </w:r>
      <w:r>
        <w:rPr>
          <w:rFonts w:hint="eastAsia" w:ascii="宋体" w:hAnsi="宋体" w:eastAsia="宋体" w:cs="宋体"/>
          <w:bCs/>
          <w:color w:val="auto"/>
          <w:kern w:val="28"/>
          <w:sz w:val="21"/>
          <w:szCs w:val="21"/>
          <w:highlight w:val="none"/>
        </w:rPr>
        <w:t>系统整体方案</w:t>
      </w:r>
      <w:r>
        <w:rPr>
          <w:rFonts w:hint="eastAsia" w:ascii="宋体" w:hAnsi="宋体" w:cs="宋体"/>
          <w:color w:val="auto"/>
          <w:szCs w:val="21"/>
          <w:highlight w:val="none"/>
        </w:rPr>
        <w:t>；</w:t>
      </w:r>
    </w:p>
    <w:p>
      <w:pPr>
        <w:tabs>
          <w:tab w:val="left" w:pos="720"/>
          <w:tab w:val="left" w:pos="5355"/>
        </w:tabs>
        <w:spacing w:line="360" w:lineRule="auto"/>
        <w:ind w:firstLine="420"/>
        <w:textAlignment w:val="baseline"/>
        <w:rPr>
          <w:rFonts w:ascii="宋体" w:hAnsi="宋体" w:cs="宋体"/>
          <w:color w:val="auto"/>
          <w:sz w:val="20"/>
          <w:szCs w:val="21"/>
          <w:highlight w:val="none"/>
        </w:rPr>
      </w:pPr>
      <w:r>
        <w:rPr>
          <w:rFonts w:hint="eastAsia" w:ascii="宋体" w:hAnsi="宋体" w:cs="宋体"/>
          <w:color w:val="auto"/>
          <w:szCs w:val="21"/>
          <w:highlight w:val="none"/>
        </w:rPr>
        <w:t>4）偏离表</w:t>
      </w:r>
      <w:r>
        <w:rPr>
          <w:rFonts w:hint="eastAsia" w:ascii="宋体" w:hAnsi="宋体" w:cs="宋体"/>
          <w:color w:val="auto"/>
          <w:szCs w:val="21"/>
          <w:highlight w:val="none"/>
          <w:lang w:eastAsia="zh-CN"/>
        </w:rPr>
        <w:t>，</w:t>
      </w:r>
      <w:r>
        <w:rPr>
          <w:rFonts w:hint="eastAsia" w:ascii="宋体" w:hAnsi="宋体"/>
          <w:color w:val="auto"/>
          <w:sz w:val="21"/>
          <w:szCs w:val="21"/>
          <w:highlight w:val="none"/>
        </w:rPr>
        <w:t>技术指标响应</w:t>
      </w:r>
      <w:r>
        <w:rPr>
          <w:rFonts w:hint="eastAsia" w:ascii="宋体" w:hAnsi="宋体" w:cs="宋体"/>
          <w:color w:val="auto"/>
          <w:szCs w:val="21"/>
          <w:highlight w:val="none"/>
        </w:rPr>
        <w:t>【格式见附件】；</w:t>
      </w:r>
    </w:p>
    <w:p>
      <w:pPr>
        <w:tabs>
          <w:tab w:val="left" w:pos="720"/>
          <w:tab w:val="left" w:pos="5355"/>
        </w:tabs>
        <w:spacing w:line="360" w:lineRule="auto"/>
        <w:ind w:firstLine="420"/>
        <w:textAlignment w:val="baseline"/>
        <w:rPr>
          <w:rFonts w:ascii="宋体" w:hAnsi="宋体" w:cs="宋体"/>
          <w:color w:val="auto"/>
          <w:sz w:val="20"/>
          <w:szCs w:val="21"/>
          <w:highlight w:val="none"/>
        </w:rPr>
      </w:pPr>
      <w:r>
        <w:rPr>
          <w:rFonts w:hint="eastAsia" w:ascii="宋体" w:hAnsi="宋体" w:cs="宋体"/>
          <w:color w:val="auto"/>
          <w:szCs w:val="21"/>
          <w:highlight w:val="none"/>
        </w:rPr>
        <w:t>5）</w:t>
      </w:r>
      <w:r>
        <w:rPr>
          <w:rFonts w:hint="eastAsia" w:ascii="宋体" w:hAnsi="宋体" w:cs="宋体"/>
          <w:color w:val="auto"/>
          <w:kern w:val="2"/>
          <w:sz w:val="21"/>
          <w:szCs w:val="21"/>
          <w:highlight w:val="none"/>
          <w:lang w:val="en-US" w:eastAsia="zh-CN" w:bidi="ar-SA"/>
        </w:rPr>
        <w:t>项目</w:t>
      </w:r>
      <w:r>
        <w:rPr>
          <w:rFonts w:hint="eastAsia" w:ascii="宋体" w:hAnsi="宋体" w:eastAsia="宋体" w:cs="宋体"/>
          <w:color w:val="auto"/>
          <w:kern w:val="2"/>
          <w:sz w:val="21"/>
          <w:szCs w:val="21"/>
          <w:highlight w:val="none"/>
          <w:lang w:val="en-US" w:eastAsia="zh-CN" w:bidi="ar-SA"/>
        </w:rPr>
        <w:t>组织保障</w:t>
      </w:r>
      <w:r>
        <w:rPr>
          <w:rFonts w:hint="eastAsia" w:ascii="宋体" w:hAnsi="宋体" w:cs="宋体"/>
          <w:color w:val="auto"/>
          <w:kern w:val="2"/>
          <w:sz w:val="21"/>
          <w:szCs w:val="21"/>
          <w:highlight w:val="none"/>
          <w:lang w:val="en-US" w:eastAsia="zh-CN" w:bidi="ar-SA"/>
        </w:rPr>
        <w:t>措施</w:t>
      </w:r>
      <w:r>
        <w:rPr>
          <w:rFonts w:hint="eastAsia" w:ascii="宋体" w:hAnsi="宋体" w:cs="宋体"/>
          <w:color w:val="auto"/>
          <w:szCs w:val="21"/>
          <w:highlight w:val="none"/>
        </w:rPr>
        <w:t>；</w:t>
      </w:r>
    </w:p>
    <w:p>
      <w:pPr>
        <w:tabs>
          <w:tab w:val="left" w:pos="720"/>
          <w:tab w:val="left" w:pos="5355"/>
        </w:tabs>
        <w:spacing w:line="360" w:lineRule="auto"/>
        <w:ind w:firstLine="420"/>
        <w:textAlignment w:val="baseline"/>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kern w:val="2"/>
          <w:sz w:val="21"/>
          <w:szCs w:val="21"/>
          <w:highlight w:val="none"/>
          <w:lang w:val="en-US" w:eastAsia="zh-CN" w:bidi="ar-SA"/>
        </w:rPr>
        <w:t>项目进度计划</w:t>
      </w:r>
      <w:r>
        <w:rPr>
          <w:rFonts w:hint="eastAsia" w:ascii="宋体" w:hAnsi="宋体" w:cs="宋体"/>
          <w:color w:val="auto"/>
          <w:szCs w:val="21"/>
          <w:highlight w:val="none"/>
        </w:rPr>
        <w:t>；</w:t>
      </w:r>
    </w:p>
    <w:p>
      <w:pPr>
        <w:tabs>
          <w:tab w:val="left" w:pos="720"/>
          <w:tab w:val="left" w:pos="5355"/>
        </w:tabs>
        <w:spacing w:line="360" w:lineRule="auto"/>
        <w:ind w:firstLine="420"/>
        <w:textAlignment w:val="baseline"/>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kern w:val="0"/>
          <w:sz w:val="21"/>
          <w:szCs w:val="21"/>
          <w:highlight w:val="none"/>
          <w:lang w:val="en-US" w:eastAsia="zh-CN"/>
        </w:rPr>
        <w:t>项目质量管理措施</w:t>
      </w:r>
      <w:r>
        <w:rPr>
          <w:rFonts w:hint="eastAsia" w:ascii="宋体" w:hAnsi="宋体" w:cs="宋体"/>
          <w:color w:val="auto"/>
          <w:szCs w:val="21"/>
          <w:highlight w:val="none"/>
        </w:rPr>
        <w:t>；</w:t>
      </w:r>
    </w:p>
    <w:p>
      <w:pPr>
        <w:tabs>
          <w:tab w:val="left" w:pos="720"/>
          <w:tab w:val="left" w:pos="5355"/>
        </w:tabs>
        <w:spacing w:line="360" w:lineRule="auto"/>
        <w:ind w:firstLine="420"/>
        <w:textAlignment w:val="baseline"/>
        <w:rPr>
          <w:rFonts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rPr>
        <w:t>系统测试方案</w:t>
      </w:r>
      <w:r>
        <w:rPr>
          <w:rFonts w:hint="eastAsia" w:ascii="宋体" w:hAnsi="宋体" w:cs="宋体"/>
          <w:color w:val="auto"/>
          <w:szCs w:val="21"/>
          <w:highlight w:val="none"/>
        </w:rPr>
        <w:t>；</w:t>
      </w:r>
    </w:p>
    <w:p>
      <w:pPr>
        <w:tabs>
          <w:tab w:val="left" w:pos="720"/>
          <w:tab w:val="left" w:pos="5355"/>
        </w:tabs>
        <w:spacing w:line="360" w:lineRule="auto"/>
        <w:ind w:firstLine="420"/>
        <w:textAlignment w:val="baseline"/>
        <w:rPr>
          <w:rFonts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szCs w:val="21"/>
          <w:highlight w:val="none"/>
          <w:lang w:val="en-US" w:eastAsia="zh-CN"/>
        </w:rPr>
        <w:t>培训方案</w:t>
      </w:r>
      <w:r>
        <w:rPr>
          <w:rFonts w:hint="eastAsia" w:ascii="宋体" w:hAnsi="宋体" w:cs="宋体"/>
          <w:color w:val="auto"/>
          <w:szCs w:val="21"/>
          <w:highlight w:val="none"/>
        </w:rPr>
        <w:t>；</w:t>
      </w:r>
    </w:p>
    <w:p>
      <w:pPr>
        <w:tabs>
          <w:tab w:val="left" w:pos="720"/>
          <w:tab w:val="left" w:pos="5355"/>
        </w:tabs>
        <w:spacing w:line="360" w:lineRule="auto"/>
        <w:ind w:firstLine="421"/>
        <w:textAlignment w:val="baseline"/>
        <w:rPr>
          <w:rFonts w:hint="default" w:ascii="宋体" w:hAnsi="宋体" w:cs="宋体"/>
          <w:color w:val="auto"/>
          <w:kern w:val="0"/>
          <w:sz w:val="21"/>
          <w:szCs w:val="21"/>
          <w:highlight w:val="none"/>
          <w:lang w:val="en-US" w:eastAsia="zh-CN"/>
        </w:rPr>
      </w:pPr>
      <w:r>
        <w:rPr>
          <w:rFonts w:hint="eastAsia" w:ascii="宋体" w:hAnsi="宋体" w:cs="宋体"/>
          <w:color w:val="auto"/>
          <w:szCs w:val="21"/>
          <w:highlight w:val="none"/>
        </w:rPr>
        <w:t>10）</w:t>
      </w:r>
      <w:r>
        <w:rPr>
          <w:rFonts w:hint="eastAsia" w:ascii="宋体" w:hAnsi="宋体" w:cs="宋体"/>
          <w:color w:val="auto"/>
          <w:kern w:val="0"/>
          <w:sz w:val="21"/>
          <w:szCs w:val="21"/>
          <w:highlight w:val="none"/>
          <w:lang w:val="en-US" w:eastAsia="zh-CN"/>
        </w:rPr>
        <w:t>售后服务方案；</w:t>
      </w:r>
    </w:p>
    <w:p>
      <w:pPr>
        <w:tabs>
          <w:tab w:val="left" w:pos="720"/>
          <w:tab w:val="left" w:pos="5355"/>
        </w:tabs>
        <w:spacing w:line="360" w:lineRule="auto"/>
        <w:ind w:firstLine="421"/>
        <w:textAlignment w:val="baseline"/>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r>
        <w:rPr>
          <w:rFonts w:hint="eastAsia" w:ascii="宋体" w:hAnsi="宋体" w:cs="宋体"/>
          <w:color w:val="auto"/>
          <w:sz w:val="21"/>
          <w:szCs w:val="21"/>
          <w:highlight w:val="none"/>
          <w:lang w:val="en-US" w:eastAsia="zh-CN"/>
        </w:rPr>
        <w:t>系统演示；</w:t>
      </w:r>
    </w:p>
    <w:p>
      <w:pPr>
        <w:tabs>
          <w:tab w:val="left" w:pos="720"/>
          <w:tab w:val="left" w:pos="5355"/>
        </w:tabs>
        <w:spacing w:line="360" w:lineRule="auto"/>
        <w:ind w:firstLine="421"/>
        <w:textAlignment w:val="baseline"/>
        <w:rPr>
          <w:rFonts w:ascii="宋体" w:hAnsi="宋体" w:cs="宋体"/>
          <w:color w:val="auto"/>
          <w:sz w:val="20"/>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投标人认为有必要提供的其他文件和说明（格式自拟）。</w:t>
      </w:r>
    </w:p>
    <w:p>
      <w:pPr>
        <w:tabs>
          <w:tab w:val="left" w:pos="720"/>
          <w:tab w:val="left" w:pos="5355"/>
        </w:tabs>
        <w:spacing w:line="440" w:lineRule="exact"/>
        <w:ind w:firstLine="422" w:firstLineChars="200"/>
        <w:textAlignment w:val="baseline"/>
        <w:rPr>
          <w:rFonts w:ascii="宋体" w:hAnsi="宋体" w:cs="宋体"/>
          <w:b/>
          <w:color w:val="auto"/>
          <w:sz w:val="20"/>
          <w:szCs w:val="21"/>
          <w:highlight w:val="none"/>
        </w:rPr>
      </w:pPr>
      <w:r>
        <w:rPr>
          <w:rFonts w:hint="eastAsia" w:ascii="宋体" w:hAnsi="宋体" w:cs="宋体"/>
          <w:b/>
          <w:color w:val="auto"/>
          <w:szCs w:val="21"/>
          <w:highlight w:val="none"/>
        </w:rPr>
        <w:t>报价文件：</w:t>
      </w:r>
    </w:p>
    <w:p>
      <w:pPr>
        <w:tabs>
          <w:tab w:val="left" w:pos="720"/>
          <w:tab w:val="left" w:pos="5355"/>
        </w:tabs>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1）磋商报价一览表（首次报价）</w:t>
      </w:r>
    </w:p>
    <w:p>
      <w:pPr>
        <w:tabs>
          <w:tab w:val="left" w:pos="720"/>
          <w:tab w:val="left" w:pos="5355"/>
        </w:tabs>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2）报价明细表（须详细列明本次项目投标报价的组成明细，格式自拟）</w:t>
      </w:r>
    </w:p>
    <w:p>
      <w:pPr>
        <w:tabs>
          <w:tab w:val="left" w:pos="720"/>
          <w:tab w:val="left" w:pos="5355"/>
        </w:tabs>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3）《中小企业声明函》（若有，格式附后）；</w:t>
      </w:r>
    </w:p>
    <w:p>
      <w:pPr>
        <w:tabs>
          <w:tab w:val="left" w:pos="720"/>
          <w:tab w:val="left" w:pos="5355"/>
        </w:tabs>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 xml:space="preserve">4）残疾人福利性单位声明函（若有，格式附后）； </w:t>
      </w:r>
    </w:p>
    <w:p>
      <w:pPr>
        <w:tabs>
          <w:tab w:val="left" w:pos="720"/>
          <w:tab w:val="left" w:pos="5355"/>
        </w:tabs>
        <w:spacing w:line="440" w:lineRule="exact"/>
        <w:ind w:firstLine="420" w:firstLineChars="200"/>
        <w:textAlignment w:val="baseline"/>
        <w:rPr>
          <w:rFonts w:ascii="宋体" w:hAnsi="宋体" w:cs="宋体"/>
          <w:b/>
          <w:color w:val="auto"/>
          <w:szCs w:val="21"/>
          <w:highlight w:val="none"/>
        </w:rPr>
      </w:pPr>
      <w:r>
        <w:rPr>
          <w:rFonts w:hint="eastAsia" w:ascii="宋体" w:hAnsi="宋体" w:cs="宋体"/>
          <w:color w:val="auto"/>
          <w:szCs w:val="21"/>
          <w:highlight w:val="none"/>
        </w:rPr>
        <w:t>5）省级以上监狱管理局、戒毒管理局（含新疆生产建设兵团）出具的属于监狱企业的证明文件复印件（若有）。</w:t>
      </w:r>
    </w:p>
    <w:p>
      <w:pPr>
        <w:tabs>
          <w:tab w:val="left" w:pos="720"/>
          <w:tab w:val="left" w:pos="5355"/>
        </w:tabs>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6）最终报价表；</w:t>
      </w:r>
      <w:r>
        <w:rPr>
          <w:rFonts w:hint="eastAsia" w:ascii="宋体" w:hAnsi="宋体" w:cs="宋体"/>
          <w:b/>
          <w:bCs/>
          <w:color w:val="auto"/>
          <w:highlight w:val="none"/>
        </w:rPr>
        <w:t>（根据系统要求在线填写。）</w:t>
      </w:r>
    </w:p>
    <w:p>
      <w:pPr>
        <w:tabs>
          <w:tab w:val="left" w:pos="720"/>
          <w:tab w:val="left" w:pos="5355"/>
        </w:tabs>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7）磋商供应商针对报价需要说明的其他文件和资料（格式自拟）。</w:t>
      </w:r>
    </w:p>
    <w:p>
      <w:pPr>
        <w:pStyle w:val="11"/>
        <w:spacing w:line="440" w:lineRule="exact"/>
        <w:ind w:left="0" w:firstLine="422" w:firstLineChars="200"/>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4.响应文件的编制格式及说明</w:t>
      </w:r>
    </w:p>
    <w:p>
      <w:pPr>
        <w:pStyle w:val="11"/>
        <w:spacing w:line="440" w:lineRule="exact"/>
        <w:ind w:left="0" w:firstLine="420" w:firstLineChars="200"/>
        <w:textAlignment w:val="baseline"/>
        <w:rPr>
          <w:rFonts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4.1响应文件应包括规定的内容，磋商供应商提交的响应文件应当使用磋商文件所提供的响应文件全部格式（格式可以按同样格式扩展）；未提供响应文件标准格式的，由磋商供应商自行编写：</w:t>
      </w:r>
      <w:r>
        <w:rPr>
          <w:rFonts w:hint="eastAsia" w:ascii="宋体" w:hAnsi="宋体" w:eastAsia="宋体" w:cs="宋体"/>
          <w:b/>
          <w:bCs/>
          <w:color w:val="auto"/>
          <w:sz w:val="21"/>
          <w:szCs w:val="21"/>
          <w:highlight w:val="none"/>
        </w:rPr>
        <w:t>电子响应文件按政采云平台“供应商-政府采购项目电子交易操作指南”及本竞争性磋商要求制作、加密。</w:t>
      </w:r>
    </w:p>
    <w:p>
      <w:pPr>
        <w:pStyle w:val="11"/>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4.2响应文件的纸张采用白色A4纸，格式及字体参照磋商文件提供的表格格式及字体；未提供格式的，标题可采用黑体字，正文采用宋体字；</w:t>
      </w:r>
    </w:p>
    <w:p>
      <w:pPr>
        <w:pStyle w:val="11"/>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4.3响应文件采用纵向装订。</w:t>
      </w:r>
    </w:p>
    <w:p>
      <w:pPr>
        <w:pStyle w:val="11"/>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4.4磋商供应商应在认真阅读磋商文件所有内容的基础上，按照磋商文件的要求编制完整的响应文件，响应文件应按照磋商文件中规定的统一格式填写，严格按照规定的顺序装订成册并编制目录，混乱的编排或未按磋商文件所提供的统一格式编写与漏写而导致响应文件被误读或查找不到有效文件是磋商供应商的风险。</w:t>
      </w:r>
    </w:p>
    <w:p>
      <w:pPr>
        <w:pStyle w:val="11"/>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4.5磋商供应商必须保证响应文件所提供的全部资料真实可靠，并接受对其中任何资料进一步审查的要求。</w:t>
      </w:r>
    </w:p>
    <w:p>
      <w:pPr>
        <w:pStyle w:val="11"/>
        <w:spacing w:line="440" w:lineRule="exact"/>
        <w:ind w:left="42" w:leftChars="20" w:firstLine="422" w:firstLineChars="200"/>
        <w:textAlignment w:val="baseline"/>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5.投标报价</w:t>
      </w:r>
    </w:p>
    <w:p>
      <w:pPr>
        <w:tabs>
          <w:tab w:val="left" w:pos="540"/>
        </w:tabs>
        <w:spacing w:line="440" w:lineRule="exact"/>
        <w:ind w:firstLine="420"/>
        <w:textAlignment w:val="baseline"/>
        <w:rPr>
          <w:rFonts w:ascii="宋体" w:hAnsi="宋体" w:cs="宋体"/>
          <w:color w:val="auto"/>
          <w:szCs w:val="21"/>
          <w:highlight w:val="none"/>
        </w:rPr>
      </w:pPr>
      <w:r>
        <w:rPr>
          <w:rFonts w:hint="eastAsia" w:ascii="宋体" w:hAnsi="宋体" w:cs="宋体"/>
          <w:color w:val="auto"/>
          <w:szCs w:val="21"/>
          <w:highlight w:val="none"/>
        </w:rPr>
        <w:t xml:space="preserve">▲ 5.1  </w:t>
      </w:r>
      <w:r>
        <w:rPr>
          <w:rFonts w:hint="eastAsia" w:ascii="宋体" w:hAnsi="宋体" w:cs="宋体"/>
          <w:b/>
          <w:bCs/>
          <w:color w:val="auto"/>
          <w:kern w:val="0"/>
          <w:szCs w:val="21"/>
          <w:highlight w:val="none"/>
          <w:u w:val="single" w:color="000000"/>
        </w:rPr>
        <w:t>本次报价非一次性报价，在磋商后根据磋商情况（包括细化采购方案和要求，增补部分采购内容等），供应商须进行最终报价</w:t>
      </w:r>
      <w:r>
        <w:rPr>
          <w:rFonts w:hint="eastAsia" w:ascii="宋体" w:hAnsi="宋体" w:cs="宋体"/>
          <w:b/>
          <w:bCs/>
          <w:color w:val="auto"/>
          <w:kern w:val="0"/>
          <w:szCs w:val="21"/>
          <w:highlight w:val="none"/>
        </w:rPr>
        <w:t>。</w:t>
      </w:r>
      <w:r>
        <w:rPr>
          <w:rFonts w:hint="eastAsia" w:ascii="宋体" w:hAnsi="宋体" w:cs="宋体"/>
          <w:color w:val="auto"/>
          <w:szCs w:val="21"/>
          <w:highlight w:val="none"/>
        </w:rPr>
        <w:t>本服务项目采用总价合同，中标（成交）供应商的投标报价是履行合同的最终价格，报价应包括完成合同所涉及的全部内容，包含但不仅限于所需系统的设计、开发、优化、安装、平台对接、上线调试、试运行管理、等保测评、技术培训、验收配合、第三方检测（如需)、售后服务以及完成采购需求所涉及的其他一切内容，以及中标后中标供应商因本项目合同履行产生的税金、人工、管理、合理利润等一切成本及费用（以上所有费用包含在综合单价中，不另列）。</w:t>
      </w:r>
    </w:p>
    <w:p>
      <w:pPr>
        <w:tabs>
          <w:tab w:val="left" w:pos="540"/>
        </w:tabs>
        <w:spacing w:line="440" w:lineRule="exact"/>
        <w:ind w:firstLine="420"/>
        <w:textAlignment w:val="baseline"/>
        <w:rPr>
          <w:rFonts w:ascii="宋体" w:hAnsi="宋体" w:cs="宋体"/>
          <w:color w:val="auto"/>
          <w:sz w:val="20"/>
          <w:szCs w:val="21"/>
          <w:highlight w:val="none"/>
        </w:rPr>
      </w:pPr>
      <w:r>
        <w:rPr>
          <w:rFonts w:hint="eastAsia" w:ascii="宋体" w:hAnsi="宋体" w:cs="宋体"/>
          <w:color w:val="auto"/>
          <w:szCs w:val="21"/>
          <w:highlight w:val="none"/>
        </w:rPr>
        <w:t>5.2投标相关报价明细表填写时应详细注明该表列举的费用及分项清单。</w:t>
      </w:r>
    </w:p>
    <w:p>
      <w:pPr>
        <w:tabs>
          <w:tab w:val="left" w:pos="540"/>
        </w:tabs>
        <w:spacing w:line="440" w:lineRule="exact"/>
        <w:ind w:firstLine="420"/>
        <w:textAlignment w:val="baseline"/>
        <w:rPr>
          <w:rFonts w:ascii="宋体" w:hAnsi="宋体" w:cs="宋体"/>
          <w:color w:val="auto"/>
          <w:sz w:val="20"/>
          <w:szCs w:val="21"/>
          <w:highlight w:val="none"/>
        </w:rPr>
      </w:pPr>
      <w:r>
        <w:rPr>
          <w:rFonts w:hint="eastAsia" w:ascii="宋体" w:hAnsi="宋体" w:cs="宋体"/>
          <w:color w:val="auto"/>
          <w:szCs w:val="21"/>
          <w:highlight w:val="none"/>
        </w:rPr>
        <w:t>5.3磋商供应商必须按第六章响应文件格式中的开标一览表（统一格式）的内容填写价格、及其他事项，并由法定代表人或授权代表签署。</w:t>
      </w:r>
    </w:p>
    <w:p>
      <w:pPr>
        <w:tabs>
          <w:tab w:val="left" w:pos="540"/>
        </w:tabs>
        <w:spacing w:line="440" w:lineRule="exact"/>
        <w:textAlignment w:val="baseline"/>
        <w:rPr>
          <w:rFonts w:ascii="宋体" w:hAnsi="宋体" w:cs="宋体"/>
          <w:b/>
          <w:color w:val="auto"/>
          <w:sz w:val="20"/>
          <w:szCs w:val="21"/>
          <w:highlight w:val="none"/>
        </w:rPr>
      </w:pPr>
      <w:r>
        <w:rPr>
          <w:rFonts w:hint="eastAsia" w:ascii="宋体" w:hAnsi="宋体" w:cs="宋体"/>
          <w:color w:val="auto"/>
          <w:szCs w:val="21"/>
          <w:highlight w:val="none"/>
        </w:rPr>
        <w:t xml:space="preserve">    5.4所有投标均以人民币报价。</w:t>
      </w:r>
    </w:p>
    <w:p>
      <w:pPr>
        <w:tabs>
          <w:tab w:val="left" w:pos="540"/>
        </w:tabs>
        <w:spacing w:line="440" w:lineRule="exact"/>
        <w:textAlignment w:val="baseline"/>
        <w:rPr>
          <w:rFonts w:ascii="宋体" w:hAnsi="宋体" w:cs="宋体"/>
          <w:b/>
          <w:color w:val="auto"/>
          <w:sz w:val="20"/>
          <w:szCs w:val="21"/>
          <w:highlight w:val="none"/>
        </w:rPr>
      </w:pPr>
      <w:r>
        <w:rPr>
          <w:rFonts w:hint="eastAsia" w:ascii="宋体" w:hAnsi="宋体" w:cs="宋体"/>
          <w:b/>
          <w:color w:val="auto"/>
          <w:szCs w:val="21"/>
          <w:highlight w:val="none"/>
        </w:rPr>
        <w:t xml:space="preserve">    5.5采购人不接受任何选择报价，投标单位只允许有一个有效报价。</w:t>
      </w:r>
    </w:p>
    <w:p>
      <w:pPr>
        <w:pStyle w:val="11"/>
        <w:spacing w:line="440" w:lineRule="exact"/>
        <w:ind w:left="0" w:firstLine="422" w:firstLineChars="200"/>
        <w:textAlignment w:val="baseline"/>
        <w:rPr>
          <w:rFonts w:ascii="宋体" w:hAnsi="宋体" w:eastAsia="宋体" w:cs="宋体"/>
          <w:b/>
          <w:color w:val="auto"/>
          <w:sz w:val="21"/>
          <w:szCs w:val="21"/>
          <w:highlight w:val="none"/>
        </w:rPr>
      </w:pPr>
      <w:bookmarkStart w:id="39" w:name="_Toc241404202"/>
      <w:bookmarkStart w:id="40" w:name="_Toc245722281"/>
      <w:bookmarkStart w:id="41" w:name="_Toc262049418"/>
      <w:bookmarkStart w:id="42" w:name="_Toc262105503"/>
      <w:bookmarkStart w:id="43" w:name="_Toc239145354"/>
      <w:bookmarkStart w:id="44" w:name="_Toc249758864"/>
      <w:bookmarkStart w:id="45" w:name="_Toc221423619"/>
      <w:bookmarkStart w:id="46" w:name="_Toc221356951"/>
      <w:bookmarkStart w:id="47" w:name="_Toc223715998"/>
      <w:bookmarkStart w:id="48" w:name="_Toc410031816"/>
      <w:bookmarkStart w:id="49" w:name="_Toc245191314"/>
      <w:bookmarkStart w:id="50" w:name="_Toc249758712"/>
      <w:bookmarkStart w:id="51" w:name="_Toc222114879"/>
      <w:bookmarkStart w:id="52" w:name="_Toc221374626"/>
      <w:bookmarkStart w:id="53" w:name="_Toc221356887"/>
      <w:bookmarkStart w:id="54" w:name="_Toc246261265"/>
      <w:r>
        <w:rPr>
          <w:rFonts w:hint="eastAsia" w:ascii="宋体" w:hAnsi="宋体" w:eastAsia="宋体" w:cs="宋体"/>
          <w:b/>
          <w:color w:val="auto"/>
          <w:sz w:val="21"/>
          <w:szCs w:val="21"/>
          <w:highlight w:val="none"/>
        </w:rPr>
        <w:t>6.响应文件的格式和顺序</w:t>
      </w:r>
    </w:p>
    <w:p>
      <w:pPr>
        <w:snapToGrid w:val="0"/>
        <w:spacing w:line="440" w:lineRule="exact"/>
        <w:ind w:firstLine="422" w:firstLineChars="200"/>
        <w:textAlignment w:val="baseline"/>
        <w:rPr>
          <w:rFonts w:ascii="宋体" w:hAnsi="宋体" w:cs="宋体"/>
          <w:color w:val="auto"/>
          <w:sz w:val="20"/>
          <w:highlight w:val="none"/>
        </w:rPr>
      </w:pPr>
      <w:bookmarkStart w:id="55" w:name="_Toc22960"/>
      <w:r>
        <w:rPr>
          <w:rFonts w:hint="eastAsia" w:ascii="宋体" w:hAnsi="宋体" w:cs="宋体"/>
          <w:b/>
          <w:color w:val="auto"/>
          <w:szCs w:val="21"/>
          <w:highlight w:val="none"/>
        </w:rPr>
        <w:t>电子响应文件</w:t>
      </w:r>
      <w:r>
        <w:rPr>
          <w:rFonts w:hint="eastAsia" w:ascii="宋体" w:hAnsi="宋体" w:cs="宋体"/>
          <w:b/>
          <w:bCs/>
          <w:color w:val="auto"/>
          <w:szCs w:val="21"/>
          <w:highlight w:val="none"/>
        </w:rPr>
        <w:t>按政采云平台“供应商-政府采购项目电子交易操作指南”</w:t>
      </w:r>
      <w:r>
        <w:rPr>
          <w:color w:val="auto"/>
          <w:highlight w:val="none"/>
        </w:rPr>
        <w:fldChar w:fldCharType="begin"/>
      </w:r>
      <w:r>
        <w:rPr>
          <w:color w:val="auto"/>
          <w:highlight w:val="none"/>
        </w:rPr>
        <w:instrText xml:space="preserve"> HYPERLINK "https://help.zcy.gov.cn/web/site_2/2018/12-28/2573.html）及本招标文件规定的格式和顺序编制电子投标文件并进行关联定位。" </w:instrText>
      </w:r>
      <w:r>
        <w:rPr>
          <w:color w:val="auto"/>
          <w:highlight w:val="none"/>
        </w:rPr>
        <w:fldChar w:fldCharType="separate"/>
      </w:r>
      <w:r>
        <w:rPr>
          <w:rStyle w:val="34"/>
          <w:rFonts w:hint="eastAsia" w:ascii="宋体" w:hAnsi="宋体" w:cs="宋体"/>
          <w:b/>
          <w:bCs/>
          <w:color w:val="auto"/>
          <w:szCs w:val="21"/>
          <w:highlight w:val="none"/>
        </w:rPr>
        <w:t>及本竞争性磋商文件规定的格式和顺序编制电子响应文件并进行关联定位。</w:t>
      </w:r>
      <w:r>
        <w:rPr>
          <w:rStyle w:val="34"/>
          <w:rFonts w:hint="eastAsia" w:ascii="宋体" w:hAnsi="宋体" w:cs="宋体"/>
          <w:b/>
          <w:bCs/>
          <w:color w:val="auto"/>
          <w:szCs w:val="21"/>
          <w:highlight w:val="none"/>
        </w:rPr>
        <w:fldChar w:fldCharType="end"/>
      </w:r>
      <w:bookmarkEnd w:id="55"/>
    </w:p>
    <w:p>
      <w:pPr>
        <w:pStyle w:val="11"/>
        <w:spacing w:line="440" w:lineRule="exact"/>
        <w:ind w:left="0" w:firstLine="422" w:firstLineChars="200"/>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7.投标有效期</w:t>
      </w:r>
    </w:p>
    <w:p>
      <w:pPr>
        <w:pStyle w:val="11"/>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7.1投标有效期见本磋商文件中前附表所规定的期限，在此期限内，凡符合磋商文件要求的响应文件均保持有效。</w:t>
      </w:r>
    </w:p>
    <w:p>
      <w:pPr>
        <w:pStyle w:val="11"/>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7.2在特殊情况下，招标采购人在原定投标有效期内，可以根据需要以书面形式向磋商供应商提出延长投标有效期的要求，对此要求磋商供应商须以书面形式予以答复。磋商供应商可以拒绝招标采购人这种要求。同意延长投标有效期的磋商供应商既不能要求也不允许修改其响应文件。</w:t>
      </w:r>
    </w:p>
    <w:p>
      <w:pPr>
        <w:pStyle w:val="6"/>
        <w:keepLines/>
        <w:widowControl w:val="0"/>
        <w:numPr>
          <w:ilvl w:val="2"/>
          <w:numId w:val="0"/>
        </w:numPr>
        <w:spacing w:before="156" w:after="156"/>
        <w:jc w:val="center"/>
        <w:textAlignment w:val="baseline"/>
        <w:rPr>
          <w:rFonts w:ascii="宋体" w:hAnsi="宋体" w:cs="宋体"/>
          <w:b/>
          <w:bCs/>
          <w:color w:val="auto"/>
          <w:kern w:val="2"/>
          <w:sz w:val="32"/>
          <w:szCs w:val="32"/>
          <w:highlight w:val="none"/>
        </w:rPr>
      </w:pPr>
      <w:bookmarkStart w:id="56" w:name="_Toc10667"/>
      <w:r>
        <w:rPr>
          <w:rFonts w:hint="eastAsia" w:ascii="宋体" w:hAnsi="宋体" w:cs="宋体"/>
          <w:b/>
          <w:bCs/>
          <w:color w:val="auto"/>
          <w:kern w:val="2"/>
          <w:sz w:val="32"/>
          <w:szCs w:val="32"/>
          <w:highlight w:val="none"/>
        </w:rPr>
        <w:t>四、投标</w:t>
      </w:r>
      <w:bookmarkEnd w:id="56"/>
    </w:p>
    <w:p>
      <w:pPr>
        <w:pStyle w:val="11"/>
        <w:spacing w:line="440" w:lineRule="exact"/>
        <w:ind w:left="0" w:firstLine="422" w:firstLineChars="200"/>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1.响应文件的提交</w:t>
      </w:r>
    </w:p>
    <w:p>
      <w:pPr>
        <w:widowControl/>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1.1</w:t>
      </w:r>
      <w:r>
        <w:rPr>
          <w:rFonts w:hint="eastAsia" w:ascii="宋体" w:hAnsi="宋体" w:cs="宋体"/>
          <w:b/>
          <w:bCs/>
          <w:color w:val="auto"/>
          <w:kern w:val="0"/>
          <w:szCs w:val="21"/>
          <w:highlight w:val="none"/>
        </w:rPr>
        <w:t>电子加密投标文件：</w:t>
      </w:r>
      <w:r>
        <w:rPr>
          <w:rFonts w:hint="eastAsia" w:ascii="宋体" w:hAnsi="宋体" w:cs="宋体"/>
          <w:color w:val="auto"/>
          <w:kern w:val="0"/>
          <w:szCs w:val="21"/>
          <w:highlight w:val="none"/>
        </w:rPr>
        <w:t>投标人应当于投标文件提交截止时间前</w:t>
      </w:r>
      <w:r>
        <w:rPr>
          <w:rFonts w:hint="eastAsia" w:ascii="宋体" w:hAnsi="宋体" w:cs="宋体"/>
          <w:color w:val="auto"/>
          <w:szCs w:val="21"/>
          <w:highlight w:val="none"/>
        </w:rPr>
        <w:t>通过“政采云电子投标客户端”上传至政采云平台</w:t>
      </w:r>
      <w:r>
        <w:rPr>
          <w:rFonts w:hint="eastAsia" w:ascii="宋体" w:hAnsi="宋体" w:cs="宋体"/>
          <w:color w:val="auto"/>
          <w:kern w:val="0"/>
          <w:szCs w:val="21"/>
          <w:highlight w:val="none"/>
        </w:rPr>
        <w:t>上</w:t>
      </w:r>
      <w:r>
        <w:rPr>
          <w:rFonts w:hint="eastAsia" w:ascii="宋体" w:hAnsi="宋体" w:cs="宋体"/>
          <w:b/>
          <w:bCs/>
          <w:color w:val="auto"/>
          <w:kern w:val="0"/>
          <w:szCs w:val="21"/>
          <w:highlight w:val="none"/>
        </w:rPr>
        <w:t>。（逾期上传的投标文件将被拒收）</w:t>
      </w:r>
    </w:p>
    <w:p>
      <w:pPr>
        <w:widowControl/>
        <w:wordWrap w:val="0"/>
        <w:spacing w:line="360" w:lineRule="auto"/>
        <w:ind w:firstLine="420"/>
        <w:rPr>
          <w:rFonts w:ascii="宋体" w:hAnsi="宋体" w:cs="宋体"/>
          <w:b/>
          <w:bCs/>
          <w:color w:val="auto"/>
          <w:highlight w:val="none"/>
          <w:lang w:val="zh-CN"/>
        </w:rPr>
      </w:pPr>
      <w:r>
        <w:rPr>
          <w:rFonts w:hint="eastAsia" w:ascii="宋体" w:hAnsi="宋体" w:cs="宋体"/>
          <w:color w:val="auto"/>
          <w:kern w:val="0"/>
          <w:szCs w:val="21"/>
          <w:highlight w:val="none"/>
        </w:rPr>
        <w:t>1.2</w:t>
      </w:r>
      <w:r>
        <w:rPr>
          <w:rFonts w:hint="eastAsia" w:ascii="宋体" w:hAnsi="宋体" w:cs="宋体"/>
          <w:b/>
          <w:bCs/>
          <w:color w:val="auto"/>
          <w:kern w:val="0"/>
          <w:szCs w:val="21"/>
          <w:highlight w:val="none"/>
        </w:rPr>
        <w:t>备份投标文件（非强制要求提供）</w:t>
      </w:r>
      <w:r>
        <w:rPr>
          <w:rFonts w:hint="eastAsia" w:ascii="宋体" w:hAnsi="宋体" w:cs="宋体"/>
          <w:color w:val="auto"/>
          <w:kern w:val="0"/>
          <w:szCs w:val="21"/>
          <w:highlight w:val="none"/>
        </w:rPr>
        <w:t>：可在</w:t>
      </w:r>
      <w:r>
        <w:rPr>
          <w:color w:val="auto"/>
          <w:highlight w:val="none"/>
        </w:rPr>
        <w:fldChar w:fldCharType="begin"/>
      </w:r>
      <w:r>
        <w:rPr>
          <w:color w:val="auto"/>
          <w:highlight w:val="none"/>
        </w:rPr>
        <w:instrText xml:space="preserve"> HYPERLINK "mailto:按政采云平台项目采购-电子招投标操作指南制作备份投标文件（后缀名为.bfbs），在开标时间后15分钟内以电子邮件形式递交至采购代理机构邮箱（103874679@qq.com）。" </w:instrText>
      </w:r>
      <w:r>
        <w:rPr>
          <w:color w:val="auto"/>
          <w:highlight w:val="none"/>
        </w:rPr>
        <w:fldChar w:fldCharType="separate"/>
      </w:r>
      <w:r>
        <w:rPr>
          <w:rStyle w:val="34"/>
          <w:rFonts w:hint="eastAsia" w:ascii="宋体" w:hAnsi="宋体" w:cs="宋体"/>
          <w:color w:val="auto"/>
          <w:kern w:val="0"/>
          <w:szCs w:val="21"/>
          <w:highlight w:val="none"/>
          <w:u w:val="none"/>
        </w:rPr>
        <w:t>投标文件提交截止时间前以加密的压缩文件形式（即将压缩文件设置为需要密码才能打开）发送至采购代理机构邮箱</w:t>
      </w:r>
      <w:r>
        <w:rPr>
          <w:rStyle w:val="34"/>
          <w:rFonts w:hint="eastAsia" w:ascii="宋体" w:hAnsi="宋体" w:cs="宋体"/>
          <w:color w:val="auto"/>
          <w:kern w:val="0"/>
          <w:szCs w:val="21"/>
          <w:highlight w:val="none"/>
          <w:u w:val="none"/>
        </w:rPr>
        <w:fldChar w:fldCharType="end"/>
      </w:r>
      <w:r>
        <w:rPr>
          <w:rFonts w:hint="eastAsia" w:ascii="宋体" w:hAnsi="宋体" w:cs="宋体"/>
          <w:color w:val="auto"/>
          <w:kern w:val="0"/>
          <w:szCs w:val="21"/>
          <w:highlight w:val="none"/>
        </w:rPr>
        <w:t>，并在</w:t>
      </w:r>
      <w:r>
        <w:rPr>
          <w:rFonts w:hint="eastAsia" w:ascii="宋体" w:hAnsi="宋体" w:cs="宋体"/>
          <w:color w:val="auto"/>
          <w:highlight w:val="none"/>
          <w:lang w:val="zh-CN"/>
        </w:rPr>
        <w:t>接到在线解密通</w:t>
      </w:r>
      <w:r>
        <w:rPr>
          <w:rFonts w:hint="eastAsia" w:ascii="宋体" w:hAnsi="宋体" w:cs="宋体"/>
          <w:color w:val="auto"/>
          <w:szCs w:val="21"/>
          <w:highlight w:val="none"/>
          <w:lang w:val="zh-CN"/>
        </w:rPr>
        <w:t>知</w:t>
      </w:r>
      <w:r>
        <w:rPr>
          <w:rFonts w:hint="eastAsia" w:ascii="宋体" w:hAnsi="宋体" w:cs="宋体"/>
          <w:color w:val="auto"/>
          <w:highlight w:val="none"/>
          <w:lang w:val="zh-CN"/>
        </w:rPr>
        <w:t>后</w:t>
      </w:r>
      <w:r>
        <w:rPr>
          <w:rFonts w:hint="eastAsia" w:ascii="宋体" w:hAnsi="宋体" w:cs="宋体"/>
          <w:color w:val="auto"/>
          <w:szCs w:val="21"/>
          <w:highlight w:val="none"/>
        </w:rPr>
        <w:t>30</w:t>
      </w:r>
      <w:r>
        <w:rPr>
          <w:rFonts w:hint="eastAsia" w:ascii="宋体" w:hAnsi="宋体" w:cs="宋体"/>
          <w:color w:val="auto"/>
          <w:highlight w:val="none"/>
        </w:rPr>
        <w:t>分钟</w:t>
      </w:r>
      <w:r>
        <w:rPr>
          <w:rFonts w:hint="eastAsia" w:ascii="宋体" w:hAnsi="宋体" w:cs="宋体"/>
          <w:color w:val="auto"/>
          <w:highlight w:val="none"/>
          <w:lang w:val="zh-CN"/>
        </w:rPr>
        <w:t>内发送压缩文件密码至</w:t>
      </w:r>
      <w:r>
        <w:rPr>
          <w:rStyle w:val="34"/>
          <w:rFonts w:hint="eastAsia" w:ascii="宋体" w:hAnsi="宋体" w:cs="宋体"/>
          <w:color w:val="auto"/>
          <w:kern w:val="0"/>
          <w:szCs w:val="21"/>
          <w:highlight w:val="none"/>
          <w:u w:val="none"/>
        </w:rPr>
        <w:t>采购代理机构邮箱（邮箱号码：</w:t>
      </w:r>
      <w:r>
        <w:rPr>
          <w:color w:val="auto"/>
          <w:highlight w:val="none"/>
        </w:rPr>
        <w:fldChar w:fldCharType="begin"/>
      </w:r>
      <w:r>
        <w:rPr>
          <w:color w:val="auto"/>
          <w:highlight w:val="none"/>
        </w:rPr>
        <w:instrText xml:space="preserve"> HYPERLINK "mailto:103874679@qq.com）。" </w:instrText>
      </w:r>
      <w:r>
        <w:rPr>
          <w:color w:val="auto"/>
          <w:highlight w:val="none"/>
        </w:rPr>
        <w:fldChar w:fldCharType="separate"/>
      </w:r>
      <w:r>
        <w:rPr>
          <w:rStyle w:val="34"/>
          <w:rFonts w:hint="eastAsia" w:ascii="宋体" w:hAnsi="宋体" w:cs="宋体"/>
          <w:color w:val="auto"/>
          <w:highlight w:val="none"/>
          <w:u w:val="none"/>
        </w:rPr>
        <w:t>617535062@qq.com）</w:t>
      </w:r>
      <w:r>
        <w:rPr>
          <w:rStyle w:val="34"/>
          <w:rFonts w:hint="eastAsia" w:ascii="宋体" w:hAnsi="宋体" w:cs="宋体"/>
          <w:color w:val="auto"/>
          <w:highlight w:val="none"/>
          <w:u w:val="none"/>
        </w:rPr>
        <w:fldChar w:fldCharType="end"/>
      </w:r>
      <w:r>
        <w:rPr>
          <w:rStyle w:val="34"/>
          <w:rFonts w:hint="eastAsia" w:ascii="宋体" w:hAnsi="宋体" w:cs="宋体"/>
          <w:color w:val="auto"/>
          <w:highlight w:val="none"/>
          <w:u w:val="none"/>
          <w:lang w:val="zh-CN"/>
        </w:rPr>
        <w:t>。</w:t>
      </w:r>
      <w:r>
        <w:rPr>
          <w:rFonts w:hint="eastAsia" w:ascii="宋体" w:hAnsi="宋体" w:cs="宋体"/>
          <w:b/>
          <w:bCs/>
          <w:color w:val="auto"/>
          <w:kern w:val="0"/>
          <w:szCs w:val="21"/>
          <w:highlight w:val="none"/>
        </w:rPr>
        <w:t>（逾期提交的备份投标文件将被拒收）</w:t>
      </w:r>
    </w:p>
    <w:p>
      <w:pPr>
        <w:widowControl/>
        <w:spacing w:line="360" w:lineRule="auto"/>
        <w:ind w:firstLine="420"/>
        <w:rPr>
          <w:rFonts w:ascii="宋体" w:hAnsi="宋体" w:cs="宋体"/>
          <w:b/>
          <w:bCs/>
          <w:color w:val="auto"/>
          <w:highlight w:val="none"/>
          <w:lang w:val="zh-CN"/>
        </w:rPr>
      </w:pPr>
      <w:r>
        <w:rPr>
          <w:rFonts w:hint="eastAsia" w:ascii="宋体" w:hAnsi="宋体" w:cs="宋体"/>
          <w:b/>
          <w:bCs/>
          <w:color w:val="auto"/>
          <w:szCs w:val="21"/>
          <w:highlight w:val="none"/>
          <w:lang w:val="zh-CN"/>
        </w:rPr>
        <w:t>提示：①为确保采购项目顺利实施，投标人可以按照采购文件要求在投标文件提交截止时间前向采购代理机构</w:t>
      </w:r>
      <w:r>
        <w:rPr>
          <w:rFonts w:hint="eastAsia" w:ascii="宋体" w:hAnsi="宋体" w:cs="宋体"/>
          <w:b/>
          <w:bCs/>
          <w:color w:val="auto"/>
          <w:szCs w:val="21"/>
          <w:highlight w:val="none"/>
        </w:rPr>
        <w:t>提交</w:t>
      </w:r>
      <w:r>
        <w:rPr>
          <w:rFonts w:hint="eastAsia" w:ascii="宋体" w:hAnsi="宋体" w:cs="宋体"/>
          <w:b/>
          <w:bCs/>
          <w:color w:val="auto"/>
          <w:szCs w:val="21"/>
          <w:highlight w:val="none"/>
          <w:lang w:val="zh-CN"/>
        </w:rPr>
        <w:t>备份投标文件，但非强制性要求。如</w:t>
      </w:r>
      <w:r>
        <w:rPr>
          <w:rFonts w:hint="eastAsia" w:ascii="宋体" w:hAnsi="宋体" w:cs="宋体"/>
          <w:b/>
          <w:bCs/>
          <w:color w:val="auto"/>
          <w:szCs w:val="21"/>
          <w:highlight w:val="none"/>
        </w:rPr>
        <w:t>在</w:t>
      </w:r>
      <w:r>
        <w:rPr>
          <w:rFonts w:hint="eastAsia" w:ascii="宋体" w:hAnsi="宋体" w:cs="宋体"/>
          <w:b/>
          <w:bCs/>
          <w:color w:val="auto"/>
          <w:szCs w:val="21"/>
          <w:highlight w:val="none"/>
          <w:lang w:val="zh-CN"/>
        </w:rPr>
        <w:t>投标文件提交截止时间前</w:t>
      </w:r>
      <w:r>
        <w:rPr>
          <w:rFonts w:hint="eastAsia" w:ascii="宋体" w:hAnsi="宋体" w:cs="宋体"/>
          <w:b/>
          <w:bCs/>
          <w:color w:val="auto"/>
          <w:szCs w:val="21"/>
          <w:highlight w:val="none"/>
        </w:rPr>
        <w:t>未提交</w:t>
      </w:r>
      <w:r>
        <w:rPr>
          <w:rFonts w:hint="eastAsia" w:ascii="宋体" w:hAnsi="宋体" w:cs="宋体"/>
          <w:b/>
          <w:bCs/>
          <w:color w:val="auto"/>
          <w:szCs w:val="21"/>
          <w:highlight w:val="none"/>
          <w:lang w:val="zh-CN"/>
        </w:rPr>
        <w:t>备份投标文件，因遇电子加密投标文件解密失败等情况造成投标撤回或无效的，其后果由投标人自行承担。</w:t>
      </w:r>
    </w:p>
    <w:p>
      <w:pPr>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rPr>
        <w:t>②</w:t>
      </w:r>
      <w:r>
        <w:rPr>
          <w:rFonts w:hint="eastAsia" w:ascii="宋体" w:hAnsi="宋体" w:cs="宋体"/>
          <w:b/>
          <w:bCs/>
          <w:color w:val="auto"/>
          <w:szCs w:val="21"/>
          <w:highlight w:val="none"/>
          <w:lang w:val="zh-CN"/>
        </w:rPr>
        <w:t>本次采购活动采用电子交易，实行网上交易（非现场方式实施）。投标人代表无需到达现场，但应当准时在线参加开标，直至评审结束，并保证开标、评审过程中采购代理机构能够随时与其代表人取得联系。</w:t>
      </w:r>
    </w:p>
    <w:p>
      <w:pPr>
        <w:pStyle w:val="11"/>
        <w:spacing w:line="440" w:lineRule="exact"/>
        <w:ind w:left="0" w:firstLine="422" w:firstLineChars="200"/>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2.响应文件提交的截止时间</w:t>
      </w:r>
    </w:p>
    <w:p>
      <w:pPr>
        <w:pStyle w:val="11"/>
        <w:spacing w:line="440" w:lineRule="exact"/>
        <w:ind w:left="420" w:firstLine="42"/>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2.1响应文件提交的截止时间见磋商文件投标须知前附表规定。</w:t>
      </w:r>
    </w:p>
    <w:p>
      <w:pPr>
        <w:pStyle w:val="11"/>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2.2招标采购人可按本磋商文件规定以修改补充通知的方式，酌情延长提交响应文件的截止时间。在此情况下，磋商供应商的所有权利和义务以及磋商供应商受制约的截止时间，均以延长后新的投标截止时间为准。</w:t>
      </w:r>
    </w:p>
    <w:p>
      <w:pPr>
        <w:pStyle w:val="11"/>
        <w:spacing w:line="440" w:lineRule="exact"/>
        <w:ind w:left="420" w:firstLine="42"/>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2.3磋商供应商在投标截止时间以后送达的响应文件将被拒绝接受。</w:t>
      </w:r>
    </w:p>
    <w:p>
      <w:pPr>
        <w:pStyle w:val="11"/>
        <w:spacing w:line="440" w:lineRule="exact"/>
        <w:ind w:left="0" w:firstLine="422" w:firstLineChars="200"/>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3.响应文件的补充、修改与撤回</w:t>
      </w:r>
    </w:p>
    <w:p>
      <w:pPr>
        <w:pStyle w:val="11"/>
        <w:spacing w:line="440" w:lineRule="exact"/>
        <w:ind w:left="420" w:leftChars="200" w:firstLine="0" w:firstLineChars="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3.1磋商供应商在提交响应文件以后，在规定的投标截止时间之前，可以补充修改或撤回已提交的响应文件：</w:t>
      </w:r>
    </w:p>
    <w:p>
      <w:pPr>
        <w:pStyle w:val="11"/>
        <w:spacing w:line="440" w:lineRule="exact"/>
        <w:ind w:left="0" w:firstLine="422" w:firstLineChars="200"/>
        <w:textAlignment w:val="baseline"/>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递交响应文件截止时间之前补充或者修改电子响应文件的，应当先行撤回原文件，补充、修改后重新传输递交。</w:t>
      </w:r>
    </w:p>
    <w:p>
      <w:pPr>
        <w:pStyle w:val="11"/>
        <w:spacing w:line="440" w:lineRule="exact"/>
        <w:ind w:left="0" w:firstLine="525" w:firstLineChars="25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3.2在投标截止时间之后，磋商供应商不得补充、修改响应文件。</w:t>
      </w:r>
    </w:p>
    <w:p>
      <w:pPr>
        <w:pStyle w:val="11"/>
        <w:spacing w:line="440" w:lineRule="exact"/>
        <w:ind w:left="0" w:firstLine="525" w:firstLineChars="25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3.3根据磋商文件规定，在投标截止时间之后至磋商供应商在投标声明书中规定的投标有效期满之前的这段时间内，磋商供应商不得撤回其响应文件，否则应当按照本项目采购预算价2%的标准承担因此给采购单位造成的损失的赔偿责任及相应的法律责任。</w:t>
      </w:r>
    </w:p>
    <w:p>
      <w:pPr>
        <w:pStyle w:val="6"/>
        <w:keepLines/>
        <w:widowControl w:val="0"/>
        <w:numPr>
          <w:ilvl w:val="2"/>
          <w:numId w:val="0"/>
        </w:numPr>
        <w:spacing w:before="156" w:after="156"/>
        <w:jc w:val="center"/>
        <w:textAlignment w:val="baseline"/>
        <w:rPr>
          <w:rFonts w:ascii="宋体" w:hAnsi="宋体" w:cs="宋体"/>
          <w:b/>
          <w:bCs/>
          <w:color w:val="auto"/>
          <w:kern w:val="2"/>
          <w:sz w:val="32"/>
          <w:szCs w:val="32"/>
          <w:highlight w:val="none"/>
        </w:rPr>
      </w:pPr>
      <w:bookmarkStart w:id="57" w:name="_Toc582"/>
      <w:r>
        <w:rPr>
          <w:rFonts w:hint="eastAsia" w:ascii="宋体" w:hAnsi="宋体" w:cs="宋体"/>
          <w:b/>
          <w:bCs/>
          <w:color w:val="auto"/>
          <w:kern w:val="2"/>
          <w:sz w:val="32"/>
          <w:szCs w:val="32"/>
          <w:highlight w:val="none"/>
        </w:rPr>
        <w:t>五、开标</w:t>
      </w:r>
      <w:bookmarkEnd w:id="57"/>
    </w:p>
    <w:p>
      <w:pPr>
        <w:pStyle w:val="11"/>
        <w:spacing w:line="440" w:lineRule="exact"/>
        <w:ind w:left="0" w:firstLine="422" w:firstLineChars="200"/>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1.开标</w:t>
      </w:r>
    </w:p>
    <w:p>
      <w:pPr>
        <w:pStyle w:val="11"/>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1.1招标采购人按本磋商文件磋商供应商须知前附表规定的时间和地点公开开标。</w:t>
      </w:r>
    </w:p>
    <w:p>
      <w:pPr>
        <w:pStyle w:val="11"/>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1.2采购代理机构核验出席开标活动现场的相关单位人员身份，并组织其分别登记、签到，无关人员不得进入现场。</w:t>
      </w:r>
    </w:p>
    <w:p>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1.3采购组织机构将按照磋商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pPr>
        <w:pStyle w:val="11"/>
        <w:spacing w:line="440" w:lineRule="exact"/>
        <w:ind w:left="0" w:firstLine="422" w:firstLineChars="200"/>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2.开标程序</w:t>
      </w:r>
    </w:p>
    <w:p>
      <w:pPr>
        <w:pStyle w:val="11"/>
        <w:spacing w:line="440" w:lineRule="exact"/>
        <w:ind w:left="42" w:leftChars="2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2.1主持人宣布投标截止时间，投标截止时间以北京时间为准。</w:t>
      </w:r>
    </w:p>
    <w:p>
      <w:pPr>
        <w:pStyle w:val="16"/>
        <w:snapToGrid w:val="0"/>
        <w:spacing w:line="440" w:lineRule="exact"/>
        <w:ind w:firstLine="422" w:firstLineChars="200"/>
        <w:textAlignment w:val="baseline"/>
        <w:rPr>
          <w:rFonts w:hAnsi="宋体" w:cs="宋体"/>
          <w:b/>
          <w:bCs/>
          <w:color w:val="auto"/>
          <w:highlight w:val="none"/>
        </w:rPr>
      </w:pPr>
      <w:r>
        <w:rPr>
          <w:rFonts w:hint="eastAsia" w:hAnsi="宋体" w:cs="宋体"/>
          <w:b/>
          <w:bCs/>
          <w:color w:val="auto"/>
          <w:highlight w:val="none"/>
        </w:rPr>
        <w:t>2.2 电子投标开标及评审程序</w:t>
      </w:r>
    </w:p>
    <w:p>
      <w:pPr>
        <w:snapToGrid w:val="0"/>
        <w:spacing w:line="440" w:lineRule="exact"/>
        <w:ind w:firstLine="420" w:firstLineChars="200"/>
        <w:textAlignment w:val="baseline"/>
        <w:rPr>
          <w:rFonts w:ascii="宋体" w:hAnsi="宋体" w:cs="宋体"/>
          <w:color w:val="auto"/>
          <w:szCs w:val="21"/>
          <w:highlight w:val="none"/>
        </w:rPr>
      </w:pPr>
      <w:bookmarkStart w:id="58" w:name="_Toc14145"/>
      <w:r>
        <w:rPr>
          <w:rFonts w:hint="eastAsia" w:ascii="宋体" w:hAnsi="宋体" w:cs="宋体"/>
          <w:color w:val="auto"/>
          <w:szCs w:val="21"/>
          <w:highlight w:val="none"/>
        </w:rPr>
        <w:t>1.采购代理机构通过政采云平台向各供应商发出电子加密响应文件【开始解密】通知，由供应商在30分钟内完成响应文件解密。在规定的时间内无法完成“电子加密响应文件”解密的，如已按规定递交了备份响应文件的，将由采购组织机构按“政府采购云平台”操作规范将备份响应文件上传至“政府采购云平台”，上传成功后，“电子加密响应文件”自动失效。</w:t>
      </w:r>
    </w:p>
    <w:p>
      <w:pPr>
        <w:snapToGrid w:val="0"/>
        <w:spacing w:line="44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2.响应文件解密结束，组织供应商签署《政府采购活动现场确认声明书》（格式见第六章附件），声明书扫描件以邮件的形式发送至代理邮箱。</w:t>
      </w:r>
    </w:p>
    <w:p>
      <w:pPr>
        <w:snapToGrid w:val="0"/>
        <w:spacing w:line="44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3.评审小组对各供应商的资格文件进行评审，资格审查结果在政采云系统上公布。若资格审查不合格的，将告知原因并由供应商通过政采云系统签章确认。资格审查不合格的供应商，其商务技术文件及报价文件不进入评审阶段。</w:t>
      </w:r>
    </w:p>
    <w:p>
      <w:pPr>
        <w:snapToGrid w:val="0"/>
        <w:spacing w:line="44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4.评审小组对各供应商的商务技术文件、报价文件进行评审，评审内容包括符合性审查，技术、商务评估及比较等。商务技术文件或报价文件符合性审查不通过的，将告知原因并由供应商通过政采云系统签章确认。</w:t>
      </w:r>
    </w:p>
    <w:p>
      <w:pPr>
        <w:snapToGrid w:val="0"/>
        <w:spacing w:line="44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5.评审小组与各供应商就项目需求、技术人员安排、价格构成等要素分别进行一对一的磋商（采用在线询标方式），磋商轮次由评审小组视情况决定。磋商过程中，评审小组可以根据磋商情况实质性变动采购需求中的技术、商务条款以及合同条款，但不得变动磋商文件中的其他内容。实质性变动的内容，须经采购人代表确认。</w:t>
      </w:r>
    </w:p>
    <w:p>
      <w:pPr>
        <w:snapToGrid w:val="0"/>
        <w:spacing w:line="44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6.对磋商文件作出的实质性变动（如有）是磋商文件的有效组成部分，评审小组将以书面形式同时通知所有参加磋商的供应商。供应商应当按照磋商文件的变动情况和评审小组的要求重新提交响应文件，并由其法定代表人或授权代表签字或者加盖公章。由授权代表签字的，应当附法定代表人授权书。供应商为自然人的，应当由本人签字并附身份证明。</w:t>
      </w:r>
    </w:p>
    <w:p>
      <w:pPr>
        <w:snapToGrid w:val="0"/>
        <w:spacing w:line="44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7.磋商结束后，评审小组对各供应商资信及商务、技术情况进行评分。同时系统开启最后报价填报，各供应商在规定的时间内提交最后报价。规定时间内未提交最后报价的供应商，视为自动放弃报价资格。</w:t>
      </w:r>
    </w:p>
    <w:p>
      <w:pPr>
        <w:snapToGrid w:val="0"/>
        <w:spacing w:line="44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8.系统公布各供应商资信及商务技术评审结果，供应商如对资信、商务、技术评分结果有异议的，应当场提出，相关异议（如有）将由评审小组作出澄清；</w:t>
      </w:r>
    </w:p>
    <w:p>
      <w:pPr>
        <w:snapToGrid w:val="0"/>
        <w:spacing w:line="44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9.采购组织机构协助完成最后报价评分及综合得分计算（报评审小组确认），评审小组编写、签署评审报告，并按综合得分排名由高到低推荐成交候选人；</w:t>
      </w:r>
    </w:p>
    <w:p>
      <w:pPr>
        <w:snapToGrid w:val="0"/>
        <w:spacing w:line="44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10.系统公布最终评审结果，会议结束。</w:t>
      </w:r>
    </w:p>
    <w:p>
      <w:pPr>
        <w:pStyle w:val="11"/>
        <w:spacing w:line="500" w:lineRule="exact"/>
        <w:ind w:left="0"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特别说明：如“政采云”系统对电子化开标及评审程序有调整的，按调整后的程序操作。</w:t>
      </w:r>
    </w:p>
    <w:p>
      <w:pPr>
        <w:pStyle w:val="11"/>
        <w:spacing w:line="500" w:lineRule="exact"/>
        <w:ind w:left="0"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注：本项目采用政采云电子招投标开标及评审程序，采购过程中出现以下情形，导致电子交易平台无法正常运行，或者无法保证电子交易的公平、公正和安全时，采购代理机构可中止电子交易活动：</w:t>
      </w:r>
    </w:p>
    <w:p>
      <w:pPr>
        <w:pStyle w:val="11"/>
        <w:spacing w:line="500" w:lineRule="exact"/>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（一）电子交易平台发生故障而无法登录访问的； </w:t>
      </w:r>
    </w:p>
    <w:p>
      <w:pPr>
        <w:pStyle w:val="11"/>
        <w:spacing w:line="500" w:lineRule="exact"/>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（二）电子交易平台应用或数据库出现错误，不能进行正常操作的；</w:t>
      </w:r>
    </w:p>
    <w:p>
      <w:pPr>
        <w:pStyle w:val="11"/>
        <w:spacing w:line="500" w:lineRule="exact"/>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（三）电子交易平台发现严重安全漏洞，有潜在泄密危险的；</w:t>
      </w:r>
    </w:p>
    <w:p>
      <w:pPr>
        <w:pStyle w:val="11"/>
        <w:spacing w:line="500" w:lineRule="exact"/>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（四）病毒发作导致不能进行正常操作的；</w:t>
      </w:r>
    </w:p>
    <w:p>
      <w:pPr>
        <w:pStyle w:val="11"/>
        <w:spacing w:line="500" w:lineRule="exact"/>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（五）其他无法保证电子交易的公平、公正和安全的情况。</w:t>
      </w:r>
    </w:p>
    <w:p>
      <w:pPr>
        <w:pStyle w:val="11"/>
        <w:spacing w:line="500" w:lineRule="exact"/>
        <w:ind w:left="0"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出现前款规定情形，不影响采购公平、公正性的，采购代理机构可以待上述情形消除后继续组织电子交易活动。</w:t>
      </w:r>
    </w:p>
    <w:p>
      <w:pPr>
        <w:pStyle w:val="6"/>
        <w:keepLines/>
        <w:widowControl w:val="0"/>
        <w:numPr>
          <w:ilvl w:val="2"/>
          <w:numId w:val="0"/>
        </w:numPr>
        <w:spacing w:before="156" w:after="156"/>
        <w:jc w:val="center"/>
        <w:textAlignment w:val="baseline"/>
        <w:rPr>
          <w:rFonts w:ascii="宋体" w:hAnsi="宋体" w:cs="宋体"/>
          <w:b/>
          <w:bCs/>
          <w:color w:val="auto"/>
          <w:kern w:val="2"/>
          <w:sz w:val="32"/>
          <w:szCs w:val="32"/>
          <w:highlight w:val="none"/>
        </w:rPr>
      </w:pPr>
      <w:r>
        <w:rPr>
          <w:rFonts w:hint="eastAsia" w:ascii="宋体" w:hAnsi="宋体" w:cs="宋体"/>
          <w:b/>
          <w:bCs/>
          <w:color w:val="auto"/>
          <w:kern w:val="2"/>
          <w:sz w:val="32"/>
          <w:szCs w:val="32"/>
          <w:highlight w:val="none"/>
        </w:rPr>
        <w:t>六、评标</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8"/>
    </w:p>
    <w:p>
      <w:pPr>
        <w:pStyle w:val="16"/>
        <w:snapToGrid w:val="0"/>
        <w:spacing w:line="440" w:lineRule="exact"/>
        <w:ind w:firstLine="422" w:firstLineChars="200"/>
        <w:textAlignment w:val="baseline"/>
        <w:rPr>
          <w:rFonts w:hAnsi="宋体" w:cs="宋体"/>
          <w:b/>
          <w:color w:val="auto"/>
          <w:highlight w:val="none"/>
        </w:rPr>
      </w:pPr>
      <w:r>
        <w:rPr>
          <w:rFonts w:hint="eastAsia" w:hAnsi="宋体" w:cs="宋体"/>
          <w:b/>
          <w:color w:val="auto"/>
          <w:highlight w:val="none"/>
        </w:rPr>
        <w:t>1.组建磋商小组</w:t>
      </w:r>
    </w:p>
    <w:p>
      <w:pPr>
        <w:pStyle w:val="16"/>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本项目磋商小组由</w:t>
      </w:r>
      <w:r>
        <w:rPr>
          <w:rFonts w:hint="eastAsia" w:hAnsi="宋体" w:cs="宋体"/>
          <w:bCs/>
          <w:color w:val="auto"/>
          <w:kern w:val="0"/>
          <w:highlight w:val="none"/>
        </w:rPr>
        <w:t>共3人组成，其中采购人代表（1名），其余2名从政府采购专家库中随机抽取产生。</w:t>
      </w:r>
    </w:p>
    <w:p>
      <w:pPr>
        <w:pStyle w:val="16"/>
        <w:snapToGrid w:val="0"/>
        <w:spacing w:line="440" w:lineRule="exact"/>
        <w:ind w:firstLine="422" w:firstLineChars="200"/>
        <w:textAlignment w:val="baseline"/>
        <w:rPr>
          <w:rFonts w:hAnsi="宋体" w:cs="宋体"/>
          <w:b/>
          <w:color w:val="auto"/>
          <w:highlight w:val="none"/>
        </w:rPr>
      </w:pPr>
      <w:r>
        <w:rPr>
          <w:rFonts w:hint="eastAsia" w:hAnsi="宋体" w:cs="宋体"/>
          <w:b/>
          <w:color w:val="auto"/>
          <w:highlight w:val="none"/>
        </w:rPr>
        <w:t>2.评标的方式</w:t>
      </w:r>
    </w:p>
    <w:p>
      <w:pPr>
        <w:pStyle w:val="16"/>
        <w:snapToGrid w:val="0"/>
        <w:spacing w:line="440" w:lineRule="exact"/>
        <w:ind w:left="689" w:leftChars="228" w:hanging="210" w:hangingChars="100"/>
        <w:textAlignment w:val="baseline"/>
        <w:rPr>
          <w:rFonts w:hAnsi="宋体" w:cs="宋体"/>
          <w:color w:val="auto"/>
          <w:highlight w:val="none"/>
        </w:rPr>
      </w:pPr>
      <w:r>
        <w:rPr>
          <w:rFonts w:hint="eastAsia" w:hAnsi="宋体" w:cs="宋体"/>
          <w:color w:val="auto"/>
          <w:highlight w:val="none"/>
        </w:rPr>
        <w:t>本项目采用不公开方式评标，评标的依据为磋商文件和响应文件。</w:t>
      </w:r>
    </w:p>
    <w:p>
      <w:pPr>
        <w:pStyle w:val="16"/>
        <w:snapToGrid w:val="0"/>
        <w:spacing w:line="440" w:lineRule="exact"/>
        <w:ind w:firstLine="422" w:firstLineChars="200"/>
        <w:textAlignment w:val="baseline"/>
        <w:rPr>
          <w:rFonts w:hAnsi="宋体" w:cs="宋体"/>
          <w:b/>
          <w:color w:val="auto"/>
          <w:highlight w:val="none"/>
        </w:rPr>
      </w:pPr>
      <w:r>
        <w:rPr>
          <w:rFonts w:hint="eastAsia" w:hAnsi="宋体" w:cs="宋体"/>
          <w:b/>
          <w:bCs/>
          <w:color w:val="auto"/>
          <w:highlight w:val="none"/>
        </w:rPr>
        <w:t>3.评标程序</w:t>
      </w:r>
    </w:p>
    <w:p>
      <w:pPr>
        <w:snapToGrid w:val="0"/>
        <w:spacing w:line="440" w:lineRule="exact"/>
        <w:ind w:firstLine="413" w:firstLineChars="196"/>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rPr>
        <w:t>3.1形式审查</w:t>
      </w:r>
    </w:p>
    <w:p>
      <w:pPr>
        <w:snapToGrid w:val="0"/>
        <w:spacing w:line="440" w:lineRule="exact"/>
        <w:ind w:firstLine="420" w:firstLineChars="200"/>
        <w:textAlignment w:val="baseline"/>
        <w:rPr>
          <w:rFonts w:ascii="宋体" w:hAnsi="宋体" w:cs="宋体"/>
          <w:b/>
          <w:color w:val="auto"/>
          <w:sz w:val="20"/>
          <w:szCs w:val="21"/>
          <w:highlight w:val="none"/>
        </w:rPr>
      </w:pPr>
      <w:r>
        <w:rPr>
          <w:rFonts w:hint="eastAsia" w:ascii="宋体" w:hAnsi="宋体" w:cs="宋体"/>
          <w:color w:val="auto"/>
          <w:szCs w:val="21"/>
          <w:highlight w:val="none"/>
        </w:rPr>
        <w:t>采购人代表和代理机构工作人员协助磋商小组对磋商供应商的响应文件的完整性、合法性等进行审查。</w:t>
      </w:r>
    </w:p>
    <w:p>
      <w:pPr>
        <w:snapToGrid w:val="0"/>
        <w:spacing w:line="440" w:lineRule="exact"/>
        <w:ind w:firstLine="413" w:firstLineChars="196"/>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rPr>
        <w:t>3.2实质审查与比较</w:t>
      </w:r>
    </w:p>
    <w:p>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（1）磋商小组审查响应文件的实质性内容是否符合磋商文件的实质性要求。</w:t>
      </w:r>
    </w:p>
    <w:p>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2）磋商小组将根据磋商供应商的响应文件进行审查、核对,如有疑问,将对磋商供应商进行询标,磋商供应商要向磋商小组澄清有关问题,并最终以书面形式进行答复。磋商供应商代表未到场或者拒绝澄清或者澄清的内容改变了响应文件的实质性内容的，磋商小组有权对该响应文件作出不利于磋商供应商的评判。</w:t>
      </w:r>
    </w:p>
    <w:p>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（3）各磋商供应商的技术分为所有评委的有效评分的算术平均数，资信分由评委统一打分，由代理机构工作人员进行计算复核。</w:t>
      </w:r>
    </w:p>
    <w:p>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（4）代理机构工作人员协助磋商小组根据本项目的评分标准计算各磋商供应商的商务报价得分。</w:t>
      </w:r>
    </w:p>
    <w:p>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（5）磋商小组完成评标后,评委对各部分得分汇总,计算出本项目最终得分、性价比、评标价等。磋商小组按评标原则推荐成交候选供应商同时起草评标报告。</w:t>
      </w:r>
    </w:p>
    <w:p>
      <w:pPr>
        <w:snapToGrid w:val="0"/>
        <w:spacing w:line="440" w:lineRule="exact"/>
        <w:ind w:firstLine="422" w:firstLineChars="200"/>
        <w:textAlignment w:val="baseline"/>
        <w:rPr>
          <w:rFonts w:ascii="宋体" w:hAnsi="宋体" w:cs="宋体"/>
          <w:b/>
          <w:color w:val="auto"/>
          <w:sz w:val="20"/>
          <w:szCs w:val="21"/>
          <w:highlight w:val="none"/>
        </w:rPr>
      </w:pPr>
      <w:r>
        <w:rPr>
          <w:rFonts w:hint="eastAsia" w:ascii="宋体" w:hAnsi="宋体" w:cs="宋体"/>
          <w:b/>
          <w:color w:val="auto"/>
          <w:szCs w:val="21"/>
          <w:highlight w:val="none"/>
        </w:rPr>
        <w:t>4.澄清问题的形式</w:t>
      </w:r>
    </w:p>
    <w:p>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对响应文件中含义不明确、同类问题表述不一致或者有明显文字和计算错误的内容，磋商小组可要求磋商供应商作出必要的澄清、说明或者纠正。磋商供应商的澄清、说明或者补正应当采用书面形式，由其授权代表签字或盖章确认，并不得超出响应文件的范围或者改变响应文件的实质性内容。</w:t>
      </w:r>
    </w:p>
    <w:p>
      <w:pPr>
        <w:pStyle w:val="16"/>
        <w:snapToGrid w:val="0"/>
        <w:spacing w:line="440" w:lineRule="exact"/>
        <w:ind w:firstLine="422" w:firstLineChars="200"/>
        <w:textAlignment w:val="baseline"/>
        <w:rPr>
          <w:rFonts w:hAnsi="宋体" w:cs="宋体"/>
          <w:b/>
          <w:color w:val="auto"/>
          <w:highlight w:val="none"/>
        </w:rPr>
      </w:pPr>
      <w:r>
        <w:rPr>
          <w:rFonts w:hint="eastAsia" w:hAnsi="宋体" w:cs="宋体"/>
          <w:b/>
          <w:color w:val="auto"/>
          <w:highlight w:val="none"/>
        </w:rPr>
        <w:t>5.错误修正</w:t>
      </w:r>
    </w:p>
    <w:p>
      <w:pPr>
        <w:pStyle w:val="16"/>
        <w:snapToGrid w:val="0"/>
        <w:spacing w:line="440" w:lineRule="exact"/>
        <w:ind w:left="689" w:leftChars="228" w:hanging="210" w:hangingChars="100"/>
        <w:textAlignment w:val="baseline"/>
        <w:rPr>
          <w:rFonts w:hAnsi="宋体" w:cs="宋体"/>
          <w:color w:val="auto"/>
          <w:highlight w:val="none"/>
        </w:rPr>
      </w:pPr>
      <w:r>
        <w:rPr>
          <w:rFonts w:hint="eastAsia" w:hAnsi="宋体" w:cs="宋体"/>
          <w:color w:val="auto"/>
          <w:highlight w:val="none"/>
        </w:rPr>
        <w:t>响应文件如果出现计算或表达上的错误，修正错误的原则如下：</w:t>
      </w:r>
    </w:p>
    <w:p>
      <w:pPr>
        <w:pStyle w:val="16"/>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（一）响应文件中开标一览表内容与响应文件中相应内容不一致的，以开标一览表为准；</w:t>
      </w:r>
    </w:p>
    <w:p>
      <w:pPr>
        <w:pStyle w:val="16"/>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（二）大写金额和小写金额不一致的，以大写金额为准；</w:t>
      </w:r>
    </w:p>
    <w:p>
      <w:pPr>
        <w:pStyle w:val="16"/>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（三）单价金额小数点或者百分比有明显错位的，以开标一览表的总价为准，并修改单价；</w:t>
      </w:r>
    </w:p>
    <w:p>
      <w:pPr>
        <w:pStyle w:val="16"/>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（四）总价金额与按单价汇总金额不一致的，以单价金额计算结果为准。</w:t>
      </w:r>
    </w:p>
    <w:p>
      <w:pPr>
        <w:pStyle w:val="16"/>
        <w:snapToGrid w:val="0"/>
        <w:spacing w:line="440" w:lineRule="exact"/>
        <w:ind w:firstLine="422" w:firstLineChars="200"/>
        <w:textAlignment w:val="baseline"/>
        <w:rPr>
          <w:rFonts w:hAnsi="宋体" w:cs="宋体"/>
          <w:b/>
          <w:bCs/>
          <w:color w:val="auto"/>
          <w:highlight w:val="none"/>
        </w:rPr>
      </w:pPr>
      <w:r>
        <w:rPr>
          <w:rFonts w:hint="eastAsia" w:hAnsi="宋体" w:cs="宋体"/>
          <w:b/>
          <w:bCs/>
          <w:color w:val="auto"/>
          <w:highlight w:val="none"/>
        </w:rPr>
        <w:t>同时出现两种以上不一致的，按照前款规定的顺序修正。按上述修正错误的原则及方法调整或修正响应文件的投标报价，磋商供应商同意并签字确认后，调整后的投标报价对磋商供应商具有约束作用。如果磋商供应商不接受修正后的报价，则其投标将作为无效投标处理。</w:t>
      </w:r>
    </w:p>
    <w:p>
      <w:pPr>
        <w:pStyle w:val="16"/>
        <w:tabs>
          <w:tab w:val="left" w:pos="630"/>
        </w:tabs>
        <w:snapToGrid w:val="0"/>
        <w:spacing w:line="440" w:lineRule="exact"/>
        <w:ind w:firstLine="422" w:firstLineChars="200"/>
        <w:textAlignment w:val="baseline"/>
        <w:rPr>
          <w:rFonts w:hAnsi="宋体" w:cs="宋体"/>
          <w:b/>
          <w:color w:val="auto"/>
          <w:highlight w:val="none"/>
        </w:rPr>
      </w:pPr>
      <w:r>
        <w:rPr>
          <w:rFonts w:hint="eastAsia" w:hAnsi="宋体" w:cs="宋体"/>
          <w:b/>
          <w:color w:val="auto"/>
          <w:highlight w:val="none"/>
        </w:rPr>
        <w:t>6.评标原则和评标办法</w:t>
      </w:r>
    </w:p>
    <w:p>
      <w:pPr>
        <w:pStyle w:val="16"/>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6.1评标原则。磋商小组必须公平、公正、客观，不带任何倾向性和启发性；不得向外界透露任何与评标有关的内容；任何单位和个人不得干扰、影响评标的正常进行；磋商小组及有关工作人员不得私下与磋商供应商接触。</w:t>
      </w:r>
    </w:p>
    <w:p>
      <w:pPr>
        <w:pStyle w:val="16"/>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6.2评标办法。本项目评标办法是综合评分法，具体评标内容及评分标准等详见《第五章：评标原则及方法》。</w:t>
      </w:r>
    </w:p>
    <w:p>
      <w:pPr>
        <w:pStyle w:val="16"/>
        <w:tabs>
          <w:tab w:val="left" w:pos="630"/>
        </w:tabs>
        <w:snapToGrid w:val="0"/>
        <w:spacing w:line="440" w:lineRule="exact"/>
        <w:ind w:firstLine="422" w:firstLineChars="200"/>
        <w:textAlignment w:val="baseline"/>
        <w:rPr>
          <w:rFonts w:hAnsi="宋体" w:cs="宋体"/>
          <w:b/>
          <w:color w:val="auto"/>
          <w:highlight w:val="none"/>
        </w:rPr>
      </w:pPr>
      <w:r>
        <w:rPr>
          <w:rFonts w:hint="eastAsia" w:hAnsi="宋体" w:cs="宋体"/>
          <w:b/>
          <w:color w:val="auto"/>
          <w:highlight w:val="none"/>
        </w:rPr>
        <w:t>7.无效标条款</w:t>
      </w:r>
    </w:p>
    <w:p>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7.1开标时，如出现以下情况之一的，则响应文件不予启封或唱标，即使已启封或唱标的，其响应文件仍然无效：</w:t>
      </w:r>
    </w:p>
    <w:p>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（一）响应文件未按磋商文件要求签署、盖章的；</w:t>
      </w:r>
    </w:p>
    <w:p>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（二）不具备磋商文件中规定的资格要求的；</w:t>
      </w:r>
    </w:p>
    <w:p>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（三）报价超过磋商文件中规定的预算金额或者最高限价的；</w:t>
      </w:r>
    </w:p>
    <w:p>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（四）响应文件含有采购人不能接受的附加条件的;</w:t>
      </w:r>
    </w:p>
    <w:p>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bCs/>
          <w:color w:val="auto"/>
          <w:szCs w:val="21"/>
          <w:highlight w:val="none"/>
        </w:rPr>
        <w:t>（五）</w:t>
      </w:r>
      <w:r>
        <w:rPr>
          <w:rFonts w:hint="eastAsia" w:ascii="宋体" w:hAnsi="宋体" w:cs="宋体"/>
          <w:color w:val="auto"/>
          <w:szCs w:val="21"/>
          <w:highlight w:val="none"/>
        </w:rPr>
        <w:t>竞争性磋商文件标注“▲”的条款发生实质性负偏离的；</w:t>
      </w:r>
    </w:p>
    <w:p>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color w:val="auto"/>
          <w:szCs w:val="21"/>
          <w:highlight w:val="none"/>
        </w:rPr>
        <w:t>（六）</w:t>
      </w:r>
      <w:r>
        <w:rPr>
          <w:rFonts w:hint="eastAsia" w:ascii="宋体" w:hAnsi="宋体" w:cs="宋体"/>
          <w:bCs/>
          <w:color w:val="auto"/>
          <w:szCs w:val="21"/>
          <w:highlight w:val="none"/>
        </w:rPr>
        <w:t>法律、法规和磋商文件规定的其他无效情形。</w:t>
      </w:r>
    </w:p>
    <w:p>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7.2有下列情形之一的，视为磋商供应商串通投标，其投标无效：</w:t>
      </w:r>
    </w:p>
    <w:p>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（一）不同磋商供应商的响应文件由同一单位或者个人编制；</w:t>
      </w:r>
    </w:p>
    <w:p>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（二）不同磋商供应商委托同一单位或者个人办理投标事宜；</w:t>
      </w:r>
    </w:p>
    <w:p>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（三）不同磋商供应商的响应文件载明的项目管理成员或者联系人员为同一人；</w:t>
      </w:r>
    </w:p>
    <w:p>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（四）不同磋商供应商的响应文件异常一致或者投标报价呈规律性差异；</w:t>
      </w:r>
    </w:p>
    <w:p>
      <w:pPr>
        <w:snapToGrid w:val="0"/>
        <w:spacing w:line="440" w:lineRule="exact"/>
        <w:ind w:firstLine="422" w:firstLineChars="200"/>
        <w:textAlignment w:val="baseline"/>
        <w:rPr>
          <w:rFonts w:ascii="宋体" w:hAnsi="宋体" w:cs="宋体"/>
          <w:b/>
          <w:color w:val="auto"/>
          <w:sz w:val="20"/>
          <w:szCs w:val="21"/>
          <w:highlight w:val="none"/>
        </w:rPr>
      </w:pPr>
      <w:r>
        <w:rPr>
          <w:rFonts w:hint="eastAsia" w:ascii="宋体" w:hAnsi="宋体" w:cs="宋体"/>
          <w:b/>
          <w:color w:val="auto"/>
          <w:szCs w:val="21"/>
          <w:highlight w:val="none"/>
        </w:rPr>
        <w:t>7.3磋商小组认为磋商供应商的报价明显低于其他通过符合性审查磋商供应商的报价，有可能影响产品质量或者不能诚信履约的，应当要求其在评标现场合理的时间内提供书面说明，必要时提交相关证明材料；磋商供应商不能证明其报价合理性的，磋商小组应当将其作为无效投标处理。</w:t>
      </w:r>
    </w:p>
    <w:p>
      <w:pPr>
        <w:pStyle w:val="16"/>
        <w:snapToGrid w:val="0"/>
        <w:spacing w:line="440" w:lineRule="exact"/>
        <w:ind w:firstLine="422" w:firstLineChars="200"/>
        <w:textAlignment w:val="baseline"/>
        <w:rPr>
          <w:rFonts w:hAnsi="宋体" w:cs="宋体"/>
          <w:b/>
          <w:color w:val="auto"/>
          <w:highlight w:val="none"/>
        </w:rPr>
      </w:pPr>
      <w:r>
        <w:rPr>
          <w:rFonts w:hint="eastAsia" w:hAnsi="宋体" w:cs="宋体"/>
          <w:b/>
          <w:color w:val="auto"/>
          <w:highlight w:val="none"/>
        </w:rPr>
        <w:t>8.终止竞争性磋商采购活动的情形</w:t>
      </w:r>
    </w:p>
    <w:p>
      <w:pPr>
        <w:pStyle w:val="16"/>
        <w:snapToGrid w:val="0"/>
        <w:spacing w:line="440" w:lineRule="exact"/>
        <w:ind w:firstLine="420"/>
        <w:textAlignment w:val="baseline"/>
        <w:rPr>
          <w:rFonts w:hAnsi="宋体" w:cs="宋体"/>
          <w:bCs/>
          <w:color w:val="auto"/>
          <w:highlight w:val="none"/>
        </w:rPr>
      </w:pPr>
      <w:r>
        <w:rPr>
          <w:rFonts w:hint="eastAsia" w:hAnsi="宋体" w:cs="宋体"/>
          <w:bCs/>
          <w:color w:val="auto"/>
          <w:highlight w:val="none"/>
        </w:rPr>
        <w:t>8.1出现下列情形之一的，采购人或采购代理机构应当终止竞争性磋商采购活动，发布项目终止公告并说明原因，重新开展采购活动：</w:t>
      </w:r>
    </w:p>
    <w:p>
      <w:pPr>
        <w:pStyle w:val="16"/>
        <w:numPr>
          <w:ilvl w:val="0"/>
          <w:numId w:val="7"/>
        </w:numPr>
        <w:snapToGrid w:val="0"/>
        <w:spacing w:line="440" w:lineRule="exact"/>
        <w:ind w:firstLine="420"/>
        <w:textAlignment w:val="baseline"/>
        <w:rPr>
          <w:rFonts w:hAnsi="宋体" w:cs="宋体"/>
          <w:bCs/>
          <w:color w:val="auto"/>
          <w:highlight w:val="none"/>
        </w:rPr>
      </w:pPr>
      <w:r>
        <w:rPr>
          <w:rFonts w:hint="eastAsia" w:hAnsi="宋体" w:cs="宋体"/>
          <w:bCs/>
          <w:color w:val="auto"/>
          <w:highlight w:val="none"/>
        </w:rPr>
        <w:t>因情况变化，不再符合规定的竞争性磋商采购方式适用情形的；</w:t>
      </w:r>
    </w:p>
    <w:p>
      <w:pPr>
        <w:pStyle w:val="16"/>
        <w:numPr>
          <w:ilvl w:val="0"/>
          <w:numId w:val="7"/>
        </w:numPr>
        <w:snapToGrid w:val="0"/>
        <w:spacing w:line="440" w:lineRule="exact"/>
        <w:ind w:firstLine="420"/>
        <w:textAlignment w:val="baseline"/>
        <w:rPr>
          <w:rFonts w:hAnsi="宋体" w:cs="宋体"/>
          <w:bCs/>
          <w:color w:val="auto"/>
          <w:highlight w:val="none"/>
        </w:rPr>
      </w:pPr>
      <w:r>
        <w:rPr>
          <w:rFonts w:hint="eastAsia" w:hAnsi="宋体" w:cs="宋体"/>
          <w:bCs/>
          <w:color w:val="auto"/>
          <w:highlight w:val="none"/>
        </w:rPr>
        <w:t>出现影响采购公正的违法、违规行为的；</w:t>
      </w:r>
    </w:p>
    <w:p>
      <w:pPr>
        <w:pStyle w:val="16"/>
        <w:numPr>
          <w:ilvl w:val="0"/>
          <w:numId w:val="7"/>
        </w:numPr>
        <w:snapToGrid w:val="0"/>
        <w:spacing w:line="440" w:lineRule="exact"/>
        <w:ind w:firstLine="420"/>
        <w:textAlignment w:val="baseline"/>
        <w:rPr>
          <w:rFonts w:hAnsi="宋体" w:cs="宋体"/>
          <w:b/>
          <w:color w:val="auto"/>
          <w:highlight w:val="none"/>
        </w:rPr>
      </w:pPr>
      <w:r>
        <w:rPr>
          <w:rFonts w:hint="eastAsia" w:hAnsi="宋体" w:cs="宋体"/>
          <w:b/>
          <w:color w:val="auto"/>
          <w:highlight w:val="none"/>
        </w:rPr>
        <w:t>根据《财政部关于政府采购竞争性磋商采购方式管理暂行办法有关问题的补充通知》（财库【2015】124号）采用竞争性磋商采购方式的政府购买服务项目在采购过程中符合要求的供应商只有2家的，竞争性磋商采购活动可以继续进行。采购过程中符合要求的供应商只有1家的，采购人终止竞争性磋商采购活动。</w:t>
      </w:r>
    </w:p>
    <w:p>
      <w:pPr>
        <w:pStyle w:val="16"/>
        <w:snapToGrid w:val="0"/>
        <w:spacing w:line="440" w:lineRule="exact"/>
        <w:ind w:firstLine="422" w:firstLineChars="200"/>
        <w:textAlignment w:val="baseline"/>
        <w:rPr>
          <w:rFonts w:hAnsi="宋体" w:cs="宋体"/>
          <w:b/>
          <w:color w:val="auto"/>
          <w:highlight w:val="none"/>
        </w:rPr>
      </w:pPr>
      <w:r>
        <w:rPr>
          <w:rFonts w:hint="eastAsia" w:hAnsi="宋体" w:cs="宋体"/>
          <w:b/>
          <w:color w:val="auto"/>
          <w:highlight w:val="none"/>
        </w:rPr>
        <w:t>9.评标过程的监控</w:t>
      </w:r>
    </w:p>
    <w:p>
      <w:pPr>
        <w:pStyle w:val="16"/>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本项目评标过程实行全程录音、录像监控，磋商供应商在评标过程中所进行的试图影响评标结果的不公正活动，可能导致其投标被拒绝。</w:t>
      </w:r>
    </w:p>
    <w:p>
      <w:pPr>
        <w:pStyle w:val="6"/>
        <w:numPr>
          <w:ilvl w:val="0"/>
          <w:numId w:val="0"/>
        </w:numPr>
        <w:spacing w:before="156" w:after="156"/>
        <w:jc w:val="center"/>
        <w:textAlignment w:val="baseline"/>
        <w:rPr>
          <w:rFonts w:ascii="宋体" w:hAnsi="宋体" w:cs="宋体"/>
          <w:b/>
          <w:bCs/>
          <w:color w:val="auto"/>
          <w:sz w:val="32"/>
          <w:szCs w:val="32"/>
          <w:highlight w:val="none"/>
        </w:rPr>
      </w:pPr>
      <w:bookmarkStart w:id="59" w:name="_Toc21143"/>
      <w:r>
        <w:rPr>
          <w:rFonts w:hint="eastAsia" w:ascii="宋体" w:hAnsi="宋体" w:cs="宋体"/>
          <w:b/>
          <w:bCs/>
          <w:color w:val="auto"/>
          <w:sz w:val="32"/>
          <w:szCs w:val="32"/>
          <w:highlight w:val="none"/>
        </w:rPr>
        <w:t>七、定标</w:t>
      </w:r>
      <w:bookmarkEnd w:id="59"/>
    </w:p>
    <w:p>
      <w:pPr>
        <w:pStyle w:val="16"/>
        <w:snapToGrid w:val="0"/>
        <w:spacing w:line="440" w:lineRule="exact"/>
        <w:ind w:firstLine="422" w:firstLineChars="200"/>
        <w:textAlignment w:val="baseline"/>
        <w:rPr>
          <w:rFonts w:hAnsi="宋体" w:cs="宋体"/>
          <w:b/>
          <w:bCs/>
          <w:color w:val="auto"/>
          <w:highlight w:val="none"/>
        </w:rPr>
      </w:pPr>
      <w:r>
        <w:rPr>
          <w:rFonts w:hint="eastAsia" w:hAnsi="宋体" w:cs="宋体"/>
          <w:b/>
          <w:bCs/>
          <w:color w:val="auto"/>
          <w:highlight w:val="none"/>
        </w:rPr>
        <w:t>1.确定中标单位</w:t>
      </w:r>
    </w:p>
    <w:p>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1.1采购代理机构在评标结束后2个工作日内将评标报告交采购人确认。</w:t>
      </w:r>
    </w:p>
    <w:p>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1.2磋商供应商对评标结果无异议的，采购人应在收到评标报告后5个工作日内对评标结果进行确认。如有磋商供应商对评标结果提出质疑的，采购人可在质疑处理完毕后确定中标单位。</w:t>
      </w:r>
    </w:p>
    <w:p>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1.3采购人依法确定中标单位后2个工作日内，在</w:t>
      </w:r>
      <w:r>
        <w:rPr>
          <w:rFonts w:hint="eastAsia" w:ascii="宋体" w:hAnsi="宋体" w:cs="宋体"/>
          <w:color w:val="auto"/>
          <w:spacing w:val="-4"/>
          <w:highlight w:val="none"/>
        </w:rPr>
        <w:t>常山县公共资源交易网、浙江政府采购网上</w:t>
      </w:r>
      <w:r>
        <w:rPr>
          <w:rFonts w:hint="eastAsia" w:ascii="宋体" w:hAnsi="宋体" w:cs="宋体"/>
          <w:color w:val="auto"/>
          <w:szCs w:val="21"/>
          <w:highlight w:val="none"/>
        </w:rPr>
        <w:t>公告中标结果，同时采购人或采购代理机构应当向中标人以书面形式发出《中标通知书》。</w:t>
      </w:r>
    </w:p>
    <w:p>
      <w:pPr>
        <w:pStyle w:val="6"/>
        <w:keepLines/>
        <w:widowControl w:val="0"/>
        <w:numPr>
          <w:ilvl w:val="2"/>
          <w:numId w:val="0"/>
        </w:numPr>
        <w:spacing w:before="156" w:after="156" w:line="440" w:lineRule="exact"/>
        <w:jc w:val="center"/>
        <w:textAlignment w:val="baseline"/>
        <w:rPr>
          <w:rFonts w:ascii="宋体" w:hAnsi="宋体" w:cs="宋体"/>
          <w:b/>
          <w:bCs/>
          <w:color w:val="auto"/>
          <w:sz w:val="32"/>
          <w:szCs w:val="32"/>
          <w:highlight w:val="none"/>
        </w:rPr>
      </w:pPr>
      <w:bookmarkStart w:id="60" w:name="_Toc11700"/>
      <w:bookmarkStart w:id="61" w:name="_Toc18706"/>
      <w:r>
        <w:rPr>
          <w:rFonts w:hint="eastAsia" w:ascii="宋体" w:hAnsi="宋体" w:cs="宋体"/>
          <w:b/>
          <w:bCs/>
          <w:color w:val="auto"/>
          <w:sz w:val="32"/>
          <w:szCs w:val="32"/>
          <w:highlight w:val="none"/>
        </w:rPr>
        <w:t>八、合同授予</w:t>
      </w:r>
      <w:bookmarkEnd w:id="60"/>
      <w:bookmarkEnd w:id="61"/>
    </w:p>
    <w:p>
      <w:pPr>
        <w:snapToGrid w:val="0"/>
        <w:spacing w:line="440" w:lineRule="exact"/>
        <w:ind w:firstLine="422" w:firstLineChars="200"/>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rPr>
        <w:t>1.签订合同</w:t>
      </w:r>
    </w:p>
    <w:p>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1.1中标通知书于中标公告发布之日签发，中标人应于中标结果公告发布之日起两个工作日内，凭法定代表人（负责人）授权委托书及被授权人身份证原件至浙江衢州公信工程管理有限公司领取中标通知书，逾期领取的后果自负。中标人与采购单位须在中标结果公告发出两个工作日后的三十天内签订合同。《中标通知书》一经发出即发生法律效力。采购单位无义务向未中标人解释落选原因，不退回投标文件。《中标通知书》作为签订合同的重要依据，对采购单位和中标人具有法律效力。采购单位改变中标结果或者中标人放弃中标项目的都应承担法律责任。</w:t>
      </w:r>
    </w:p>
    <w:p>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1.2中标人拖延、拒签合同的,应当按照本项目采购预算价2%的标准承担因此给采购单位造成的损失的赔偿责任及相应的法律责任。</w:t>
      </w:r>
    </w:p>
    <w:p>
      <w:pPr>
        <w:rPr>
          <w:rFonts w:ascii="宋体" w:hAnsi="宋体" w:cs="宋体"/>
          <w:b/>
          <w:bCs/>
          <w:color w:val="auto"/>
          <w:sz w:val="32"/>
          <w:szCs w:val="32"/>
          <w:highlight w:val="none"/>
        </w:rPr>
      </w:pPr>
      <w:bookmarkStart w:id="62" w:name="_Toc16691"/>
      <w:bookmarkStart w:id="63" w:name="_Toc16204"/>
      <w:r>
        <w:rPr>
          <w:rFonts w:ascii="宋体" w:hAnsi="宋体" w:cs="宋体"/>
          <w:b/>
          <w:bCs/>
          <w:color w:val="auto"/>
          <w:sz w:val="32"/>
          <w:szCs w:val="32"/>
          <w:highlight w:val="none"/>
        </w:rPr>
        <w:br w:type="page"/>
      </w:r>
    </w:p>
    <w:bookmarkEnd w:id="62"/>
    <w:bookmarkEnd w:id="63"/>
    <w:p>
      <w:pPr>
        <w:pStyle w:val="26"/>
        <w:spacing w:line="360" w:lineRule="auto"/>
        <w:textAlignment w:val="baseline"/>
        <w:outlineLvl w:val="0"/>
        <w:rPr>
          <w:rFonts w:ascii="宋体" w:hAnsi="宋体" w:cs="宋体"/>
          <w:bCs/>
          <w:color w:val="auto"/>
          <w:kern w:val="2"/>
          <w:sz w:val="32"/>
          <w:szCs w:val="32"/>
          <w:highlight w:val="none"/>
          <w:lang w:val="zh-CN" w:eastAsia="zh-CN"/>
        </w:rPr>
      </w:pPr>
      <w:bookmarkStart w:id="64" w:name="_Toc18498_WPSOffice_Level1"/>
      <w:bookmarkStart w:id="65" w:name="_Toc5684"/>
      <w:bookmarkStart w:id="66" w:name="_Toc26093"/>
      <w:bookmarkStart w:id="67" w:name="_Toc487209066"/>
      <w:r>
        <w:rPr>
          <w:rFonts w:hint="eastAsia" w:ascii="宋体" w:hAnsi="宋体" w:cs="宋体"/>
          <w:bCs/>
          <w:color w:val="auto"/>
          <w:kern w:val="2"/>
          <w:sz w:val="32"/>
          <w:szCs w:val="32"/>
          <w:highlight w:val="none"/>
          <w:lang w:eastAsia="zh-CN"/>
        </w:rPr>
        <w:t xml:space="preserve">第三章  </w:t>
      </w:r>
      <w:r>
        <w:rPr>
          <w:rFonts w:hint="eastAsia" w:ascii="宋体" w:hAnsi="宋体" w:cs="宋体"/>
          <w:bCs/>
          <w:color w:val="auto"/>
          <w:kern w:val="2"/>
          <w:sz w:val="32"/>
          <w:szCs w:val="32"/>
          <w:highlight w:val="none"/>
          <w:lang w:val="zh-CN" w:eastAsia="zh-CN"/>
        </w:rPr>
        <w:t>采购内容及要求</w:t>
      </w:r>
      <w:bookmarkEnd w:id="64"/>
      <w:bookmarkEnd w:id="65"/>
      <w:bookmarkEnd w:id="66"/>
      <w:bookmarkEnd w:id="67"/>
    </w:p>
    <w:p>
      <w:pPr>
        <w:pStyle w:val="6"/>
        <w:keepLines/>
        <w:widowControl w:val="0"/>
        <w:numPr>
          <w:ilvl w:val="2"/>
          <w:numId w:val="0"/>
        </w:numPr>
        <w:spacing w:before="156" w:after="156"/>
        <w:jc w:val="center"/>
        <w:textAlignment w:val="baseline"/>
        <w:rPr>
          <w:rFonts w:hint="eastAsia" w:ascii="宋体" w:hAnsi="宋体" w:cs="宋体"/>
          <w:b/>
          <w:bCs/>
          <w:color w:val="auto"/>
          <w:kern w:val="2"/>
          <w:sz w:val="32"/>
          <w:szCs w:val="32"/>
          <w:highlight w:val="none"/>
        </w:rPr>
      </w:pPr>
      <w:r>
        <w:rPr>
          <w:rFonts w:hint="eastAsia" w:ascii="宋体" w:hAnsi="宋体" w:cs="宋体"/>
          <w:b/>
          <w:bCs/>
          <w:color w:val="auto"/>
          <w:kern w:val="2"/>
          <w:sz w:val="32"/>
          <w:szCs w:val="32"/>
          <w:highlight w:val="none"/>
        </w:rPr>
        <w:t>一、项目概述</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2022年4月19日，习近平总书记在中央深改委第二十五次会议上强调，要以数字化改革助力政府职能转变，统筹推进各行业各领域政务应用系统集约建设、互联互通、协同联动，发挥数字化在政府履行经济调节、市场监管、社会管理、公共服务、生态环境保护等方面职能的重要支撑作用，构建协同高效的政府数字化履职能力体系。在2018年8月全国宣传思想工作会议上，习近平总书记指出要扎实抓好县级融媒体中心建设，更好引导群众、服务群众。</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2022年2月28日全省数字化改革推进大会提出，要迭代升级数字化改革体系架构，将“152”工作体系和“141”基层治理体系融合成“1612”体系，增加了“数字文化”系统。县第十四次党代会提出，要打造“常山U点通”线上平台，构建社会协同治理及智能化全民服务体系，实现群众诉求“U一点就通”。</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本项目以“爱常山”新闻客户端为主体进行迭代升级，整合 “U点通”公众号及其它数字化应用功能，将创新应用孵化、基层治理、媒体服务、便民服务等融为一体，完善多跨协同，打通系统数据，打造一个全新的综合服务平台，成为数字化改革“浙西第一门户”，应用名称为“爱常山 U点通”APP。</w:t>
      </w:r>
    </w:p>
    <w:p>
      <w:pPr>
        <w:pStyle w:val="6"/>
        <w:keepLines/>
        <w:widowControl w:val="0"/>
        <w:numPr>
          <w:ilvl w:val="2"/>
          <w:numId w:val="0"/>
        </w:numPr>
        <w:spacing w:before="156" w:after="156"/>
        <w:jc w:val="center"/>
        <w:textAlignment w:val="baseline"/>
        <w:rPr>
          <w:rFonts w:hint="eastAsia" w:ascii="宋体" w:hAnsi="宋体" w:cs="宋体"/>
          <w:b/>
          <w:bCs/>
          <w:color w:val="auto"/>
          <w:kern w:val="2"/>
          <w:sz w:val="32"/>
          <w:szCs w:val="32"/>
          <w:highlight w:val="none"/>
        </w:rPr>
      </w:pPr>
      <w:r>
        <w:rPr>
          <w:rFonts w:hint="eastAsia" w:ascii="宋体" w:hAnsi="宋体" w:cs="宋体"/>
          <w:b/>
          <w:bCs/>
          <w:color w:val="auto"/>
          <w:kern w:val="2"/>
          <w:sz w:val="32"/>
          <w:szCs w:val="32"/>
          <w:highlight w:val="none"/>
        </w:rPr>
        <w:t>二、建设目标</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依托常山传媒集团现有的“爱常山”新闻客户端主体，通过重新设计开发，整合现有“爱常山”APP和“U点通”公众号应用功能，集成常山本地应用和省市贯通应用，融合政务服务、新闻服务、社区服务和基层治理于一体，打造一个全新的综合服务型APP。</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建设应用集成平台。兼顾数字化改革6条跑道，按照“六大常山”对应六大系统，对原“U点通”公众号以及各职能部门的第三方应用进行梳理，以群众需求为抓手，整合群众高频使用的事项，强化“两个我要、两个我有”应用服务，实现群众办事一端进、一点通、一触办，提升我县政务服务的能力。</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（二）建设基层治理平台。以基层治理为重点，按照党建、平安、经济三大模块来整合相关应用，设置浙政钉统一管理端，深化综合应用外部拓展连接，推进基层治理立体化、数字化考评体系建设。</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（三）建设媒体资讯平台。对接浙报集团“天目云”融媒体平台，整合我县融媒体资源，打造我县全媒体移动端对外传播平台。构建县乡部门媒体移动端矩阵，打造乡镇部门重要的对外信息发布平台。</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（四）建设社区服务平台。迭代升级“信息广场”应用，向群众提供包括家政服务、求职招聘、房产信息、农家土货等服务，建设常山本地的一体化线上服务平台，提升社区服务能力。</w:t>
      </w:r>
    </w:p>
    <w:p>
      <w:pPr>
        <w:spacing w:line="440" w:lineRule="exact"/>
        <w:ind w:firstLine="420" w:firstLineChars="200"/>
        <w:rPr>
          <w:rFonts w:hint="eastAsia" w:ascii="宋体" w:hAnsi="宋体" w:cs="宋体"/>
          <w:b/>
          <w:bCs/>
          <w:color w:val="auto"/>
          <w:sz w:val="24"/>
          <w:szCs w:val="24"/>
          <w:highlight w:val="none"/>
        </w:rPr>
      </w:pPr>
      <w:r>
        <w:rPr>
          <w:rFonts w:hint="eastAsia" w:ascii="宋体" w:hAnsi="宋体" w:cs="宋体"/>
          <w:color w:val="auto"/>
          <w:szCs w:val="21"/>
          <w:highlight w:val="none"/>
        </w:rPr>
        <w:t>（五）建设公共数据归集平台。通过用户登陆平台使用各项应用功能，产生海量用户数据，对数据进行整理、归集、分析，为县一体化智能化公共数据平台（平台+大脑）建设提供数据支撑。</w:t>
      </w:r>
    </w:p>
    <w:p>
      <w:pPr>
        <w:pStyle w:val="6"/>
        <w:keepLines/>
        <w:widowControl w:val="0"/>
        <w:numPr>
          <w:ilvl w:val="2"/>
          <w:numId w:val="0"/>
        </w:numPr>
        <w:spacing w:before="156" w:after="156"/>
        <w:jc w:val="center"/>
        <w:textAlignment w:val="baseline"/>
        <w:rPr>
          <w:rFonts w:hint="eastAsia" w:ascii="宋体" w:hAnsi="宋体" w:cs="宋体"/>
          <w:b/>
          <w:bCs/>
          <w:color w:val="auto"/>
          <w:kern w:val="2"/>
          <w:sz w:val="32"/>
          <w:szCs w:val="32"/>
          <w:highlight w:val="none"/>
        </w:rPr>
      </w:pPr>
      <w:r>
        <w:rPr>
          <w:rFonts w:hint="eastAsia" w:ascii="宋体" w:hAnsi="宋体" w:cs="宋体"/>
          <w:b/>
          <w:bCs/>
          <w:color w:val="auto"/>
          <w:kern w:val="2"/>
          <w:sz w:val="32"/>
          <w:szCs w:val="32"/>
          <w:highlight w:val="none"/>
        </w:rPr>
        <w:t>三、建设标准</w:t>
      </w:r>
    </w:p>
    <w:p>
      <w:pPr>
        <w:spacing w:line="440" w:lineRule="exact"/>
        <w:ind w:firstLine="420" w:firstLineChars="200"/>
        <w:rPr>
          <w:rFonts w:ascii="宋体" w:hAnsi="宋体" w:cs="宋体"/>
          <w:color w:val="auto"/>
          <w:szCs w:val="21"/>
          <w:highlight w:val="none"/>
        </w:rPr>
      </w:pPr>
      <w:bookmarkStart w:id="68" w:name="_Toc14093"/>
      <w:bookmarkStart w:id="69" w:name="_Toc22452"/>
      <w:bookmarkStart w:id="70" w:name="_Toc30543"/>
      <w:bookmarkStart w:id="71" w:name="_Toc4603"/>
      <w:bookmarkStart w:id="72" w:name="_Toc32245"/>
      <w:r>
        <w:rPr>
          <w:rFonts w:hint="eastAsia" w:ascii="宋体" w:hAnsi="宋体" w:cs="宋体"/>
          <w:color w:val="auto"/>
          <w:szCs w:val="21"/>
          <w:highlight w:val="none"/>
        </w:rPr>
        <w:t>1.政策依据</w:t>
      </w:r>
      <w:bookmarkEnd w:id="68"/>
      <w:bookmarkEnd w:id="69"/>
      <w:bookmarkEnd w:id="70"/>
      <w:bookmarkEnd w:id="71"/>
      <w:bookmarkEnd w:id="72"/>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《国务院关于积极推进“互联网+”行动的指导意见》（国发〔2015〕40号）；</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《国务院关于大力推进信息化发展和切实保障信息安全的若干意见》（国发〔2012〕23号）；</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《国务院关于推进物联网有序健康发展的指导意见》（国发〔2013〕7号）；</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《国务院关于促进云计算创新发展培育信息产业新业态的意见》（国发〔2015〕5号）；</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《促进大数据发展行动纲要》（国发〔2015〕50号）；</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《政务信息资源共享管理暂行办法》（国发〔2016〕51号）；</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《国务院办公厅关于促进电子政务协调发展的指导意见》国办发〔2014〕66号；</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中共中央办公厅 国务院办公厅印发《关于加快推进媒体深度融合发展的意见》（2020）；</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《浙江省国民经济和社会发展第十四个五年规划和二〇三五年远景目标纲要》；</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中共浙江省委全面深化改革委员会关于印发《浙江省数字化改革总体方案》的通知（浙委改发〔2021〕2号）；</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中共衢州市委全面深化改革委员会关于印发《衢州市数字化改革总体实施方案》的通知（衢委改发〔2021〕1号）；</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浙江省人民政府印发《浙江省公共数据和电子政务管理办法》（省政府令354号）；</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浙江省人民政府办公厅关于印发《浙江省数字化转型标准化建设方案（2018—2020年）》的通知（浙政办发〔2018〕70号）；</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衢州市人民政府办公室关于印发《衢州市政府数字化转型行动计划(2018—2022)》的通知（衢政办发〔2018〕59号）；</w:t>
      </w:r>
    </w:p>
    <w:p>
      <w:pPr>
        <w:spacing w:line="440" w:lineRule="exact"/>
        <w:ind w:firstLine="420" w:firstLineChars="200"/>
        <w:rPr>
          <w:rFonts w:ascii="宋体" w:hAnsi="宋体" w:cs="宋体"/>
          <w:color w:val="auto"/>
          <w:szCs w:val="21"/>
          <w:highlight w:val="none"/>
        </w:rPr>
      </w:pPr>
      <w:bookmarkStart w:id="73" w:name="_Toc6673"/>
      <w:bookmarkStart w:id="74" w:name="_Toc19207"/>
      <w:bookmarkStart w:id="75" w:name="_Toc10335"/>
      <w:bookmarkStart w:id="76" w:name="_Toc22904"/>
      <w:bookmarkStart w:id="77" w:name="_Toc75"/>
      <w:r>
        <w:rPr>
          <w:rFonts w:hint="eastAsia" w:ascii="宋体" w:hAnsi="宋体" w:cs="宋体"/>
          <w:color w:val="auto"/>
          <w:szCs w:val="21"/>
          <w:highlight w:val="none"/>
        </w:rPr>
        <w:t>2. 标准规范依据</w:t>
      </w:r>
      <w:bookmarkEnd w:id="73"/>
      <w:bookmarkEnd w:id="74"/>
      <w:bookmarkEnd w:id="75"/>
      <w:bookmarkEnd w:id="76"/>
      <w:bookmarkEnd w:id="77"/>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《信息安全等级保护管理办法》（公通字[2007]43号）；</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《浙江省信息安全等级保护管理办法》（省政府223号令）；</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《信息系统安全等级保护基本要求》（GB/T22239-2019）；</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《信息安全技术信息系统安全等级保护实施指南》（GB/T25058-2010）；</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《信息安全技术信息系统安全等级保护测评过程指南》（GB/T28449-2012）；</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《信息安全技术信息系统安全等级保护测评要求》（GB/T28448-2019）；</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《信息技术互连国际标准》（ISO/IEC11801-95）；</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《信息技术、软件包质量要求和测试》（GB/T17544-1998）；</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《软件工程标准分类法》（GB/T15538-1995）；</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《软件开发规范》（GB8566-88）；</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《计算机软件质量保证计划规范》（GB/T12504-90）；</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《县级融媒体中心建设规范》（中共中央宣传部和国家广播电视总局联合发布）；</w:t>
      </w:r>
    </w:p>
    <w:p>
      <w:pPr>
        <w:pStyle w:val="6"/>
        <w:keepLines/>
        <w:widowControl w:val="0"/>
        <w:numPr>
          <w:ilvl w:val="2"/>
          <w:numId w:val="0"/>
        </w:numPr>
        <w:spacing w:before="156" w:after="156"/>
        <w:jc w:val="center"/>
        <w:textAlignment w:val="baseline"/>
        <w:rPr>
          <w:rFonts w:hint="eastAsia" w:ascii="宋体" w:hAnsi="宋体" w:cs="宋体"/>
          <w:b/>
          <w:bCs/>
          <w:color w:val="auto"/>
          <w:kern w:val="2"/>
          <w:sz w:val="32"/>
          <w:szCs w:val="32"/>
          <w:highlight w:val="none"/>
        </w:rPr>
      </w:pPr>
      <w:r>
        <w:rPr>
          <w:rFonts w:hint="eastAsia" w:ascii="宋体" w:hAnsi="宋体" w:cs="宋体"/>
          <w:b/>
          <w:bCs/>
          <w:color w:val="auto"/>
          <w:kern w:val="2"/>
          <w:sz w:val="32"/>
          <w:szCs w:val="32"/>
          <w:highlight w:val="none"/>
        </w:rPr>
        <w:t>四、项目建设</w:t>
      </w:r>
      <w:bookmarkStart w:id="78" w:name="_Toc19569"/>
      <w:bookmarkStart w:id="79" w:name="_Toc24916"/>
      <w:bookmarkStart w:id="80" w:name="_Toc5622"/>
      <w:bookmarkStart w:id="81" w:name="_Toc8620"/>
      <w:bookmarkStart w:id="82" w:name="_Toc14547"/>
      <w:bookmarkStart w:id="83" w:name="_Toc21547"/>
      <w:r>
        <w:rPr>
          <w:rFonts w:hint="eastAsia" w:ascii="宋体" w:hAnsi="宋体" w:cs="宋体"/>
          <w:b/>
          <w:bCs/>
          <w:color w:val="auto"/>
          <w:kern w:val="2"/>
          <w:sz w:val="32"/>
          <w:szCs w:val="32"/>
          <w:highlight w:val="none"/>
        </w:rPr>
        <w:t>内容</w:t>
      </w:r>
    </w:p>
    <w:p>
      <w:pPr>
        <w:pStyle w:val="27"/>
        <w:spacing w:after="0" w:line="440" w:lineRule="exact"/>
        <w:ind w:left="0" w:leftChars="0" w:firstLineChars="200"/>
        <w:rPr>
          <w:rFonts w:hint="default" w:ascii="宋体" w:hAnsi="宋体" w:eastAsia="宋体" w:cs="宋体"/>
          <w:b w:val="0"/>
          <w:bCs w:val="0"/>
          <w:color w:val="auto"/>
          <w:kern w:val="0"/>
          <w:sz w:val="21"/>
          <w:szCs w:val="21"/>
          <w:highlight w:val="none"/>
          <w:lang w:val="en-US" w:eastAsia="zh-CN" w:bidi="ar-SA"/>
        </w:rPr>
      </w:pPr>
      <w:bookmarkStart w:id="84" w:name="_Toc17569"/>
      <w:bookmarkStart w:id="85" w:name="_Toc6062"/>
      <w:bookmarkStart w:id="86" w:name="_Toc2709"/>
      <w:bookmarkStart w:id="87" w:name="_Toc21256"/>
      <w:bookmarkStart w:id="88" w:name="_Toc23883"/>
      <w:bookmarkStart w:id="89" w:name="_Toc4223"/>
      <w:r>
        <w:rPr>
          <w:rFonts w:hint="eastAsia" w:ascii="宋体" w:hAnsi="宋体" w:eastAsia="宋体"/>
          <w:color w:val="auto"/>
          <w:highlight w:val="none"/>
          <w:lang w:val="en-US" w:eastAsia="zh-CN"/>
        </w:rPr>
        <w:t>本项目根据需要，融合政务服务、新闻服务、社区服务和基层治理于一体，建设移动端综合服务平台，包含服务、智治、媒体、广场、我的五大功能板块，开发安卓版和iOS版APP，并在安卓各大主流应用市场和苹果商店上架。APP需具备独立运营的管理后台，对五大功能板块的具体应用、内容、用户进行运营管理。项目建设内容包括应用开发、应用支撑、管理端开发、数据对接、APP界面设计、基座能力开发、相关测试及运维服务等。</w:t>
      </w:r>
    </w:p>
    <w:p>
      <w:pPr>
        <w:pStyle w:val="6"/>
        <w:numPr>
          <w:ilvl w:val="1"/>
          <w:numId w:val="0"/>
        </w:numPr>
        <w:spacing w:line="440" w:lineRule="exact"/>
        <w:ind w:firstLine="562" w:firstLineChars="200"/>
        <w:rPr>
          <w:rFonts w:hint="eastAsia" w:cs="宋体"/>
          <w:b/>
          <w:bCs/>
          <w:color w:val="auto"/>
          <w:kern w:val="2"/>
          <w:sz w:val="28"/>
          <w:szCs w:val="28"/>
          <w:highlight w:val="none"/>
          <w:lang w:val="en-US" w:eastAsia="zh-CN" w:bidi="ar-SA"/>
        </w:rPr>
      </w:pPr>
      <w:bookmarkStart w:id="90" w:name="_Toc17920526"/>
      <w:r>
        <w:rPr>
          <w:rFonts w:hint="eastAsia" w:cs="宋体"/>
          <w:b/>
          <w:bCs/>
          <w:color w:val="auto"/>
          <w:kern w:val="2"/>
          <w:sz w:val="28"/>
          <w:szCs w:val="28"/>
          <w:highlight w:val="none"/>
          <w:lang w:val="en-US" w:eastAsia="zh-CN" w:bidi="ar-SA"/>
        </w:rPr>
        <w:t>（一）采购需求清单</w:t>
      </w:r>
      <w:bookmarkEnd w:id="90"/>
    </w:p>
    <w:tbl>
      <w:tblPr>
        <w:tblStyle w:val="28"/>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6"/>
        <w:gridCol w:w="1800"/>
        <w:gridCol w:w="6191"/>
        <w:gridCol w:w="764"/>
        <w:gridCol w:w="6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97" w:type="pct"/>
            <w:tcBorders>
              <w:top w:val="single" w:color="000000" w:sz="4" w:space="0"/>
              <w:left w:val="single" w:color="000000" w:sz="4" w:space="0"/>
              <w:bottom w:val="single" w:color="000000" w:sz="4" w:space="0"/>
              <w:right w:val="single" w:color="000000" w:sz="4" w:space="0"/>
            </w:tcBorders>
            <w:shd w:val="clear" w:color="auto" w:fill="B4C6E7"/>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栏目名称</w:t>
            </w:r>
          </w:p>
        </w:tc>
        <w:tc>
          <w:tcPr>
            <w:tcW w:w="863" w:type="pct"/>
            <w:tcBorders>
              <w:top w:val="single" w:color="000000" w:sz="4" w:space="0"/>
              <w:left w:val="single" w:color="000000" w:sz="4" w:space="0"/>
              <w:bottom w:val="single" w:color="000000" w:sz="4" w:space="0"/>
              <w:right w:val="single" w:color="000000" w:sz="4" w:space="0"/>
            </w:tcBorders>
            <w:shd w:val="clear" w:color="auto" w:fill="B4C6E7"/>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模块</w:t>
            </w:r>
          </w:p>
        </w:tc>
        <w:tc>
          <w:tcPr>
            <w:tcW w:w="2971" w:type="pct"/>
            <w:tcBorders>
              <w:top w:val="single" w:color="000000" w:sz="4" w:space="0"/>
              <w:left w:val="single" w:color="000000" w:sz="4" w:space="0"/>
              <w:bottom w:val="single" w:color="000000" w:sz="4" w:space="0"/>
              <w:right w:val="single" w:color="000000" w:sz="4" w:space="0"/>
            </w:tcBorders>
            <w:shd w:val="clear" w:color="auto" w:fill="B4C6E7"/>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模块说明</w:t>
            </w:r>
          </w:p>
        </w:tc>
        <w:tc>
          <w:tcPr>
            <w:tcW w:w="366" w:type="pct"/>
            <w:tcBorders>
              <w:top w:val="single" w:color="000000" w:sz="4" w:space="0"/>
              <w:left w:val="single" w:color="000000" w:sz="4" w:space="0"/>
              <w:bottom w:val="single" w:color="000000" w:sz="4" w:space="0"/>
              <w:right w:val="single" w:color="000000" w:sz="4" w:space="0"/>
            </w:tcBorders>
            <w:shd w:val="clear" w:color="auto" w:fill="B4C6E7"/>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单位</w:t>
            </w:r>
          </w:p>
        </w:tc>
        <w:tc>
          <w:tcPr>
            <w:tcW w:w="300" w:type="pct"/>
            <w:tcBorders>
              <w:top w:val="single" w:color="000000" w:sz="4" w:space="0"/>
              <w:left w:val="single" w:color="000000" w:sz="4" w:space="0"/>
              <w:bottom w:val="single" w:color="000000" w:sz="4" w:space="0"/>
              <w:right w:val="single" w:color="000000" w:sz="4" w:space="0"/>
            </w:tcBorders>
            <w:shd w:val="clear" w:color="auto" w:fill="B4C6E7"/>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jc w:val="center"/>
        </w:trPr>
        <w:tc>
          <w:tcPr>
            <w:tcW w:w="497"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w:t>
            </w:r>
          </w:p>
        </w:tc>
        <w:tc>
          <w:tcPr>
            <w:tcW w:w="8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搜索</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1、首页搜索全部的应用、数据，其他栏目搜索当前栏目的应用和数据。历史搜索、热门搜索；2、开发各类搜索探针，对接应用、内容数据库。</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天气</w:t>
            </w:r>
          </w:p>
        </w:tc>
        <w:tc>
          <w:tcPr>
            <w:tcW w:w="2971" w:type="pct"/>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18"/>
                <w:szCs w:val="18"/>
                <w:highlight w:val="none"/>
                <w:u w:val="none"/>
                <w:lang w:val="en-US" w:eastAsia="zh-CN" w:bidi="ar"/>
              </w:rPr>
              <w:t>对接常山气象局实时天气数据进行展示，接通天气预警数据，点击进入二级页面进行查看。</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49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我要办事</w:t>
            </w:r>
          </w:p>
        </w:tc>
        <w:tc>
          <w:tcPr>
            <w:tcW w:w="2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1、展示APP平台热度较高的服务。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2、展示浙里办个人办事、企业办事的办事指南。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3、展示APP本地应用办事子模块。</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49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我要查询</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1、展示用户的历史搜索记录以及APP平台的热门搜索内容。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2、搜索APP所有关键字信息数据，按栏目进行展示。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3、搜索吃、喝、玩、乐数据。</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49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我有建议</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参照12345热线开发相应的功能模块；用户通过文字内容和拍照上传意见建议；以滚动形式展示用户的热点建议标题；开发PC后台对建议内容进行归集、分析、交办；用户可在个人中心查看建议办理进度，并完成评价；</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我有反映</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信访入口，对接县信访系统，新开发掌上信访入口，实名认证用户可以文字、图片的形式进行问题上报；群众可在个人中心看到信访处理进度。</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活力常山</w:t>
            </w:r>
          </w:p>
        </w:tc>
        <w:tc>
          <w:tcPr>
            <w:tcW w:w="2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对应数字政府版块，接入疫情防控、常山生态云脑、信用换信贷应用</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幸福常山</w:t>
            </w:r>
          </w:p>
        </w:tc>
        <w:tc>
          <w:tcPr>
            <w:tcW w:w="2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对应数字社会版块，接入入园入学一件事、常山公交、常山阿姨</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为民常山</w:t>
            </w:r>
          </w:p>
        </w:tc>
        <w:tc>
          <w:tcPr>
            <w:tcW w:w="2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对应党建自治版块，接入一键智训、农村党员先锋指数考评、政企通、村情通、邻礼通</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共富常山</w:t>
            </w:r>
          </w:p>
        </w:tc>
        <w:tc>
          <w:tcPr>
            <w:tcW w:w="2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对应数字经济版块，接入低温农险无U保</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平安常山</w:t>
            </w:r>
          </w:p>
        </w:tc>
        <w:tc>
          <w:tcPr>
            <w:tcW w:w="2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对应数字法治版块，接入诚信智治、共享法庭、平安法制U指数、安全生成资格查询。</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文化常山</w:t>
            </w:r>
          </w:p>
        </w:tc>
        <w:tc>
          <w:tcPr>
            <w:tcW w:w="2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对应数字文化版块，接入接入宋诗之河、8090理论宣讲平台、云游常山、图书借阅、常山县地方文献古籍应用。</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热门栏目</w:t>
            </w:r>
          </w:p>
        </w:tc>
        <w:tc>
          <w:tcPr>
            <w:tcW w:w="2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根据用户订阅、点击、活跃度、使用量等多维度计算模型得出的热门应用推荐，也可以通过后台管理系统进行手动推送更新，将新上架应用进行推广</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智治</w:t>
            </w:r>
          </w:p>
        </w:tc>
        <w:tc>
          <w:tcPr>
            <w:tcW w:w="8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智治板块应用开发</w:t>
            </w:r>
          </w:p>
        </w:tc>
        <w:tc>
          <w:tcPr>
            <w:tcW w:w="2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“智治”版块主要整合的应用是原“</w:t>
            </w:r>
            <w:r>
              <w:rPr>
                <w:rStyle w:val="90"/>
                <w:rFonts w:eastAsia="宋体"/>
                <w:color w:val="auto"/>
                <w:highlight w:val="none"/>
                <w:lang w:val="en-US" w:eastAsia="zh-CN" w:bidi="ar"/>
              </w:rPr>
              <w:t>U</w:t>
            </w:r>
            <w:r>
              <w:rPr>
                <w:rFonts w:hint="eastAsia" w:ascii="宋体" w:hAnsi="宋体" w:eastAsia="宋体" w:cs="宋体"/>
                <w:i w:val="0"/>
                <w:iCs w:val="0"/>
                <w:color w:val="auto"/>
                <w:kern w:val="0"/>
                <w:sz w:val="18"/>
                <w:szCs w:val="18"/>
                <w:highlight w:val="none"/>
                <w:u w:val="none"/>
                <w:lang w:val="en-US" w:eastAsia="zh-CN" w:bidi="ar"/>
              </w:rPr>
              <w:t>点通”应用，主要分为“党建”、“平安”、“经济”、“部门发布”、“乡镇发布”五大版块；</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4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媒体</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媒体板块应用开发</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置推荐、视频、报纸、广播、电视、直播、媒体关注七大二级栏目；新建书记、县长报道集，按业主取数逻辑进行内容自动更新；新建主持人风采栏目；实现用户对媒体版块的文章、视频进行点赞、分享、转发等交互功能；</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天目云系统对接</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原生SDK基础模块开发，实现天目云稿件推送到APP，天目云增加外部稿件接口接收新APP用户上传的稿件素材。天目云分发中心、APP的SDK调用对接，APP频道实现天目云和新APP自动同步。</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省宣平台埋码</w:t>
            </w:r>
          </w:p>
        </w:tc>
        <w:tc>
          <w:tcPr>
            <w:tcW w:w="2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省委宣传部“舆情引导集成监管平台”需要APP进行埋码 + 完成成品稿（在客户端签发显示的稿件）推送到省宣平台后台。以《浙江省新闻资源库数据对接文档.doc》为标准，完成埋码工作。</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年</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广场</w:t>
            </w:r>
          </w:p>
        </w:tc>
        <w:tc>
          <w:tcPr>
            <w:tcW w:w="8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“广场”板块应用开发</w:t>
            </w:r>
          </w:p>
        </w:tc>
        <w:tc>
          <w:tcPr>
            <w:tcW w:w="2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开发生活服务、求职招聘、房产信息、物品转让、交友征婚、农家土货、教育培训、吃住行八个应用版块，对应开发审核管理发布后台。</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个人中心</w:t>
            </w:r>
          </w:p>
        </w:tc>
        <w:tc>
          <w:tcPr>
            <w:tcW w:w="8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积分子系统</w:t>
            </w:r>
          </w:p>
        </w:tc>
        <w:tc>
          <w:tcPr>
            <w:tcW w:w="2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一期上线初版本APP平台积分体系。</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我的消息</w:t>
            </w:r>
          </w:p>
        </w:tc>
        <w:tc>
          <w:tcPr>
            <w:tcW w:w="2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1、用户私信消息。2、系统消息。</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我的办事</w:t>
            </w:r>
          </w:p>
        </w:tc>
        <w:tc>
          <w:tcPr>
            <w:tcW w:w="2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平台自建的办理的事项都在【我的办事】板块，提供用户查看办事流程和办事反馈。</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个人中心</w:t>
            </w:r>
          </w:p>
        </w:tc>
        <w:tc>
          <w:tcPr>
            <w:tcW w:w="2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实现个人信息绑定、实名认证、村（社）绑定。</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一码通</w:t>
            </w:r>
          </w:p>
        </w:tc>
        <w:tc>
          <w:tcPr>
            <w:tcW w:w="2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一卡通扫码支付、图书借阅两个应用C端模块；</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意见反馈</w:t>
            </w:r>
          </w:p>
        </w:tc>
        <w:tc>
          <w:tcPr>
            <w:tcW w:w="2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针对平台的意见、建议的反馈。</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设置</w:t>
            </w:r>
          </w:p>
        </w:tc>
        <w:tc>
          <w:tcPr>
            <w:tcW w:w="2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设置关于我们、消息推送、缓存清理、退出登录四个功能子项。</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生活功能区</w:t>
            </w:r>
          </w:p>
        </w:tc>
        <w:tc>
          <w:tcPr>
            <w:tcW w:w="2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与老百姓生活密切相关的应用，如：带个路、一码通。</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APP界面设计</w:t>
            </w:r>
          </w:p>
        </w:tc>
        <w:tc>
          <w:tcPr>
            <w:tcW w:w="8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应用界面设计</w:t>
            </w:r>
          </w:p>
        </w:tc>
        <w:tc>
          <w:tcPr>
            <w:tcW w:w="2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APP界面UI设计及平台UI设计细节规范输出。</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数据对接</w:t>
            </w:r>
          </w:p>
        </w:tc>
        <w:tc>
          <w:tcPr>
            <w:tcW w:w="8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媒体模块数据对接</w:t>
            </w:r>
          </w:p>
        </w:tc>
        <w:tc>
          <w:tcPr>
            <w:tcW w:w="2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Style w:val="91"/>
                <w:color w:val="auto"/>
                <w:highlight w:val="none"/>
                <w:lang w:val="en-US" w:eastAsia="zh-CN" w:bidi="ar"/>
              </w:rPr>
              <w:t>对接浙报集团的“天目云”融媒体平台，完成</w:t>
            </w:r>
            <w:r>
              <w:rPr>
                <w:rFonts w:hint="eastAsia" w:ascii="宋体" w:hAnsi="宋体" w:eastAsia="宋体" w:cs="宋体"/>
                <w:i w:val="0"/>
                <w:iCs w:val="0"/>
                <w:color w:val="auto"/>
                <w:kern w:val="0"/>
                <w:sz w:val="18"/>
                <w:szCs w:val="18"/>
                <w:highlight w:val="none"/>
                <w:u w:val="none"/>
                <w:lang w:val="en-US" w:eastAsia="zh-CN" w:bidi="ar"/>
              </w:rPr>
              <w:t>接口开发，内容推送等。</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搜索数据</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完成全站搜索功能的对接</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用户数据</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对原U点通公众号的数据进行迁移</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97"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PC管理端后台开发</w:t>
            </w:r>
          </w:p>
        </w:tc>
        <w:tc>
          <w:tcPr>
            <w:tcW w:w="8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“我有建议”PC后台</w:t>
            </w:r>
          </w:p>
        </w:tc>
        <w:tc>
          <w:tcPr>
            <w:tcW w:w="297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后台参照12345业务类型搭建，统计所有数据，方便查看各个栏目数据；将数据分项归类管理，可将数据实现事项派发、交办等功能；管理事项进度，查看各个节点完成情况，进行实时跟踪；</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“我有反映”PC后台</w:t>
            </w:r>
          </w:p>
        </w:tc>
        <w:tc>
          <w:tcPr>
            <w:tcW w:w="297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后台按照业务节点建立审批单，便于后台业务一览，可以直观查看业务各个节点结果和矛调完结点；信访业务流程各节点以手机短信息推送的形式反馈到用户等。</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8090宣讲应用后台</w:t>
            </w:r>
          </w:p>
        </w:tc>
        <w:tc>
          <w:tcPr>
            <w:tcW w:w="297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8090宣讲视频分类管理功能，在APP端上下架管理功能，可实现预览操作。</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媒体PC管理后台</w:t>
            </w:r>
          </w:p>
        </w:tc>
        <w:tc>
          <w:tcPr>
            <w:tcW w:w="297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针对APP稿件可以进行编辑管理等功能</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APP运营管理端</w:t>
            </w:r>
          </w:p>
        </w:tc>
        <w:tc>
          <w:tcPr>
            <w:tcW w:w="297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应用上下架管理；按时间统计注册量、访问量、各个应用访问量等信息；用户体系管理；账号权限分配；邀请码功能模块。</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应用支撑</w:t>
            </w:r>
          </w:p>
        </w:tc>
        <w:tc>
          <w:tcPr>
            <w:tcW w:w="8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单点登录</w:t>
            </w:r>
          </w:p>
        </w:tc>
        <w:tc>
          <w:tcPr>
            <w:tcW w:w="2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开发单点登录应用模块，自动导入数据与APP底层登录功能模块对接，支持微信、QQ、手机账号第三方登录方式登录方式。</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消息推送</w:t>
            </w:r>
          </w:p>
        </w:tc>
        <w:tc>
          <w:tcPr>
            <w:tcW w:w="2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开发APP消息推送应用支撑模块，调用服务端和管理端的应用模块，可设置APP平台推送和上架应用推送两种来源。</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H5离线应用</w:t>
            </w:r>
          </w:p>
        </w:tc>
        <w:tc>
          <w:tcPr>
            <w:tcW w:w="2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将H5以离线包方式推送至应用客户端，与APP底层H5离线功能模块对接，可快速灵活部署H5更新，实现热更新而不需要重新下载APP。</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应用升级</w:t>
            </w:r>
          </w:p>
        </w:tc>
        <w:tc>
          <w:tcPr>
            <w:tcW w:w="2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开发建设软件更新版本库，对APP进行必需的升级版本号以及升级日志进行管理。</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扫一扫系统</w:t>
            </w:r>
          </w:p>
        </w:tc>
        <w:tc>
          <w:tcPr>
            <w:tcW w:w="2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1、集成原“U点通”健康码扫码系统；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2、乡村振兴讲堂课程签到扫码功能；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3、积分核销功能；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4、其他摄像头扫码功能；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5、上架应用具有扫一扫需求的接口打通；</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后台管理系统</w:t>
            </w:r>
          </w:p>
        </w:tc>
        <w:tc>
          <w:tcPr>
            <w:tcW w:w="2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1、用户管理:构建U点通APP后台用户管理模块，用于APP用户的统一管理;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2、系统管理:构建U点通APP后台系统管理模块，用于APP的系统设置;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3、启动页管理：提供启动页配置管理，发布管理，下架管理功能；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4、配置管理:构建U点通APP后台启动页管理模块，用于APP的启动页统一管理;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5、权限管理：构建U点通APP后台权限管理模块，用于APP的功能权限管理和数据权限管理；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6、应用管理:构建U点通APP后台应用管理模块，用于配置APP H5离线包；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7、消息管理：构建U点通APP后台应用管理模块,构建U点通APP后台应用管理模块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8、推送管理:构建U点通APP后台应用管理模块,不同APP内应用的服务常山可以通过后台完成相关信息推送</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用户组织管理系统</w:t>
            </w:r>
          </w:p>
        </w:tc>
        <w:tc>
          <w:tcPr>
            <w:tcW w:w="2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织管理系统为“U点通”APP组织用户建立合理的组织结构，如行政组织（县、街道/乡镇、村社）、职能管理组织（县-乡镇-村执法队伍）、虚拟团队组织（专班形式）帮助用户明确责权关系和交叉关系以及多重身份识别，使“U点通”APP组织用户的成员之间形成更有效的互相协作机制，有效实现组织的目标管理和组织职能管理。</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资讯发布系统</w:t>
            </w:r>
          </w:p>
        </w:tc>
        <w:tc>
          <w:tcPr>
            <w:tcW w:w="2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内容与资讯平台是项目平台的内容资讯引擎，为常山县政策文件、热点新闻、焦点信息等资讯提供发布渠道，提供内容服务、资讯动态，同时具备对内容资讯进行安全监管的能力。内容与资讯平台是常山县专属的内容资讯平台，高度响应常山县城市信息安全及常山县政府个性化的需求。</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分享系统</w:t>
            </w:r>
          </w:p>
        </w:tc>
        <w:tc>
          <w:tcPr>
            <w:tcW w:w="2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开发互动平台中的分享传播子系统旨在为APP用户提供分享渠道，如微信、QQ、微博等社交媒体，通过用户的分享，将“U点通”平台上原创内容进行扩散，扩大内容传播范围，增加潜在用户量，同时还能提高用户粘性。</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收藏系统</w:t>
            </w:r>
          </w:p>
        </w:tc>
        <w:tc>
          <w:tcPr>
            <w:tcW w:w="2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用户可以通过互动平台将自己喜好的信息进行收藏，收藏的信息统一放在收藏夹中，方便查看。收藏子系统主要分为前端和后端两大部分，前端又可以分为ios和android两个版本，提供相同的系统功能。用户所能收藏的信息可以是文字、图片、语音、地图、视频、文件、网页、动态和话题、动态写作模式、小组、小组帖子、员工、个人等内容。</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订阅系统</w:t>
            </w:r>
          </w:p>
        </w:tc>
        <w:tc>
          <w:tcPr>
            <w:tcW w:w="2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订阅子系统主要是为用户提供应用检索、订阅功能，用户通过本系统能够将自己所喜好的应用进行突出展示。系统分为前端功能模块和后端功能模块，模块具体包括应用订阅的新增，修改，收藏管理。</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33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二、APP基座能力开发</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移动端能力超市</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移动端能力超市</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实现APP底座能力申请、审批、上架、检索功能。</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4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移动端</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登录</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1：APP应用对接第三方微信登录SDK；</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2：APP应用对接第三方QQ登录SDK；</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3：APP应用第三方（极光认证）SDK以及认证授权页样式。</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APP启动页</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APP基座加载3-5秒SVGAG格式动画，素材由用户提供，在APP启动等待时间进行占屏展示；</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分享</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1：APP应用对接第三方微信分享SDK；</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2：APP应用对接第三方QQ分享SDK；</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3：APP应用第三方（小程序）SDK以及认证授权页样式。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4：APP应用第三方（微博）SDK以及认证授权页样式。</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语音识别播报</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提供第三方语音识别功能模块，取得合法授权，支撑APP应用语音朗读sdk, 新闻播报栏目下有语音文字朗读功能。</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页面通讯</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App全局通讯，包括注册监听，移除等基本操作，实现跨任意组件，页面参数传递。</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图片</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本地相册选取照片或使用摄像机。</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视频</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调用本地视频和手机摄像机，选取或拍摄照片功能，并支持压缩视频，清除本地缓存，上传到对应应用服务器。</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录音管理</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调用本手机麦克风，麦克风录音功能，并支持压缩录音和暂停重新录音功能，清除本地缓存，上传到对应应用服务器。</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富文本解析</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APP底座通用功能开发，目标为实现不同平台富文本正确解析。</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数据存储</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1：使用异步缓存数据，支持删除，修改功能。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2：存储在本地沙盒文件功能；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3：清除数据缓存功能。</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位置</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1：对接第三方高德地图SDK；</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2：获取地理位置和速度；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3：支持获取高精度位置；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4：支持连续定位。</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websocket连接</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使得客户端和服务器之间的数据交换变得更加简单，允许服务端主动向客户端推送数据。在WebSocket API中，浏览器和服务器只需要完成一次握手，两者之间就直接可以创建持久性的连接，并进行双向数据传输。</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推送</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1：对接第三方极光推送SDK；</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2：整合苹果APNs、华为、小米、OPPO、VIVO、魅族、谷歌FCM等多家主流厂商的系统推送和个推的独立推送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3：支持本地推送功能。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4：支持根据推送内容跳转不同界面。</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设备标识ID</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生成一个UUID作为 App 级别的设备标识 ID。通过设备标识组件，可以简单快捷地获取设备 ID。</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H5离线包</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1：H5下载离线包，解压并存放在沙盒文件，删除历史文件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2：H5更新离线包，解压并存放在沙盒文件，删除历史文件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3：H5发布离线包；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4：H5预置离线包，本地存放静态文件，并加载；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5：H5启动离线包和更新离线包。</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更新升级</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1：app版本升级原生弹框和进度提示，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2：统一管理 App 及 App 在Android、iOS平台上App安装包和app离线资源包的发布升级</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交互反馈</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1：显示消息提示框, （透视提示、弱提示、提示框、操作弹框）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2：所有类型的提示框根据传入的参数不同作区分，并回调给H5点击事件。</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设置导航条</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根据传入参数，展示各个界面对应的标题功能。</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动态设置导航条背景</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根据传入参数，展示各个界面对应的背景颜色功能。</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拨打电话</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调用客户端原生拨打电话功能</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扫码</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1：调起客户端扫码界面，该项为APP底座原生开发功能；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2：扫码成功后跳转对应的界面。</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人脸识别</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1：APP底座对接支付宝人脸识别SDK,将识别结果回调；（人脸核身，提供各类认证功能模块，包含证件 OCR 识别、活体检测和人脸1:1对比。）</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APP埋点</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对接友盟，统计SDK并实现app数据统计的sdk，包括日志数据，业务数据，环境数据，公共数据，数据上报机制，埋点事件如PV事件，播放事件。</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闪退报告</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统计SDK，当发生闪退时，客户端会实时上传闪退信息。为应用提供了闪退统计功能，支持统计闪退个数、闪退率、闪退趋势，支持按照问题原因聚合闪退报告，并统计某一类闪退的个数、设备数、主要机型信息。</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移动性能监控</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实时检测、分析并可视化展示应用各项性能指标统计数据。通过对移动客户端、H5等多端埋点及网络探针数据的采集与分析，实现对应用的性能进行全方位的监控和管理。分析覆盖网络、应用启动、页面性能、H5 性能、崩溃分析。</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IM即时通讯</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APP底座IM即时通讯支持集成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实现实时通信系统，允许两人或多人使用网络实时的传递文字消息、文件、语音与视频交流。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①app私聊群聊、②聊天室、③消息推送、④语音通话通讯能力sdk。</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文件预览功能</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APP底座开发支持集成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①pdf、②word、③ppt、④excel格式文档预览功能sdk</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生成桌面快捷方式</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APP开发桌面点击直接进入app模块页，实现应用快捷使用</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硬件驱动层</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显示驱动</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APP框架搭建，编写脚本和开发代码支撑构建U点通APP底层显示驱动能力，包含主流安卓和iOS系统的原生硬件显示驱动，实现应用层对接。</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摄像头驱动</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APP框架搭建，构建U点通APP底层摄像头驱动能力，包含主流安卓和iOS系统的原生硬件摄像头驱动，实现应用层对接。</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闪存驱动</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APP框架搭建，编写脚本和开发代码支撑构建U点通APP底层闪存驱动能力，包含主流安卓和iOS系统的原生硬件闪存驱动，实现应用层对接。</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Binger(IPC )驱动</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构建U点通APP底层Binger(IPC )驱动能力，包含主流安卓和iOS系统的原生硬件Binger(IPC )驱动。</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键盘驱动</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APP框架搭，编写脚本和开发代码支撑建构建U点通APP底层Binger(IPC )驱动能力，包含主流安卓和iOS系统的原生硬件Binger(IPC )驱动，实现应用层对接。</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音频驱动</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APP框架搭建，编写脚本和开发代码支撑构建U点通APP底层键盘驱动能力，包含主流安卓和iOS系统的原生硬件键盘驱动，实现应用层对接。</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电源管理</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APP框架搭建，编写脚本和开发代码支撑构建U点通APP底层音频驱动能力，包含主流安卓和iOS系统的原生硬件音频驱动，实现应用层对接。</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蓝牙驱动</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APP框架搭建，编写脚本和开发代码支撑构建U点通APP底层蓝牙驱动能力，包含主流安卓和iOS系统的原生硬件蓝牙驱动，实现应用层对接。</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GPS</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APP框架搭建，编写脚本和开发代码支撑构建U点通APP底层GPS调用能力，包含主流安卓和iOS系统的原生硬件GPS，实现应用层对接。</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WiFi驱动</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APP框架搭建，编写脚本和开发代码支撑构建U点通APP底层显WiFi驱动能力，包含主流安卓和iOS系统的原生硬件WiFi驱动，实现应用层对接。</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数据资源层</w:t>
            </w:r>
          </w:p>
        </w:tc>
        <w:tc>
          <w:tcPr>
            <w:tcW w:w="8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安卓底层数据存储模块</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APP底座功能开发，实现构建文件（I/O）存储方法，主要用于提供应用内的大文件存储能力。</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构建存储基础数据结构的Shared Preference存储能力，通过用一个xml文件在私有的目录里面存放这些数据，一个程序可以有多个这样的文件。</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APP底座功能开发，构建应用程序共享的数据存储能力。</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APP底座功能开发，构建安卓轻量级SQLite数据库能力。</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APP底座功能开发，构建应用的网络存储能力，应用在使用过程中需要使用到相应的网络存储。</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iOS底层数据存储能力</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APP底座功能开发，构建NSKeyedArchiver归档的形式来保存数据能力</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APP底座功能开发，构建NSUserDefaults存储能力来保存应用程序设置和属性、用户保存的数据</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APP底座功能开发，构建Write写入方式存储能力</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APP底座功能开发，构建IOS轻量级SQLite数据库能力</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APP底座功能开发，FMDB 同时兼容 ARC 和非 ARC 工程，会自动根据工程配置来调整相关的内存管理代码。而且他提供了多线程安全的数据库操作方法，有效地防止数据混乱。</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332"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三、其他服务</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4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其他服务</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移动端兼容性测试及相关开发服务</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App兼容性、ios兼容性、H5兼容性、智能硬件适配测试、深度兼容性测试及对应的兼容性开发。</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运维服务</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一年的系统运维服务。</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年</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认证</w:t>
            </w:r>
          </w:p>
        </w:tc>
        <w:tc>
          <w:tcPr>
            <w:tcW w:w="86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支付宝扫脸</w:t>
            </w:r>
          </w:p>
        </w:tc>
        <w:tc>
          <w:tcPr>
            <w:tcW w:w="297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新用户登录，需要进行身份信息绑定，扫脸激活，按1元/人次，预充值</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短信</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短信消息</w:t>
            </w:r>
          </w:p>
        </w:tc>
        <w:tc>
          <w:tcPr>
            <w:tcW w:w="2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用户以短信验证码方式登录，平台以短信方式发布消息通告，按0.06元/条收费，预充值</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版权</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版权申请</w:t>
            </w:r>
          </w:p>
        </w:tc>
        <w:tc>
          <w:tcPr>
            <w:tcW w:w="2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商标、软著等版权申请</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bl>
    <w:p>
      <w:pPr>
        <w:rPr>
          <w:rFonts w:hint="eastAsia"/>
          <w:color w:val="auto"/>
          <w:highlight w:val="none"/>
          <w:lang w:val="en-US" w:eastAsia="zh-CN"/>
        </w:rPr>
      </w:pPr>
    </w:p>
    <w:p>
      <w:pPr>
        <w:pStyle w:val="6"/>
        <w:numPr>
          <w:ilvl w:val="1"/>
          <w:numId w:val="0"/>
        </w:numPr>
        <w:spacing w:line="440" w:lineRule="exact"/>
        <w:ind w:firstLine="562" w:firstLineChars="200"/>
        <w:rPr>
          <w:rFonts w:hint="default" w:cs="宋体"/>
          <w:b/>
          <w:bCs/>
          <w:color w:val="auto"/>
          <w:kern w:val="2"/>
          <w:sz w:val="28"/>
          <w:szCs w:val="28"/>
          <w:highlight w:val="none"/>
          <w:lang w:val="en-US" w:eastAsia="zh-CN" w:bidi="ar-SA"/>
        </w:rPr>
      </w:pPr>
      <w:r>
        <w:rPr>
          <w:rFonts w:hint="eastAsia" w:cs="宋体"/>
          <w:b/>
          <w:bCs/>
          <w:color w:val="auto"/>
          <w:kern w:val="2"/>
          <w:sz w:val="28"/>
          <w:szCs w:val="28"/>
          <w:highlight w:val="none"/>
          <w:lang w:val="en-US" w:eastAsia="zh-CN" w:bidi="ar-SA"/>
        </w:rPr>
        <w:t>（二）APP应用开发</w:t>
      </w:r>
    </w:p>
    <w:bookmarkEnd w:id="84"/>
    <w:bookmarkEnd w:id="85"/>
    <w:bookmarkEnd w:id="86"/>
    <w:bookmarkEnd w:id="87"/>
    <w:bookmarkEnd w:id="88"/>
    <w:bookmarkEnd w:id="89"/>
    <w:p>
      <w:pPr>
        <w:pStyle w:val="7"/>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562" w:firstLineChars="200"/>
        <w:textAlignment w:val="auto"/>
        <w:rPr>
          <w:rFonts w:hint="default"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4.1</w:t>
      </w:r>
      <w:r>
        <w:rPr>
          <w:rFonts w:hint="eastAsia" w:hAnsi="宋体" w:cs="宋体"/>
          <w:b/>
          <w:bCs/>
          <w:color w:val="auto"/>
          <w:kern w:val="2"/>
          <w:sz w:val="28"/>
          <w:szCs w:val="28"/>
          <w:highlight w:val="none"/>
          <w:lang w:val="en-US" w:eastAsia="zh-CN" w:bidi="ar-SA"/>
        </w:rPr>
        <w:t xml:space="preserve"> </w:t>
      </w:r>
      <w:r>
        <w:rPr>
          <w:rFonts w:hint="eastAsia" w:ascii="宋体" w:hAnsi="宋体" w:eastAsia="宋体" w:cs="宋体"/>
          <w:b/>
          <w:bCs/>
          <w:color w:val="auto"/>
          <w:kern w:val="2"/>
          <w:sz w:val="28"/>
          <w:szCs w:val="28"/>
          <w:highlight w:val="none"/>
          <w:lang w:val="en-US" w:eastAsia="zh-CN" w:bidi="ar-SA"/>
        </w:rPr>
        <w:t>设计思路</w:t>
      </w:r>
    </w:p>
    <w:p>
      <w:pPr>
        <w:pStyle w:val="27"/>
        <w:spacing w:after="0" w:line="440" w:lineRule="exact"/>
        <w:ind w:left="0" w:leftChars="0" w:firstLineChars="200"/>
        <w:rPr>
          <w:rFonts w:ascii="宋体" w:hAnsi="宋体" w:eastAsia="宋体"/>
          <w:color w:val="auto"/>
          <w:sz w:val="21"/>
          <w:szCs w:val="21"/>
          <w:highlight w:val="none"/>
        </w:rPr>
      </w:pPr>
      <w:r>
        <w:rPr>
          <w:rFonts w:hint="eastAsia" w:ascii="宋体" w:hAnsi="宋体" w:eastAsia="宋体"/>
          <w:color w:val="auto"/>
          <w:highlight w:val="none"/>
          <w:lang w:val="en-US" w:eastAsia="zh-CN"/>
        </w:rPr>
        <w:t>APP作为一个服务平台，</w:t>
      </w:r>
      <w:r>
        <w:rPr>
          <w:rFonts w:hint="eastAsia" w:ascii="宋体" w:hAnsi="宋体" w:eastAsia="宋体"/>
          <w:color w:val="auto"/>
          <w:sz w:val="21"/>
          <w:szCs w:val="21"/>
          <w:highlight w:val="none"/>
        </w:rPr>
        <w:t>本着“应上尽上，重点先行”的原则，</w:t>
      </w:r>
      <w:r>
        <w:rPr>
          <w:rFonts w:hint="eastAsia" w:ascii="宋体" w:hAnsi="宋体" w:eastAsia="宋体"/>
          <w:color w:val="auto"/>
          <w:sz w:val="21"/>
          <w:szCs w:val="21"/>
          <w:highlight w:val="none"/>
          <w:lang w:val="en-US" w:eastAsia="zh-CN"/>
        </w:rPr>
        <w:t>以对接已建成的功能应用为主要方式。</w:t>
      </w:r>
      <w:r>
        <w:rPr>
          <w:rFonts w:hint="eastAsia" w:ascii="宋体" w:hAnsi="宋体" w:eastAsia="宋体"/>
          <w:color w:val="auto"/>
          <w:highlight w:val="none"/>
        </w:rPr>
        <w:t>其中</w:t>
      </w:r>
      <w:r>
        <w:rPr>
          <w:rFonts w:hint="eastAsia" w:ascii="宋体" w:hAnsi="宋体" w:eastAsia="宋体"/>
          <w:color w:val="auto"/>
          <w:highlight w:val="none"/>
          <w:lang w:val="en-US" w:eastAsia="zh-CN"/>
        </w:rPr>
        <w:t>原爱常山新闻客户端完成</w:t>
      </w:r>
      <w:r>
        <w:rPr>
          <w:rFonts w:hint="eastAsia" w:ascii="宋体" w:hAnsi="宋体" w:eastAsia="宋体"/>
          <w:color w:val="auto"/>
          <w:highlight w:val="none"/>
        </w:rPr>
        <w:t>数据层面对接</w:t>
      </w:r>
      <w:r>
        <w:rPr>
          <w:rFonts w:hint="eastAsia" w:ascii="宋体" w:hAnsi="宋体" w:eastAsia="宋体"/>
          <w:color w:val="auto"/>
          <w:highlight w:val="none"/>
          <w:lang w:eastAsia="zh-CN"/>
        </w:rPr>
        <w:t>，</w:t>
      </w:r>
      <w:r>
        <w:rPr>
          <w:rFonts w:hint="eastAsia" w:ascii="宋体" w:hAnsi="宋体" w:eastAsia="宋体"/>
          <w:color w:val="auto"/>
          <w:highlight w:val="none"/>
        </w:rPr>
        <w:t>原U点通公众号应用</w:t>
      </w:r>
      <w:r>
        <w:rPr>
          <w:rFonts w:hint="eastAsia" w:ascii="宋体" w:hAnsi="宋体" w:eastAsia="宋体"/>
          <w:color w:val="auto"/>
          <w:highlight w:val="none"/>
          <w:lang w:eastAsia="zh-CN"/>
        </w:rPr>
        <w:t>、</w:t>
      </w:r>
      <w:r>
        <w:rPr>
          <w:rFonts w:hint="eastAsia" w:ascii="宋体" w:hAnsi="宋体" w:eastAsia="宋体"/>
          <w:color w:val="auto"/>
          <w:highlight w:val="none"/>
          <w:lang w:val="en-US" w:eastAsia="zh-CN"/>
        </w:rPr>
        <w:t>其它</w:t>
      </w:r>
      <w:r>
        <w:rPr>
          <w:rFonts w:hint="eastAsia" w:ascii="宋体" w:hAnsi="宋体" w:eastAsia="宋体"/>
          <w:color w:val="auto"/>
          <w:highlight w:val="none"/>
        </w:rPr>
        <w:t>自建</w:t>
      </w:r>
      <w:r>
        <w:rPr>
          <w:rFonts w:hint="eastAsia" w:ascii="宋体" w:hAnsi="宋体" w:eastAsia="宋体"/>
          <w:color w:val="auto"/>
          <w:highlight w:val="none"/>
          <w:lang w:val="en-US" w:eastAsia="zh-CN"/>
        </w:rPr>
        <w:t>的</w:t>
      </w:r>
      <w:r>
        <w:rPr>
          <w:rFonts w:hint="eastAsia" w:ascii="宋体" w:hAnsi="宋体" w:eastAsia="宋体"/>
          <w:color w:val="auto"/>
          <w:highlight w:val="none"/>
        </w:rPr>
        <w:t>第三方应用由原应用</w:t>
      </w:r>
      <w:r>
        <w:rPr>
          <w:rFonts w:hint="eastAsia" w:ascii="宋体" w:hAnsi="宋体" w:eastAsia="宋体"/>
          <w:color w:val="auto"/>
          <w:highlight w:val="none"/>
          <w:lang w:val="en-US" w:eastAsia="zh-CN"/>
        </w:rPr>
        <w:t>开发商，</w:t>
      </w:r>
      <w:r>
        <w:rPr>
          <w:rFonts w:hint="eastAsia" w:ascii="宋体" w:hAnsi="宋体" w:eastAsia="宋体"/>
          <w:color w:val="auto"/>
          <w:highlight w:val="none"/>
        </w:rPr>
        <w:t>根据接入文档完成接入。</w:t>
      </w:r>
      <w:r>
        <w:rPr>
          <w:rFonts w:hint="eastAsia" w:ascii="宋体" w:hAnsi="宋体" w:eastAsia="宋体"/>
          <w:color w:val="auto"/>
          <w:sz w:val="21"/>
          <w:szCs w:val="21"/>
          <w:highlight w:val="none"/>
        </w:rPr>
        <w:t>具体设计思路如下：</w:t>
      </w:r>
    </w:p>
    <w:p>
      <w:pPr>
        <w:pStyle w:val="87"/>
        <w:numPr>
          <w:ilvl w:val="0"/>
          <w:numId w:val="8"/>
        </w:numPr>
        <w:spacing w:line="440" w:lineRule="exact"/>
        <w:ind w:left="0" w:firstLine="420"/>
        <w:rPr>
          <w:rFonts w:ascii="宋体" w:hAnsi="宋体" w:eastAsia="宋体"/>
          <w:color w:val="auto"/>
          <w:sz w:val="21"/>
          <w:szCs w:val="21"/>
          <w:highlight w:val="none"/>
        </w:rPr>
      </w:pPr>
      <w:r>
        <w:rPr>
          <w:rFonts w:hint="eastAsia" w:ascii="宋体" w:hAnsi="宋体" w:eastAsia="宋体"/>
          <w:color w:val="auto"/>
          <w:sz w:val="21"/>
          <w:szCs w:val="21"/>
          <w:highlight w:val="none"/>
        </w:rPr>
        <w:t>确立每个应用SDK封装格式</w:t>
      </w:r>
    </w:p>
    <w:p>
      <w:pPr>
        <w:pStyle w:val="87"/>
        <w:spacing w:line="440" w:lineRule="exact"/>
        <w:ind w:firstLine="420"/>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理清</w:t>
      </w:r>
      <w:r>
        <w:rPr>
          <w:rFonts w:hint="eastAsia" w:ascii="宋体" w:hAnsi="宋体" w:eastAsia="宋体"/>
          <w:color w:val="auto"/>
          <w:sz w:val="21"/>
          <w:szCs w:val="21"/>
          <w:highlight w:val="none"/>
        </w:rPr>
        <w:t>每个应用技术封装模式，对接合适的API接口规范。</w:t>
      </w:r>
    </w:p>
    <w:p>
      <w:pPr>
        <w:pStyle w:val="87"/>
        <w:numPr>
          <w:ilvl w:val="0"/>
          <w:numId w:val="8"/>
        </w:numPr>
        <w:spacing w:line="440" w:lineRule="exact"/>
        <w:ind w:left="0" w:firstLine="420"/>
        <w:rPr>
          <w:rFonts w:ascii="宋体" w:hAnsi="宋体" w:eastAsia="宋体"/>
          <w:color w:val="auto"/>
          <w:sz w:val="21"/>
          <w:szCs w:val="21"/>
          <w:highlight w:val="none"/>
        </w:rPr>
      </w:pPr>
      <w:r>
        <w:rPr>
          <w:rFonts w:hint="eastAsia" w:ascii="宋体" w:hAnsi="宋体" w:eastAsia="宋体"/>
          <w:color w:val="auto"/>
          <w:sz w:val="21"/>
          <w:szCs w:val="21"/>
          <w:highlight w:val="none"/>
        </w:rPr>
        <w:t>建立统一身份认证体系</w:t>
      </w:r>
    </w:p>
    <w:p>
      <w:pPr>
        <w:pStyle w:val="87"/>
        <w:spacing w:line="440" w:lineRule="exact"/>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需打通各个应用与APP的用户数据，进行统一身份认证，要对身份认证方式、数据结构、对接方式进行接口开发，目标是达成用户能</w:t>
      </w:r>
      <w:r>
        <w:rPr>
          <w:rFonts w:hint="eastAsia" w:ascii="宋体" w:hAnsi="宋体" w:eastAsia="宋体"/>
          <w:color w:val="auto"/>
          <w:sz w:val="21"/>
          <w:szCs w:val="21"/>
          <w:highlight w:val="none"/>
          <w:lang w:val="en-US" w:eastAsia="zh-CN"/>
        </w:rPr>
        <w:t>通过</w:t>
      </w:r>
      <w:r>
        <w:rPr>
          <w:rFonts w:hint="eastAsia" w:ascii="宋体" w:hAnsi="宋体" w:eastAsia="宋体"/>
          <w:color w:val="auto"/>
          <w:sz w:val="21"/>
          <w:szCs w:val="21"/>
          <w:highlight w:val="none"/>
        </w:rPr>
        <w:t>单点登陆方式访问各个应用，增加用户的体验和获得感。</w:t>
      </w:r>
    </w:p>
    <w:p>
      <w:pPr>
        <w:pStyle w:val="87"/>
        <w:numPr>
          <w:ilvl w:val="0"/>
          <w:numId w:val="8"/>
        </w:numPr>
        <w:spacing w:line="440" w:lineRule="exact"/>
        <w:ind w:left="0" w:firstLine="420"/>
        <w:rPr>
          <w:rFonts w:ascii="宋体" w:hAnsi="宋体" w:eastAsia="宋体"/>
          <w:color w:val="auto"/>
          <w:sz w:val="21"/>
          <w:szCs w:val="21"/>
          <w:highlight w:val="none"/>
        </w:rPr>
      </w:pPr>
      <w:r>
        <w:rPr>
          <w:rFonts w:hint="eastAsia" w:ascii="宋体" w:hAnsi="宋体" w:eastAsia="宋体"/>
          <w:color w:val="auto"/>
          <w:sz w:val="21"/>
          <w:szCs w:val="21"/>
          <w:highlight w:val="none"/>
        </w:rPr>
        <w:t>明确数据传输权责边界</w:t>
      </w:r>
    </w:p>
    <w:p>
      <w:pPr>
        <w:pStyle w:val="87"/>
        <w:spacing w:line="440" w:lineRule="exact"/>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各个应用应按照数据落地优先的原则，建立数据传输、共享时权责清单，按照谁发送谁负责，谁管理谁负责的原则，进行数据安全管理。对某些展示不能落地的应用，也应该建立数据接口规范。</w:t>
      </w:r>
    </w:p>
    <w:p>
      <w:pPr>
        <w:pStyle w:val="7"/>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562" w:firstLineChars="200"/>
        <w:textAlignment w:val="auto"/>
        <w:rPr>
          <w:rFonts w:hint="default" w:ascii="宋体" w:hAnsi="宋体" w:eastAsia="宋体" w:cs="宋体"/>
          <w:b/>
          <w:bCs/>
          <w:color w:val="auto"/>
          <w:kern w:val="2"/>
          <w:sz w:val="28"/>
          <w:szCs w:val="28"/>
          <w:highlight w:val="none"/>
          <w:lang w:val="en-US" w:eastAsia="zh-CN" w:bidi="ar-SA"/>
        </w:rPr>
      </w:pPr>
      <w:bookmarkStart w:id="91" w:name="_Toc25721"/>
      <w:r>
        <w:rPr>
          <w:rFonts w:hint="eastAsia" w:ascii="宋体" w:hAnsi="宋体" w:eastAsia="宋体" w:cs="宋体"/>
          <w:b/>
          <w:bCs/>
          <w:color w:val="auto"/>
          <w:kern w:val="2"/>
          <w:sz w:val="28"/>
          <w:szCs w:val="28"/>
          <w:highlight w:val="none"/>
          <w:lang w:val="en-US" w:eastAsia="zh-CN" w:bidi="ar-SA"/>
        </w:rPr>
        <w:t>4.2 APP启动页</w:t>
      </w:r>
    </w:p>
    <w:p>
      <w:pPr>
        <w:pStyle w:val="87"/>
        <w:spacing w:line="440" w:lineRule="exact"/>
        <w:ind w:firstLine="420"/>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在APP启动时实现启动页、闪屏页展示，可进行品牌露出和广告投放。具备时长设置和选择跳过功能，并可在APP管理后台编辑更换动画或海报内容，支持配置点击跳转到相应的新闻和网页。</w:t>
      </w:r>
    </w:p>
    <w:p>
      <w:pPr>
        <w:pStyle w:val="7"/>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562" w:firstLineChars="200"/>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4.3“服务”板块应用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主要包</w:t>
      </w:r>
      <w:r>
        <w:rPr>
          <w:rFonts w:hint="eastAsia" w:ascii="宋体" w:hAnsi="宋体" w:cs="宋体"/>
          <w:color w:val="auto"/>
          <w:szCs w:val="21"/>
          <w:highlight w:val="none"/>
          <w:lang w:val="en-US" w:eastAsia="zh-CN"/>
        </w:rPr>
        <w:t>括</w:t>
      </w:r>
      <w:r>
        <w:rPr>
          <w:rFonts w:hint="eastAsia" w:ascii="宋体" w:hAnsi="宋体" w:eastAsia="宋体"/>
          <w:color w:val="auto"/>
          <w:highlight w:val="none"/>
        </w:rPr>
        <w:t>我要办事、我要查询、我</w:t>
      </w:r>
      <w:r>
        <w:rPr>
          <w:rFonts w:hint="eastAsia" w:ascii="宋体" w:hAnsi="宋体"/>
          <w:color w:val="auto"/>
          <w:highlight w:val="none"/>
          <w:lang w:val="en-US" w:eastAsia="zh-CN"/>
        </w:rPr>
        <w:t>有建议</w:t>
      </w:r>
      <w:r>
        <w:rPr>
          <w:rFonts w:hint="eastAsia" w:ascii="宋体" w:hAnsi="宋体" w:eastAsia="宋体"/>
          <w:color w:val="auto"/>
          <w:highlight w:val="none"/>
        </w:rPr>
        <w:t>、我</w:t>
      </w:r>
      <w:r>
        <w:rPr>
          <w:rFonts w:hint="eastAsia" w:ascii="宋体" w:hAnsi="宋体"/>
          <w:color w:val="auto"/>
          <w:highlight w:val="none"/>
          <w:lang w:val="en-US" w:eastAsia="zh-CN"/>
        </w:rPr>
        <w:t>有反映</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六</w:t>
      </w:r>
      <w:r>
        <w:rPr>
          <w:rFonts w:hint="eastAsia" w:ascii="宋体" w:hAnsi="宋体" w:cs="宋体"/>
          <w:color w:val="auto"/>
          <w:szCs w:val="21"/>
          <w:highlight w:val="none"/>
        </w:rPr>
        <w:t>大常山、热门栏目以及搜索、</w:t>
      </w:r>
      <w:r>
        <w:rPr>
          <w:rFonts w:hint="eastAsia" w:ascii="宋体" w:hAnsi="宋体" w:cs="宋体"/>
          <w:color w:val="auto"/>
          <w:szCs w:val="21"/>
          <w:highlight w:val="none"/>
          <w:lang w:val="en-US" w:eastAsia="zh-CN"/>
        </w:rPr>
        <w:t>天气、</w:t>
      </w:r>
      <w:r>
        <w:rPr>
          <w:rFonts w:hint="eastAsia" w:ascii="宋体" w:hAnsi="宋体" w:cs="宋体"/>
          <w:color w:val="auto"/>
          <w:szCs w:val="21"/>
          <w:highlight w:val="none"/>
        </w:rPr>
        <w:t>扫码等应用。</w:t>
      </w:r>
    </w:p>
    <w:bookmarkEnd w:id="91"/>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eastAsia" w:asciiTheme="majorEastAsia" w:hAnsiTheme="majorEastAsia" w:eastAsiaTheme="majorEastAsia" w:cstheme="majorEastAsia"/>
          <w:b/>
          <w:bCs/>
          <w:color w:val="auto"/>
          <w:kern w:val="2"/>
          <w:sz w:val="24"/>
          <w:szCs w:val="24"/>
          <w:highlight w:val="none"/>
          <w:lang w:val="en-US" w:eastAsia="zh-CN" w:bidi="ar-SA"/>
        </w:rPr>
      </w:pPr>
      <w:r>
        <w:rPr>
          <w:rFonts w:hint="eastAsia" w:asciiTheme="majorEastAsia" w:hAnsiTheme="majorEastAsia" w:eastAsiaTheme="majorEastAsia" w:cstheme="majorEastAsia"/>
          <w:b/>
          <w:bCs/>
          <w:color w:val="auto"/>
          <w:kern w:val="2"/>
          <w:sz w:val="24"/>
          <w:szCs w:val="24"/>
          <w:highlight w:val="none"/>
          <w:lang w:val="en-US" w:eastAsia="zh-CN" w:bidi="ar-SA"/>
        </w:rPr>
        <w:t>4.3.1 搜索</w:t>
      </w:r>
    </w:p>
    <w:p>
      <w:pPr>
        <w:spacing w:line="440" w:lineRule="exact"/>
        <w:ind w:firstLine="420" w:firstLineChars="200"/>
        <w:rPr>
          <w:rFonts w:hint="eastAsia"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可以搜索需要办理的服务事项，展示用户的历史搜索记录以及APP平台的热门搜索内容；搜索APP所有关键字信息数据，按</w:t>
      </w:r>
      <w:r>
        <w:rPr>
          <w:rFonts w:hint="eastAsia" w:cs="宋体"/>
          <w:b w:val="0"/>
          <w:bCs w:val="0"/>
          <w:color w:val="auto"/>
          <w:kern w:val="2"/>
          <w:sz w:val="21"/>
          <w:szCs w:val="21"/>
          <w:highlight w:val="none"/>
          <w:lang w:val="en-US" w:eastAsia="zh-CN" w:bidi="ar-SA"/>
        </w:rPr>
        <w:t>板块</w:t>
      </w:r>
      <w:r>
        <w:rPr>
          <w:rFonts w:hint="eastAsia" w:ascii="宋体" w:hAnsi="宋体" w:eastAsia="宋体" w:cs="宋体"/>
          <w:b w:val="0"/>
          <w:bCs w:val="0"/>
          <w:color w:val="auto"/>
          <w:kern w:val="2"/>
          <w:sz w:val="21"/>
          <w:szCs w:val="21"/>
          <w:highlight w:val="none"/>
          <w:lang w:val="en-US" w:eastAsia="zh-CN" w:bidi="ar-SA"/>
        </w:rPr>
        <w:t>进行</w:t>
      </w:r>
      <w:r>
        <w:rPr>
          <w:rFonts w:hint="eastAsia" w:cs="宋体"/>
          <w:b w:val="0"/>
          <w:bCs w:val="0"/>
          <w:color w:val="auto"/>
          <w:kern w:val="2"/>
          <w:sz w:val="21"/>
          <w:szCs w:val="21"/>
          <w:highlight w:val="none"/>
          <w:lang w:val="en-US" w:eastAsia="zh-CN" w:bidi="ar-SA"/>
        </w:rPr>
        <w:t>分类</w:t>
      </w:r>
      <w:r>
        <w:rPr>
          <w:rFonts w:hint="eastAsia" w:ascii="宋体" w:hAnsi="宋体" w:eastAsia="宋体" w:cs="宋体"/>
          <w:b w:val="0"/>
          <w:bCs w:val="0"/>
          <w:color w:val="auto"/>
          <w:kern w:val="2"/>
          <w:sz w:val="21"/>
          <w:szCs w:val="21"/>
          <w:highlight w:val="none"/>
          <w:lang w:val="en-US" w:eastAsia="zh-CN" w:bidi="ar-SA"/>
        </w:rPr>
        <w:t>展示</w:t>
      </w:r>
      <w:r>
        <w:rPr>
          <w:rFonts w:hint="eastAsia" w:cs="宋体"/>
          <w:b w:val="0"/>
          <w:bCs w:val="0"/>
          <w:color w:val="auto"/>
          <w:kern w:val="2"/>
          <w:sz w:val="21"/>
          <w:szCs w:val="21"/>
          <w:highlight w:val="none"/>
          <w:lang w:val="en-US" w:eastAsia="zh-CN" w:bidi="ar-SA"/>
        </w:rPr>
        <w:t>。开发各类搜索探针，对接应用、内容数据库。</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default" w:asciiTheme="majorEastAsia" w:hAnsiTheme="majorEastAsia" w:eastAsiaTheme="majorEastAsia" w:cstheme="majorEastAsia"/>
          <w:b/>
          <w:bCs/>
          <w:color w:val="auto"/>
          <w:kern w:val="2"/>
          <w:sz w:val="24"/>
          <w:szCs w:val="24"/>
          <w:highlight w:val="none"/>
          <w:lang w:val="en-US" w:eastAsia="zh-CN" w:bidi="ar-SA"/>
        </w:rPr>
      </w:pPr>
      <w:r>
        <w:rPr>
          <w:rFonts w:hint="eastAsia" w:asciiTheme="majorEastAsia" w:hAnsiTheme="majorEastAsia" w:eastAsiaTheme="majorEastAsia" w:cstheme="majorEastAsia"/>
          <w:b/>
          <w:bCs/>
          <w:color w:val="auto"/>
          <w:kern w:val="2"/>
          <w:sz w:val="24"/>
          <w:szCs w:val="24"/>
          <w:highlight w:val="none"/>
          <w:lang w:val="en-US" w:eastAsia="zh-CN" w:bidi="ar-SA"/>
        </w:rPr>
        <w:t>4.3.2 天气</w:t>
      </w:r>
    </w:p>
    <w:p>
      <w:pPr>
        <w:pStyle w:val="27"/>
        <w:numPr>
          <w:ilvl w:val="0"/>
          <w:numId w:val="0"/>
        </w:numPr>
        <w:spacing w:after="0" w:line="440" w:lineRule="exact"/>
        <w:ind w:leftChars="200"/>
        <w:rPr>
          <w:rFonts w:hint="eastAsia"/>
          <w:color w:val="auto"/>
          <w:highlight w:val="none"/>
          <w:lang w:val="en-US" w:eastAsia="zh-CN"/>
        </w:rPr>
      </w:pPr>
      <w:r>
        <w:rPr>
          <w:rFonts w:hint="eastAsia" w:ascii="宋体" w:hAnsi="宋体" w:eastAsia="宋体" w:cs="Times New Roman"/>
          <w:b w:val="0"/>
          <w:bCs w:val="0"/>
          <w:color w:val="auto"/>
          <w:kern w:val="2"/>
          <w:sz w:val="21"/>
          <w:szCs w:val="22"/>
          <w:highlight w:val="none"/>
          <w:lang w:val="en-US" w:eastAsia="zh-CN" w:bidi="ar-SA"/>
        </w:rPr>
        <w:t>对接常山气象局实时天气数据进行展示，接通天气预警数据，点击进入二级页面进行查看</w:t>
      </w:r>
      <w:r>
        <w:rPr>
          <w:rFonts w:hint="eastAsia" w:cs="Times New Roman"/>
          <w:b w:val="0"/>
          <w:bCs w:val="0"/>
          <w:color w:val="auto"/>
          <w:kern w:val="2"/>
          <w:sz w:val="21"/>
          <w:szCs w:val="22"/>
          <w:highlight w:val="none"/>
          <w:lang w:val="en-US" w:eastAsia="zh-CN" w:bidi="ar-SA"/>
        </w:rPr>
        <w:t>。</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eastAsia" w:asciiTheme="majorEastAsia" w:hAnsiTheme="majorEastAsia" w:eastAsiaTheme="majorEastAsia" w:cstheme="majorEastAsia"/>
          <w:b/>
          <w:bCs/>
          <w:color w:val="auto"/>
          <w:kern w:val="2"/>
          <w:sz w:val="24"/>
          <w:szCs w:val="24"/>
          <w:highlight w:val="none"/>
          <w:lang w:val="en-US" w:eastAsia="zh-CN" w:bidi="ar-SA"/>
        </w:rPr>
      </w:pPr>
      <w:r>
        <w:rPr>
          <w:rFonts w:hint="eastAsia" w:asciiTheme="majorEastAsia" w:hAnsiTheme="majorEastAsia" w:eastAsiaTheme="majorEastAsia" w:cstheme="majorEastAsia"/>
          <w:b/>
          <w:bCs/>
          <w:color w:val="auto"/>
          <w:kern w:val="2"/>
          <w:sz w:val="24"/>
          <w:szCs w:val="24"/>
          <w:highlight w:val="none"/>
          <w:lang w:val="en-US" w:eastAsia="zh-CN" w:bidi="ar-SA"/>
        </w:rPr>
        <w:t>4.3.3 我要办事</w:t>
      </w:r>
    </w:p>
    <w:p>
      <w:pPr>
        <w:spacing w:line="440" w:lineRule="exact"/>
        <w:ind w:firstLine="420" w:firstLineChars="200"/>
        <w:rPr>
          <w:rFonts w:hint="eastAsia" w:ascii="宋体" w:hAnsi="宋体"/>
          <w:color w:val="auto"/>
          <w:highlight w:val="none"/>
          <w:lang w:val="en-US" w:eastAsia="zh-CN"/>
        </w:rPr>
      </w:pPr>
      <w:r>
        <w:rPr>
          <w:rFonts w:hint="eastAsia" w:ascii="宋体" w:hAnsi="宋体" w:eastAsia="宋体"/>
          <w:color w:val="auto"/>
          <w:highlight w:val="none"/>
        </w:rPr>
        <w:t>展示APP平台热度较高的服务</w:t>
      </w:r>
      <w:r>
        <w:rPr>
          <w:rFonts w:hint="eastAsia" w:ascii="宋体" w:hAnsi="宋体"/>
          <w:color w:val="auto"/>
          <w:highlight w:val="none"/>
          <w:lang w:val="en-US" w:eastAsia="zh-CN"/>
        </w:rPr>
        <w:t>应用</w:t>
      </w:r>
      <w:r>
        <w:rPr>
          <w:rFonts w:hint="eastAsia" w:ascii="宋体" w:hAnsi="宋体" w:eastAsia="宋体"/>
          <w:color w:val="auto"/>
          <w:highlight w:val="none"/>
        </w:rPr>
        <w:t>，展示浙里办</w:t>
      </w:r>
      <w:r>
        <w:rPr>
          <w:rFonts w:hint="eastAsia" w:ascii="宋体" w:hAnsi="宋体"/>
          <w:color w:val="auto"/>
          <w:highlight w:val="none"/>
          <w:lang w:val="en-US" w:eastAsia="zh-CN"/>
        </w:rPr>
        <w:t>高频使用的</w:t>
      </w:r>
      <w:r>
        <w:rPr>
          <w:rFonts w:hint="eastAsia" w:ascii="宋体" w:hAnsi="宋体" w:eastAsia="宋体"/>
          <w:color w:val="auto"/>
          <w:highlight w:val="none"/>
        </w:rPr>
        <w:t>个人办事、企业办事</w:t>
      </w:r>
      <w:r>
        <w:rPr>
          <w:rFonts w:hint="eastAsia" w:ascii="宋体" w:hAnsi="宋体"/>
          <w:color w:val="auto"/>
          <w:highlight w:val="none"/>
          <w:lang w:val="en-US" w:eastAsia="zh-CN"/>
        </w:rPr>
        <w:t>等</w:t>
      </w:r>
      <w:r>
        <w:rPr>
          <w:rFonts w:hint="eastAsia" w:ascii="宋体" w:hAnsi="宋体" w:eastAsia="宋体"/>
          <w:color w:val="auto"/>
          <w:highlight w:val="none"/>
        </w:rPr>
        <w:t>办理事项</w:t>
      </w:r>
      <w:r>
        <w:rPr>
          <w:rFonts w:hint="eastAsia" w:ascii="宋体" w:hAnsi="宋体"/>
          <w:color w:val="auto"/>
          <w:highlight w:val="none"/>
          <w:lang w:val="en-US" w:eastAsia="zh-CN"/>
        </w:rPr>
        <w:t>的指南和提示对话框</w:t>
      </w:r>
      <w:r>
        <w:rPr>
          <w:rFonts w:hint="eastAsia" w:ascii="宋体" w:hAnsi="宋体"/>
          <w:color w:val="auto"/>
          <w:highlight w:val="none"/>
          <w:lang w:eastAsia="zh-CN"/>
        </w:rPr>
        <w:t>，</w:t>
      </w:r>
      <w:r>
        <w:rPr>
          <w:rFonts w:hint="eastAsia" w:ascii="宋体" w:hAnsi="宋体"/>
          <w:color w:val="auto"/>
          <w:highlight w:val="none"/>
          <w:lang w:val="en-US" w:eastAsia="zh-CN"/>
        </w:rPr>
        <w:t>展示APP本地应用办事子模块并可直接进入操作。</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eastAsia" w:asciiTheme="majorEastAsia" w:hAnsiTheme="majorEastAsia" w:eastAsiaTheme="majorEastAsia" w:cstheme="majorEastAsia"/>
          <w:b/>
          <w:bCs/>
          <w:color w:val="auto"/>
          <w:kern w:val="2"/>
          <w:sz w:val="24"/>
          <w:szCs w:val="24"/>
          <w:highlight w:val="none"/>
          <w:lang w:val="en-US" w:eastAsia="zh-CN" w:bidi="ar-SA"/>
        </w:rPr>
      </w:pPr>
      <w:r>
        <w:rPr>
          <w:rFonts w:hint="eastAsia" w:asciiTheme="majorEastAsia" w:hAnsiTheme="majorEastAsia" w:eastAsiaTheme="majorEastAsia" w:cstheme="majorEastAsia"/>
          <w:b/>
          <w:bCs/>
          <w:color w:val="auto"/>
          <w:kern w:val="2"/>
          <w:sz w:val="24"/>
          <w:szCs w:val="24"/>
          <w:highlight w:val="none"/>
          <w:lang w:val="en-US" w:eastAsia="zh-CN" w:bidi="ar-SA"/>
        </w:rPr>
        <w:t>4.3.4 我要查询</w:t>
      </w:r>
    </w:p>
    <w:p>
      <w:pPr>
        <w:spacing w:line="440" w:lineRule="exact"/>
        <w:ind w:firstLine="420" w:firstLineChars="200"/>
        <w:rPr>
          <w:rFonts w:hint="default" w:ascii="宋体" w:hAnsi="宋体" w:eastAsia="宋体"/>
          <w:color w:val="auto"/>
          <w:highlight w:val="none"/>
          <w:lang w:val="en-US" w:eastAsia="zh-CN"/>
        </w:rPr>
      </w:pPr>
      <w:r>
        <w:rPr>
          <w:rFonts w:hint="eastAsia" w:ascii="宋体" w:hAnsi="宋体"/>
          <w:color w:val="auto"/>
          <w:highlight w:val="none"/>
          <w:lang w:val="en-US" w:eastAsia="zh-CN"/>
        </w:rPr>
        <w:t>设置美食/外卖、休闲/玩乐、酒店/民宿、景点/门票等子栏目，提供常山本地的相关商家、酒店和景点的信息查询，用户可在站内进行搜索并保留历史搜索内容</w:t>
      </w:r>
      <w:r>
        <w:rPr>
          <w:rFonts w:hint="eastAsia" w:ascii="宋体" w:hAnsi="宋体"/>
          <w:color w:val="auto"/>
          <w:highlight w:val="none"/>
          <w:lang w:eastAsia="zh-CN"/>
        </w:rPr>
        <w:t>。</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default" w:asciiTheme="majorEastAsia" w:hAnsiTheme="majorEastAsia" w:eastAsiaTheme="majorEastAsia" w:cstheme="majorEastAsia"/>
          <w:b/>
          <w:bCs/>
          <w:color w:val="auto"/>
          <w:kern w:val="2"/>
          <w:sz w:val="24"/>
          <w:szCs w:val="24"/>
          <w:highlight w:val="none"/>
          <w:lang w:val="en-US" w:eastAsia="zh-CN" w:bidi="ar-SA"/>
        </w:rPr>
      </w:pPr>
      <w:r>
        <w:rPr>
          <w:rFonts w:hint="eastAsia" w:asciiTheme="majorEastAsia" w:hAnsiTheme="majorEastAsia" w:eastAsiaTheme="majorEastAsia" w:cstheme="majorEastAsia"/>
          <w:b/>
          <w:bCs/>
          <w:color w:val="auto"/>
          <w:kern w:val="2"/>
          <w:sz w:val="24"/>
          <w:szCs w:val="24"/>
          <w:highlight w:val="none"/>
          <w:lang w:val="en-US" w:eastAsia="zh-CN" w:bidi="ar-SA"/>
        </w:rPr>
        <w:t>4.3.5 我有建议</w:t>
      </w:r>
    </w:p>
    <w:p>
      <w:pPr>
        <w:spacing w:line="440" w:lineRule="exact"/>
        <w:ind w:firstLine="420" w:firstLineChars="200"/>
        <w:rPr>
          <w:rFonts w:hint="eastAsia" w:ascii="宋体" w:hAnsi="宋体"/>
          <w:color w:val="auto"/>
          <w:highlight w:val="none"/>
          <w:lang w:eastAsia="zh-CN"/>
        </w:rPr>
      </w:pPr>
      <w:r>
        <w:rPr>
          <w:rFonts w:hint="eastAsia" w:ascii="宋体" w:hAnsi="宋体" w:eastAsia="宋体"/>
          <w:color w:val="auto"/>
          <w:highlight w:val="none"/>
        </w:rPr>
        <w:t>展示</w:t>
      </w:r>
      <w:r>
        <w:rPr>
          <w:rFonts w:hint="eastAsia" w:ascii="宋体" w:hAnsi="宋体"/>
          <w:color w:val="auto"/>
          <w:highlight w:val="none"/>
          <w:lang w:val="en-US" w:eastAsia="zh-CN"/>
        </w:rPr>
        <w:t>用户</w:t>
      </w:r>
      <w:r>
        <w:rPr>
          <w:rFonts w:hint="eastAsia" w:ascii="宋体" w:hAnsi="宋体" w:eastAsia="宋体"/>
          <w:color w:val="auto"/>
          <w:highlight w:val="none"/>
        </w:rPr>
        <w:t>公开</w:t>
      </w:r>
      <w:r>
        <w:rPr>
          <w:rFonts w:hint="eastAsia" w:ascii="宋体" w:hAnsi="宋体"/>
          <w:color w:val="auto"/>
          <w:highlight w:val="none"/>
          <w:lang w:val="en-US" w:eastAsia="zh-CN"/>
        </w:rPr>
        <w:t>建议</w:t>
      </w:r>
      <w:r>
        <w:rPr>
          <w:rFonts w:hint="eastAsia" w:ascii="宋体" w:hAnsi="宋体" w:eastAsia="宋体"/>
          <w:color w:val="auto"/>
          <w:highlight w:val="none"/>
        </w:rPr>
        <w:t>的信息，</w:t>
      </w:r>
      <w:r>
        <w:rPr>
          <w:rFonts w:hint="eastAsia" w:ascii="宋体" w:hAnsi="宋体"/>
          <w:color w:val="auto"/>
          <w:highlight w:val="none"/>
          <w:lang w:val="en-US" w:eastAsia="zh-CN"/>
        </w:rPr>
        <w:t>用户</w:t>
      </w:r>
      <w:r>
        <w:rPr>
          <w:rFonts w:hint="eastAsia" w:ascii="宋体" w:hAnsi="宋体" w:eastAsia="宋体"/>
          <w:color w:val="auto"/>
          <w:highlight w:val="none"/>
        </w:rPr>
        <w:t>通过填写内容、上传图片、语音内容进行</w:t>
      </w:r>
      <w:r>
        <w:rPr>
          <w:rFonts w:hint="eastAsia" w:ascii="宋体" w:hAnsi="宋体"/>
          <w:color w:val="auto"/>
          <w:highlight w:val="none"/>
          <w:lang w:val="en-US" w:eastAsia="zh-CN"/>
        </w:rPr>
        <w:t>建议</w:t>
      </w:r>
      <w:r>
        <w:rPr>
          <w:rFonts w:hint="eastAsia" w:ascii="宋体" w:hAnsi="宋体"/>
          <w:color w:val="auto"/>
          <w:highlight w:val="none"/>
          <w:lang w:eastAsia="zh-CN"/>
        </w:rPr>
        <w:t>，</w:t>
      </w:r>
      <w:r>
        <w:rPr>
          <w:rFonts w:hint="eastAsia" w:ascii="宋体" w:hAnsi="宋体" w:eastAsia="宋体"/>
          <w:color w:val="auto"/>
          <w:highlight w:val="none"/>
        </w:rPr>
        <w:t>可以查看</w:t>
      </w:r>
      <w:r>
        <w:rPr>
          <w:rFonts w:hint="eastAsia" w:ascii="宋体" w:hAnsi="宋体"/>
          <w:color w:val="auto"/>
          <w:highlight w:val="none"/>
          <w:lang w:val="en-US" w:eastAsia="zh-CN"/>
        </w:rPr>
        <w:t>建议</w:t>
      </w:r>
      <w:r>
        <w:rPr>
          <w:rFonts w:hint="eastAsia" w:ascii="宋体" w:hAnsi="宋体" w:eastAsia="宋体"/>
          <w:color w:val="auto"/>
          <w:highlight w:val="none"/>
        </w:rPr>
        <w:t>的信息</w:t>
      </w:r>
      <w:r>
        <w:rPr>
          <w:rFonts w:hint="eastAsia" w:ascii="宋体" w:hAnsi="宋体"/>
          <w:color w:val="auto"/>
          <w:highlight w:val="none"/>
          <w:lang w:eastAsia="zh-CN"/>
        </w:rPr>
        <w:t>，</w:t>
      </w:r>
      <w:r>
        <w:rPr>
          <w:rFonts w:hint="eastAsia" w:ascii="宋体" w:hAnsi="宋体" w:eastAsia="宋体"/>
          <w:color w:val="auto"/>
          <w:highlight w:val="none"/>
        </w:rPr>
        <w:t>进行点赞操作</w:t>
      </w:r>
      <w:r>
        <w:rPr>
          <w:rFonts w:hint="eastAsia" w:ascii="宋体" w:hAnsi="宋体"/>
          <w:color w:val="auto"/>
          <w:highlight w:val="none"/>
          <w:lang w:val="en-US" w:eastAsia="zh-CN"/>
        </w:rPr>
        <w:t>等</w:t>
      </w:r>
      <w:r>
        <w:rPr>
          <w:rFonts w:hint="eastAsia" w:ascii="宋体" w:hAnsi="宋体"/>
          <w:color w:val="auto"/>
          <w:highlight w:val="none"/>
          <w:lang w:eastAsia="zh-CN"/>
        </w:rPr>
        <w:t>。</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default" w:asciiTheme="majorEastAsia" w:hAnsiTheme="majorEastAsia" w:eastAsiaTheme="majorEastAsia" w:cstheme="majorEastAsia"/>
          <w:b/>
          <w:bCs/>
          <w:color w:val="auto"/>
          <w:kern w:val="2"/>
          <w:sz w:val="24"/>
          <w:szCs w:val="24"/>
          <w:highlight w:val="none"/>
          <w:lang w:val="en-US" w:eastAsia="zh-CN" w:bidi="ar-SA"/>
        </w:rPr>
      </w:pPr>
      <w:r>
        <w:rPr>
          <w:rFonts w:hint="eastAsia" w:asciiTheme="majorEastAsia" w:hAnsiTheme="majorEastAsia" w:eastAsiaTheme="majorEastAsia" w:cstheme="majorEastAsia"/>
          <w:b/>
          <w:bCs/>
          <w:color w:val="auto"/>
          <w:kern w:val="2"/>
          <w:sz w:val="24"/>
          <w:szCs w:val="24"/>
          <w:highlight w:val="none"/>
          <w:lang w:val="en-US" w:eastAsia="zh-CN" w:bidi="ar-SA"/>
        </w:rPr>
        <w:t>4.3.6 我有反映</w:t>
      </w:r>
    </w:p>
    <w:p>
      <w:pPr>
        <w:spacing w:line="440" w:lineRule="exact"/>
        <w:ind w:firstLine="420" w:firstLineChars="200"/>
        <w:rPr>
          <w:rFonts w:hint="eastAsia" w:ascii="宋体" w:hAnsi="宋体" w:eastAsia="宋体"/>
          <w:color w:val="auto"/>
          <w:highlight w:val="none"/>
          <w:lang w:val="en-US" w:eastAsia="zh-CN"/>
        </w:rPr>
      </w:pPr>
      <w:r>
        <w:rPr>
          <w:rFonts w:hint="eastAsia" w:ascii="宋体" w:hAnsi="宋体"/>
          <w:color w:val="auto"/>
          <w:highlight w:val="none"/>
          <w:lang w:val="en-US" w:eastAsia="zh-CN"/>
        </w:rPr>
        <w:t>用户</w:t>
      </w:r>
      <w:r>
        <w:rPr>
          <w:rFonts w:hint="eastAsia" w:ascii="宋体" w:hAnsi="宋体" w:eastAsia="宋体"/>
          <w:color w:val="auto"/>
          <w:highlight w:val="none"/>
        </w:rPr>
        <w:t>根据选择需要并填写</w:t>
      </w:r>
      <w:r>
        <w:rPr>
          <w:rFonts w:hint="eastAsia" w:ascii="宋体" w:hAnsi="宋体"/>
          <w:color w:val="auto"/>
          <w:highlight w:val="none"/>
          <w:lang w:val="en-US" w:eastAsia="zh-CN"/>
        </w:rPr>
        <w:t>反映</w:t>
      </w:r>
      <w:r>
        <w:rPr>
          <w:rFonts w:hint="eastAsia" w:ascii="宋体" w:hAnsi="宋体" w:eastAsia="宋体"/>
          <w:color w:val="auto"/>
          <w:highlight w:val="none"/>
        </w:rPr>
        <w:t>的类型、上报到所属村社/乡镇/县级、是否需要县领导接待等相关内容进行信访件的上报</w:t>
      </w:r>
      <w:r>
        <w:rPr>
          <w:rFonts w:hint="eastAsia" w:ascii="宋体" w:hAnsi="宋体"/>
          <w:color w:val="auto"/>
          <w:highlight w:val="none"/>
          <w:lang w:eastAsia="zh-CN"/>
        </w:rPr>
        <w:t>。</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default" w:asciiTheme="majorEastAsia" w:hAnsiTheme="majorEastAsia" w:eastAsiaTheme="majorEastAsia" w:cstheme="majorEastAsia"/>
          <w:b/>
          <w:bCs/>
          <w:color w:val="auto"/>
          <w:kern w:val="2"/>
          <w:sz w:val="24"/>
          <w:szCs w:val="24"/>
          <w:highlight w:val="none"/>
          <w:lang w:val="en-US" w:eastAsia="zh-CN" w:bidi="ar-SA"/>
        </w:rPr>
      </w:pPr>
      <w:r>
        <w:rPr>
          <w:rFonts w:hint="eastAsia" w:asciiTheme="majorEastAsia" w:hAnsiTheme="majorEastAsia" w:eastAsiaTheme="majorEastAsia" w:cstheme="majorEastAsia"/>
          <w:b/>
          <w:bCs/>
          <w:color w:val="auto"/>
          <w:kern w:val="2"/>
          <w:sz w:val="24"/>
          <w:szCs w:val="24"/>
          <w:highlight w:val="none"/>
          <w:lang w:val="en-US" w:eastAsia="zh-CN" w:bidi="ar-SA"/>
        </w:rPr>
        <w:t>4.3.7 六大常山</w:t>
      </w:r>
    </w:p>
    <w:p>
      <w:pPr>
        <w:spacing w:line="440" w:lineRule="exact"/>
        <w:ind w:firstLine="420" w:firstLineChars="200"/>
        <w:rPr>
          <w:rFonts w:hint="eastAsia" w:ascii="宋体" w:hAnsi="宋体"/>
          <w:color w:val="auto"/>
          <w:highlight w:val="none"/>
          <w:lang w:val="en-US" w:eastAsia="zh-CN"/>
        </w:rPr>
      </w:pPr>
      <w:r>
        <w:rPr>
          <w:rFonts w:hint="eastAsia" w:ascii="宋体" w:hAnsi="宋体" w:eastAsia="宋体"/>
          <w:color w:val="auto"/>
          <w:highlight w:val="none"/>
        </w:rPr>
        <w:t>包含为民常山、活力常山、共富常山、幸福常山、文化常山、平安常山六大模块，</w:t>
      </w:r>
      <w:r>
        <w:rPr>
          <w:rFonts w:hint="eastAsia" w:ascii="宋体" w:hAnsi="宋体"/>
          <w:color w:val="auto"/>
          <w:highlight w:val="none"/>
          <w:lang w:val="en-US" w:eastAsia="zh-CN"/>
        </w:rPr>
        <w:t>分别对应党建整体智治、数字政府、数字经济、数字社会、数字文化、数字法治六大系统。对该栏目进行版面设计开发，第三方统一接口标准设计发布，为第三方应用接入进行接口调试。</w:t>
      </w:r>
    </w:p>
    <w:p>
      <w:pPr>
        <w:spacing w:line="440" w:lineRule="exact"/>
        <w:ind w:firstLine="422" w:firstLineChars="200"/>
        <w:rPr>
          <w:rFonts w:hint="eastAsia" w:ascii="宋体" w:hAnsi="宋体" w:eastAsia="宋体"/>
          <w:color w:val="auto"/>
          <w:highlight w:val="none"/>
        </w:rPr>
      </w:pPr>
      <w:r>
        <w:rPr>
          <w:rFonts w:hint="eastAsia" w:ascii="宋体" w:hAnsi="宋体" w:eastAsia="宋体"/>
          <w:b/>
          <w:bCs/>
          <w:color w:val="auto"/>
          <w:highlight w:val="none"/>
        </w:rPr>
        <w:t>为民常山</w:t>
      </w:r>
      <w:r>
        <w:rPr>
          <w:rFonts w:hint="eastAsia" w:ascii="宋体" w:hAnsi="宋体"/>
          <w:color w:val="auto"/>
          <w:highlight w:val="none"/>
          <w:lang w:eastAsia="zh-CN"/>
        </w:rPr>
        <w:t>：</w:t>
      </w:r>
      <w:r>
        <w:rPr>
          <w:rFonts w:hint="eastAsia" w:ascii="宋体" w:hAnsi="宋体" w:eastAsia="宋体"/>
          <w:color w:val="auto"/>
          <w:highlight w:val="none"/>
        </w:rPr>
        <w:t>接入</w:t>
      </w:r>
      <w:r>
        <w:rPr>
          <w:rFonts w:hint="eastAsia" w:ascii="宋体" w:hAnsi="宋体"/>
          <w:color w:val="auto"/>
          <w:highlight w:val="none"/>
          <w:lang w:val="en-US" w:eastAsia="zh-CN"/>
        </w:rPr>
        <w:t>一键智训</w:t>
      </w:r>
      <w:r>
        <w:rPr>
          <w:rFonts w:hint="eastAsia" w:ascii="宋体" w:hAnsi="宋体" w:eastAsia="宋体"/>
          <w:color w:val="auto"/>
          <w:highlight w:val="none"/>
        </w:rPr>
        <w:t>、农村党员先锋指数考评、</w:t>
      </w:r>
      <w:r>
        <w:rPr>
          <w:rFonts w:hint="eastAsia" w:ascii="宋体" w:hAnsi="宋体"/>
          <w:color w:val="auto"/>
          <w:highlight w:val="none"/>
          <w:lang w:val="en-US" w:eastAsia="zh-CN"/>
        </w:rPr>
        <w:t>政企通、村情通、邻礼通</w:t>
      </w:r>
      <w:r>
        <w:rPr>
          <w:rFonts w:hint="eastAsia" w:ascii="宋体" w:hAnsi="宋体" w:eastAsia="宋体"/>
          <w:color w:val="auto"/>
          <w:highlight w:val="none"/>
        </w:rPr>
        <w:t>；</w:t>
      </w:r>
    </w:p>
    <w:p>
      <w:pPr>
        <w:spacing w:line="440" w:lineRule="exact"/>
        <w:ind w:firstLine="422" w:firstLineChars="200"/>
        <w:rPr>
          <w:rFonts w:hint="eastAsia" w:ascii="宋体" w:hAnsi="宋体" w:eastAsia="宋体"/>
          <w:color w:val="auto"/>
          <w:highlight w:val="none"/>
        </w:rPr>
      </w:pPr>
      <w:r>
        <w:rPr>
          <w:rFonts w:hint="eastAsia" w:ascii="宋体" w:hAnsi="宋体" w:eastAsia="宋体"/>
          <w:b/>
          <w:bCs/>
          <w:color w:val="auto"/>
          <w:highlight w:val="none"/>
        </w:rPr>
        <w:t>活力常山</w:t>
      </w:r>
      <w:r>
        <w:rPr>
          <w:rFonts w:hint="eastAsia" w:ascii="宋体" w:hAnsi="宋体"/>
          <w:b/>
          <w:bCs/>
          <w:color w:val="auto"/>
          <w:highlight w:val="none"/>
          <w:lang w:eastAsia="zh-CN"/>
        </w:rPr>
        <w:t>：</w:t>
      </w:r>
      <w:r>
        <w:rPr>
          <w:rFonts w:hint="eastAsia" w:ascii="宋体" w:hAnsi="宋体" w:eastAsia="宋体"/>
          <w:color w:val="auto"/>
          <w:highlight w:val="none"/>
        </w:rPr>
        <w:t>接入疫情防控、常山生态云脑、信用换信贷；</w:t>
      </w:r>
    </w:p>
    <w:p>
      <w:pPr>
        <w:spacing w:line="440" w:lineRule="exact"/>
        <w:ind w:firstLine="422" w:firstLineChars="200"/>
        <w:rPr>
          <w:rFonts w:hint="eastAsia" w:ascii="宋体" w:hAnsi="宋体" w:eastAsia="宋体"/>
          <w:color w:val="auto"/>
          <w:highlight w:val="none"/>
        </w:rPr>
      </w:pPr>
      <w:r>
        <w:rPr>
          <w:rFonts w:hint="eastAsia" w:ascii="宋体" w:hAnsi="宋体" w:eastAsia="宋体"/>
          <w:b/>
          <w:bCs/>
          <w:color w:val="auto"/>
          <w:highlight w:val="none"/>
        </w:rPr>
        <w:t>共富常山</w:t>
      </w:r>
      <w:r>
        <w:rPr>
          <w:rFonts w:hint="eastAsia" w:ascii="宋体" w:hAnsi="宋体"/>
          <w:b/>
          <w:bCs/>
          <w:color w:val="auto"/>
          <w:highlight w:val="none"/>
          <w:lang w:eastAsia="zh-CN"/>
        </w:rPr>
        <w:t>：</w:t>
      </w:r>
      <w:r>
        <w:rPr>
          <w:rFonts w:hint="eastAsia" w:ascii="宋体" w:hAnsi="宋体" w:eastAsia="宋体"/>
          <w:color w:val="auto"/>
          <w:highlight w:val="none"/>
        </w:rPr>
        <w:t>接入</w:t>
      </w:r>
      <w:r>
        <w:rPr>
          <w:rFonts w:hint="eastAsia" w:ascii="宋体" w:hAnsi="宋体"/>
          <w:color w:val="auto"/>
          <w:highlight w:val="none"/>
          <w:lang w:val="en-US" w:eastAsia="zh-CN"/>
        </w:rPr>
        <w:t>低温农险无U保</w:t>
      </w:r>
      <w:r>
        <w:rPr>
          <w:rFonts w:hint="eastAsia" w:ascii="宋体" w:hAnsi="宋体" w:eastAsia="宋体"/>
          <w:color w:val="auto"/>
          <w:highlight w:val="none"/>
        </w:rPr>
        <w:t>；</w:t>
      </w:r>
    </w:p>
    <w:p>
      <w:pPr>
        <w:spacing w:line="440" w:lineRule="exact"/>
        <w:ind w:firstLine="422" w:firstLineChars="200"/>
        <w:rPr>
          <w:rFonts w:hint="eastAsia" w:ascii="宋体" w:hAnsi="宋体" w:eastAsia="宋体"/>
          <w:color w:val="auto"/>
          <w:highlight w:val="none"/>
        </w:rPr>
      </w:pPr>
      <w:r>
        <w:rPr>
          <w:rFonts w:hint="eastAsia" w:ascii="宋体" w:hAnsi="宋体" w:eastAsia="宋体"/>
          <w:b/>
          <w:bCs/>
          <w:color w:val="auto"/>
          <w:highlight w:val="none"/>
        </w:rPr>
        <w:t>幸福常山</w:t>
      </w:r>
      <w:r>
        <w:rPr>
          <w:rFonts w:hint="eastAsia" w:ascii="宋体" w:hAnsi="宋体"/>
          <w:b/>
          <w:bCs/>
          <w:color w:val="auto"/>
          <w:highlight w:val="none"/>
          <w:lang w:eastAsia="zh-CN"/>
        </w:rPr>
        <w:t>：</w:t>
      </w:r>
      <w:r>
        <w:rPr>
          <w:rFonts w:hint="eastAsia" w:ascii="宋体" w:hAnsi="宋体" w:eastAsia="宋体"/>
          <w:color w:val="auto"/>
          <w:highlight w:val="none"/>
        </w:rPr>
        <w:t>接入入园入学一件事、</w:t>
      </w:r>
      <w:r>
        <w:rPr>
          <w:rFonts w:hint="eastAsia" w:ascii="宋体" w:hAnsi="宋体"/>
          <w:color w:val="auto"/>
          <w:highlight w:val="none"/>
          <w:lang w:val="en-US" w:eastAsia="zh-CN"/>
        </w:rPr>
        <w:t>常山</w:t>
      </w:r>
      <w:r>
        <w:rPr>
          <w:rFonts w:hint="eastAsia" w:ascii="宋体" w:hAnsi="宋体" w:eastAsia="宋体"/>
          <w:color w:val="auto"/>
          <w:highlight w:val="none"/>
        </w:rPr>
        <w:t>公交、常山阿姨；</w:t>
      </w:r>
    </w:p>
    <w:p>
      <w:pPr>
        <w:spacing w:line="440" w:lineRule="exact"/>
        <w:ind w:firstLine="422" w:firstLineChars="200"/>
        <w:rPr>
          <w:rFonts w:hint="eastAsia" w:ascii="宋体" w:hAnsi="宋体" w:eastAsia="宋体"/>
          <w:color w:val="auto"/>
          <w:highlight w:val="none"/>
        </w:rPr>
      </w:pPr>
      <w:r>
        <w:rPr>
          <w:rFonts w:hint="eastAsia" w:ascii="宋体" w:hAnsi="宋体" w:eastAsia="宋体"/>
          <w:b/>
          <w:bCs/>
          <w:color w:val="auto"/>
          <w:highlight w:val="none"/>
        </w:rPr>
        <w:t>文化常山</w:t>
      </w:r>
      <w:r>
        <w:rPr>
          <w:rFonts w:hint="eastAsia" w:ascii="宋体" w:hAnsi="宋体"/>
          <w:b/>
          <w:bCs/>
          <w:color w:val="auto"/>
          <w:highlight w:val="none"/>
          <w:lang w:eastAsia="zh-CN"/>
        </w:rPr>
        <w:t>：</w:t>
      </w:r>
      <w:r>
        <w:rPr>
          <w:rFonts w:hint="eastAsia" w:ascii="宋体" w:hAnsi="宋体" w:eastAsia="宋体"/>
          <w:color w:val="auto"/>
          <w:highlight w:val="none"/>
        </w:rPr>
        <w:t>接入</w:t>
      </w:r>
      <w:r>
        <w:rPr>
          <w:rFonts w:hint="eastAsia" w:ascii="宋体" w:hAnsi="宋体"/>
          <w:color w:val="auto"/>
          <w:highlight w:val="none"/>
          <w:lang w:val="en-US" w:eastAsia="zh-CN"/>
        </w:rPr>
        <w:t>宋诗之河、</w:t>
      </w:r>
      <w:r>
        <w:rPr>
          <w:rFonts w:hint="eastAsia" w:ascii="宋体" w:hAnsi="宋体" w:eastAsia="宋体"/>
          <w:color w:val="auto"/>
          <w:highlight w:val="none"/>
        </w:rPr>
        <w:t>8090理论宣讲平台、云游常山、图书借阅、常山县地方文献古籍应用；</w:t>
      </w:r>
    </w:p>
    <w:p>
      <w:pPr>
        <w:spacing w:line="440" w:lineRule="exact"/>
        <w:ind w:firstLine="422" w:firstLineChars="200"/>
        <w:rPr>
          <w:rFonts w:hint="eastAsia" w:ascii="宋体" w:hAnsi="宋体"/>
          <w:color w:val="auto"/>
          <w:highlight w:val="none"/>
          <w:lang w:eastAsia="zh-CN"/>
        </w:rPr>
      </w:pPr>
      <w:r>
        <w:rPr>
          <w:rFonts w:hint="eastAsia" w:ascii="宋体" w:hAnsi="宋体" w:eastAsia="宋体"/>
          <w:b/>
          <w:bCs/>
          <w:color w:val="auto"/>
          <w:highlight w:val="none"/>
        </w:rPr>
        <w:t>平安常山</w:t>
      </w:r>
      <w:r>
        <w:rPr>
          <w:rFonts w:hint="eastAsia" w:ascii="宋体" w:hAnsi="宋体"/>
          <w:b/>
          <w:bCs/>
          <w:color w:val="auto"/>
          <w:highlight w:val="none"/>
          <w:lang w:eastAsia="zh-CN"/>
        </w:rPr>
        <w:t>：</w:t>
      </w:r>
      <w:r>
        <w:rPr>
          <w:rFonts w:hint="eastAsia" w:ascii="宋体" w:hAnsi="宋体" w:eastAsia="宋体"/>
          <w:color w:val="auto"/>
          <w:highlight w:val="none"/>
        </w:rPr>
        <w:t>接入诚信智治、共享法庭、平安法制U指数、安全生成资格查询</w:t>
      </w:r>
      <w:r>
        <w:rPr>
          <w:rFonts w:hint="eastAsia" w:ascii="宋体" w:hAnsi="宋体"/>
          <w:color w:val="auto"/>
          <w:highlight w:val="none"/>
          <w:lang w:eastAsia="zh-CN"/>
        </w:rPr>
        <w:t>。</w:t>
      </w:r>
    </w:p>
    <w:p>
      <w:pPr>
        <w:spacing w:line="440" w:lineRule="exact"/>
        <w:ind w:firstLine="420" w:firstLineChars="200"/>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val="en-US" w:eastAsia="zh-CN"/>
        </w:rPr>
        <w:t>★</w:t>
      </w:r>
      <w:r>
        <w:rPr>
          <w:rFonts w:hint="eastAsia" w:ascii="宋体" w:hAnsi="宋体" w:eastAsia="宋体" w:cs="Times New Roman"/>
          <w:color w:val="auto"/>
          <w:highlight w:val="none"/>
          <w:lang w:eastAsia="zh-CN"/>
        </w:rPr>
        <w:t>由于常山本地自建应用有些在开发中，需要预留5个备用接口，以方便后续新增应用的上架。</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default" w:asciiTheme="majorEastAsia" w:hAnsiTheme="majorEastAsia" w:eastAsiaTheme="majorEastAsia" w:cstheme="majorEastAsia"/>
          <w:b/>
          <w:bCs/>
          <w:color w:val="auto"/>
          <w:kern w:val="2"/>
          <w:sz w:val="24"/>
          <w:szCs w:val="24"/>
          <w:highlight w:val="none"/>
          <w:lang w:val="en-US" w:eastAsia="zh-CN" w:bidi="ar-SA"/>
        </w:rPr>
      </w:pPr>
      <w:r>
        <w:rPr>
          <w:rFonts w:hint="eastAsia" w:asciiTheme="majorEastAsia" w:hAnsiTheme="majorEastAsia" w:eastAsiaTheme="majorEastAsia" w:cstheme="majorEastAsia"/>
          <w:b/>
          <w:bCs/>
          <w:color w:val="auto"/>
          <w:kern w:val="2"/>
          <w:sz w:val="24"/>
          <w:szCs w:val="24"/>
          <w:highlight w:val="none"/>
          <w:lang w:val="en-US" w:eastAsia="zh-CN" w:bidi="ar-SA"/>
        </w:rPr>
        <w:t>4.3.8 热门栏目</w:t>
      </w:r>
    </w:p>
    <w:p>
      <w:pPr>
        <w:spacing w:line="440" w:lineRule="exact"/>
        <w:ind w:firstLine="420" w:firstLineChars="200"/>
        <w:rPr>
          <w:rFonts w:hint="eastAsia" w:ascii="宋体" w:hAnsi="宋体"/>
          <w:color w:val="auto"/>
          <w:highlight w:val="none"/>
          <w:lang w:eastAsia="zh-CN"/>
        </w:rPr>
      </w:pPr>
      <w:r>
        <w:rPr>
          <w:rFonts w:hint="eastAsia" w:ascii="宋体" w:hAnsi="宋体" w:eastAsia="宋体"/>
          <w:color w:val="auto"/>
          <w:highlight w:val="none"/>
        </w:rPr>
        <w:t>系统根据用户订阅、点击、使用时长等多维度自动分析推荐</w:t>
      </w:r>
      <w:r>
        <w:rPr>
          <w:rFonts w:hint="eastAsia" w:ascii="宋体" w:hAnsi="宋体"/>
          <w:color w:val="auto"/>
          <w:highlight w:val="none"/>
          <w:lang w:val="en-US" w:eastAsia="zh-CN"/>
        </w:rPr>
        <w:t>热门应用</w:t>
      </w:r>
      <w:r>
        <w:rPr>
          <w:rFonts w:hint="eastAsia" w:ascii="宋体" w:hAnsi="宋体" w:eastAsia="宋体"/>
          <w:color w:val="auto"/>
          <w:highlight w:val="none"/>
          <w:lang w:eastAsia="zh-CN"/>
        </w:rPr>
        <w:t>，</w:t>
      </w:r>
      <w:r>
        <w:rPr>
          <w:rFonts w:hint="eastAsia" w:ascii="宋体" w:hAnsi="宋体" w:eastAsia="宋体"/>
          <w:color w:val="auto"/>
          <w:highlight w:val="none"/>
        </w:rPr>
        <w:t>也可以通过后台管理系统进行手动推送更新</w:t>
      </w:r>
      <w:r>
        <w:rPr>
          <w:rFonts w:hint="eastAsia" w:ascii="宋体" w:hAnsi="宋体"/>
          <w:color w:val="auto"/>
          <w:highlight w:val="none"/>
          <w:lang w:eastAsia="zh-CN"/>
        </w:rPr>
        <w:t>，</w:t>
      </w:r>
      <w:r>
        <w:rPr>
          <w:rFonts w:hint="eastAsia" w:ascii="宋体" w:hAnsi="宋体" w:eastAsia="宋体"/>
          <w:color w:val="auto"/>
          <w:highlight w:val="none"/>
        </w:rPr>
        <w:t>将新上架应用进行推广</w:t>
      </w:r>
      <w:r>
        <w:rPr>
          <w:rFonts w:hint="eastAsia" w:ascii="宋体" w:hAnsi="宋体"/>
          <w:color w:val="auto"/>
          <w:highlight w:val="none"/>
          <w:lang w:eastAsia="zh-CN"/>
        </w:rPr>
        <w:t>。</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default" w:asciiTheme="majorEastAsia" w:hAnsiTheme="majorEastAsia" w:eastAsiaTheme="majorEastAsia" w:cstheme="majorEastAsia"/>
          <w:b/>
          <w:bCs/>
          <w:color w:val="auto"/>
          <w:kern w:val="2"/>
          <w:sz w:val="24"/>
          <w:szCs w:val="24"/>
          <w:highlight w:val="none"/>
          <w:lang w:val="en-US" w:eastAsia="zh-CN" w:bidi="ar-SA"/>
        </w:rPr>
      </w:pPr>
      <w:r>
        <w:rPr>
          <w:rFonts w:hint="eastAsia" w:asciiTheme="majorEastAsia" w:hAnsiTheme="majorEastAsia" w:eastAsiaTheme="majorEastAsia" w:cstheme="majorEastAsia"/>
          <w:b/>
          <w:bCs/>
          <w:color w:val="auto"/>
          <w:kern w:val="2"/>
          <w:sz w:val="24"/>
          <w:szCs w:val="24"/>
          <w:highlight w:val="none"/>
          <w:lang w:val="en-US" w:eastAsia="zh-CN" w:bidi="ar-SA"/>
        </w:rPr>
        <w:t>4.3.9 轮播banner</w:t>
      </w:r>
    </w:p>
    <w:p>
      <w:pPr>
        <w:spacing w:line="440" w:lineRule="exact"/>
        <w:ind w:firstLine="420" w:firstLineChars="200"/>
        <w:rPr>
          <w:rFonts w:hint="default" w:ascii="宋体" w:hAnsi="宋体"/>
          <w:color w:val="auto"/>
          <w:highlight w:val="none"/>
          <w:lang w:val="en-US" w:eastAsia="zh-CN"/>
        </w:rPr>
      </w:pPr>
      <w:r>
        <w:rPr>
          <w:rFonts w:hint="eastAsia" w:ascii="宋体" w:hAnsi="宋体"/>
          <w:color w:val="auto"/>
          <w:highlight w:val="none"/>
          <w:lang w:val="en-US" w:eastAsia="zh-CN"/>
        </w:rPr>
        <w:t>展示近期热门应用，可通过后台管理系统进行管理。</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default" w:asciiTheme="majorEastAsia" w:hAnsiTheme="majorEastAsia" w:eastAsiaTheme="majorEastAsia" w:cstheme="majorEastAsia"/>
          <w:b/>
          <w:bCs/>
          <w:color w:val="auto"/>
          <w:kern w:val="2"/>
          <w:sz w:val="24"/>
          <w:szCs w:val="24"/>
          <w:highlight w:val="none"/>
          <w:lang w:val="en-US" w:eastAsia="zh-CN" w:bidi="ar-SA"/>
        </w:rPr>
      </w:pPr>
      <w:r>
        <w:rPr>
          <w:rFonts w:hint="eastAsia" w:asciiTheme="majorEastAsia" w:hAnsiTheme="majorEastAsia" w:eastAsiaTheme="majorEastAsia" w:cstheme="majorEastAsia"/>
          <w:b/>
          <w:bCs/>
          <w:color w:val="auto"/>
          <w:kern w:val="2"/>
          <w:sz w:val="24"/>
          <w:szCs w:val="24"/>
          <w:highlight w:val="none"/>
          <w:lang w:val="en-US" w:eastAsia="zh-CN" w:bidi="ar-SA"/>
        </w:rPr>
        <w:t>4.3.10 扫一扫</w:t>
      </w:r>
    </w:p>
    <w:p>
      <w:pPr>
        <w:pStyle w:val="27"/>
        <w:numPr>
          <w:ilvl w:val="0"/>
          <w:numId w:val="0"/>
        </w:numPr>
        <w:spacing w:after="0" w:line="440" w:lineRule="exact"/>
        <w:ind w:leftChars="200"/>
        <w:rPr>
          <w:rFonts w:hint="eastAsia" w:ascii="宋体" w:hAnsi="宋体" w:eastAsia="宋体"/>
          <w:color w:val="auto"/>
          <w:highlight w:val="none"/>
          <w:lang w:eastAsia="zh-CN"/>
        </w:rPr>
      </w:pPr>
      <w:r>
        <w:rPr>
          <w:rFonts w:hint="eastAsia" w:ascii="宋体" w:hAnsi="宋体" w:eastAsia="宋体"/>
          <w:color w:val="auto"/>
          <w:highlight w:val="none"/>
        </w:rPr>
        <w:t>实现应用二维码码值识别携带用户信息，并完成应用自动引导</w:t>
      </w:r>
      <w:r>
        <w:rPr>
          <w:rFonts w:hint="eastAsia" w:ascii="宋体" w:hAnsi="宋体" w:eastAsia="宋体"/>
          <w:color w:val="auto"/>
          <w:highlight w:val="none"/>
          <w:lang w:val="en-US" w:eastAsia="zh-CN"/>
        </w:rPr>
        <w:t>。</w:t>
      </w:r>
    </w:p>
    <w:p>
      <w:pPr>
        <w:pStyle w:val="7"/>
        <w:numPr>
          <w:ilvl w:val="1"/>
          <w:numId w:val="0"/>
        </w:numPr>
        <w:spacing w:line="440" w:lineRule="exact"/>
        <w:ind w:firstLine="562" w:firstLineChars="200"/>
        <w:rPr>
          <w:rFonts w:hint="default" w:cs="宋体"/>
          <w:b/>
          <w:bCs/>
          <w:color w:val="auto"/>
          <w:kern w:val="2"/>
          <w:sz w:val="28"/>
          <w:szCs w:val="28"/>
          <w:highlight w:val="none"/>
          <w:lang w:val="en-US" w:eastAsia="zh-CN" w:bidi="ar-SA"/>
        </w:rPr>
      </w:pPr>
      <w:bookmarkStart w:id="92" w:name="_Toc8254"/>
      <w:r>
        <w:rPr>
          <w:rFonts w:hint="eastAsia" w:cs="宋体"/>
          <w:b/>
          <w:bCs/>
          <w:color w:val="auto"/>
          <w:kern w:val="2"/>
          <w:sz w:val="28"/>
          <w:szCs w:val="28"/>
          <w:highlight w:val="none"/>
          <w:lang w:val="en-US" w:eastAsia="zh-CN" w:bidi="ar-SA"/>
        </w:rPr>
        <w:t>4.4“智治”</w:t>
      </w:r>
      <w:bookmarkEnd w:id="92"/>
      <w:r>
        <w:rPr>
          <w:rFonts w:hint="eastAsia" w:cs="宋体"/>
          <w:b/>
          <w:bCs/>
          <w:color w:val="auto"/>
          <w:kern w:val="2"/>
          <w:sz w:val="28"/>
          <w:szCs w:val="28"/>
          <w:highlight w:val="none"/>
          <w:lang w:val="en-US" w:eastAsia="zh-CN" w:bidi="ar-SA"/>
        </w:rPr>
        <w:t>板块应用</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“智治”板块主要整合原“</w:t>
      </w:r>
      <w:r>
        <w:rPr>
          <w:rFonts w:hint="eastAsia" w:ascii="宋体" w:hAnsi="宋体" w:cs="宋体"/>
          <w:color w:val="auto"/>
          <w:spacing w:val="-4"/>
          <w:kern w:val="0"/>
          <w:szCs w:val="21"/>
          <w:highlight w:val="none"/>
        </w:rPr>
        <w:t>U点通</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公众号内</w:t>
      </w:r>
      <w:r>
        <w:rPr>
          <w:rFonts w:hint="eastAsia" w:ascii="宋体" w:hAnsi="宋体" w:cs="宋体"/>
          <w:color w:val="auto"/>
          <w:szCs w:val="21"/>
          <w:highlight w:val="none"/>
        </w:rPr>
        <w:t>应用，分为党建、平安、经济、通知公告、资讯</w:t>
      </w:r>
      <w:r>
        <w:rPr>
          <w:rFonts w:hint="eastAsia" w:ascii="宋体" w:hAnsi="宋体" w:cs="宋体"/>
          <w:color w:val="auto"/>
          <w:szCs w:val="21"/>
          <w:highlight w:val="none"/>
          <w:lang w:val="en-US" w:eastAsia="zh-CN"/>
        </w:rPr>
        <w:t>等</w:t>
      </w:r>
      <w:r>
        <w:rPr>
          <w:rFonts w:hint="eastAsia" w:ascii="宋体" w:hAnsi="宋体" w:cs="宋体"/>
          <w:color w:val="auto"/>
          <w:szCs w:val="21"/>
          <w:highlight w:val="none"/>
        </w:rPr>
        <w:t>模块。</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default" w:asciiTheme="majorEastAsia" w:hAnsiTheme="majorEastAsia" w:eastAsiaTheme="majorEastAsia" w:cstheme="majorEastAsia"/>
          <w:b/>
          <w:bCs/>
          <w:color w:val="auto"/>
          <w:kern w:val="2"/>
          <w:sz w:val="24"/>
          <w:szCs w:val="24"/>
          <w:highlight w:val="none"/>
          <w:lang w:val="en-US" w:eastAsia="zh-CN" w:bidi="ar-SA"/>
        </w:rPr>
      </w:pPr>
      <w:r>
        <w:rPr>
          <w:rFonts w:hint="eastAsia" w:asciiTheme="majorEastAsia" w:hAnsiTheme="majorEastAsia" w:eastAsiaTheme="majorEastAsia" w:cstheme="majorEastAsia"/>
          <w:b/>
          <w:bCs/>
          <w:color w:val="auto"/>
          <w:kern w:val="2"/>
          <w:sz w:val="24"/>
          <w:szCs w:val="24"/>
          <w:highlight w:val="none"/>
          <w:lang w:val="en-US" w:eastAsia="zh-CN" w:bidi="ar-SA"/>
        </w:rPr>
        <w:t>4.4.1 村社切换</w:t>
      </w:r>
    </w:p>
    <w:p>
      <w:pPr>
        <w:spacing w:line="440" w:lineRule="exact"/>
        <w:ind w:firstLine="420" w:firstLineChars="200"/>
        <w:rPr>
          <w:rFonts w:hint="default" w:ascii="宋体" w:hAnsi="宋体" w:eastAsia="宋体"/>
          <w:color w:val="auto"/>
          <w:highlight w:val="none"/>
          <w:lang w:val="en-US" w:eastAsia="zh-CN"/>
        </w:rPr>
      </w:pPr>
      <w:r>
        <w:rPr>
          <w:rFonts w:hint="eastAsia" w:ascii="宋体" w:hAnsi="宋体" w:eastAsia="宋体"/>
          <w:color w:val="auto"/>
          <w:highlight w:val="none"/>
        </w:rPr>
        <w:t>与“U点通”</w:t>
      </w:r>
      <w:r>
        <w:rPr>
          <w:rFonts w:hint="eastAsia" w:ascii="宋体" w:hAnsi="宋体"/>
          <w:color w:val="auto"/>
          <w:highlight w:val="none"/>
          <w:lang w:val="en-US" w:eastAsia="zh-CN"/>
        </w:rPr>
        <w:t>公众号</w:t>
      </w:r>
      <w:r>
        <w:rPr>
          <w:rFonts w:hint="eastAsia" w:ascii="宋体" w:hAnsi="宋体" w:eastAsia="宋体"/>
          <w:color w:val="auto"/>
          <w:highlight w:val="none"/>
        </w:rPr>
        <w:t>原组织构架数据打通，并完成用户归属信息的切换功能</w:t>
      </w:r>
      <w:r>
        <w:rPr>
          <w:rFonts w:hint="eastAsia" w:ascii="宋体" w:hAnsi="宋体"/>
          <w:color w:val="auto"/>
          <w:highlight w:val="none"/>
          <w:lang w:eastAsia="zh-CN"/>
        </w:rPr>
        <w:t>，</w:t>
      </w:r>
      <w:r>
        <w:rPr>
          <w:rFonts w:hint="eastAsia" w:ascii="宋体" w:hAnsi="宋体"/>
          <w:color w:val="auto"/>
          <w:highlight w:val="none"/>
          <w:lang w:val="en-US" w:eastAsia="zh-CN"/>
        </w:rPr>
        <w:t>关联当前村社的信息动态。</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default" w:asciiTheme="majorEastAsia" w:hAnsiTheme="majorEastAsia" w:eastAsiaTheme="majorEastAsia" w:cstheme="majorEastAsia"/>
          <w:b/>
          <w:bCs/>
          <w:color w:val="auto"/>
          <w:kern w:val="2"/>
          <w:sz w:val="24"/>
          <w:szCs w:val="24"/>
          <w:highlight w:val="none"/>
          <w:lang w:val="en-US" w:eastAsia="zh-CN" w:bidi="ar-SA"/>
        </w:rPr>
      </w:pPr>
      <w:r>
        <w:rPr>
          <w:rFonts w:hint="eastAsia" w:asciiTheme="majorEastAsia" w:hAnsiTheme="majorEastAsia" w:eastAsiaTheme="majorEastAsia" w:cstheme="majorEastAsia"/>
          <w:b/>
          <w:bCs/>
          <w:color w:val="auto"/>
          <w:kern w:val="2"/>
          <w:sz w:val="24"/>
          <w:szCs w:val="24"/>
          <w:highlight w:val="none"/>
          <w:lang w:val="en-US" w:eastAsia="zh-CN" w:bidi="ar-SA"/>
        </w:rPr>
        <w:t>4.4.2 党建</w:t>
      </w:r>
    </w:p>
    <w:p>
      <w:pPr>
        <w:spacing w:line="440" w:lineRule="exact"/>
        <w:ind w:firstLine="420" w:firstLineChars="200"/>
        <w:rPr>
          <w:rFonts w:hint="eastAsia" w:ascii="宋体" w:hAnsi="宋体" w:eastAsia="宋体"/>
          <w:color w:val="auto"/>
          <w:highlight w:val="none"/>
        </w:rPr>
      </w:pPr>
      <w:r>
        <w:rPr>
          <w:rFonts w:hint="eastAsia" w:ascii="宋体" w:hAnsi="宋体" w:eastAsia="宋体"/>
          <w:color w:val="auto"/>
          <w:highlight w:val="none"/>
          <w:lang w:val="en-US" w:eastAsia="zh-CN"/>
        </w:rPr>
        <w:t>接入</w:t>
      </w:r>
      <w:r>
        <w:rPr>
          <w:rFonts w:hint="eastAsia" w:ascii="宋体" w:hAnsi="宋体" w:eastAsia="宋体"/>
          <w:color w:val="auto"/>
          <w:highlight w:val="none"/>
        </w:rPr>
        <w:t>支部简介、支部党员、支部活动、浙里党群心联心（第三方）、农村党员先锋指数考评、讲堂在线（第三方）。</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default" w:asciiTheme="majorEastAsia" w:hAnsiTheme="majorEastAsia" w:eastAsiaTheme="majorEastAsia" w:cstheme="majorEastAsia"/>
          <w:b/>
          <w:bCs/>
          <w:color w:val="auto"/>
          <w:kern w:val="2"/>
          <w:sz w:val="24"/>
          <w:szCs w:val="24"/>
          <w:highlight w:val="none"/>
          <w:lang w:val="en-US" w:eastAsia="zh-CN" w:bidi="ar-SA"/>
        </w:rPr>
      </w:pPr>
      <w:r>
        <w:rPr>
          <w:rFonts w:hint="eastAsia" w:asciiTheme="majorEastAsia" w:hAnsiTheme="majorEastAsia" w:eastAsiaTheme="majorEastAsia" w:cstheme="majorEastAsia"/>
          <w:b/>
          <w:bCs/>
          <w:color w:val="auto"/>
          <w:kern w:val="2"/>
          <w:sz w:val="24"/>
          <w:szCs w:val="24"/>
          <w:highlight w:val="none"/>
          <w:lang w:val="en-US" w:eastAsia="zh-CN" w:bidi="ar-SA"/>
        </w:rPr>
        <w:t>4.4.3 平安</w:t>
      </w:r>
    </w:p>
    <w:p>
      <w:pPr>
        <w:pStyle w:val="27"/>
        <w:numPr>
          <w:ilvl w:val="0"/>
          <w:numId w:val="0"/>
        </w:numPr>
        <w:spacing w:after="0" w:line="440" w:lineRule="exact"/>
        <w:ind w:leftChars="20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接入</w:t>
      </w:r>
      <w:r>
        <w:rPr>
          <w:rFonts w:hint="eastAsia" w:ascii="宋体" w:hAnsi="宋体" w:eastAsia="宋体"/>
          <w:color w:val="auto"/>
          <w:highlight w:val="none"/>
        </w:rPr>
        <w:t>法律服务、全科网格、共享法庭、诚信智治</w:t>
      </w:r>
      <w:r>
        <w:rPr>
          <w:rFonts w:hint="eastAsia" w:ascii="宋体" w:hAnsi="宋体" w:eastAsia="宋体"/>
          <w:color w:val="auto"/>
          <w:highlight w:val="none"/>
          <w:lang w:val="en-US" w:eastAsia="zh-CN"/>
        </w:rPr>
        <w:t>四个应用。</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default" w:asciiTheme="majorEastAsia" w:hAnsiTheme="majorEastAsia" w:eastAsiaTheme="majorEastAsia" w:cstheme="majorEastAsia"/>
          <w:b/>
          <w:bCs/>
          <w:color w:val="auto"/>
          <w:kern w:val="2"/>
          <w:sz w:val="24"/>
          <w:szCs w:val="24"/>
          <w:highlight w:val="none"/>
          <w:lang w:val="en-US" w:eastAsia="zh-CN" w:bidi="ar-SA"/>
        </w:rPr>
      </w:pPr>
      <w:r>
        <w:rPr>
          <w:rFonts w:hint="eastAsia" w:asciiTheme="majorEastAsia" w:hAnsiTheme="majorEastAsia" w:eastAsiaTheme="majorEastAsia" w:cstheme="majorEastAsia"/>
          <w:b/>
          <w:bCs/>
          <w:color w:val="auto"/>
          <w:kern w:val="2"/>
          <w:sz w:val="24"/>
          <w:szCs w:val="24"/>
          <w:highlight w:val="none"/>
          <w:lang w:val="en-US" w:eastAsia="zh-CN" w:bidi="ar-SA"/>
        </w:rPr>
        <w:t>4.4.4 经济</w:t>
      </w:r>
    </w:p>
    <w:p>
      <w:pPr>
        <w:pStyle w:val="27"/>
        <w:numPr>
          <w:ilvl w:val="0"/>
          <w:numId w:val="0"/>
        </w:numPr>
        <w:spacing w:after="0" w:line="440" w:lineRule="exact"/>
        <w:ind w:leftChars="200"/>
        <w:rPr>
          <w:rFonts w:hint="eastAsia" w:ascii="宋体" w:hAnsi="宋体" w:eastAsia="宋体"/>
          <w:color w:val="auto"/>
          <w:highlight w:val="none"/>
          <w:lang w:eastAsia="zh-CN"/>
        </w:rPr>
      </w:pPr>
      <w:r>
        <w:rPr>
          <w:rFonts w:hint="eastAsia" w:ascii="宋体" w:hAnsi="宋体" w:eastAsia="宋体"/>
          <w:color w:val="auto"/>
          <w:highlight w:val="none"/>
          <w:lang w:val="en-US" w:eastAsia="zh-CN"/>
        </w:rPr>
        <w:t>接入</w:t>
      </w:r>
      <w:r>
        <w:rPr>
          <w:rFonts w:hint="eastAsia" w:ascii="宋体" w:hAnsi="宋体" w:eastAsia="宋体"/>
          <w:color w:val="auto"/>
          <w:highlight w:val="none"/>
        </w:rPr>
        <w:t>精准帮扶、涉农补贴、农技110、房租减免、两山银行、</w:t>
      </w:r>
      <w:r>
        <w:rPr>
          <w:rFonts w:hint="eastAsia" w:ascii="宋体" w:hAnsi="宋体" w:eastAsia="宋体"/>
          <w:color w:val="auto"/>
          <w:highlight w:val="none"/>
          <w:lang w:val="en-US" w:eastAsia="zh-CN"/>
        </w:rPr>
        <w:t>云</w:t>
      </w:r>
      <w:r>
        <w:rPr>
          <w:rFonts w:hint="eastAsia" w:ascii="宋体" w:hAnsi="宋体" w:eastAsia="宋体"/>
          <w:color w:val="auto"/>
          <w:highlight w:val="none"/>
        </w:rPr>
        <w:t>招聘</w:t>
      </w:r>
      <w:r>
        <w:rPr>
          <w:rFonts w:hint="eastAsia" w:ascii="宋体" w:hAnsi="宋体" w:eastAsia="宋体"/>
          <w:color w:val="auto"/>
          <w:highlight w:val="none"/>
          <w:lang w:eastAsia="zh-CN"/>
        </w:rPr>
        <w:t>（</w:t>
      </w:r>
      <w:r>
        <w:rPr>
          <w:rFonts w:hint="eastAsia" w:ascii="宋体" w:hAnsi="宋体" w:eastAsia="宋体"/>
          <w:color w:val="auto"/>
          <w:highlight w:val="none"/>
          <w:lang w:val="en-US" w:eastAsia="zh-CN"/>
        </w:rPr>
        <w:t>第三方</w:t>
      </w:r>
      <w:r>
        <w:rPr>
          <w:rFonts w:hint="eastAsia" w:ascii="宋体" w:hAnsi="宋体" w:eastAsia="宋体"/>
          <w:color w:val="auto"/>
          <w:highlight w:val="none"/>
          <w:lang w:eastAsia="zh-CN"/>
        </w:rPr>
        <w:t>）</w:t>
      </w:r>
      <w:r>
        <w:rPr>
          <w:rFonts w:hint="eastAsia" w:ascii="宋体" w:hAnsi="宋体" w:eastAsia="宋体"/>
          <w:color w:val="auto"/>
          <w:highlight w:val="none"/>
          <w:lang w:val="en-US" w:eastAsia="zh-CN"/>
        </w:rPr>
        <w:t>六个应用</w:t>
      </w:r>
      <w:r>
        <w:rPr>
          <w:rFonts w:hint="eastAsia" w:ascii="宋体" w:hAnsi="宋体" w:eastAsia="宋体"/>
          <w:color w:val="auto"/>
          <w:highlight w:val="none"/>
          <w:lang w:eastAsia="zh-CN"/>
        </w:rPr>
        <w:t>。</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default" w:asciiTheme="majorEastAsia" w:hAnsiTheme="majorEastAsia" w:eastAsiaTheme="majorEastAsia" w:cstheme="majorEastAsia"/>
          <w:b/>
          <w:bCs/>
          <w:color w:val="auto"/>
          <w:kern w:val="2"/>
          <w:sz w:val="24"/>
          <w:szCs w:val="24"/>
          <w:highlight w:val="none"/>
          <w:lang w:val="en-US" w:eastAsia="zh-CN" w:bidi="ar-SA"/>
        </w:rPr>
      </w:pPr>
      <w:r>
        <w:rPr>
          <w:rFonts w:hint="eastAsia" w:asciiTheme="majorEastAsia" w:hAnsiTheme="majorEastAsia" w:eastAsiaTheme="majorEastAsia" w:cstheme="majorEastAsia"/>
          <w:b/>
          <w:bCs/>
          <w:color w:val="auto"/>
          <w:kern w:val="2"/>
          <w:sz w:val="24"/>
          <w:szCs w:val="24"/>
          <w:highlight w:val="none"/>
          <w:lang w:val="en-US" w:eastAsia="zh-CN" w:bidi="ar-SA"/>
        </w:rPr>
        <w:t>4.4.5 通知公告</w:t>
      </w:r>
    </w:p>
    <w:p>
      <w:pPr>
        <w:pStyle w:val="27"/>
        <w:numPr>
          <w:ilvl w:val="0"/>
          <w:numId w:val="0"/>
        </w:numPr>
        <w:spacing w:after="0" w:line="440" w:lineRule="exact"/>
        <w:ind w:leftChars="200"/>
        <w:rPr>
          <w:rFonts w:hint="eastAsia" w:ascii="宋体" w:hAnsi="宋体" w:eastAsia="宋体"/>
          <w:color w:val="auto"/>
          <w:highlight w:val="none"/>
          <w:lang w:eastAsia="zh-CN"/>
        </w:rPr>
      </w:pPr>
      <w:r>
        <w:rPr>
          <w:rFonts w:hint="eastAsia" w:ascii="宋体" w:hAnsi="宋体" w:eastAsia="宋体"/>
          <w:color w:val="auto"/>
          <w:highlight w:val="none"/>
        </w:rPr>
        <w:t>展示APP平台的通知公告</w:t>
      </w:r>
      <w:r>
        <w:rPr>
          <w:rFonts w:hint="eastAsia" w:ascii="宋体" w:hAnsi="宋体" w:eastAsia="宋体"/>
          <w:color w:val="auto"/>
          <w:highlight w:val="none"/>
          <w:lang w:eastAsia="zh-CN"/>
        </w:rPr>
        <w:t>。</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default" w:asciiTheme="majorEastAsia" w:hAnsiTheme="majorEastAsia" w:eastAsiaTheme="majorEastAsia" w:cstheme="majorEastAsia"/>
          <w:b/>
          <w:bCs/>
          <w:color w:val="auto"/>
          <w:kern w:val="2"/>
          <w:sz w:val="24"/>
          <w:szCs w:val="24"/>
          <w:highlight w:val="none"/>
          <w:lang w:val="en-US" w:eastAsia="zh-CN" w:bidi="ar-SA"/>
        </w:rPr>
      </w:pPr>
      <w:r>
        <w:rPr>
          <w:rFonts w:hint="eastAsia" w:asciiTheme="majorEastAsia" w:hAnsiTheme="majorEastAsia" w:eastAsiaTheme="majorEastAsia" w:cstheme="majorEastAsia"/>
          <w:b/>
          <w:bCs/>
          <w:color w:val="auto"/>
          <w:kern w:val="2"/>
          <w:sz w:val="24"/>
          <w:szCs w:val="24"/>
          <w:highlight w:val="none"/>
          <w:lang w:val="en-US" w:eastAsia="zh-CN" w:bidi="ar-SA"/>
        </w:rPr>
        <w:t>4.4.6 资讯</w:t>
      </w:r>
    </w:p>
    <w:p>
      <w:pPr>
        <w:spacing w:line="440" w:lineRule="exact"/>
        <w:ind w:firstLine="420" w:firstLineChars="200"/>
        <w:rPr>
          <w:rFonts w:hint="default" w:ascii="宋体" w:hAnsi="宋体" w:eastAsia="宋体"/>
          <w:color w:val="auto"/>
          <w:highlight w:val="none"/>
          <w:lang w:val="en-US" w:eastAsia="zh-CN"/>
        </w:rPr>
      </w:pPr>
      <w:r>
        <w:rPr>
          <w:rFonts w:hint="eastAsia" w:ascii="宋体" w:hAnsi="宋体" w:eastAsia="宋体"/>
          <w:color w:val="auto"/>
          <w:highlight w:val="none"/>
        </w:rPr>
        <w:t>展示县级各部门</w:t>
      </w:r>
      <w:r>
        <w:rPr>
          <w:rFonts w:hint="eastAsia" w:ascii="宋体" w:hAnsi="宋体"/>
          <w:color w:val="auto"/>
          <w:highlight w:val="none"/>
          <w:lang w:val="en-US" w:eastAsia="zh-CN"/>
        </w:rPr>
        <w:t>和</w:t>
      </w:r>
      <w:r>
        <w:rPr>
          <w:rFonts w:hint="eastAsia" w:ascii="宋体" w:hAnsi="宋体" w:eastAsia="宋体"/>
          <w:color w:val="auto"/>
          <w:highlight w:val="none"/>
        </w:rPr>
        <w:t>乡镇</w:t>
      </w:r>
      <w:r>
        <w:rPr>
          <w:rFonts w:hint="eastAsia" w:ascii="宋体" w:hAnsi="宋体" w:eastAsia="宋体"/>
          <w:color w:val="auto"/>
          <w:highlight w:val="none"/>
          <w:lang w:val="en-US" w:eastAsia="zh-CN"/>
        </w:rPr>
        <w:t>的发布信息，</w:t>
      </w:r>
      <w:r>
        <w:rPr>
          <w:rFonts w:hint="eastAsia" w:ascii="宋体" w:hAnsi="宋体"/>
          <w:color w:val="auto"/>
          <w:highlight w:val="none"/>
          <w:lang w:val="en-US" w:eastAsia="zh-CN"/>
        </w:rPr>
        <w:t>相关咨询可进行分享，部门和乡镇可通过后台进行发布相关咨询。</w:t>
      </w:r>
    </w:p>
    <w:p>
      <w:pPr>
        <w:pStyle w:val="7"/>
        <w:numPr>
          <w:ilvl w:val="1"/>
          <w:numId w:val="0"/>
        </w:numPr>
        <w:spacing w:line="440" w:lineRule="exact"/>
        <w:ind w:firstLine="562" w:firstLineChars="200"/>
        <w:rPr>
          <w:rFonts w:hint="default" w:cs="宋体"/>
          <w:b/>
          <w:bCs/>
          <w:color w:val="auto"/>
          <w:kern w:val="2"/>
          <w:sz w:val="28"/>
          <w:szCs w:val="28"/>
          <w:highlight w:val="none"/>
          <w:lang w:val="en-US" w:eastAsia="zh-CN" w:bidi="ar-SA"/>
        </w:rPr>
      </w:pPr>
      <w:bookmarkStart w:id="93" w:name="_Toc5232"/>
      <w:r>
        <w:rPr>
          <w:rFonts w:hint="eastAsia" w:cs="宋体"/>
          <w:b/>
          <w:bCs/>
          <w:color w:val="auto"/>
          <w:kern w:val="2"/>
          <w:sz w:val="28"/>
          <w:szCs w:val="28"/>
          <w:highlight w:val="none"/>
          <w:lang w:val="en-US" w:eastAsia="zh-CN" w:bidi="ar-SA"/>
        </w:rPr>
        <w:t>4.5“媒体”板块应用</w:t>
      </w:r>
    </w:p>
    <w:p>
      <w:pPr>
        <w:spacing w:line="440" w:lineRule="exact"/>
        <w:ind w:firstLine="420" w:firstLineChars="200"/>
        <w:rPr>
          <w:rFonts w:ascii="宋体" w:hAnsi="宋体" w:cs="宋体"/>
          <w:color w:val="auto"/>
          <w:szCs w:val="21"/>
          <w:highlight w:val="none"/>
        </w:rPr>
      </w:pPr>
      <w:r>
        <w:rPr>
          <w:rFonts w:hint="eastAsia" w:ascii="宋体" w:hAnsi="宋体" w:eastAsia="宋体"/>
          <w:color w:val="auto"/>
          <w:highlight w:val="none"/>
        </w:rPr>
        <w:t>“媒体”</w:t>
      </w:r>
      <w:r>
        <w:rPr>
          <w:rFonts w:hint="eastAsia" w:ascii="宋体" w:hAnsi="宋体" w:eastAsia="宋体"/>
          <w:color w:val="auto"/>
          <w:highlight w:val="none"/>
          <w:lang w:val="en-US" w:eastAsia="zh-CN"/>
        </w:rPr>
        <w:t>板</w:t>
      </w:r>
      <w:r>
        <w:rPr>
          <w:rFonts w:hint="eastAsia" w:ascii="宋体" w:hAnsi="宋体" w:eastAsia="宋体"/>
          <w:color w:val="auto"/>
          <w:highlight w:val="none"/>
        </w:rPr>
        <w:t>块是融合原爱常山</w:t>
      </w:r>
      <w:r>
        <w:rPr>
          <w:rFonts w:hint="eastAsia" w:ascii="宋体" w:hAnsi="宋体" w:eastAsia="宋体"/>
          <w:color w:val="auto"/>
          <w:highlight w:val="none"/>
          <w:lang w:val="en-US" w:eastAsia="zh-CN"/>
        </w:rPr>
        <w:t>新闻客户端</w:t>
      </w:r>
      <w:r>
        <w:rPr>
          <w:rFonts w:hint="eastAsia" w:ascii="宋体" w:hAnsi="宋体" w:eastAsia="宋体"/>
          <w:color w:val="auto"/>
          <w:highlight w:val="none"/>
        </w:rPr>
        <w:t>的内容，主要涵盖七大栏目，分别为推荐、视频、报纸、广播、电视、直播、媒体关注。一期项目通过对接浙报集团的“天目云”融媒体平台，实现原爱常山APP的新闻资讯迁移到新APP上</w:t>
      </w:r>
      <w:r>
        <w:rPr>
          <w:rFonts w:hint="eastAsia" w:ascii="宋体" w:hAnsi="宋体" w:eastAsia="宋体"/>
          <w:color w:val="auto"/>
          <w:highlight w:val="none"/>
          <w:lang w:eastAsia="zh-CN"/>
        </w:rPr>
        <w:t>。</w:t>
      </w:r>
      <w:r>
        <w:rPr>
          <w:rFonts w:hint="eastAsia" w:ascii="宋体" w:hAnsi="宋体"/>
          <w:color w:val="auto"/>
          <w:highlight w:val="none"/>
          <w:lang w:val="en-US" w:eastAsia="zh-CN"/>
        </w:rPr>
        <w:t>需</w:t>
      </w:r>
      <w:r>
        <w:rPr>
          <w:rFonts w:hint="eastAsia" w:ascii="宋体" w:hAnsi="宋体" w:eastAsia="宋体"/>
          <w:color w:val="auto"/>
          <w:highlight w:val="none"/>
        </w:rPr>
        <w:t>建立“媒体”专题数据库</w:t>
      </w:r>
      <w:r>
        <w:rPr>
          <w:rFonts w:hint="eastAsia" w:ascii="宋体" w:hAnsi="宋体"/>
          <w:color w:val="auto"/>
          <w:highlight w:val="none"/>
          <w:lang w:eastAsia="zh-CN"/>
        </w:rPr>
        <w:t>，</w:t>
      </w:r>
      <w:r>
        <w:rPr>
          <w:rFonts w:hint="eastAsia" w:ascii="宋体" w:hAnsi="宋体" w:eastAsia="宋体"/>
          <w:color w:val="auto"/>
          <w:highlight w:val="none"/>
        </w:rPr>
        <w:t>根据“爱常山”新闻资讯SDK完成接收接口，实时接收数据入库</w:t>
      </w:r>
      <w:r>
        <w:rPr>
          <w:rFonts w:hint="eastAsia" w:ascii="宋体" w:hAnsi="宋体"/>
          <w:color w:val="auto"/>
          <w:highlight w:val="none"/>
          <w:lang w:eastAsia="zh-CN"/>
        </w:rPr>
        <w:t>。</w:t>
      </w:r>
      <w:r>
        <w:rPr>
          <w:rFonts w:hint="eastAsia" w:ascii="宋体" w:hAnsi="宋体" w:cs="宋体"/>
          <w:color w:val="auto"/>
          <w:szCs w:val="21"/>
          <w:highlight w:val="none"/>
        </w:rPr>
        <w:t>主要内容如下：</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ascii="宋体" w:hAnsi="宋体" w:cs="宋体"/>
          <w:color w:val="auto"/>
          <w:szCs w:val="21"/>
          <w:highlight w:val="none"/>
        </w:rPr>
      </w:pPr>
      <w:r>
        <w:rPr>
          <w:rFonts w:hint="eastAsia" w:asciiTheme="majorEastAsia" w:hAnsiTheme="majorEastAsia" w:eastAsiaTheme="majorEastAsia" w:cstheme="majorEastAsia"/>
          <w:b/>
          <w:bCs/>
          <w:color w:val="auto"/>
          <w:kern w:val="2"/>
          <w:sz w:val="24"/>
          <w:szCs w:val="24"/>
          <w:highlight w:val="none"/>
          <w:lang w:val="en-US" w:eastAsia="zh-CN" w:bidi="ar-SA"/>
        </w:rPr>
        <w:t>4.5.1 目标设立</w:t>
      </w:r>
    </w:p>
    <w:p>
      <w:pPr>
        <w:pStyle w:val="73"/>
        <w:spacing w:line="440" w:lineRule="exact"/>
        <w:rPr>
          <w:rFonts w:ascii="宋体" w:hAnsi="宋体" w:eastAsia="宋体" w:cs="宋体"/>
          <w:color w:val="auto"/>
          <w:sz w:val="21"/>
          <w:highlight w:val="none"/>
        </w:rPr>
      </w:pPr>
      <w:r>
        <w:rPr>
          <w:rFonts w:hint="eastAsia" w:ascii="宋体" w:hAnsi="宋体" w:eastAsia="宋体" w:cs="宋体"/>
          <w:color w:val="auto"/>
          <w:sz w:val="21"/>
          <w:highlight w:val="none"/>
          <w:lang w:val="en-US" w:eastAsia="zh-CN"/>
        </w:rPr>
        <w:t>供应商</w:t>
      </w:r>
      <w:r>
        <w:rPr>
          <w:rFonts w:hint="eastAsia" w:ascii="宋体" w:hAnsi="宋体" w:eastAsia="宋体" w:cs="宋体"/>
          <w:color w:val="auto"/>
          <w:sz w:val="21"/>
          <w:highlight w:val="none"/>
        </w:rPr>
        <w:t>和天目云平台团队共同商定对接目标，按技术路线需求、内容分发需求、安全合规需求等制定对接方案，双方按照约定进行接口开发，内容推送，设立双方权责边界。</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default" w:ascii="宋体" w:hAnsi="宋体" w:cs="宋体"/>
          <w:color w:val="auto"/>
          <w:szCs w:val="21"/>
          <w:highlight w:val="none"/>
          <w:lang w:val="en-US"/>
        </w:rPr>
      </w:pPr>
      <w:r>
        <w:rPr>
          <w:rFonts w:hint="eastAsia" w:asciiTheme="majorEastAsia" w:hAnsiTheme="majorEastAsia" w:eastAsiaTheme="majorEastAsia" w:cstheme="majorEastAsia"/>
          <w:b/>
          <w:bCs/>
          <w:color w:val="auto"/>
          <w:kern w:val="2"/>
          <w:sz w:val="24"/>
          <w:szCs w:val="24"/>
          <w:highlight w:val="none"/>
          <w:lang w:val="en-US" w:eastAsia="zh-CN" w:bidi="ar-SA"/>
        </w:rPr>
        <w:t>4.5.2 天目云SDK</w:t>
      </w:r>
    </w:p>
    <w:p>
      <w:pPr>
        <w:pStyle w:val="73"/>
        <w:spacing w:line="440" w:lineRule="exact"/>
        <w:rPr>
          <w:rFonts w:ascii="宋体" w:hAnsi="宋体" w:eastAsia="宋体" w:cs="宋体"/>
          <w:color w:val="auto"/>
          <w:sz w:val="21"/>
          <w:highlight w:val="none"/>
        </w:rPr>
      </w:pPr>
      <w:r>
        <w:rPr>
          <w:rFonts w:hint="eastAsia" w:ascii="宋体" w:hAnsi="宋体" w:eastAsia="宋体" w:cs="宋体"/>
          <w:color w:val="auto"/>
          <w:sz w:val="21"/>
          <w:highlight w:val="none"/>
        </w:rPr>
        <w:t>由天目云平台提供原爱常山APP的andriod和iOS系统的SDK，新APP将按照约定的技术标准和规范进行原生SDK基础模块开发。天目云平台增加外部稿件接收接口，可接收新APP用户上传的稿件素材。</w:t>
      </w:r>
      <w:r>
        <w:rPr>
          <w:rFonts w:hint="eastAsia" w:ascii="宋体" w:hAnsi="宋体" w:eastAsia="宋体" w:cs="宋体"/>
          <w:color w:val="auto"/>
          <w:sz w:val="21"/>
          <w:highlight w:val="none"/>
          <w:lang w:val="en-US" w:eastAsia="zh-CN"/>
        </w:rPr>
        <w:t>APP</w:t>
      </w:r>
      <w:r>
        <w:rPr>
          <w:rFonts w:hint="eastAsia" w:ascii="宋体" w:hAnsi="宋体" w:eastAsia="宋体" w:cs="宋体"/>
          <w:color w:val="auto"/>
          <w:sz w:val="21"/>
          <w:highlight w:val="none"/>
        </w:rPr>
        <w:t>通过SDK支持部分业务外调，若现有SDK功能不足以覆盖业务需求，要根据具体需求新增开发。</w:t>
      </w:r>
    </w:p>
    <w:p>
      <w:pPr>
        <w:pStyle w:val="73"/>
        <w:spacing w:line="440" w:lineRule="exact"/>
        <w:rPr>
          <w:rFonts w:ascii="宋体" w:hAnsi="宋体" w:eastAsia="宋体" w:cs="宋体"/>
          <w:color w:val="auto"/>
          <w:sz w:val="21"/>
          <w:highlight w:val="none"/>
        </w:rPr>
      </w:pPr>
      <w:r>
        <w:rPr>
          <w:rFonts w:hint="eastAsia" w:ascii="宋体" w:hAnsi="宋体" w:eastAsia="宋体" w:cs="宋体"/>
          <w:color w:val="auto"/>
          <w:sz w:val="21"/>
          <w:highlight w:val="none"/>
        </w:rPr>
        <w:t>天目云平台通过天目云分发中心，将各种类型（新闻、视频、直播、专题、链接、图集等）稿件以JSON数据包格式（包含稿件的各类信息比如标题、内容、所属频道等）推送给客户端（提供数据接收接口)。APP需要根据接收到的数据包，完成解析入库与APP前端展示。天目云提供相关技术对接文档及技术联调工作。</w:t>
      </w:r>
    </w:p>
    <w:p>
      <w:pPr>
        <w:pStyle w:val="73"/>
        <w:spacing w:line="440" w:lineRule="exact"/>
        <w:rPr>
          <w:rFonts w:ascii="宋体" w:hAnsi="宋体" w:eastAsia="宋体" w:cs="宋体"/>
          <w:color w:val="auto"/>
          <w:sz w:val="21"/>
          <w:highlight w:val="none"/>
        </w:rPr>
      </w:pPr>
      <w:r>
        <w:rPr>
          <w:rFonts w:hint="eastAsia" w:ascii="宋体" w:hAnsi="宋体" w:eastAsia="宋体" w:cs="宋体"/>
          <w:color w:val="auto"/>
          <w:sz w:val="21"/>
          <w:highlight w:val="none"/>
        </w:rPr>
        <w:t>天目云分发中心、APP的SDK调用对接，约定对接的key，因此具备安全访问控制，对接时参考文档或沟通确认。</w:t>
      </w:r>
    </w:p>
    <w:p>
      <w:pPr>
        <w:pStyle w:val="73"/>
        <w:spacing w:line="440" w:lineRule="exact"/>
        <w:rPr>
          <w:rFonts w:ascii="宋体" w:hAnsi="宋体" w:eastAsia="宋体" w:cs="宋体"/>
          <w:color w:val="auto"/>
          <w:sz w:val="21"/>
          <w:highlight w:val="none"/>
        </w:rPr>
      </w:pPr>
      <w:r>
        <w:rPr>
          <w:rFonts w:hint="eastAsia" w:ascii="宋体" w:hAnsi="宋体" w:eastAsia="宋体" w:cs="宋体"/>
          <w:color w:val="auto"/>
          <w:sz w:val="21"/>
          <w:highlight w:val="none"/>
        </w:rPr>
        <w:t>APP频道需实现天目云和新APP自动同步。分发中心推送稿件时，会带稿件的“频道”属性，客户端根据拿到的“频道”信息，将稿件入库对应的“频道”（APP可设置一个“其他”频道，用于入库匹配不到“频道”信息的稿件）。</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default" w:ascii="宋体" w:hAnsi="宋体" w:cs="宋体"/>
          <w:color w:val="auto"/>
          <w:szCs w:val="21"/>
          <w:highlight w:val="none"/>
          <w:lang w:val="en-US"/>
        </w:rPr>
      </w:pPr>
      <w:r>
        <w:rPr>
          <w:rFonts w:hint="eastAsia" w:asciiTheme="majorEastAsia" w:hAnsiTheme="majorEastAsia" w:eastAsiaTheme="majorEastAsia" w:cstheme="majorEastAsia"/>
          <w:b/>
          <w:bCs/>
          <w:color w:val="auto"/>
          <w:kern w:val="2"/>
          <w:sz w:val="24"/>
          <w:szCs w:val="24"/>
          <w:highlight w:val="none"/>
          <w:lang w:val="en-US" w:eastAsia="zh-CN" w:bidi="ar-SA"/>
        </w:rPr>
        <w:t>4.5.3 埋码</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省委宣传部“舆情引导集成监管平台”需要APP进行埋码 + 完成成品稿（在客户端签发显示的稿件）推送到省宣平台后台。以《浙江省新闻资源库数据对接文档.doc》为标准，完成埋码工作。需提供安卓和IOS测试包供天目云技术团队确认埋码结果。</w:t>
      </w:r>
      <w:r>
        <w:rPr>
          <w:rFonts w:hint="eastAsia" w:ascii="宋体" w:hAnsi="宋体" w:cs="宋体"/>
          <w:color w:val="auto"/>
          <w:szCs w:val="21"/>
          <w:highlight w:val="none"/>
          <w:lang w:bidi="ar"/>
        </w:rPr>
        <w:t>APP</w:t>
      </w:r>
      <w:r>
        <w:rPr>
          <w:rFonts w:hint="eastAsia" w:ascii="宋体" w:hAnsi="宋体" w:cs="宋体"/>
          <w:color w:val="auto"/>
          <w:szCs w:val="21"/>
          <w:highlight w:val="none"/>
        </w:rPr>
        <w:t>全部的稿件都来自天目云系统，成品稿推送省宣平台由天目云负责完成。</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default" w:ascii="宋体" w:hAnsi="宋体" w:cs="宋体"/>
          <w:color w:val="auto"/>
          <w:szCs w:val="21"/>
          <w:highlight w:val="none"/>
          <w:lang w:val="en-US"/>
        </w:rPr>
      </w:pPr>
      <w:r>
        <w:rPr>
          <w:rFonts w:hint="eastAsia" w:asciiTheme="majorEastAsia" w:hAnsiTheme="majorEastAsia" w:eastAsiaTheme="majorEastAsia" w:cstheme="majorEastAsia"/>
          <w:b/>
          <w:bCs/>
          <w:color w:val="auto"/>
          <w:kern w:val="2"/>
          <w:sz w:val="24"/>
          <w:szCs w:val="24"/>
          <w:highlight w:val="none"/>
          <w:lang w:val="en-US" w:eastAsia="zh-CN" w:bidi="ar-SA"/>
        </w:rPr>
        <w:t>4.5.4 主要栏目</w:t>
      </w:r>
    </w:p>
    <w:p>
      <w:pPr>
        <w:numPr>
          <w:ilvl w:val="0"/>
          <w:numId w:val="0"/>
        </w:numPr>
        <w:spacing w:line="440" w:lineRule="exact"/>
        <w:ind w:leftChars="200"/>
        <w:rPr>
          <w:rFonts w:hint="default" w:ascii="宋体" w:hAnsi="宋体" w:cs="宋体"/>
          <w:color w:val="auto"/>
          <w:szCs w:val="21"/>
          <w:highlight w:val="none"/>
          <w:lang w:val="en-US"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推荐：</w:t>
      </w:r>
      <w:r>
        <w:rPr>
          <w:rFonts w:hint="eastAsia" w:ascii="宋体" w:hAnsi="宋体" w:cs="宋体"/>
          <w:color w:val="auto"/>
          <w:szCs w:val="21"/>
          <w:highlight w:val="none"/>
        </w:rPr>
        <w:t>完成首页头条和二条滚动新闻、热门新闻轮播banner、书记县长报道集、专题栏目、新闻等</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主要功能如下：</w:t>
      </w:r>
    </w:p>
    <w:p>
      <w:pPr>
        <w:numPr>
          <w:ilvl w:val="0"/>
          <w:numId w:val="9"/>
        </w:numPr>
        <w:spacing w:line="440" w:lineRule="exact"/>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新闻列表页：按一定的顺序展示新闻，列表显示焦点图及标题，并显示相应的浏览数和</w:t>
      </w:r>
      <w:r>
        <w:rPr>
          <w:rFonts w:hint="eastAsia" w:ascii="宋体" w:hAnsi="宋体" w:cs="宋体"/>
          <w:color w:val="auto"/>
          <w:szCs w:val="21"/>
          <w:highlight w:val="none"/>
          <w:lang w:val="en-US" w:eastAsia="zh-CN"/>
        </w:rPr>
        <w:t>发布时间</w:t>
      </w:r>
      <w:r>
        <w:rPr>
          <w:rFonts w:hint="eastAsia" w:ascii="宋体" w:hAnsi="宋体" w:cs="宋体"/>
          <w:color w:val="auto"/>
          <w:szCs w:val="21"/>
          <w:highlight w:val="none"/>
        </w:rPr>
        <w:t>等信息</w:t>
      </w:r>
      <w:r>
        <w:rPr>
          <w:rFonts w:hint="eastAsia" w:ascii="宋体" w:hAnsi="宋体" w:cs="宋体"/>
          <w:color w:val="auto"/>
          <w:szCs w:val="21"/>
          <w:highlight w:val="none"/>
          <w:lang w:eastAsia="zh-CN"/>
        </w:rPr>
        <w:t>，</w:t>
      </w:r>
      <w:r>
        <w:rPr>
          <w:rFonts w:hint="eastAsia" w:ascii="宋体" w:hAnsi="宋体" w:cs="宋体"/>
          <w:color w:val="auto"/>
          <w:szCs w:val="21"/>
          <w:highlight w:val="none"/>
        </w:rPr>
        <w:t>点击进入详情页进行浏览。</w:t>
      </w:r>
    </w:p>
    <w:p>
      <w:pPr>
        <w:numPr>
          <w:ilvl w:val="0"/>
          <w:numId w:val="9"/>
        </w:numPr>
        <w:spacing w:line="440" w:lineRule="exact"/>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专</w:t>
      </w:r>
      <w:r>
        <w:rPr>
          <w:rFonts w:hint="eastAsia" w:ascii="宋体" w:hAnsi="宋体" w:cs="宋体"/>
          <w:color w:val="auto"/>
          <w:szCs w:val="21"/>
          <w:highlight w:val="none"/>
          <w:lang w:val="en-US" w:eastAsia="zh-CN"/>
        </w:rPr>
        <w:t>题</w:t>
      </w:r>
      <w:r>
        <w:rPr>
          <w:rFonts w:hint="eastAsia" w:ascii="宋体" w:hAnsi="宋体" w:cs="宋体"/>
          <w:color w:val="auto"/>
          <w:szCs w:val="21"/>
          <w:highlight w:val="none"/>
        </w:rPr>
        <w:t>：在新闻列表页的任一位置可插入</w:t>
      </w:r>
      <w:r>
        <w:rPr>
          <w:rFonts w:hint="eastAsia" w:ascii="宋体" w:hAnsi="宋体" w:cs="宋体"/>
          <w:color w:val="auto"/>
          <w:szCs w:val="21"/>
          <w:highlight w:val="none"/>
          <w:lang w:val="en-US" w:eastAsia="zh-CN"/>
        </w:rPr>
        <w:t>专题</w:t>
      </w:r>
      <w:r>
        <w:rPr>
          <w:rFonts w:hint="eastAsia" w:ascii="宋体" w:hAnsi="宋体" w:cs="宋体"/>
          <w:color w:val="auto"/>
          <w:szCs w:val="21"/>
          <w:highlight w:val="none"/>
        </w:rPr>
        <w:t>，展示重要的新闻集合。点击后进入相应的页面。</w:t>
      </w:r>
    </w:p>
    <w:p>
      <w:pPr>
        <w:numPr>
          <w:ilvl w:val="0"/>
          <w:numId w:val="9"/>
        </w:numPr>
        <w:spacing w:line="440" w:lineRule="exact"/>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书记县长报道集</w:t>
      </w:r>
      <w:r>
        <w:rPr>
          <w:rFonts w:hint="eastAsia" w:ascii="宋体" w:hAnsi="宋体" w:cs="宋体"/>
          <w:color w:val="auto"/>
          <w:szCs w:val="21"/>
          <w:highlight w:val="none"/>
        </w:rPr>
        <w:t>：在新闻列表的任一位置展示</w:t>
      </w:r>
      <w:r>
        <w:rPr>
          <w:rFonts w:hint="eastAsia" w:ascii="宋体" w:hAnsi="宋体" w:cs="宋体"/>
          <w:color w:val="auto"/>
          <w:szCs w:val="21"/>
          <w:highlight w:val="none"/>
          <w:lang w:val="en-US" w:eastAsia="zh-CN"/>
        </w:rPr>
        <w:t>书记县长的报道合集</w:t>
      </w:r>
      <w:r>
        <w:rPr>
          <w:rFonts w:hint="eastAsia" w:ascii="宋体" w:hAnsi="宋体" w:cs="宋体"/>
          <w:color w:val="auto"/>
          <w:szCs w:val="21"/>
          <w:highlight w:val="none"/>
        </w:rPr>
        <w:t>，点击后可进入详情页。</w:t>
      </w:r>
    </w:p>
    <w:p>
      <w:pPr>
        <w:numPr>
          <w:ilvl w:val="0"/>
          <w:numId w:val="9"/>
        </w:numPr>
        <w:spacing w:line="440" w:lineRule="exact"/>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评论功能：用户可对新闻进行评论，并对评论进行回复</w:t>
      </w:r>
      <w:r>
        <w:rPr>
          <w:rFonts w:hint="eastAsia" w:ascii="宋体" w:hAnsi="宋体" w:cs="宋体"/>
          <w:color w:val="auto"/>
          <w:szCs w:val="21"/>
          <w:highlight w:val="none"/>
          <w:lang w:eastAsia="zh-CN"/>
        </w:rPr>
        <w:t>，</w:t>
      </w:r>
      <w:r>
        <w:rPr>
          <w:rFonts w:hint="eastAsia" w:ascii="宋体" w:hAnsi="宋体" w:cs="宋体"/>
          <w:color w:val="auto"/>
          <w:szCs w:val="21"/>
          <w:highlight w:val="none"/>
        </w:rPr>
        <w:t>并可对自己的评论进行管理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后台对评论进行管理。</w:t>
      </w:r>
    </w:p>
    <w:p>
      <w:pPr>
        <w:numPr>
          <w:ilvl w:val="0"/>
          <w:numId w:val="9"/>
        </w:numPr>
        <w:spacing w:line="440" w:lineRule="exact"/>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点赞功能：可对新闻内容进行点赞。后台对点赞数进行统计并显示。</w:t>
      </w:r>
    </w:p>
    <w:p>
      <w:pPr>
        <w:numPr>
          <w:ilvl w:val="0"/>
          <w:numId w:val="9"/>
        </w:numPr>
        <w:spacing w:line="440" w:lineRule="exact"/>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收藏功能：可对流量的新闻进行收藏。收藏后可在个人收藏记录中保存，便于回顾。</w:t>
      </w:r>
    </w:p>
    <w:p>
      <w:pPr>
        <w:numPr>
          <w:ilvl w:val="0"/>
          <w:numId w:val="9"/>
        </w:numPr>
        <w:spacing w:line="440" w:lineRule="exact"/>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分享功能：用户可对新闻进行分享到诸如微信、QQ、微博等第三方社交平台，便于信息的传播。</w:t>
      </w:r>
    </w:p>
    <w:p>
      <w:pPr>
        <w:numPr>
          <w:ilvl w:val="0"/>
          <w:numId w:val="9"/>
        </w:numPr>
        <w:spacing w:line="440" w:lineRule="exact"/>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新闻搜索：通过</w:t>
      </w:r>
      <w:r>
        <w:rPr>
          <w:rFonts w:hint="eastAsia" w:ascii="宋体" w:hAnsi="宋体" w:cs="宋体"/>
          <w:color w:val="auto"/>
          <w:szCs w:val="21"/>
          <w:highlight w:val="none"/>
          <w:lang w:val="en-US" w:eastAsia="zh-CN"/>
        </w:rPr>
        <w:t>媒体板块顶部搜索栏</w:t>
      </w:r>
      <w:r>
        <w:rPr>
          <w:rFonts w:hint="eastAsia" w:ascii="宋体" w:hAnsi="宋体" w:cs="宋体"/>
          <w:color w:val="auto"/>
          <w:szCs w:val="21"/>
          <w:highlight w:val="none"/>
        </w:rPr>
        <w:t>搜索新闻的功能，支持热门搜索和搜索历史。</w:t>
      </w:r>
    </w:p>
    <w:p>
      <w:pPr>
        <w:numPr>
          <w:ilvl w:val="0"/>
          <w:numId w:val="0"/>
        </w:numPr>
        <w:spacing w:line="440" w:lineRule="exact"/>
        <w:ind w:leftChars="200"/>
        <w:rPr>
          <w:rFonts w:hint="default" w:ascii="宋体" w:hAnsi="宋体" w:eastAsia="宋体" w:cs="宋体"/>
          <w:color w:val="auto"/>
          <w:szCs w:val="21"/>
          <w:highlight w:val="none"/>
          <w:lang w:val="en-US"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视频</w:t>
      </w:r>
      <w:r>
        <w:rPr>
          <w:rFonts w:hint="eastAsia" w:ascii="宋体" w:hAnsi="宋体" w:cs="宋体"/>
          <w:b/>
          <w:bCs/>
          <w:color w:val="auto"/>
          <w:szCs w:val="21"/>
          <w:highlight w:val="none"/>
        </w:rPr>
        <w:t>：</w:t>
      </w:r>
      <w:r>
        <w:rPr>
          <w:rFonts w:hint="eastAsia" w:ascii="宋体" w:hAnsi="宋体" w:cs="宋体"/>
          <w:color w:val="auto"/>
          <w:szCs w:val="21"/>
          <w:highlight w:val="none"/>
        </w:rPr>
        <w:t>完成二级子类</w:t>
      </w:r>
      <w:r>
        <w:rPr>
          <w:rFonts w:hint="eastAsia" w:ascii="宋体" w:hAnsi="宋体" w:cs="宋体"/>
          <w:color w:val="auto"/>
          <w:szCs w:val="21"/>
          <w:highlight w:val="none"/>
          <w:lang w:val="en-US" w:eastAsia="zh-CN"/>
        </w:rPr>
        <w:t>短</w:t>
      </w:r>
      <w:r>
        <w:rPr>
          <w:rFonts w:hint="eastAsia" w:ascii="宋体" w:hAnsi="宋体" w:cs="宋体"/>
          <w:color w:val="auto"/>
          <w:szCs w:val="21"/>
          <w:highlight w:val="none"/>
        </w:rPr>
        <w:t>视频新闻功能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可根据需要进行短视频集归纳。</w:t>
      </w:r>
    </w:p>
    <w:p>
      <w:pPr>
        <w:numPr>
          <w:ilvl w:val="0"/>
          <w:numId w:val="0"/>
        </w:numPr>
        <w:spacing w:line="440" w:lineRule="exact"/>
        <w:ind w:leftChars="200"/>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报纸：</w:t>
      </w:r>
      <w:r>
        <w:rPr>
          <w:rFonts w:hint="eastAsia" w:ascii="宋体" w:hAnsi="宋体" w:cs="宋体"/>
          <w:color w:val="auto"/>
          <w:szCs w:val="21"/>
          <w:highlight w:val="none"/>
        </w:rPr>
        <w:t>完成【今日常山】报纸数字报链接显示功能</w:t>
      </w:r>
      <w:r>
        <w:rPr>
          <w:rFonts w:hint="eastAsia" w:ascii="宋体" w:hAnsi="宋体" w:cs="宋体"/>
          <w:color w:val="auto"/>
          <w:szCs w:val="21"/>
          <w:highlight w:val="none"/>
          <w:lang w:val="en-US" w:eastAsia="zh-CN"/>
        </w:rPr>
        <w:t>。</w:t>
      </w:r>
    </w:p>
    <w:p>
      <w:pPr>
        <w:numPr>
          <w:ilvl w:val="0"/>
          <w:numId w:val="0"/>
        </w:numPr>
        <w:spacing w:line="440" w:lineRule="exact"/>
        <w:ind w:leftChars="200"/>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广播：</w:t>
      </w:r>
      <w:r>
        <w:rPr>
          <w:rFonts w:hint="eastAsia" w:ascii="宋体" w:hAnsi="宋体" w:cs="宋体"/>
          <w:color w:val="auto"/>
          <w:szCs w:val="21"/>
          <w:highlight w:val="none"/>
        </w:rPr>
        <w:t>完成在线广播电台，可通过选择电台进行在线听广播</w:t>
      </w:r>
      <w:r>
        <w:rPr>
          <w:rFonts w:hint="eastAsia" w:ascii="宋体" w:hAnsi="宋体" w:cs="宋体"/>
          <w:color w:val="auto"/>
          <w:szCs w:val="21"/>
          <w:highlight w:val="none"/>
          <w:lang w:eastAsia="zh-CN"/>
        </w:rPr>
        <w:t>。</w:t>
      </w:r>
    </w:p>
    <w:p>
      <w:pPr>
        <w:numPr>
          <w:ilvl w:val="0"/>
          <w:numId w:val="0"/>
        </w:numPr>
        <w:spacing w:line="440" w:lineRule="exact"/>
        <w:ind w:leftChars="200"/>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电视：</w:t>
      </w:r>
      <w:r>
        <w:rPr>
          <w:rFonts w:hint="eastAsia" w:ascii="宋体" w:hAnsi="宋体" w:cs="宋体"/>
          <w:color w:val="auto"/>
          <w:szCs w:val="21"/>
          <w:highlight w:val="none"/>
        </w:rPr>
        <w:t>展示当前常山新闻综合频道在线直播的入口、根据类别展示电视栏目，可进行在线</w:t>
      </w:r>
      <w:r>
        <w:rPr>
          <w:rFonts w:hint="eastAsia" w:ascii="宋体" w:hAnsi="宋体" w:cs="宋体"/>
          <w:color w:val="auto"/>
          <w:szCs w:val="21"/>
          <w:highlight w:val="none"/>
          <w:lang w:val="en-US" w:eastAsia="zh-CN"/>
        </w:rPr>
        <w:t>点播</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设置主持人风采子栏目，展示主持人的主要信息、海报和写真等</w:t>
      </w:r>
      <w:r>
        <w:rPr>
          <w:rFonts w:hint="eastAsia" w:ascii="宋体" w:hAnsi="宋体" w:cs="宋体"/>
          <w:color w:val="auto"/>
          <w:szCs w:val="21"/>
          <w:highlight w:val="none"/>
          <w:lang w:eastAsia="zh-CN"/>
        </w:rPr>
        <w:t>。</w:t>
      </w:r>
    </w:p>
    <w:p>
      <w:pPr>
        <w:numPr>
          <w:ilvl w:val="0"/>
          <w:numId w:val="0"/>
        </w:numPr>
        <w:spacing w:line="440" w:lineRule="exact"/>
        <w:ind w:leftChars="200"/>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6</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直播：</w:t>
      </w:r>
      <w:r>
        <w:rPr>
          <w:rFonts w:hint="eastAsia" w:ascii="宋体" w:hAnsi="宋体" w:cs="宋体"/>
          <w:color w:val="auto"/>
          <w:szCs w:val="21"/>
          <w:highlight w:val="none"/>
        </w:rPr>
        <w:t>新媒体正在直播、精彩回放</w:t>
      </w:r>
      <w:r>
        <w:rPr>
          <w:rFonts w:hint="eastAsia" w:ascii="宋体" w:hAnsi="宋体" w:cs="宋体"/>
          <w:color w:val="auto"/>
          <w:szCs w:val="21"/>
          <w:highlight w:val="none"/>
          <w:lang w:val="en-US" w:eastAsia="zh-CN"/>
        </w:rPr>
        <w:t>等。</w:t>
      </w:r>
    </w:p>
    <w:p>
      <w:pPr>
        <w:numPr>
          <w:ilvl w:val="0"/>
          <w:numId w:val="0"/>
        </w:numPr>
        <w:spacing w:line="440" w:lineRule="exact"/>
        <w:ind w:leftChars="200"/>
        <w:rPr>
          <w:rFonts w:ascii="宋体" w:hAnsi="宋体" w:cs="宋体"/>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媒体关注：</w:t>
      </w:r>
      <w:r>
        <w:rPr>
          <w:rFonts w:hint="eastAsia" w:ascii="宋体" w:hAnsi="宋体" w:cs="宋体"/>
          <w:color w:val="auto"/>
          <w:szCs w:val="21"/>
          <w:highlight w:val="none"/>
        </w:rPr>
        <w:t>展示</w:t>
      </w:r>
      <w:r>
        <w:rPr>
          <w:rFonts w:hint="eastAsia" w:ascii="宋体" w:hAnsi="宋体" w:cs="宋体"/>
          <w:color w:val="auto"/>
          <w:szCs w:val="21"/>
          <w:highlight w:val="none"/>
          <w:lang w:val="en-US" w:eastAsia="zh-CN"/>
        </w:rPr>
        <w:t>县外媒体关注常山的</w:t>
      </w:r>
      <w:r>
        <w:rPr>
          <w:rFonts w:hint="eastAsia" w:ascii="宋体" w:hAnsi="宋体" w:cs="宋体"/>
          <w:color w:val="auto"/>
          <w:szCs w:val="21"/>
          <w:highlight w:val="none"/>
        </w:rPr>
        <w:t>新闻资讯</w:t>
      </w:r>
      <w:r>
        <w:rPr>
          <w:rFonts w:hint="eastAsia" w:ascii="宋体" w:hAnsi="宋体" w:cs="宋体"/>
          <w:color w:val="auto"/>
          <w:szCs w:val="21"/>
          <w:highlight w:val="none"/>
          <w:lang w:val="en-US" w:eastAsia="zh-CN"/>
        </w:rPr>
        <w:t>链接</w:t>
      </w:r>
      <w:r>
        <w:rPr>
          <w:rFonts w:hint="eastAsia" w:ascii="宋体" w:hAnsi="宋体" w:cs="宋体"/>
          <w:color w:val="auto"/>
          <w:szCs w:val="21"/>
          <w:highlight w:val="none"/>
        </w:rPr>
        <w:t>。</w:t>
      </w:r>
    </w:p>
    <w:p>
      <w:pPr>
        <w:pStyle w:val="7"/>
        <w:numPr>
          <w:ilvl w:val="1"/>
          <w:numId w:val="0"/>
        </w:numPr>
        <w:spacing w:line="440" w:lineRule="exact"/>
        <w:ind w:firstLine="562" w:firstLineChars="200"/>
        <w:rPr>
          <w:rFonts w:hint="eastAsia" w:cs="宋体"/>
          <w:b/>
          <w:bCs/>
          <w:color w:val="auto"/>
          <w:kern w:val="2"/>
          <w:sz w:val="28"/>
          <w:szCs w:val="28"/>
          <w:highlight w:val="none"/>
          <w:lang w:val="en-US" w:eastAsia="zh-CN" w:bidi="ar-SA"/>
        </w:rPr>
      </w:pPr>
      <w:r>
        <w:rPr>
          <w:rFonts w:hint="eastAsia" w:cs="宋体"/>
          <w:b/>
          <w:bCs/>
          <w:color w:val="auto"/>
          <w:kern w:val="2"/>
          <w:sz w:val="28"/>
          <w:szCs w:val="28"/>
          <w:highlight w:val="none"/>
          <w:lang w:val="en-US" w:eastAsia="zh-CN" w:bidi="ar-SA"/>
        </w:rPr>
        <w:t>4.6“广场”板块应用</w:t>
      </w:r>
      <w:bookmarkEnd w:id="93"/>
    </w:p>
    <w:p>
      <w:pPr>
        <w:spacing w:line="440" w:lineRule="exact"/>
        <w:ind w:firstLine="420" w:firstLineChars="200"/>
        <w:rPr>
          <w:color w:val="auto"/>
          <w:highlight w:val="none"/>
        </w:rPr>
      </w:pPr>
      <w:r>
        <w:rPr>
          <w:rFonts w:hint="eastAsia" w:ascii="宋体" w:hAnsi="宋体" w:cs="宋体"/>
          <w:color w:val="auto"/>
          <w:szCs w:val="21"/>
          <w:highlight w:val="none"/>
        </w:rPr>
        <w:t>“广场”板块是原“U点通”</w:t>
      </w:r>
      <w:r>
        <w:rPr>
          <w:rFonts w:hint="eastAsia" w:ascii="宋体" w:hAnsi="宋体" w:cs="宋体"/>
          <w:color w:val="auto"/>
          <w:szCs w:val="21"/>
          <w:highlight w:val="none"/>
          <w:lang w:val="en-US" w:eastAsia="zh-CN"/>
        </w:rPr>
        <w:t>公众号</w:t>
      </w:r>
      <w:r>
        <w:rPr>
          <w:rFonts w:hint="eastAsia" w:ascii="宋体" w:hAnsi="宋体" w:cs="宋体"/>
          <w:color w:val="auto"/>
          <w:szCs w:val="21"/>
          <w:highlight w:val="none"/>
        </w:rPr>
        <w:t>信息广场应用</w:t>
      </w:r>
      <w:r>
        <w:rPr>
          <w:rFonts w:hint="eastAsia" w:ascii="宋体" w:hAnsi="宋体" w:cs="宋体"/>
          <w:color w:val="auto"/>
          <w:szCs w:val="21"/>
          <w:highlight w:val="none"/>
          <w:lang w:val="en-US" w:eastAsia="zh-CN"/>
        </w:rPr>
        <w:t>的迭代升级</w:t>
      </w:r>
      <w:r>
        <w:rPr>
          <w:rFonts w:hint="eastAsia" w:ascii="宋体" w:hAnsi="宋体" w:cs="宋体"/>
          <w:color w:val="auto"/>
          <w:szCs w:val="21"/>
          <w:highlight w:val="none"/>
        </w:rPr>
        <w:t>，包括</w:t>
      </w:r>
      <w:r>
        <w:rPr>
          <w:rFonts w:hint="eastAsia" w:ascii="宋体" w:hAnsi="宋体" w:cs="宋体"/>
          <w:color w:val="auto"/>
          <w:szCs w:val="21"/>
          <w:highlight w:val="none"/>
          <w:lang w:val="en-US" w:eastAsia="zh-CN"/>
        </w:rPr>
        <w:t>生活服务</w:t>
      </w:r>
      <w:r>
        <w:rPr>
          <w:rFonts w:hint="eastAsia" w:ascii="宋体" w:hAnsi="宋体" w:cs="宋体"/>
          <w:color w:val="auto"/>
          <w:szCs w:val="21"/>
          <w:highlight w:val="none"/>
        </w:rPr>
        <w:t>、求职招聘、房产信息、物品转让、交友征婚、农家土货、</w:t>
      </w:r>
      <w:r>
        <w:rPr>
          <w:rFonts w:hint="eastAsia" w:ascii="宋体" w:hAnsi="宋体" w:cs="宋体"/>
          <w:color w:val="auto"/>
          <w:szCs w:val="21"/>
          <w:highlight w:val="none"/>
          <w:lang w:val="en-US" w:eastAsia="zh-CN"/>
        </w:rPr>
        <w:t>教育培训、吃住行</w:t>
      </w:r>
      <w:r>
        <w:rPr>
          <w:rFonts w:hint="eastAsia" w:ascii="宋体" w:hAnsi="宋体" w:cs="宋体"/>
          <w:color w:val="auto"/>
          <w:szCs w:val="21"/>
          <w:highlight w:val="none"/>
        </w:rPr>
        <w:t>等</w:t>
      </w:r>
      <w:r>
        <w:rPr>
          <w:rFonts w:hint="eastAsia" w:ascii="宋体" w:hAnsi="宋体" w:cs="宋体"/>
          <w:color w:val="auto"/>
          <w:szCs w:val="21"/>
          <w:highlight w:val="none"/>
          <w:lang w:val="en-US" w:eastAsia="zh-CN"/>
        </w:rPr>
        <w:t>模块</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用户可在对应模块进行信息查询、发布和互动，需对应开发</w:t>
      </w:r>
      <w:r>
        <w:rPr>
          <w:rFonts w:hint="default" w:ascii="宋体" w:hAnsi="宋体" w:eastAsia="宋体" w:cs="宋体"/>
          <w:color w:val="auto"/>
          <w:szCs w:val="21"/>
          <w:highlight w:val="none"/>
          <w:lang w:val="en-US" w:eastAsia="zh-CN"/>
        </w:rPr>
        <w:t>审核管理发布后台。</w:t>
      </w:r>
    </w:p>
    <w:p>
      <w:pPr>
        <w:pStyle w:val="7"/>
        <w:numPr>
          <w:ilvl w:val="1"/>
          <w:numId w:val="0"/>
        </w:numPr>
        <w:spacing w:line="440" w:lineRule="exact"/>
        <w:ind w:firstLine="562" w:firstLineChars="200"/>
        <w:rPr>
          <w:rFonts w:hint="eastAsia" w:cs="宋体"/>
          <w:b/>
          <w:bCs/>
          <w:color w:val="auto"/>
          <w:kern w:val="2"/>
          <w:sz w:val="28"/>
          <w:szCs w:val="28"/>
          <w:highlight w:val="none"/>
          <w:lang w:val="en-US" w:eastAsia="zh-CN" w:bidi="ar-SA"/>
        </w:rPr>
      </w:pPr>
      <w:bookmarkStart w:id="94" w:name="_Toc28821"/>
      <w:r>
        <w:rPr>
          <w:rFonts w:hint="eastAsia" w:cs="宋体"/>
          <w:b/>
          <w:bCs/>
          <w:color w:val="auto"/>
          <w:kern w:val="2"/>
          <w:sz w:val="28"/>
          <w:szCs w:val="28"/>
          <w:highlight w:val="none"/>
          <w:lang w:val="en-US" w:eastAsia="zh-CN" w:bidi="ar-SA"/>
        </w:rPr>
        <w:t>4.7 “我的”板块应用</w:t>
      </w:r>
      <w:bookmarkEnd w:id="94"/>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“我的”板块</w:t>
      </w:r>
      <w:r>
        <w:rPr>
          <w:rFonts w:hint="eastAsia" w:ascii="宋体" w:hAnsi="宋体" w:cs="宋体"/>
          <w:color w:val="auto"/>
          <w:szCs w:val="21"/>
          <w:highlight w:val="none"/>
          <w:lang w:val="en-US" w:eastAsia="zh-CN"/>
        </w:rPr>
        <w:t>应用</w:t>
      </w:r>
      <w:r>
        <w:rPr>
          <w:rFonts w:hint="eastAsia" w:ascii="宋体" w:hAnsi="宋体" w:cs="宋体"/>
          <w:color w:val="auto"/>
          <w:szCs w:val="21"/>
          <w:highlight w:val="none"/>
        </w:rPr>
        <w:t>整合了个人中心、登录/注册、签到、活跃积分、我的消息、我的办事、一码通、我的订阅、生活功能区、我的工作台、其他等涉及用户个人的常用功能。</w:t>
      </w:r>
    </w:p>
    <w:p>
      <w:pPr>
        <w:numPr>
          <w:ilvl w:val="0"/>
          <w:numId w:val="0"/>
        </w:numPr>
        <w:spacing w:line="440" w:lineRule="exact"/>
        <w:ind w:leftChars="200"/>
        <w:rPr>
          <w:rFonts w:ascii="宋体" w:hAnsi="宋体" w:cs="宋体"/>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个人中心：</w:t>
      </w:r>
      <w:r>
        <w:rPr>
          <w:rFonts w:hint="eastAsia" w:ascii="宋体" w:hAnsi="宋体" w:cs="宋体"/>
          <w:color w:val="auto"/>
          <w:szCs w:val="21"/>
          <w:highlight w:val="none"/>
        </w:rPr>
        <w:t>分别完成匿名用户、实名认证用户的个人信息展示；</w:t>
      </w:r>
    </w:p>
    <w:p>
      <w:pPr>
        <w:numPr>
          <w:ilvl w:val="0"/>
          <w:numId w:val="0"/>
        </w:numPr>
        <w:spacing w:line="440" w:lineRule="exact"/>
        <w:ind w:leftChars="200"/>
        <w:rPr>
          <w:rFonts w:ascii="宋体" w:hAnsi="宋体" w:cs="宋体"/>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登录/注册：</w:t>
      </w:r>
      <w:r>
        <w:rPr>
          <w:rFonts w:hint="eastAsia" w:ascii="宋体" w:hAnsi="宋体" w:cs="宋体"/>
          <w:color w:val="auto"/>
          <w:szCs w:val="21"/>
          <w:highlight w:val="none"/>
        </w:rPr>
        <w:t>支持支付宝、手机号码两种方式完成个人账户注册、登录过程；</w:t>
      </w:r>
    </w:p>
    <w:p>
      <w:pPr>
        <w:numPr>
          <w:ilvl w:val="0"/>
          <w:numId w:val="0"/>
        </w:numPr>
        <w:spacing w:line="440" w:lineRule="exact"/>
        <w:ind w:leftChars="200"/>
        <w:rPr>
          <w:rFonts w:hint="eastAsia" w:ascii="宋体" w:hAnsi="宋体" w:cs="宋体"/>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签到：</w:t>
      </w:r>
      <w:r>
        <w:rPr>
          <w:rFonts w:hint="eastAsia" w:ascii="宋体" w:hAnsi="宋体" w:cs="宋体"/>
          <w:color w:val="auto"/>
          <w:szCs w:val="21"/>
          <w:highlight w:val="none"/>
        </w:rPr>
        <w:t>实现用户签到功能，并与积分系统打通；</w:t>
      </w:r>
    </w:p>
    <w:p>
      <w:pPr>
        <w:numPr>
          <w:ilvl w:val="0"/>
          <w:numId w:val="0"/>
        </w:numPr>
        <w:spacing w:line="440" w:lineRule="exact"/>
        <w:ind w:leftChars="200"/>
        <w:rPr>
          <w:rFonts w:hint="eastAsia" w:ascii="宋体" w:hAnsi="宋体" w:cs="宋体"/>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活跃积分：</w:t>
      </w:r>
      <w:r>
        <w:rPr>
          <w:rFonts w:hint="eastAsia" w:ascii="宋体" w:hAnsi="宋体" w:cs="宋体"/>
          <w:color w:val="auto"/>
          <w:szCs w:val="21"/>
          <w:highlight w:val="none"/>
          <w:lang w:val="en-US" w:eastAsia="zh-CN"/>
        </w:rPr>
        <w:t>构建APP用户积分体系，</w:t>
      </w:r>
      <w:r>
        <w:rPr>
          <w:rFonts w:hint="eastAsia" w:ascii="宋体" w:hAnsi="宋体" w:cs="宋体"/>
          <w:color w:val="auto"/>
          <w:szCs w:val="21"/>
          <w:highlight w:val="none"/>
        </w:rPr>
        <w:t>展示个人积分记录；</w:t>
      </w:r>
    </w:p>
    <w:p>
      <w:pPr>
        <w:numPr>
          <w:ilvl w:val="0"/>
          <w:numId w:val="0"/>
        </w:numPr>
        <w:spacing w:line="440" w:lineRule="exact"/>
        <w:ind w:leftChars="200"/>
        <w:rPr>
          <w:rFonts w:hint="eastAsia" w:ascii="宋体" w:hAnsi="宋体" w:cs="宋体"/>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我的消息：</w:t>
      </w:r>
      <w:r>
        <w:rPr>
          <w:rFonts w:hint="eastAsia" w:ascii="宋体" w:hAnsi="宋体" w:cs="宋体"/>
          <w:color w:val="auto"/>
          <w:szCs w:val="21"/>
          <w:highlight w:val="none"/>
        </w:rPr>
        <w:t>系统消息及用户交互模块消息；</w:t>
      </w:r>
    </w:p>
    <w:p>
      <w:pPr>
        <w:numPr>
          <w:ilvl w:val="0"/>
          <w:numId w:val="0"/>
        </w:numPr>
        <w:spacing w:line="440" w:lineRule="exact"/>
        <w:ind w:leftChars="200"/>
        <w:rPr>
          <w:rFonts w:hint="eastAsia" w:ascii="宋体" w:hAnsi="宋体" w:cs="宋体"/>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6</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我的办事：</w:t>
      </w:r>
      <w:r>
        <w:rPr>
          <w:rFonts w:hint="eastAsia" w:ascii="宋体" w:hAnsi="宋体" w:cs="宋体"/>
          <w:color w:val="auto"/>
          <w:szCs w:val="21"/>
          <w:highlight w:val="none"/>
        </w:rPr>
        <w:t>打通办事类应用数据，提供用户查看办事流程和办事反馈；</w:t>
      </w:r>
    </w:p>
    <w:p>
      <w:pPr>
        <w:numPr>
          <w:ilvl w:val="0"/>
          <w:numId w:val="0"/>
        </w:numPr>
        <w:spacing w:line="440" w:lineRule="exact"/>
        <w:ind w:leftChars="200"/>
        <w:rPr>
          <w:rFonts w:hint="eastAsia" w:ascii="宋体" w:hAnsi="宋体" w:cs="宋体"/>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一码通：</w:t>
      </w:r>
      <w:r>
        <w:rPr>
          <w:rFonts w:hint="eastAsia" w:ascii="宋体" w:hAnsi="宋体" w:cs="宋体"/>
          <w:color w:val="auto"/>
          <w:szCs w:val="21"/>
          <w:highlight w:val="none"/>
        </w:rPr>
        <w:t>一卡通扫码支付、图书借阅两个应用C端模块；</w:t>
      </w:r>
    </w:p>
    <w:p>
      <w:pPr>
        <w:numPr>
          <w:ilvl w:val="0"/>
          <w:numId w:val="0"/>
        </w:numPr>
        <w:spacing w:line="440" w:lineRule="exact"/>
        <w:ind w:leftChars="200"/>
        <w:rPr>
          <w:rFonts w:hint="eastAsia" w:ascii="宋体" w:hAnsi="宋体" w:cs="宋体"/>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8</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生活功能区：</w:t>
      </w:r>
      <w:r>
        <w:rPr>
          <w:rFonts w:hint="eastAsia" w:ascii="宋体" w:hAnsi="宋体" w:cs="宋体"/>
          <w:color w:val="auto"/>
          <w:szCs w:val="21"/>
          <w:highlight w:val="none"/>
        </w:rPr>
        <w:t>根据C端高频使用的应用，系统自动推荐生活服务类应用到生活功能区；</w:t>
      </w:r>
    </w:p>
    <w:p>
      <w:pPr>
        <w:spacing w:line="440" w:lineRule="exact"/>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我的工作台：</w:t>
      </w:r>
      <w:r>
        <w:rPr>
          <w:rFonts w:hint="eastAsia" w:ascii="宋体" w:hAnsi="宋体" w:cs="宋体"/>
          <w:b w:val="0"/>
          <w:bCs w:val="0"/>
          <w:color w:val="auto"/>
          <w:szCs w:val="21"/>
          <w:highlight w:val="none"/>
          <w:lang w:val="en-US" w:eastAsia="zh-CN"/>
        </w:rPr>
        <w:t>邀请码（绑定好友邀请码，生成个人邀请码并可分享链接）、</w:t>
      </w:r>
      <w:r>
        <w:rPr>
          <w:rFonts w:hint="eastAsia" w:ascii="宋体" w:hAnsi="宋体" w:cs="宋体"/>
          <w:color w:val="auto"/>
          <w:szCs w:val="21"/>
          <w:highlight w:val="none"/>
        </w:rPr>
        <w:t>交互类的如村民信箱（群众需求）、村友圈、精准推送、项目投资管理、社情民意、政企通（第三方平台）等模块的数据展示；</w:t>
      </w:r>
    </w:p>
    <w:p>
      <w:pPr>
        <w:numPr>
          <w:ilvl w:val="0"/>
          <w:numId w:val="0"/>
        </w:numPr>
        <w:spacing w:line="440" w:lineRule="exact"/>
        <w:ind w:leftChars="200"/>
        <w:rPr>
          <w:rFonts w:hint="eastAsia" w:ascii="宋体" w:hAnsi="宋体" w:cs="宋体"/>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10</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其他：</w:t>
      </w:r>
      <w:r>
        <w:rPr>
          <w:rFonts w:hint="eastAsia" w:ascii="宋体" w:hAnsi="宋体" w:cs="宋体"/>
          <w:color w:val="auto"/>
          <w:szCs w:val="21"/>
          <w:highlight w:val="none"/>
        </w:rPr>
        <w:t>整合意见反馈、设置功能。</w:t>
      </w:r>
    </w:p>
    <w:p>
      <w:pPr>
        <w:pStyle w:val="7"/>
        <w:numPr>
          <w:ilvl w:val="1"/>
          <w:numId w:val="0"/>
        </w:numPr>
        <w:spacing w:line="440" w:lineRule="exact"/>
        <w:ind w:firstLine="562" w:firstLineChars="200"/>
        <w:rPr>
          <w:rFonts w:hint="eastAsia" w:cs="宋体"/>
          <w:b/>
          <w:bCs/>
          <w:color w:val="auto"/>
          <w:kern w:val="2"/>
          <w:sz w:val="28"/>
          <w:szCs w:val="28"/>
          <w:highlight w:val="none"/>
          <w:lang w:val="en-US" w:eastAsia="zh-CN" w:bidi="ar-SA"/>
        </w:rPr>
      </w:pPr>
      <w:bookmarkStart w:id="95" w:name="_Toc10094"/>
      <w:bookmarkStart w:id="96" w:name="_Toc25993"/>
      <w:bookmarkStart w:id="97" w:name="_Toc25952"/>
      <w:bookmarkStart w:id="98" w:name="_Toc4617"/>
      <w:bookmarkStart w:id="99" w:name="_Toc20832"/>
      <w:bookmarkStart w:id="100" w:name="_Toc10977"/>
      <w:r>
        <w:rPr>
          <w:rFonts w:hint="eastAsia" w:cs="宋体"/>
          <w:b/>
          <w:bCs/>
          <w:color w:val="auto"/>
          <w:kern w:val="2"/>
          <w:sz w:val="28"/>
          <w:szCs w:val="28"/>
          <w:highlight w:val="none"/>
          <w:lang w:val="en-US" w:eastAsia="zh-CN" w:bidi="ar-SA"/>
        </w:rPr>
        <w:t>4.8  APP界面设计</w:t>
      </w:r>
      <w:bookmarkEnd w:id="95"/>
      <w:bookmarkEnd w:id="96"/>
      <w:bookmarkEnd w:id="97"/>
      <w:bookmarkEnd w:id="98"/>
      <w:bookmarkEnd w:id="99"/>
      <w:bookmarkEnd w:id="100"/>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界面UI关系到APP建设的整体形象展示，以及用户操作体验和感受，UI设计必须满足</w:t>
      </w:r>
      <w:r>
        <w:rPr>
          <w:rFonts w:hint="eastAsia" w:ascii="宋体" w:hAnsi="宋体" w:cs="宋体"/>
          <w:color w:val="auto"/>
          <w:szCs w:val="21"/>
          <w:highlight w:val="none"/>
          <w:lang w:val="en-US" w:eastAsia="zh-CN"/>
        </w:rPr>
        <w:t>爱常山</w:t>
      </w:r>
      <w:r>
        <w:rPr>
          <w:rFonts w:hint="eastAsia" w:ascii="宋体" w:hAnsi="宋体" w:cs="宋体"/>
          <w:color w:val="auto"/>
          <w:szCs w:val="21"/>
          <w:highlight w:val="none"/>
        </w:rPr>
        <w:t>U点通</w:t>
      </w:r>
      <w:r>
        <w:rPr>
          <w:rFonts w:hint="eastAsia" w:ascii="宋体" w:hAnsi="宋体" w:cs="宋体"/>
          <w:color w:val="auto"/>
          <w:szCs w:val="21"/>
          <w:highlight w:val="none"/>
          <w:lang w:val="en-US" w:eastAsia="zh-CN"/>
        </w:rPr>
        <w:t>APP</w:t>
      </w:r>
      <w:r>
        <w:rPr>
          <w:rFonts w:hint="eastAsia" w:ascii="宋体" w:hAnsi="宋体" w:cs="宋体"/>
          <w:color w:val="auto"/>
          <w:szCs w:val="21"/>
          <w:highlight w:val="none"/>
        </w:rPr>
        <w:t>技术规范，还应突出常山本土特色，就APP界面设计要求总结如下：</w:t>
      </w:r>
    </w:p>
    <w:p>
      <w:pPr>
        <w:pStyle w:val="16"/>
        <w:numPr>
          <w:ilvl w:val="0"/>
          <w:numId w:val="10"/>
        </w:numPr>
        <w:spacing w:line="440" w:lineRule="exact"/>
        <w:ind w:firstLine="420" w:firstLineChars="200"/>
        <w:rPr>
          <w:rFonts w:hAnsi="宋体" w:cs="宋体"/>
          <w:color w:val="auto"/>
          <w:highlight w:val="none"/>
        </w:rPr>
      </w:pPr>
      <w:bookmarkStart w:id="101" w:name="_Toc22593"/>
      <w:r>
        <w:rPr>
          <w:rFonts w:hint="eastAsia" w:hAnsi="宋体" w:cs="宋体"/>
          <w:color w:val="auto"/>
          <w:highlight w:val="none"/>
        </w:rPr>
        <w:t>移动端设计</w:t>
      </w:r>
      <w:bookmarkEnd w:id="101"/>
    </w:p>
    <w:p>
      <w:pPr>
        <w:pStyle w:val="16"/>
        <w:widowControl w:val="0"/>
        <w:overflowPunct/>
        <w:autoSpaceDE/>
        <w:autoSpaceDN/>
        <w:adjustRightInd/>
        <w:spacing w:line="440" w:lineRule="exact"/>
        <w:ind w:firstLine="420" w:firstLineChars="200"/>
        <w:rPr>
          <w:rFonts w:hAnsi="宋体" w:cs="宋体"/>
          <w:color w:val="auto"/>
          <w:highlight w:val="none"/>
        </w:rPr>
      </w:pPr>
      <w:r>
        <w:rPr>
          <w:rFonts w:hint="eastAsia" w:hAnsi="宋体" w:cs="宋体"/>
          <w:color w:val="auto"/>
          <w:highlight w:val="none"/>
        </w:rPr>
        <w:t>APP</w:t>
      </w:r>
      <w:r>
        <w:rPr>
          <w:rFonts w:hint="eastAsia" w:hAnsi="宋体" w:cs="宋体"/>
          <w:color w:val="auto"/>
          <w:highlight w:val="none"/>
          <w:lang w:val="en-US" w:eastAsia="zh-CN"/>
        </w:rPr>
        <w:t>移动端界面设计</w:t>
      </w:r>
      <w:r>
        <w:rPr>
          <w:rFonts w:hint="eastAsia" w:hAnsi="宋体" w:cs="宋体"/>
          <w:color w:val="auto"/>
          <w:highlight w:val="none"/>
        </w:rPr>
        <w:t>，需符合上架的规范和标准。</w:t>
      </w:r>
    </w:p>
    <w:p>
      <w:pPr>
        <w:pStyle w:val="16"/>
        <w:numPr>
          <w:ilvl w:val="0"/>
          <w:numId w:val="10"/>
        </w:numPr>
        <w:spacing w:line="440" w:lineRule="exact"/>
        <w:ind w:firstLine="420" w:firstLineChars="200"/>
        <w:rPr>
          <w:rFonts w:hAnsi="宋体" w:cs="宋体"/>
          <w:color w:val="auto"/>
          <w:highlight w:val="none"/>
        </w:rPr>
      </w:pPr>
      <w:bookmarkStart w:id="102" w:name="_Toc29431"/>
      <w:bookmarkStart w:id="103" w:name="_Toc28609"/>
      <w:r>
        <w:rPr>
          <w:rFonts w:hint="eastAsia" w:hAnsi="宋体" w:cs="宋体"/>
          <w:color w:val="auto"/>
          <w:highlight w:val="none"/>
        </w:rPr>
        <w:t>主题颜色</w:t>
      </w:r>
      <w:bookmarkEnd w:id="102"/>
      <w:bookmarkEnd w:id="103"/>
    </w:p>
    <w:p>
      <w:pPr>
        <w:pStyle w:val="16"/>
        <w:widowControl w:val="0"/>
        <w:overflowPunct/>
        <w:autoSpaceDE/>
        <w:autoSpaceDN/>
        <w:adjustRightInd/>
        <w:spacing w:line="440" w:lineRule="exact"/>
        <w:ind w:firstLine="420" w:firstLineChars="200"/>
        <w:rPr>
          <w:rFonts w:hAnsi="宋体" w:cs="宋体"/>
          <w:color w:val="auto"/>
          <w:highlight w:val="none"/>
        </w:rPr>
      </w:pPr>
      <w:r>
        <w:rPr>
          <w:rFonts w:hint="eastAsia" w:hAnsi="宋体" w:cs="宋体"/>
          <w:color w:val="auto"/>
          <w:highlight w:val="none"/>
        </w:rPr>
        <w:t>以胡柚黄色为主题，色标参照“一切为了U”城市品牌中“U”字的色标。</w:t>
      </w:r>
    </w:p>
    <w:p>
      <w:pPr>
        <w:pStyle w:val="27"/>
        <w:numPr>
          <w:ilvl w:val="0"/>
          <w:numId w:val="10"/>
        </w:numPr>
        <w:spacing w:after="0" w:line="440" w:lineRule="exact"/>
        <w:ind w:left="0" w:leftChars="0" w:firstLineChars="200"/>
        <w:rPr>
          <w:rFonts w:ascii="宋体" w:hAnsi="宋体" w:eastAsia="宋体"/>
          <w:color w:val="auto"/>
          <w:highlight w:val="none"/>
        </w:rPr>
      </w:pPr>
      <w:bookmarkStart w:id="104" w:name="_Toc20829"/>
      <w:r>
        <w:rPr>
          <w:rFonts w:hint="eastAsia" w:ascii="宋体" w:hAnsi="宋体" w:eastAsia="宋体"/>
          <w:color w:val="auto"/>
          <w:highlight w:val="none"/>
        </w:rPr>
        <w:t>设计原则</w:t>
      </w:r>
      <w:bookmarkEnd w:id="104"/>
    </w:p>
    <w:p>
      <w:pPr>
        <w:numPr>
          <w:ilvl w:val="0"/>
          <w:numId w:val="11"/>
        </w:numPr>
        <w:spacing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首页的设计要突出主题，功能模块区隔做到边界分明，交互界面要有吸引力，亲和力，能够突出体验感；</w:t>
      </w:r>
    </w:p>
    <w:p>
      <w:pPr>
        <w:pStyle w:val="27"/>
        <w:numPr>
          <w:ilvl w:val="0"/>
          <w:numId w:val="11"/>
        </w:numPr>
        <w:spacing w:after="0" w:line="440" w:lineRule="exact"/>
        <w:ind w:left="0" w:leftChars="0" w:firstLine="420" w:firstLineChars="200"/>
        <w:rPr>
          <w:rFonts w:ascii="宋体" w:hAnsi="宋体" w:eastAsia="宋体"/>
          <w:color w:val="auto"/>
          <w:highlight w:val="none"/>
        </w:rPr>
      </w:pPr>
      <w:r>
        <w:rPr>
          <w:rFonts w:hint="eastAsia" w:ascii="宋体" w:hAnsi="宋体" w:eastAsia="宋体"/>
          <w:color w:val="auto"/>
          <w:highlight w:val="none"/>
        </w:rPr>
        <w:t>二级页面设计要充分体现易用性，方便用户办事、查找、搜索、互动等操作，每个二级页面应该突出重点，条例分明；</w:t>
      </w:r>
    </w:p>
    <w:p>
      <w:pPr>
        <w:pStyle w:val="27"/>
        <w:numPr>
          <w:ilvl w:val="0"/>
          <w:numId w:val="11"/>
        </w:numPr>
        <w:spacing w:after="0" w:line="440" w:lineRule="exact"/>
        <w:ind w:left="0" w:leftChars="0" w:firstLine="420" w:firstLineChars="200"/>
        <w:rPr>
          <w:rFonts w:ascii="宋体" w:hAnsi="宋体" w:eastAsia="宋体"/>
          <w:color w:val="auto"/>
          <w:highlight w:val="none"/>
        </w:rPr>
      </w:pPr>
      <w:r>
        <w:rPr>
          <w:rFonts w:hint="eastAsia" w:ascii="宋体" w:hAnsi="宋体" w:eastAsia="宋体"/>
          <w:color w:val="auto"/>
          <w:highlight w:val="none"/>
        </w:rPr>
        <w:t>图标的设计可将常山的历史文化、风景名胜、自然风光、地标特色等虚拟化抽象出来，形成成套的设计主题。</w:t>
      </w:r>
    </w:p>
    <w:p>
      <w:pPr>
        <w:pStyle w:val="27"/>
        <w:numPr>
          <w:ilvl w:val="0"/>
          <w:numId w:val="11"/>
        </w:numPr>
        <w:spacing w:after="0" w:line="440" w:lineRule="exact"/>
        <w:ind w:left="0" w:leftChars="0" w:firstLine="420" w:firstLineChars="200"/>
        <w:rPr>
          <w:rFonts w:ascii="宋体" w:hAnsi="宋体" w:eastAsia="宋体"/>
          <w:color w:val="auto"/>
          <w:highlight w:val="none"/>
        </w:rPr>
      </w:pPr>
      <w:r>
        <w:rPr>
          <w:rFonts w:hint="eastAsia" w:ascii="宋体" w:hAnsi="宋体" w:eastAsia="宋体"/>
          <w:color w:val="auto"/>
          <w:highlight w:val="none"/>
        </w:rPr>
        <w:t>设计的界面要充分考虑适龄性特点，特别是老年人年龄段的使用。</w:t>
      </w:r>
    </w:p>
    <w:p>
      <w:pPr>
        <w:pStyle w:val="7"/>
        <w:numPr>
          <w:ilvl w:val="1"/>
          <w:numId w:val="0"/>
        </w:numPr>
        <w:spacing w:line="440" w:lineRule="exact"/>
        <w:ind w:firstLine="562" w:firstLineChars="200"/>
        <w:rPr>
          <w:rFonts w:hint="default" w:cs="宋体"/>
          <w:b/>
          <w:bCs/>
          <w:color w:val="auto"/>
          <w:kern w:val="2"/>
          <w:sz w:val="28"/>
          <w:szCs w:val="28"/>
          <w:highlight w:val="none"/>
          <w:lang w:val="en-US" w:eastAsia="zh-CN" w:bidi="ar-SA"/>
        </w:rPr>
      </w:pPr>
      <w:r>
        <w:rPr>
          <w:rFonts w:hint="eastAsia" w:cs="宋体"/>
          <w:b/>
          <w:bCs/>
          <w:color w:val="auto"/>
          <w:kern w:val="2"/>
          <w:sz w:val="28"/>
          <w:szCs w:val="28"/>
          <w:highlight w:val="none"/>
          <w:lang w:val="en-US" w:eastAsia="zh-CN" w:bidi="ar-SA"/>
        </w:rPr>
        <w:t>4.9  APP数据对接</w:t>
      </w:r>
    </w:p>
    <w:p>
      <w:pPr>
        <w:spacing w:line="440" w:lineRule="exact"/>
        <w:ind w:firstLine="420" w:firstLineChars="200"/>
        <w:rPr>
          <w:rFonts w:hint="default" w:ascii="宋体" w:hAnsi="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对接浙报集团的“天目云”融媒体平台，完成接口开发，内容推送等</w:t>
      </w:r>
      <w:r>
        <w:rPr>
          <w:rFonts w:hint="eastAsia" w:ascii="宋体" w:hAnsi="宋体" w:cs="宋体"/>
          <w:color w:val="auto"/>
          <w:szCs w:val="21"/>
          <w:highlight w:val="none"/>
          <w:lang w:val="en-US" w:eastAsia="zh-CN"/>
        </w:rPr>
        <w:t>。U点通公众号的用户数据对接，全站搜索功能的数据对接。</w:t>
      </w:r>
    </w:p>
    <w:p>
      <w:pPr>
        <w:pStyle w:val="7"/>
        <w:numPr>
          <w:ilvl w:val="1"/>
          <w:numId w:val="0"/>
        </w:numPr>
        <w:spacing w:line="440" w:lineRule="exact"/>
        <w:ind w:firstLine="562" w:firstLineChars="200"/>
        <w:rPr>
          <w:rFonts w:hint="default" w:cs="宋体"/>
          <w:b/>
          <w:bCs/>
          <w:color w:val="auto"/>
          <w:kern w:val="2"/>
          <w:sz w:val="28"/>
          <w:szCs w:val="28"/>
          <w:highlight w:val="none"/>
          <w:lang w:val="en-US" w:eastAsia="zh-CN" w:bidi="ar-SA"/>
        </w:rPr>
      </w:pPr>
      <w:r>
        <w:rPr>
          <w:rFonts w:hint="eastAsia" w:cs="宋体"/>
          <w:b/>
          <w:bCs/>
          <w:color w:val="auto"/>
          <w:kern w:val="2"/>
          <w:sz w:val="28"/>
          <w:szCs w:val="28"/>
          <w:highlight w:val="none"/>
          <w:lang w:val="en-US" w:eastAsia="zh-CN" w:bidi="ar-SA"/>
        </w:rPr>
        <w:t>4.10  APP后台管理端开发</w:t>
      </w:r>
    </w:p>
    <w:p>
      <w:pPr>
        <w:spacing w:line="440" w:lineRule="exact"/>
        <w:ind w:firstLine="420" w:firstLineChars="200"/>
        <w:rPr>
          <w:rFonts w:hint="eastAsia"/>
          <w:color w:val="auto"/>
          <w:highlight w:val="none"/>
          <w:lang w:val="en-US" w:eastAsia="zh-CN"/>
        </w:rPr>
      </w:pPr>
      <w:r>
        <w:rPr>
          <w:rFonts w:hint="eastAsia" w:ascii="宋体" w:hAnsi="宋体" w:eastAsia="宋体" w:cs="宋体"/>
          <w:color w:val="auto"/>
          <w:kern w:val="2"/>
          <w:sz w:val="21"/>
          <w:szCs w:val="21"/>
          <w:highlight w:val="none"/>
          <w:lang w:val="en-US" w:eastAsia="zh-CN" w:bidi="ar-SA"/>
        </w:rPr>
        <w:t>根据APP后台管理需要，开发APP的PC端后台管理系统。</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eastAsia" w:asciiTheme="majorEastAsia" w:hAnsiTheme="majorEastAsia" w:eastAsiaTheme="majorEastAsia" w:cstheme="majorEastAsia"/>
          <w:b/>
          <w:bCs/>
          <w:color w:val="auto"/>
          <w:kern w:val="2"/>
          <w:sz w:val="24"/>
          <w:szCs w:val="24"/>
          <w:highlight w:val="none"/>
          <w:lang w:val="en-US" w:eastAsia="zh-CN" w:bidi="ar-SA"/>
        </w:rPr>
      </w:pPr>
      <w:r>
        <w:rPr>
          <w:rFonts w:hint="eastAsia" w:asciiTheme="majorEastAsia" w:hAnsiTheme="majorEastAsia" w:eastAsiaTheme="majorEastAsia" w:cstheme="majorEastAsia"/>
          <w:b/>
          <w:bCs/>
          <w:color w:val="auto"/>
          <w:kern w:val="2"/>
          <w:sz w:val="24"/>
          <w:szCs w:val="24"/>
          <w:highlight w:val="none"/>
          <w:lang w:val="en-US" w:eastAsia="zh-CN" w:bidi="ar-SA"/>
        </w:rPr>
        <w:t>4.10.1 PC端管理“我有建议”</w:t>
      </w:r>
    </w:p>
    <w:p>
      <w:pPr>
        <w:spacing w:line="44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（1）后台参照12345业务类型搭建，统计所有数据，方便查看各个栏目数据；</w:t>
      </w:r>
    </w:p>
    <w:p>
      <w:pPr>
        <w:spacing w:line="44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（2）将数据分项归类管理，可将数据实现事项派发、交办等功能；</w:t>
      </w:r>
    </w:p>
    <w:p>
      <w:pPr>
        <w:spacing w:line="44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（3）管理事项进度，查看各个节点完成情况，进行实时跟踪</w:t>
      </w:r>
      <w:r>
        <w:rPr>
          <w:rFonts w:hint="eastAsia" w:ascii="宋体" w:hAnsi="宋体" w:cs="宋体"/>
          <w:color w:val="auto"/>
          <w:kern w:val="2"/>
          <w:sz w:val="21"/>
          <w:szCs w:val="21"/>
          <w:highlight w:val="none"/>
          <w:lang w:val="en-US" w:eastAsia="zh-CN" w:bidi="ar-SA"/>
        </w:rPr>
        <w:t>。</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eastAsia" w:asciiTheme="majorEastAsia" w:hAnsiTheme="majorEastAsia" w:eastAsiaTheme="majorEastAsia" w:cstheme="majorEastAsia"/>
          <w:b/>
          <w:bCs/>
          <w:color w:val="auto"/>
          <w:kern w:val="2"/>
          <w:sz w:val="24"/>
          <w:szCs w:val="24"/>
          <w:highlight w:val="none"/>
          <w:lang w:val="en-US" w:eastAsia="zh-CN" w:bidi="ar-SA"/>
        </w:rPr>
      </w:pPr>
      <w:r>
        <w:rPr>
          <w:rFonts w:hint="eastAsia" w:asciiTheme="majorEastAsia" w:hAnsiTheme="majorEastAsia" w:eastAsiaTheme="majorEastAsia" w:cstheme="majorEastAsia"/>
          <w:b/>
          <w:bCs/>
          <w:color w:val="auto"/>
          <w:kern w:val="2"/>
          <w:sz w:val="24"/>
          <w:szCs w:val="24"/>
          <w:highlight w:val="none"/>
          <w:lang w:val="en-US" w:eastAsia="zh-CN" w:bidi="ar-SA"/>
        </w:rPr>
        <w:t>4.10.2 PC端管理“我有反映”</w:t>
      </w:r>
    </w:p>
    <w:p>
      <w:pPr>
        <w:spacing w:line="44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（1）后台按照业务节点建立审批单，便于后台业务一览，可以直观查看业务各个节点结果和矛调完结点； </w:t>
      </w:r>
    </w:p>
    <w:p>
      <w:pPr>
        <w:spacing w:line="44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）管理员可通过后台结果查询，在任何节点选择介入信访事件，对信访事件进行干预（干预即进入五级节点流程）；</w:t>
      </w:r>
    </w:p>
    <w:p>
      <w:pPr>
        <w:spacing w:line="44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 xml:space="preserve">）信访业务流程各节点以手机短信息推送的形式反馈到用户； </w:t>
      </w:r>
    </w:p>
    <w:p>
      <w:pPr>
        <w:spacing w:line="44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）各节点信访业务负责人工作通知以浙政钉消息推送形式送达负责人</w:t>
      </w:r>
      <w:r>
        <w:rPr>
          <w:rFonts w:hint="eastAsia" w:ascii="宋体" w:hAnsi="宋体" w:cs="宋体"/>
          <w:color w:val="auto"/>
          <w:kern w:val="2"/>
          <w:sz w:val="21"/>
          <w:szCs w:val="21"/>
          <w:highlight w:val="none"/>
          <w:lang w:val="en-US" w:eastAsia="zh-CN" w:bidi="ar-SA"/>
        </w:rPr>
        <w:t>。</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eastAsia" w:asciiTheme="majorEastAsia" w:hAnsiTheme="majorEastAsia" w:eastAsiaTheme="majorEastAsia" w:cstheme="majorEastAsia"/>
          <w:b/>
          <w:bCs/>
          <w:color w:val="auto"/>
          <w:kern w:val="2"/>
          <w:sz w:val="24"/>
          <w:szCs w:val="24"/>
          <w:highlight w:val="none"/>
          <w:lang w:val="en-US" w:eastAsia="zh-CN" w:bidi="ar-SA"/>
        </w:rPr>
      </w:pPr>
      <w:r>
        <w:rPr>
          <w:rFonts w:hint="eastAsia" w:asciiTheme="majorEastAsia" w:hAnsiTheme="majorEastAsia" w:eastAsiaTheme="majorEastAsia" w:cstheme="majorEastAsia"/>
          <w:b/>
          <w:bCs/>
          <w:color w:val="auto"/>
          <w:kern w:val="2"/>
          <w:sz w:val="24"/>
          <w:szCs w:val="24"/>
          <w:highlight w:val="none"/>
          <w:lang w:val="en-US" w:eastAsia="zh-CN" w:bidi="ar-SA"/>
        </w:rPr>
        <w:t>4.10.3 PC端管理“8090宣讲平台”</w:t>
      </w:r>
    </w:p>
    <w:p>
      <w:pPr>
        <w:spacing w:line="44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开发8090宣讲</w:t>
      </w:r>
      <w:r>
        <w:rPr>
          <w:rFonts w:hint="eastAsia" w:ascii="宋体" w:hAnsi="宋体" w:cs="宋体"/>
          <w:color w:val="auto"/>
          <w:kern w:val="2"/>
          <w:sz w:val="21"/>
          <w:szCs w:val="21"/>
          <w:highlight w:val="none"/>
          <w:lang w:val="en-US" w:eastAsia="zh-CN" w:bidi="ar-SA"/>
        </w:rPr>
        <w:t>平</w:t>
      </w:r>
      <w:r>
        <w:rPr>
          <w:rFonts w:hint="eastAsia" w:ascii="宋体" w:hAnsi="宋体" w:eastAsia="宋体" w:cs="宋体"/>
          <w:color w:val="auto"/>
          <w:kern w:val="2"/>
          <w:sz w:val="21"/>
          <w:szCs w:val="21"/>
          <w:highlight w:val="none"/>
          <w:lang w:val="en-US" w:eastAsia="zh-CN" w:bidi="ar-SA"/>
        </w:rPr>
        <w:t>台后端，主要内容包括:</w:t>
      </w:r>
    </w:p>
    <w:p>
      <w:pPr>
        <w:spacing w:line="44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1、8090宣讲视频分类管理功能；</w:t>
      </w:r>
    </w:p>
    <w:p>
      <w:pPr>
        <w:spacing w:line="44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2、8090宣讲视频在APP端上下架管理功能</w:t>
      </w:r>
      <w:r>
        <w:rPr>
          <w:rFonts w:hint="eastAsia" w:ascii="宋体" w:hAnsi="宋体" w:cs="宋体"/>
          <w:color w:val="auto"/>
          <w:kern w:val="2"/>
          <w:sz w:val="21"/>
          <w:szCs w:val="21"/>
          <w:highlight w:val="none"/>
          <w:lang w:val="en-US" w:eastAsia="zh-CN" w:bidi="ar-SA"/>
        </w:rPr>
        <w:t>。</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ascii="宋体" w:hAnsi="宋体" w:cs="宋体"/>
          <w:color w:val="auto"/>
          <w:szCs w:val="21"/>
          <w:highlight w:val="none"/>
        </w:rPr>
      </w:pPr>
      <w:r>
        <w:rPr>
          <w:rFonts w:hint="eastAsia" w:asciiTheme="majorEastAsia" w:hAnsiTheme="majorEastAsia" w:eastAsiaTheme="majorEastAsia" w:cstheme="majorEastAsia"/>
          <w:b/>
          <w:bCs/>
          <w:color w:val="auto"/>
          <w:kern w:val="2"/>
          <w:sz w:val="24"/>
          <w:szCs w:val="24"/>
          <w:highlight w:val="none"/>
          <w:lang w:val="en-US" w:eastAsia="zh-CN" w:bidi="ar-SA"/>
        </w:rPr>
        <w:t>4.10.4 PC端管理媒体板块功能</w:t>
      </w:r>
    </w:p>
    <w:p>
      <w:pPr>
        <w:spacing w:line="440" w:lineRule="exact"/>
        <w:ind w:firstLine="420" w:firstLineChars="200"/>
        <w:rPr>
          <w:rFonts w:hint="eastAsia"/>
          <w:color w:val="auto"/>
          <w:highlight w:val="none"/>
          <w:lang w:val="en-US" w:eastAsia="zh-CN"/>
        </w:rPr>
      </w:pPr>
      <w:r>
        <w:rPr>
          <w:rFonts w:hint="eastAsia"/>
          <w:color w:val="auto"/>
          <w:highlight w:val="none"/>
          <w:lang w:val="en-US" w:eastAsia="zh-CN"/>
        </w:rPr>
        <w:t>根据前台栏目列表进行稿件后台展示，用于管理前台签发的新闻内容，可对图片、排序等进行调整。</w:t>
      </w:r>
    </w:p>
    <w:p>
      <w:pPr>
        <w:spacing w:line="440" w:lineRule="exact"/>
        <w:ind w:firstLine="422" w:firstLineChars="200"/>
        <w:rPr>
          <w:rFonts w:hint="eastAsia"/>
          <w:color w:val="auto"/>
          <w:highlight w:val="none"/>
          <w:lang w:val="en-US" w:eastAsia="zh-CN"/>
        </w:rPr>
      </w:pPr>
      <w:r>
        <w:rPr>
          <w:rFonts w:hint="eastAsia"/>
          <w:b/>
          <w:bCs/>
          <w:color w:val="auto"/>
          <w:highlight w:val="none"/>
          <w:lang w:val="en-US" w:eastAsia="zh-CN"/>
        </w:rPr>
        <w:t>焦点图管理：</w:t>
      </w:r>
      <w:r>
        <w:rPr>
          <w:rFonts w:hint="eastAsia"/>
          <w:color w:val="auto"/>
          <w:highlight w:val="none"/>
          <w:lang w:val="en-US" w:eastAsia="zh-CN"/>
        </w:rPr>
        <w:t>可对焦点图进行上架、下架操作；</w:t>
      </w:r>
    </w:p>
    <w:p>
      <w:pPr>
        <w:spacing w:line="440" w:lineRule="exact"/>
        <w:ind w:firstLine="422" w:firstLineChars="200"/>
        <w:rPr>
          <w:rFonts w:hint="eastAsia"/>
          <w:color w:val="auto"/>
          <w:highlight w:val="none"/>
          <w:lang w:val="en-US" w:eastAsia="zh-CN"/>
        </w:rPr>
      </w:pPr>
      <w:r>
        <w:rPr>
          <w:rFonts w:hint="eastAsia"/>
          <w:b/>
          <w:bCs/>
          <w:color w:val="auto"/>
          <w:highlight w:val="none"/>
          <w:lang w:val="en-US" w:eastAsia="zh-CN"/>
        </w:rPr>
        <w:t>创建专栏：</w:t>
      </w:r>
      <w:r>
        <w:rPr>
          <w:rFonts w:hint="eastAsia"/>
          <w:color w:val="auto"/>
          <w:highlight w:val="none"/>
          <w:lang w:val="en-US" w:eastAsia="zh-CN"/>
        </w:rPr>
        <w:t>可创建专栏，并编辑跳转链接；</w:t>
      </w:r>
    </w:p>
    <w:p>
      <w:pPr>
        <w:spacing w:line="440" w:lineRule="exact"/>
        <w:ind w:firstLine="422" w:firstLineChars="200"/>
        <w:rPr>
          <w:rFonts w:hint="eastAsia"/>
          <w:color w:val="auto"/>
          <w:highlight w:val="none"/>
          <w:lang w:val="en-US" w:eastAsia="zh-CN"/>
        </w:rPr>
      </w:pPr>
      <w:r>
        <w:rPr>
          <w:rFonts w:hint="eastAsia"/>
          <w:b/>
          <w:bCs/>
          <w:color w:val="auto"/>
          <w:highlight w:val="none"/>
          <w:lang w:val="en-US" w:eastAsia="zh-CN"/>
        </w:rPr>
        <w:t>文章搜索：</w:t>
      </w:r>
      <w:r>
        <w:rPr>
          <w:rFonts w:hint="eastAsia"/>
          <w:color w:val="auto"/>
          <w:highlight w:val="none"/>
          <w:lang w:val="en-US" w:eastAsia="zh-CN"/>
        </w:rPr>
        <w:t>支持通过稿件发布时间、类型、标题对稿件进行搜索。</w:t>
      </w:r>
    </w:p>
    <w:p>
      <w:pPr>
        <w:spacing w:line="440" w:lineRule="exact"/>
        <w:ind w:firstLine="422" w:firstLineChars="200"/>
        <w:rPr>
          <w:rFonts w:hint="eastAsia"/>
          <w:color w:val="auto"/>
          <w:highlight w:val="none"/>
          <w:lang w:val="en-US" w:eastAsia="zh-CN"/>
        </w:rPr>
      </w:pPr>
      <w:r>
        <w:rPr>
          <w:rFonts w:hint="eastAsia"/>
          <w:b/>
          <w:bCs/>
          <w:color w:val="auto"/>
          <w:highlight w:val="none"/>
          <w:lang w:val="en-US" w:eastAsia="zh-CN"/>
        </w:rPr>
        <w:t>显示/隐藏稿件：</w:t>
      </w:r>
      <w:r>
        <w:rPr>
          <w:rFonts w:hint="eastAsia"/>
          <w:color w:val="auto"/>
          <w:highlight w:val="none"/>
          <w:lang w:val="en-US" w:eastAsia="zh-CN"/>
        </w:rPr>
        <w:t>支持对稿件在客户端上设置为显示或者隐藏。</w:t>
      </w:r>
    </w:p>
    <w:p>
      <w:pPr>
        <w:spacing w:line="440" w:lineRule="exact"/>
        <w:ind w:firstLine="422" w:firstLineChars="200"/>
        <w:rPr>
          <w:rFonts w:hint="eastAsia"/>
          <w:color w:val="auto"/>
          <w:highlight w:val="none"/>
          <w:lang w:val="en-US" w:eastAsia="zh-CN"/>
        </w:rPr>
      </w:pPr>
      <w:r>
        <w:rPr>
          <w:rFonts w:hint="eastAsia"/>
          <w:b/>
          <w:bCs/>
          <w:color w:val="auto"/>
          <w:highlight w:val="none"/>
          <w:lang w:val="en-US" w:eastAsia="zh-CN"/>
        </w:rPr>
        <w:t>稿件排序：</w:t>
      </w:r>
      <w:r>
        <w:rPr>
          <w:rFonts w:hint="eastAsia"/>
          <w:color w:val="auto"/>
          <w:highlight w:val="none"/>
          <w:lang w:val="en-US" w:eastAsia="zh-CN"/>
        </w:rPr>
        <w:t>支持对稿件进行排序，进行上下排序调整。</w:t>
      </w:r>
    </w:p>
    <w:p>
      <w:pPr>
        <w:spacing w:line="440" w:lineRule="exact"/>
        <w:ind w:firstLine="422" w:firstLineChars="200"/>
        <w:rPr>
          <w:rFonts w:hint="eastAsia"/>
          <w:color w:val="auto"/>
          <w:highlight w:val="none"/>
          <w:lang w:val="en-US" w:eastAsia="zh-CN"/>
        </w:rPr>
      </w:pPr>
      <w:r>
        <w:rPr>
          <w:rFonts w:hint="eastAsia"/>
          <w:b/>
          <w:bCs/>
          <w:color w:val="auto"/>
          <w:highlight w:val="none"/>
          <w:lang w:val="en-US" w:eastAsia="zh-CN"/>
        </w:rPr>
        <w:t>评论管理：</w:t>
      </w:r>
      <w:r>
        <w:rPr>
          <w:rFonts w:hint="eastAsia"/>
          <w:color w:val="auto"/>
          <w:highlight w:val="none"/>
          <w:lang w:val="en-US" w:eastAsia="zh-CN"/>
        </w:rPr>
        <w:t>可对用户的评论进行审核、删除等操作。</w:t>
      </w:r>
    </w:p>
    <w:p>
      <w:pPr>
        <w:spacing w:line="440" w:lineRule="exact"/>
        <w:ind w:firstLine="422" w:firstLineChars="200"/>
        <w:rPr>
          <w:rFonts w:hint="eastAsia"/>
          <w:color w:val="auto"/>
          <w:highlight w:val="none"/>
          <w:lang w:val="en-US" w:eastAsia="zh-CN"/>
        </w:rPr>
      </w:pPr>
      <w:r>
        <w:rPr>
          <w:rFonts w:hint="eastAsia"/>
          <w:b/>
          <w:bCs/>
          <w:color w:val="auto"/>
          <w:highlight w:val="none"/>
          <w:lang w:val="en-US" w:eastAsia="zh-CN"/>
        </w:rPr>
        <w:t>阅读数管理：</w:t>
      </w:r>
      <w:r>
        <w:rPr>
          <w:rFonts w:hint="eastAsia"/>
          <w:color w:val="auto"/>
          <w:highlight w:val="none"/>
          <w:lang w:val="en-US" w:eastAsia="zh-CN"/>
        </w:rPr>
        <w:t>可对稿件的阅读数进行管理。</w:t>
      </w:r>
    </w:p>
    <w:p>
      <w:pPr>
        <w:spacing w:line="440" w:lineRule="exact"/>
        <w:ind w:firstLine="422" w:firstLineChars="200"/>
        <w:rPr>
          <w:rFonts w:hint="eastAsia"/>
          <w:color w:val="auto"/>
          <w:highlight w:val="none"/>
          <w:lang w:val="en-US" w:eastAsia="zh-CN"/>
        </w:rPr>
      </w:pPr>
      <w:r>
        <w:rPr>
          <w:rFonts w:hint="eastAsia"/>
          <w:b/>
          <w:bCs/>
          <w:color w:val="auto"/>
          <w:highlight w:val="none"/>
          <w:lang w:val="en-US" w:eastAsia="zh-CN"/>
        </w:rPr>
        <w:t>点赞数管理：</w:t>
      </w:r>
      <w:r>
        <w:rPr>
          <w:rFonts w:hint="eastAsia"/>
          <w:color w:val="auto"/>
          <w:highlight w:val="none"/>
          <w:lang w:val="en-US" w:eastAsia="zh-CN"/>
        </w:rPr>
        <w:t>可对稿件的点赞数进行管理。</w:t>
      </w:r>
    </w:p>
    <w:p>
      <w:pPr>
        <w:spacing w:line="440" w:lineRule="exact"/>
        <w:ind w:firstLine="422" w:firstLineChars="200"/>
        <w:rPr>
          <w:rFonts w:hint="eastAsia"/>
          <w:color w:val="auto"/>
          <w:highlight w:val="none"/>
          <w:lang w:val="en-US" w:eastAsia="zh-CN"/>
        </w:rPr>
      </w:pPr>
      <w:r>
        <w:rPr>
          <w:rFonts w:hint="eastAsia"/>
          <w:b/>
          <w:bCs/>
          <w:color w:val="auto"/>
          <w:highlight w:val="none"/>
          <w:lang w:val="en-US" w:eastAsia="zh-CN"/>
        </w:rPr>
        <w:t>查看链接：</w:t>
      </w:r>
      <w:r>
        <w:rPr>
          <w:rFonts w:hint="eastAsia"/>
          <w:color w:val="auto"/>
          <w:highlight w:val="none"/>
          <w:lang w:val="en-US" w:eastAsia="zh-CN"/>
        </w:rPr>
        <w:t>可以查看稿件的详情链接。</w:t>
      </w:r>
    </w:p>
    <w:p>
      <w:pPr>
        <w:spacing w:line="440" w:lineRule="exact"/>
        <w:ind w:firstLine="422" w:firstLineChars="200"/>
        <w:rPr>
          <w:rFonts w:hint="eastAsia"/>
          <w:b w:val="0"/>
          <w:bCs w:val="0"/>
          <w:color w:val="auto"/>
          <w:highlight w:val="none"/>
          <w:lang w:val="en-US" w:eastAsia="zh-CN"/>
        </w:rPr>
      </w:pPr>
      <w:r>
        <w:rPr>
          <w:rFonts w:hint="eastAsia"/>
          <w:b/>
          <w:bCs/>
          <w:color w:val="auto"/>
          <w:highlight w:val="none"/>
          <w:lang w:val="en-US" w:eastAsia="zh-CN"/>
        </w:rPr>
        <w:t>频道管理：</w:t>
      </w:r>
      <w:r>
        <w:rPr>
          <w:rFonts w:hint="eastAsia"/>
          <w:b w:val="0"/>
          <w:bCs w:val="0"/>
          <w:color w:val="auto"/>
          <w:highlight w:val="none"/>
          <w:lang w:val="en-US" w:eastAsia="zh-CN"/>
        </w:rPr>
        <w:t>可在此编辑查看频道内容。</w:t>
      </w:r>
    </w:p>
    <w:p>
      <w:pPr>
        <w:spacing w:line="440" w:lineRule="exact"/>
        <w:ind w:firstLine="422" w:firstLineChars="200"/>
        <w:rPr>
          <w:rFonts w:hint="default"/>
          <w:b w:val="0"/>
          <w:bCs w:val="0"/>
          <w:color w:val="auto"/>
          <w:highlight w:val="none"/>
          <w:lang w:val="en-US" w:eastAsia="zh-CN"/>
        </w:rPr>
      </w:pPr>
      <w:r>
        <w:rPr>
          <w:rFonts w:hint="eastAsia"/>
          <w:b/>
          <w:bCs/>
          <w:color w:val="auto"/>
          <w:highlight w:val="none"/>
          <w:lang w:val="en-US" w:eastAsia="zh-CN"/>
        </w:rPr>
        <w:t>数据分析：</w:t>
      </w:r>
      <w:r>
        <w:rPr>
          <w:rFonts w:hint="eastAsia"/>
          <w:b w:val="0"/>
          <w:bCs w:val="0"/>
          <w:color w:val="auto"/>
          <w:highlight w:val="none"/>
          <w:lang w:val="en-US" w:eastAsia="zh-CN"/>
        </w:rPr>
        <w:t>提供稿件数据的图表和报表形式查看。</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eastAsia" w:asciiTheme="majorEastAsia" w:hAnsiTheme="majorEastAsia" w:eastAsiaTheme="majorEastAsia" w:cstheme="majorEastAsia"/>
          <w:b/>
          <w:bCs/>
          <w:color w:val="auto"/>
          <w:kern w:val="2"/>
          <w:sz w:val="24"/>
          <w:szCs w:val="24"/>
          <w:highlight w:val="none"/>
          <w:lang w:val="en-US" w:eastAsia="zh-CN" w:bidi="ar-SA"/>
        </w:rPr>
      </w:pPr>
      <w:r>
        <w:rPr>
          <w:rFonts w:hint="eastAsia" w:asciiTheme="majorEastAsia" w:hAnsiTheme="majorEastAsia" w:eastAsiaTheme="majorEastAsia" w:cstheme="majorEastAsia"/>
          <w:b/>
          <w:bCs/>
          <w:color w:val="auto"/>
          <w:kern w:val="2"/>
          <w:sz w:val="24"/>
          <w:szCs w:val="24"/>
          <w:highlight w:val="none"/>
          <w:lang w:val="en-US" w:eastAsia="zh-CN" w:bidi="ar-SA"/>
        </w:rPr>
        <w:t>4.10.5 PC端APP运营管理</w:t>
      </w:r>
    </w:p>
    <w:p>
      <w:pPr>
        <w:spacing w:line="440" w:lineRule="exact"/>
        <w:ind w:firstLine="420" w:firstLineChars="200"/>
        <w:rPr>
          <w:rFonts w:hint="eastAsia"/>
          <w:color w:val="auto"/>
          <w:highlight w:val="none"/>
          <w:lang w:val="en-US" w:eastAsia="zh-CN"/>
        </w:rPr>
      </w:pPr>
      <w:r>
        <w:rPr>
          <w:rFonts w:hint="eastAsia"/>
          <w:color w:val="auto"/>
          <w:highlight w:val="none"/>
          <w:lang w:val="en-US" w:eastAsia="zh-CN"/>
        </w:rPr>
        <w:t>APP运营后台是用户数据、运营数据的归纳、分类，主要开发内容为:</w:t>
      </w:r>
    </w:p>
    <w:p>
      <w:pPr>
        <w:spacing w:line="440" w:lineRule="exact"/>
        <w:ind w:firstLine="420" w:firstLineChars="200"/>
        <w:rPr>
          <w:rFonts w:hint="eastAsia"/>
          <w:color w:val="auto"/>
          <w:highlight w:val="none"/>
          <w:lang w:val="en-US" w:eastAsia="zh-CN"/>
        </w:rPr>
      </w:pPr>
      <w:r>
        <w:rPr>
          <w:rFonts w:hint="eastAsia"/>
          <w:color w:val="auto"/>
          <w:highlight w:val="none"/>
          <w:lang w:val="en-US" w:eastAsia="zh-CN"/>
        </w:rPr>
        <w:t>（1）应用上下架管理；</w:t>
      </w:r>
    </w:p>
    <w:p>
      <w:pPr>
        <w:spacing w:line="440" w:lineRule="exact"/>
        <w:ind w:firstLine="420" w:firstLineChars="200"/>
        <w:rPr>
          <w:rFonts w:hint="eastAsia"/>
          <w:color w:val="auto"/>
          <w:highlight w:val="none"/>
          <w:lang w:val="en-US" w:eastAsia="zh-CN"/>
        </w:rPr>
      </w:pPr>
      <w:r>
        <w:rPr>
          <w:rFonts w:hint="eastAsia"/>
          <w:color w:val="auto"/>
          <w:highlight w:val="none"/>
          <w:lang w:val="en-US" w:eastAsia="zh-CN"/>
        </w:rPr>
        <w:t>（2）按时间统计注册量、访问量、各个应用访问量等信息；</w:t>
      </w:r>
    </w:p>
    <w:p>
      <w:pPr>
        <w:spacing w:line="440" w:lineRule="exact"/>
        <w:ind w:firstLine="420" w:firstLineChars="200"/>
        <w:rPr>
          <w:rFonts w:hint="eastAsia"/>
          <w:color w:val="auto"/>
          <w:highlight w:val="none"/>
          <w:lang w:val="en-US" w:eastAsia="zh-CN"/>
        </w:rPr>
      </w:pPr>
      <w:r>
        <w:rPr>
          <w:rFonts w:hint="eastAsia"/>
          <w:color w:val="auto"/>
          <w:highlight w:val="none"/>
          <w:lang w:val="en-US" w:eastAsia="zh-CN"/>
        </w:rPr>
        <w:t>（3）用户体系管理；</w:t>
      </w:r>
    </w:p>
    <w:p>
      <w:pPr>
        <w:spacing w:line="440" w:lineRule="exact"/>
        <w:ind w:firstLine="420" w:firstLineChars="200"/>
        <w:rPr>
          <w:rFonts w:hint="eastAsia"/>
          <w:color w:val="auto"/>
          <w:highlight w:val="none"/>
          <w:lang w:val="en-US" w:eastAsia="zh-CN"/>
        </w:rPr>
      </w:pPr>
      <w:r>
        <w:rPr>
          <w:rFonts w:hint="eastAsia"/>
          <w:color w:val="auto"/>
          <w:highlight w:val="none"/>
          <w:lang w:val="en-US" w:eastAsia="zh-CN"/>
        </w:rPr>
        <w:t>（4）账号权限分配管理；</w:t>
      </w:r>
    </w:p>
    <w:p>
      <w:pPr>
        <w:spacing w:line="440" w:lineRule="exact"/>
        <w:ind w:firstLine="420" w:firstLineChars="200"/>
        <w:rPr>
          <w:rFonts w:hint="eastAsia"/>
          <w:color w:val="auto"/>
          <w:highlight w:val="none"/>
          <w:lang w:val="en-US" w:eastAsia="zh-CN"/>
        </w:rPr>
      </w:pPr>
      <w:r>
        <w:rPr>
          <w:rFonts w:hint="eastAsia"/>
          <w:color w:val="auto"/>
          <w:highlight w:val="none"/>
          <w:lang w:val="en-US" w:eastAsia="zh-CN"/>
        </w:rPr>
        <w:t>（5）可查看邀请码推广的明细数据，可建立官方的推广组织和部门，为其配置邀请码。</w:t>
      </w:r>
    </w:p>
    <w:p>
      <w:pPr>
        <w:pStyle w:val="7"/>
        <w:numPr>
          <w:ilvl w:val="1"/>
          <w:numId w:val="0"/>
        </w:numPr>
        <w:spacing w:line="440" w:lineRule="exact"/>
        <w:ind w:firstLine="562" w:firstLineChars="200"/>
        <w:rPr>
          <w:rFonts w:hint="default" w:cs="宋体"/>
          <w:b/>
          <w:bCs/>
          <w:color w:val="auto"/>
          <w:kern w:val="2"/>
          <w:sz w:val="28"/>
          <w:szCs w:val="28"/>
          <w:highlight w:val="none"/>
          <w:lang w:val="en-US" w:eastAsia="zh-CN" w:bidi="ar-SA"/>
        </w:rPr>
      </w:pPr>
      <w:r>
        <w:rPr>
          <w:rFonts w:hint="eastAsia" w:cs="宋体"/>
          <w:b/>
          <w:bCs/>
          <w:color w:val="auto"/>
          <w:kern w:val="2"/>
          <w:sz w:val="28"/>
          <w:szCs w:val="28"/>
          <w:highlight w:val="none"/>
          <w:lang w:val="en-US" w:eastAsia="zh-CN" w:bidi="ar-SA"/>
        </w:rPr>
        <w:t>4.11 APP应用支撑系统开发</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default"/>
          <w:color w:val="auto"/>
          <w:highlight w:val="none"/>
          <w:lang w:val="en-US" w:eastAsia="zh-CN"/>
        </w:rPr>
      </w:pPr>
      <w:bookmarkStart w:id="105" w:name="_Toc99660453"/>
      <w:r>
        <w:rPr>
          <w:rFonts w:hint="eastAsia" w:asciiTheme="majorEastAsia" w:hAnsiTheme="majorEastAsia" w:eastAsiaTheme="majorEastAsia" w:cstheme="majorEastAsia"/>
          <w:b/>
          <w:bCs/>
          <w:color w:val="auto"/>
          <w:kern w:val="2"/>
          <w:sz w:val="24"/>
          <w:szCs w:val="24"/>
          <w:highlight w:val="none"/>
          <w:lang w:val="en-US" w:eastAsia="zh-CN" w:bidi="ar-SA"/>
        </w:rPr>
        <w:t>4.11.1 单点登录</w:t>
      </w:r>
      <w:bookmarkEnd w:id="105"/>
    </w:p>
    <w:p>
      <w:pPr>
        <w:spacing w:line="440" w:lineRule="exact"/>
        <w:ind w:firstLine="420" w:firstLineChars="200"/>
        <w:rPr>
          <w:rFonts w:hint="default" w:ascii="宋体" w:hAnsi="Courier New"/>
          <w:color w:val="auto"/>
          <w:spacing w:val="-4"/>
          <w:kern w:val="0"/>
          <w:szCs w:val="24"/>
          <w:highlight w:val="none"/>
        </w:rPr>
      </w:pPr>
      <w:r>
        <w:rPr>
          <w:rFonts w:hint="default"/>
          <w:color w:val="auto"/>
          <w:highlight w:val="none"/>
          <w:lang w:val="en-US" w:eastAsia="zh-CN"/>
        </w:rPr>
        <w:t>开发</w:t>
      </w:r>
      <w:r>
        <w:rPr>
          <w:rFonts w:ascii="宋体" w:hAnsi="Courier New"/>
          <w:color w:val="auto"/>
          <w:spacing w:val="-4"/>
          <w:kern w:val="0"/>
          <w:szCs w:val="24"/>
          <w:highlight w:val="none"/>
        </w:rPr>
        <w:t>APP单点登录应用模块，自动导入数据与APP底层登录功能模块对接，支持账号、微信、QQ、手机账号四种登录方式。</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default" w:asciiTheme="majorEastAsia" w:hAnsiTheme="majorEastAsia" w:eastAsiaTheme="majorEastAsia" w:cstheme="majorEastAsia"/>
          <w:b/>
          <w:bCs/>
          <w:color w:val="auto"/>
          <w:kern w:val="2"/>
          <w:sz w:val="24"/>
          <w:szCs w:val="24"/>
          <w:highlight w:val="none"/>
          <w:lang w:val="en-US" w:eastAsia="zh-CN" w:bidi="ar-SA"/>
        </w:rPr>
      </w:pPr>
      <w:bookmarkStart w:id="106" w:name="_Toc99660454"/>
      <w:r>
        <w:rPr>
          <w:rFonts w:hint="eastAsia" w:asciiTheme="majorEastAsia" w:hAnsiTheme="majorEastAsia" w:eastAsiaTheme="majorEastAsia" w:cstheme="majorEastAsia"/>
          <w:b/>
          <w:bCs/>
          <w:color w:val="auto"/>
          <w:kern w:val="2"/>
          <w:sz w:val="24"/>
          <w:szCs w:val="24"/>
          <w:highlight w:val="none"/>
          <w:lang w:val="en-US" w:eastAsia="zh-CN" w:bidi="ar-SA"/>
        </w:rPr>
        <w:t>4.11.2 消息推送</w:t>
      </w:r>
      <w:bookmarkEnd w:id="106"/>
    </w:p>
    <w:p>
      <w:pPr>
        <w:spacing w:line="440" w:lineRule="exact"/>
        <w:ind w:firstLine="420" w:firstLineChars="200"/>
        <w:rPr>
          <w:rFonts w:hint="default"/>
          <w:color w:val="auto"/>
          <w:highlight w:val="none"/>
          <w:lang w:val="en-US" w:eastAsia="zh-CN"/>
        </w:rPr>
      </w:pPr>
      <w:r>
        <w:rPr>
          <w:rFonts w:hint="default"/>
          <w:color w:val="auto"/>
          <w:highlight w:val="none"/>
          <w:lang w:val="en-US" w:eastAsia="zh-CN"/>
        </w:rPr>
        <w:t>开发APP消息推送应用支撑模块，调用服务端和管理端的应用模块，可设置APP平台推送和上架应用推送两种方式。</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default" w:asciiTheme="majorEastAsia" w:hAnsiTheme="majorEastAsia" w:eastAsiaTheme="majorEastAsia" w:cstheme="majorEastAsia"/>
          <w:b/>
          <w:bCs/>
          <w:color w:val="auto"/>
          <w:kern w:val="2"/>
          <w:sz w:val="24"/>
          <w:szCs w:val="24"/>
          <w:highlight w:val="none"/>
          <w:lang w:val="en-US" w:eastAsia="zh-CN" w:bidi="ar-SA"/>
        </w:rPr>
      </w:pPr>
      <w:bookmarkStart w:id="107" w:name="_Toc99660455"/>
      <w:r>
        <w:rPr>
          <w:rFonts w:hint="eastAsia" w:asciiTheme="majorEastAsia" w:hAnsiTheme="majorEastAsia" w:eastAsiaTheme="majorEastAsia" w:cstheme="majorEastAsia"/>
          <w:b/>
          <w:bCs/>
          <w:color w:val="auto"/>
          <w:kern w:val="2"/>
          <w:sz w:val="24"/>
          <w:szCs w:val="24"/>
          <w:highlight w:val="none"/>
          <w:lang w:val="en-US" w:eastAsia="zh-CN" w:bidi="ar-SA"/>
        </w:rPr>
        <w:t>4.11.3 H5离线应用</w:t>
      </w:r>
      <w:bookmarkEnd w:id="107"/>
    </w:p>
    <w:p>
      <w:pPr>
        <w:spacing w:line="440" w:lineRule="exact"/>
        <w:ind w:firstLine="420" w:firstLineChars="200"/>
        <w:rPr>
          <w:rFonts w:hint="default"/>
          <w:color w:val="auto"/>
          <w:highlight w:val="none"/>
          <w:lang w:val="en-US" w:eastAsia="zh-CN"/>
        </w:rPr>
      </w:pPr>
      <w:r>
        <w:rPr>
          <w:rFonts w:hint="default"/>
          <w:color w:val="auto"/>
          <w:highlight w:val="none"/>
          <w:lang w:val="en-US" w:eastAsia="zh-CN"/>
        </w:rPr>
        <w:t>将H5以离线包方式推送至应用客户端，与APP底层H5离线功能模块对接，可快速灵活部署H5更新，实现热更新而不需要重新下载APP。</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default" w:asciiTheme="majorEastAsia" w:hAnsiTheme="majorEastAsia" w:eastAsiaTheme="majorEastAsia" w:cstheme="majorEastAsia"/>
          <w:b/>
          <w:bCs/>
          <w:color w:val="auto"/>
          <w:kern w:val="2"/>
          <w:sz w:val="24"/>
          <w:szCs w:val="24"/>
          <w:highlight w:val="none"/>
          <w:lang w:val="en-US" w:eastAsia="zh-CN" w:bidi="ar-SA"/>
        </w:rPr>
      </w:pPr>
      <w:bookmarkStart w:id="108" w:name="_Toc99660456"/>
      <w:r>
        <w:rPr>
          <w:rFonts w:hint="eastAsia" w:asciiTheme="majorEastAsia" w:hAnsiTheme="majorEastAsia" w:eastAsiaTheme="majorEastAsia" w:cstheme="majorEastAsia"/>
          <w:b/>
          <w:bCs/>
          <w:color w:val="auto"/>
          <w:kern w:val="2"/>
          <w:sz w:val="24"/>
          <w:szCs w:val="24"/>
          <w:highlight w:val="none"/>
          <w:lang w:val="en-US" w:eastAsia="zh-CN" w:bidi="ar-SA"/>
        </w:rPr>
        <w:t>4.11.4 应用升级包</w:t>
      </w:r>
      <w:bookmarkEnd w:id="108"/>
    </w:p>
    <w:p>
      <w:pPr>
        <w:ind w:left="0" w:leftChars="0" w:firstLine="420" w:firstLineChars="200"/>
        <w:rPr>
          <w:rFonts w:hint="default" w:ascii="宋体" w:hAnsi="宋体" w:cs="宋体"/>
          <w:color w:val="auto"/>
          <w:kern w:val="0"/>
          <w:szCs w:val="24"/>
          <w:highlight w:val="none"/>
          <w:lang w:bidi="ar"/>
        </w:rPr>
      </w:pPr>
      <w:r>
        <w:rPr>
          <w:rFonts w:hint="default"/>
          <w:color w:val="auto"/>
          <w:highlight w:val="none"/>
          <w:lang w:val="en-US" w:eastAsia="zh-CN"/>
        </w:rPr>
        <w:t>开发建设软件更新版本库，对APP进行必需的升级版本号以及升级日志进行管理。</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default" w:asciiTheme="majorEastAsia" w:hAnsiTheme="majorEastAsia" w:eastAsiaTheme="majorEastAsia" w:cstheme="majorEastAsia"/>
          <w:b/>
          <w:bCs/>
          <w:color w:val="auto"/>
          <w:kern w:val="2"/>
          <w:sz w:val="24"/>
          <w:szCs w:val="24"/>
          <w:highlight w:val="none"/>
          <w:lang w:val="en-US" w:eastAsia="zh-CN" w:bidi="ar-SA"/>
        </w:rPr>
      </w:pPr>
      <w:bookmarkStart w:id="109" w:name="_Toc99660462"/>
      <w:r>
        <w:rPr>
          <w:rFonts w:hint="eastAsia" w:asciiTheme="majorEastAsia" w:hAnsiTheme="majorEastAsia" w:eastAsiaTheme="majorEastAsia" w:cstheme="majorEastAsia"/>
          <w:b/>
          <w:bCs/>
          <w:color w:val="auto"/>
          <w:kern w:val="2"/>
          <w:sz w:val="24"/>
          <w:szCs w:val="24"/>
          <w:highlight w:val="none"/>
          <w:lang w:val="en-US" w:eastAsia="zh-CN" w:bidi="ar-SA"/>
        </w:rPr>
        <w:t>4.11.5 扫一扫系统</w:t>
      </w:r>
      <w:bookmarkEnd w:id="109"/>
    </w:p>
    <w:p>
      <w:pPr>
        <w:spacing w:line="440" w:lineRule="exact"/>
        <w:ind w:firstLine="420" w:firstLineChars="200"/>
        <w:rPr>
          <w:rFonts w:hint="eastAsia"/>
          <w:color w:val="auto"/>
          <w:highlight w:val="none"/>
          <w:lang w:val="en-US" w:eastAsia="zh-CN"/>
        </w:rPr>
      </w:pPr>
      <w:r>
        <w:rPr>
          <w:rFonts w:hint="default"/>
          <w:color w:val="auto"/>
          <w:highlight w:val="none"/>
          <w:lang w:val="en-US" w:eastAsia="zh-CN"/>
        </w:rPr>
        <w:t>集成原“U点通”健康码扫码系统；图书借阅扫码功能；积分核销功能；其他摄像头扫码功能；上架应用具有扫一扫需求的接口预埋</w:t>
      </w:r>
      <w:bookmarkStart w:id="110" w:name="_Toc99660463"/>
      <w:r>
        <w:rPr>
          <w:rFonts w:hint="eastAsia"/>
          <w:color w:val="auto"/>
          <w:highlight w:val="none"/>
          <w:lang w:val="en-US" w:eastAsia="zh-CN"/>
        </w:rPr>
        <w:t>。</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default" w:asciiTheme="majorEastAsia" w:hAnsiTheme="majorEastAsia" w:eastAsiaTheme="majorEastAsia" w:cstheme="majorEastAsia"/>
          <w:b/>
          <w:bCs/>
          <w:color w:val="auto"/>
          <w:kern w:val="2"/>
          <w:sz w:val="24"/>
          <w:szCs w:val="24"/>
          <w:highlight w:val="none"/>
          <w:lang w:val="en-US" w:eastAsia="zh-CN" w:bidi="ar-SA"/>
        </w:rPr>
      </w:pPr>
      <w:r>
        <w:rPr>
          <w:rFonts w:hint="eastAsia" w:asciiTheme="majorEastAsia" w:hAnsiTheme="majorEastAsia" w:eastAsiaTheme="majorEastAsia" w:cstheme="majorEastAsia"/>
          <w:b/>
          <w:bCs/>
          <w:color w:val="auto"/>
          <w:kern w:val="2"/>
          <w:sz w:val="24"/>
          <w:szCs w:val="24"/>
          <w:highlight w:val="none"/>
          <w:lang w:val="en-US" w:eastAsia="zh-CN" w:bidi="ar-SA"/>
        </w:rPr>
        <w:t>4.11.6 后台管理系统</w:t>
      </w:r>
      <w:bookmarkEnd w:id="110"/>
    </w:p>
    <w:p>
      <w:pPr>
        <w:pStyle w:val="87"/>
        <w:pageBreakBefore w:val="0"/>
        <w:kinsoku/>
        <w:wordWrap/>
        <w:topLinePunct w:val="0"/>
        <w:bidi w:val="0"/>
        <w:snapToGrid/>
        <w:spacing w:line="440" w:lineRule="exact"/>
        <w:ind w:left="0" w:leftChars="0" w:firstLine="422" w:firstLineChars="200"/>
        <w:textAlignment w:val="auto"/>
        <w:rPr>
          <w:rFonts w:hint="eastAsia" w:eastAsia="宋体"/>
          <w:color w:val="auto"/>
          <w:highlight w:val="none"/>
          <w:lang w:val="en-US" w:eastAsia="zh-CN"/>
        </w:rPr>
      </w:pPr>
      <w:r>
        <w:rPr>
          <w:rFonts w:hint="eastAsia" w:ascii="宋体" w:hAnsi="宋体" w:eastAsia="宋体" w:cs="宋体"/>
          <w:b/>
          <w:bCs/>
          <w:color w:val="auto"/>
          <w:sz w:val="21"/>
          <w:szCs w:val="16"/>
          <w:highlight w:val="none"/>
          <w:lang w:val="en-US" w:eastAsia="zh-CN"/>
        </w:rPr>
        <w:t>用户管理：</w:t>
      </w:r>
      <w:r>
        <w:rPr>
          <w:rFonts w:hint="eastAsia" w:ascii="宋体" w:hAnsi="宋体" w:eastAsia="宋体" w:cs="宋体"/>
          <w:color w:val="auto"/>
          <w:sz w:val="21"/>
          <w:szCs w:val="16"/>
          <w:highlight w:val="none"/>
          <w:lang w:val="en-US" w:eastAsia="zh-CN"/>
        </w:rPr>
        <w:t>构建U点通APP后台用户管理模块，用于APP用户的统一管理；</w:t>
      </w:r>
      <w:r>
        <w:rPr>
          <w:rFonts w:hint="eastAsia" w:ascii="宋体" w:hAnsi="宋体" w:eastAsia="宋体" w:cs="宋体"/>
          <w:color w:val="auto"/>
          <w:sz w:val="20"/>
          <w:szCs w:val="20"/>
          <w:highlight w:val="none"/>
        </w:rPr>
        <w:t>用</w:t>
      </w:r>
      <w:r>
        <w:rPr>
          <w:rFonts w:hint="eastAsia" w:ascii="宋体" w:hAnsi="宋体" w:eastAsia="宋体" w:cs="宋体"/>
          <w:color w:val="auto"/>
          <w:sz w:val="21"/>
          <w:szCs w:val="21"/>
          <w:highlight w:val="none"/>
        </w:rPr>
        <w:t>户包含第三方用户、手机号用户，管理员可以对每个用户进行相关操作</w:t>
      </w:r>
      <w:r>
        <w:rPr>
          <w:rFonts w:hint="eastAsia" w:ascii="宋体" w:hAnsi="宋体" w:eastAsia="宋体" w:cs="宋体"/>
          <w:color w:val="auto"/>
          <w:sz w:val="21"/>
          <w:szCs w:val="21"/>
          <w:highlight w:val="none"/>
          <w:lang w:eastAsia="zh-CN"/>
        </w:rPr>
        <w:t>；</w:t>
      </w:r>
    </w:p>
    <w:p>
      <w:pPr>
        <w:spacing w:line="440" w:lineRule="exact"/>
        <w:ind w:firstLine="422" w:firstLineChars="200"/>
        <w:rPr>
          <w:rFonts w:hint="eastAsia" w:eastAsia="宋体"/>
          <w:color w:val="auto"/>
          <w:highlight w:val="none"/>
          <w:lang w:val="en-US" w:eastAsia="zh-CN"/>
        </w:rPr>
      </w:pPr>
      <w:r>
        <w:rPr>
          <w:rFonts w:hint="default"/>
          <w:b/>
          <w:bCs/>
          <w:color w:val="auto"/>
          <w:highlight w:val="none"/>
          <w:lang w:val="en-US" w:eastAsia="zh-CN"/>
        </w:rPr>
        <w:t>系统管理:</w:t>
      </w:r>
      <w:r>
        <w:rPr>
          <w:rFonts w:hint="default"/>
          <w:color w:val="auto"/>
          <w:highlight w:val="none"/>
          <w:lang w:val="en-US" w:eastAsia="zh-CN"/>
        </w:rPr>
        <w:t>构建U点通APP后台系统管理模块，用于APP的系统设置</w:t>
      </w:r>
      <w:r>
        <w:rPr>
          <w:rFonts w:hint="eastAsia"/>
          <w:color w:val="auto"/>
          <w:highlight w:val="none"/>
          <w:lang w:val="en-US" w:eastAsia="zh-CN"/>
        </w:rPr>
        <w:t>，</w:t>
      </w:r>
      <w:r>
        <w:rPr>
          <w:rFonts w:hint="eastAsia" w:ascii="宋体" w:hAnsi="宋体" w:eastAsia="宋体" w:cs="宋体"/>
          <w:color w:val="auto"/>
          <w:sz w:val="21"/>
          <w:szCs w:val="21"/>
          <w:highlight w:val="none"/>
        </w:rPr>
        <w:t>主要包含路由、路径等信息</w:t>
      </w:r>
      <w:r>
        <w:rPr>
          <w:rFonts w:hint="eastAsia" w:ascii="宋体" w:hAnsi="宋体" w:eastAsia="宋体" w:cs="宋体"/>
          <w:color w:val="auto"/>
          <w:sz w:val="21"/>
          <w:szCs w:val="21"/>
          <w:highlight w:val="none"/>
          <w:lang w:eastAsia="zh-CN"/>
        </w:rPr>
        <w:t>；</w:t>
      </w:r>
    </w:p>
    <w:p>
      <w:pPr>
        <w:spacing w:line="440" w:lineRule="exact"/>
        <w:ind w:firstLine="422" w:firstLineChars="200"/>
        <w:rPr>
          <w:rFonts w:hint="default"/>
          <w:color w:val="auto"/>
          <w:highlight w:val="none"/>
          <w:lang w:val="en-US" w:eastAsia="zh-CN"/>
        </w:rPr>
      </w:pPr>
      <w:r>
        <w:rPr>
          <w:rFonts w:hint="default"/>
          <w:b/>
          <w:bCs/>
          <w:color w:val="auto"/>
          <w:highlight w:val="none"/>
          <w:lang w:val="en-US" w:eastAsia="zh-CN"/>
        </w:rPr>
        <w:t>启动页管理：</w:t>
      </w:r>
      <w:r>
        <w:rPr>
          <w:rFonts w:hint="default"/>
          <w:color w:val="auto"/>
          <w:highlight w:val="none"/>
          <w:lang w:val="en-US" w:eastAsia="zh-CN"/>
        </w:rPr>
        <w:t>提供启动页配置管理，发布管理，下架管理功能；</w:t>
      </w:r>
    </w:p>
    <w:p>
      <w:pPr>
        <w:spacing w:line="440" w:lineRule="exact"/>
        <w:ind w:firstLine="422" w:firstLineChars="200"/>
        <w:rPr>
          <w:rFonts w:hint="default"/>
          <w:color w:val="auto"/>
          <w:highlight w:val="none"/>
          <w:lang w:val="en-US" w:eastAsia="zh-CN"/>
        </w:rPr>
      </w:pPr>
      <w:r>
        <w:rPr>
          <w:rFonts w:hint="default"/>
          <w:b/>
          <w:bCs/>
          <w:color w:val="auto"/>
          <w:highlight w:val="none"/>
          <w:lang w:val="en-US" w:eastAsia="zh-CN"/>
        </w:rPr>
        <w:t>配置管理:</w:t>
      </w:r>
      <w:r>
        <w:rPr>
          <w:rFonts w:hint="default"/>
          <w:color w:val="auto"/>
          <w:highlight w:val="none"/>
          <w:lang w:val="en-US" w:eastAsia="zh-CN"/>
        </w:rPr>
        <w:t>构建U点通APP后台启动页管理模块，用于APP的启动页统一管理;</w:t>
      </w:r>
    </w:p>
    <w:p>
      <w:pPr>
        <w:spacing w:line="440" w:lineRule="exact"/>
        <w:ind w:firstLine="422" w:firstLineChars="200"/>
        <w:rPr>
          <w:rFonts w:hint="default"/>
          <w:color w:val="auto"/>
          <w:highlight w:val="none"/>
          <w:lang w:val="en-US" w:eastAsia="zh-CN"/>
        </w:rPr>
      </w:pPr>
      <w:r>
        <w:rPr>
          <w:rFonts w:hint="default"/>
          <w:b/>
          <w:bCs/>
          <w:color w:val="auto"/>
          <w:highlight w:val="none"/>
          <w:lang w:val="en-US" w:eastAsia="zh-CN"/>
        </w:rPr>
        <w:t>权限管理：</w:t>
      </w:r>
      <w:r>
        <w:rPr>
          <w:rFonts w:hint="default"/>
          <w:color w:val="auto"/>
          <w:highlight w:val="none"/>
          <w:lang w:val="en-US" w:eastAsia="zh-CN"/>
        </w:rPr>
        <w:t>构建U点通APP后台权限管理模块，用于APP的功能权限管理和数据权限管理；</w:t>
      </w:r>
    </w:p>
    <w:p>
      <w:pPr>
        <w:spacing w:line="440" w:lineRule="exact"/>
        <w:ind w:firstLine="422" w:firstLineChars="200"/>
        <w:rPr>
          <w:rFonts w:hint="default"/>
          <w:color w:val="auto"/>
          <w:highlight w:val="none"/>
          <w:lang w:val="en-US" w:eastAsia="zh-CN"/>
        </w:rPr>
      </w:pPr>
      <w:r>
        <w:rPr>
          <w:rFonts w:hint="default"/>
          <w:b/>
          <w:bCs/>
          <w:color w:val="auto"/>
          <w:highlight w:val="none"/>
          <w:lang w:val="en-US" w:eastAsia="zh-CN"/>
        </w:rPr>
        <w:t>应用管理:</w:t>
      </w:r>
      <w:r>
        <w:rPr>
          <w:rFonts w:hint="default"/>
          <w:color w:val="auto"/>
          <w:highlight w:val="none"/>
          <w:lang w:val="en-US" w:eastAsia="zh-CN"/>
        </w:rPr>
        <w:t>构建U点通APP后台应用管理模块，用于配置APP H5离线包；</w:t>
      </w:r>
    </w:p>
    <w:p>
      <w:pPr>
        <w:spacing w:line="440" w:lineRule="exact"/>
        <w:ind w:firstLine="422" w:firstLineChars="200"/>
        <w:rPr>
          <w:rFonts w:hint="default"/>
          <w:color w:val="auto"/>
          <w:highlight w:val="none"/>
          <w:lang w:val="en-US" w:eastAsia="zh-CN"/>
        </w:rPr>
      </w:pPr>
      <w:r>
        <w:rPr>
          <w:rFonts w:hint="default"/>
          <w:b/>
          <w:bCs/>
          <w:color w:val="auto"/>
          <w:highlight w:val="none"/>
          <w:lang w:val="en-US" w:eastAsia="zh-CN"/>
        </w:rPr>
        <w:t>消息管理：</w:t>
      </w:r>
      <w:r>
        <w:rPr>
          <w:rFonts w:hint="default"/>
          <w:color w:val="auto"/>
          <w:highlight w:val="none"/>
          <w:lang w:val="en-US" w:eastAsia="zh-CN"/>
        </w:rPr>
        <w:t>构建U点通APP后台应用管理模块,构建U点通APP后台应用管理模块；</w:t>
      </w:r>
    </w:p>
    <w:p>
      <w:pPr>
        <w:spacing w:line="440" w:lineRule="exact"/>
        <w:ind w:firstLine="422" w:firstLineChars="200"/>
        <w:rPr>
          <w:rFonts w:hint="default"/>
          <w:color w:val="auto"/>
          <w:highlight w:val="none"/>
          <w:lang w:val="en-US" w:eastAsia="zh-CN"/>
        </w:rPr>
      </w:pPr>
      <w:r>
        <w:rPr>
          <w:rFonts w:hint="default"/>
          <w:b/>
          <w:bCs/>
          <w:color w:val="auto"/>
          <w:highlight w:val="none"/>
          <w:lang w:val="en-US" w:eastAsia="zh-CN"/>
        </w:rPr>
        <w:t>推送管理:</w:t>
      </w:r>
      <w:r>
        <w:rPr>
          <w:rFonts w:hint="default"/>
          <w:color w:val="auto"/>
          <w:highlight w:val="none"/>
          <w:lang w:val="en-US" w:eastAsia="zh-CN"/>
        </w:rPr>
        <w:t>构建U点通APP后台应用管理模块,不同APP内应用的服务常山可以通过后台完成相关信息推送。</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default" w:asciiTheme="majorEastAsia" w:hAnsiTheme="majorEastAsia" w:eastAsiaTheme="majorEastAsia" w:cstheme="majorEastAsia"/>
          <w:b/>
          <w:bCs/>
          <w:color w:val="auto"/>
          <w:kern w:val="2"/>
          <w:sz w:val="24"/>
          <w:szCs w:val="24"/>
          <w:highlight w:val="none"/>
          <w:lang w:val="en-US" w:eastAsia="zh-CN" w:bidi="ar-SA"/>
        </w:rPr>
      </w:pPr>
      <w:bookmarkStart w:id="111" w:name="_Toc99660464"/>
      <w:r>
        <w:rPr>
          <w:rFonts w:hint="eastAsia" w:asciiTheme="majorEastAsia" w:hAnsiTheme="majorEastAsia" w:eastAsiaTheme="majorEastAsia" w:cstheme="majorEastAsia"/>
          <w:b/>
          <w:bCs/>
          <w:color w:val="auto"/>
          <w:kern w:val="2"/>
          <w:sz w:val="24"/>
          <w:szCs w:val="24"/>
          <w:highlight w:val="none"/>
          <w:lang w:val="en-US" w:eastAsia="zh-CN" w:bidi="ar-SA"/>
        </w:rPr>
        <w:t>4.11.7 用户组织管理系统</w:t>
      </w:r>
      <w:bookmarkEnd w:id="111"/>
    </w:p>
    <w:p>
      <w:pPr>
        <w:spacing w:line="440" w:lineRule="exact"/>
        <w:ind w:firstLine="420" w:firstLineChars="200"/>
        <w:rPr>
          <w:rFonts w:hint="default"/>
          <w:color w:val="auto"/>
          <w:highlight w:val="none"/>
          <w:lang w:val="en-US" w:eastAsia="zh-CN"/>
        </w:rPr>
      </w:pPr>
      <w:r>
        <w:rPr>
          <w:rFonts w:hint="default"/>
          <w:color w:val="auto"/>
          <w:highlight w:val="none"/>
          <w:lang w:val="en-US" w:eastAsia="zh-CN"/>
        </w:rPr>
        <w:t>组织管理系统为APP组织用户建立合理的组织结构，如行政组织（县、街道/乡镇、村社）、职能管理组织（县-乡镇-村执法队伍）、虚拟团队组织（专班形式）帮助用户明确责权关系和交叉关系以及多重身份识别，使APP组织用户的成员之间形成更有效的互相协作机制，有效实现组织的目标管理和组织职能管理。</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default" w:asciiTheme="majorEastAsia" w:hAnsiTheme="majorEastAsia" w:eastAsiaTheme="majorEastAsia" w:cstheme="majorEastAsia"/>
          <w:b/>
          <w:bCs/>
          <w:color w:val="auto"/>
          <w:kern w:val="2"/>
          <w:sz w:val="24"/>
          <w:szCs w:val="24"/>
          <w:highlight w:val="none"/>
          <w:lang w:val="en-US" w:eastAsia="zh-CN" w:bidi="ar-SA"/>
        </w:rPr>
      </w:pPr>
      <w:bookmarkStart w:id="112" w:name="_Toc99660465"/>
      <w:r>
        <w:rPr>
          <w:rFonts w:hint="eastAsia" w:asciiTheme="majorEastAsia" w:hAnsiTheme="majorEastAsia" w:eastAsiaTheme="majorEastAsia" w:cstheme="majorEastAsia"/>
          <w:b/>
          <w:bCs/>
          <w:color w:val="auto"/>
          <w:kern w:val="2"/>
          <w:sz w:val="24"/>
          <w:szCs w:val="24"/>
          <w:highlight w:val="none"/>
          <w:lang w:val="en-US" w:eastAsia="zh-CN" w:bidi="ar-SA"/>
        </w:rPr>
        <w:t>4.11.8 资讯发布系统</w:t>
      </w:r>
      <w:bookmarkEnd w:id="112"/>
    </w:p>
    <w:p>
      <w:pPr>
        <w:spacing w:line="440" w:lineRule="exact"/>
        <w:ind w:firstLine="420" w:firstLineChars="200"/>
        <w:rPr>
          <w:rFonts w:hint="default"/>
          <w:color w:val="auto"/>
          <w:highlight w:val="none"/>
          <w:lang w:val="en-US" w:eastAsia="zh-CN"/>
        </w:rPr>
      </w:pPr>
      <w:r>
        <w:rPr>
          <w:rFonts w:hint="default"/>
          <w:color w:val="auto"/>
          <w:highlight w:val="none"/>
          <w:lang w:val="en-US" w:eastAsia="zh-CN"/>
        </w:rPr>
        <w:t>内容与资讯平台是项目平台的内容资讯引擎，为常山县政策文件、热点新闻、焦点信息等资讯提供发布渠道，提供内容服务、资讯动态，同时具备对内容资讯进行安全监管的能力。内容与资讯平台是常山县专属的内容资讯平台，高度响应常山县城市信息安全及常山县政府个性化的需求。</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default" w:asciiTheme="majorEastAsia" w:hAnsiTheme="majorEastAsia" w:eastAsiaTheme="majorEastAsia" w:cstheme="majorEastAsia"/>
          <w:b/>
          <w:bCs/>
          <w:color w:val="auto"/>
          <w:kern w:val="2"/>
          <w:sz w:val="24"/>
          <w:szCs w:val="24"/>
          <w:highlight w:val="none"/>
          <w:lang w:val="en-US" w:eastAsia="zh-CN" w:bidi="ar-SA"/>
        </w:rPr>
      </w:pPr>
      <w:bookmarkStart w:id="113" w:name="_Toc99660466"/>
      <w:r>
        <w:rPr>
          <w:rFonts w:hint="eastAsia" w:asciiTheme="majorEastAsia" w:hAnsiTheme="majorEastAsia" w:eastAsiaTheme="majorEastAsia" w:cstheme="majorEastAsia"/>
          <w:b/>
          <w:bCs/>
          <w:color w:val="auto"/>
          <w:kern w:val="2"/>
          <w:sz w:val="24"/>
          <w:szCs w:val="24"/>
          <w:highlight w:val="none"/>
          <w:lang w:val="en-US" w:eastAsia="zh-CN" w:bidi="ar-SA"/>
        </w:rPr>
        <w:t>4.11.9 分享系统</w:t>
      </w:r>
      <w:bookmarkEnd w:id="113"/>
    </w:p>
    <w:p>
      <w:pPr>
        <w:spacing w:line="440" w:lineRule="exact"/>
        <w:ind w:firstLine="420" w:firstLineChars="200"/>
        <w:rPr>
          <w:rFonts w:hint="default"/>
          <w:color w:val="auto"/>
          <w:highlight w:val="none"/>
          <w:lang w:val="en-US" w:eastAsia="zh-CN"/>
        </w:rPr>
      </w:pPr>
      <w:r>
        <w:rPr>
          <w:rFonts w:hint="default"/>
          <w:color w:val="auto"/>
          <w:highlight w:val="none"/>
          <w:lang w:val="en-US" w:eastAsia="zh-CN"/>
        </w:rPr>
        <w:t>开发互动平台中的分享传播子系统</w:t>
      </w:r>
      <w:r>
        <w:rPr>
          <w:rFonts w:hint="eastAsia"/>
          <w:color w:val="auto"/>
          <w:highlight w:val="none"/>
          <w:lang w:val="en-US" w:eastAsia="zh-CN"/>
        </w:rPr>
        <w:t>，</w:t>
      </w:r>
      <w:r>
        <w:rPr>
          <w:rFonts w:hint="default"/>
          <w:color w:val="auto"/>
          <w:highlight w:val="none"/>
          <w:lang w:val="en-US" w:eastAsia="zh-CN"/>
        </w:rPr>
        <w:t>为APP用户提供分享渠道，如微信、QQ、微博等社交媒体，通过用户的分享，将“U点通”平台上原创内容进行扩散，扩大内容传播范围，增加潜在用户量，同时还能提高用户粘性。</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default" w:asciiTheme="majorEastAsia" w:hAnsiTheme="majorEastAsia" w:eastAsiaTheme="majorEastAsia" w:cstheme="majorEastAsia"/>
          <w:b/>
          <w:bCs/>
          <w:color w:val="auto"/>
          <w:kern w:val="2"/>
          <w:sz w:val="24"/>
          <w:szCs w:val="24"/>
          <w:highlight w:val="none"/>
          <w:lang w:val="en-US" w:eastAsia="zh-CN" w:bidi="ar-SA"/>
        </w:rPr>
      </w:pPr>
      <w:bookmarkStart w:id="114" w:name="_Toc99660467"/>
      <w:r>
        <w:rPr>
          <w:rFonts w:hint="eastAsia" w:asciiTheme="majorEastAsia" w:hAnsiTheme="majorEastAsia" w:eastAsiaTheme="majorEastAsia" w:cstheme="majorEastAsia"/>
          <w:b/>
          <w:bCs/>
          <w:color w:val="auto"/>
          <w:kern w:val="2"/>
          <w:sz w:val="24"/>
          <w:szCs w:val="24"/>
          <w:highlight w:val="none"/>
          <w:lang w:val="en-US" w:eastAsia="zh-CN" w:bidi="ar-SA"/>
        </w:rPr>
        <w:t>4.11.10 收藏系统</w:t>
      </w:r>
      <w:bookmarkEnd w:id="114"/>
    </w:p>
    <w:p>
      <w:pPr>
        <w:spacing w:line="440" w:lineRule="exact"/>
        <w:ind w:firstLine="420" w:firstLineChars="200"/>
        <w:rPr>
          <w:rFonts w:hint="default"/>
          <w:color w:val="auto"/>
          <w:highlight w:val="none"/>
          <w:lang w:val="en-US" w:eastAsia="zh-CN"/>
        </w:rPr>
      </w:pPr>
      <w:r>
        <w:rPr>
          <w:rFonts w:hint="default"/>
          <w:color w:val="auto"/>
          <w:highlight w:val="none"/>
          <w:lang w:val="en-US" w:eastAsia="zh-CN"/>
        </w:rPr>
        <w:t>用户可以通过互动平台将自己喜好的信息进行收藏，收藏的信息统一放在收藏夹中，方便查看。收藏子系统主要分为前端和后端两大部分，前端又可以分为ios和android两个版本，提供相同的系统功能。用户所能收藏的信息可以是文字、图片、语音、地图、视频、文件、网页、动态和话题、动态写作模式、小组、小组帖子、员工、个人等内容。</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default" w:asciiTheme="majorEastAsia" w:hAnsiTheme="majorEastAsia" w:eastAsiaTheme="majorEastAsia" w:cstheme="majorEastAsia"/>
          <w:b/>
          <w:bCs/>
          <w:color w:val="auto"/>
          <w:kern w:val="2"/>
          <w:sz w:val="24"/>
          <w:szCs w:val="24"/>
          <w:highlight w:val="none"/>
          <w:lang w:val="en-US" w:eastAsia="zh-CN" w:bidi="ar-SA"/>
        </w:rPr>
      </w:pPr>
      <w:bookmarkStart w:id="115" w:name="_Toc99660468"/>
      <w:r>
        <w:rPr>
          <w:rFonts w:hint="eastAsia" w:asciiTheme="majorEastAsia" w:hAnsiTheme="majorEastAsia" w:eastAsiaTheme="majorEastAsia" w:cstheme="majorEastAsia"/>
          <w:b/>
          <w:bCs/>
          <w:color w:val="auto"/>
          <w:kern w:val="2"/>
          <w:sz w:val="24"/>
          <w:szCs w:val="24"/>
          <w:highlight w:val="none"/>
          <w:lang w:val="en-US" w:eastAsia="zh-CN" w:bidi="ar-SA"/>
        </w:rPr>
        <w:t>4.11.11 订阅</w:t>
      </w:r>
      <w:bookmarkEnd w:id="115"/>
      <w:r>
        <w:rPr>
          <w:rFonts w:hint="eastAsia" w:asciiTheme="majorEastAsia" w:hAnsiTheme="majorEastAsia" w:eastAsiaTheme="majorEastAsia" w:cstheme="majorEastAsia"/>
          <w:b/>
          <w:bCs/>
          <w:color w:val="auto"/>
          <w:kern w:val="2"/>
          <w:sz w:val="24"/>
          <w:szCs w:val="24"/>
          <w:highlight w:val="none"/>
          <w:lang w:val="en-US" w:eastAsia="zh-CN" w:bidi="ar-SA"/>
        </w:rPr>
        <w:t>系统</w:t>
      </w:r>
    </w:p>
    <w:p>
      <w:pPr>
        <w:spacing w:line="440" w:lineRule="exact"/>
        <w:ind w:firstLine="420" w:firstLineChars="200"/>
        <w:rPr>
          <w:rFonts w:hint="eastAsia"/>
          <w:color w:val="auto"/>
          <w:highlight w:val="none"/>
          <w:lang w:val="en-US" w:eastAsia="zh-CN"/>
        </w:rPr>
      </w:pPr>
      <w:r>
        <w:rPr>
          <w:rFonts w:hint="default"/>
          <w:color w:val="auto"/>
          <w:highlight w:val="none"/>
          <w:lang w:val="en-US" w:eastAsia="zh-CN"/>
        </w:rPr>
        <w:t>订阅子系统主要是为用户提供应用检索、订阅功能，用户通过本系统能够将自己所喜好的应用进行突出展示。系统分为前端功能模块和后端功能模块，模块具体包括应用订阅的新增，修改，收藏管理。</w:t>
      </w:r>
    </w:p>
    <w:p>
      <w:pPr>
        <w:pStyle w:val="38"/>
        <w:rPr>
          <w:rFonts w:hint="eastAsia" w:ascii="宋体" w:hAnsi="宋体" w:cs="宋体"/>
          <w:b/>
          <w:bCs/>
          <w:color w:val="auto"/>
          <w:sz w:val="24"/>
          <w:szCs w:val="24"/>
          <w:highlight w:val="none"/>
        </w:rPr>
      </w:pPr>
    </w:p>
    <w:p>
      <w:pP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br w:type="page"/>
      </w:r>
    </w:p>
    <w:p>
      <w:pPr>
        <w:pStyle w:val="6"/>
        <w:numPr>
          <w:ilvl w:val="1"/>
          <w:numId w:val="0"/>
        </w:numPr>
        <w:spacing w:line="440" w:lineRule="exact"/>
        <w:ind w:firstLine="562" w:firstLineChars="200"/>
        <w:rPr>
          <w:rFonts w:hint="eastAsia" w:cs="宋体"/>
          <w:b/>
          <w:bCs/>
          <w:color w:val="auto"/>
          <w:kern w:val="2"/>
          <w:sz w:val="28"/>
          <w:szCs w:val="28"/>
          <w:highlight w:val="none"/>
          <w:lang w:val="en-US" w:eastAsia="zh-CN" w:bidi="ar-SA"/>
        </w:rPr>
      </w:pPr>
      <w:r>
        <w:rPr>
          <w:rFonts w:hint="eastAsia" w:cs="宋体"/>
          <w:b/>
          <w:bCs/>
          <w:color w:val="auto"/>
          <w:kern w:val="2"/>
          <w:sz w:val="28"/>
          <w:szCs w:val="28"/>
          <w:highlight w:val="none"/>
          <w:lang w:val="en-US" w:eastAsia="zh-CN" w:bidi="ar-SA"/>
        </w:rPr>
        <w:t>（三）APP 底座开发建设</w:t>
      </w:r>
      <w:bookmarkEnd w:id="78"/>
      <w:bookmarkEnd w:id="79"/>
      <w:bookmarkEnd w:id="80"/>
      <w:bookmarkEnd w:id="81"/>
      <w:bookmarkEnd w:id="82"/>
    </w:p>
    <w:p>
      <w:pPr>
        <w:pStyle w:val="7"/>
        <w:numPr>
          <w:ilvl w:val="1"/>
          <w:numId w:val="0"/>
        </w:numPr>
        <w:spacing w:line="440" w:lineRule="exact"/>
        <w:ind w:firstLine="562" w:firstLineChars="200"/>
        <w:rPr>
          <w:rFonts w:hint="eastAsia" w:cs="宋体"/>
          <w:b/>
          <w:bCs/>
          <w:color w:val="auto"/>
          <w:kern w:val="2"/>
          <w:sz w:val="28"/>
          <w:szCs w:val="28"/>
          <w:highlight w:val="none"/>
          <w:lang w:val="en-US" w:eastAsia="zh-CN" w:bidi="ar-SA"/>
        </w:rPr>
      </w:pPr>
      <w:bookmarkStart w:id="116" w:name="_Toc29487"/>
      <w:bookmarkStart w:id="117" w:name="_Toc28416"/>
      <w:r>
        <w:rPr>
          <w:rFonts w:hint="eastAsia" w:cs="宋体"/>
          <w:b/>
          <w:bCs/>
          <w:color w:val="auto"/>
          <w:kern w:val="2"/>
          <w:sz w:val="28"/>
          <w:szCs w:val="28"/>
          <w:highlight w:val="none"/>
          <w:lang w:val="en-US" w:eastAsia="zh-CN" w:bidi="ar-SA"/>
        </w:rPr>
        <w:t>4.12 移动端能力超市</w:t>
      </w:r>
      <w:bookmarkEnd w:id="116"/>
      <w:bookmarkEnd w:id="117"/>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构建</w:t>
      </w:r>
      <w:r>
        <w:rPr>
          <w:rFonts w:hint="eastAsia" w:ascii="宋体" w:hAnsi="宋体" w:cs="宋体"/>
          <w:color w:val="auto"/>
          <w:szCs w:val="21"/>
          <w:highlight w:val="none"/>
          <w:lang w:val="en-US" w:eastAsia="zh-CN"/>
        </w:rPr>
        <w:t>APP</w:t>
      </w:r>
      <w:r>
        <w:rPr>
          <w:rFonts w:hint="eastAsia" w:ascii="宋体" w:hAnsi="宋体" w:cs="宋体"/>
          <w:color w:val="auto"/>
          <w:szCs w:val="21"/>
          <w:highlight w:val="none"/>
        </w:rPr>
        <w:t>移动端能力超市，实现APP底座能力上架、检索、申请、审批、监测、统计功能。</w:t>
      </w:r>
    </w:p>
    <w:p>
      <w:pPr>
        <w:pStyle w:val="7"/>
        <w:numPr>
          <w:ilvl w:val="1"/>
          <w:numId w:val="0"/>
        </w:numPr>
        <w:spacing w:line="440" w:lineRule="exact"/>
        <w:ind w:firstLine="562" w:firstLineChars="200"/>
        <w:rPr>
          <w:rFonts w:hint="eastAsia" w:cs="宋体"/>
          <w:b/>
          <w:bCs/>
          <w:color w:val="auto"/>
          <w:kern w:val="2"/>
          <w:sz w:val="28"/>
          <w:szCs w:val="28"/>
          <w:highlight w:val="none"/>
          <w:lang w:val="en-US" w:eastAsia="zh-CN" w:bidi="ar-SA"/>
        </w:rPr>
      </w:pPr>
      <w:bookmarkStart w:id="118" w:name="_Toc19294"/>
      <w:bookmarkStart w:id="119" w:name="_Toc9641"/>
      <w:bookmarkStart w:id="120" w:name="_Toc9089"/>
      <w:bookmarkStart w:id="121" w:name="_Toc30454"/>
      <w:r>
        <w:rPr>
          <w:rFonts w:hint="eastAsia" w:cs="宋体"/>
          <w:b/>
          <w:bCs/>
          <w:color w:val="auto"/>
          <w:kern w:val="2"/>
          <w:sz w:val="28"/>
          <w:szCs w:val="28"/>
          <w:highlight w:val="none"/>
          <w:lang w:val="en-US" w:eastAsia="zh-CN" w:bidi="ar-SA"/>
        </w:rPr>
        <w:t>4.13 APP移动端基础框架模块</w:t>
      </w:r>
      <w:bookmarkEnd w:id="118"/>
      <w:bookmarkEnd w:id="119"/>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APP除了底层原生类的封装外，根据系统的不同需要设计开发对应不同系统的功能，</w:t>
      </w:r>
      <w:r>
        <w:rPr>
          <w:rFonts w:hint="eastAsia" w:ascii="宋体" w:hAnsi="宋体" w:cs="宋体"/>
          <w:color w:val="auto"/>
          <w:szCs w:val="21"/>
          <w:highlight w:val="none"/>
          <w:lang w:val="en-US" w:eastAsia="zh-CN"/>
        </w:rPr>
        <w:t>需</w:t>
      </w:r>
      <w:r>
        <w:rPr>
          <w:rFonts w:hint="eastAsia" w:ascii="宋体" w:hAnsi="宋体" w:cs="宋体"/>
          <w:color w:val="auto"/>
          <w:szCs w:val="21"/>
          <w:highlight w:val="none"/>
        </w:rPr>
        <w:t xml:space="preserve">以下功能： </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eastAsia" w:asciiTheme="majorEastAsia" w:hAnsiTheme="majorEastAsia" w:eastAsiaTheme="majorEastAsia" w:cstheme="majorEastAsia"/>
          <w:b/>
          <w:bCs/>
          <w:color w:val="auto"/>
          <w:kern w:val="2"/>
          <w:sz w:val="24"/>
          <w:szCs w:val="24"/>
          <w:highlight w:val="none"/>
          <w:lang w:val="en-US" w:eastAsia="zh-CN" w:bidi="ar-SA"/>
        </w:rPr>
      </w:pPr>
      <w:bookmarkStart w:id="122" w:name="_Toc31138"/>
      <w:bookmarkStart w:id="123" w:name="_Toc95901521"/>
      <w:bookmarkStart w:id="124" w:name="_Toc14330"/>
      <w:r>
        <w:rPr>
          <w:rFonts w:hint="eastAsia" w:asciiTheme="majorEastAsia" w:hAnsiTheme="majorEastAsia" w:eastAsiaTheme="majorEastAsia" w:cstheme="majorEastAsia"/>
          <w:b/>
          <w:bCs/>
          <w:color w:val="auto"/>
          <w:kern w:val="2"/>
          <w:sz w:val="24"/>
          <w:szCs w:val="24"/>
          <w:highlight w:val="none"/>
          <w:lang w:val="en-US" w:eastAsia="zh-CN" w:bidi="ar-SA"/>
        </w:rPr>
        <w:t>4.13.1 登录</w:t>
      </w:r>
      <w:bookmarkEnd w:id="122"/>
      <w:bookmarkEnd w:id="123"/>
      <w:bookmarkEnd w:id="124"/>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APP需要实现第三方登录，如微信、QQ、支付宝登录等，除此之外还需要实现手机号一键登录功能，确保APP使用者在使用时能方便、快捷、高效、多元的登录。</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eastAsia" w:asciiTheme="majorEastAsia" w:hAnsiTheme="majorEastAsia" w:eastAsiaTheme="majorEastAsia" w:cstheme="majorEastAsia"/>
          <w:b/>
          <w:bCs/>
          <w:color w:val="auto"/>
          <w:kern w:val="2"/>
          <w:sz w:val="24"/>
          <w:szCs w:val="24"/>
          <w:highlight w:val="none"/>
          <w:lang w:val="en-US" w:eastAsia="zh-CN" w:bidi="ar-SA"/>
        </w:rPr>
      </w:pPr>
      <w:bookmarkStart w:id="125" w:name="_Toc16736"/>
      <w:bookmarkStart w:id="126" w:name="_Toc95901522"/>
      <w:bookmarkStart w:id="127" w:name="_Toc31819"/>
      <w:r>
        <w:rPr>
          <w:rFonts w:hint="eastAsia" w:asciiTheme="majorEastAsia" w:hAnsiTheme="majorEastAsia" w:eastAsiaTheme="majorEastAsia" w:cstheme="majorEastAsia"/>
          <w:b/>
          <w:bCs/>
          <w:color w:val="auto"/>
          <w:kern w:val="2"/>
          <w:sz w:val="24"/>
          <w:szCs w:val="24"/>
          <w:highlight w:val="none"/>
          <w:lang w:val="en-US" w:eastAsia="zh-CN" w:bidi="ar-SA"/>
        </w:rPr>
        <w:t>4.13.2 APP启动页</w:t>
      </w:r>
      <w:bookmarkEnd w:id="125"/>
      <w:bookmarkEnd w:id="126"/>
      <w:bookmarkEnd w:id="127"/>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启动页面可作为APP启动等待中提供流畅的启动页动画，采用svg或者svga等格式。</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eastAsia" w:asciiTheme="majorEastAsia" w:hAnsiTheme="majorEastAsia" w:eastAsiaTheme="majorEastAsia" w:cstheme="majorEastAsia"/>
          <w:b/>
          <w:bCs/>
          <w:color w:val="auto"/>
          <w:kern w:val="2"/>
          <w:sz w:val="24"/>
          <w:szCs w:val="24"/>
          <w:highlight w:val="none"/>
          <w:lang w:val="en-US" w:eastAsia="zh-CN" w:bidi="ar-SA"/>
        </w:rPr>
      </w:pPr>
      <w:bookmarkStart w:id="128" w:name="_Toc14800"/>
      <w:bookmarkStart w:id="129" w:name="_Toc95901523"/>
      <w:bookmarkStart w:id="130" w:name="_Toc16544"/>
      <w:r>
        <w:rPr>
          <w:rFonts w:hint="eastAsia" w:asciiTheme="majorEastAsia" w:hAnsiTheme="majorEastAsia" w:eastAsiaTheme="majorEastAsia" w:cstheme="majorEastAsia"/>
          <w:b/>
          <w:bCs/>
          <w:color w:val="auto"/>
          <w:kern w:val="2"/>
          <w:sz w:val="24"/>
          <w:szCs w:val="24"/>
          <w:highlight w:val="none"/>
          <w:lang w:val="en-US" w:eastAsia="zh-CN" w:bidi="ar-SA"/>
        </w:rPr>
        <w:t>4.13.3 分享</w:t>
      </w:r>
      <w:bookmarkEnd w:id="128"/>
      <w:bookmarkEnd w:id="129"/>
      <w:bookmarkEnd w:id="130"/>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APP提供分享功能，分享的内容包含各类新闻资讯、政策法规、H5应用等，使用者在使用过程中把需要分享的内容，通过APP内的分享功能分享至微信、QQ、微博，小程序等。</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eastAsia" w:asciiTheme="majorEastAsia" w:hAnsiTheme="majorEastAsia" w:eastAsiaTheme="majorEastAsia" w:cstheme="majorEastAsia"/>
          <w:b/>
          <w:bCs/>
          <w:color w:val="auto"/>
          <w:kern w:val="2"/>
          <w:sz w:val="24"/>
          <w:szCs w:val="24"/>
          <w:highlight w:val="none"/>
          <w:lang w:val="en-US" w:eastAsia="zh-CN" w:bidi="ar-SA"/>
        </w:rPr>
      </w:pPr>
      <w:bookmarkStart w:id="131" w:name="_Toc95901524"/>
      <w:bookmarkStart w:id="132" w:name="_Toc28834"/>
      <w:r>
        <w:rPr>
          <w:rFonts w:hint="eastAsia" w:asciiTheme="majorEastAsia" w:hAnsiTheme="majorEastAsia" w:eastAsiaTheme="majorEastAsia" w:cstheme="majorEastAsia"/>
          <w:b/>
          <w:bCs/>
          <w:color w:val="auto"/>
          <w:kern w:val="2"/>
          <w:sz w:val="24"/>
          <w:szCs w:val="24"/>
          <w:highlight w:val="none"/>
          <w:lang w:val="en-US" w:eastAsia="zh-CN" w:bidi="ar-SA"/>
        </w:rPr>
        <w:t>4.13.4 语音识别播报</w:t>
      </w:r>
      <w:bookmarkEnd w:id="131"/>
      <w:bookmarkEnd w:id="132"/>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APP需要具备语音识别、语音播报功能、语音识别播报。</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eastAsia" w:asciiTheme="majorEastAsia" w:hAnsiTheme="majorEastAsia" w:eastAsiaTheme="majorEastAsia" w:cstheme="majorEastAsia"/>
          <w:b/>
          <w:bCs/>
          <w:color w:val="auto"/>
          <w:kern w:val="2"/>
          <w:sz w:val="24"/>
          <w:szCs w:val="24"/>
          <w:highlight w:val="none"/>
          <w:lang w:val="en-US" w:eastAsia="zh-CN" w:bidi="ar-SA"/>
        </w:rPr>
      </w:pPr>
      <w:bookmarkStart w:id="133" w:name="_Toc969"/>
      <w:bookmarkStart w:id="134" w:name="_Toc2682"/>
      <w:bookmarkStart w:id="135" w:name="_Toc95901525"/>
      <w:r>
        <w:rPr>
          <w:rFonts w:hint="eastAsia" w:asciiTheme="majorEastAsia" w:hAnsiTheme="majorEastAsia" w:eastAsiaTheme="majorEastAsia" w:cstheme="majorEastAsia"/>
          <w:b/>
          <w:bCs/>
          <w:color w:val="auto"/>
          <w:kern w:val="2"/>
          <w:sz w:val="24"/>
          <w:szCs w:val="24"/>
          <w:highlight w:val="none"/>
          <w:lang w:val="en-US" w:eastAsia="zh-CN" w:bidi="ar-SA"/>
        </w:rPr>
        <w:t>4.13.5 页面通讯</w:t>
      </w:r>
      <w:bookmarkEnd w:id="133"/>
      <w:bookmarkEnd w:id="134"/>
      <w:bookmarkEnd w:id="135"/>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APP需要实现App页面全局通讯，包括注册监听、移除等基本操作，实现跨任意组件、页面参数传递。</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eastAsia" w:asciiTheme="majorEastAsia" w:hAnsiTheme="majorEastAsia" w:eastAsiaTheme="majorEastAsia" w:cstheme="majorEastAsia"/>
          <w:b/>
          <w:bCs/>
          <w:color w:val="auto"/>
          <w:kern w:val="2"/>
          <w:sz w:val="24"/>
          <w:szCs w:val="24"/>
          <w:highlight w:val="none"/>
          <w:lang w:val="en-US" w:eastAsia="zh-CN" w:bidi="ar-SA"/>
        </w:rPr>
      </w:pPr>
      <w:bookmarkStart w:id="136" w:name="_Toc21052"/>
      <w:bookmarkStart w:id="137" w:name="_Toc5571"/>
      <w:bookmarkStart w:id="138" w:name="_Toc95901526"/>
      <w:r>
        <w:rPr>
          <w:rFonts w:hint="eastAsia" w:asciiTheme="majorEastAsia" w:hAnsiTheme="majorEastAsia" w:eastAsiaTheme="majorEastAsia" w:cstheme="majorEastAsia"/>
          <w:b/>
          <w:bCs/>
          <w:color w:val="auto"/>
          <w:kern w:val="2"/>
          <w:sz w:val="24"/>
          <w:szCs w:val="24"/>
          <w:highlight w:val="none"/>
          <w:lang w:val="en-US" w:eastAsia="zh-CN" w:bidi="ar-SA"/>
        </w:rPr>
        <w:t>4.13.6 图片选取</w:t>
      </w:r>
      <w:bookmarkEnd w:id="136"/>
      <w:bookmarkEnd w:id="137"/>
      <w:bookmarkEnd w:id="138"/>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APP需要实现本地相册选取照片功能，根据手机系统相关权限处理可以获取到相关信息。</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eastAsia" w:asciiTheme="majorEastAsia" w:hAnsiTheme="majorEastAsia" w:eastAsiaTheme="majorEastAsia" w:cstheme="majorEastAsia"/>
          <w:b/>
          <w:bCs/>
          <w:color w:val="auto"/>
          <w:kern w:val="2"/>
          <w:sz w:val="24"/>
          <w:szCs w:val="24"/>
          <w:highlight w:val="none"/>
          <w:lang w:val="en-US" w:eastAsia="zh-CN" w:bidi="ar-SA"/>
        </w:rPr>
      </w:pPr>
      <w:bookmarkStart w:id="139" w:name="_Toc15069"/>
      <w:bookmarkStart w:id="140" w:name="_Toc95901527"/>
      <w:bookmarkStart w:id="141" w:name="_Toc28219"/>
      <w:r>
        <w:rPr>
          <w:rFonts w:hint="eastAsia" w:asciiTheme="majorEastAsia" w:hAnsiTheme="majorEastAsia" w:eastAsiaTheme="majorEastAsia" w:cstheme="majorEastAsia"/>
          <w:b/>
          <w:bCs/>
          <w:color w:val="auto"/>
          <w:kern w:val="2"/>
          <w:sz w:val="24"/>
          <w:szCs w:val="24"/>
          <w:highlight w:val="none"/>
          <w:lang w:val="en-US" w:eastAsia="zh-CN" w:bidi="ar-SA"/>
        </w:rPr>
        <w:t>4.13.7 视频选取</w:t>
      </w:r>
      <w:bookmarkEnd w:id="139"/>
      <w:bookmarkEnd w:id="140"/>
      <w:bookmarkEnd w:id="141"/>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APP需要实现视频选取功能，APP可以从拍摄视频或相册中选视频选取相关视频权限，返回视频的临时文件路径。</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eastAsia" w:asciiTheme="majorEastAsia" w:hAnsiTheme="majorEastAsia" w:eastAsiaTheme="majorEastAsia" w:cstheme="majorEastAsia"/>
          <w:b/>
          <w:bCs/>
          <w:color w:val="auto"/>
          <w:kern w:val="2"/>
          <w:sz w:val="24"/>
          <w:szCs w:val="24"/>
          <w:highlight w:val="none"/>
          <w:lang w:val="en-US" w:eastAsia="zh-CN" w:bidi="ar-SA"/>
        </w:rPr>
      </w:pPr>
      <w:bookmarkStart w:id="142" w:name="_Toc24526"/>
      <w:bookmarkStart w:id="143" w:name="_Toc508"/>
      <w:bookmarkStart w:id="144" w:name="_Toc95901528"/>
      <w:r>
        <w:rPr>
          <w:rFonts w:hint="eastAsia" w:asciiTheme="majorEastAsia" w:hAnsiTheme="majorEastAsia" w:eastAsiaTheme="majorEastAsia" w:cstheme="majorEastAsia"/>
          <w:b/>
          <w:bCs/>
          <w:color w:val="auto"/>
          <w:kern w:val="2"/>
          <w:sz w:val="24"/>
          <w:szCs w:val="24"/>
          <w:highlight w:val="none"/>
          <w:lang w:val="en-US" w:eastAsia="zh-CN" w:bidi="ar-SA"/>
        </w:rPr>
        <w:t>4.13.8 录音管理</w:t>
      </w:r>
      <w:bookmarkEnd w:id="142"/>
      <w:bookmarkEnd w:id="143"/>
      <w:bookmarkEnd w:id="144"/>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APP需要实现对录音管理功能，通过手机获取系统录音权限进而获取全局唯一的录音管理器。</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eastAsia" w:asciiTheme="majorEastAsia" w:hAnsiTheme="majorEastAsia" w:eastAsiaTheme="majorEastAsia" w:cstheme="majorEastAsia"/>
          <w:b/>
          <w:bCs/>
          <w:color w:val="auto"/>
          <w:kern w:val="2"/>
          <w:sz w:val="24"/>
          <w:szCs w:val="24"/>
          <w:highlight w:val="none"/>
          <w:lang w:val="en-US" w:eastAsia="zh-CN" w:bidi="ar-SA"/>
        </w:rPr>
      </w:pPr>
      <w:bookmarkStart w:id="145" w:name="_Toc29388"/>
      <w:bookmarkStart w:id="146" w:name="_Toc95901529"/>
      <w:bookmarkStart w:id="147" w:name="_Toc7253"/>
      <w:r>
        <w:rPr>
          <w:rFonts w:hint="eastAsia" w:asciiTheme="majorEastAsia" w:hAnsiTheme="majorEastAsia" w:eastAsiaTheme="majorEastAsia" w:cstheme="majorEastAsia"/>
          <w:b/>
          <w:bCs/>
          <w:color w:val="auto"/>
          <w:kern w:val="2"/>
          <w:sz w:val="24"/>
          <w:szCs w:val="24"/>
          <w:highlight w:val="none"/>
          <w:lang w:val="en-US" w:eastAsia="zh-CN" w:bidi="ar-SA"/>
        </w:rPr>
        <w:t>4.13.9 富文本解析</w:t>
      </w:r>
      <w:bookmarkEnd w:id="145"/>
      <w:bookmarkEnd w:id="146"/>
      <w:bookmarkEnd w:id="147"/>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APP需要实现富文本解析功能。</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eastAsia" w:asciiTheme="majorEastAsia" w:hAnsiTheme="majorEastAsia" w:eastAsiaTheme="majorEastAsia" w:cstheme="majorEastAsia"/>
          <w:b/>
          <w:bCs/>
          <w:color w:val="auto"/>
          <w:kern w:val="2"/>
          <w:sz w:val="24"/>
          <w:szCs w:val="24"/>
          <w:highlight w:val="none"/>
          <w:lang w:val="en-US" w:eastAsia="zh-CN" w:bidi="ar-SA"/>
        </w:rPr>
      </w:pPr>
      <w:bookmarkStart w:id="148" w:name="_Toc95901530"/>
      <w:bookmarkStart w:id="149" w:name="_Toc12866"/>
      <w:bookmarkStart w:id="150" w:name="_Toc27760"/>
      <w:r>
        <w:rPr>
          <w:rFonts w:hint="eastAsia" w:asciiTheme="majorEastAsia" w:hAnsiTheme="majorEastAsia" w:eastAsiaTheme="majorEastAsia" w:cstheme="majorEastAsia"/>
          <w:b/>
          <w:bCs/>
          <w:color w:val="auto"/>
          <w:kern w:val="2"/>
          <w:sz w:val="24"/>
          <w:szCs w:val="24"/>
          <w:highlight w:val="none"/>
          <w:lang w:val="en-US" w:eastAsia="zh-CN" w:bidi="ar-SA"/>
        </w:rPr>
        <w:t>4.13.10 数据存储</w:t>
      </w:r>
      <w:bookmarkEnd w:id="148"/>
      <w:bookmarkEnd w:id="149"/>
      <w:bookmarkEnd w:id="150"/>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APP将数据存储在本地缓存。</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eastAsia" w:asciiTheme="majorEastAsia" w:hAnsiTheme="majorEastAsia" w:eastAsiaTheme="majorEastAsia" w:cstheme="majorEastAsia"/>
          <w:b/>
          <w:bCs/>
          <w:color w:val="auto"/>
          <w:kern w:val="2"/>
          <w:sz w:val="24"/>
          <w:szCs w:val="24"/>
          <w:highlight w:val="none"/>
          <w:lang w:val="en-US" w:eastAsia="zh-CN" w:bidi="ar-SA"/>
        </w:rPr>
      </w:pPr>
      <w:bookmarkStart w:id="151" w:name="_Toc20704"/>
      <w:bookmarkStart w:id="152" w:name="_Toc95901531"/>
      <w:bookmarkStart w:id="153" w:name="_Toc32444"/>
      <w:r>
        <w:rPr>
          <w:rFonts w:hint="eastAsia" w:asciiTheme="majorEastAsia" w:hAnsiTheme="majorEastAsia" w:eastAsiaTheme="majorEastAsia" w:cstheme="majorEastAsia"/>
          <w:b/>
          <w:bCs/>
          <w:color w:val="auto"/>
          <w:kern w:val="2"/>
          <w:sz w:val="24"/>
          <w:szCs w:val="24"/>
          <w:highlight w:val="none"/>
          <w:lang w:val="en-US" w:eastAsia="zh-CN" w:bidi="ar-SA"/>
        </w:rPr>
        <w:t>4.13.11 位置获取</w:t>
      </w:r>
      <w:bookmarkEnd w:id="151"/>
      <w:bookmarkEnd w:id="152"/>
      <w:bookmarkEnd w:id="153"/>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APP可获取当前的地理位置、速度，以及持续获取高精度位置等处理。</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eastAsia" w:asciiTheme="majorEastAsia" w:hAnsiTheme="majorEastAsia" w:eastAsiaTheme="majorEastAsia" w:cstheme="majorEastAsia"/>
          <w:b/>
          <w:bCs/>
          <w:color w:val="auto"/>
          <w:kern w:val="2"/>
          <w:sz w:val="24"/>
          <w:szCs w:val="24"/>
          <w:highlight w:val="none"/>
          <w:lang w:val="en-US" w:eastAsia="zh-CN" w:bidi="ar-SA"/>
        </w:rPr>
      </w:pPr>
      <w:bookmarkStart w:id="154" w:name="_Toc95901532"/>
      <w:bookmarkStart w:id="155" w:name="_Toc17649"/>
      <w:bookmarkStart w:id="156" w:name="_Toc26099"/>
      <w:r>
        <w:rPr>
          <w:rFonts w:hint="eastAsia" w:asciiTheme="majorEastAsia" w:hAnsiTheme="majorEastAsia" w:eastAsiaTheme="majorEastAsia" w:cstheme="majorEastAsia"/>
          <w:b/>
          <w:bCs/>
          <w:color w:val="auto"/>
          <w:kern w:val="2"/>
          <w:sz w:val="24"/>
          <w:szCs w:val="24"/>
          <w:highlight w:val="none"/>
          <w:lang w:val="en-US" w:eastAsia="zh-CN" w:bidi="ar-SA"/>
        </w:rPr>
        <w:t>4.13.12 websocket连接</w:t>
      </w:r>
      <w:bookmarkEnd w:id="154"/>
      <w:bookmarkEnd w:id="155"/>
      <w:bookmarkEnd w:id="156"/>
    </w:p>
    <w:p>
      <w:pPr>
        <w:pStyle w:val="87"/>
        <w:spacing w:line="440" w:lineRule="exact"/>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APP可实现websocket连接功能，实现app能稳定连接到服务端，确保网络通畅。</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eastAsia" w:asciiTheme="majorEastAsia" w:hAnsiTheme="majorEastAsia" w:eastAsiaTheme="majorEastAsia" w:cstheme="majorEastAsia"/>
          <w:b/>
          <w:bCs/>
          <w:color w:val="auto"/>
          <w:kern w:val="2"/>
          <w:sz w:val="24"/>
          <w:szCs w:val="24"/>
          <w:highlight w:val="none"/>
          <w:lang w:val="en-US" w:eastAsia="zh-CN" w:bidi="ar-SA"/>
        </w:rPr>
      </w:pPr>
      <w:bookmarkStart w:id="157" w:name="_Toc95901533"/>
      <w:bookmarkStart w:id="158" w:name="_Toc11315"/>
      <w:bookmarkStart w:id="159" w:name="_Toc31782"/>
      <w:r>
        <w:rPr>
          <w:rFonts w:hint="eastAsia" w:asciiTheme="majorEastAsia" w:hAnsiTheme="majorEastAsia" w:eastAsiaTheme="majorEastAsia" w:cstheme="majorEastAsia"/>
          <w:b/>
          <w:bCs/>
          <w:color w:val="auto"/>
          <w:kern w:val="2"/>
          <w:sz w:val="24"/>
          <w:szCs w:val="24"/>
          <w:highlight w:val="none"/>
          <w:lang w:val="en-US" w:eastAsia="zh-CN" w:bidi="ar-SA"/>
        </w:rPr>
        <w:t>4.13.13推送</w:t>
      </w:r>
      <w:bookmarkEnd w:id="157"/>
      <w:bookmarkEnd w:id="158"/>
      <w:bookmarkEnd w:id="159"/>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APP实现客户端和服务器的统一服务，整合苹果APNs、华为、小米、OPPO、VIVO、魅族、谷歌FCM等多家厂商的系统推送和个推的独立推送，不管客户端还是服务器，一套代码多端推送。</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eastAsia" w:asciiTheme="majorEastAsia" w:hAnsiTheme="majorEastAsia" w:eastAsiaTheme="majorEastAsia" w:cstheme="majorEastAsia"/>
          <w:b/>
          <w:bCs/>
          <w:color w:val="auto"/>
          <w:kern w:val="2"/>
          <w:sz w:val="24"/>
          <w:szCs w:val="24"/>
          <w:highlight w:val="none"/>
          <w:lang w:val="en-US" w:eastAsia="zh-CN" w:bidi="ar-SA"/>
        </w:rPr>
      </w:pPr>
      <w:bookmarkStart w:id="160" w:name="_Toc95901534"/>
      <w:bookmarkStart w:id="161" w:name="_Toc30013"/>
      <w:bookmarkStart w:id="162" w:name="_Toc188"/>
      <w:r>
        <w:rPr>
          <w:rFonts w:hint="eastAsia" w:asciiTheme="majorEastAsia" w:hAnsiTheme="majorEastAsia" w:eastAsiaTheme="majorEastAsia" w:cstheme="majorEastAsia"/>
          <w:b/>
          <w:bCs/>
          <w:color w:val="auto"/>
          <w:kern w:val="2"/>
          <w:sz w:val="24"/>
          <w:szCs w:val="24"/>
          <w:highlight w:val="none"/>
          <w:lang w:val="en-US" w:eastAsia="zh-CN" w:bidi="ar-SA"/>
        </w:rPr>
        <w:t>4.13.14设备标识ID</w:t>
      </w:r>
      <w:bookmarkEnd w:id="160"/>
      <w:bookmarkEnd w:id="161"/>
      <w:bookmarkEnd w:id="162"/>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APP生成一个UUID作为 App 级别的设备标识 ID。通过设备标识组件，可以简单快捷地获取设备ID。</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eastAsia" w:asciiTheme="majorEastAsia" w:hAnsiTheme="majorEastAsia" w:eastAsiaTheme="majorEastAsia" w:cstheme="majorEastAsia"/>
          <w:b/>
          <w:bCs/>
          <w:color w:val="auto"/>
          <w:kern w:val="2"/>
          <w:sz w:val="24"/>
          <w:szCs w:val="24"/>
          <w:highlight w:val="none"/>
          <w:lang w:val="en-US" w:eastAsia="zh-CN" w:bidi="ar-SA"/>
        </w:rPr>
      </w:pPr>
      <w:bookmarkStart w:id="163" w:name="_Toc22626"/>
      <w:bookmarkStart w:id="164" w:name="_Toc1821"/>
      <w:bookmarkStart w:id="165" w:name="_Toc95901535"/>
      <w:r>
        <w:rPr>
          <w:rFonts w:hint="eastAsia" w:asciiTheme="majorEastAsia" w:hAnsiTheme="majorEastAsia" w:eastAsiaTheme="majorEastAsia" w:cstheme="majorEastAsia"/>
          <w:b/>
          <w:bCs/>
          <w:color w:val="auto"/>
          <w:kern w:val="2"/>
          <w:sz w:val="24"/>
          <w:szCs w:val="24"/>
          <w:highlight w:val="none"/>
          <w:lang w:val="en-US" w:eastAsia="zh-CN" w:bidi="ar-SA"/>
        </w:rPr>
        <w:t>4.13.15 H5离线包</w:t>
      </w:r>
      <w:bookmarkEnd w:id="163"/>
      <w:bookmarkEnd w:id="164"/>
      <w:bookmarkEnd w:id="165"/>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APP需实现H5离线包部署安装，其分为四个部分：发布离线包、预置离线包、启动离线包和更新离线包。</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eastAsia" w:asciiTheme="majorEastAsia" w:hAnsiTheme="majorEastAsia" w:eastAsiaTheme="majorEastAsia" w:cstheme="majorEastAsia"/>
          <w:b/>
          <w:bCs/>
          <w:color w:val="auto"/>
          <w:kern w:val="2"/>
          <w:sz w:val="24"/>
          <w:szCs w:val="24"/>
          <w:highlight w:val="none"/>
          <w:lang w:val="en-US" w:eastAsia="zh-CN" w:bidi="ar-SA"/>
        </w:rPr>
      </w:pPr>
      <w:bookmarkStart w:id="166" w:name="_Toc95901536"/>
      <w:bookmarkStart w:id="167" w:name="_Toc1048"/>
      <w:bookmarkStart w:id="168" w:name="_Toc14974"/>
      <w:r>
        <w:rPr>
          <w:rFonts w:hint="eastAsia" w:asciiTheme="majorEastAsia" w:hAnsiTheme="majorEastAsia" w:eastAsiaTheme="majorEastAsia" w:cstheme="majorEastAsia"/>
          <w:b/>
          <w:bCs/>
          <w:color w:val="auto"/>
          <w:kern w:val="2"/>
          <w:sz w:val="24"/>
          <w:szCs w:val="24"/>
          <w:highlight w:val="none"/>
          <w:lang w:val="en-US" w:eastAsia="zh-CN" w:bidi="ar-SA"/>
        </w:rPr>
        <w:t>4.13.16 更新升级</w:t>
      </w:r>
      <w:bookmarkEnd w:id="166"/>
      <w:bookmarkEnd w:id="167"/>
      <w:bookmarkEnd w:id="168"/>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APP需要实现app版本升级原生弹框和进度提示，统一管理 App 及 App 在Android、iOS平台上App安装包和app离线资源包的发布升级。</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eastAsia" w:asciiTheme="majorEastAsia" w:hAnsiTheme="majorEastAsia" w:eastAsiaTheme="majorEastAsia" w:cstheme="majorEastAsia"/>
          <w:b/>
          <w:bCs/>
          <w:color w:val="auto"/>
          <w:kern w:val="2"/>
          <w:sz w:val="24"/>
          <w:szCs w:val="24"/>
          <w:highlight w:val="none"/>
          <w:lang w:val="en-US" w:eastAsia="zh-CN" w:bidi="ar-SA"/>
        </w:rPr>
      </w:pPr>
      <w:bookmarkStart w:id="169" w:name="_Toc4532"/>
      <w:bookmarkStart w:id="170" w:name="_Toc1022"/>
      <w:bookmarkStart w:id="171" w:name="_Toc95901537"/>
      <w:r>
        <w:rPr>
          <w:rFonts w:hint="eastAsia" w:asciiTheme="majorEastAsia" w:hAnsiTheme="majorEastAsia" w:eastAsiaTheme="majorEastAsia" w:cstheme="majorEastAsia"/>
          <w:b/>
          <w:bCs/>
          <w:color w:val="auto"/>
          <w:kern w:val="2"/>
          <w:sz w:val="24"/>
          <w:szCs w:val="24"/>
          <w:highlight w:val="none"/>
          <w:lang w:val="en-US" w:eastAsia="zh-CN" w:bidi="ar-SA"/>
        </w:rPr>
        <w:t>4.13.17 交互反馈</w:t>
      </w:r>
      <w:bookmarkEnd w:id="169"/>
      <w:bookmarkEnd w:id="170"/>
      <w:bookmarkEnd w:id="171"/>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APP需要实现显示消息提示框。</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eastAsia" w:asciiTheme="majorEastAsia" w:hAnsiTheme="majorEastAsia" w:eastAsiaTheme="majorEastAsia" w:cstheme="majorEastAsia"/>
          <w:b/>
          <w:bCs/>
          <w:color w:val="auto"/>
          <w:kern w:val="2"/>
          <w:sz w:val="24"/>
          <w:szCs w:val="24"/>
          <w:highlight w:val="none"/>
          <w:lang w:val="en-US" w:eastAsia="zh-CN" w:bidi="ar-SA"/>
        </w:rPr>
      </w:pPr>
      <w:bookmarkStart w:id="172" w:name="_Toc95901538"/>
      <w:bookmarkStart w:id="173" w:name="_Toc17943"/>
      <w:bookmarkStart w:id="174" w:name="_Toc5892"/>
      <w:r>
        <w:rPr>
          <w:rFonts w:hint="eastAsia" w:asciiTheme="majorEastAsia" w:hAnsiTheme="majorEastAsia" w:eastAsiaTheme="majorEastAsia" w:cstheme="majorEastAsia"/>
          <w:b/>
          <w:bCs/>
          <w:color w:val="auto"/>
          <w:kern w:val="2"/>
          <w:sz w:val="24"/>
          <w:szCs w:val="24"/>
          <w:highlight w:val="none"/>
          <w:lang w:val="en-US" w:eastAsia="zh-CN" w:bidi="ar-SA"/>
        </w:rPr>
        <w:t>4.13.18 设置导航条</w:t>
      </w:r>
      <w:bookmarkEnd w:id="172"/>
      <w:bookmarkEnd w:id="173"/>
      <w:bookmarkEnd w:id="174"/>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APP需要实现动态设置当前页面的标题。</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eastAsia" w:asciiTheme="majorEastAsia" w:hAnsiTheme="majorEastAsia" w:eastAsiaTheme="majorEastAsia" w:cstheme="majorEastAsia"/>
          <w:b/>
          <w:bCs/>
          <w:color w:val="auto"/>
          <w:kern w:val="2"/>
          <w:sz w:val="24"/>
          <w:szCs w:val="24"/>
          <w:highlight w:val="none"/>
          <w:lang w:val="en-US" w:eastAsia="zh-CN" w:bidi="ar-SA"/>
        </w:rPr>
      </w:pPr>
      <w:bookmarkStart w:id="175" w:name="_Toc8950"/>
      <w:bookmarkStart w:id="176" w:name="_Toc20"/>
      <w:bookmarkStart w:id="177" w:name="_Toc95901539"/>
      <w:r>
        <w:rPr>
          <w:rFonts w:hint="eastAsia" w:asciiTheme="majorEastAsia" w:hAnsiTheme="majorEastAsia" w:eastAsiaTheme="majorEastAsia" w:cstheme="majorEastAsia"/>
          <w:b/>
          <w:bCs/>
          <w:color w:val="auto"/>
          <w:kern w:val="2"/>
          <w:sz w:val="24"/>
          <w:szCs w:val="24"/>
          <w:highlight w:val="none"/>
          <w:lang w:val="en-US" w:eastAsia="zh-CN" w:bidi="ar-SA"/>
        </w:rPr>
        <w:t>4.13.19 动态设置导航条背景</w:t>
      </w:r>
      <w:bookmarkEnd w:id="175"/>
      <w:bookmarkEnd w:id="176"/>
      <w:bookmarkEnd w:id="177"/>
    </w:p>
    <w:p>
      <w:pPr>
        <w:pStyle w:val="87"/>
        <w:spacing w:line="440" w:lineRule="exact"/>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APP需实现可动态设置导航条背景</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eastAsia" w:asciiTheme="majorEastAsia" w:hAnsiTheme="majorEastAsia" w:eastAsiaTheme="majorEastAsia" w:cstheme="majorEastAsia"/>
          <w:b/>
          <w:bCs/>
          <w:color w:val="auto"/>
          <w:kern w:val="2"/>
          <w:sz w:val="24"/>
          <w:szCs w:val="24"/>
          <w:highlight w:val="none"/>
          <w:lang w:val="en-US" w:eastAsia="zh-CN" w:bidi="ar-SA"/>
        </w:rPr>
      </w:pPr>
      <w:bookmarkStart w:id="178" w:name="_Toc10552"/>
      <w:bookmarkStart w:id="179" w:name="_Toc95901540"/>
      <w:bookmarkStart w:id="180" w:name="_Toc19564"/>
      <w:r>
        <w:rPr>
          <w:rFonts w:hint="eastAsia" w:asciiTheme="majorEastAsia" w:hAnsiTheme="majorEastAsia" w:eastAsiaTheme="majorEastAsia" w:cstheme="majorEastAsia"/>
          <w:b/>
          <w:bCs/>
          <w:color w:val="auto"/>
          <w:kern w:val="2"/>
          <w:sz w:val="24"/>
          <w:szCs w:val="24"/>
          <w:highlight w:val="none"/>
          <w:lang w:val="en-US" w:eastAsia="zh-CN" w:bidi="ar-SA"/>
        </w:rPr>
        <w:t>4.13.20 拨打电话</w:t>
      </w:r>
      <w:bookmarkEnd w:id="178"/>
      <w:bookmarkEnd w:id="179"/>
      <w:bookmarkEnd w:id="180"/>
    </w:p>
    <w:p>
      <w:pPr>
        <w:pStyle w:val="87"/>
        <w:spacing w:line="440" w:lineRule="exact"/>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APP需实现电话拨打功能。</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eastAsia" w:asciiTheme="majorEastAsia" w:hAnsiTheme="majorEastAsia" w:eastAsiaTheme="majorEastAsia" w:cstheme="majorEastAsia"/>
          <w:b/>
          <w:bCs/>
          <w:color w:val="auto"/>
          <w:kern w:val="2"/>
          <w:sz w:val="24"/>
          <w:szCs w:val="24"/>
          <w:highlight w:val="none"/>
          <w:lang w:val="en-US" w:eastAsia="zh-CN" w:bidi="ar-SA"/>
        </w:rPr>
      </w:pPr>
      <w:bookmarkStart w:id="181" w:name="_Toc24327"/>
      <w:bookmarkStart w:id="182" w:name="_Toc18171"/>
      <w:bookmarkStart w:id="183" w:name="_Toc95901541"/>
      <w:r>
        <w:rPr>
          <w:rFonts w:hint="eastAsia" w:asciiTheme="majorEastAsia" w:hAnsiTheme="majorEastAsia" w:eastAsiaTheme="majorEastAsia" w:cstheme="majorEastAsia"/>
          <w:b/>
          <w:bCs/>
          <w:color w:val="auto"/>
          <w:kern w:val="2"/>
          <w:sz w:val="24"/>
          <w:szCs w:val="24"/>
          <w:highlight w:val="none"/>
          <w:lang w:val="en-US" w:eastAsia="zh-CN" w:bidi="ar-SA"/>
        </w:rPr>
        <w:t>4.13.21 扫码</w:t>
      </w:r>
      <w:bookmarkEnd w:id="181"/>
      <w:bookmarkEnd w:id="182"/>
      <w:bookmarkEnd w:id="183"/>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APP实现调起客户端扫码界面，扫码成功后返回对应的结果。</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eastAsia" w:asciiTheme="majorEastAsia" w:hAnsiTheme="majorEastAsia" w:eastAsiaTheme="majorEastAsia" w:cstheme="majorEastAsia"/>
          <w:b/>
          <w:bCs/>
          <w:color w:val="auto"/>
          <w:kern w:val="2"/>
          <w:sz w:val="24"/>
          <w:szCs w:val="24"/>
          <w:highlight w:val="none"/>
          <w:lang w:val="en-US" w:eastAsia="zh-CN" w:bidi="ar-SA"/>
        </w:rPr>
      </w:pPr>
      <w:bookmarkStart w:id="184" w:name="_Toc95901542"/>
      <w:bookmarkStart w:id="185" w:name="_Toc5620"/>
      <w:bookmarkStart w:id="186" w:name="_Toc17991"/>
      <w:r>
        <w:rPr>
          <w:rFonts w:hint="eastAsia" w:asciiTheme="majorEastAsia" w:hAnsiTheme="majorEastAsia" w:eastAsiaTheme="majorEastAsia" w:cstheme="majorEastAsia"/>
          <w:b/>
          <w:bCs/>
          <w:color w:val="auto"/>
          <w:kern w:val="2"/>
          <w:sz w:val="24"/>
          <w:szCs w:val="24"/>
          <w:highlight w:val="none"/>
          <w:lang w:val="en-US" w:eastAsia="zh-CN" w:bidi="ar-SA"/>
        </w:rPr>
        <w:t>4.13.22 人脸识别</w:t>
      </w:r>
      <w:bookmarkEnd w:id="184"/>
      <w:bookmarkEnd w:id="185"/>
      <w:bookmarkEnd w:id="186"/>
    </w:p>
    <w:p>
      <w:pPr>
        <w:spacing w:line="44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APP需实现人脸识别、人脸核身，提供各类认证功能模块，包含证件 OCR 识别、活体检测、人脸1:1对比等。</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eastAsia" w:asciiTheme="majorEastAsia" w:hAnsiTheme="majorEastAsia" w:eastAsiaTheme="majorEastAsia" w:cstheme="majorEastAsia"/>
          <w:b/>
          <w:bCs/>
          <w:color w:val="auto"/>
          <w:kern w:val="2"/>
          <w:sz w:val="24"/>
          <w:szCs w:val="24"/>
          <w:highlight w:val="none"/>
          <w:lang w:val="en-US" w:eastAsia="zh-CN" w:bidi="ar-SA"/>
        </w:rPr>
      </w:pPr>
      <w:bookmarkStart w:id="187" w:name="_Toc5320"/>
      <w:bookmarkStart w:id="188" w:name="_Toc3885"/>
      <w:bookmarkStart w:id="189" w:name="_Toc95901543"/>
      <w:r>
        <w:rPr>
          <w:rFonts w:hint="eastAsia" w:asciiTheme="majorEastAsia" w:hAnsiTheme="majorEastAsia" w:eastAsiaTheme="majorEastAsia" w:cstheme="majorEastAsia"/>
          <w:b/>
          <w:bCs/>
          <w:color w:val="auto"/>
          <w:kern w:val="2"/>
          <w:sz w:val="24"/>
          <w:szCs w:val="24"/>
          <w:highlight w:val="none"/>
          <w:lang w:val="en-US" w:eastAsia="zh-CN" w:bidi="ar-SA"/>
        </w:rPr>
        <w:t>4.13.23 APP埋点</w:t>
      </w:r>
      <w:bookmarkEnd w:id="187"/>
      <w:bookmarkEnd w:id="188"/>
      <w:bookmarkEnd w:id="189"/>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APP需实现app数据统计的sdk，包括日志数据，业务数据，环境数据，公共数据，数据上报机制，埋点事件如PV事件，播放事件等。</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eastAsia" w:asciiTheme="majorEastAsia" w:hAnsiTheme="majorEastAsia" w:eastAsiaTheme="majorEastAsia" w:cstheme="majorEastAsia"/>
          <w:b/>
          <w:bCs/>
          <w:color w:val="auto"/>
          <w:kern w:val="2"/>
          <w:sz w:val="24"/>
          <w:szCs w:val="24"/>
          <w:highlight w:val="none"/>
          <w:lang w:val="en-US" w:eastAsia="zh-CN" w:bidi="ar-SA"/>
        </w:rPr>
      </w:pPr>
      <w:bookmarkStart w:id="190" w:name="_Toc11900"/>
      <w:bookmarkStart w:id="191" w:name="_Toc7683"/>
      <w:bookmarkStart w:id="192" w:name="_Toc95901544"/>
      <w:r>
        <w:rPr>
          <w:rFonts w:hint="eastAsia" w:asciiTheme="majorEastAsia" w:hAnsiTheme="majorEastAsia" w:eastAsiaTheme="majorEastAsia" w:cstheme="majorEastAsia"/>
          <w:b/>
          <w:bCs/>
          <w:color w:val="auto"/>
          <w:kern w:val="2"/>
          <w:sz w:val="24"/>
          <w:szCs w:val="24"/>
          <w:highlight w:val="none"/>
          <w:lang w:val="en-US" w:eastAsia="zh-CN" w:bidi="ar-SA"/>
        </w:rPr>
        <w:t>4.13.24 闪退报告</w:t>
      </w:r>
      <w:bookmarkEnd w:id="190"/>
      <w:bookmarkEnd w:id="191"/>
      <w:bookmarkEnd w:id="192"/>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APP需实现生成闪退报告，闪退一般是指 App 非正常退出。当发生闪退时，客户端会实时上传闪退信息。为应用提供了闪退统计功能，支持统计闪退个数、闪退率、闪退趋势，支持按照问题原因聚合闪退报告，并统计某一类闪退的个数、设备数、主要机型等信息。</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eastAsia" w:asciiTheme="majorEastAsia" w:hAnsiTheme="majorEastAsia" w:eastAsiaTheme="majorEastAsia" w:cstheme="majorEastAsia"/>
          <w:b/>
          <w:bCs/>
          <w:color w:val="auto"/>
          <w:kern w:val="2"/>
          <w:sz w:val="24"/>
          <w:szCs w:val="24"/>
          <w:highlight w:val="none"/>
          <w:lang w:val="en-US" w:eastAsia="zh-CN" w:bidi="ar-SA"/>
        </w:rPr>
      </w:pPr>
      <w:bookmarkStart w:id="193" w:name="_Toc16569"/>
      <w:bookmarkStart w:id="194" w:name="_Toc22107"/>
      <w:bookmarkStart w:id="195" w:name="_Toc95901545"/>
      <w:r>
        <w:rPr>
          <w:rFonts w:hint="eastAsia" w:asciiTheme="majorEastAsia" w:hAnsiTheme="majorEastAsia" w:eastAsiaTheme="majorEastAsia" w:cstheme="majorEastAsia"/>
          <w:b/>
          <w:bCs/>
          <w:color w:val="auto"/>
          <w:kern w:val="2"/>
          <w:sz w:val="24"/>
          <w:szCs w:val="24"/>
          <w:highlight w:val="none"/>
          <w:lang w:val="en-US" w:eastAsia="zh-CN" w:bidi="ar-SA"/>
        </w:rPr>
        <w:t>4.13.25 移动性能监控</w:t>
      </w:r>
      <w:bookmarkEnd w:id="193"/>
      <w:bookmarkEnd w:id="194"/>
      <w:bookmarkEnd w:id="195"/>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PP需支持实时检测、分析并可视化展示应用各项性能指标统计数据。通过对移动客户端、H5等多端埋点及网络探针数据的采集与分析，实现对应用的性能进行全方位的监控和管理。分析覆盖网络、应用启动、页面性能、H5 性能、崩溃分析。</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eastAsia" w:asciiTheme="majorEastAsia" w:hAnsiTheme="majorEastAsia" w:eastAsiaTheme="majorEastAsia" w:cstheme="majorEastAsia"/>
          <w:b/>
          <w:bCs/>
          <w:color w:val="auto"/>
          <w:kern w:val="2"/>
          <w:sz w:val="24"/>
          <w:szCs w:val="24"/>
          <w:highlight w:val="none"/>
          <w:lang w:val="en-US" w:eastAsia="zh-CN" w:bidi="ar-SA"/>
        </w:rPr>
      </w:pPr>
      <w:bookmarkStart w:id="196" w:name="_Toc16809"/>
      <w:bookmarkStart w:id="197" w:name="_Toc24308"/>
      <w:bookmarkStart w:id="198" w:name="_Toc95901546"/>
      <w:r>
        <w:rPr>
          <w:rFonts w:hint="eastAsia" w:asciiTheme="majorEastAsia" w:hAnsiTheme="majorEastAsia" w:eastAsiaTheme="majorEastAsia" w:cstheme="majorEastAsia"/>
          <w:b/>
          <w:bCs/>
          <w:color w:val="auto"/>
          <w:kern w:val="2"/>
          <w:sz w:val="24"/>
          <w:szCs w:val="24"/>
          <w:highlight w:val="none"/>
          <w:lang w:val="en-US" w:eastAsia="zh-CN" w:bidi="ar-SA"/>
        </w:rPr>
        <w:t>4.13.26 IM即时通讯</w:t>
      </w:r>
      <w:bookmarkEnd w:id="196"/>
      <w:bookmarkEnd w:id="197"/>
      <w:bookmarkEnd w:id="198"/>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APP集成app私聊群聊，聊天室，消息推送，语音通话等通讯能力sdk。</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eastAsia" w:asciiTheme="majorEastAsia" w:hAnsiTheme="majorEastAsia" w:eastAsiaTheme="majorEastAsia" w:cstheme="majorEastAsia"/>
          <w:b/>
          <w:bCs/>
          <w:color w:val="auto"/>
          <w:kern w:val="2"/>
          <w:sz w:val="24"/>
          <w:szCs w:val="24"/>
          <w:highlight w:val="none"/>
          <w:lang w:val="en-US" w:eastAsia="zh-CN" w:bidi="ar-SA"/>
        </w:rPr>
      </w:pPr>
      <w:bookmarkStart w:id="199" w:name="_Toc20851"/>
      <w:bookmarkStart w:id="200" w:name="_Toc21793"/>
      <w:bookmarkStart w:id="201" w:name="_Toc95901547"/>
      <w:bookmarkStart w:id="202" w:name="_Toc26502"/>
      <w:r>
        <w:rPr>
          <w:rFonts w:hint="eastAsia" w:asciiTheme="majorEastAsia" w:hAnsiTheme="majorEastAsia" w:eastAsiaTheme="majorEastAsia" w:cstheme="majorEastAsia"/>
          <w:b/>
          <w:bCs/>
          <w:color w:val="auto"/>
          <w:kern w:val="2"/>
          <w:sz w:val="24"/>
          <w:szCs w:val="24"/>
          <w:highlight w:val="none"/>
          <w:lang w:val="en-US" w:eastAsia="zh-CN" w:bidi="ar-SA"/>
        </w:rPr>
        <w:t>4.13.27 文件预览功能</w:t>
      </w:r>
      <w:bookmarkEnd w:id="199"/>
      <w:bookmarkEnd w:id="200"/>
      <w:bookmarkEnd w:id="201"/>
      <w:bookmarkEnd w:id="202"/>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APP集成pdf、word、ppt、excel等格式文档预览功能sdk。</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eastAsia" w:asciiTheme="majorEastAsia" w:hAnsiTheme="majorEastAsia" w:eastAsiaTheme="majorEastAsia" w:cstheme="majorEastAsia"/>
          <w:b/>
          <w:bCs/>
          <w:color w:val="auto"/>
          <w:kern w:val="2"/>
          <w:sz w:val="24"/>
          <w:szCs w:val="24"/>
          <w:highlight w:val="none"/>
          <w:lang w:val="en-US" w:eastAsia="zh-CN" w:bidi="ar-SA"/>
        </w:rPr>
      </w:pPr>
      <w:bookmarkStart w:id="203" w:name="_Toc20715"/>
      <w:bookmarkStart w:id="204" w:name="_Toc95901548"/>
      <w:bookmarkStart w:id="205" w:name="_Toc16616"/>
      <w:r>
        <w:rPr>
          <w:rFonts w:hint="eastAsia" w:asciiTheme="majorEastAsia" w:hAnsiTheme="majorEastAsia" w:eastAsiaTheme="majorEastAsia" w:cstheme="majorEastAsia"/>
          <w:b/>
          <w:bCs/>
          <w:color w:val="auto"/>
          <w:kern w:val="2"/>
          <w:sz w:val="24"/>
          <w:szCs w:val="24"/>
          <w:highlight w:val="none"/>
          <w:lang w:val="en-US" w:eastAsia="zh-CN" w:bidi="ar-SA"/>
        </w:rPr>
        <w:t>4.13.28 生成桌面快捷方式</w:t>
      </w:r>
      <w:bookmarkEnd w:id="203"/>
      <w:bookmarkEnd w:id="204"/>
      <w:bookmarkEnd w:id="205"/>
    </w:p>
    <w:p>
      <w:pPr>
        <w:spacing w:line="440" w:lineRule="exact"/>
        <w:ind w:firstLine="420" w:firstLineChars="200"/>
        <w:rPr>
          <w:rFonts w:hint="eastAsia" w:hAnsi="宋体" w:cs="宋体"/>
          <w:color w:val="auto"/>
          <w:sz w:val="21"/>
          <w:szCs w:val="21"/>
          <w:highlight w:val="none"/>
        </w:rPr>
      </w:pPr>
      <w:r>
        <w:rPr>
          <w:rFonts w:hint="eastAsia" w:ascii="宋体" w:hAnsi="宋体" w:cs="宋体"/>
          <w:color w:val="auto"/>
          <w:szCs w:val="21"/>
          <w:highlight w:val="none"/>
        </w:rPr>
        <w:t>APP可从桌面点击直接进入app模块页，实现应用快捷使用。</w:t>
      </w:r>
    </w:p>
    <w:p>
      <w:pPr>
        <w:pStyle w:val="7"/>
        <w:numPr>
          <w:ilvl w:val="1"/>
          <w:numId w:val="0"/>
        </w:numPr>
        <w:spacing w:line="440" w:lineRule="exact"/>
        <w:ind w:firstLine="562" w:firstLineChars="200"/>
        <w:rPr>
          <w:rFonts w:hint="eastAsia" w:cs="宋体"/>
          <w:b/>
          <w:bCs/>
          <w:color w:val="auto"/>
          <w:kern w:val="2"/>
          <w:sz w:val="28"/>
          <w:szCs w:val="28"/>
          <w:highlight w:val="none"/>
          <w:lang w:val="en-US" w:eastAsia="zh-CN" w:bidi="ar-SA"/>
        </w:rPr>
      </w:pPr>
      <w:r>
        <w:rPr>
          <w:rFonts w:hint="eastAsia" w:cs="宋体"/>
          <w:b/>
          <w:bCs/>
          <w:color w:val="auto"/>
          <w:kern w:val="2"/>
          <w:sz w:val="28"/>
          <w:szCs w:val="28"/>
          <w:highlight w:val="none"/>
          <w:lang w:val="en-US" w:eastAsia="zh-CN" w:bidi="ar-SA"/>
        </w:rPr>
        <w:t>4.14系统硬件驱动</w:t>
      </w:r>
      <w:bookmarkEnd w:id="120"/>
      <w:bookmarkEnd w:id="121"/>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APP底座项目实施内容包含对安卓系统和iOS系统的移动设备的硬件类做二次封装出来，从而达到app能够更好的适配手机硬件，包含的内容有：</w:t>
      </w:r>
    </w:p>
    <w:p>
      <w:pPr>
        <w:pStyle w:val="73"/>
        <w:numPr>
          <w:ilvl w:val="0"/>
          <w:numId w:val="12"/>
        </w:numPr>
        <w:spacing w:line="440" w:lineRule="exact"/>
        <w:ind w:left="0" w:firstLine="420"/>
        <w:rPr>
          <w:rFonts w:ascii="宋体" w:hAnsi="宋体" w:eastAsia="宋体" w:cs="宋体"/>
          <w:color w:val="auto"/>
          <w:sz w:val="21"/>
          <w:highlight w:val="none"/>
        </w:rPr>
      </w:pPr>
      <w:r>
        <w:rPr>
          <w:rFonts w:hint="eastAsia" w:ascii="宋体" w:hAnsi="宋体" w:eastAsia="宋体" w:cs="宋体"/>
          <w:color w:val="auto"/>
          <w:sz w:val="21"/>
          <w:highlight w:val="none"/>
        </w:rPr>
        <w:t>显示驱动：构建U点通APP底层显示驱动能力，包含安卓和iOS系统的原生硬件显示驱动。</w:t>
      </w:r>
    </w:p>
    <w:p>
      <w:pPr>
        <w:pStyle w:val="73"/>
        <w:numPr>
          <w:ilvl w:val="0"/>
          <w:numId w:val="12"/>
        </w:numPr>
        <w:spacing w:line="440" w:lineRule="exact"/>
        <w:ind w:left="0" w:firstLine="420"/>
        <w:rPr>
          <w:rFonts w:ascii="宋体" w:hAnsi="宋体" w:eastAsia="宋体" w:cs="宋体"/>
          <w:color w:val="auto"/>
          <w:sz w:val="21"/>
          <w:highlight w:val="none"/>
        </w:rPr>
      </w:pPr>
      <w:r>
        <w:rPr>
          <w:rFonts w:hint="eastAsia" w:ascii="宋体" w:hAnsi="宋体" w:eastAsia="宋体" w:cs="宋体"/>
          <w:color w:val="auto"/>
          <w:sz w:val="21"/>
          <w:highlight w:val="none"/>
        </w:rPr>
        <w:t>摄像头驱动：构建U点通APP底层摄像头驱动能力，包含安卓和iOS系统的原生硬件摄像头驱动。</w:t>
      </w:r>
    </w:p>
    <w:p>
      <w:pPr>
        <w:pStyle w:val="73"/>
        <w:numPr>
          <w:ilvl w:val="0"/>
          <w:numId w:val="12"/>
        </w:numPr>
        <w:spacing w:line="440" w:lineRule="exact"/>
        <w:ind w:left="0" w:firstLine="420"/>
        <w:rPr>
          <w:rFonts w:ascii="宋体" w:hAnsi="宋体" w:eastAsia="宋体" w:cs="宋体"/>
          <w:color w:val="auto"/>
          <w:sz w:val="21"/>
          <w:highlight w:val="none"/>
        </w:rPr>
      </w:pPr>
      <w:r>
        <w:rPr>
          <w:rFonts w:hint="eastAsia" w:ascii="宋体" w:hAnsi="宋体" w:eastAsia="宋体" w:cs="宋体"/>
          <w:color w:val="auto"/>
          <w:sz w:val="21"/>
          <w:highlight w:val="none"/>
        </w:rPr>
        <w:t>闪存驱动：构建U点通APP底层闪存驱动能力，包含安卓和iOS系统的原生硬件闪存驱动。</w:t>
      </w:r>
    </w:p>
    <w:p>
      <w:pPr>
        <w:pStyle w:val="73"/>
        <w:numPr>
          <w:ilvl w:val="0"/>
          <w:numId w:val="12"/>
        </w:numPr>
        <w:spacing w:line="440" w:lineRule="exact"/>
        <w:ind w:left="0" w:firstLine="420"/>
        <w:rPr>
          <w:rFonts w:ascii="宋体" w:hAnsi="宋体" w:eastAsia="宋体" w:cs="宋体"/>
          <w:color w:val="auto"/>
          <w:sz w:val="21"/>
          <w:highlight w:val="none"/>
        </w:rPr>
      </w:pPr>
      <w:r>
        <w:rPr>
          <w:rFonts w:hint="eastAsia" w:ascii="宋体" w:hAnsi="宋体" w:eastAsia="宋体" w:cs="宋体"/>
          <w:color w:val="auto"/>
          <w:sz w:val="21"/>
          <w:highlight w:val="none"/>
        </w:rPr>
        <w:t>Binger(IPC )驱动：构建U点通APP底层Binger(IPC )驱动能力，包含安卓和iOS系统的原生硬件Binger(IPC )驱动。</w:t>
      </w:r>
    </w:p>
    <w:p>
      <w:pPr>
        <w:pStyle w:val="73"/>
        <w:numPr>
          <w:ilvl w:val="0"/>
          <w:numId w:val="12"/>
        </w:numPr>
        <w:spacing w:line="440" w:lineRule="exact"/>
        <w:ind w:left="0" w:firstLine="420"/>
        <w:rPr>
          <w:rFonts w:ascii="宋体" w:hAnsi="宋体" w:eastAsia="宋体" w:cs="宋体"/>
          <w:color w:val="auto"/>
          <w:sz w:val="21"/>
          <w:highlight w:val="none"/>
        </w:rPr>
      </w:pPr>
      <w:r>
        <w:rPr>
          <w:rFonts w:hint="eastAsia" w:ascii="宋体" w:hAnsi="宋体" w:eastAsia="宋体" w:cs="宋体"/>
          <w:color w:val="auto"/>
          <w:sz w:val="21"/>
          <w:highlight w:val="none"/>
        </w:rPr>
        <w:t>键盘驱动：构建U点通APP底层键盘驱动能力，包含安卓和iOS系统的原生硬件键盘驱动。</w:t>
      </w:r>
    </w:p>
    <w:p>
      <w:pPr>
        <w:pStyle w:val="73"/>
        <w:numPr>
          <w:ilvl w:val="0"/>
          <w:numId w:val="12"/>
        </w:numPr>
        <w:spacing w:line="440" w:lineRule="exact"/>
        <w:ind w:left="0" w:firstLine="420"/>
        <w:rPr>
          <w:rFonts w:ascii="宋体" w:hAnsi="宋体" w:eastAsia="宋体" w:cs="宋体"/>
          <w:color w:val="auto"/>
          <w:sz w:val="21"/>
          <w:highlight w:val="none"/>
        </w:rPr>
      </w:pPr>
      <w:r>
        <w:rPr>
          <w:rFonts w:hint="eastAsia" w:ascii="宋体" w:hAnsi="宋体" w:eastAsia="宋体" w:cs="宋体"/>
          <w:color w:val="auto"/>
          <w:sz w:val="21"/>
          <w:highlight w:val="none"/>
        </w:rPr>
        <w:t>音频驱动：构建U点通APP底层音频驱动能力，包含安卓和iOS系统的原生硬件音频驱动。</w:t>
      </w:r>
    </w:p>
    <w:p>
      <w:pPr>
        <w:pStyle w:val="73"/>
        <w:numPr>
          <w:ilvl w:val="0"/>
          <w:numId w:val="12"/>
        </w:numPr>
        <w:spacing w:line="440" w:lineRule="exact"/>
        <w:ind w:left="0" w:firstLine="420"/>
        <w:rPr>
          <w:rFonts w:ascii="宋体" w:hAnsi="宋体" w:eastAsia="宋体" w:cs="宋体"/>
          <w:color w:val="auto"/>
          <w:sz w:val="21"/>
          <w:highlight w:val="none"/>
        </w:rPr>
      </w:pPr>
      <w:r>
        <w:rPr>
          <w:rFonts w:hint="eastAsia" w:ascii="宋体" w:hAnsi="宋体" w:eastAsia="宋体" w:cs="宋体"/>
          <w:color w:val="auto"/>
          <w:sz w:val="21"/>
          <w:highlight w:val="none"/>
        </w:rPr>
        <w:t>电源管理：构建U点通APP底层电源管理能力，包含安卓和iOS系统的原生硬件电源管理。</w:t>
      </w:r>
    </w:p>
    <w:p>
      <w:pPr>
        <w:pStyle w:val="73"/>
        <w:numPr>
          <w:ilvl w:val="0"/>
          <w:numId w:val="12"/>
        </w:numPr>
        <w:spacing w:line="440" w:lineRule="exact"/>
        <w:ind w:left="0" w:firstLine="420"/>
        <w:rPr>
          <w:rFonts w:ascii="宋体" w:hAnsi="宋体" w:eastAsia="宋体" w:cs="宋体"/>
          <w:color w:val="auto"/>
          <w:sz w:val="21"/>
          <w:highlight w:val="none"/>
        </w:rPr>
      </w:pPr>
      <w:r>
        <w:rPr>
          <w:rFonts w:hint="eastAsia" w:ascii="宋体" w:hAnsi="宋体" w:eastAsia="宋体" w:cs="宋体"/>
          <w:color w:val="auto"/>
          <w:sz w:val="21"/>
          <w:highlight w:val="none"/>
        </w:rPr>
        <w:t>蓝牙驱动：构建U点通APP底层蓝牙驱动能力，包含安卓和iOS系统的原生硬件蓝牙驱动。</w:t>
      </w:r>
    </w:p>
    <w:p>
      <w:pPr>
        <w:pStyle w:val="73"/>
        <w:numPr>
          <w:ilvl w:val="0"/>
          <w:numId w:val="12"/>
        </w:numPr>
        <w:spacing w:line="440" w:lineRule="exact"/>
        <w:ind w:left="0" w:firstLine="420"/>
        <w:rPr>
          <w:rFonts w:ascii="宋体" w:hAnsi="宋体" w:eastAsia="宋体" w:cs="宋体"/>
          <w:color w:val="auto"/>
          <w:sz w:val="21"/>
          <w:highlight w:val="none"/>
        </w:rPr>
      </w:pPr>
      <w:r>
        <w:rPr>
          <w:rFonts w:hint="eastAsia" w:ascii="宋体" w:hAnsi="宋体" w:eastAsia="宋体" w:cs="宋体"/>
          <w:color w:val="auto"/>
          <w:sz w:val="21"/>
          <w:highlight w:val="none"/>
        </w:rPr>
        <w:t>GPS</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：构建U点通APP底层GPS调用能力，包含安卓和iOS系统的原生硬件GPS。</w:t>
      </w:r>
    </w:p>
    <w:p>
      <w:pPr>
        <w:pStyle w:val="73"/>
        <w:numPr>
          <w:ilvl w:val="0"/>
          <w:numId w:val="12"/>
        </w:numPr>
        <w:spacing w:line="440" w:lineRule="exact"/>
        <w:ind w:left="0" w:firstLine="420"/>
        <w:rPr>
          <w:rFonts w:ascii="宋体" w:hAnsi="宋体" w:eastAsia="宋体" w:cs="宋体"/>
          <w:color w:val="auto"/>
          <w:sz w:val="21"/>
          <w:highlight w:val="none"/>
        </w:rPr>
      </w:pPr>
      <w:r>
        <w:rPr>
          <w:rFonts w:hint="eastAsia" w:ascii="宋体" w:hAnsi="宋体" w:eastAsia="宋体" w:cs="宋体"/>
          <w:color w:val="auto"/>
          <w:sz w:val="21"/>
          <w:highlight w:val="none"/>
        </w:rPr>
        <w:t>WiFi驱动：构建U点通APP底层显WiFi驱动能力，包含安卓和iOS系统的原生硬件WiFi驱动。</w:t>
      </w:r>
    </w:p>
    <w:p>
      <w:pPr>
        <w:pStyle w:val="7"/>
        <w:numPr>
          <w:ilvl w:val="1"/>
          <w:numId w:val="0"/>
        </w:numPr>
        <w:spacing w:line="440" w:lineRule="exact"/>
        <w:ind w:firstLine="562" w:firstLineChars="200"/>
        <w:rPr>
          <w:rFonts w:hint="eastAsia" w:cs="宋体"/>
          <w:b/>
          <w:bCs/>
          <w:color w:val="auto"/>
          <w:kern w:val="2"/>
          <w:sz w:val="28"/>
          <w:szCs w:val="28"/>
          <w:highlight w:val="none"/>
          <w:lang w:val="en-US" w:eastAsia="zh-CN" w:bidi="ar-SA"/>
        </w:rPr>
      </w:pPr>
      <w:bookmarkStart w:id="206" w:name="_Toc501"/>
      <w:bookmarkStart w:id="207" w:name="_Toc26575"/>
      <w:r>
        <w:rPr>
          <w:rFonts w:hint="eastAsia" w:cs="宋体"/>
          <w:b/>
          <w:bCs/>
          <w:color w:val="auto"/>
          <w:kern w:val="2"/>
          <w:sz w:val="28"/>
          <w:szCs w:val="28"/>
          <w:highlight w:val="none"/>
          <w:lang w:val="en-US" w:eastAsia="zh-CN" w:bidi="ar-SA"/>
        </w:rPr>
        <w:t>4.15数据资源封装</w:t>
      </w:r>
      <w:bookmarkEnd w:id="206"/>
      <w:bookmarkEnd w:id="207"/>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APP底座在设计开发过程中需要考虑到底层原生数据的存储、传输能力，为了提高APP整体性能，在数据存储上</w:t>
      </w:r>
      <w:r>
        <w:rPr>
          <w:rFonts w:hint="eastAsia" w:ascii="宋体" w:hAnsi="宋体" w:cs="宋体"/>
          <w:color w:val="auto"/>
          <w:szCs w:val="21"/>
          <w:highlight w:val="none"/>
          <w:lang w:val="en-US" w:eastAsia="zh-CN"/>
        </w:rPr>
        <w:t>需</w:t>
      </w:r>
      <w:r>
        <w:rPr>
          <w:rFonts w:hint="eastAsia" w:ascii="宋体" w:hAnsi="宋体" w:cs="宋体"/>
          <w:color w:val="auto"/>
          <w:szCs w:val="21"/>
          <w:highlight w:val="none"/>
        </w:rPr>
        <w:t>根据手机系统不同数据原生存储形式不同而定设计。</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eastAsia" w:asciiTheme="majorEastAsia" w:hAnsiTheme="majorEastAsia" w:eastAsiaTheme="majorEastAsia" w:cstheme="majorEastAsia"/>
          <w:b/>
          <w:bCs/>
          <w:color w:val="auto"/>
          <w:kern w:val="2"/>
          <w:sz w:val="24"/>
          <w:szCs w:val="24"/>
          <w:highlight w:val="none"/>
          <w:lang w:val="en-US" w:eastAsia="zh-CN" w:bidi="ar-SA"/>
        </w:rPr>
      </w:pPr>
      <w:bookmarkStart w:id="208" w:name="_Toc7045"/>
      <w:bookmarkStart w:id="209" w:name="_Toc21447"/>
      <w:r>
        <w:rPr>
          <w:rFonts w:hint="eastAsia" w:asciiTheme="majorEastAsia" w:hAnsiTheme="majorEastAsia" w:eastAsiaTheme="majorEastAsia" w:cstheme="majorEastAsia"/>
          <w:b/>
          <w:bCs/>
          <w:color w:val="auto"/>
          <w:kern w:val="2"/>
          <w:sz w:val="24"/>
          <w:szCs w:val="24"/>
          <w:highlight w:val="none"/>
          <w:lang w:val="en-US" w:eastAsia="zh-CN" w:bidi="ar-SA"/>
        </w:rPr>
        <w:t>4.15.1 andriod 底层数据封装</w:t>
      </w:r>
      <w:bookmarkEnd w:id="208"/>
      <w:bookmarkEnd w:id="209"/>
    </w:p>
    <w:p>
      <w:pPr>
        <w:pStyle w:val="87"/>
        <w:numPr>
          <w:ilvl w:val="0"/>
          <w:numId w:val="13"/>
        </w:numPr>
        <w:spacing w:line="440" w:lineRule="exact"/>
        <w:ind w:left="0" w:firstLine="420"/>
        <w:rPr>
          <w:rFonts w:ascii="宋体" w:hAnsi="宋体" w:eastAsia="宋体"/>
          <w:color w:val="auto"/>
          <w:sz w:val="21"/>
          <w:szCs w:val="21"/>
          <w:highlight w:val="none"/>
        </w:rPr>
      </w:pPr>
      <w:r>
        <w:rPr>
          <w:rFonts w:hint="eastAsia" w:ascii="宋体" w:hAnsi="宋体" w:eastAsia="宋体"/>
          <w:color w:val="auto"/>
          <w:sz w:val="21"/>
          <w:szCs w:val="21"/>
          <w:highlight w:val="none"/>
        </w:rPr>
        <w:t>文件存储：构建文件（I/O）存储方法，主要用于提供应用内的大文件存储能力。</w:t>
      </w:r>
    </w:p>
    <w:p>
      <w:pPr>
        <w:pStyle w:val="87"/>
        <w:numPr>
          <w:ilvl w:val="0"/>
          <w:numId w:val="13"/>
        </w:numPr>
        <w:spacing w:line="440" w:lineRule="exact"/>
        <w:ind w:left="0" w:firstLine="420"/>
        <w:rPr>
          <w:rFonts w:ascii="宋体" w:hAnsi="宋体" w:eastAsia="宋体"/>
          <w:color w:val="auto"/>
          <w:sz w:val="21"/>
          <w:szCs w:val="21"/>
          <w:highlight w:val="none"/>
        </w:rPr>
      </w:pPr>
      <w:r>
        <w:rPr>
          <w:rFonts w:hint="eastAsia" w:ascii="宋体" w:hAnsi="宋体" w:eastAsia="宋体"/>
          <w:color w:val="auto"/>
          <w:sz w:val="21"/>
          <w:szCs w:val="21"/>
          <w:highlight w:val="none"/>
        </w:rPr>
        <w:t>SharedPreferences：构建存储基础数据结构的Shared Preference存储能力，通过用一个xml文件在私有的目录里面存放这些数据，一个程序可以有多个这样的文件。</w:t>
      </w:r>
    </w:p>
    <w:p>
      <w:pPr>
        <w:pStyle w:val="87"/>
        <w:numPr>
          <w:ilvl w:val="0"/>
          <w:numId w:val="13"/>
        </w:numPr>
        <w:spacing w:line="440" w:lineRule="exact"/>
        <w:ind w:left="0" w:firstLine="420"/>
        <w:rPr>
          <w:rFonts w:ascii="宋体" w:hAnsi="宋体" w:eastAsia="宋体"/>
          <w:color w:val="auto"/>
          <w:sz w:val="21"/>
          <w:szCs w:val="21"/>
          <w:highlight w:val="none"/>
        </w:rPr>
      </w:pPr>
      <w:r>
        <w:rPr>
          <w:rFonts w:hint="eastAsia" w:ascii="宋体" w:hAnsi="宋体" w:eastAsia="宋体"/>
          <w:color w:val="auto"/>
          <w:sz w:val="21"/>
          <w:szCs w:val="21"/>
          <w:highlight w:val="none"/>
        </w:rPr>
        <w:t>ContentProvider：构建应用程序共享的数据存储能力。</w:t>
      </w:r>
    </w:p>
    <w:p>
      <w:pPr>
        <w:pStyle w:val="87"/>
        <w:numPr>
          <w:ilvl w:val="0"/>
          <w:numId w:val="13"/>
        </w:numPr>
        <w:spacing w:line="440" w:lineRule="exact"/>
        <w:ind w:left="0" w:firstLine="420"/>
        <w:rPr>
          <w:rFonts w:ascii="宋体" w:hAnsi="宋体" w:eastAsia="宋体"/>
          <w:color w:val="auto"/>
          <w:sz w:val="21"/>
          <w:szCs w:val="21"/>
          <w:highlight w:val="none"/>
        </w:rPr>
      </w:pPr>
      <w:r>
        <w:rPr>
          <w:rFonts w:hint="eastAsia" w:ascii="宋体" w:hAnsi="宋体" w:eastAsia="宋体"/>
          <w:color w:val="auto"/>
          <w:sz w:val="21"/>
          <w:szCs w:val="21"/>
          <w:highlight w:val="none"/>
        </w:rPr>
        <w:t>SQLite数据库存储：构建安卓轻量级SQLite数据库能力。</w:t>
      </w:r>
    </w:p>
    <w:p>
      <w:pPr>
        <w:pStyle w:val="87"/>
        <w:numPr>
          <w:ilvl w:val="0"/>
          <w:numId w:val="13"/>
        </w:numPr>
        <w:spacing w:line="440" w:lineRule="exact"/>
        <w:ind w:left="0" w:firstLine="420"/>
        <w:rPr>
          <w:rFonts w:ascii="宋体" w:hAnsi="宋体" w:eastAsia="宋体"/>
          <w:color w:val="auto"/>
          <w:sz w:val="21"/>
          <w:szCs w:val="21"/>
          <w:highlight w:val="none"/>
        </w:rPr>
      </w:pPr>
      <w:r>
        <w:rPr>
          <w:rFonts w:hint="eastAsia" w:ascii="宋体" w:hAnsi="宋体" w:eastAsia="宋体"/>
          <w:color w:val="auto"/>
          <w:sz w:val="21"/>
          <w:szCs w:val="21"/>
          <w:highlight w:val="none"/>
        </w:rPr>
        <w:t>网络存储：构建应用的网络存储能力，应用在使用过程中需要使用到相应的网络存储。</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eastAsia" w:asciiTheme="majorEastAsia" w:hAnsiTheme="majorEastAsia" w:eastAsiaTheme="majorEastAsia" w:cstheme="majorEastAsia"/>
          <w:b/>
          <w:bCs/>
          <w:color w:val="auto"/>
          <w:kern w:val="2"/>
          <w:sz w:val="24"/>
          <w:szCs w:val="24"/>
          <w:highlight w:val="none"/>
          <w:lang w:val="en-US" w:eastAsia="zh-CN" w:bidi="ar-SA"/>
        </w:rPr>
      </w:pPr>
      <w:bookmarkStart w:id="210" w:name="_Toc15667"/>
      <w:bookmarkStart w:id="211" w:name="_Toc13202"/>
      <w:r>
        <w:rPr>
          <w:rFonts w:hint="eastAsia" w:asciiTheme="majorEastAsia" w:hAnsiTheme="majorEastAsia" w:eastAsiaTheme="majorEastAsia" w:cstheme="majorEastAsia"/>
          <w:b/>
          <w:bCs/>
          <w:color w:val="auto"/>
          <w:kern w:val="2"/>
          <w:sz w:val="24"/>
          <w:szCs w:val="24"/>
          <w:highlight w:val="none"/>
          <w:lang w:val="en-US" w:eastAsia="zh-CN" w:bidi="ar-SA"/>
        </w:rPr>
        <w:t>4.15.2 iOS底层数据封装</w:t>
      </w:r>
      <w:bookmarkEnd w:id="210"/>
      <w:bookmarkEnd w:id="211"/>
    </w:p>
    <w:p>
      <w:pPr>
        <w:pStyle w:val="87"/>
        <w:numPr>
          <w:ilvl w:val="0"/>
          <w:numId w:val="14"/>
        </w:numPr>
        <w:spacing w:line="440" w:lineRule="exact"/>
        <w:ind w:left="0" w:firstLine="420"/>
        <w:rPr>
          <w:rFonts w:ascii="宋体" w:hAnsi="宋体" w:eastAsia="宋体"/>
          <w:color w:val="auto"/>
          <w:sz w:val="21"/>
          <w:szCs w:val="21"/>
          <w:highlight w:val="none"/>
        </w:rPr>
      </w:pPr>
      <w:r>
        <w:rPr>
          <w:rFonts w:hint="eastAsia" w:ascii="宋体" w:hAnsi="宋体" w:eastAsia="宋体"/>
          <w:color w:val="auto"/>
          <w:sz w:val="21"/>
          <w:szCs w:val="21"/>
          <w:highlight w:val="none"/>
        </w:rPr>
        <w:t>NSKeyedArchiver：构建NSKeyedArchiver归档的形式来保存数据能力。</w:t>
      </w:r>
    </w:p>
    <w:p>
      <w:pPr>
        <w:pStyle w:val="87"/>
        <w:numPr>
          <w:ilvl w:val="0"/>
          <w:numId w:val="14"/>
        </w:numPr>
        <w:spacing w:line="440" w:lineRule="exact"/>
        <w:ind w:left="0" w:firstLine="420"/>
        <w:rPr>
          <w:rFonts w:ascii="宋体" w:hAnsi="宋体" w:eastAsia="宋体"/>
          <w:color w:val="auto"/>
          <w:sz w:val="21"/>
          <w:szCs w:val="21"/>
          <w:highlight w:val="none"/>
        </w:rPr>
      </w:pPr>
      <w:r>
        <w:rPr>
          <w:rFonts w:hint="eastAsia" w:ascii="宋体" w:hAnsi="宋体" w:eastAsia="宋体"/>
          <w:color w:val="auto"/>
          <w:sz w:val="21"/>
          <w:szCs w:val="21"/>
          <w:highlight w:val="none"/>
        </w:rPr>
        <w:t>NSUserDefaults：构建NSUserDefaults存储能力来保存应用程序设置和属性、用户保存的数据。</w:t>
      </w:r>
    </w:p>
    <w:p>
      <w:pPr>
        <w:pStyle w:val="87"/>
        <w:numPr>
          <w:ilvl w:val="0"/>
          <w:numId w:val="14"/>
        </w:numPr>
        <w:spacing w:line="440" w:lineRule="exact"/>
        <w:ind w:left="0" w:firstLine="420"/>
        <w:rPr>
          <w:rFonts w:ascii="宋体" w:hAnsi="宋体" w:eastAsia="宋体"/>
          <w:color w:val="auto"/>
          <w:sz w:val="21"/>
          <w:szCs w:val="21"/>
          <w:highlight w:val="none"/>
        </w:rPr>
      </w:pPr>
      <w:r>
        <w:rPr>
          <w:rFonts w:hint="eastAsia" w:ascii="宋体" w:hAnsi="宋体" w:eastAsia="宋体"/>
          <w:color w:val="auto"/>
          <w:sz w:val="21"/>
          <w:szCs w:val="21"/>
          <w:highlight w:val="none"/>
        </w:rPr>
        <w:t>Write写入方式：构建Write写入方式存储能力。</w:t>
      </w:r>
    </w:p>
    <w:p>
      <w:pPr>
        <w:pStyle w:val="87"/>
        <w:numPr>
          <w:ilvl w:val="0"/>
          <w:numId w:val="14"/>
        </w:numPr>
        <w:spacing w:line="440" w:lineRule="exact"/>
        <w:ind w:left="0" w:firstLine="420"/>
        <w:rPr>
          <w:rFonts w:ascii="宋体" w:hAnsi="宋体" w:eastAsia="宋体"/>
          <w:color w:val="auto"/>
          <w:sz w:val="21"/>
          <w:szCs w:val="21"/>
          <w:highlight w:val="none"/>
        </w:rPr>
      </w:pPr>
      <w:r>
        <w:rPr>
          <w:rFonts w:hint="eastAsia" w:ascii="宋体" w:hAnsi="宋体" w:eastAsia="宋体"/>
          <w:color w:val="auto"/>
          <w:sz w:val="21"/>
          <w:szCs w:val="21"/>
          <w:highlight w:val="none"/>
        </w:rPr>
        <w:t>SQLite数据库存储：构建IOS轻量级SQLite数据库能力。</w:t>
      </w:r>
    </w:p>
    <w:p>
      <w:pPr>
        <w:pStyle w:val="87"/>
        <w:numPr>
          <w:ilvl w:val="0"/>
          <w:numId w:val="14"/>
        </w:numPr>
        <w:spacing w:line="440" w:lineRule="exact"/>
        <w:ind w:left="0" w:firstLine="420"/>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rPr>
        <w:t>FMDB：FMDB 同时兼容 ARC 和非 ARC 工程，会自动根据工程配置来调整相关的内存管理代码。而且他提供了多线程安全的数据库操作方法，有效地防止数据混乱。</w:t>
      </w:r>
    </w:p>
    <w:p>
      <w:pPr>
        <w:spacing w:line="440" w:lineRule="exact"/>
        <w:rPr>
          <w:rFonts w:ascii="宋体" w:hAnsi="宋体" w:cs="宋体"/>
          <w:color w:val="auto"/>
          <w:szCs w:val="21"/>
          <w:highlight w:val="none"/>
        </w:rPr>
      </w:pPr>
      <w:r>
        <w:rPr>
          <w:rFonts w:ascii="宋体" w:hAnsi="宋体" w:cs="宋体"/>
          <w:color w:val="auto"/>
          <w:szCs w:val="21"/>
          <w:highlight w:val="none"/>
        </w:rPr>
        <w:br w:type="page"/>
      </w:r>
    </w:p>
    <w:p>
      <w:pPr>
        <w:pStyle w:val="6"/>
        <w:keepLines/>
        <w:widowControl w:val="0"/>
        <w:numPr>
          <w:ilvl w:val="2"/>
          <w:numId w:val="0"/>
        </w:numPr>
        <w:spacing w:before="156" w:after="156"/>
        <w:jc w:val="center"/>
        <w:textAlignment w:val="baseline"/>
        <w:rPr>
          <w:rFonts w:hint="eastAsia" w:ascii="宋体" w:hAnsi="宋体" w:cs="宋体"/>
          <w:b/>
          <w:bCs/>
          <w:color w:val="auto"/>
          <w:kern w:val="2"/>
          <w:sz w:val="32"/>
          <w:szCs w:val="32"/>
          <w:highlight w:val="none"/>
          <w:lang w:val="en-US" w:eastAsia="zh-CN"/>
        </w:rPr>
      </w:pPr>
      <w:bookmarkStart w:id="212" w:name="_Toc15688"/>
      <w:bookmarkStart w:id="213" w:name="_Toc22352"/>
      <w:bookmarkStart w:id="214" w:name="_Toc23023"/>
      <w:bookmarkStart w:id="215" w:name="_Toc25415"/>
      <w:bookmarkStart w:id="216" w:name="_Toc25796"/>
      <w:r>
        <w:rPr>
          <w:rFonts w:hint="eastAsia" w:ascii="宋体" w:hAnsi="宋体" w:cs="宋体"/>
          <w:b/>
          <w:bCs/>
          <w:color w:val="auto"/>
          <w:kern w:val="2"/>
          <w:sz w:val="32"/>
          <w:szCs w:val="32"/>
          <w:highlight w:val="none"/>
          <w:lang w:val="en-US" w:eastAsia="zh-CN"/>
        </w:rPr>
        <w:t>五、网络安全建设</w:t>
      </w:r>
      <w:bookmarkEnd w:id="212"/>
      <w:bookmarkEnd w:id="213"/>
      <w:bookmarkEnd w:id="214"/>
      <w:bookmarkEnd w:id="215"/>
      <w:bookmarkEnd w:id="216"/>
    </w:p>
    <w:p>
      <w:pPr>
        <w:pStyle w:val="87"/>
        <w:spacing w:line="440" w:lineRule="exact"/>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本项目依据《信息系统安全等级保护基本要求》，根据一体化智能化公共数据平台安全防御体系，系统建立完整信息安全体系，使得系统具有身份抗抵赖、系统可管理、操作可审计等特性，从物理、系统、运行、管理等多方面保护信息系统的安全、稳定与可靠。系统建设实现的安全内容及其功能，充分考虑整个系统的安全性，本项目信息安全基于政务云端安全产品实现。</w:t>
      </w:r>
    </w:p>
    <w:p>
      <w:pPr>
        <w:pStyle w:val="87"/>
        <w:spacing w:line="440" w:lineRule="exact"/>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爱常山-数字化建设工程</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一期</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网络安全建设规划路径是：</w:t>
      </w:r>
    </w:p>
    <w:p>
      <w:pPr>
        <w:pStyle w:val="87"/>
        <w:spacing w:line="440" w:lineRule="exact"/>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基础架构、应用开发层面必须结合等保三级的规范要求进行设计；</w:t>
      </w:r>
    </w:p>
    <w:p>
      <w:pPr>
        <w:pStyle w:val="87"/>
        <w:spacing w:line="440" w:lineRule="exact"/>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信息交互、操作规范、数据管理等进行规章制度建设；</w:t>
      </w:r>
    </w:p>
    <w:p>
      <w:pPr>
        <w:pStyle w:val="87"/>
        <w:spacing w:line="440" w:lineRule="exact"/>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项目进度上，以一期开发完成，进行等保测评服务，按照等保测评的要求，找出建设短板，完善网络安全建设模块。</w:t>
      </w:r>
    </w:p>
    <w:p>
      <w:pPr>
        <w:pStyle w:val="87"/>
        <w:ind w:firstLine="0" w:firstLineChars="0"/>
        <w:jc w:val="center"/>
        <w:rPr>
          <w:rFonts w:ascii="宋体" w:hAnsi="宋体" w:eastAsia="宋体"/>
          <w:color w:val="auto"/>
          <w:highlight w:val="none"/>
        </w:rPr>
      </w:pPr>
      <w:r>
        <w:rPr>
          <w:rFonts w:hint="eastAsia" w:ascii="宋体" w:hAnsi="宋体" w:eastAsia="宋体"/>
          <w:color w:val="auto"/>
          <w:highlight w:val="none"/>
          <w:bdr w:val="single" w:color="auto" w:sz="4" w:space="0"/>
        </w:rPr>
        <w:drawing>
          <wp:inline distT="0" distB="0" distL="114300" distR="114300">
            <wp:extent cx="5271770" cy="3314700"/>
            <wp:effectExtent l="0" t="0" r="5080" b="0"/>
            <wp:docPr id="10" name="图片 10" descr="lQLPDhswxUz1F17NAebNAwWwt0-MAzEa-qICIJRBcoC2AA_773_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lQLPDhswxUz1F17NAebNAwWwt0-MAzEa-qICIJRBcoC2AA_773_486"/>
                    <pic:cNvPicPr>
                      <a:picLocks noChangeAspect="1"/>
                    </pic:cNvPicPr>
                  </pic:nvPicPr>
                  <pic:blipFill>
                    <a:blip r:embed="rId11"/>
                    <a:stretch>
                      <a:fillRect/>
                    </a:stretch>
                  </pic:blipFill>
                  <pic:spPr>
                    <a:xfrm>
                      <a:off x="0" y="0"/>
                      <a:ext cx="5271770" cy="3314700"/>
                    </a:xfrm>
                    <a:prstGeom prst="rect">
                      <a:avLst/>
                    </a:prstGeom>
                  </pic:spPr>
                </pic:pic>
              </a:graphicData>
            </a:graphic>
          </wp:inline>
        </w:drawing>
      </w:r>
    </w:p>
    <w:p>
      <w:pPr>
        <w:pStyle w:val="87"/>
        <w:ind w:left="0" w:leftChars="0" w:firstLine="0" w:firstLineChars="0"/>
        <w:jc w:val="center"/>
        <w:rPr>
          <w:rFonts w:ascii="宋体" w:hAnsi="宋体" w:eastAsia="宋体"/>
          <w:color w:val="auto"/>
          <w:highlight w:val="none"/>
        </w:rPr>
      </w:pPr>
      <w:r>
        <w:rPr>
          <w:rFonts w:hint="eastAsia" w:ascii="宋体" w:hAnsi="宋体" w:eastAsia="宋体"/>
          <w:color w:val="auto"/>
          <w:highlight w:val="none"/>
        </w:rPr>
        <w:t>（总体网络架构设计）</w:t>
      </w:r>
    </w:p>
    <w:p>
      <w:pPr>
        <w:pStyle w:val="7"/>
        <w:numPr>
          <w:ilvl w:val="1"/>
          <w:numId w:val="0"/>
        </w:numPr>
        <w:spacing w:line="440" w:lineRule="exact"/>
        <w:ind w:firstLine="562" w:firstLineChars="200"/>
        <w:rPr>
          <w:rFonts w:hint="eastAsia" w:cs="宋体"/>
          <w:b/>
          <w:bCs/>
          <w:color w:val="auto"/>
          <w:kern w:val="2"/>
          <w:sz w:val="28"/>
          <w:szCs w:val="28"/>
          <w:highlight w:val="none"/>
          <w:lang w:val="en-US" w:eastAsia="zh-CN" w:bidi="ar-SA"/>
        </w:rPr>
      </w:pPr>
      <w:bookmarkStart w:id="217" w:name="_Toc30893"/>
      <w:bookmarkStart w:id="218" w:name="_Toc69475067"/>
      <w:bookmarkStart w:id="219" w:name="_Toc1595"/>
      <w:bookmarkStart w:id="220" w:name="_Toc9548"/>
      <w:bookmarkStart w:id="221" w:name="_Toc77092962"/>
      <w:bookmarkStart w:id="222" w:name="_Toc10989"/>
      <w:bookmarkStart w:id="223" w:name="_Toc14569"/>
      <w:bookmarkStart w:id="224" w:name="_Toc27368"/>
      <w:bookmarkStart w:id="225" w:name="_Toc31518"/>
      <w:bookmarkStart w:id="226" w:name="_Toc11568"/>
      <w:r>
        <w:rPr>
          <w:rFonts w:hint="eastAsia" w:cs="宋体"/>
          <w:b/>
          <w:bCs/>
          <w:color w:val="auto"/>
          <w:kern w:val="2"/>
          <w:sz w:val="28"/>
          <w:szCs w:val="28"/>
          <w:highlight w:val="none"/>
          <w:lang w:val="en-US" w:eastAsia="zh-CN" w:bidi="ar-SA"/>
        </w:rPr>
        <w:t>5.1 云平台安全</w:t>
      </w:r>
      <w:bookmarkEnd w:id="217"/>
      <w:bookmarkEnd w:id="218"/>
      <w:bookmarkEnd w:id="219"/>
      <w:bookmarkEnd w:id="220"/>
      <w:bookmarkEnd w:id="221"/>
      <w:r>
        <w:rPr>
          <w:rFonts w:hint="eastAsia" w:cs="宋体"/>
          <w:b/>
          <w:bCs/>
          <w:color w:val="auto"/>
          <w:kern w:val="2"/>
          <w:sz w:val="28"/>
          <w:szCs w:val="28"/>
          <w:highlight w:val="none"/>
          <w:lang w:val="en-US" w:eastAsia="zh-CN" w:bidi="ar-SA"/>
        </w:rPr>
        <w:t>审计</w:t>
      </w:r>
      <w:bookmarkEnd w:id="222"/>
      <w:bookmarkEnd w:id="223"/>
      <w:bookmarkEnd w:id="224"/>
      <w:bookmarkEnd w:id="225"/>
      <w:bookmarkEnd w:id="226"/>
    </w:p>
    <w:p>
      <w:pPr>
        <w:pStyle w:val="2"/>
        <w:spacing w:after="0"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收集云平台内的数据库日志、主机日志，用户侧控制台操作日志、运维侧控制台操作日志，和网络设备日志，具备完整的日志收集、存储、分析、报警等功能。</w:t>
      </w:r>
    </w:p>
    <w:p>
      <w:pPr>
        <w:pStyle w:val="7"/>
        <w:numPr>
          <w:ilvl w:val="1"/>
          <w:numId w:val="0"/>
        </w:numPr>
        <w:spacing w:line="440" w:lineRule="exact"/>
        <w:ind w:firstLine="562" w:firstLineChars="200"/>
        <w:rPr>
          <w:rFonts w:hint="eastAsia" w:cs="宋体"/>
          <w:b/>
          <w:bCs/>
          <w:color w:val="auto"/>
          <w:kern w:val="2"/>
          <w:sz w:val="28"/>
          <w:szCs w:val="28"/>
          <w:highlight w:val="none"/>
          <w:lang w:val="en-US" w:eastAsia="zh-CN" w:bidi="ar-SA"/>
        </w:rPr>
      </w:pPr>
      <w:bookmarkStart w:id="227" w:name="_Toc69475068"/>
      <w:bookmarkStart w:id="228" w:name="_Toc18323"/>
      <w:bookmarkStart w:id="229" w:name="_Toc31442"/>
      <w:bookmarkStart w:id="230" w:name="_Toc17066"/>
      <w:bookmarkStart w:id="231" w:name="_Toc10990"/>
      <w:bookmarkStart w:id="232" w:name="_Toc17446"/>
      <w:bookmarkStart w:id="233" w:name="_Toc25441"/>
      <w:bookmarkStart w:id="234" w:name="_Toc4853"/>
      <w:bookmarkStart w:id="235" w:name="_Toc29603"/>
      <w:bookmarkStart w:id="236" w:name="_Toc77092963"/>
      <w:r>
        <w:rPr>
          <w:rFonts w:hint="eastAsia" w:cs="宋体"/>
          <w:b/>
          <w:bCs/>
          <w:color w:val="auto"/>
          <w:kern w:val="2"/>
          <w:sz w:val="28"/>
          <w:szCs w:val="28"/>
          <w:highlight w:val="none"/>
          <w:lang w:val="en-US" w:eastAsia="zh-CN" w:bidi="ar-SA"/>
        </w:rPr>
        <w:t>5.2 网络安全</w:t>
      </w:r>
      <w:bookmarkEnd w:id="227"/>
      <w:bookmarkEnd w:id="228"/>
      <w:bookmarkEnd w:id="229"/>
      <w:bookmarkEnd w:id="230"/>
      <w:bookmarkEnd w:id="231"/>
      <w:bookmarkEnd w:id="232"/>
      <w:bookmarkEnd w:id="233"/>
      <w:bookmarkEnd w:id="234"/>
      <w:bookmarkEnd w:id="235"/>
      <w:bookmarkEnd w:id="236"/>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eastAsia" w:asciiTheme="majorEastAsia" w:hAnsiTheme="majorEastAsia" w:eastAsiaTheme="majorEastAsia" w:cstheme="majorEastAsia"/>
          <w:b/>
          <w:bCs/>
          <w:color w:val="auto"/>
          <w:kern w:val="2"/>
          <w:sz w:val="24"/>
          <w:szCs w:val="24"/>
          <w:highlight w:val="none"/>
          <w:lang w:val="en-US" w:eastAsia="zh-CN" w:bidi="ar-SA"/>
        </w:rPr>
      </w:pPr>
      <w:bookmarkStart w:id="237" w:name="_Toc2976"/>
      <w:bookmarkStart w:id="238" w:name="_Toc26044"/>
      <w:bookmarkStart w:id="239" w:name="_Toc31207"/>
      <w:bookmarkStart w:id="240" w:name="_Toc22785"/>
      <w:bookmarkStart w:id="241" w:name="_Toc22497"/>
      <w:r>
        <w:rPr>
          <w:rFonts w:hint="eastAsia" w:asciiTheme="majorEastAsia" w:hAnsiTheme="majorEastAsia" w:eastAsiaTheme="majorEastAsia" w:cstheme="majorEastAsia"/>
          <w:b/>
          <w:bCs/>
          <w:color w:val="auto"/>
          <w:kern w:val="2"/>
          <w:sz w:val="24"/>
          <w:szCs w:val="24"/>
          <w:highlight w:val="none"/>
          <w:lang w:val="en-US" w:eastAsia="zh-CN" w:bidi="ar-SA"/>
        </w:rPr>
        <w:t>5.2.1 流量安全监控</w:t>
      </w:r>
      <w:bookmarkEnd w:id="237"/>
      <w:bookmarkEnd w:id="238"/>
      <w:bookmarkEnd w:id="239"/>
      <w:bookmarkEnd w:id="240"/>
      <w:bookmarkEnd w:id="241"/>
    </w:p>
    <w:p>
      <w:pPr>
        <w:pStyle w:val="2"/>
        <w:spacing w:after="0"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流量安全监控在云的网络边界，通过流量镜像的方式对出入云的所有网络流量进行逐包监测分析。同时，分析结果将作为云盾其他防护模块的参考依据。</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eastAsia" w:asciiTheme="majorEastAsia" w:hAnsiTheme="majorEastAsia" w:eastAsiaTheme="majorEastAsia" w:cstheme="majorEastAsia"/>
          <w:b/>
          <w:bCs/>
          <w:color w:val="auto"/>
          <w:kern w:val="2"/>
          <w:sz w:val="24"/>
          <w:szCs w:val="24"/>
          <w:highlight w:val="none"/>
          <w:lang w:val="en-US" w:eastAsia="zh-CN" w:bidi="ar-SA"/>
        </w:rPr>
      </w:pPr>
      <w:bookmarkStart w:id="242" w:name="_Toc29481"/>
      <w:bookmarkStart w:id="243" w:name="_Toc30458"/>
      <w:bookmarkStart w:id="244" w:name="_Toc15409"/>
      <w:bookmarkStart w:id="245" w:name="_Toc21697"/>
      <w:bookmarkStart w:id="246" w:name="_Toc11208"/>
      <w:r>
        <w:rPr>
          <w:rFonts w:hint="eastAsia" w:asciiTheme="majorEastAsia" w:hAnsiTheme="majorEastAsia" w:eastAsiaTheme="majorEastAsia" w:cstheme="majorEastAsia"/>
          <w:b/>
          <w:bCs/>
          <w:color w:val="auto"/>
          <w:kern w:val="2"/>
          <w:sz w:val="24"/>
          <w:szCs w:val="24"/>
          <w:highlight w:val="none"/>
          <w:lang w:val="en-US" w:eastAsia="zh-CN" w:bidi="ar-SA"/>
        </w:rPr>
        <w:t>5.2.2 DDoS防护</w:t>
      </w:r>
      <w:bookmarkEnd w:id="242"/>
      <w:bookmarkEnd w:id="243"/>
      <w:bookmarkEnd w:id="244"/>
      <w:bookmarkEnd w:id="245"/>
      <w:bookmarkEnd w:id="246"/>
    </w:p>
    <w:p>
      <w:pPr>
        <w:pStyle w:val="2"/>
        <w:spacing w:after="0"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通过DDoS防护服务提供网络链路可用性保证，提升业务连续性；对DDoS攻击流量进行检测及过滤，防御DDoS流量攻击。</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eastAsia" w:asciiTheme="majorEastAsia" w:hAnsiTheme="majorEastAsia" w:eastAsiaTheme="majorEastAsia" w:cstheme="majorEastAsia"/>
          <w:b/>
          <w:bCs/>
          <w:color w:val="auto"/>
          <w:kern w:val="2"/>
          <w:sz w:val="24"/>
          <w:szCs w:val="24"/>
          <w:highlight w:val="none"/>
          <w:lang w:val="en-US" w:eastAsia="zh-CN" w:bidi="ar-SA"/>
        </w:rPr>
      </w:pPr>
      <w:bookmarkStart w:id="247" w:name="_Toc509"/>
      <w:bookmarkStart w:id="248" w:name="_Toc26707"/>
      <w:bookmarkStart w:id="249" w:name="_Toc7402"/>
      <w:bookmarkStart w:id="250" w:name="_Toc12972"/>
      <w:r>
        <w:rPr>
          <w:rFonts w:hint="eastAsia" w:asciiTheme="majorEastAsia" w:hAnsiTheme="majorEastAsia" w:eastAsiaTheme="majorEastAsia" w:cstheme="majorEastAsia"/>
          <w:b/>
          <w:bCs/>
          <w:color w:val="auto"/>
          <w:kern w:val="2"/>
          <w:sz w:val="24"/>
          <w:szCs w:val="24"/>
          <w:highlight w:val="none"/>
          <w:lang w:val="en-US" w:eastAsia="zh-CN" w:bidi="ar-SA"/>
        </w:rPr>
        <w:t>5.2.3 硬件防火墙</w:t>
      </w:r>
      <w:bookmarkEnd w:id="247"/>
      <w:bookmarkEnd w:id="248"/>
      <w:bookmarkEnd w:id="249"/>
      <w:bookmarkEnd w:id="250"/>
    </w:p>
    <w:p>
      <w:pPr>
        <w:pStyle w:val="2"/>
        <w:spacing w:after="0"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通过硬件防火墙进行网络访问控制，保障授权访问业务的正常进行和阻断非授权访问业务。</w:t>
      </w:r>
      <w:bookmarkStart w:id="251" w:name="_Toc25821"/>
      <w:bookmarkStart w:id="252" w:name="_Toc10402"/>
      <w:bookmarkStart w:id="253" w:name="_Toc7905"/>
      <w:bookmarkStart w:id="254" w:name="_Toc26714"/>
      <w:bookmarkStart w:id="255" w:name="_Toc10554"/>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eastAsia" w:asciiTheme="majorEastAsia" w:hAnsiTheme="majorEastAsia" w:eastAsiaTheme="majorEastAsia" w:cstheme="majorEastAsia"/>
          <w:b/>
          <w:bCs/>
          <w:color w:val="auto"/>
          <w:kern w:val="2"/>
          <w:sz w:val="24"/>
          <w:szCs w:val="24"/>
          <w:highlight w:val="none"/>
          <w:lang w:val="en-US" w:eastAsia="zh-CN" w:bidi="ar-SA"/>
        </w:rPr>
      </w:pPr>
      <w:r>
        <w:rPr>
          <w:rFonts w:hint="eastAsia" w:asciiTheme="majorEastAsia" w:hAnsiTheme="majorEastAsia" w:eastAsiaTheme="majorEastAsia" w:cstheme="majorEastAsia"/>
          <w:b/>
          <w:bCs/>
          <w:color w:val="auto"/>
          <w:kern w:val="2"/>
          <w:sz w:val="24"/>
          <w:szCs w:val="24"/>
          <w:highlight w:val="none"/>
          <w:lang w:val="en-US" w:eastAsia="zh-CN" w:bidi="ar-SA"/>
        </w:rPr>
        <w:t>5.2.4 云防火墙</w:t>
      </w:r>
      <w:bookmarkEnd w:id="251"/>
      <w:bookmarkEnd w:id="252"/>
      <w:bookmarkEnd w:id="253"/>
      <w:bookmarkEnd w:id="254"/>
      <w:bookmarkEnd w:id="255"/>
    </w:p>
    <w:p>
      <w:pPr>
        <w:pStyle w:val="2"/>
        <w:spacing w:after="0"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通过云防火墙服务，统一管理互联网到前端服务器的访问控制策略（东西向和南北向）。</w:t>
      </w:r>
    </w:p>
    <w:p>
      <w:pPr>
        <w:pStyle w:val="7"/>
        <w:numPr>
          <w:ilvl w:val="1"/>
          <w:numId w:val="0"/>
        </w:numPr>
        <w:spacing w:line="440" w:lineRule="exact"/>
        <w:ind w:firstLine="562" w:firstLineChars="200"/>
        <w:rPr>
          <w:rFonts w:hint="eastAsia" w:cs="宋体"/>
          <w:b/>
          <w:bCs/>
          <w:color w:val="auto"/>
          <w:kern w:val="2"/>
          <w:sz w:val="28"/>
          <w:szCs w:val="28"/>
          <w:highlight w:val="none"/>
          <w:lang w:val="en-US" w:eastAsia="zh-CN" w:bidi="ar-SA"/>
        </w:rPr>
      </w:pPr>
      <w:bookmarkStart w:id="256" w:name="_Toc27910"/>
      <w:bookmarkStart w:id="257" w:name="_Toc19385"/>
      <w:bookmarkStart w:id="258" w:name="_Toc17511"/>
      <w:bookmarkStart w:id="259" w:name="_Toc27542"/>
      <w:bookmarkStart w:id="260" w:name="_Toc6412"/>
      <w:bookmarkStart w:id="261" w:name="_Toc21672"/>
      <w:bookmarkStart w:id="262" w:name="_Toc69475069"/>
      <w:bookmarkStart w:id="263" w:name="_Toc77092964"/>
      <w:bookmarkStart w:id="264" w:name="_Toc10961"/>
      <w:bookmarkStart w:id="265" w:name="_Toc13627"/>
      <w:r>
        <w:rPr>
          <w:rFonts w:hint="eastAsia" w:cs="宋体"/>
          <w:b/>
          <w:bCs/>
          <w:color w:val="auto"/>
          <w:kern w:val="2"/>
          <w:sz w:val="28"/>
          <w:szCs w:val="28"/>
          <w:highlight w:val="none"/>
          <w:lang w:val="en-US" w:eastAsia="zh-CN" w:bidi="ar-SA"/>
        </w:rPr>
        <w:t>5.3 主机安全</w:t>
      </w:r>
      <w:bookmarkEnd w:id="256"/>
      <w:bookmarkEnd w:id="257"/>
      <w:bookmarkEnd w:id="258"/>
      <w:bookmarkEnd w:id="259"/>
      <w:bookmarkEnd w:id="260"/>
      <w:bookmarkEnd w:id="261"/>
      <w:bookmarkEnd w:id="262"/>
      <w:bookmarkEnd w:id="263"/>
      <w:bookmarkEnd w:id="264"/>
      <w:bookmarkEnd w:id="265"/>
    </w:p>
    <w:p>
      <w:pPr>
        <w:pStyle w:val="2"/>
        <w:spacing w:after="0"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通过日志监控、文件分析、特征扫描等手段，为云服务器（ECS）提供漏洞管理、基线检查、入侵检测、病毒查杀、资产管理、网页防篡改等安全功能。</w:t>
      </w:r>
    </w:p>
    <w:p>
      <w:pPr>
        <w:pStyle w:val="7"/>
        <w:numPr>
          <w:ilvl w:val="1"/>
          <w:numId w:val="0"/>
        </w:numPr>
        <w:spacing w:line="440" w:lineRule="exact"/>
        <w:ind w:firstLine="562" w:firstLineChars="200"/>
        <w:rPr>
          <w:rFonts w:hint="eastAsia" w:cs="宋体"/>
          <w:b/>
          <w:bCs/>
          <w:color w:val="auto"/>
          <w:kern w:val="2"/>
          <w:sz w:val="28"/>
          <w:szCs w:val="28"/>
          <w:highlight w:val="none"/>
          <w:lang w:val="en-US" w:eastAsia="zh-CN" w:bidi="ar-SA"/>
        </w:rPr>
      </w:pPr>
      <w:bookmarkStart w:id="266" w:name="_Toc28660"/>
      <w:bookmarkStart w:id="267" w:name="_Toc77092965"/>
      <w:bookmarkStart w:id="268" w:name="_Toc4014"/>
      <w:bookmarkStart w:id="269" w:name="_Toc2982"/>
      <w:bookmarkStart w:id="270" w:name="_Toc69475070"/>
      <w:bookmarkStart w:id="271" w:name="_Toc23234"/>
      <w:bookmarkStart w:id="272" w:name="_Toc29625"/>
      <w:bookmarkStart w:id="273" w:name="_Toc18249"/>
      <w:bookmarkStart w:id="274" w:name="_Toc19114"/>
      <w:bookmarkStart w:id="275" w:name="_Toc18570"/>
      <w:r>
        <w:rPr>
          <w:rFonts w:hint="eastAsia" w:cs="宋体"/>
          <w:b/>
          <w:bCs/>
          <w:color w:val="auto"/>
          <w:kern w:val="2"/>
          <w:sz w:val="28"/>
          <w:szCs w:val="28"/>
          <w:highlight w:val="none"/>
          <w:lang w:val="en-US" w:eastAsia="zh-CN" w:bidi="ar-SA"/>
        </w:rPr>
        <w:t>5.4 应用安全</w:t>
      </w:r>
      <w:bookmarkEnd w:id="266"/>
      <w:bookmarkEnd w:id="267"/>
      <w:bookmarkEnd w:id="268"/>
      <w:bookmarkEnd w:id="269"/>
      <w:bookmarkEnd w:id="270"/>
      <w:bookmarkEnd w:id="271"/>
      <w:bookmarkEnd w:id="272"/>
      <w:bookmarkEnd w:id="273"/>
      <w:bookmarkEnd w:id="274"/>
      <w:bookmarkEnd w:id="275"/>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eastAsia" w:asciiTheme="majorEastAsia" w:hAnsiTheme="majorEastAsia" w:eastAsiaTheme="majorEastAsia" w:cstheme="majorEastAsia"/>
          <w:b/>
          <w:bCs/>
          <w:color w:val="auto"/>
          <w:kern w:val="2"/>
          <w:sz w:val="24"/>
          <w:szCs w:val="24"/>
          <w:highlight w:val="none"/>
          <w:lang w:val="en-US" w:eastAsia="zh-CN" w:bidi="ar-SA"/>
        </w:rPr>
      </w:pPr>
      <w:bookmarkStart w:id="276" w:name="_Toc30630"/>
      <w:bookmarkStart w:id="277" w:name="_Toc14912"/>
      <w:bookmarkStart w:id="278" w:name="_Toc13179"/>
      <w:bookmarkStart w:id="279" w:name="_Toc12935"/>
      <w:bookmarkStart w:id="280" w:name="_Toc8354"/>
      <w:r>
        <w:rPr>
          <w:rFonts w:hint="eastAsia" w:asciiTheme="majorEastAsia" w:hAnsiTheme="majorEastAsia" w:eastAsiaTheme="majorEastAsia" w:cstheme="majorEastAsia"/>
          <w:b/>
          <w:bCs/>
          <w:color w:val="auto"/>
          <w:kern w:val="2"/>
          <w:sz w:val="24"/>
          <w:szCs w:val="24"/>
          <w:highlight w:val="none"/>
          <w:lang w:val="en-US" w:eastAsia="zh-CN" w:bidi="ar-SA"/>
        </w:rPr>
        <w:t>5.4.1 Web应用防火墙</w:t>
      </w:r>
      <w:bookmarkEnd w:id="276"/>
      <w:bookmarkEnd w:id="277"/>
      <w:bookmarkEnd w:id="278"/>
      <w:bookmarkEnd w:id="279"/>
      <w:bookmarkEnd w:id="280"/>
    </w:p>
    <w:p>
      <w:pPr>
        <w:pStyle w:val="2"/>
        <w:spacing w:after="0"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保护系统避免遭受常见Web漏洞的攻击，防御SQL注入、XSS跨站脚本、常见Web服务器插件漏洞、木马上传、非授权访问等OWASP常见攻击，过滤海量恶意访问，避免网站数据泄露，保障网站的安全性与可用性。</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eastAsia" w:asciiTheme="majorEastAsia" w:hAnsiTheme="majorEastAsia" w:eastAsiaTheme="majorEastAsia" w:cstheme="majorEastAsia"/>
          <w:b/>
          <w:bCs/>
          <w:color w:val="auto"/>
          <w:kern w:val="2"/>
          <w:sz w:val="24"/>
          <w:szCs w:val="24"/>
          <w:highlight w:val="none"/>
          <w:lang w:val="en-US" w:eastAsia="zh-CN" w:bidi="ar-SA"/>
        </w:rPr>
      </w:pPr>
      <w:bookmarkStart w:id="281" w:name="_Toc2462"/>
      <w:bookmarkStart w:id="282" w:name="_Toc13457"/>
      <w:bookmarkStart w:id="283" w:name="_Toc5498"/>
      <w:bookmarkStart w:id="284" w:name="_Toc20590"/>
      <w:bookmarkStart w:id="285" w:name="_Toc14558"/>
      <w:r>
        <w:rPr>
          <w:rFonts w:hint="eastAsia" w:asciiTheme="majorEastAsia" w:hAnsiTheme="majorEastAsia" w:eastAsiaTheme="majorEastAsia" w:cstheme="majorEastAsia"/>
          <w:b/>
          <w:bCs/>
          <w:color w:val="auto"/>
          <w:kern w:val="2"/>
          <w:sz w:val="24"/>
          <w:szCs w:val="24"/>
          <w:highlight w:val="none"/>
          <w:lang w:val="en-US" w:eastAsia="zh-CN" w:bidi="ar-SA"/>
        </w:rPr>
        <w:t>5.4.2 漏洞扫描</w:t>
      </w:r>
      <w:bookmarkEnd w:id="281"/>
      <w:bookmarkEnd w:id="282"/>
      <w:bookmarkEnd w:id="283"/>
      <w:bookmarkEnd w:id="284"/>
      <w:bookmarkEnd w:id="285"/>
    </w:p>
    <w:p>
      <w:pPr>
        <w:pStyle w:val="2"/>
        <w:spacing w:after="0"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根据用户设置的已知资产结合内置的资产学习模型，对资产进行分析，准确分辨资产来源，帮助企业自动发现未知资产。同时根据漏洞检测覆盖能力，帮助企业及时发现未知的安全风险。</w:t>
      </w:r>
    </w:p>
    <w:p>
      <w:pPr>
        <w:pStyle w:val="8"/>
        <w:keepNext w:val="0"/>
        <w:keepLines w:val="0"/>
        <w:pageBreakBefore w:val="0"/>
        <w:widowControl/>
        <w:numPr>
          <w:ilvl w:val="1"/>
          <w:numId w:val="0"/>
        </w:numPr>
        <w:kinsoku/>
        <w:wordWrap/>
        <w:overflowPunct/>
        <w:topLinePunct w:val="0"/>
        <w:autoSpaceDE w:val="0"/>
        <w:autoSpaceDN w:val="0"/>
        <w:bidi w:val="0"/>
        <w:adjustRightInd w:val="0"/>
        <w:snapToGrid/>
        <w:spacing w:beforeLines="0" w:afterLines="0" w:line="440" w:lineRule="exact"/>
        <w:ind w:firstLine="482" w:firstLineChars="200"/>
        <w:textAlignment w:val="auto"/>
        <w:rPr>
          <w:rFonts w:hint="eastAsia" w:asciiTheme="majorEastAsia" w:hAnsiTheme="majorEastAsia" w:eastAsiaTheme="majorEastAsia" w:cstheme="majorEastAsia"/>
          <w:b/>
          <w:bCs/>
          <w:color w:val="auto"/>
          <w:kern w:val="2"/>
          <w:sz w:val="24"/>
          <w:szCs w:val="24"/>
          <w:highlight w:val="none"/>
          <w:lang w:val="en-US" w:eastAsia="zh-CN" w:bidi="ar-SA"/>
        </w:rPr>
      </w:pPr>
      <w:bookmarkStart w:id="286" w:name="_Toc4968"/>
      <w:bookmarkStart w:id="287" w:name="_Toc21892"/>
      <w:bookmarkStart w:id="288" w:name="_Toc69475071"/>
      <w:bookmarkStart w:id="289" w:name="_Toc24442"/>
      <w:bookmarkStart w:id="290" w:name="_Toc14531"/>
      <w:bookmarkStart w:id="291" w:name="_Toc19577"/>
      <w:bookmarkStart w:id="292" w:name="_Toc20967"/>
      <w:bookmarkStart w:id="293" w:name="_Toc27905"/>
      <w:bookmarkStart w:id="294" w:name="_Toc9998"/>
      <w:bookmarkStart w:id="295" w:name="_Toc77092966"/>
      <w:r>
        <w:rPr>
          <w:rFonts w:hint="eastAsia" w:asciiTheme="majorEastAsia" w:hAnsiTheme="majorEastAsia" w:eastAsiaTheme="majorEastAsia" w:cstheme="majorEastAsia"/>
          <w:b/>
          <w:bCs/>
          <w:color w:val="auto"/>
          <w:kern w:val="2"/>
          <w:sz w:val="24"/>
          <w:szCs w:val="24"/>
          <w:highlight w:val="none"/>
          <w:lang w:val="en-US" w:eastAsia="zh-CN" w:bidi="ar-SA"/>
        </w:rPr>
        <w:t>5.4.3 数据安全</w:t>
      </w:r>
      <w:bookmarkEnd w:id="286"/>
      <w:bookmarkEnd w:id="287"/>
      <w:bookmarkEnd w:id="288"/>
      <w:bookmarkEnd w:id="289"/>
      <w:bookmarkEnd w:id="290"/>
      <w:bookmarkEnd w:id="291"/>
      <w:bookmarkEnd w:id="292"/>
      <w:bookmarkEnd w:id="293"/>
      <w:bookmarkEnd w:id="294"/>
      <w:bookmarkEnd w:id="295"/>
    </w:p>
    <w:p>
      <w:pPr>
        <w:pStyle w:val="2"/>
        <w:spacing w:after="0" w:line="440" w:lineRule="exact"/>
        <w:ind w:firstLine="422" w:firstLineChars="200"/>
        <w:jc w:val="left"/>
        <w:rPr>
          <w:rFonts w:hAnsi="宋体" w:cs="宋体"/>
          <w:b/>
          <w:bCs/>
          <w:color w:val="auto"/>
          <w:sz w:val="21"/>
          <w:szCs w:val="21"/>
          <w:highlight w:val="none"/>
        </w:rPr>
      </w:pPr>
      <w:bookmarkStart w:id="296" w:name="_Toc1507"/>
      <w:bookmarkStart w:id="297" w:name="_Toc6754"/>
      <w:bookmarkStart w:id="298" w:name="_Toc8373"/>
      <w:bookmarkStart w:id="299" w:name="_Toc11196"/>
      <w:bookmarkStart w:id="300" w:name="_Toc22950"/>
      <w:r>
        <w:rPr>
          <w:rFonts w:hint="eastAsia" w:hAnsi="宋体" w:cs="宋体"/>
          <w:b/>
          <w:bCs/>
          <w:color w:val="auto"/>
          <w:sz w:val="21"/>
          <w:szCs w:val="21"/>
          <w:highlight w:val="none"/>
        </w:rPr>
        <w:t>数据库审计</w:t>
      </w:r>
      <w:bookmarkEnd w:id="296"/>
      <w:bookmarkEnd w:id="297"/>
      <w:bookmarkEnd w:id="298"/>
      <w:bookmarkEnd w:id="299"/>
      <w:bookmarkEnd w:id="300"/>
    </w:p>
    <w:p>
      <w:pPr>
        <w:pStyle w:val="2"/>
        <w:spacing w:after="0"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数据库审计可实现对云端自建数据库、RDS数据库访问的精确审计，以及准确的应用用户关联审计，并具备风险状况、运行状况、性能状况、语句分布的实时监控能力。</w:t>
      </w:r>
    </w:p>
    <w:p>
      <w:pPr>
        <w:pStyle w:val="2"/>
        <w:spacing w:after="0" w:line="440" w:lineRule="exact"/>
        <w:ind w:firstLine="422" w:firstLineChars="200"/>
        <w:jc w:val="left"/>
        <w:rPr>
          <w:rFonts w:hint="eastAsia" w:hAnsi="宋体" w:cs="宋体"/>
          <w:b/>
          <w:bCs/>
          <w:color w:val="auto"/>
          <w:sz w:val="21"/>
          <w:szCs w:val="21"/>
          <w:highlight w:val="none"/>
        </w:rPr>
      </w:pPr>
      <w:bookmarkStart w:id="301" w:name="_Toc31672"/>
      <w:bookmarkStart w:id="302" w:name="_Toc13321"/>
      <w:bookmarkStart w:id="303" w:name="_Toc1280"/>
      <w:bookmarkStart w:id="304" w:name="_Toc5908"/>
      <w:bookmarkStart w:id="305" w:name="_Toc16300"/>
      <w:r>
        <w:rPr>
          <w:rFonts w:hint="eastAsia" w:hAnsi="宋体" w:cs="宋体"/>
          <w:b/>
          <w:bCs/>
          <w:color w:val="auto"/>
          <w:sz w:val="21"/>
          <w:szCs w:val="21"/>
          <w:highlight w:val="none"/>
        </w:rPr>
        <w:t>数据发现与脱敏</w:t>
      </w:r>
      <w:bookmarkEnd w:id="301"/>
      <w:bookmarkEnd w:id="302"/>
      <w:bookmarkEnd w:id="303"/>
      <w:bookmarkEnd w:id="304"/>
      <w:bookmarkEnd w:id="305"/>
    </w:p>
    <w:p>
      <w:pPr>
        <w:pStyle w:val="2"/>
        <w:spacing w:after="0"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通过扫描IP段设备流量信息检测数据资产，发现数据库分布，并对敏感数据分级分类；通过对资产SQL语句量和会话并发量判断资产使用热度，根据流量统计发现静默资产；通过数据库授权发现资产权限分布及权限详情；通过对敏感数据进行数据抽取、数据漂白、和动态掩码的脱敏处理，满足生产数据面向测试、开发、培训和数据共享场景的数据安全需求，实现“用”、“护”结合。</w:t>
      </w:r>
    </w:p>
    <w:p>
      <w:pPr>
        <w:pStyle w:val="2"/>
        <w:spacing w:after="0" w:line="440" w:lineRule="exact"/>
        <w:ind w:firstLine="422" w:firstLineChars="200"/>
        <w:jc w:val="left"/>
        <w:rPr>
          <w:rFonts w:hint="eastAsia" w:hAnsi="宋体" w:cs="宋体"/>
          <w:b/>
          <w:bCs/>
          <w:color w:val="auto"/>
          <w:sz w:val="21"/>
          <w:szCs w:val="21"/>
          <w:highlight w:val="none"/>
        </w:rPr>
      </w:pPr>
      <w:bookmarkStart w:id="306" w:name="_Toc14453"/>
      <w:bookmarkStart w:id="307" w:name="_Toc14628"/>
      <w:bookmarkStart w:id="308" w:name="_Toc20859"/>
      <w:bookmarkStart w:id="309" w:name="_Toc5750"/>
      <w:bookmarkStart w:id="310" w:name="_Toc8157"/>
      <w:r>
        <w:rPr>
          <w:rFonts w:hint="eastAsia" w:hAnsi="宋体" w:cs="宋体"/>
          <w:b/>
          <w:bCs/>
          <w:color w:val="auto"/>
          <w:sz w:val="21"/>
          <w:szCs w:val="21"/>
          <w:highlight w:val="none"/>
        </w:rPr>
        <w:t>敏感数据保护</w:t>
      </w:r>
      <w:bookmarkEnd w:id="306"/>
      <w:bookmarkEnd w:id="307"/>
      <w:bookmarkEnd w:id="308"/>
      <w:bookmarkEnd w:id="309"/>
      <w:bookmarkEnd w:id="310"/>
    </w:p>
    <w:p>
      <w:pPr>
        <w:pStyle w:val="2"/>
        <w:spacing w:after="0"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敏感数据保护是运用大数据分析能力以及人工智能相关技术，通过智能化敏感数据识别，基于业务需求实现分类分级，并在精准识别基础上实现全域流转监控与异常检测，达到精准识别、精准检测、精准分析、有效保护，实现可见、可控、合规的安全保护要求。</w:t>
      </w:r>
    </w:p>
    <w:p>
      <w:pPr>
        <w:pStyle w:val="2"/>
        <w:spacing w:after="0" w:line="440" w:lineRule="exact"/>
        <w:ind w:firstLine="422" w:firstLineChars="200"/>
        <w:jc w:val="left"/>
        <w:rPr>
          <w:rFonts w:hint="eastAsia" w:hAnsi="宋体" w:cs="宋体"/>
          <w:b/>
          <w:bCs/>
          <w:color w:val="auto"/>
          <w:sz w:val="21"/>
          <w:szCs w:val="21"/>
          <w:highlight w:val="none"/>
        </w:rPr>
      </w:pPr>
      <w:bookmarkStart w:id="311" w:name="_Toc6018"/>
      <w:bookmarkStart w:id="312" w:name="_Toc1898"/>
      <w:bookmarkStart w:id="313" w:name="_Toc25535"/>
      <w:bookmarkStart w:id="314" w:name="_Toc3573"/>
      <w:bookmarkStart w:id="315" w:name="_Toc2054"/>
      <w:r>
        <w:rPr>
          <w:rFonts w:hint="eastAsia" w:hAnsi="宋体" w:cs="宋体"/>
          <w:b/>
          <w:bCs/>
          <w:color w:val="auto"/>
          <w:sz w:val="21"/>
          <w:szCs w:val="21"/>
          <w:highlight w:val="none"/>
        </w:rPr>
        <w:t>数据安全开放防护</w:t>
      </w:r>
      <w:bookmarkEnd w:id="311"/>
      <w:bookmarkEnd w:id="312"/>
      <w:bookmarkEnd w:id="313"/>
      <w:bookmarkEnd w:id="314"/>
      <w:bookmarkEnd w:id="315"/>
    </w:p>
    <w:p>
      <w:pPr>
        <w:pStyle w:val="2"/>
        <w:spacing w:after="0"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数据安全开放防护提供受限共享数据进行对外交互的安全防护功能。</w:t>
      </w:r>
    </w:p>
    <w:p>
      <w:pPr>
        <w:pStyle w:val="7"/>
        <w:numPr>
          <w:ilvl w:val="1"/>
          <w:numId w:val="0"/>
        </w:numPr>
        <w:spacing w:line="440" w:lineRule="exact"/>
        <w:ind w:firstLine="562" w:firstLineChars="200"/>
        <w:rPr>
          <w:rFonts w:hint="eastAsia" w:cs="宋体"/>
          <w:b/>
          <w:bCs/>
          <w:color w:val="auto"/>
          <w:kern w:val="2"/>
          <w:sz w:val="28"/>
          <w:szCs w:val="28"/>
          <w:highlight w:val="none"/>
          <w:lang w:val="en-US" w:eastAsia="zh-CN" w:bidi="ar-SA"/>
        </w:rPr>
      </w:pPr>
      <w:bookmarkStart w:id="316" w:name="_Toc20497"/>
      <w:bookmarkStart w:id="317" w:name="_Toc14516"/>
      <w:bookmarkStart w:id="318" w:name="_Toc14747"/>
      <w:bookmarkStart w:id="319" w:name="_Toc14682"/>
      <w:bookmarkStart w:id="320" w:name="_Toc15811"/>
      <w:bookmarkStart w:id="321" w:name="_Toc13357"/>
      <w:bookmarkStart w:id="322" w:name="_Toc26657"/>
      <w:bookmarkStart w:id="323" w:name="_Toc7938"/>
      <w:r>
        <w:rPr>
          <w:rFonts w:hint="eastAsia" w:cs="宋体"/>
          <w:b/>
          <w:bCs/>
          <w:color w:val="auto"/>
          <w:kern w:val="2"/>
          <w:sz w:val="28"/>
          <w:szCs w:val="28"/>
          <w:highlight w:val="none"/>
          <w:lang w:val="en-US" w:eastAsia="zh-CN" w:bidi="ar-SA"/>
        </w:rPr>
        <w:t>5.5 安全运营</w:t>
      </w:r>
      <w:bookmarkEnd w:id="316"/>
      <w:bookmarkEnd w:id="317"/>
      <w:bookmarkEnd w:id="318"/>
      <w:bookmarkEnd w:id="319"/>
      <w:bookmarkEnd w:id="320"/>
      <w:bookmarkEnd w:id="321"/>
      <w:bookmarkEnd w:id="322"/>
      <w:bookmarkEnd w:id="323"/>
    </w:p>
    <w:p>
      <w:pPr>
        <w:pStyle w:val="2"/>
        <w:spacing w:after="0" w:line="440" w:lineRule="exact"/>
        <w:ind w:firstLine="420" w:firstLineChars="200"/>
        <w:jc w:val="left"/>
        <w:rPr>
          <w:rFonts w:ascii="宋体" w:hAnsi="宋体" w:cs="宋体"/>
          <w:color w:val="auto"/>
          <w:sz w:val="24"/>
          <w:szCs w:val="20"/>
          <w:highlight w:val="none"/>
        </w:rPr>
      </w:pPr>
      <w:r>
        <w:rPr>
          <w:rFonts w:hint="eastAsia" w:ascii="宋体" w:hAnsi="宋体" w:cs="宋体"/>
          <w:color w:val="auto"/>
          <w:szCs w:val="21"/>
          <w:highlight w:val="none"/>
        </w:rPr>
        <w:t>堡垒机可通过身份管理、授权管理、双因子认证、实时会话监控与切断、审计录像回放、高危指令查询等功能，为云平台的物理服务器或云服务器（ECS）的运维提供完整的审计回放和权限控制服务。</w:t>
      </w:r>
    </w:p>
    <w:p>
      <w:pPr>
        <w:pStyle w:val="7"/>
        <w:numPr>
          <w:ilvl w:val="1"/>
          <w:numId w:val="0"/>
        </w:numPr>
        <w:spacing w:line="440" w:lineRule="exact"/>
        <w:ind w:firstLine="562" w:firstLineChars="200"/>
        <w:rPr>
          <w:rFonts w:hint="default" w:cs="宋体"/>
          <w:b/>
          <w:bCs/>
          <w:color w:val="auto"/>
          <w:kern w:val="2"/>
          <w:sz w:val="28"/>
          <w:szCs w:val="28"/>
          <w:highlight w:val="none"/>
          <w:lang w:val="en-US" w:eastAsia="zh-CN" w:bidi="ar-SA"/>
        </w:rPr>
      </w:pPr>
      <w:bookmarkStart w:id="324" w:name="_Toc1360"/>
      <w:bookmarkStart w:id="325" w:name="_Toc4590"/>
      <w:bookmarkStart w:id="326" w:name="_Toc10159"/>
      <w:bookmarkStart w:id="327" w:name="_Toc19124"/>
      <w:bookmarkStart w:id="328" w:name="_Toc25650"/>
      <w:bookmarkStart w:id="329" w:name="_Toc7900"/>
      <w:r>
        <w:rPr>
          <w:rFonts w:hint="eastAsia" w:cs="宋体"/>
          <w:b/>
          <w:bCs/>
          <w:color w:val="auto"/>
          <w:kern w:val="2"/>
          <w:sz w:val="28"/>
          <w:szCs w:val="28"/>
          <w:highlight w:val="none"/>
          <w:lang w:val="en-US" w:eastAsia="zh-CN" w:bidi="ar-SA"/>
        </w:rPr>
        <w:t>5.6安全等级保护</w:t>
      </w:r>
      <w:bookmarkEnd w:id="324"/>
      <w:bookmarkEnd w:id="325"/>
      <w:bookmarkEnd w:id="326"/>
      <w:bookmarkEnd w:id="327"/>
      <w:bookmarkEnd w:id="328"/>
      <w:bookmarkEnd w:id="329"/>
      <w:r>
        <w:rPr>
          <w:rFonts w:hint="eastAsia" w:cs="宋体"/>
          <w:b/>
          <w:bCs/>
          <w:color w:val="auto"/>
          <w:kern w:val="2"/>
          <w:sz w:val="28"/>
          <w:szCs w:val="28"/>
          <w:highlight w:val="none"/>
          <w:lang w:val="en-US" w:eastAsia="zh-CN" w:bidi="ar-SA"/>
        </w:rPr>
        <w:t>定级</w:t>
      </w:r>
    </w:p>
    <w:p>
      <w:pPr>
        <w:pStyle w:val="2"/>
        <w:spacing w:after="0"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根据《GB/T 22240-2020 信息安全技术 信息系统安全等级保护定级指南》，定级要素与安全保护等级的关系如下表所示：</w:t>
      </w:r>
    </w:p>
    <w:tbl>
      <w:tblPr>
        <w:tblStyle w:val="29"/>
        <w:tblW w:w="8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6"/>
        <w:gridCol w:w="1746"/>
        <w:gridCol w:w="1754"/>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6" w:type="dxa"/>
            <w:vMerge w:val="restart"/>
            <w:vAlign w:val="center"/>
          </w:tcPr>
          <w:p>
            <w:pPr>
              <w:jc w:val="center"/>
              <w:rPr>
                <w:rFonts w:ascii="宋体" w:hAnsi="宋体" w:cs="宋体"/>
                <w:color w:val="auto"/>
                <w:sz w:val="18"/>
                <w:szCs w:val="13"/>
                <w:highlight w:val="none"/>
              </w:rPr>
            </w:pPr>
            <w:r>
              <w:rPr>
                <w:rFonts w:hint="eastAsia" w:ascii="宋体" w:hAnsi="宋体" w:cs="宋体"/>
                <w:color w:val="auto"/>
                <w:sz w:val="18"/>
                <w:szCs w:val="13"/>
                <w:highlight w:val="none"/>
              </w:rPr>
              <w:t>受侵害的客体</w:t>
            </w:r>
          </w:p>
        </w:tc>
        <w:tc>
          <w:tcPr>
            <w:tcW w:w="5425" w:type="dxa"/>
            <w:gridSpan w:val="3"/>
            <w:vAlign w:val="center"/>
          </w:tcPr>
          <w:p>
            <w:pPr>
              <w:jc w:val="center"/>
              <w:rPr>
                <w:rFonts w:ascii="宋体" w:hAnsi="宋体" w:cs="宋体"/>
                <w:color w:val="auto"/>
                <w:sz w:val="18"/>
                <w:szCs w:val="13"/>
                <w:highlight w:val="none"/>
              </w:rPr>
            </w:pPr>
            <w:r>
              <w:rPr>
                <w:rFonts w:hint="eastAsia" w:ascii="宋体" w:hAnsi="宋体" w:cs="宋体"/>
                <w:color w:val="auto"/>
                <w:sz w:val="18"/>
                <w:szCs w:val="13"/>
                <w:highlight w:val="none"/>
              </w:rPr>
              <w:t>对客体的侵害程度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6" w:type="dxa"/>
            <w:vMerge w:val="continue"/>
            <w:vAlign w:val="center"/>
          </w:tcPr>
          <w:p>
            <w:pPr>
              <w:jc w:val="center"/>
              <w:rPr>
                <w:rFonts w:ascii="宋体" w:hAnsi="宋体" w:cs="宋体"/>
                <w:color w:val="auto"/>
                <w:sz w:val="18"/>
                <w:szCs w:val="13"/>
                <w:highlight w:val="none"/>
              </w:rPr>
            </w:pPr>
          </w:p>
        </w:tc>
        <w:tc>
          <w:tcPr>
            <w:tcW w:w="1746" w:type="dxa"/>
            <w:vAlign w:val="center"/>
          </w:tcPr>
          <w:p>
            <w:pPr>
              <w:jc w:val="center"/>
              <w:rPr>
                <w:rFonts w:ascii="宋体" w:hAnsi="宋体" w:cs="宋体"/>
                <w:color w:val="auto"/>
                <w:sz w:val="18"/>
                <w:szCs w:val="13"/>
                <w:highlight w:val="none"/>
              </w:rPr>
            </w:pPr>
            <w:r>
              <w:rPr>
                <w:rFonts w:hint="eastAsia" w:ascii="宋体" w:hAnsi="宋体" w:cs="宋体"/>
                <w:color w:val="auto"/>
                <w:sz w:val="18"/>
                <w:szCs w:val="13"/>
                <w:highlight w:val="none"/>
              </w:rPr>
              <w:t>一般损害</w:t>
            </w:r>
          </w:p>
        </w:tc>
        <w:tc>
          <w:tcPr>
            <w:tcW w:w="1754" w:type="dxa"/>
            <w:vAlign w:val="center"/>
          </w:tcPr>
          <w:p>
            <w:pPr>
              <w:jc w:val="center"/>
              <w:rPr>
                <w:rFonts w:ascii="宋体" w:hAnsi="宋体" w:cs="宋体"/>
                <w:color w:val="auto"/>
                <w:sz w:val="18"/>
                <w:szCs w:val="13"/>
                <w:highlight w:val="none"/>
              </w:rPr>
            </w:pPr>
            <w:r>
              <w:rPr>
                <w:rFonts w:hint="eastAsia" w:ascii="宋体" w:hAnsi="宋体" w:cs="宋体"/>
                <w:color w:val="auto"/>
                <w:sz w:val="18"/>
                <w:szCs w:val="13"/>
                <w:highlight w:val="none"/>
              </w:rPr>
              <w:t>严重损害</w:t>
            </w:r>
          </w:p>
        </w:tc>
        <w:tc>
          <w:tcPr>
            <w:tcW w:w="1925" w:type="dxa"/>
            <w:vAlign w:val="center"/>
          </w:tcPr>
          <w:p>
            <w:pPr>
              <w:rPr>
                <w:rFonts w:ascii="宋体" w:hAnsi="宋体" w:cs="宋体"/>
                <w:color w:val="auto"/>
                <w:sz w:val="18"/>
                <w:szCs w:val="13"/>
                <w:highlight w:val="none"/>
              </w:rPr>
            </w:pPr>
            <w:r>
              <w:rPr>
                <w:rFonts w:hint="eastAsia" w:ascii="宋体" w:hAnsi="宋体" w:cs="宋体"/>
                <w:color w:val="auto"/>
                <w:sz w:val="18"/>
                <w:szCs w:val="13"/>
                <w:highlight w:val="none"/>
              </w:rPr>
              <w:t>特别严重损害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406" w:type="dxa"/>
            <w:vAlign w:val="center"/>
          </w:tcPr>
          <w:p>
            <w:pPr>
              <w:jc w:val="center"/>
              <w:rPr>
                <w:rFonts w:ascii="宋体" w:hAnsi="宋体" w:cs="宋体"/>
                <w:color w:val="auto"/>
                <w:sz w:val="18"/>
                <w:szCs w:val="13"/>
                <w:highlight w:val="none"/>
              </w:rPr>
            </w:pPr>
            <w:bookmarkStart w:id="330" w:name="_Hlk80735217"/>
            <w:r>
              <w:rPr>
                <w:rFonts w:hint="eastAsia" w:ascii="宋体" w:hAnsi="宋体" w:cs="宋体"/>
                <w:color w:val="auto"/>
                <w:sz w:val="18"/>
                <w:szCs w:val="13"/>
                <w:highlight w:val="none"/>
              </w:rPr>
              <w:t>公民、法人和其他组织的合法权益</w:t>
            </w:r>
            <w:bookmarkEnd w:id="330"/>
          </w:p>
        </w:tc>
        <w:tc>
          <w:tcPr>
            <w:tcW w:w="1746" w:type="dxa"/>
            <w:vAlign w:val="center"/>
          </w:tcPr>
          <w:p>
            <w:pPr>
              <w:jc w:val="center"/>
              <w:rPr>
                <w:rFonts w:ascii="宋体" w:hAnsi="宋体" w:cs="宋体"/>
                <w:color w:val="auto"/>
                <w:sz w:val="18"/>
                <w:szCs w:val="13"/>
                <w:highlight w:val="none"/>
              </w:rPr>
            </w:pPr>
            <w:r>
              <w:rPr>
                <w:rFonts w:hint="eastAsia" w:ascii="宋体" w:hAnsi="宋体" w:cs="宋体"/>
                <w:color w:val="auto"/>
                <w:sz w:val="18"/>
                <w:szCs w:val="13"/>
                <w:highlight w:val="none"/>
              </w:rPr>
              <w:t>第一级</w:t>
            </w:r>
          </w:p>
        </w:tc>
        <w:tc>
          <w:tcPr>
            <w:tcW w:w="1754" w:type="dxa"/>
            <w:vAlign w:val="center"/>
          </w:tcPr>
          <w:p>
            <w:pPr>
              <w:jc w:val="center"/>
              <w:rPr>
                <w:rFonts w:ascii="宋体" w:hAnsi="宋体" w:cs="宋体"/>
                <w:color w:val="auto"/>
                <w:sz w:val="18"/>
                <w:szCs w:val="13"/>
                <w:highlight w:val="none"/>
              </w:rPr>
            </w:pPr>
            <w:r>
              <w:rPr>
                <w:rFonts w:hint="eastAsia" w:ascii="宋体" w:hAnsi="宋体" w:cs="宋体"/>
                <w:color w:val="auto"/>
                <w:sz w:val="18"/>
                <w:szCs w:val="13"/>
                <w:highlight w:val="none"/>
              </w:rPr>
              <w:t>第二级</w:t>
            </w:r>
          </w:p>
        </w:tc>
        <w:tc>
          <w:tcPr>
            <w:tcW w:w="1925" w:type="dxa"/>
            <w:vAlign w:val="center"/>
          </w:tcPr>
          <w:p>
            <w:pPr>
              <w:rPr>
                <w:rFonts w:ascii="宋体" w:hAnsi="宋体" w:cs="宋体"/>
                <w:color w:val="auto"/>
                <w:sz w:val="18"/>
                <w:szCs w:val="13"/>
                <w:highlight w:val="none"/>
              </w:rPr>
            </w:pPr>
            <w:r>
              <w:rPr>
                <w:rFonts w:hint="eastAsia" w:ascii="宋体" w:hAnsi="宋体" w:cs="宋体"/>
                <w:color w:val="auto"/>
                <w:sz w:val="18"/>
                <w:szCs w:val="13"/>
                <w:highlight w:val="none"/>
              </w:rPr>
              <w:t>第三级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6" w:type="dxa"/>
            <w:vAlign w:val="center"/>
          </w:tcPr>
          <w:p>
            <w:pPr>
              <w:jc w:val="center"/>
              <w:rPr>
                <w:rFonts w:ascii="宋体" w:hAnsi="宋体" w:cs="宋体"/>
                <w:color w:val="auto"/>
                <w:sz w:val="18"/>
                <w:szCs w:val="13"/>
                <w:highlight w:val="none"/>
              </w:rPr>
            </w:pPr>
            <w:r>
              <w:rPr>
                <w:rFonts w:hint="eastAsia" w:ascii="宋体" w:hAnsi="宋体" w:cs="宋体"/>
                <w:color w:val="auto"/>
                <w:sz w:val="18"/>
                <w:szCs w:val="13"/>
                <w:highlight w:val="none"/>
              </w:rPr>
              <w:t>社会秩序、公共利益</w:t>
            </w:r>
          </w:p>
        </w:tc>
        <w:tc>
          <w:tcPr>
            <w:tcW w:w="1746" w:type="dxa"/>
            <w:vAlign w:val="center"/>
          </w:tcPr>
          <w:p>
            <w:pPr>
              <w:jc w:val="center"/>
              <w:rPr>
                <w:rFonts w:ascii="宋体" w:hAnsi="宋体" w:cs="宋体"/>
                <w:color w:val="auto"/>
                <w:sz w:val="18"/>
                <w:szCs w:val="13"/>
                <w:highlight w:val="none"/>
              </w:rPr>
            </w:pPr>
            <w:r>
              <w:rPr>
                <w:rFonts w:hint="eastAsia" w:ascii="宋体" w:hAnsi="宋体" w:cs="宋体"/>
                <w:color w:val="auto"/>
                <w:sz w:val="18"/>
                <w:szCs w:val="13"/>
                <w:highlight w:val="none"/>
              </w:rPr>
              <w:t>第二级</w:t>
            </w:r>
          </w:p>
        </w:tc>
        <w:tc>
          <w:tcPr>
            <w:tcW w:w="1754" w:type="dxa"/>
            <w:vAlign w:val="center"/>
          </w:tcPr>
          <w:p>
            <w:pPr>
              <w:jc w:val="center"/>
              <w:rPr>
                <w:rFonts w:ascii="宋体" w:hAnsi="宋体" w:cs="宋体"/>
                <w:color w:val="auto"/>
                <w:sz w:val="18"/>
                <w:szCs w:val="13"/>
                <w:highlight w:val="none"/>
              </w:rPr>
            </w:pPr>
            <w:r>
              <w:rPr>
                <w:rFonts w:hint="eastAsia" w:ascii="宋体" w:hAnsi="宋体" w:cs="宋体"/>
                <w:color w:val="auto"/>
                <w:sz w:val="18"/>
                <w:szCs w:val="13"/>
                <w:highlight w:val="none"/>
              </w:rPr>
              <w:t>第三级</w:t>
            </w:r>
          </w:p>
        </w:tc>
        <w:tc>
          <w:tcPr>
            <w:tcW w:w="1925" w:type="dxa"/>
            <w:vAlign w:val="center"/>
          </w:tcPr>
          <w:p>
            <w:pPr>
              <w:rPr>
                <w:rFonts w:ascii="宋体" w:hAnsi="宋体" w:cs="宋体"/>
                <w:color w:val="auto"/>
                <w:sz w:val="18"/>
                <w:szCs w:val="13"/>
                <w:highlight w:val="none"/>
              </w:rPr>
            </w:pPr>
            <w:r>
              <w:rPr>
                <w:rFonts w:hint="eastAsia" w:ascii="宋体" w:hAnsi="宋体" w:cs="宋体"/>
                <w:color w:val="auto"/>
                <w:sz w:val="18"/>
                <w:szCs w:val="13"/>
                <w:highlight w:val="none"/>
              </w:rPr>
              <w:t>第四级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6" w:type="dxa"/>
            <w:vAlign w:val="center"/>
          </w:tcPr>
          <w:p>
            <w:pPr>
              <w:jc w:val="center"/>
              <w:rPr>
                <w:rFonts w:ascii="宋体" w:hAnsi="宋体" w:cs="宋体"/>
                <w:color w:val="auto"/>
                <w:sz w:val="18"/>
                <w:szCs w:val="13"/>
                <w:highlight w:val="none"/>
              </w:rPr>
            </w:pPr>
            <w:r>
              <w:rPr>
                <w:rFonts w:hint="eastAsia" w:ascii="宋体" w:hAnsi="宋体" w:cs="宋体"/>
                <w:color w:val="auto"/>
                <w:sz w:val="18"/>
                <w:szCs w:val="13"/>
                <w:highlight w:val="none"/>
              </w:rPr>
              <w:t>国家安全</w:t>
            </w:r>
          </w:p>
        </w:tc>
        <w:tc>
          <w:tcPr>
            <w:tcW w:w="1746" w:type="dxa"/>
            <w:vAlign w:val="center"/>
          </w:tcPr>
          <w:p>
            <w:pPr>
              <w:jc w:val="center"/>
              <w:rPr>
                <w:rFonts w:ascii="宋体" w:hAnsi="宋体" w:cs="宋体"/>
                <w:color w:val="auto"/>
                <w:sz w:val="18"/>
                <w:szCs w:val="13"/>
                <w:highlight w:val="none"/>
              </w:rPr>
            </w:pPr>
            <w:r>
              <w:rPr>
                <w:rFonts w:hint="eastAsia" w:ascii="宋体" w:hAnsi="宋体" w:cs="宋体"/>
                <w:color w:val="auto"/>
                <w:sz w:val="18"/>
                <w:szCs w:val="13"/>
                <w:highlight w:val="none"/>
              </w:rPr>
              <w:t>第三级</w:t>
            </w:r>
          </w:p>
        </w:tc>
        <w:tc>
          <w:tcPr>
            <w:tcW w:w="1754" w:type="dxa"/>
            <w:vAlign w:val="center"/>
          </w:tcPr>
          <w:p>
            <w:pPr>
              <w:jc w:val="center"/>
              <w:rPr>
                <w:rFonts w:ascii="宋体" w:hAnsi="宋体" w:cs="宋体"/>
                <w:color w:val="auto"/>
                <w:sz w:val="18"/>
                <w:szCs w:val="13"/>
                <w:highlight w:val="none"/>
              </w:rPr>
            </w:pPr>
            <w:r>
              <w:rPr>
                <w:rFonts w:hint="eastAsia" w:ascii="宋体" w:hAnsi="宋体" w:cs="宋体"/>
                <w:color w:val="auto"/>
                <w:sz w:val="18"/>
                <w:szCs w:val="13"/>
                <w:highlight w:val="none"/>
              </w:rPr>
              <w:t>第四级</w:t>
            </w:r>
          </w:p>
        </w:tc>
        <w:tc>
          <w:tcPr>
            <w:tcW w:w="1925" w:type="dxa"/>
            <w:vAlign w:val="center"/>
          </w:tcPr>
          <w:p>
            <w:pPr>
              <w:rPr>
                <w:rFonts w:ascii="宋体" w:hAnsi="宋体" w:cs="宋体"/>
                <w:color w:val="auto"/>
                <w:sz w:val="18"/>
                <w:szCs w:val="13"/>
                <w:highlight w:val="none"/>
              </w:rPr>
            </w:pPr>
            <w:r>
              <w:rPr>
                <w:rFonts w:hint="eastAsia" w:ascii="宋体" w:hAnsi="宋体" w:cs="宋体"/>
                <w:color w:val="auto"/>
                <w:sz w:val="18"/>
                <w:szCs w:val="13"/>
                <w:highlight w:val="none"/>
              </w:rPr>
              <w:t>第五级</w:t>
            </w:r>
          </w:p>
        </w:tc>
      </w:tr>
    </w:tbl>
    <w:p>
      <w:pPr>
        <w:pStyle w:val="3"/>
        <w:spacing w:after="0" w:line="440" w:lineRule="exact"/>
        <w:ind w:firstLineChars="200"/>
        <w:rPr>
          <w:rFonts w:ascii="宋体" w:hAnsi="宋体" w:cs="宋体"/>
          <w:color w:val="auto"/>
          <w:sz w:val="21"/>
          <w:szCs w:val="21"/>
          <w:highlight w:val="none"/>
        </w:rPr>
      </w:pPr>
      <w:r>
        <w:rPr>
          <w:rFonts w:hint="eastAsia" w:ascii="宋体" w:hAnsi="宋体" w:cs="宋体"/>
          <w:color w:val="auto"/>
          <w:sz w:val="21"/>
          <w:szCs w:val="21"/>
          <w:highlight w:val="none"/>
        </w:rPr>
        <w:t>本项目所建系统的用户为一般社会公众，所以在信息安全受到破坏后，受侵害的客体有两类，一类为公民、法人和其他组织的合法权益，一类为社会秩序和公共利益。</w:t>
      </w:r>
    </w:p>
    <w:p>
      <w:pPr>
        <w:pStyle w:val="3"/>
        <w:spacing w:after="0" w:line="440" w:lineRule="exact"/>
        <w:ind w:firstLineChars="200"/>
        <w:rPr>
          <w:rFonts w:ascii="宋体" w:hAnsi="宋体" w:cs="宋体"/>
          <w:color w:val="auto"/>
          <w:sz w:val="21"/>
          <w:szCs w:val="21"/>
          <w:highlight w:val="none"/>
        </w:rPr>
      </w:pPr>
      <w:r>
        <w:rPr>
          <w:rFonts w:hint="eastAsia" w:ascii="宋体" w:hAnsi="宋体" w:cs="宋体"/>
          <w:color w:val="auto"/>
          <w:sz w:val="21"/>
          <w:szCs w:val="21"/>
          <w:highlight w:val="none"/>
        </w:rPr>
        <w:t>安全受到破坏后：</w:t>
      </w:r>
    </w:p>
    <w:p>
      <w:pPr>
        <w:pStyle w:val="2"/>
        <w:spacing w:after="0" w:line="44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可能对第一类客体产生严重影响，具体表现为：工作职能受到严重影响，业务能力显著下降且严重；影响主要功能执行，出现较严重的法律问题，较高的财产损失，较大范围的社会不良影响，对其他组织和个人造成较高损害；</w:t>
      </w:r>
    </w:p>
    <w:p>
      <w:pPr>
        <w:pStyle w:val="3"/>
        <w:spacing w:after="0" w:line="440" w:lineRule="exact"/>
        <w:ind w:firstLineChars="200"/>
        <w:rPr>
          <w:rFonts w:ascii="宋体" w:hAnsi="宋体" w:cs="宋体"/>
          <w:color w:val="auto"/>
          <w:sz w:val="21"/>
          <w:szCs w:val="21"/>
          <w:highlight w:val="none"/>
        </w:rPr>
      </w:pPr>
      <w:r>
        <w:rPr>
          <w:rFonts w:hint="eastAsia" w:ascii="宋体" w:hAnsi="宋体" w:cs="宋体"/>
          <w:color w:val="auto"/>
          <w:sz w:val="21"/>
          <w:szCs w:val="21"/>
          <w:highlight w:val="none"/>
        </w:rPr>
        <w:t>可能对第二类客体产生一般影响，具体表现为：系统功能受到局部影响，业务能力有所降低但不影响主要功能的执行，可能造成法律问题，可能造成较低的财产损失、有限的社会不良影响。</w:t>
      </w:r>
    </w:p>
    <w:p>
      <w:pPr>
        <w:pStyle w:val="3"/>
        <w:spacing w:after="0" w:line="440" w:lineRule="exact"/>
        <w:ind w:firstLineChars="200"/>
        <w:rPr>
          <w:rFonts w:ascii="宋体" w:hAnsi="宋体" w:cs="宋体"/>
          <w:color w:val="auto"/>
          <w:sz w:val="21"/>
          <w:szCs w:val="21"/>
          <w:highlight w:val="none"/>
        </w:rPr>
      </w:pPr>
      <w:r>
        <w:rPr>
          <w:rFonts w:hint="eastAsia" w:ascii="宋体" w:hAnsi="宋体" w:cs="宋体"/>
          <w:color w:val="auto"/>
          <w:sz w:val="21"/>
          <w:szCs w:val="21"/>
          <w:highlight w:val="none"/>
        </w:rPr>
        <w:t>根据上述分分析，本系统的安全等级建议确定为三级。在第一期开发完成上架测试后，</w:t>
      </w:r>
      <w:r>
        <w:rPr>
          <w:rFonts w:hint="eastAsia" w:ascii="宋体" w:hAnsi="宋体" w:cs="宋体"/>
          <w:color w:val="auto"/>
          <w:sz w:val="21"/>
          <w:szCs w:val="21"/>
          <w:highlight w:val="none"/>
          <w:lang w:val="en-US" w:eastAsia="zh-CN"/>
        </w:rPr>
        <w:t>根据</w:t>
      </w:r>
      <w:r>
        <w:rPr>
          <w:rFonts w:hint="eastAsia" w:ascii="宋体" w:hAnsi="宋体" w:cs="宋体"/>
          <w:color w:val="auto"/>
          <w:sz w:val="21"/>
          <w:szCs w:val="21"/>
          <w:highlight w:val="none"/>
        </w:rPr>
        <w:t>等保测评服务</w:t>
      </w:r>
      <w:r>
        <w:rPr>
          <w:rFonts w:hint="eastAsia" w:ascii="宋体" w:hAnsi="宋体" w:cs="宋体"/>
          <w:color w:val="auto"/>
          <w:sz w:val="21"/>
          <w:szCs w:val="21"/>
          <w:highlight w:val="none"/>
          <w:lang w:val="en-US" w:eastAsia="zh-CN"/>
        </w:rPr>
        <w:t>的要求</w:t>
      </w:r>
      <w:r>
        <w:rPr>
          <w:rFonts w:hint="eastAsia" w:ascii="宋体" w:hAnsi="宋体" w:cs="宋体"/>
          <w:color w:val="auto"/>
          <w:sz w:val="21"/>
          <w:szCs w:val="21"/>
          <w:highlight w:val="none"/>
        </w:rPr>
        <w:t>，将网络资源、应用模块、主机安全、操作规范等全面进行检查，并理出不足，加以改进。</w:t>
      </w:r>
    </w:p>
    <w:p>
      <w:pPr>
        <w:pStyle w:val="6"/>
        <w:keepLines/>
        <w:widowControl w:val="0"/>
        <w:numPr>
          <w:ilvl w:val="2"/>
          <w:numId w:val="0"/>
        </w:numPr>
        <w:spacing w:before="156" w:after="156"/>
        <w:jc w:val="center"/>
        <w:textAlignment w:val="baseline"/>
        <w:rPr>
          <w:rFonts w:hint="eastAsia" w:ascii="宋体" w:hAnsi="宋体" w:cs="宋体"/>
          <w:b/>
          <w:bCs/>
          <w:color w:val="auto"/>
          <w:kern w:val="2"/>
          <w:sz w:val="32"/>
          <w:szCs w:val="32"/>
          <w:highlight w:val="none"/>
          <w:lang w:val="en-US" w:eastAsia="zh-CN"/>
        </w:rPr>
      </w:pPr>
      <w:bookmarkStart w:id="331" w:name="_Toc29830"/>
      <w:bookmarkStart w:id="332" w:name="_Toc3578"/>
      <w:bookmarkStart w:id="333" w:name="_Toc17103"/>
      <w:bookmarkStart w:id="334" w:name="_Toc32233"/>
      <w:bookmarkStart w:id="335" w:name="_Toc1681"/>
      <w:r>
        <w:rPr>
          <w:rFonts w:hint="eastAsia" w:ascii="宋体" w:hAnsi="宋体" w:cs="宋体"/>
          <w:b/>
          <w:bCs/>
          <w:color w:val="auto"/>
          <w:kern w:val="2"/>
          <w:sz w:val="32"/>
          <w:szCs w:val="32"/>
          <w:highlight w:val="none"/>
          <w:lang w:val="en-US" w:eastAsia="zh-CN"/>
        </w:rPr>
        <w:t>六、云服务器资源</w:t>
      </w:r>
      <w:bookmarkEnd w:id="331"/>
      <w:bookmarkEnd w:id="332"/>
      <w:bookmarkEnd w:id="333"/>
      <w:bookmarkEnd w:id="334"/>
      <w:bookmarkEnd w:id="335"/>
    </w:p>
    <w:p>
      <w:pPr>
        <w:numPr>
          <w:ilvl w:val="0"/>
          <w:numId w:val="0"/>
        </w:numPr>
        <w:rPr>
          <w:rFonts w:hint="eastAsia"/>
          <w:color w:val="auto"/>
          <w:highlight w:val="none"/>
          <w:lang w:val="en-US" w:eastAsia="zh-CN"/>
        </w:rPr>
      </w:pPr>
    </w:p>
    <w:tbl>
      <w:tblPr>
        <w:tblStyle w:val="28"/>
        <w:tblW w:w="7845" w:type="dxa"/>
        <w:jc w:val="center"/>
        <w:tblLayout w:type="fixed"/>
        <w:tblCellMar>
          <w:top w:w="0" w:type="dxa"/>
          <w:left w:w="108" w:type="dxa"/>
          <w:bottom w:w="0" w:type="dxa"/>
          <w:right w:w="108" w:type="dxa"/>
        </w:tblCellMar>
      </w:tblPr>
      <w:tblGrid>
        <w:gridCol w:w="1080"/>
        <w:gridCol w:w="1080"/>
        <w:gridCol w:w="1230"/>
        <w:gridCol w:w="3375"/>
        <w:gridCol w:w="1080"/>
      </w:tblGrid>
      <w:tr>
        <w:tblPrEx>
          <w:tblCellMar>
            <w:top w:w="0" w:type="dxa"/>
            <w:left w:w="108" w:type="dxa"/>
            <w:bottom w:w="0" w:type="dxa"/>
            <w:right w:w="108" w:type="dxa"/>
          </w:tblCellMar>
        </w:tblPrEx>
        <w:trPr>
          <w:trHeight w:val="40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3"/>
              <w:spacing w:after="0" w:line="440" w:lineRule="exact"/>
              <w:ind w:firstLine="211"/>
              <w:rPr>
                <w:rFonts w:ascii="宋体" w:hAnsi="宋体" w:cs="宋体"/>
                <w:b/>
                <w:bCs/>
                <w:color w:val="auto"/>
                <w:sz w:val="21"/>
                <w:szCs w:val="16"/>
                <w:highlight w:val="none"/>
              </w:rPr>
            </w:pPr>
            <w:r>
              <w:rPr>
                <w:rFonts w:hint="eastAsia" w:ascii="宋体" w:hAnsi="宋体" w:cs="宋体"/>
                <w:b/>
                <w:bCs/>
                <w:color w:val="auto"/>
                <w:sz w:val="21"/>
                <w:szCs w:val="16"/>
                <w:highlight w:val="none"/>
              </w:rPr>
              <w:t>云资源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3"/>
              <w:spacing w:after="0" w:line="440" w:lineRule="exact"/>
              <w:ind w:firstLine="422" w:firstLineChars="200"/>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数量</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3"/>
              <w:spacing w:after="0" w:line="440" w:lineRule="exact"/>
              <w:ind w:firstLine="422" w:firstLineChars="200"/>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配置</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3"/>
              <w:spacing w:after="0" w:line="440" w:lineRule="exact"/>
              <w:ind w:firstLine="422" w:firstLineChars="200"/>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操作系统/ip</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3"/>
              <w:spacing w:after="0" w:line="440" w:lineRule="exact"/>
              <w:jc w:val="both"/>
              <w:rPr>
                <w:rFonts w:ascii="宋体" w:hAnsi="宋体" w:cs="宋体"/>
                <w:b/>
                <w:bCs/>
                <w:color w:val="auto"/>
                <w:sz w:val="21"/>
                <w:szCs w:val="16"/>
                <w:highlight w:val="none"/>
              </w:rPr>
            </w:pPr>
            <w:r>
              <w:rPr>
                <w:rFonts w:hint="eastAsia" w:ascii="宋体" w:hAnsi="宋体" w:cs="宋体"/>
                <w:b/>
                <w:bCs/>
                <w:color w:val="auto"/>
                <w:sz w:val="21"/>
                <w:szCs w:val="16"/>
                <w:highlight w:val="none"/>
              </w:rPr>
              <w:t>磁盘</w:t>
            </w:r>
          </w:p>
        </w:tc>
      </w:tr>
      <w:tr>
        <w:tblPrEx>
          <w:tblCellMar>
            <w:top w:w="0" w:type="dxa"/>
            <w:left w:w="108" w:type="dxa"/>
            <w:bottom w:w="0" w:type="dxa"/>
            <w:right w:w="108" w:type="dxa"/>
          </w:tblCellMar>
        </w:tblPrEx>
        <w:trPr>
          <w:trHeight w:val="40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3"/>
              <w:spacing w:after="0" w:line="440" w:lineRule="exact"/>
              <w:ind w:firstLineChars="200"/>
              <w:jc w:val="center"/>
              <w:rPr>
                <w:rFonts w:ascii="宋体" w:hAnsi="宋体" w:cs="宋体"/>
                <w:color w:val="auto"/>
                <w:sz w:val="21"/>
                <w:szCs w:val="16"/>
                <w:highlight w:val="none"/>
              </w:rPr>
            </w:pPr>
            <w:r>
              <w:rPr>
                <w:rFonts w:hint="eastAsia" w:ascii="宋体" w:hAnsi="宋体" w:cs="宋体"/>
                <w:color w:val="auto"/>
                <w:sz w:val="21"/>
                <w:szCs w:val="16"/>
                <w:highlight w:val="none"/>
              </w:rPr>
              <w:t>ECS</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3"/>
              <w:spacing w:after="0" w:line="440" w:lineRule="exact"/>
              <w:ind w:firstLineChars="200"/>
              <w:jc w:val="center"/>
              <w:rPr>
                <w:rFonts w:ascii="宋体" w:hAnsi="宋体" w:cs="宋体"/>
                <w:color w:val="auto"/>
                <w:sz w:val="21"/>
                <w:szCs w:val="16"/>
                <w:highlight w:val="none"/>
              </w:rPr>
            </w:pPr>
            <w:r>
              <w:rPr>
                <w:rFonts w:hint="eastAsia" w:ascii="宋体" w:hAnsi="宋体" w:cs="宋体"/>
                <w:color w:val="auto"/>
                <w:sz w:val="21"/>
                <w:szCs w:val="16"/>
                <w:highlight w:val="none"/>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3"/>
              <w:spacing w:after="0" w:line="440" w:lineRule="exact"/>
              <w:jc w:val="both"/>
              <w:rPr>
                <w:rFonts w:ascii="宋体" w:hAnsi="宋体" w:cs="宋体"/>
                <w:color w:val="auto"/>
                <w:sz w:val="21"/>
                <w:szCs w:val="16"/>
                <w:highlight w:val="none"/>
              </w:rPr>
            </w:pPr>
            <w:r>
              <w:rPr>
                <w:rFonts w:hint="eastAsia" w:ascii="宋体" w:hAnsi="宋体" w:cs="宋体"/>
                <w:color w:val="auto"/>
                <w:sz w:val="21"/>
                <w:szCs w:val="16"/>
                <w:highlight w:val="none"/>
              </w:rPr>
              <w:t>8核</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16G</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3"/>
              <w:spacing w:after="0" w:line="440" w:lineRule="exact"/>
              <w:ind w:firstLineChars="200"/>
              <w:jc w:val="center"/>
              <w:rPr>
                <w:rFonts w:ascii="宋体" w:hAnsi="宋体" w:cs="宋体"/>
                <w:color w:val="auto"/>
                <w:sz w:val="21"/>
                <w:szCs w:val="16"/>
                <w:highlight w:val="none"/>
              </w:rPr>
            </w:pPr>
            <w:r>
              <w:rPr>
                <w:rFonts w:hint="eastAsia" w:ascii="宋体" w:hAnsi="宋体" w:cs="宋体"/>
                <w:color w:val="auto"/>
                <w:sz w:val="21"/>
                <w:szCs w:val="16"/>
                <w:highlight w:val="none"/>
              </w:rPr>
              <w:t>Windows Server 2016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3"/>
              <w:spacing w:after="0" w:line="440" w:lineRule="exact"/>
              <w:jc w:val="both"/>
              <w:rPr>
                <w:rFonts w:ascii="宋体" w:hAnsi="宋体" w:cs="宋体"/>
                <w:color w:val="auto"/>
                <w:sz w:val="21"/>
                <w:szCs w:val="16"/>
                <w:highlight w:val="none"/>
              </w:rPr>
            </w:pPr>
            <w:r>
              <w:rPr>
                <w:rFonts w:hint="eastAsia" w:ascii="宋体" w:hAnsi="宋体" w:cs="宋体"/>
                <w:color w:val="auto"/>
                <w:sz w:val="21"/>
                <w:szCs w:val="16"/>
                <w:highlight w:val="none"/>
              </w:rPr>
              <w:t>1.5T</w:t>
            </w:r>
          </w:p>
        </w:tc>
      </w:tr>
      <w:tr>
        <w:tblPrEx>
          <w:tblCellMar>
            <w:top w:w="0" w:type="dxa"/>
            <w:left w:w="108" w:type="dxa"/>
            <w:bottom w:w="0" w:type="dxa"/>
            <w:right w:w="108" w:type="dxa"/>
          </w:tblCellMar>
        </w:tblPrEx>
        <w:trPr>
          <w:trHeight w:val="40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3"/>
              <w:spacing w:after="0" w:line="440" w:lineRule="exact"/>
              <w:ind w:firstLineChars="200"/>
              <w:jc w:val="center"/>
              <w:rPr>
                <w:rFonts w:ascii="宋体" w:hAnsi="宋体" w:cs="宋体"/>
                <w:color w:val="auto"/>
                <w:sz w:val="21"/>
                <w:szCs w:val="16"/>
                <w:highlight w:val="none"/>
              </w:rPr>
            </w:pPr>
            <w:r>
              <w:rPr>
                <w:rFonts w:hint="eastAsia" w:ascii="宋体" w:hAnsi="宋体" w:cs="宋体"/>
                <w:color w:val="auto"/>
                <w:sz w:val="21"/>
                <w:szCs w:val="16"/>
                <w:highlight w:val="none"/>
              </w:rPr>
              <w:t>RDS</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3"/>
              <w:spacing w:after="0" w:line="440" w:lineRule="exact"/>
              <w:ind w:firstLineChars="200"/>
              <w:jc w:val="center"/>
              <w:rPr>
                <w:rFonts w:ascii="宋体" w:hAnsi="宋体" w:cs="宋体"/>
                <w:color w:val="auto"/>
                <w:sz w:val="21"/>
                <w:szCs w:val="16"/>
                <w:highlight w:val="none"/>
              </w:rPr>
            </w:pPr>
            <w:r>
              <w:rPr>
                <w:rFonts w:hint="eastAsia" w:ascii="宋体" w:hAnsi="宋体" w:cs="宋体"/>
                <w:color w:val="auto"/>
                <w:sz w:val="21"/>
                <w:szCs w:val="16"/>
                <w:highlight w:val="none"/>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3"/>
              <w:spacing w:after="0" w:line="440" w:lineRule="exact"/>
              <w:jc w:val="both"/>
              <w:rPr>
                <w:rFonts w:ascii="宋体" w:hAnsi="宋体" w:cs="宋体"/>
                <w:color w:val="auto"/>
                <w:sz w:val="21"/>
                <w:szCs w:val="16"/>
                <w:highlight w:val="none"/>
              </w:rPr>
            </w:pPr>
            <w:r>
              <w:rPr>
                <w:rFonts w:hint="eastAsia" w:ascii="宋体" w:hAnsi="宋体" w:cs="宋体"/>
                <w:color w:val="auto"/>
                <w:sz w:val="21"/>
                <w:szCs w:val="16"/>
                <w:highlight w:val="none"/>
              </w:rPr>
              <w:t>4核</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8G</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3"/>
              <w:spacing w:after="0" w:line="440" w:lineRule="exact"/>
              <w:ind w:firstLineChars="200"/>
              <w:jc w:val="center"/>
              <w:rPr>
                <w:rFonts w:ascii="宋体" w:hAnsi="宋体" w:cs="宋体"/>
                <w:color w:val="auto"/>
                <w:sz w:val="21"/>
                <w:szCs w:val="16"/>
                <w:highlight w:val="none"/>
              </w:rPr>
            </w:pPr>
            <w:r>
              <w:rPr>
                <w:rFonts w:hint="eastAsia" w:ascii="宋体" w:hAnsi="宋体" w:cs="宋体"/>
                <w:color w:val="auto"/>
                <w:sz w:val="21"/>
                <w:szCs w:val="16"/>
                <w:highlight w:val="none"/>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3"/>
              <w:spacing w:after="0" w:line="440" w:lineRule="exact"/>
              <w:jc w:val="both"/>
              <w:rPr>
                <w:rFonts w:ascii="宋体" w:hAnsi="宋体" w:cs="宋体"/>
                <w:color w:val="auto"/>
                <w:sz w:val="21"/>
                <w:szCs w:val="16"/>
                <w:highlight w:val="none"/>
              </w:rPr>
            </w:pPr>
            <w:r>
              <w:rPr>
                <w:rFonts w:hint="eastAsia" w:ascii="宋体" w:hAnsi="宋体" w:cs="宋体"/>
                <w:color w:val="auto"/>
                <w:sz w:val="21"/>
                <w:szCs w:val="16"/>
                <w:highlight w:val="none"/>
              </w:rPr>
              <w:t>200G</w:t>
            </w:r>
          </w:p>
        </w:tc>
      </w:tr>
      <w:tr>
        <w:tblPrEx>
          <w:tblCellMar>
            <w:top w:w="0" w:type="dxa"/>
            <w:left w:w="108" w:type="dxa"/>
            <w:bottom w:w="0" w:type="dxa"/>
            <w:right w:w="108" w:type="dxa"/>
          </w:tblCellMar>
        </w:tblPrEx>
        <w:trPr>
          <w:trHeight w:val="40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3"/>
              <w:spacing w:after="0" w:line="440" w:lineRule="exact"/>
              <w:ind w:firstLineChars="200"/>
              <w:jc w:val="center"/>
              <w:rPr>
                <w:rFonts w:ascii="宋体" w:hAnsi="宋体" w:cs="宋体"/>
                <w:color w:val="auto"/>
                <w:sz w:val="21"/>
                <w:szCs w:val="16"/>
                <w:highlight w:val="none"/>
              </w:rPr>
            </w:pPr>
            <w:r>
              <w:rPr>
                <w:rFonts w:hint="eastAsia" w:ascii="宋体" w:hAnsi="宋体" w:cs="宋体"/>
                <w:color w:val="auto"/>
                <w:sz w:val="21"/>
                <w:szCs w:val="16"/>
                <w:highlight w:val="none"/>
              </w:rPr>
              <w:t>SLB</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3"/>
              <w:spacing w:after="0" w:line="440" w:lineRule="exact"/>
              <w:ind w:firstLineChars="200"/>
              <w:jc w:val="center"/>
              <w:rPr>
                <w:rFonts w:ascii="宋体" w:hAnsi="宋体" w:cs="宋体"/>
                <w:color w:val="auto"/>
                <w:sz w:val="21"/>
                <w:szCs w:val="16"/>
                <w:highlight w:val="none"/>
              </w:rPr>
            </w:pPr>
            <w:r>
              <w:rPr>
                <w:rFonts w:hint="eastAsia" w:ascii="宋体" w:hAnsi="宋体" w:cs="宋体"/>
                <w:color w:val="auto"/>
                <w:sz w:val="21"/>
                <w:szCs w:val="16"/>
                <w:highlight w:val="none"/>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3"/>
              <w:spacing w:after="0" w:line="440" w:lineRule="exact"/>
              <w:ind w:firstLineChars="200"/>
              <w:jc w:val="center"/>
              <w:rPr>
                <w:rFonts w:ascii="宋体" w:hAnsi="宋体" w:cs="宋体"/>
                <w:color w:val="auto"/>
                <w:sz w:val="21"/>
                <w:szCs w:val="16"/>
                <w:highlight w:val="none"/>
              </w:rPr>
            </w:pPr>
            <w:r>
              <w:rPr>
                <w:rFonts w:hint="eastAsia" w:ascii="宋体" w:hAnsi="宋体" w:cs="宋体"/>
                <w:color w:val="auto"/>
                <w:sz w:val="21"/>
                <w:szCs w:val="16"/>
                <w:highlight w:val="none"/>
              </w:rPr>
              <w:t>/</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3"/>
              <w:spacing w:after="0" w:line="440" w:lineRule="exact"/>
              <w:ind w:firstLineChars="200"/>
              <w:jc w:val="center"/>
              <w:rPr>
                <w:rFonts w:ascii="宋体" w:hAnsi="宋体" w:cs="宋体"/>
                <w:color w:val="auto"/>
                <w:sz w:val="21"/>
                <w:szCs w:val="16"/>
                <w:highlight w:val="none"/>
              </w:rPr>
            </w:pPr>
            <w:r>
              <w:rPr>
                <w:rFonts w:hint="eastAsia" w:ascii="宋体" w:hAnsi="宋体" w:cs="宋体"/>
                <w:color w:val="auto"/>
                <w:sz w:val="21"/>
                <w:szCs w:val="16"/>
                <w:highlight w:val="none"/>
              </w:rPr>
              <w:t>公网带宽200M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3"/>
              <w:spacing w:after="0" w:line="440" w:lineRule="exact"/>
              <w:ind w:firstLineChars="200"/>
              <w:jc w:val="center"/>
              <w:rPr>
                <w:rFonts w:ascii="宋体" w:hAnsi="宋体" w:cs="宋体"/>
                <w:color w:val="auto"/>
                <w:sz w:val="21"/>
                <w:szCs w:val="16"/>
                <w:highlight w:val="none"/>
              </w:rPr>
            </w:pPr>
            <w:r>
              <w:rPr>
                <w:rFonts w:hint="eastAsia" w:ascii="宋体" w:hAnsi="宋体" w:cs="宋体"/>
                <w:color w:val="auto"/>
                <w:sz w:val="21"/>
                <w:szCs w:val="16"/>
                <w:highlight w:val="none"/>
              </w:rPr>
              <w:t>/</w:t>
            </w:r>
          </w:p>
        </w:tc>
      </w:tr>
    </w:tbl>
    <w:p>
      <w:pPr>
        <w:pStyle w:val="87"/>
        <w:spacing w:line="440" w:lineRule="exact"/>
        <w:rPr>
          <w:rFonts w:ascii="宋体" w:hAnsi="宋体" w:eastAsia="宋体"/>
          <w:color w:val="auto"/>
          <w:highlight w:val="none"/>
        </w:rPr>
      </w:pPr>
    </w:p>
    <w:p>
      <w:pPr>
        <w:rPr>
          <w:rFonts w:hint="eastAsia" w:ascii="宋体" w:hAnsi="宋体" w:cs="宋体"/>
          <w:b/>
          <w:color w:val="auto"/>
          <w:sz w:val="24"/>
          <w:highlight w:val="none"/>
        </w:rPr>
      </w:pPr>
      <w:r>
        <w:rPr>
          <w:rFonts w:hint="eastAsia" w:ascii="宋体" w:hAnsi="宋体" w:cs="宋体"/>
          <w:b/>
          <w:color w:val="auto"/>
          <w:sz w:val="24"/>
          <w:highlight w:val="none"/>
        </w:rPr>
        <w:br w:type="page"/>
      </w:r>
    </w:p>
    <w:p>
      <w:pPr>
        <w:adjustRightInd w:val="0"/>
        <w:snapToGrid w:val="0"/>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以下为商务条款。</w:t>
      </w:r>
    </w:p>
    <w:p>
      <w:pPr>
        <w:pStyle w:val="6"/>
        <w:keepLines/>
        <w:widowControl w:val="0"/>
        <w:numPr>
          <w:ilvl w:val="2"/>
          <w:numId w:val="0"/>
        </w:numPr>
        <w:spacing w:before="156" w:after="156"/>
        <w:jc w:val="center"/>
        <w:textAlignment w:val="baseline"/>
        <w:rPr>
          <w:rFonts w:hint="eastAsia" w:ascii="宋体" w:hAnsi="宋体" w:cs="宋体"/>
          <w:b/>
          <w:bCs/>
          <w:color w:val="auto"/>
          <w:kern w:val="2"/>
          <w:sz w:val="32"/>
          <w:szCs w:val="32"/>
          <w:highlight w:val="none"/>
          <w:lang w:val="en-US" w:eastAsia="zh-CN"/>
        </w:rPr>
      </w:pPr>
      <w:r>
        <w:rPr>
          <w:rFonts w:hint="eastAsia" w:ascii="宋体" w:hAnsi="宋体" w:cs="宋体"/>
          <w:b/>
          <w:bCs/>
          <w:color w:val="auto"/>
          <w:kern w:val="2"/>
          <w:sz w:val="32"/>
          <w:szCs w:val="32"/>
          <w:highlight w:val="none"/>
          <w:lang w:val="en-US" w:eastAsia="zh-CN"/>
        </w:rPr>
        <w:t>七、项目实施时间</w:t>
      </w: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合同签订生效后完成APP正常上线运行,60天内完成整个项目实施并通过验收。</w:t>
      </w:r>
    </w:p>
    <w:p>
      <w:pPr>
        <w:pStyle w:val="6"/>
        <w:keepLines/>
        <w:widowControl w:val="0"/>
        <w:numPr>
          <w:ilvl w:val="2"/>
          <w:numId w:val="0"/>
        </w:numPr>
        <w:spacing w:before="156" w:after="156"/>
        <w:jc w:val="center"/>
        <w:textAlignment w:val="baseline"/>
        <w:rPr>
          <w:rFonts w:hint="eastAsia" w:ascii="宋体" w:hAnsi="宋体" w:cs="宋体"/>
          <w:b/>
          <w:bCs/>
          <w:color w:val="auto"/>
          <w:kern w:val="2"/>
          <w:sz w:val="32"/>
          <w:szCs w:val="32"/>
          <w:highlight w:val="none"/>
          <w:lang w:val="en-US" w:eastAsia="zh-CN"/>
        </w:rPr>
      </w:pPr>
      <w:r>
        <w:rPr>
          <w:rFonts w:hint="eastAsia" w:ascii="宋体" w:hAnsi="宋体" w:cs="宋体"/>
          <w:b/>
          <w:bCs/>
          <w:color w:val="auto"/>
          <w:kern w:val="2"/>
          <w:sz w:val="32"/>
          <w:szCs w:val="32"/>
          <w:highlight w:val="none"/>
          <w:lang w:val="en-US" w:eastAsia="zh-CN"/>
        </w:rPr>
        <w:t>八、合同签订及付款方式</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1、成交通知书发出后7日内签订合同。</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2、付款方式</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第一次付款：自合同签订之日起10个工作日内支付合同总价30%的合同款作为项目预付款；</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第二次付款：乙方根据项目建设要求，完成项目全部硬件安装和软件顺利上线试运</w:t>
      </w:r>
      <w:r>
        <w:rPr>
          <w:rFonts w:hint="eastAsia" w:ascii="宋体" w:hAnsi="宋体" w:cs="宋体"/>
          <w:color w:val="auto"/>
          <w:sz w:val="21"/>
          <w:szCs w:val="21"/>
          <w:highlight w:val="none"/>
          <w:lang w:val="en-US" w:eastAsia="zh-CN"/>
        </w:rPr>
        <w:t>行一个月后进行终验，终验合格后支付合同价款的60%</w:t>
      </w:r>
      <w:r>
        <w:rPr>
          <w:rFonts w:hint="eastAsia" w:ascii="宋体" w:hAnsi="宋体" w:eastAsia="宋体" w:cs="宋体"/>
          <w:color w:val="auto"/>
          <w:sz w:val="21"/>
          <w:szCs w:val="21"/>
          <w:highlight w:val="none"/>
        </w:rPr>
        <w:t>；</w:t>
      </w:r>
    </w:p>
    <w:p>
      <w:pPr>
        <w:adjustRightInd w:val="0"/>
        <w:snapToGrid w:val="0"/>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第</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rPr>
        <w:t>次付款：</w:t>
      </w:r>
      <w:r>
        <w:rPr>
          <w:rFonts w:hint="eastAsia" w:ascii="宋体" w:hAnsi="宋体" w:cs="宋体"/>
          <w:color w:val="auto"/>
          <w:sz w:val="21"/>
          <w:szCs w:val="21"/>
          <w:highlight w:val="none"/>
          <w:lang w:val="en-US" w:eastAsia="zh-CN"/>
        </w:rPr>
        <w:t>一年维护期结束后付合同价款的10%。</w:t>
      </w:r>
    </w:p>
    <w:p>
      <w:pPr>
        <w:adjustRightInd w:val="0"/>
        <w:snapToGrid w:val="0"/>
        <w:spacing w:line="360" w:lineRule="auto"/>
        <w:ind w:firstLine="420" w:firstLineChars="200"/>
        <w:rPr>
          <w:rFonts w:ascii="宋体" w:hAnsi="宋体" w:cs="宋体"/>
          <w:color w:val="auto"/>
          <w:szCs w:val="21"/>
          <w:highlight w:val="none"/>
        </w:rPr>
      </w:pPr>
    </w:p>
    <w:p>
      <w:pPr>
        <w:pStyle w:val="6"/>
        <w:keepLines/>
        <w:widowControl w:val="0"/>
        <w:numPr>
          <w:ilvl w:val="2"/>
          <w:numId w:val="0"/>
        </w:numPr>
        <w:spacing w:before="156" w:after="156"/>
        <w:jc w:val="center"/>
        <w:textAlignment w:val="baseline"/>
        <w:rPr>
          <w:rFonts w:hint="eastAsia" w:ascii="宋体" w:hAnsi="宋体" w:cs="宋体"/>
          <w:b/>
          <w:bCs/>
          <w:color w:val="auto"/>
          <w:kern w:val="2"/>
          <w:sz w:val="32"/>
          <w:szCs w:val="32"/>
          <w:highlight w:val="none"/>
          <w:lang w:val="en-US" w:eastAsia="zh-CN"/>
        </w:rPr>
      </w:pPr>
      <w:r>
        <w:rPr>
          <w:rFonts w:hint="eastAsia" w:ascii="宋体" w:hAnsi="宋体" w:cs="宋体"/>
          <w:b/>
          <w:bCs/>
          <w:color w:val="auto"/>
          <w:kern w:val="2"/>
          <w:sz w:val="32"/>
          <w:szCs w:val="32"/>
          <w:highlight w:val="none"/>
          <w:lang w:val="en-US" w:eastAsia="zh-CN"/>
        </w:rPr>
        <w:t>九、其他要求</w:t>
      </w:r>
    </w:p>
    <w:p>
      <w:pPr>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1.实施要求</w:t>
      </w:r>
    </w:p>
    <w:p>
      <w:pPr>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1.1安全保密：要求所有参与项目的人员并在工作中应坚持保密原则，中标人严格规范执行各项保密制度，对在项目招标、建设、质保各阶段取得采购人各类信息进行保密管理，杜绝任何泄密事件的发生。                                                  </w:t>
      </w:r>
    </w:p>
    <w:p>
      <w:pPr>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1.2系统测试：提供完整的系统测试方案，包括合理的测试计划和测试方法。                                                      </w:t>
      </w:r>
    </w:p>
    <w:p>
      <w:pPr>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1.3投标人需制定对本项目的具体组织实施方案（包括实施组织方案、实施进度计划、风险与缓解措施、质量控制管理、系统集成、验收等)。</w:t>
      </w:r>
    </w:p>
    <w:p>
      <w:pPr>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2.验收及调试</w:t>
      </w:r>
    </w:p>
    <w:p>
      <w:pPr>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验收分项目初验、项目终验两阶段。系统上线正常运行</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个月后，中标人向采购人提出项目终验申请，并以书面形式向采购人递交系统设计方案、运行记录、整体测试方案等，经采购人单位审核通过后，由采购人组织有关专家进行验收。</w:t>
      </w:r>
    </w:p>
    <w:p>
      <w:pPr>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3.培训方案</w:t>
      </w:r>
    </w:p>
    <w:p>
      <w:pPr>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投标人应当对用户进行相关培训，提供详细的培训方案，并评估培训效果。</w:t>
      </w:r>
    </w:p>
    <w:p>
      <w:pPr>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4.知识产权</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需提供全套软件源代码，在本项目过程中所产生的技术成果（包括项目实施文档、软件、技术诀窍、秘密信息、技术资料等）的知识产权包括相关权益归采购人所有，并且未经同意，不得将涉及知识产权的技术秘密透露给第三方。投标人有不可争议的义务确保采购人依据本次采购所获得的知识产权不存在任何瑕疵并且可以不受限制地行使相关权利，包括各项延伸权利。</w:t>
      </w:r>
    </w:p>
    <w:p>
      <w:pPr>
        <w:spacing w:line="440" w:lineRule="exact"/>
        <w:ind w:left="420" w:leftChars="200"/>
        <w:rPr>
          <w:rFonts w:ascii="宋体" w:hAnsi="宋体" w:cs="宋体"/>
          <w:color w:val="auto"/>
          <w:szCs w:val="21"/>
          <w:highlight w:val="none"/>
        </w:rPr>
      </w:pPr>
      <w:r>
        <w:rPr>
          <w:rFonts w:hint="eastAsia" w:ascii="宋体" w:hAnsi="宋体" w:cs="宋体"/>
          <w:color w:val="auto"/>
          <w:szCs w:val="21"/>
          <w:highlight w:val="none"/>
        </w:rPr>
        <w:t>为保证本项目中所涉及第三方软件(插件)的版权问题，投标人需签署版权合法化声明。</w:t>
      </w:r>
    </w:p>
    <w:p>
      <w:pPr>
        <w:spacing w:line="440" w:lineRule="exact"/>
        <w:ind w:left="420" w:leftChars="200"/>
        <w:rPr>
          <w:rFonts w:ascii="宋体" w:hAnsi="宋体" w:cs="宋体"/>
          <w:color w:val="auto"/>
          <w:szCs w:val="21"/>
          <w:highlight w:val="none"/>
        </w:rPr>
      </w:pPr>
      <w:r>
        <w:rPr>
          <w:rFonts w:hint="eastAsia" w:ascii="宋体" w:hAnsi="宋体" w:cs="宋体"/>
          <w:color w:val="auto"/>
          <w:szCs w:val="21"/>
          <w:highlight w:val="none"/>
        </w:rPr>
        <w:t>5.售后服务方案</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投标人应针对本项目提供具体的售后服务方案（包括售后组织方案，技术保障、故障排查、应急预案等）。</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6.质量保证</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乙方提供设备和软件的质量保证期为项目</w:t>
      </w:r>
      <w:r>
        <w:rPr>
          <w:rFonts w:hint="eastAsia" w:ascii="宋体" w:hAnsi="宋体" w:cs="宋体"/>
          <w:color w:val="auto"/>
          <w:szCs w:val="21"/>
          <w:highlight w:val="none"/>
          <w:lang w:val="en-US" w:eastAsia="zh-CN"/>
        </w:rPr>
        <w:t>终</w:t>
      </w:r>
      <w:r>
        <w:rPr>
          <w:rFonts w:hint="eastAsia" w:ascii="宋体" w:hAnsi="宋体" w:cs="宋体"/>
          <w:color w:val="auto"/>
          <w:szCs w:val="21"/>
          <w:highlight w:val="none"/>
        </w:rPr>
        <w:t>验合格之后的</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 xml:space="preserve">个月。如甲方原因导致不能及时安装的，产品的质保期自到货之日起 </w:t>
      </w:r>
      <w:r>
        <w:rPr>
          <w:rFonts w:hint="eastAsia" w:ascii="宋体" w:hAnsi="宋体" w:cs="宋体"/>
          <w:color w:val="auto"/>
          <w:szCs w:val="21"/>
          <w:highlight w:val="none"/>
          <w:u w:val="single"/>
        </w:rPr>
        <w:t xml:space="preserve">1 </w:t>
      </w:r>
      <w:r>
        <w:rPr>
          <w:rFonts w:hint="eastAsia" w:ascii="宋体" w:hAnsi="宋体" w:cs="宋体"/>
          <w:color w:val="auto"/>
          <w:szCs w:val="21"/>
          <w:highlight w:val="none"/>
        </w:rPr>
        <w:t>个月后开始计算。在质保期内因产品本身的质量问题发生故障，乙方应负责免费更新维护 。质保期内爱常山-数字化建设工程（一期）的任何更新（包括升级和调整）都需免费提供最新的补丁、源代码、业务流程图、数据字典等相关开发资料，并在原有基础上及时更新。</w:t>
      </w:r>
    </w:p>
    <w:p>
      <w:pPr>
        <w:numPr>
          <w:ilvl w:val="0"/>
          <w:numId w:val="0"/>
        </w:numPr>
        <w:spacing w:line="440" w:lineRule="exact"/>
        <w:ind w:firstLine="420" w:firstLineChars="200"/>
        <w:rPr>
          <w:rFonts w:ascii="宋体" w:hAnsi="宋体" w:cs="宋体"/>
          <w:color w:val="auto"/>
          <w:sz w:val="24"/>
          <w:szCs w:val="24"/>
          <w:highlight w:val="none"/>
        </w:rPr>
      </w:pPr>
      <w:r>
        <w:rPr>
          <w:rFonts w:hint="eastAsia" w:ascii="宋体" w:hAnsi="宋体" w:cs="宋体"/>
          <w:color w:val="auto"/>
          <w:szCs w:val="21"/>
          <w:highlight w:val="none"/>
          <w:lang w:val="en-US" w:eastAsia="zh-CN"/>
        </w:rPr>
        <w:t>7.鉴于软件开发的不确定性，在项目验收之前，采购单位和中标单位对建设内容需要进行微调的，由双方协商解决。</w:t>
      </w:r>
      <w:r>
        <w:rPr>
          <w:rFonts w:hint="eastAsia" w:ascii="宋体" w:hAnsi="宋体" w:cs="宋体"/>
          <w:color w:val="auto"/>
          <w:szCs w:val="21"/>
          <w:highlight w:val="none"/>
        </w:rPr>
        <w:br w:type="page"/>
      </w:r>
    </w:p>
    <w:p>
      <w:pPr>
        <w:pStyle w:val="26"/>
        <w:spacing w:line="360" w:lineRule="auto"/>
        <w:textAlignment w:val="baseline"/>
        <w:outlineLvl w:val="0"/>
        <w:rPr>
          <w:rFonts w:hint="eastAsia" w:ascii="宋体" w:hAnsi="宋体" w:cs="宋体"/>
          <w:bCs/>
          <w:color w:val="auto"/>
          <w:kern w:val="2"/>
          <w:sz w:val="32"/>
          <w:szCs w:val="32"/>
          <w:highlight w:val="none"/>
          <w:lang w:eastAsia="zh-CN"/>
        </w:rPr>
      </w:pPr>
      <w:r>
        <w:rPr>
          <w:rFonts w:hint="eastAsia" w:ascii="宋体" w:hAnsi="宋体" w:cs="宋体"/>
          <w:bCs/>
          <w:color w:val="auto"/>
          <w:kern w:val="2"/>
          <w:sz w:val="32"/>
          <w:szCs w:val="32"/>
          <w:highlight w:val="none"/>
          <w:lang w:eastAsia="zh-CN"/>
        </w:rPr>
        <w:t>第四章</w:t>
      </w:r>
      <w:r>
        <w:rPr>
          <w:rFonts w:hint="eastAsia" w:ascii="宋体" w:hAnsi="宋体" w:cs="宋体"/>
          <w:bCs/>
          <w:color w:val="auto"/>
          <w:kern w:val="2"/>
          <w:sz w:val="32"/>
          <w:szCs w:val="32"/>
          <w:highlight w:val="none"/>
          <w:lang w:val="en-US" w:eastAsia="zh-CN"/>
        </w:rPr>
        <w:t xml:space="preserve"> </w:t>
      </w:r>
      <w:r>
        <w:rPr>
          <w:rFonts w:hint="eastAsia" w:ascii="宋体" w:hAnsi="宋体" w:cs="宋体"/>
          <w:bCs/>
          <w:color w:val="auto"/>
          <w:kern w:val="2"/>
          <w:sz w:val="32"/>
          <w:szCs w:val="32"/>
          <w:highlight w:val="none"/>
          <w:lang w:eastAsia="zh-CN"/>
        </w:rPr>
        <w:t>合同</w:t>
      </w:r>
      <w:bookmarkEnd w:id="83"/>
      <w:r>
        <w:rPr>
          <w:rFonts w:hint="eastAsia" w:ascii="宋体" w:hAnsi="宋体" w:cs="宋体"/>
          <w:bCs/>
          <w:color w:val="auto"/>
          <w:kern w:val="2"/>
          <w:sz w:val="32"/>
          <w:szCs w:val="32"/>
          <w:highlight w:val="none"/>
          <w:lang w:eastAsia="zh-CN"/>
        </w:rPr>
        <w:t>主要条款</w:t>
      </w:r>
    </w:p>
    <w:p>
      <w:pPr>
        <w:adjustRightInd w:val="0"/>
        <w:snapToGrid w:val="0"/>
        <w:spacing w:after="60" w:line="420" w:lineRule="exact"/>
        <w:jc w:val="center"/>
        <w:rPr>
          <w:rFonts w:ascii="宋体" w:hAnsi="宋体" w:cs="宋体"/>
          <w:b/>
          <w:color w:val="auto"/>
          <w:sz w:val="28"/>
          <w:szCs w:val="28"/>
          <w:highlight w:val="none"/>
        </w:rPr>
      </w:pPr>
      <w:bookmarkStart w:id="336" w:name="_Toc17895"/>
      <w:bookmarkStart w:id="337" w:name="_Toc6691"/>
      <w:r>
        <w:rPr>
          <w:rFonts w:hint="eastAsia" w:ascii="宋体" w:hAnsi="宋体" w:cs="宋体"/>
          <w:b/>
          <w:color w:val="auto"/>
          <w:sz w:val="28"/>
          <w:szCs w:val="28"/>
          <w:highlight w:val="none"/>
        </w:rPr>
        <w:t>以下为合同格式，甲乙双方可以详细补充，但不得有实质性更改。</w:t>
      </w:r>
    </w:p>
    <w:p>
      <w:pPr>
        <w:adjustRightInd w:val="0"/>
        <w:snapToGrid w:val="0"/>
        <w:spacing w:line="312" w:lineRule="auto"/>
        <w:ind w:firstLine="360" w:firstLineChars="150"/>
        <w:rPr>
          <w:rFonts w:ascii="宋体" w:hAnsi="宋体" w:cs="宋体"/>
          <w:color w:val="auto"/>
          <w:sz w:val="24"/>
          <w:highlight w:val="none"/>
        </w:rPr>
      </w:pPr>
    </w:p>
    <w:p>
      <w:pPr>
        <w:adjustRightInd w:val="0"/>
        <w:snapToGrid w:val="0"/>
        <w:spacing w:line="336" w:lineRule="auto"/>
        <w:jc w:val="center"/>
        <w:outlineLvl w:val="1"/>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一、通用条款</w:t>
      </w:r>
    </w:p>
    <w:p>
      <w:pPr>
        <w:keepNext w:val="0"/>
        <w:keepLines w:val="0"/>
        <w:pageBreakBefore w:val="0"/>
        <w:widowControl w:val="0"/>
        <w:kinsoku/>
        <w:wordWrap/>
        <w:overflowPunct/>
        <w:topLinePunct w:val="0"/>
        <w:bidi w:val="0"/>
        <w:adjustRightInd w:val="0"/>
        <w:snapToGrid w:val="0"/>
        <w:spacing w:line="500" w:lineRule="exact"/>
        <w:ind w:left="0" w:firstLine="420" w:firstLineChars="200"/>
        <w:textAlignment w:val="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合同编号： </w:t>
      </w:r>
    </w:p>
    <w:p>
      <w:pPr>
        <w:keepNext w:val="0"/>
        <w:keepLines w:val="0"/>
        <w:pageBreakBefore w:val="0"/>
        <w:widowControl w:val="0"/>
        <w:kinsoku/>
        <w:wordWrap/>
        <w:overflowPunct/>
        <w:topLinePunct w:val="0"/>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甲方（货物及服务购买方）：</w:t>
      </w:r>
    </w:p>
    <w:p>
      <w:pPr>
        <w:keepNext w:val="0"/>
        <w:keepLines w:val="0"/>
        <w:pageBreakBefore w:val="0"/>
        <w:widowControl w:val="0"/>
        <w:kinsoku/>
        <w:wordWrap/>
        <w:overflowPunct/>
        <w:topLinePunct w:val="0"/>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乙方（货物及服务提供或出让方）：</w:t>
      </w:r>
    </w:p>
    <w:p>
      <w:pPr>
        <w:keepNext w:val="0"/>
        <w:keepLines w:val="0"/>
        <w:pageBreakBefore w:val="0"/>
        <w:widowControl w:val="0"/>
        <w:numPr>
          <w:ilvl w:val="0"/>
          <w:numId w:val="15"/>
        </w:numPr>
        <w:kinsoku/>
        <w:wordWrap/>
        <w:overflowPunct/>
        <w:topLinePunct w:val="0"/>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货物和服务的名称、技术规范和数量</w:t>
      </w:r>
    </w:p>
    <w:p>
      <w:pPr>
        <w:keepNext w:val="0"/>
        <w:keepLines w:val="0"/>
        <w:pageBreakBefore w:val="0"/>
        <w:widowControl w:val="0"/>
        <w:kinsoku/>
        <w:wordWrap/>
        <w:overflowPunct/>
        <w:topLinePunct w:val="0"/>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应与磋商文件及供应商提供的规格性能偏离表相一致。</w:t>
      </w:r>
    </w:p>
    <w:p>
      <w:pPr>
        <w:keepNext w:val="0"/>
        <w:keepLines w:val="0"/>
        <w:pageBreakBefore w:val="0"/>
        <w:widowControl w:val="0"/>
        <w:numPr>
          <w:ilvl w:val="0"/>
          <w:numId w:val="15"/>
        </w:numPr>
        <w:kinsoku/>
        <w:wordWrap/>
        <w:overflowPunct/>
        <w:topLinePunct w:val="0"/>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货物和服务的质量、技术标准</w:t>
      </w:r>
    </w:p>
    <w:p>
      <w:pPr>
        <w:keepNext w:val="0"/>
        <w:keepLines w:val="0"/>
        <w:pageBreakBefore w:val="0"/>
        <w:widowControl w:val="0"/>
        <w:kinsoku/>
        <w:wordWrap/>
        <w:overflowPunct/>
        <w:topLinePunct w:val="0"/>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合同货物和服务的质量、技术标准如在磋商/磋商文件中无相应说明，则按中华人民共和国有关部门颁发的最新的国标或专业（部）标准执行及相应的国际标准。没有国家或专业(部)标准的，按企业标准执行。</w:t>
      </w:r>
    </w:p>
    <w:p>
      <w:pPr>
        <w:keepNext w:val="0"/>
        <w:keepLines w:val="0"/>
        <w:pageBreakBefore w:val="0"/>
        <w:widowControl w:val="0"/>
        <w:numPr>
          <w:ilvl w:val="0"/>
          <w:numId w:val="15"/>
        </w:numPr>
        <w:kinsoku/>
        <w:wordWrap/>
        <w:overflowPunct/>
        <w:topLinePunct w:val="0"/>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专利权</w:t>
      </w:r>
    </w:p>
    <w:p>
      <w:pPr>
        <w:keepNext w:val="0"/>
        <w:keepLines w:val="0"/>
        <w:pageBreakBefore w:val="0"/>
        <w:widowControl w:val="0"/>
        <w:kinsoku/>
        <w:wordWrap/>
        <w:overflowPunct/>
        <w:topLinePunct w:val="0"/>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乙方对—切可能的侵权指控负责。</w:t>
      </w:r>
    </w:p>
    <w:p>
      <w:pPr>
        <w:keepNext w:val="0"/>
        <w:keepLines w:val="0"/>
        <w:pageBreakBefore w:val="0"/>
        <w:widowControl w:val="0"/>
        <w:numPr>
          <w:ilvl w:val="0"/>
          <w:numId w:val="15"/>
        </w:numPr>
        <w:kinsoku/>
        <w:wordWrap/>
        <w:overflowPunct/>
        <w:topLinePunct w:val="0"/>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风险责任</w:t>
      </w:r>
    </w:p>
    <w:p>
      <w:pPr>
        <w:keepNext w:val="0"/>
        <w:keepLines w:val="0"/>
        <w:pageBreakBefore w:val="0"/>
        <w:widowControl w:val="0"/>
        <w:kinsoku/>
        <w:wordWrap/>
        <w:overflowPunct/>
        <w:topLinePunct w:val="0"/>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执行本合同的过程中，确因在现有水平和条件下难以克服的技术困难，导致部分或全部失败所造成的损失，风险责任由乙方全部承担。</w:t>
      </w:r>
    </w:p>
    <w:p>
      <w:pPr>
        <w:keepNext w:val="0"/>
        <w:keepLines w:val="0"/>
        <w:pageBreakBefore w:val="0"/>
        <w:widowControl w:val="0"/>
        <w:numPr>
          <w:ilvl w:val="0"/>
          <w:numId w:val="15"/>
        </w:numPr>
        <w:kinsoku/>
        <w:wordWrap/>
        <w:overflowPunct/>
        <w:topLinePunct w:val="0"/>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无瑕疵条款</w:t>
      </w:r>
    </w:p>
    <w:p>
      <w:pPr>
        <w:keepNext w:val="0"/>
        <w:keepLines w:val="0"/>
        <w:pageBreakBefore w:val="0"/>
        <w:widowControl w:val="0"/>
        <w:kinsoku/>
        <w:wordWrap/>
        <w:overflowPunct/>
        <w:topLinePunct w:val="0"/>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乙方在交付货物和服务后发现有瑕疵或漏项的，乙方应负担由此而产生的一切损失。</w:t>
      </w:r>
    </w:p>
    <w:p>
      <w:pPr>
        <w:keepNext w:val="0"/>
        <w:keepLines w:val="0"/>
        <w:pageBreakBefore w:val="0"/>
        <w:widowControl w:val="0"/>
        <w:numPr>
          <w:ilvl w:val="0"/>
          <w:numId w:val="15"/>
        </w:numPr>
        <w:kinsoku/>
        <w:wordWrap/>
        <w:overflowPunct/>
        <w:topLinePunct w:val="0"/>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合同转让和分包</w:t>
      </w:r>
    </w:p>
    <w:p>
      <w:pPr>
        <w:keepNext w:val="0"/>
        <w:keepLines w:val="0"/>
        <w:pageBreakBefore w:val="0"/>
        <w:widowControl w:val="0"/>
        <w:kinsoku/>
        <w:wordWrap/>
        <w:overflowPunct/>
        <w:topLinePunct w:val="0"/>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本合同不得转让，且未经甲方书面同意，乙方不得将合同内容分包给第三方。</w:t>
      </w:r>
    </w:p>
    <w:p>
      <w:pPr>
        <w:keepNext w:val="0"/>
        <w:keepLines w:val="0"/>
        <w:pageBreakBefore w:val="0"/>
        <w:widowControl w:val="0"/>
        <w:numPr>
          <w:ilvl w:val="0"/>
          <w:numId w:val="15"/>
        </w:numPr>
        <w:kinsoku/>
        <w:wordWrap/>
        <w:overflowPunct/>
        <w:topLinePunct w:val="0"/>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合同修改</w:t>
      </w:r>
    </w:p>
    <w:p>
      <w:pPr>
        <w:keepNext w:val="0"/>
        <w:keepLines w:val="0"/>
        <w:pageBreakBefore w:val="0"/>
        <w:widowControl w:val="0"/>
        <w:kinsoku/>
        <w:wordWrap/>
        <w:overflowPunct/>
        <w:topLinePunct w:val="0"/>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甲方与乙方双方的任何一方对合同内容提出修改，均应以书面形式通知对方，并达成由双方签署的合同修改书。在合同签证时</w:t>
      </w:r>
      <w:r>
        <w:rPr>
          <w:rFonts w:hint="eastAsia" w:cs="宋体" w:asciiTheme="minorEastAsia" w:hAnsiTheme="minorEastAsia" w:eastAsiaTheme="minorEastAsia"/>
          <w:color w:val="auto"/>
          <w:szCs w:val="21"/>
          <w:highlight w:val="none"/>
          <w:lang w:val="en-US" w:eastAsia="zh-CN"/>
        </w:rPr>
        <w:t>招标代理机构</w:t>
      </w:r>
      <w:r>
        <w:rPr>
          <w:rFonts w:hint="eastAsia" w:cs="宋体" w:asciiTheme="minorEastAsia" w:hAnsiTheme="minorEastAsia" w:eastAsiaTheme="minorEastAsia"/>
          <w:color w:val="auto"/>
          <w:szCs w:val="21"/>
          <w:highlight w:val="none"/>
        </w:rPr>
        <w:t>审核。原则性条款不允许修改。</w:t>
      </w:r>
    </w:p>
    <w:p>
      <w:pPr>
        <w:keepNext w:val="0"/>
        <w:keepLines w:val="0"/>
        <w:pageBreakBefore w:val="0"/>
        <w:widowControl w:val="0"/>
        <w:numPr>
          <w:ilvl w:val="0"/>
          <w:numId w:val="15"/>
        </w:numPr>
        <w:kinsoku/>
        <w:wordWrap/>
        <w:overflowPunct/>
        <w:topLinePunct w:val="0"/>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不可抗力事件处理</w:t>
      </w:r>
    </w:p>
    <w:p>
      <w:pPr>
        <w:keepNext w:val="0"/>
        <w:keepLines w:val="0"/>
        <w:pageBreakBefore w:val="0"/>
        <w:widowControl w:val="0"/>
        <w:numPr>
          <w:ilvl w:val="1"/>
          <w:numId w:val="15"/>
        </w:numPr>
        <w:kinsoku/>
        <w:wordWrap/>
        <w:overflowPunct/>
        <w:topLinePunct w:val="0"/>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在执行合同期限内，任何一方因不可抗力事件所致不能履行合同，则合同履行期可延长，延长期与不可抗力影响期相同。</w:t>
      </w:r>
    </w:p>
    <w:p>
      <w:pPr>
        <w:keepNext w:val="0"/>
        <w:keepLines w:val="0"/>
        <w:pageBreakBefore w:val="0"/>
        <w:widowControl w:val="0"/>
        <w:numPr>
          <w:ilvl w:val="1"/>
          <w:numId w:val="15"/>
        </w:numPr>
        <w:kinsoku/>
        <w:wordWrap/>
        <w:overflowPunct/>
        <w:topLinePunct w:val="0"/>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不可抗力事件发生后，应立即通知对方，并寄送有关权威机构出具的证明。 </w:t>
      </w:r>
    </w:p>
    <w:p>
      <w:pPr>
        <w:keepNext w:val="0"/>
        <w:keepLines w:val="0"/>
        <w:pageBreakBefore w:val="0"/>
        <w:widowControl w:val="0"/>
        <w:numPr>
          <w:ilvl w:val="1"/>
          <w:numId w:val="15"/>
        </w:numPr>
        <w:kinsoku/>
        <w:wordWrap/>
        <w:overflowPunct/>
        <w:topLinePunct w:val="0"/>
        <w:bidi w:val="0"/>
        <w:adjustRightInd w:val="0"/>
        <w:snapToGrid w:val="0"/>
        <w:spacing w:line="500" w:lineRule="exact"/>
        <w:ind w:left="0" w:firstLine="412" w:firstLineChars="200"/>
        <w:textAlignment w:val="auto"/>
        <w:rPr>
          <w:rFonts w:cs="宋体" w:asciiTheme="minorEastAsia" w:hAnsiTheme="minorEastAsia" w:eastAsiaTheme="minorEastAsia"/>
          <w:color w:val="auto"/>
          <w:spacing w:val="-2"/>
          <w:szCs w:val="21"/>
          <w:highlight w:val="none"/>
        </w:rPr>
      </w:pPr>
      <w:r>
        <w:rPr>
          <w:rFonts w:hint="eastAsia" w:cs="宋体" w:asciiTheme="minorEastAsia" w:hAnsiTheme="minorEastAsia" w:eastAsiaTheme="minorEastAsia"/>
          <w:color w:val="auto"/>
          <w:spacing w:val="-2"/>
          <w:szCs w:val="21"/>
          <w:highlight w:val="none"/>
        </w:rPr>
        <w:t>不可抗力事件延续</w:t>
      </w:r>
      <w:r>
        <w:rPr>
          <w:rFonts w:hint="eastAsia" w:cs="宋体" w:asciiTheme="minorEastAsia" w:hAnsiTheme="minorEastAsia" w:eastAsiaTheme="minorEastAsia"/>
          <w:color w:val="auto"/>
          <w:spacing w:val="-2"/>
          <w:szCs w:val="21"/>
          <w:highlight w:val="none"/>
          <w:u w:val="single"/>
        </w:rPr>
        <w:t>6</w:t>
      </w:r>
      <w:r>
        <w:rPr>
          <w:rFonts w:cs="宋体" w:asciiTheme="minorEastAsia" w:hAnsiTheme="minorEastAsia" w:eastAsiaTheme="minorEastAsia"/>
          <w:color w:val="auto"/>
          <w:spacing w:val="-2"/>
          <w:szCs w:val="21"/>
          <w:highlight w:val="none"/>
          <w:u w:val="single"/>
        </w:rPr>
        <w:t>0</w:t>
      </w:r>
      <w:r>
        <w:rPr>
          <w:rFonts w:hint="eastAsia" w:cs="宋体" w:asciiTheme="minorEastAsia" w:hAnsiTheme="minorEastAsia" w:eastAsiaTheme="minorEastAsia"/>
          <w:color w:val="auto"/>
          <w:spacing w:val="-2"/>
          <w:szCs w:val="21"/>
          <w:highlight w:val="none"/>
        </w:rPr>
        <w:t>天以上，双方应通过友好协商，确定是否继续履行合同。</w:t>
      </w:r>
    </w:p>
    <w:p>
      <w:pPr>
        <w:keepNext w:val="0"/>
        <w:keepLines w:val="0"/>
        <w:pageBreakBefore w:val="0"/>
        <w:widowControl w:val="0"/>
        <w:numPr>
          <w:ilvl w:val="0"/>
          <w:numId w:val="15"/>
        </w:numPr>
        <w:kinsoku/>
        <w:wordWrap/>
        <w:overflowPunct/>
        <w:topLinePunct w:val="0"/>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延期责任</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420" w:firstLineChars="200"/>
        <w:textAlignment w:val="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甲乙双方因各自原因造成项目延期的，应分别承担相应责任。</w:t>
      </w:r>
    </w:p>
    <w:p>
      <w:pPr>
        <w:keepNext w:val="0"/>
        <w:keepLines w:val="0"/>
        <w:pageBreakBefore w:val="0"/>
        <w:widowControl w:val="0"/>
        <w:numPr>
          <w:ilvl w:val="1"/>
          <w:numId w:val="15"/>
        </w:numPr>
        <w:kinsoku/>
        <w:wordWrap/>
        <w:overflowPunct/>
        <w:topLinePunct w:val="0"/>
        <w:bidi w:val="0"/>
        <w:adjustRightInd w:val="0"/>
        <w:snapToGrid w:val="0"/>
        <w:spacing w:line="500" w:lineRule="exact"/>
        <w:ind w:left="0" w:firstLine="420" w:firstLineChars="200"/>
        <w:textAlignment w:val="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乙方如遇不能按时交付或不能及时提供服务的情况，应及时以书面形式通知甲方，并说明理由。</w:t>
      </w:r>
    </w:p>
    <w:p>
      <w:pPr>
        <w:keepNext w:val="0"/>
        <w:keepLines w:val="0"/>
        <w:pageBreakBefore w:val="0"/>
        <w:widowControl w:val="0"/>
        <w:numPr>
          <w:ilvl w:val="1"/>
          <w:numId w:val="15"/>
        </w:numPr>
        <w:kinsoku/>
        <w:wordWrap/>
        <w:overflowPunct/>
        <w:topLinePunct w:val="0"/>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若乙方未按本合同规定的时间到货的，则每超一天支付未到货货款的1%的违约金给甲方。未到货款累计额度，以未到货相应合同总价款为限。若乙方未能在本合同规定的时间内完成安装并完成移交的，则每超一天支付合同总价的1%的违约金给甲方。未交付违约金累计额度，以未交付相应合同总价价款为限。如供货逾期或安装逾期超出10天，且甲方有权终止合同（如因甲方原因造成的工期延误除外）。</w:t>
      </w:r>
    </w:p>
    <w:p>
      <w:pPr>
        <w:keepNext w:val="0"/>
        <w:keepLines w:val="0"/>
        <w:pageBreakBefore w:val="0"/>
        <w:widowControl w:val="0"/>
        <w:numPr>
          <w:ilvl w:val="1"/>
          <w:numId w:val="15"/>
        </w:numPr>
        <w:kinsoku/>
        <w:wordWrap/>
        <w:overflowPunct/>
        <w:topLinePunct w:val="0"/>
        <w:bidi w:val="0"/>
        <w:adjustRightInd w:val="0"/>
        <w:snapToGrid w:val="0"/>
        <w:spacing w:line="500" w:lineRule="exact"/>
        <w:ind w:left="0" w:firstLine="420" w:firstLineChars="200"/>
        <w:textAlignment w:val="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因甲方原因造成工期延误，总工期相应顺延。由甲方造成的经济损失，甲方应承担相应责任。</w:t>
      </w:r>
    </w:p>
    <w:p>
      <w:pPr>
        <w:keepNext w:val="0"/>
        <w:keepLines w:val="0"/>
        <w:pageBreakBefore w:val="0"/>
        <w:widowControl w:val="0"/>
        <w:numPr>
          <w:ilvl w:val="1"/>
          <w:numId w:val="15"/>
        </w:numPr>
        <w:kinsoku/>
        <w:wordWrap/>
        <w:overflowPunct/>
        <w:topLinePunct w:val="0"/>
        <w:bidi w:val="0"/>
        <w:adjustRightInd w:val="0"/>
        <w:snapToGrid w:val="0"/>
        <w:spacing w:line="500" w:lineRule="exact"/>
        <w:ind w:left="0" w:firstLine="420" w:firstLineChars="200"/>
        <w:textAlignment w:val="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甲方应按合同约定时间支付相应货款，如有延误应按银行同期贷款利率支付延误时间的利息（由乙方原因造成的延误除外）。</w:t>
      </w:r>
    </w:p>
    <w:p>
      <w:pPr>
        <w:keepNext w:val="0"/>
        <w:keepLines w:val="0"/>
        <w:pageBreakBefore w:val="0"/>
        <w:widowControl w:val="0"/>
        <w:numPr>
          <w:ilvl w:val="0"/>
          <w:numId w:val="15"/>
        </w:numPr>
        <w:kinsoku/>
        <w:wordWrap/>
        <w:overflowPunct/>
        <w:topLinePunct w:val="0"/>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违约责任</w:t>
      </w:r>
    </w:p>
    <w:p>
      <w:pPr>
        <w:keepNext w:val="0"/>
        <w:keepLines w:val="0"/>
        <w:pageBreakBefore w:val="0"/>
        <w:widowControl w:val="0"/>
        <w:kinsoku/>
        <w:wordWrap/>
        <w:overflowPunct/>
        <w:topLinePunct w:val="0"/>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除此合同另有约定外，乙方没有按本合同履行合同约定的义务的，视为违约，应承担由此给甲方造成的全部损失。</w:t>
      </w:r>
    </w:p>
    <w:p>
      <w:pPr>
        <w:keepNext w:val="0"/>
        <w:keepLines w:val="0"/>
        <w:pageBreakBefore w:val="0"/>
        <w:widowControl w:val="0"/>
        <w:numPr>
          <w:ilvl w:val="0"/>
          <w:numId w:val="15"/>
        </w:numPr>
        <w:kinsoku/>
        <w:wordWrap/>
        <w:overflowPunct/>
        <w:topLinePunct w:val="0"/>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违约终止合同</w:t>
      </w:r>
    </w:p>
    <w:p>
      <w:pPr>
        <w:keepNext w:val="0"/>
        <w:keepLines w:val="0"/>
        <w:pageBreakBefore w:val="0"/>
        <w:widowControl w:val="0"/>
        <w:kinsoku/>
        <w:wordWrap/>
        <w:overflowPunct/>
        <w:topLinePunct w:val="0"/>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甲方在乙方存在如下违约情况时，有权考虑并提出终止全部或部分合同。</w:t>
      </w:r>
    </w:p>
    <w:p>
      <w:pPr>
        <w:keepNext w:val="0"/>
        <w:keepLines w:val="0"/>
        <w:pageBreakBefore w:val="0"/>
        <w:widowControl w:val="0"/>
        <w:numPr>
          <w:ilvl w:val="1"/>
          <w:numId w:val="15"/>
        </w:numPr>
        <w:kinsoku/>
        <w:wordWrap/>
        <w:overflowPunct/>
        <w:topLinePunct w:val="0"/>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乙方未能在合同规定期限或甲方同意延长的期限内交付全部或部分货物。</w:t>
      </w:r>
    </w:p>
    <w:p>
      <w:pPr>
        <w:keepNext w:val="0"/>
        <w:keepLines w:val="0"/>
        <w:pageBreakBefore w:val="0"/>
        <w:widowControl w:val="0"/>
        <w:numPr>
          <w:ilvl w:val="1"/>
          <w:numId w:val="15"/>
        </w:numPr>
        <w:kinsoku/>
        <w:wordWrap/>
        <w:overflowPunct/>
        <w:topLinePunct w:val="0"/>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乙方未能履行合同规定的其他义务。</w:t>
      </w:r>
    </w:p>
    <w:p>
      <w:pPr>
        <w:keepNext w:val="0"/>
        <w:keepLines w:val="0"/>
        <w:pageBreakBefore w:val="0"/>
        <w:widowControl w:val="0"/>
        <w:numPr>
          <w:ilvl w:val="1"/>
          <w:numId w:val="15"/>
        </w:numPr>
        <w:kinsoku/>
        <w:wordWrap/>
        <w:overflowPunct/>
        <w:topLinePunct w:val="0"/>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在发生上述情况后，乙方收到甲方的违约通知后10天内未能纠正其过失。</w:t>
      </w:r>
    </w:p>
    <w:p>
      <w:pPr>
        <w:keepNext w:val="0"/>
        <w:keepLines w:val="0"/>
        <w:pageBreakBefore w:val="0"/>
        <w:widowControl w:val="0"/>
        <w:numPr>
          <w:ilvl w:val="0"/>
          <w:numId w:val="15"/>
        </w:numPr>
        <w:kinsoku/>
        <w:wordWrap/>
        <w:overflowPunct/>
        <w:topLinePunct w:val="0"/>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争议的解决</w:t>
      </w:r>
    </w:p>
    <w:p>
      <w:pPr>
        <w:keepNext w:val="0"/>
        <w:keepLines w:val="0"/>
        <w:pageBreakBefore w:val="0"/>
        <w:widowControl w:val="0"/>
        <w:kinsoku/>
        <w:wordWrap/>
        <w:overflowPunct/>
        <w:topLinePunct w:val="0"/>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双方在履行合同过程中产生争议时(1)请政府采购监管部门调解;(2)采取仲裁方式解决的,约定向</w:t>
      </w:r>
      <w:r>
        <w:rPr>
          <w:rFonts w:hint="eastAsia" w:cs="宋体" w:asciiTheme="minorEastAsia" w:hAnsiTheme="minorEastAsia" w:eastAsiaTheme="minorEastAsia"/>
          <w:color w:val="auto"/>
          <w:szCs w:val="21"/>
          <w:highlight w:val="none"/>
          <w:lang w:val="en-US" w:eastAsia="zh-CN"/>
        </w:rPr>
        <w:t>衢州</w:t>
      </w:r>
      <w:r>
        <w:rPr>
          <w:rFonts w:hint="eastAsia" w:cs="宋体" w:asciiTheme="minorEastAsia" w:hAnsiTheme="minorEastAsia" w:eastAsiaTheme="minorEastAsia"/>
          <w:color w:val="auto"/>
          <w:szCs w:val="21"/>
          <w:highlight w:val="none"/>
        </w:rPr>
        <w:t xml:space="preserve">仲裁委员会提请仲裁,或直接向合同签订地人民法院提请诉讼。 </w:t>
      </w:r>
    </w:p>
    <w:p>
      <w:pPr>
        <w:adjustRightInd w:val="0"/>
        <w:snapToGrid w:val="0"/>
        <w:spacing w:line="336"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w:t>
      </w:r>
    </w:p>
    <w:p>
      <w:pPr>
        <w:adjustRightInd w:val="0"/>
        <w:snapToGrid w:val="0"/>
        <w:spacing w:line="336" w:lineRule="auto"/>
        <w:jc w:val="center"/>
        <w:outlineLvl w:val="1"/>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二、专用条款</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甲、乙双方根据（项目编号：__________）项目磋商结果和磋商/磋商文件的要求，并经双方协调一致，订立本采购合同。</w:t>
      </w:r>
    </w:p>
    <w:p>
      <w:pPr>
        <w:keepNext w:val="0"/>
        <w:keepLines w:val="0"/>
        <w:pageBreakBefore w:val="0"/>
        <w:widowControl w:val="0"/>
        <w:numPr>
          <w:ilvl w:val="0"/>
          <w:numId w:val="15"/>
        </w:numPr>
        <w:kinsoku/>
        <w:wordWrap/>
        <w:overflowPunct/>
        <w:topLinePunct w:val="0"/>
        <w:autoSpaceDE/>
        <w:autoSpaceDN/>
        <w:bidi w:val="0"/>
        <w:adjustRightInd w:val="0"/>
        <w:snapToGrid w:val="0"/>
        <w:spacing w:line="500" w:lineRule="exact"/>
        <w:ind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合同文件</w:t>
      </w:r>
    </w:p>
    <w:p>
      <w:pPr>
        <w:keepNext w:val="0"/>
        <w:keepLines w:val="0"/>
        <w:pageBreakBefore w:val="0"/>
        <w:widowControl w:val="0"/>
        <w:numPr>
          <w:ilvl w:val="1"/>
          <w:numId w:val="15"/>
        </w:numPr>
        <w:kinsoku/>
        <w:wordWrap/>
        <w:overflowPunct/>
        <w:topLinePunct w:val="0"/>
        <w:autoSpaceDE/>
        <w:autoSpaceDN/>
        <w:bidi w:val="0"/>
        <w:adjustRightInd w:val="0"/>
        <w:snapToGrid w:val="0"/>
        <w:spacing w:line="500" w:lineRule="exact"/>
        <w:ind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本合同书</w:t>
      </w:r>
    </w:p>
    <w:p>
      <w:pPr>
        <w:keepNext w:val="0"/>
        <w:keepLines w:val="0"/>
        <w:pageBreakBefore w:val="0"/>
        <w:widowControl w:val="0"/>
        <w:numPr>
          <w:ilvl w:val="1"/>
          <w:numId w:val="15"/>
        </w:numPr>
        <w:kinsoku/>
        <w:wordWrap/>
        <w:overflowPunct/>
        <w:topLinePunct w:val="0"/>
        <w:autoSpaceDE/>
        <w:autoSpaceDN/>
        <w:bidi w:val="0"/>
        <w:adjustRightInd w:val="0"/>
        <w:snapToGrid w:val="0"/>
        <w:spacing w:line="500" w:lineRule="exact"/>
        <w:ind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中标/成交通知书</w:t>
      </w:r>
    </w:p>
    <w:p>
      <w:pPr>
        <w:keepNext w:val="0"/>
        <w:keepLines w:val="0"/>
        <w:pageBreakBefore w:val="0"/>
        <w:widowControl w:val="0"/>
        <w:numPr>
          <w:ilvl w:val="1"/>
          <w:numId w:val="15"/>
        </w:numPr>
        <w:kinsoku/>
        <w:wordWrap/>
        <w:overflowPunct/>
        <w:topLinePunct w:val="0"/>
        <w:autoSpaceDE/>
        <w:autoSpaceDN/>
        <w:bidi w:val="0"/>
        <w:adjustRightInd w:val="0"/>
        <w:snapToGrid w:val="0"/>
        <w:spacing w:line="500" w:lineRule="exact"/>
        <w:ind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中标/成交单位响应文件</w:t>
      </w:r>
    </w:p>
    <w:p>
      <w:pPr>
        <w:keepNext w:val="0"/>
        <w:keepLines w:val="0"/>
        <w:pageBreakBefore w:val="0"/>
        <w:widowControl w:val="0"/>
        <w:numPr>
          <w:ilvl w:val="1"/>
          <w:numId w:val="15"/>
        </w:numPr>
        <w:kinsoku/>
        <w:wordWrap/>
        <w:overflowPunct/>
        <w:topLinePunct w:val="0"/>
        <w:autoSpaceDE/>
        <w:autoSpaceDN/>
        <w:bidi w:val="0"/>
        <w:adjustRightInd w:val="0"/>
        <w:snapToGrid w:val="0"/>
        <w:spacing w:line="500" w:lineRule="exact"/>
        <w:ind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变更补充文件</w:t>
      </w:r>
    </w:p>
    <w:p>
      <w:pPr>
        <w:keepNext w:val="0"/>
        <w:keepLines w:val="0"/>
        <w:pageBreakBefore w:val="0"/>
        <w:widowControl w:val="0"/>
        <w:numPr>
          <w:ilvl w:val="1"/>
          <w:numId w:val="15"/>
        </w:numPr>
        <w:kinsoku/>
        <w:wordWrap/>
        <w:overflowPunct/>
        <w:topLinePunct w:val="0"/>
        <w:autoSpaceDE/>
        <w:autoSpaceDN/>
        <w:bidi w:val="0"/>
        <w:adjustRightInd w:val="0"/>
        <w:snapToGrid w:val="0"/>
        <w:spacing w:line="500" w:lineRule="exact"/>
        <w:ind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磋商文件/磋商响应文件</w:t>
      </w:r>
    </w:p>
    <w:p>
      <w:pPr>
        <w:keepNext w:val="0"/>
        <w:keepLines w:val="0"/>
        <w:pageBreakBefore w:val="0"/>
        <w:widowControl w:val="0"/>
        <w:numPr>
          <w:ilvl w:val="1"/>
          <w:numId w:val="15"/>
        </w:numPr>
        <w:kinsoku/>
        <w:wordWrap/>
        <w:overflowPunct/>
        <w:topLinePunct w:val="0"/>
        <w:autoSpaceDE/>
        <w:autoSpaceDN/>
        <w:bidi w:val="0"/>
        <w:adjustRightInd w:val="0"/>
        <w:snapToGrid w:val="0"/>
        <w:spacing w:line="500" w:lineRule="exact"/>
        <w:ind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标准、规范、图纸及有关技术文件</w:t>
      </w:r>
    </w:p>
    <w:p>
      <w:pPr>
        <w:keepNext w:val="0"/>
        <w:keepLines w:val="0"/>
        <w:pageBreakBefore w:val="0"/>
        <w:widowControl w:val="0"/>
        <w:numPr>
          <w:ilvl w:val="1"/>
          <w:numId w:val="15"/>
        </w:numPr>
        <w:kinsoku/>
        <w:wordWrap/>
        <w:overflowPunct/>
        <w:topLinePunct w:val="0"/>
        <w:autoSpaceDE/>
        <w:autoSpaceDN/>
        <w:bidi w:val="0"/>
        <w:adjustRightInd w:val="0"/>
        <w:snapToGrid w:val="0"/>
        <w:spacing w:line="500" w:lineRule="exact"/>
        <w:ind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其他</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上述所指合同文件应认为是互相补充和解释的，但是有模棱两可或互相矛盾之处，以其所列内容顺序为准。</w:t>
      </w:r>
    </w:p>
    <w:p>
      <w:pPr>
        <w:keepNext w:val="0"/>
        <w:keepLines w:val="0"/>
        <w:pageBreakBefore w:val="0"/>
        <w:widowControl w:val="0"/>
        <w:numPr>
          <w:ilvl w:val="0"/>
          <w:numId w:val="15"/>
        </w:numPr>
        <w:kinsoku/>
        <w:wordWrap/>
        <w:overflowPunct/>
        <w:topLinePunct w:val="0"/>
        <w:autoSpaceDE/>
        <w:autoSpaceDN/>
        <w:bidi w:val="0"/>
        <w:adjustRightInd w:val="0"/>
        <w:snapToGrid w:val="0"/>
        <w:spacing w:line="500" w:lineRule="exact"/>
        <w:ind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合同金额：</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（大写）</w:t>
      </w:r>
      <w:r>
        <w:rPr>
          <w:rFonts w:hint="eastAsia" w:cs="宋体" w:asciiTheme="minorEastAsia" w:hAnsiTheme="minorEastAsia" w:eastAsiaTheme="minorEastAsia"/>
          <w:color w:val="auto"/>
          <w:szCs w:val="21"/>
          <w:highlight w:val="none"/>
        </w:rPr>
        <w:br w:type="textWrapping"/>
      </w:r>
      <w:r>
        <w:rPr>
          <w:rFonts w:hint="eastAsia" w:cs="宋体" w:asciiTheme="minorEastAsia" w:hAnsiTheme="minorEastAsia" w:eastAsiaTheme="minorEastAsia"/>
          <w:color w:val="auto"/>
          <w:szCs w:val="21"/>
          <w:highlight w:val="none"/>
        </w:rPr>
        <w:t xml:space="preserve"> </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 xml:space="preserve">   包括完成合同所涉及的全部内容，包含但不仅限于所需系统的设计、开发、优化、安装、平台对接、上线调试、试运行管理、等保测评、技术培训、验收配合、第三方检测（如需)、售后服务以及完成采购需求所涉及的其他一切内容，以及中标后中标供应商因本项目合同履行产生的税金、人工、管理、合理利润等一切成本及费用（以上所有费用包含在综合单价中，不另列）。</w:t>
      </w:r>
      <w:r>
        <w:rPr>
          <w:rFonts w:hint="eastAsia" w:cs="宋体" w:asciiTheme="minorEastAsia" w:hAnsiTheme="minorEastAsia" w:eastAsiaTheme="minorEastAsia"/>
          <w:color w:val="auto"/>
          <w:szCs w:val="21"/>
          <w:highlight w:val="none"/>
          <w:u w:val="single"/>
        </w:rPr>
        <w:t>验收费用由乙方支付</w:t>
      </w:r>
      <w:r>
        <w:rPr>
          <w:rFonts w:hint="eastAsia" w:cs="宋体" w:asciiTheme="minorEastAsia" w:hAnsiTheme="minorEastAsia" w:eastAsiaTheme="minorEastAsia"/>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付款方式：</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第一次付款：自合同签订之日起10个工作日内支付合同总价30%的合同款作为项目预付款；</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第二次付款：乙方根据项目建设要求，完成项目全部硬件安装和软件顺利上线试运</w:t>
      </w:r>
      <w:r>
        <w:rPr>
          <w:rFonts w:hint="eastAsia" w:ascii="宋体" w:hAnsi="宋体" w:cs="宋体"/>
          <w:color w:val="auto"/>
          <w:sz w:val="21"/>
          <w:szCs w:val="21"/>
          <w:highlight w:val="none"/>
          <w:lang w:val="en-US" w:eastAsia="zh-CN"/>
        </w:rPr>
        <w:t>行一个月后进行终验，终验合格后支付合同价款的60%</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第</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rPr>
        <w:t>次付款：</w:t>
      </w:r>
      <w:r>
        <w:rPr>
          <w:rFonts w:hint="eastAsia" w:ascii="宋体" w:hAnsi="宋体" w:cs="宋体"/>
          <w:color w:val="auto"/>
          <w:sz w:val="21"/>
          <w:szCs w:val="21"/>
          <w:highlight w:val="none"/>
          <w:lang w:val="en-US" w:eastAsia="zh-CN"/>
        </w:rPr>
        <w:t>一年维护期结束后付合同价款的10%。</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项目编号：                                       单位：元</w:t>
      </w:r>
    </w:p>
    <w:tbl>
      <w:tblPr>
        <w:tblStyle w:val="28"/>
        <w:tblW w:w="9035" w:type="dxa"/>
        <w:jc w:val="center"/>
        <w:tblLayout w:type="fixed"/>
        <w:tblCellMar>
          <w:top w:w="0" w:type="dxa"/>
          <w:left w:w="108" w:type="dxa"/>
          <w:bottom w:w="0" w:type="dxa"/>
          <w:right w:w="108" w:type="dxa"/>
        </w:tblCellMar>
      </w:tblPr>
      <w:tblGrid>
        <w:gridCol w:w="893"/>
        <w:gridCol w:w="1375"/>
        <w:gridCol w:w="2853"/>
        <w:gridCol w:w="1352"/>
        <w:gridCol w:w="2562"/>
      </w:tblGrid>
      <w:tr>
        <w:tblPrEx>
          <w:tblCellMar>
            <w:top w:w="0" w:type="dxa"/>
            <w:left w:w="108" w:type="dxa"/>
            <w:bottom w:w="0" w:type="dxa"/>
            <w:right w:w="108" w:type="dxa"/>
          </w:tblCellMar>
        </w:tblPrEx>
        <w:trPr>
          <w:trHeight w:val="506" w:hRule="atLeast"/>
          <w:jc w:val="center"/>
        </w:trPr>
        <w:tc>
          <w:tcPr>
            <w:tcW w:w="893" w:type="dxa"/>
            <w:tcBorders>
              <w:top w:val="thinThickSmallGap" w:color="auto" w:sz="12" w:space="0"/>
              <w:left w:val="thinThickSmallGap" w:color="auto" w:sz="12" w:space="0"/>
              <w:bottom w:val="single" w:color="auto" w:sz="4" w:space="0"/>
              <w:right w:val="single" w:color="auto" w:sz="4" w:space="0"/>
            </w:tcBorders>
            <w:vAlign w:val="center"/>
          </w:tcPr>
          <w:p>
            <w:pPr>
              <w:adjustRightInd w:val="0"/>
              <w:snapToGrid w:val="0"/>
              <w:spacing w:line="336" w:lineRule="auto"/>
              <w:ind w:left="-53" w:leftChars="-25" w:right="-53" w:rightChars="-25"/>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序号</w:t>
            </w:r>
          </w:p>
        </w:tc>
        <w:tc>
          <w:tcPr>
            <w:tcW w:w="1375" w:type="dxa"/>
            <w:tcBorders>
              <w:top w:val="thinThickSmallGap" w:color="auto" w:sz="12" w:space="0"/>
              <w:left w:val="single" w:color="auto" w:sz="4" w:space="0"/>
              <w:bottom w:val="single" w:color="auto" w:sz="4" w:space="0"/>
              <w:right w:val="single" w:color="auto" w:sz="4" w:space="0"/>
            </w:tcBorders>
            <w:vAlign w:val="center"/>
          </w:tcPr>
          <w:p>
            <w:pPr>
              <w:adjustRightInd w:val="0"/>
              <w:snapToGrid w:val="0"/>
              <w:spacing w:line="336" w:lineRule="auto"/>
              <w:ind w:left="-53" w:leftChars="-25" w:right="-53" w:rightChars="-25"/>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采购内容</w:t>
            </w:r>
          </w:p>
        </w:tc>
        <w:tc>
          <w:tcPr>
            <w:tcW w:w="2853" w:type="dxa"/>
            <w:tcBorders>
              <w:top w:val="thinThickSmallGap" w:color="auto" w:sz="12" w:space="0"/>
              <w:left w:val="single" w:color="auto" w:sz="4" w:space="0"/>
              <w:bottom w:val="single" w:color="auto" w:sz="4" w:space="0"/>
              <w:right w:val="single" w:color="auto" w:sz="4" w:space="0"/>
            </w:tcBorders>
            <w:vAlign w:val="center"/>
          </w:tcPr>
          <w:p>
            <w:pPr>
              <w:adjustRightInd w:val="0"/>
              <w:snapToGrid w:val="0"/>
              <w:spacing w:line="336" w:lineRule="auto"/>
              <w:ind w:left="-53" w:leftChars="-25" w:right="-53" w:rightChars="-25"/>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规格、型号</w:t>
            </w:r>
          </w:p>
        </w:tc>
        <w:tc>
          <w:tcPr>
            <w:tcW w:w="1352" w:type="dxa"/>
            <w:tcBorders>
              <w:top w:val="thinThickSmallGap" w:color="auto" w:sz="12" w:space="0"/>
              <w:left w:val="single" w:color="auto" w:sz="4" w:space="0"/>
              <w:bottom w:val="single" w:color="auto" w:sz="4" w:space="0"/>
              <w:right w:val="single" w:color="auto" w:sz="4" w:space="0"/>
            </w:tcBorders>
            <w:vAlign w:val="center"/>
          </w:tcPr>
          <w:p>
            <w:pPr>
              <w:adjustRightInd w:val="0"/>
              <w:snapToGrid w:val="0"/>
              <w:spacing w:line="336" w:lineRule="auto"/>
              <w:ind w:left="-53" w:leftChars="-25" w:right="-53" w:rightChars="-25"/>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数量</w:t>
            </w:r>
          </w:p>
        </w:tc>
        <w:tc>
          <w:tcPr>
            <w:tcW w:w="2562" w:type="dxa"/>
            <w:tcBorders>
              <w:top w:val="thinThickSmallGap" w:color="auto" w:sz="12" w:space="0"/>
              <w:left w:val="single" w:color="auto" w:sz="4" w:space="0"/>
              <w:bottom w:val="single" w:color="auto" w:sz="4" w:space="0"/>
              <w:right w:val="thickThinSmallGap" w:color="auto" w:sz="12" w:space="0"/>
            </w:tcBorders>
            <w:vAlign w:val="center"/>
          </w:tcPr>
          <w:p>
            <w:pPr>
              <w:adjustRightInd w:val="0"/>
              <w:snapToGrid w:val="0"/>
              <w:spacing w:line="336" w:lineRule="auto"/>
              <w:ind w:left="-53" w:leftChars="-25" w:right="-53" w:rightChars="-25"/>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设备价</w:t>
            </w:r>
          </w:p>
          <w:p>
            <w:pPr>
              <w:adjustRightInd w:val="0"/>
              <w:snapToGrid w:val="0"/>
              <w:spacing w:line="336" w:lineRule="auto"/>
              <w:ind w:left="-53" w:leftChars="-25" w:right="-53" w:rightChars="-25"/>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（人民币万元）</w:t>
            </w:r>
          </w:p>
        </w:tc>
      </w:tr>
      <w:tr>
        <w:tblPrEx>
          <w:tblCellMar>
            <w:top w:w="0" w:type="dxa"/>
            <w:left w:w="108" w:type="dxa"/>
            <w:bottom w:w="0" w:type="dxa"/>
            <w:right w:w="108" w:type="dxa"/>
          </w:tblCellMar>
        </w:tblPrEx>
        <w:trPr>
          <w:jc w:val="center"/>
        </w:trPr>
        <w:tc>
          <w:tcPr>
            <w:tcW w:w="893" w:type="dxa"/>
            <w:tcBorders>
              <w:top w:val="single" w:color="auto" w:sz="4" w:space="0"/>
              <w:left w:val="thinThickSmallGap" w:color="auto" w:sz="12" w:space="0"/>
              <w:bottom w:val="single" w:color="auto" w:sz="4" w:space="0"/>
              <w:right w:val="single" w:color="auto" w:sz="4" w:space="0"/>
            </w:tcBorders>
          </w:tcPr>
          <w:p>
            <w:pPr>
              <w:adjustRightInd w:val="0"/>
              <w:snapToGrid w:val="0"/>
              <w:spacing w:line="336"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p>
        </w:tc>
        <w:tc>
          <w:tcPr>
            <w:tcW w:w="1375" w:type="dxa"/>
            <w:tcBorders>
              <w:top w:val="single" w:color="auto" w:sz="4" w:space="0"/>
              <w:left w:val="single" w:color="auto" w:sz="4" w:space="0"/>
              <w:bottom w:val="single" w:color="auto" w:sz="4" w:space="0"/>
              <w:right w:val="single" w:color="auto" w:sz="4" w:space="0"/>
            </w:tcBorders>
          </w:tcPr>
          <w:p>
            <w:pPr>
              <w:adjustRightInd w:val="0"/>
              <w:snapToGrid w:val="0"/>
              <w:spacing w:line="336" w:lineRule="auto"/>
              <w:rPr>
                <w:rFonts w:cs="宋体" w:asciiTheme="minorEastAsia" w:hAnsiTheme="minorEastAsia" w:eastAsiaTheme="minorEastAsia"/>
                <w:color w:val="auto"/>
                <w:szCs w:val="21"/>
                <w:highlight w:val="none"/>
              </w:rPr>
            </w:pPr>
          </w:p>
        </w:tc>
        <w:tc>
          <w:tcPr>
            <w:tcW w:w="2853" w:type="dxa"/>
            <w:tcBorders>
              <w:top w:val="single" w:color="auto" w:sz="4" w:space="0"/>
              <w:left w:val="single" w:color="auto" w:sz="4" w:space="0"/>
              <w:bottom w:val="single" w:color="auto" w:sz="4" w:space="0"/>
              <w:right w:val="single" w:color="auto" w:sz="4" w:space="0"/>
            </w:tcBorders>
          </w:tcPr>
          <w:p>
            <w:pPr>
              <w:adjustRightInd w:val="0"/>
              <w:snapToGrid w:val="0"/>
              <w:spacing w:line="336" w:lineRule="auto"/>
              <w:rPr>
                <w:rFonts w:cs="宋体" w:asciiTheme="minorEastAsia" w:hAnsiTheme="minorEastAsia" w:eastAsiaTheme="minorEastAsia"/>
                <w:color w:val="auto"/>
                <w:szCs w:val="21"/>
                <w:highlight w:val="none"/>
              </w:rPr>
            </w:pPr>
          </w:p>
        </w:tc>
        <w:tc>
          <w:tcPr>
            <w:tcW w:w="1352" w:type="dxa"/>
            <w:tcBorders>
              <w:top w:val="single" w:color="auto" w:sz="4" w:space="0"/>
              <w:left w:val="single" w:color="auto" w:sz="4" w:space="0"/>
              <w:bottom w:val="single" w:color="auto" w:sz="4" w:space="0"/>
              <w:right w:val="single" w:color="auto" w:sz="4" w:space="0"/>
            </w:tcBorders>
          </w:tcPr>
          <w:p>
            <w:pPr>
              <w:adjustRightInd w:val="0"/>
              <w:snapToGrid w:val="0"/>
              <w:spacing w:line="336" w:lineRule="auto"/>
              <w:rPr>
                <w:rFonts w:cs="宋体" w:asciiTheme="minorEastAsia" w:hAnsiTheme="minorEastAsia" w:eastAsiaTheme="minorEastAsia"/>
                <w:color w:val="auto"/>
                <w:szCs w:val="21"/>
                <w:highlight w:val="none"/>
              </w:rPr>
            </w:pPr>
          </w:p>
        </w:tc>
        <w:tc>
          <w:tcPr>
            <w:tcW w:w="2562" w:type="dxa"/>
            <w:tcBorders>
              <w:top w:val="single" w:color="auto" w:sz="4" w:space="0"/>
              <w:left w:val="single" w:color="auto" w:sz="4" w:space="0"/>
              <w:bottom w:val="single" w:color="auto" w:sz="4" w:space="0"/>
              <w:right w:val="thickThinSmallGap" w:color="auto" w:sz="12" w:space="0"/>
            </w:tcBorders>
          </w:tcPr>
          <w:p>
            <w:pPr>
              <w:adjustRightInd w:val="0"/>
              <w:snapToGrid w:val="0"/>
              <w:spacing w:line="336" w:lineRule="auto"/>
              <w:rPr>
                <w:rFonts w:cs="宋体" w:asciiTheme="minorEastAsia" w:hAnsiTheme="minorEastAsia" w:eastAsiaTheme="minorEastAsia"/>
                <w:color w:val="auto"/>
                <w:szCs w:val="21"/>
                <w:highlight w:val="none"/>
              </w:rPr>
            </w:pPr>
          </w:p>
        </w:tc>
      </w:tr>
      <w:tr>
        <w:tblPrEx>
          <w:tblCellMar>
            <w:top w:w="0" w:type="dxa"/>
            <w:left w:w="108" w:type="dxa"/>
            <w:bottom w:w="0" w:type="dxa"/>
            <w:right w:w="108" w:type="dxa"/>
          </w:tblCellMar>
        </w:tblPrEx>
        <w:trPr>
          <w:jc w:val="center"/>
        </w:trPr>
        <w:tc>
          <w:tcPr>
            <w:tcW w:w="893" w:type="dxa"/>
            <w:tcBorders>
              <w:top w:val="single" w:color="auto" w:sz="4" w:space="0"/>
              <w:left w:val="thinThickSmallGap" w:color="auto" w:sz="12" w:space="0"/>
              <w:bottom w:val="single" w:color="auto" w:sz="4" w:space="0"/>
              <w:right w:val="single" w:color="auto" w:sz="4" w:space="0"/>
            </w:tcBorders>
          </w:tcPr>
          <w:p>
            <w:pPr>
              <w:adjustRightInd w:val="0"/>
              <w:snapToGrid w:val="0"/>
              <w:spacing w:line="336"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p>
        </w:tc>
        <w:tc>
          <w:tcPr>
            <w:tcW w:w="1375" w:type="dxa"/>
            <w:tcBorders>
              <w:top w:val="single" w:color="auto" w:sz="4" w:space="0"/>
              <w:left w:val="single" w:color="auto" w:sz="4" w:space="0"/>
              <w:bottom w:val="single" w:color="auto" w:sz="4" w:space="0"/>
              <w:right w:val="single" w:color="auto" w:sz="4" w:space="0"/>
            </w:tcBorders>
          </w:tcPr>
          <w:p>
            <w:pPr>
              <w:adjustRightInd w:val="0"/>
              <w:snapToGrid w:val="0"/>
              <w:spacing w:line="336" w:lineRule="auto"/>
              <w:rPr>
                <w:rFonts w:cs="宋体" w:asciiTheme="minorEastAsia" w:hAnsiTheme="minorEastAsia" w:eastAsiaTheme="minorEastAsia"/>
                <w:color w:val="auto"/>
                <w:szCs w:val="21"/>
                <w:highlight w:val="none"/>
              </w:rPr>
            </w:pPr>
          </w:p>
        </w:tc>
        <w:tc>
          <w:tcPr>
            <w:tcW w:w="2853" w:type="dxa"/>
            <w:tcBorders>
              <w:top w:val="single" w:color="auto" w:sz="4" w:space="0"/>
              <w:left w:val="single" w:color="auto" w:sz="4" w:space="0"/>
              <w:bottom w:val="single" w:color="auto" w:sz="4" w:space="0"/>
              <w:right w:val="single" w:color="auto" w:sz="4" w:space="0"/>
            </w:tcBorders>
          </w:tcPr>
          <w:p>
            <w:pPr>
              <w:adjustRightInd w:val="0"/>
              <w:snapToGrid w:val="0"/>
              <w:spacing w:line="336" w:lineRule="auto"/>
              <w:rPr>
                <w:rFonts w:cs="宋体" w:asciiTheme="minorEastAsia" w:hAnsiTheme="minorEastAsia" w:eastAsiaTheme="minorEastAsia"/>
                <w:color w:val="auto"/>
                <w:szCs w:val="21"/>
                <w:highlight w:val="none"/>
              </w:rPr>
            </w:pPr>
          </w:p>
        </w:tc>
        <w:tc>
          <w:tcPr>
            <w:tcW w:w="1352" w:type="dxa"/>
            <w:tcBorders>
              <w:top w:val="single" w:color="auto" w:sz="4" w:space="0"/>
              <w:left w:val="single" w:color="auto" w:sz="4" w:space="0"/>
              <w:bottom w:val="single" w:color="auto" w:sz="4" w:space="0"/>
              <w:right w:val="single" w:color="auto" w:sz="4" w:space="0"/>
            </w:tcBorders>
          </w:tcPr>
          <w:p>
            <w:pPr>
              <w:adjustRightInd w:val="0"/>
              <w:snapToGrid w:val="0"/>
              <w:spacing w:line="336" w:lineRule="auto"/>
              <w:rPr>
                <w:rFonts w:cs="宋体" w:asciiTheme="minorEastAsia" w:hAnsiTheme="minorEastAsia" w:eastAsiaTheme="minorEastAsia"/>
                <w:color w:val="auto"/>
                <w:szCs w:val="21"/>
                <w:highlight w:val="none"/>
              </w:rPr>
            </w:pPr>
          </w:p>
        </w:tc>
        <w:tc>
          <w:tcPr>
            <w:tcW w:w="2562" w:type="dxa"/>
            <w:tcBorders>
              <w:top w:val="single" w:color="auto" w:sz="4" w:space="0"/>
              <w:left w:val="single" w:color="auto" w:sz="4" w:space="0"/>
              <w:bottom w:val="single" w:color="auto" w:sz="4" w:space="0"/>
              <w:right w:val="thickThinSmallGap" w:color="auto" w:sz="12" w:space="0"/>
            </w:tcBorders>
          </w:tcPr>
          <w:p>
            <w:pPr>
              <w:adjustRightInd w:val="0"/>
              <w:snapToGrid w:val="0"/>
              <w:spacing w:line="336" w:lineRule="auto"/>
              <w:rPr>
                <w:rFonts w:cs="宋体" w:asciiTheme="minorEastAsia" w:hAnsiTheme="minorEastAsia" w:eastAsiaTheme="minorEastAsia"/>
                <w:color w:val="auto"/>
                <w:szCs w:val="21"/>
                <w:highlight w:val="none"/>
              </w:rPr>
            </w:pPr>
          </w:p>
        </w:tc>
      </w:tr>
      <w:tr>
        <w:tblPrEx>
          <w:tblCellMar>
            <w:top w:w="0" w:type="dxa"/>
            <w:left w:w="108" w:type="dxa"/>
            <w:bottom w:w="0" w:type="dxa"/>
            <w:right w:w="108" w:type="dxa"/>
          </w:tblCellMar>
        </w:tblPrEx>
        <w:trPr>
          <w:jc w:val="center"/>
        </w:trPr>
        <w:tc>
          <w:tcPr>
            <w:tcW w:w="893" w:type="dxa"/>
            <w:tcBorders>
              <w:top w:val="single" w:color="auto" w:sz="4" w:space="0"/>
              <w:left w:val="thinThickSmallGap" w:color="auto" w:sz="12" w:space="0"/>
              <w:bottom w:val="single" w:color="auto" w:sz="4" w:space="0"/>
              <w:right w:val="single" w:color="auto" w:sz="4" w:space="0"/>
            </w:tcBorders>
          </w:tcPr>
          <w:p>
            <w:pPr>
              <w:adjustRightInd w:val="0"/>
              <w:snapToGrid w:val="0"/>
              <w:spacing w:line="336"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p>
        </w:tc>
        <w:tc>
          <w:tcPr>
            <w:tcW w:w="1375" w:type="dxa"/>
            <w:tcBorders>
              <w:top w:val="single" w:color="auto" w:sz="4" w:space="0"/>
              <w:left w:val="single" w:color="auto" w:sz="4" w:space="0"/>
              <w:bottom w:val="single" w:color="auto" w:sz="4" w:space="0"/>
              <w:right w:val="single" w:color="auto" w:sz="4" w:space="0"/>
            </w:tcBorders>
          </w:tcPr>
          <w:p>
            <w:pPr>
              <w:adjustRightInd w:val="0"/>
              <w:snapToGrid w:val="0"/>
              <w:spacing w:line="336" w:lineRule="auto"/>
              <w:rPr>
                <w:rFonts w:cs="宋体" w:asciiTheme="minorEastAsia" w:hAnsiTheme="minorEastAsia" w:eastAsiaTheme="minorEastAsia"/>
                <w:color w:val="auto"/>
                <w:szCs w:val="21"/>
                <w:highlight w:val="none"/>
              </w:rPr>
            </w:pPr>
          </w:p>
        </w:tc>
        <w:tc>
          <w:tcPr>
            <w:tcW w:w="2853" w:type="dxa"/>
            <w:tcBorders>
              <w:top w:val="single" w:color="auto" w:sz="4" w:space="0"/>
              <w:left w:val="single" w:color="auto" w:sz="4" w:space="0"/>
              <w:bottom w:val="single" w:color="auto" w:sz="4" w:space="0"/>
              <w:right w:val="single" w:color="auto" w:sz="4" w:space="0"/>
            </w:tcBorders>
          </w:tcPr>
          <w:p>
            <w:pPr>
              <w:adjustRightInd w:val="0"/>
              <w:snapToGrid w:val="0"/>
              <w:spacing w:line="336" w:lineRule="auto"/>
              <w:rPr>
                <w:rFonts w:cs="宋体" w:asciiTheme="minorEastAsia" w:hAnsiTheme="minorEastAsia" w:eastAsiaTheme="minorEastAsia"/>
                <w:color w:val="auto"/>
                <w:szCs w:val="21"/>
                <w:highlight w:val="none"/>
              </w:rPr>
            </w:pPr>
          </w:p>
        </w:tc>
        <w:tc>
          <w:tcPr>
            <w:tcW w:w="1352" w:type="dxa"/>
            <w:tcBorders>
              <w:top w:val="single" w:color="auto" w:sz="4" w:space="0"/>
              <w:left w:val="single" w:color="auto" w:sz="4" w:space="0"/>
              <w:bottom w:val="single" w:color="auto" w:sz="4" w:space="0"/>
              <w:right w:val="single" w:color="auto" w:sz="4" w:space="0"/>
            </w:tcBorders>
          </w:tcPr>
          <w:p>
            <w:pPr>
              <w:adjustRightInd w:val="0"/>
              <w:snapToGrid w:val="0"/>
              <w:spacing w:line="336" w:lineRule="auto"/>
              <w:rPr>
                <w:rFonts w:cs="宋体" w:asciiTheme="minorEastAsia" w:hAnsiTheme="minorEastAsia" w:eastAsiaTheme="minorEastAsia"/>
                <w:color w:val="auto"/>
                <w:szCs w:val="21"/>
                <w:highlight w:val="none"/>
              </w:rPr>
            </w:pPr>
          </w:p>
        </w:tc>
        <w:tc>
          <w:tcPr>
            <w:tcW w:w="2562" w:type="dxa"/>
            <w:tcBorders>
              <w:top w:val="single" w:color="auto" w:sz="4" w:space="0"/>
              <w:left w:val="single" w:color="auto" w:sz="4" w:space="0"/>
              <w:bottom w:val="single" w:color="auto" w:sz="4" w:space="0"/>
              <w:right w:val="thickThinSmallGap" w:color="auto" w:sz="12" w:space="0"/>
            </w:tcBorders>
          </w:tcPr>
          <w:p>
            <w:pPr>
              <w:adjustRightInd w:val="0"/>
              <w:snapToGrid w:val="0"/>
              <w:spacing w:line="336" w:lineRule="auto"/>
              <w:rPr>
                <w:rFonts w:cs="宋体" w:asciiTheme="minorEastAsia" w:hAnsiTheme="minorEastAsia" w:eastAsiaTheme="minorEastAsia"/>
                <w:color w:val="auto"/>
                <w:szCs w:val="21"/>
                <w:highlight w:val="none"/>
              </w:rPr>
            </w:pPr>
          </w:p>
        </w:tc>
      </w:tr>
      <w:tr>
        <w:tblPrEx>
          <w:tblCellMar>
            <w:top w:w="0" w:type="dxa"/>
            <w:left w:w="108" w:type="dxa"/>
            <w:bottom w:w="0" w:type="dxa"/>
            <w:right w:w="108" w:type="dxa"/>
          </w:tblCellMar>
        </w:tblPrEx>
        <w:trPr>
          <w:jc w:val="center"/>
        </w:trPr>
        <w:tc>
          <w:tcPr>
            <w:tcW w:w="893" w:type="dxa"/>
            <w:tcBorders>
              <w:top w:val="single" w:color="auto" w:sz="4" w:space="0"/>
              <w:left w:val="thinThickSmallGap" w:color="auto" w:sz="12" w:space="0"/>
              <w:bottom w:val="single" w:color="auto" w:sz="4" w:space="0"/>
              <w:right w:val="single" w:color="auto" w:sz="4" w:space="0"/>
            </w:tcBorders>
          </w:tcPr>
          <w:p>
            <w:pPr>
              <w:adjustRightInd w:val="0"/>
              <w:snapToGrid w:val="0"/>
              <w:spacing w:line="336"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w:t>
            </w:r>
          </w:p>
        </w:tc>
        <w:tc>
          <w:tcPr>
            <w:tcW w:w="1375" w:type="dxa"/>
            <w:tcBorders>
              <w:top w:val="single" w:color="auto" w:sz="4" w:space="0"/>
              <w:left w:val="single" w:color="auto" w:sz="4" w:space="0"/>
              <w:bottom w:val="single" w:color="auto" w:sz="4" w:space="0"/>
              <w:right w:val="single" w:color="auto" w:sz="4" w:space="0"/>
            </w:tcBorders>
          </w:tcPr>
          <w:p>
            <w:pPr>
              <w:adjustRightInd w:val="0"/>
              <w:snapToGrid w:val="0"/>
              <w:spacing w:line="336" w:lineRule="auto"/>
              <w:rPr>
                <w:rFonts w:cs="宋体" w:asciiTheme="minorEastAsia" w:hAnsiTheme="minorEastAsia" w:eastAsiaTheme="minorEastAsia"/>
                <w:color w:val="auto"/>
                <w:szCs w:val="21"/>
                <w:highlight w:val="none"/>
              </w:rPr>
            </w:pPr>
          </w:p>
        </w:tc>
        <w:tc>
          <w:tcPr>
            <w:tcW w:w="2853" w:type="dxa"/>
            <w:tcBorders>
              <w:top w:val="single" w:color="auto" w:sz="4" w:space="0"/>
              <w:left w:val="single" w:color="auto" w:sz="4" w:space="0"/>
              <w:bottom w:val="single" w:color="auto" w:sz="4" w:space="0"/>
              <w:right w:val="single" w:color="auto" w:sz="4" w:space="0"/>
            </w:tcBorders>
          </w:tcPr>
          <w:p>
            <w:pPr>
              <w:adjustRightInd w:val="0"/>
              <w:snapToGrid w:val="0"/>
              <w:spacing w:line="336" w:lineRule="auto"/>
              <w:rPr>
                <w:rFonts w:cs="宋体" w:asciiTheme="minorEastAsia" w:hAnsiTheme="minorEastAsia" w:eastAsiaTheme="minorEastAsia"/>
                <w:color w:val="auto"/>
                <w:szCs w:val="21"/>
                <w:highlight w:val="none"/>
              </w:rPr>
            </w:pPr>
          </w:p>
        </w:tc>
        <w:tc>
          <w:tcPr>
            <w:tcW w:w="1352" w:type="dxa"/>
            <w:tcBorders>
              <w:top w:val="single" w:color="auto" w:sz="4" w:space="0"/>
              <w:left w:val="single" w:color="auto" w:sz="4" w:space="0"/>
              <w:bottom w:val="single" w:color="auto" w:sz="4" w:space="0"/>
              <w:right w:val="single" w:color="auto" w:sz="4" w:space="0"/>
            </w:tcBorders>
          </w:tcPr>
          <w:p>
            <w:pPr>
              <w:adjustRightInd w:val="0"/>
              <w:snapToGrid w:val="0"/>
              <w:spacing w:line="336" w:lineRule="auto"/>
              <w:rPr>
                <w:rFonts w:cs="宋体" w:asciiTheme="minorEastAsia" w:hAnsiTheme="minorEastAsia" w:eastAsiaTheme="minorEastAsia"/>
                <w:color w:val="auto"/>
                <w:szCs w:val="21"/>
                <w:highlight w:val="none"/>
              </w:rPr>
            </w:pPr>
          </w:p>
        </w:tc>
        <w:tc>
          <w:tcPr>
            <w:tcW w:w="2562" w:type="dxa"/>
            <w:tcBorders>
              <w:top w:val="single" w:color="auto" w:sz="4" w:space="0"/>
              <w:left w:val="single" w:color="auto" w:sz="4" w:space="0"/>
              <w:bottom w:val="single" w:color="auto" w:sz="4" w:space="0"/>
              <w:right w:val="thickThinSmallGap" w:color="auto" w:sz="12" w:space="0"/>
            </w:tcBorders>
          </w:tcPr>
          <w:p>
            <w:pPr>
              <w:adjustRightInd w:val="0"/>
              <w:snapToGrid w:val="0"/>
              <w:spacing w:line="336" w:lineRule="auto"/>
              <w:rPr>
                <w:rFonts w:cs="宋体" w:asciiTheme="minorEastAsia" w:hAnsiTheme="minorEastAsia" w:eastAsiaTheme="minorEastAsia"/>
                <w:color w:val="auto"/>
                <w:szCs w:val="21"/>
                <w:highlight w:val="none"/>
              </w:rPr>
            </w:pPr>
          </w:p>
        </w:tc>
      </w:tr>
      <w:tr>
        <w:tblPrEx>
          <w:tblCellMar>
            <w:top w:w="0" w:type="dxa"/>
            <w:left w:w="108" w:type="dxa"/>
            <w:bottom w:w="0" w:type="dxa"/>
            <w:right w:w="108" w:type="dxa"/>
          </w:tblCellMar>
        </w:tblPrEx>
        <w:trPr>
          <w:jc w:val="center"/>
        </w:trPr>
        <w:tc>
          <w:tcPr>
            <w:tcW w:w="9035" w:type="dxa"/>
            <w:gridSpan w:val="5"/>
            <w:tcBorders>
              <w:top w:val="single" w:color="auto" w:sz="4" w:space="0"/>
              <w:left w:val="thinThickSmallGap" w:color="auto" w:sz="12" w:space="0"/>
              <w:bottom w:val="thickThinSmallGap" w:color="auto" w:sz="12" w:space="0"/>
              <w:right w:val="thickThinSmallGap" w:color="auto" w:sz="12" w:space="0"/>
            </w:tcBorders>
          </w:tcPr>
          <w:p>
            <w:pPr>
              <w:widowControl/>
              <w:adjustRightInd w:val="0"/>
              <w:snapToGrid w:val="0"/>
              <w:spacing w:line="336" w:lineRule="auto"/>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总报价：                 （大写：                    ）</w:t>
            </w:r>
          </w:p>
        </w:tc>
      </w:tr>
    </w:tbl>
    <w:p>
      <w:pPr>
        <w:keepNext w:val="0"/>
        <w:keepLines w:val="0"/>
        <w:pageBreakBefore w:val="0"/>
        <w:widowControl w:val="0"/>
        <w:kinsoku/>
        <w:wordWrap/>
        <w:overflowPunct/>
        <w:topLinePunct w:val="0"/>
        <w:autoSpaceDE/>
        <w:autoSpaceDN/>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注：以上合同总价包括运抵使用单位的运费、保险、安装、税费等所有费用。</w:t>
      </w:r>
    </w:p>
    <w:p>
      <w:pPr>
        <w:keepNext w:val="0"/>
        <w:keepLines w:val="0"/>
        <w:pageBreakBefore w:val="0"/>
        <w:widowControl w:val="0"/>
        <w:numPr>
          <w:ilvl w:val="0"/>
          <w:numId w:val="15"/>
        </w:numPr>
        <w:kinsoku/>
        <w:wordWrap/>
        <w:overflowPunct/>
        <w:topLinePunct w:val="0"/>
        <w:autoSpaceDE/>
        <w:autoSpaceDN/>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质量保证</w:t>
      </w:r>
    </w:p>
    <w:p>
      <w:pPr>
        <w:keepNext w:val="0"/>
        <w:keepLines w:val="0"/>
        <w:pageBreakBefore w:val="0"/>
        <w:widowControl w:val="0"/>
        <w:numPr>
          <w:ilvl w:val="1"/>
          <w:numId w:val="15"/>
        </w:numPr>
        <w:kinsoku/>
        <w:wordWrap/>
        <w:overflowPunct/>
        <w:topLinePunct w:val="0"/>
        <w:autoSpaceDE/>
        <w:autoSpaceDN/>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乙方应保证货物是全新、未使用过的原装合格正品，并完全符合磋商文件及本合同规定的质量、规格和性能的要求。</w:t>
      </w:r>
    </w:p>
    <w:p>
      <w:pPr>
        <w:keepNext w:val="0"/>
        <w:keepLines w:val="0"/>
        <w:pageBreakBefore w:val="0"/>
        <w:widowControl w:val="0"/>
        <w:numPr>
          <w:ilvl w:val="1"/>
          <w:numId w:val="15"/>
        </w:numPr>
        <w:kinsoku/>
        <w:wordWrap/>
        <w:overflowPunct/>
        <w:topLinePunct w:val="0"/>
        <w:autoSpaceDE/>
        <w:autoSpaceDN/>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产品的技术标准按国家标准执行，无国家标准的，按行业标准执行，无国家和行业标准的，按企业标准执行；但在磋商文件中有特别要求的，按磋商文件中规定的要求执行，并且符合相关法律、法规规定的要求</w:t>
      </w:r>
      <w:r>
        <w:rPr>
          <w:rFonts w:hint="eastAsia" w:cs="宋体" w:asciiTheme="minorEastAsia" w:hAnsiTheme="minorEastAsia" w:eastAsiaTheme="minorEastAsia"/>
          <w:color w:val="auto"/>
          <w:szCs w:val="21"/>
          <w:highlight w:val="none"/>
        </w:rPr>
        <w:t>。</w:t>
      </w:r>
    </w:p>
    <w:p>
      <w:pPr>
        <w:keepNext w:val="0"/>
        <w:keepLines w:val="0"/>
        <w:pageBreakBefore w:val="0"/>
        <w:widowControl w:val="0"/>
        <w:numPr>
          <w:ilvl w:val="1"/>
          <w:numId w:val="15"/>
        </w:numPr>
        <w:kinsoku/>
        <w:wordWrap/>
        <w:overflowPunct/>
        <w:topLinePunct w:val="0"/>
        <w:autoSpaceDE/>
        <w:autoSpaceDN/>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产品的包装，国家或行业主管部门有规定的，按规定执行。</w:t>
      </w:r>
    </w:p>
    <w:p>
      <w:pPr>
        <w:keepNext w:val="0"/>
        <w:keepLines w:val="0"/>
        <w:pageBreakBefore w:val="0"/>
        <w:widowControl w:val="0"/>
        <w:numPr>
          <w:ilvl w:val="1"/>
          <w:numId w:val="15"/>
        </w:numPr>
        <w:kinsoku/>
        <w:wordWrap/>
        <w:overflowPunct/>
        <w:topLinePunct w:val="0"/>
        <w:autoSpaceDE/>
        <w:autoSpaceDN/>
        <w:bidi w:val="0"/>
        <w:adjustRightInd w:val="0"/>
        <w:snapToGrid w:val="0"/>
        <w:spacing w:line="500" w:lineRule="exact"/>
        <w:ind w:left="0" w:firstLine="420" w:firstLineChars="200"/>
        <w:textAlignment w:val="auto"/>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乙方提供设备质保期按照原厂商标准配置，质量保证期为现场安装验收合格之后的</w:t>
      </w:r>
      <w:r>
        <w:rPr>
          <w:rFonts w:hint="eastAsia" w:cs="宋体" w:asciiTheme="minorEastAsia" w:hAnsiTheme="minorEastAsia" w:eastAsiaTheme="minorEastAsia"/>
          <w:color w:val="auto"/>
          <w:szCs w:val="21"/>
          <w:highlight w:val="none"/>
          <w:u w:val="single"/>
        </w:rPr>
        <w:t xml:space="preserve"> </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个月。如甲方原因导致不能及时安装的，产品的质保期自到货之日起</w:t>
      </w:r>
      <w:r>
        <w:rPr>
          <w:rFonts w:hint="eastAsia" w:cs="宋体" w:asciiTheme="minorEastAsia" w:hAnsiTheme="minorEastAsia" w:eastAsiaTheme="minorEastAsia"/>
          <w:color w:val="auto"/>
          <w:szCs w:val="21"/>
          <w:highlight w:val="none"/>
          <w:u w:val="single"/>
        </w:rPr>
        <w:t>1</w:t>
      </w:r>
      <w:r>
        <w:rPr>
          <w:rFonts w:hint="eastAsia" w:cs="宋体" w:asciiTheme="minorEastAsia" w:hAnsiTheme="minorEastAsia" w:eastAsiaTheme="minorEastAsia"/>
          <w:color w:val="auto"/>
          <w:szCs w:val="21"/>
          <w:highlight w:val="none"/>
        </w:rPr>
        <w:t>个月后开始计算。在质保期内因产品本身的质量问题发生故障，乙方应负责免费修理和更换</w:t>
      </w:r>
      <w:r>
        <w:rPr>
          <w:rFonts w:hint="eastAsia" w:cs="宋体" w:asciiTheme="minorEastAsia" w:hAnsiTheme="minorEastAsia" w:eastAsiaTheme="minorEastAsia"/>
          <w:color w:val="auto"/>
          <w:szCs w:val="21"/>
          <w:highlight w:val="none"/>
          <w:lang w:eastAsia="zh-CN"/>
        </w:rPr>
        <w:t>。</w:t>
      </w:r>
    </w:p>
    <w:p>
      <w:pPr>
        <w:keepNext w:val="0"/>
        <w:keepLines w:val="0"/>
        <w:pageBreakBefore w:val="0"/>
        <w:widowControl w:val="0"/>
        <w:numPr>
          <w:ilvl w:val="1"/>
          <w:numId w:val="15"/>
        </w:numPr>
        <w:kinsoku/>
        <w:wordWrap/>
        <w:overflowPunct/>
        <w:topLinePunct w:val="0"/>
        <w:autoSpaceDE/>
        <w:autoSpaceDN/>
        <w:bidi w:val="0"/>
        <w:adjustRightInd w:val="0"/>
        <w:snapToGrid w:val="0"/>
        <w:spacing w:line="500" w:lineRule="exact"/>
        <w:ind w:left="0" w:firstLine="420" w:firstLineChars="200"/>
        <w:textAlignment w:val="auto"/>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所提供的货物及服务完全符合合同规定的运行性能和安全要求，乙方应保护甲方在使用该系统或其任何一部分时不受第三方提出侵犯专利权、商标权或工业设备等知识产权的指控，如果第三方提出侵权指控，乙方须与第三方交涉并承担可能发生的一切法律责任和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200"/>
        <w:textAlignment w:val="auto"/>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15.6鉴于软件开发的不确定性，在项目验收之前，采购单位和中标单位对建设内容需要进行微调的，由双方协商解决。</w:t>
      </w:r>
    </w:p>
    <w:p>
      <w:pPr>
        <w:keepNext w:val="0"/>
        <w:keepLines w:val="0"/>
        <w:pageBreakBefore w:val="0"/>
        <w:widowControl w:val="0"/>
        <w:numPr>
          <w:ilvl w:val="0"/>
          <w:numId w:val="15"/>
        </w:numPr>
        <w:kinsoku/>
        <w:wordWrap/>
        <w:overflowPunct/>
        <w:topLinePunct w:val="0"/>
        <w:autoSpaceDE/>
        <w:autoSpaceDN/>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服务要求</w:t>
      </w:r>
    </w:p>
    <w:p>
      <w:pPr>
        <w:keepNext w:val="0"/>
        <w:keepLines w:val="0"/>
        <w:pageBreakBefore w:val="0"/>
        <w:widowControl w:val="0"/>
        <w:numPr>
          <w:ilvl w:val="1"/>
          <w:numId w:val="15"/>
        </w:numPr>
        <w:kinsoku/>
        <w:wordWrap/>
        <w:overflowPunct/>
        <w:topLinePunct w:val="0"/>
        <w:autoSpaceDE/>
        <w:autoSpaceDN/>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所供设备</w:t>
      </w:r>
      <w:r>
        <w:rPr>
          <w:rFonts w:hint="eastAsia" w:cs="宋体" w:asciiTheme="minorEastAsia" w:hAnsiTheme="minorEastAsia" w:eastAsiaTheme="minorEastAsia"/>
          <w:color w:val="auto"/>
          <w:szCs w:val="21"/>
          <w:highlight w:val="none"/>
        </w:rPr>
        <w:t>保修期</w:t>
      </w:r>
      <w:r>
        <w:rPr>
          <w:rFonts w:hint="eastAsia" w:cs="宋体" w:asciiTheme="minorEastAsia" w:hAnsiTheme="minorEastAsia" w:eastAsiaTheme="minorEastAsia"/>
          <w:color w:val="auto"/>
          <w:szCs w:val="21"/>
          <w:highlight w:val="none"/>
          <w:lang w:val="en-US" w:eastAsia="zh-CN"/>
        </w:rPr>
        <w:t>及运维期</w:t>
      </w:r>
      <w:r>
        <w:rPr>
          <w:rFonts w:hint="eastAsia" w:cs="宋体" w:asciiTheme="minorEastAsia" w:hAnsiTheme="minorEastAsia" w:eastAsiaTheme="minorEastAsia"/>
          <w:color w:val="auto"/>
          <w:kern w:val="0"/>
          <w:szCs w:val="21"/>
          <w:highlight w:val="none"/>
        </w:rPr>
        <w:t>为</w:t>
      </w:r>
      <w:r>
        <w:rPr>
          <w:rFonts w:hint="eastAsia" w:cs="宋体" w:asciiTheme="minorEastAsia" w:hAnsiTheme="minorEastAsia" w:eastAsiaTheme="minorEastAsia"/>
          <w:color w:val="auto"/>
          <w:kern w:val="0"/>
          <w:szCs w:val="21"/>
          <w:highlight w:val="none"/>
          <w:u w:val="single"/>
        </w:rPr>
        <w:t xml:space="preserve"> </w:t>
      </w:r>
      <w:r>
        <w:rPr>
          <w:rFonts w:hint="eastAsia" w:cs="宋体" w:asciiTheme="minorEastAsia" w:hAnsiTheme="minorEastAsia" w:eastAsiaTheme="minorEastAsia"/>
          <w:color w:val="auto"/>
          <w:kern w:val="0"/>
          <w:szCs w:val="21"/>
          <w:highlight w:val="none"/>
          <w:u w:val="single"/>
          <w:lang w:val="en-US" w:eastAsia="zh-CN"/>
        </w:rPr>
        <w:t>1</w:t>
      </w:r>
      <w:r>
        <w:rPr>
          <w:rFonts w:cs="宋体" w:asciiTheme="minorEastAsia" w:hAnsiTheme="minorEastAsia" w:eastAsiaTheme="minorEastAsia"/>
          <w:color w:val="auto"/>
          <w:kern w:val="0"/>
          <w:szCs w:val="21"/>
          <w:highlight w:val="none"/>
          <w:u w:val="single"/>
        </w:rPr>
        <w:t xml:space="preserve"> </w:t>
      </w:r>
      <w:r>
        <w:rPr>
          <w:rFonts w:hint="eastAsia" w:cs="宋体" w:asciiTheme="minorEastAsia" w:hAnsiTheme="minorEastAsia" w:eastAsiaTheme="minorEastAsia"/>
          <w:color w:val="auto"/>
          <w:kern w:val="0"/>
          <w:szCs w:val="21"/>
          <w:highlight w:val="none"/>
        </w:rPr>
        <w:t>年</w:t>
      </w:r>
      <w:r>
        <w:rPr>
          <w:rFonts w:hint="eastAsia" w:cs="宋体" w:asciiTheme="minorEastAsia" w:hAnsiTheme="minorEastAsia" w:eastAsiaTheme="minorEastAsia"/>
          <w:color w:val="auto"/>
          <w:szCs w:val="21"/>
          <w:highlight w:val="none"/>
        </w:rPr>
        <w:t>。保修期</w:t>
      </w:r>
      <w:r>
        <w:rPr>
          <w:rFonts w:hint="eastAsia" w:cs="宋体" w:asciiTheme="minorEastAsia" w:hAnsiTheme="minorEastAsia" w:eastAsiaTheme="minorEastAsia"/>
          <w:color w:val="auto"/>
          <w:kern w:val="0"/>
          <w:szCs w:val="21"/>
          <w:highlight w:val="none"/>
        </w:rPr>
        <w:t>自甲方、乙方在设备验收单上签字之日起计算</w:t>
      </w:r>
      <w:r>
        <w:rPr>
          <w:rFonts w:hint="eastAsia" w:cs="宋体" w:asciiTheme="minorEastAsia" w:hAnsiTheme="minorEastAsia" w:eastAsiaTheme="minorEastAsia"/>
          <w:color w:val="auto"/>
          <w:szCs w:val="21"/>
          <w:highlight w:val="none"/>
        </w:rPr>
        <w:t>。</w:t>
      </w:r>
    </w:p>
    <w:p>
      <w:pPr>
        <w:keepNext w:val="0"/>
        <w:keepLines w:val="0"/>
        <w:pageBreakBefore w:val="0"/>
        <w:widowControl w:val="0"/>
        <w:numPr>
          <w:ilvl w:val="1"/>
          <w:numId w:val="15"/>
        </w:numPr>
        <w:kinsoku/>
        <w:wordWrap/>
        <w:overflowPunct/>
        <w:topLinePunct w:val="0"/>
        <w:autoSpaceDE/>
        <w:autoSpaceDN/>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在保修期内，如遇软件产品升级、改版，应免费提供更新、升级服务。</w:t>
      </w:r>
    </w:p>
    <w:p>
      <w:pPr>
        <w:keepNext w:val="0"/>
        <w:keepLines w:val="0"/>
        <w:pageBreakBefore w:val="0"/>
        <w:widowControl w:val="0"/>
        <w:numPr>
          <w:ilvl w:val="1"/>
          <w:numId w:val="15"/>
        </w:numPr>
        <w:kinsoku/>
        <w:wordWrap/>
        <w:overflowPunct/>
        <w:topLinePunct w:val="0"/>
        <w:autoSpaceDE/>
        <w:autoSpaceDN/>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要求乙方对提供标准服务，即与投标货物生产厂家中国总部对外公众网站上公布的服务标准相一致（供应商不得另行制作网页）。在标准服务基础上，乙方还应达到以下标准：</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left="0" w:firstLine="420" w:firstLineChars="200"/>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16.3.1在质保期内乙方必须为最终用户提供技术服务热线（7*24小时），负责解答用户在设备使用中遇到的问题，并及时提出解决问题的建议和操作方法。</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left="0" w:firstLine="420" w:firstLineChars="200"/>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16.3.2在投标货物质保期内，乙方应提供5*8小时现场保修和技术支持服务，如诊断为硬件故障，应携带备件并进行现场更换，承诺尽力在最短时间内恢复系统正常运行，如果故障不能在12小时内排除，乙方应提供免费替换服务，如果乙方在接到通知后的12个小时内未作出响应，则由于故障所造成的全部损失由乙方承担； </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16.3.3保修期内所有因更换或修理货物或部件而导致货物停止运行的时间应从其质保期内扣除；</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16.3.4乙方在质保期内安装的任何零配件，必须是其投标货物生产厂家原产的或是经其认可的；</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16.3.5所有的替代零配件必须是新的未使用和未经修复的,除非最终用户提供书面许可，否则不可使用此范围外的其他（非新的）配件。</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16.3.6乙方必须为维修和技术支持所未能解决的问题和故障提供正式的升级方案；</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16.4在质保期内，乙方有责任解决所提供的投标货物的任何问题，在质保期满后，当需要时，乙方仍须对因投标货物本身的固有缺陷和瑕疵承担责任。</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left="0" w:firstLine="420" w:firstLineChars="200"/>
        <w:textAlignment w:val="auto"/>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17.</w:t>
      </w:r>
      <w:r>
        <w:rPr>
          <w:rFonts w:hint="eastAsia" w:cs="宋体" w:asciiTheme="minorEastAsia" w:hAnsiTheme="minorEastAsia" w:eastAsiaTheme="minorEastAsia"/>
          <w:color w:val="auto"/>
          <w:szCs w:val="21"/>
          <w:highlight w:val="none"/>
          <w:lang w:val="en-US" w:eastAsia="zh-CN"/>
        </w:rPr>
        <w:t>项目实施时间</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left="0" w:firstLine="420" w:firstLineChars="200"/>
        <w:textAlignment w:val="auto"/>
        <w:rPr>
          <w:rFonts w:hint="eastAsia"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合同签订生效后完成APP正常上线运行,60天内完成整个项目实施并通过验收。</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18.需提供的资料</w:t>
      </w:r>
    </w:p>
    <w:p>
      <w:pPr>
        <w:keepNext w:val="0"/>
        <w:keepLines w:val="0"/>
        <w:pageBreakBefore w:val="0"/>
        <w:widowControl w:val="0"/>
        <w:numPr>
          <w:ilvl w:val="0"/>
          <w:numId w:val="16"/>
        </w:numPr>
        <w:kinsoku/>
        <w:wordWrap/>
        <w:overflowPunct/>
        <w:topLinePunct w:val="0"/>
        <w:autoSpaceDE/>
        <w:autoSpaceDN/>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乙方应对合同中提供的设备主要部件建立质量保证计划。</w:t>
      </w:r>
    </w:p>
    <w:p>
      <w:pPr>
        <w:keepNext w:val="0"/>
        <w:keepLines w:val="0"/>
        <w:pageBreakBefore w:val="0"/>
        <w:widowControl w:val="0"/>
        <w:numPr>
          <w:ilvl w:val="0"/>
          <w:numId w:val="16"/>
        </w:numPr>
        <w:kinsoku/>
        <w:wordWrap/>
        <w:overflowPunct/>
        <w:topLinePunct w:val="0"/>
        <w:autoSpaceDE/>
        <w:autoSpaceDN/>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提供所有技术说明文档和设备安装、维护使用说明书。</w:t>
      </w:r>
    </w:p>
    <w:p>
      <w:pPr>
        <w:keepNext w:val="0"/>
        <w:keepLines w:val="0"/>
        <w:pageBreakBefore w:val="0"/>
        <w:widowControl w:val="0"/>
        <w:numPr>
          <w:ilvl w:val="0"/>
          <w:numId w:val="16"/>
        </w:numPr>
        <w:kinsoku/>
        <w:wordWrap/>
        <w:overflowPunct/>
        <w:topLinePunct w:val="0"/>
        <w:autoSpaceDE/>
        <w:autoSpaceDN/>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设备及其和安装有关的技术原理图、接线图。</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18.4随机的辅助设备、专用电线电缆、随机软件、技术资料（包括操作手册、使用指南、维修指南和含维修网点在内的服务手册等）。</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18.5设备运行所必需的随机消耗材料，相应的技术服务与质量保证。投标方应提供所供产品备件、附件和耗材的使用、消耗情况说明并推荐相应供应商及供货单价。</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18.6在所供设备交付使用时，乙方必须向甲方提供产品说明书、质量保证书、保修卡、配置文档、使用手册、测试文档等必须具备的相关资料和必备的附件。</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18.7乙方认为可能需要的其它文件。</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19.付款方式</w:t>
      </w:r>
    </w:p>
    <w:p>
      <w:pPr>
        <w:keepNext w:val="0"/>
        <w:keepLines w:val="0"/>
        <w:pageBreakBefore w:val="0"/>
        <w:widowControl w:val="0"/>
        <w:numPr>
          <w:ilvl w:val="1"/>
          <w:numId w:val="17"/>
        </w:numPr>
        <w:kinsoku/>
        <w:wordWrap/>
        <w:overflowPunct/>
        <w:topLinePunct w:val="0"/>
        <w:autoSpaceDE/>
        <w:autoSpaceDN/>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按磋商文件执行</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20.单位变动情况处理</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乙方发生收购、兼并、重组等单位变动情况，责任顺延至收购方、兼并方、重组方等新主体。</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21.合同的生效</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21.1本合同经甲方、乙方法定代表人或其委托人签字并加盖双方公章，浙江衢州公信工程管理有限公司加盖鉴证章后生效。</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21.2本合同一式捌份，甲、乙双方各执叁份，常山县财政局采监科和浙江衢州公信工程管理有限公司各执壹份。</w:t>
      </w:r>
    </w:p>
    <w:p>
      <w:pPr>
        <w:pStyle w:val="25"/>
        <w:adjustRightInd w:val="0"/>
        <w:snapToGrid w:val="0"/>
        <w:spacing w:beforeAutospacing="0" w:afterAutospacing="0" w:line="336" w:lineRule="auto"/>
        <w:jc w:val="both"/>
        <w:rPr>
          <w:rFonts w:cs="宋体" w:asciiTheme="minorEastAsia" w:hAnsiTheme="minorEastAsia" w:eastAsiaTheme="minorEastAsia"/>
          <w:color w:val="auto"/>
          <w:spacing w:val="20"/>
          <w:kern w:val="52"/>
          <w:sz w:val="21"/>
          <w:szCs w:val="21"/>
          <w:highlight w:val="none"/>
        </w:rPr>
      </w:pPr>
      <w:r>
        <w:rPr>
          <w:rFonts w:hint="eastAsia" w:cs="宋体" w:asciiTheme="minorEastAsia" w:hAnsiTheme="minorEastAsia" w:eastAsiaTheme="minorEastAsia"/>
          <w:color w:val="auto"/>
          <w:spacing w:val="20"/>
          <w:kern w:val="52"/>
          <w:sz w:val="21"/>
          <w:szCs w:val="21"/>
          <w:highlight w:val="none"/>
        </w:rPr>
        <w:t>甲方（盖章）：                  乙方（盖章）：</w:t>
      </w:r>
    </w:p>
    <w:p>
      <w:pPr>
        <w:pStyle w:val="25"/>
        <w:adjustRightInd w:val="0"/>
        <w:snapToGrid w:val="0"/>
        <w:spacing w:beforeAutospacing="0" w:afterAutospacing="0" w:line="336" w:lineRule="auto"/>
        <w:jc w:val="both"/>
        <w:rPr>
          <w:rFonts w:cs="宋体" w:asciiTheme="minorEastAsia" w:hAnsiTheme="minorEastAsia" w:eastAsiaTheme="minorEastAsia"/>
          <w:color w:val="auto"/>
          <w:spacing w:val="20"/>
          <w:kern w:val="52"/>
          <w:sz w:val="21"/>
          <w:szCs w:val="21"/>
          <w:highlight w:val="none"/>
        </w:rPr>
      </w:pPr>
      <w:r>
        <w:rPr>
          <w:rFonts w:hint="eastAsia" w:cs="宋体" w:asciiTheme="minorEastAsia" w:hAnsiTheme="minorEastAsia" w:eastAsiaTheme="minorEastAsia"/>
          <w:color w:val="auto"/>
          <w:spacing w:val="20"/>
          <w:kern w:val="52"/>
          <w:sz w:val="21"/>
          <w:szCs w:val="21"/>
          <w:highlight w:val="none"/>
        </w:rPr>
        <w:t>法定代表人：                    法定代表人：</w:t>
      </w:r>
    </w:p>
    <w:p>
      <w:pPr>
        <w:pStyle w:val="25"/>
        <w:adjustRightInd w:val="0"/>
        <w:snapToGrid w:val="0"/>
        <w:spacing w:beforeAutospacing="0" w:afterAutospacing="0" w:line="336" w:lineRule="auto"/>
        <w:jc w:val="both"/>
        <w:rPr>
          <w:rFonts w:cs="宋体" w:asciiTheme="minorEastAsia" w:hAnsiTheme="minorEastAsia" w:eastAsiaTheme="minorEastAsia"/>
          <w:color w:val="auto"/>
          <w:spacing w:val="20"/>
          <w:kern w:val="52"/>
          <w:sz w:val="21"/>
          <w:szCs w:val="21"/>
          <w:highlight w:val="none"/>
        </w:rPr>
      </w:pPr>
      <w:r>
        <w:rPr>
          <w:rFonts w:hint="eastAsia" w:cs="宋体" w:asciiTheme="minorEastAsia" w:hAnsiTheme="minorEastAsia" w:eastAsiaTheme="minorEastAsia"/>
          <w:color w:val="auto"/>
          <w:spacing w:val="20"/>
          <w:kern w:val="52"/>
          <w:sz w:val="21"/>
          <w:szCs w:val="21"/>
          <w:highlight w:val="none"/>
        </w:rPr>
        <w:t>委托代理人：                    委托代理人：</w:t>
      </w:r>
    </w:p>
    <w:p>
      <w:pPr>
        <w:pStyle w:val="25"/>
        <w:adjustRightInd w:val="0"/>
        <w:snapToGrid w:val="0"/>
        <w:spacing w:beforeAutospacing="0" w:afterAutospacing="0" w:line="336" w:lineRule="auto"/>
        <w:jc w:val="both"/>
        <w:rPr>
          <w:rFonts w:cs="宋体" w:asciiTheme="minorEastAsia" w:hAnsiTheme="minorEastAsia" w:eastAsiaTheme="minorEastAsia"/>
          <w:color w:val="auto"/>
          <w:spacing w:val="20"/>
          <w:kern w:val="52"/>
          <w:sz w:val="21"/>
          <w:szCs w:val="21"/>
          <w:highlight w:val="none"/>
        </w:rPr>
      </w:pPr>
      <w:r>
        <w:rPr>
          <w:rFonts w:hint="eastAsia" w:cs="宋体" w:asciiTheme="minorEastAsia" w:hAnsiTheme="minorEastAsia" w:eastAsiaTheme="minorEastAsia"/>
          <w:color w:val="auto"/>
          <w:spacing w:val="20"/>
          <w:kern w:val="52"/>
          <w:sz w:val="21"/>
          <w:szCs w:val="21"/>
          <w:highlight w:val="none"/>
        </w:rPr>
        <w:t>时间：  年  月  日            时间：  年  月  日</w:t>
      </w:r>
    </w:p>
    <w:p>
      <w:pPr>
        <w:pStyle w:val="25"/>
        <w:adjustRightInd w:val="0"/>
        <w:snapToGrid w:val="0"/>
        <w:spacing w:beforeAutospacing="0" w:afterAutospacing="0" w:line="336" w:lineRule="auto"/>
        <w:jc w:val="both"/>
        <w:rPr>
          <w:rFonts w:cs="宋体" w:asciiTheme="minorEastAsia" w:hAnsiTheme="minorEastAsia" w:eastAsiaTheme="minorEastAsia"/>
          <w:color w:val="auto"/>
          <w:spacing w:val="20"/>
          <w:kern w:val="52"/>
          <w:sz w:val="21"/>
          <w:szCs w:val="21"/>
          <w:highlight w:val="none"/>
        </w:rPr>
      </w:pPr>
    </w:p>
    <w:p>
      <w:pPr>
        <w:pStyle w:val="25"/>
        <w:adjustRightInd w:val="0"/>
        <w:snapToGrid w:val="0"/>
        <w:spacing w:beforeAutospacing="0" w:afterAutospacing="0" w:line="336" w:lineRule="auto"/>
        <w:jc w:val="both"/>
        <w:rPr>
          <w:rFonts w:cs="宋体" w:asciiTheme="minorEastAsia" w:hAnsiTheme="minorEastAsia" w:eastAsiaTheme="minorEastAsia"/>
          <w:color w:val="auto"/>
          <w:spacing w:val="20"/>
          <w:kern w:val="52"/>
          <w:sz w:val="21"/>
          <w:szCs w:val="21"/>
          <w:highlight w:val="none"/>
        </w:rPr>
      </w:pPr>
      <w:r>
        <w:rPr>
          <w:rFonts w:hint="eastAsia" w:cs="宋体" w:asciiTheme="minorEastAsia" w:hAnsiTheme="minorEastAsia" w:eastAsiaTheme="minorEastAsia"/>
          <w:color w:val="auto"/>
          <w:spacing w:val="20"/>
          <w:kern w:val="52"/>
          <w:sz w:val="21"/>
          <w:szCs w:val="21"/>
          <w:highlight w:val="none"/>
        </w:rPr>
        <w:t>鉴证方: （盖章）浙江衢州公信工程管理有限公司</w:t>
      </w:r>
    </w:p>
    <w:p>
      <w:pPr>
        <w:pStyle w:val="25"/>
        <w:adjustRightInd w:val="0"/>
        <w:snapToGrid w:val="0"/>
        <w:spacing w:beforeAutospacing="0" w:afterAutospacing="0" w:line="336" w:lineRule="auto"/>
        <w:jc w:val="both"/>
        <w:rPr>
          <w:rFonts w:cs="宋体" w:asciiTheme="minorEastAsia" w:hAnsiTheme="minorEastAsia" w:eastAsiaTheme="minorEastAsia"/>
          <w:color w:val="auto"/>
          <w:spacing w:val="20"/>
          <w:kern w:val="52"/>
          <w:sz w:val="21"/>
          <w:szCs w:val="21"/>
          <w:highlight w:val="none"/>
        </w:rPr>
      </w:pPr>
      <w:r>
        <w:rPr>
          <w:rFonts w:hint="eastAsia" w:cs="宋体" w:asciiTheme="minorEastAsia" w:hAnsiTheme="minorEastAsia" w:eastAsiaTheme="minorEastAsia"/>
          <w:color w:val="auto"/>
          <w:spacing w:val="20"/>
          <w:kern w:val="52"/>
          <w:sz w:val="21"/>
          <w:szCs w:val="21"/>
          <w:highlight w:val="none"/>
        </w:rPr>
        <w:t>经办人：</w:t>
      </w:r>
    </w:p>
    <w:p>
      <w:pPr>
        <w:pStyle w:val="25"/>
        <w:adjustRightInd w:val="0"/>
        <w:snapToGrid w:val="0"/>
        <w:spacing w:beforeAutospacing="0" w:afterAutospacing="0" w:line="336" w:lineRule="auto"/>
        <w:jc w:val="both"/>
        <w:rPr>
          <w:rFonts w:cs="宋体" w:asciiTheme="minorEastAsia" w:hAnsiTheme="minorEastAsia" w:eastAsiaTheme="minorEastAsia"/>
          <w:color w:val="auto"/>
          <w:spacing w:val="20"/>
          <w:kern w:val="52"/>
          <w:sz w:val="21"/>
          <w:szCs w:val="21"/>
          <w:highlight w:val="none"/>
        </w:rPr>
      </w:pPr>
      <w:r>
        <w:rPr>
          <w:rFonts w:hint="eastAsia" w:cs="宋体" w:asciiTheme="minorEastAsia" w:hAnsiTheme="minorEastAsia" w:eastAsiaTheme="minorEastAsia"/>
          <w:color w:val="auto"/>
          <w:spacing w:val="20"/>
          <w:kern w:val="52"/>
          <w:sz w:val="21"/>
          <w:szCs w:val="21"/>
          <w:highlight w:val="none"/>
        </w:rPr>
        <w:t>联系电话:</w:t>
      </w:r>
    </w:p>
    <w:p>
      <w:pPr>
        <w:pStyle w:val="25"/>
        <w:adjustRightInd w:val="0"/>
        <w:snapToGrid w:val="0"/>
        <w:spacing w:beforeAutospacing="0" w:afterAutospacing="0" w:line="336" w:lineRule="auto"/>
        <w:jc w:val="both"/>
        <w:rPr>
          <w:rFonts w:cs="宋体" w:asciiTheme="minorEastAsia" w:hAnsiTheme="minorEastAsia" w:eastAsiaTheme="minorEastAsia"/>
          <w:color w:val="auto"/>
          <w:spacing w:val="20"/>
          <w:kern w:val="52"/>
          <w:sz w:val="21"/>
          <w:szCs w:val="21"/>
          <w:highlight w:val="none"/>
        </w:rPr>
      </w:pPr>
      <w:r>
        <w:rPr>
          <w:rFonts w:hint="eastAsia" w:cs="宋体" w:asciiTheme="minorEastAsia" w:hAnsiTheme="minorEastAsia" w:eastAsiaTheme="minorEastAsia"/>
          <w:color w:val="auto"/>
          <w:spacing w:val="20"/>
          <w:kern w:val="52"/>
          <w:sz w:val="21"/>
          <w:szCs w:val="21"/>
          <w:highlight w:val="none"/>
        </w:rPr>
        <w:t>时间：  年  月  日</w:t>
      </w:r>
    </w:p>
    <w:p>
      <w:pPr>
        <w:pStyle w:val="26"/>
        <w:spacing w:line="360" w:lineRule="auto"/>
        <w:textAlignment w:val="baseline"/>
        <w:outlineLvl w:val="0"/>
        <w:rPr>
          <w:rFonts w:ascii="宋体" w:hAnsi="宋体" w:cs="宋体"/>
          <w:color w:val="auto"/>
          <w:sz w:val="30"/>
          <w:szCs w:val="32"/>
          <w:highlight w:val="none"/>
          <w:lang w:val="zh-CN" w:eastAsia="zh-CN"/>
        </w:rPr>
      </w:pPr>
      <w:r>
        <w:rPr>
          <w:rFonts w:hint="eastAsia" w:ascii="宋体" w:hAnsi="宋体" w:cs="宋体"/>
          <w:color w:val="auto"/>
          <w:sz w:val="32"/>
          <w:szCs w:val="32"/>
          <w:highlight w:val="none"/>
          <w:lang w:eastAsia="zh-CN"/>
        </w:rPr>
        <w:t xml:space="preserve">第五章  </w:t>
      </w:r>
      <w:r>
        <w:rPr>
          <w:rFonts w:hint="eastAsia" w:ascii="宋体" w:hAnsi="宋体" w:cs="宋体"/>
          <w:color w:val="auto"/>
          <w:sz w:val="30"/>
          <w:szCs w:val="32"/>
          <w:highlight w:val="none"/>
          <w:lang w:val="zh-CN" w:eastAsia="zh-CN"/>
        </w:rPr>
        <w:t>评标办法</w:t>
      </w:r>
      <w:bookmarkEnd w:id="336"/>
      <w:bookmarkEnd w:id="337"/>
    </w:p>
    <w:p>
      <w:pPr>
        <w:keepLines w:val="0"/>
        <w:pageBreakBefore w:val="0"/>
        <w:widowControl w:val="0"/>
        <w:kinsoku/>
        <w:wordWrap/>
        <w:overflowPunct/>
        <w:topLinePunct w:val="0"/>
        <w:autoSpaceDE/>
        <w:autoSpaceDN/>
        <w:bidi w:val="0"/>
        <w:adjustRightInd/>
        <w:spacing w:line="440" w:lineRule="exact"/>
        <w:ind w:left="0" w:leftChars="0"/>
        <w:textAlignment w:val="baseline"/>
        <w:rPr>
          <w:rFonts w:ascii="宋体" w:hAnsi="宋体" w:cs="宋体"/>
          <w:color w:val="auto"/>
          <w:sz w:val="20"/>
          <w:highlight w:val="none"/>
        </w:rPr>
      </w:pPr>
      <w:r>
        <w:rPr>
          <w:rFonts w:hint="eastAsia" w:ascii="宋体" w:hAnsi="宋体" w:cs="宋体"/>
          <w:b/>
          <w:color w:val="auto"/>
          <w:szCs w:val="21"/>
          <w:highlight w:val="none"/>
        </w:rPr>
        <w:t>据《中华人民共和国政府采购法》等相关法规特制定以下评标办法。</w:t>
      </w:r>
    </w:p>
    <w:p>
      <w:pPr>
        <w:keepLines w:val="0"/>
        <w:pageBreakBefore w:val="0"/>
        <w:widowControl w:val="0"/>
        <w:kinsoku/>
        <w:wordWrap/>
        <w:overflowPunct/>
        <w:topLinePunct w:val="0"/>
        <w:autoSpaceDE/>
        <w:autoSpaceDN/>
        <w:bidi w:val="0"/>
        <w:adjustRightInd/>
        <w:spacing w:line="440" w:lineRule="exact"/>
        <w:ind w:left="0" w:leftChars="0" w:firstLine="422" w:firstLineChars="200"/>
        <w:textAlignment w:val="baseline"/>
        <w:rPr>
          <w:rFonts w:ascii="宋体" w:hAnsi="宋体" w:cs="宋体"/>
          <w:b/>
          <w:color w:val="auto"/>
          <w:sz w:val="20"/>
          <w:szCs w:val="21"/>
          <w:highlight w:val="none"/>
        </w:rPr>
      </w:pPr>
      <w:r>
        <w:rPr>
          <w:rFonts w:hint="eastAsia" w:ascii="宋体" w:hAnsi="宋体" w:cs="宋体"/>
          <w:b/>
          <w:color w:val="auto"/>
          <w:szCs w:val="21"/>
          <w:highlight w:val="none"/>
        </w:rPr>
        <w:t>一、评标组织</w:t>
      </w:r>
    </w:p>
    <w:p>
      <w:pPr>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baseline"/>
        <w:rPr>
          <w:rFonts w:ascii="宋体" w:hAnsi="宋体" w:cs="宋体"/>
          <w:color w:val="auto"/>
          <w:sz w:val="20"/>
          <w:highlight w:val="none"/>
        </w:rPr>
      </w:pPr>
      <w:r>
        <w:rPr>
          <w:rFonts w:hint="eastAsia" w:ascii="宋体" w:hAnsi="宋体" w:cs="宋体"/>
          <w:color w:val="auto"/>
          <w:highlight w:val="none"/>
        </w:rPr>
        <w:t>1.采购人依法组建磋商小组，共3人组成，</w:t>
      </w:r>
      <w:r>
        <w:rPr>
          <w:rFonts w:hint="eastAsia" w:ascii="宋体" w:hAnsi="宋体" w:cs="宋体"/>
          <w:bCs/>
          <w:color w:val="auto"/>
          <w:kern w:val="0"/>
          <w:szCs w:val="21"/>
          <w:highlight w:val="none"/>
        </w:rPr>
        <w:t>由1名采购人代表和2名有关经济、技术专家组成。</w:t>
      </w:r>
    </w:p>
    <w:p>
      <w:pPr>
        <w:keepLines w:val="0"/>
        <w:pageBreakBefore w:val="0"/>
        <w:widowControl w:val="0"/>
        <w:kinsoku/>
        <w:wordWrap/>
        <w:overflowPunct/>
        <w:topLinePunct w:val="0"/>
        <w:autoSpaceDE/>
        <w:autoSpaceDN/>
        <w:bidi w:val="0"/>
        <w:adjustRightInd/>
        <w:spacing w:line="440" w:lineRule="exact"/>
        <w:ind w:left="0" w:leftChars="0"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2.询标（如有）期间，磋商供应商法定代表人或法人委托人必须在场，负责解答有关事宜。如不在场，则事后不得对采购过程及结果提出异议。</w:t>
      </w:r>
    </w:p>
    <w:p>
      <w:pPr>
        <w:keepLines w:val="0"/>
        <w:pageBreakBefore w:val="0"/>
        <w:widowControl w:val="0"/>
        <w:kinsoku/>
        <w:wordWrap/>
        <w:overflowPunct/>
        <w:topLinePunct w:val="0"/>
        <w:autoSpaceDE/>
        <w:autoSpaceDN/>
        <w:bidi w:val="0"/>
        <w:adjustRightInd/>
        <w:spacing w:line="440" w:lineRule="exact"/>
        <w:ind w:left="0" w:leftChars="0" w:firstLine="422" w:firstLineChars="200"/>
        <w:textAlignment w:val="baseline"/>
        <w:rPr>
          <w:rFonts w:ascii="宋体" w:hAnsi="宋体" w:cs="宋体"/>
          <w:b/>
          <w:color w:val="auto"/>
          <w:sz w:val="20"/>
          <w:szCs w:val="21"/>
          <w:highlight w:val="none"/>
        </w:rPr>
      </w:pPr>
      <w:r>
        <w:rPr>
          <w:rFonts w:hint="eastAsia" w:ascii="宋体" w:hAnsi="宋体" w:cs="宋体"/>
          <w:b/>
          <w:color w:val="auto"/>
          <w:szCs w:val="21"/>
          <w:highlight w:val="none"/>
        </w:rPr>
        <w:t>二、评标原则</w:t>
      </w:r>
    </w:p>
    <w:p>
      <w:pPr>
        <w:keepLines w:val="0"/>
        <w:pageBreakBefore w:val="0"/>
        <w:widowControl w:val="0"/>
        <w:kinsoku/>
        <w:wordWrap/>
        <w:overflowPunct/>
        <w:topLinePunct w:val="0"/>
        <w:autoSpaceDE/>
        <w:autoSpaceDN/>
        <w:bidi w:val="0"/>
        <w:adjustRightInd/>
        <w:spacing w:line="440" w:lineRule="exact"/>
        <w:ind w:left="0" w:leftChars="0"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评标工作遵循公平、公正、科学、择优原则和诚实、信誉、效率的服务原则。本着科学、严谨的态度，认真进行评标。择优选用，推进技术进步，确保工程质量、交货按期，节约投资，最大限度的保护当事人权益。严格按照竞争性磋商文件的商务、技术要求，对响应文件进行综合评定，提出优选方案，编写评标报告。对落标单位，磋商小组不做任何落标解释。磋商供应商不得以任何方式干扰招投标工作的进行，一经发现其响应文件将被拒绝。</w:t>
      </w:r>
    </w:p>
    <w:p>
      <w:pPr>
        <w:keepLines w:val="0"/>
        <w:pageBreakBefore w:val="0"/>
        <w:widowControl w:val="0"/>
        <w:kinsoku/>
        <w:wordWrap/>
        <w:overflowPunct/>
        <w:topLinePunct w:val="0"/>
        <w:autoSpaceDE/>
        <w:autoSpaceDN/>
        <w:bidi w:val="0"/>
        <w:adjustRightInd/>
        <w:spacing w:line="440" w:lineRule="exact"/>
        <w:ind w:left="0" w:leftChars="0" w:firstLine="422" w:firstLineChars="200"/>
        <w:textAlignment w:val="baseline"/>
        <w:rPr>
          <w:rFonts w:ascii="宋体" w:hAnsi="宋体" w:cs="宋体"/>
          <w:b/>
          <w:color w:val="auto"/>
          <w:sz w:val="20"/>
          <w:szCs w:val="21"/>
          <w:highlight w:val="none"/>
        </w:rPr>
      </w:pPr>
      <w:r>
        <w:rPr>
          <w:rFonts w:hint="eastAsia" w:ascii="宋体" w:hAnsi="宋体" w:cs="宋体"/>
          <w:b/>
          <w:color w:val="auto"/>
          <w:szCs w:val="21"/>
          <w:highlight w:val="none"/>
        </w:rPr>
        <w:t>三、评标办法</w:t>
      </w:r>
    </w:p>
    <w:p>
      <w:pPr>
        <w:keepLines w:val="0"/>
        <w:pageBreakBefore w:val="0"/>
        <w:widowControl w:val="0"/>
        <w:kinsoku/>
        <w:wordWrap/>
        <w:overflowPunct/>
        <w:topLinePunct w:val="0"/>
        <w:autoSpaceDE/>
        <w:autoSpaceDN/>
        <w:bidi w:val="0"/>
        <w:adjustRightInd/>
        <w:spacing w:line="440" w:lineRule="exact"/>
        <w:ind w:left="0" w:leftChars="0"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1.投标报价是指报价合计。</w:t>
      </w:r>
    </w:p>
    <w:p>
      <w:pPr>
        <w:keepLines w:val="0"/>
        <w:pageBreakBefore w:val="0"/>
        <w:widowControl w:val="0"/>
        <w:kinsoku/>
        <w:wordWrap/>
        <w:overflowPunct/>
        <w:topLinePunct w:val="0"/>
        <w:autoSpaceDE/>
        <w:autoSpaceDN/>
        <w:bidi w:val="0"/>
        <w:adjustRightInd/>
        <w:spacing w:line="440" w:lineRule="exact"/>
        <w:ind w:left="0" w:leftChars="0"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2.本项目采用综合评分法，即以投标人完全响应招标文件设定的全部责任条款为前提。由磋商小组按招标文件中规定的各项因素进行综合评审，确定综合得分最高的投标人为中标人。如最高综合得分相同，投标报价低者为中标人；如综合得分和投标报价均相同，则采购单位现场抽签确定中标人。计算结果按四舍五入取小数点后一位。</w:t>
      </w:r>
    </w:p>
    <w:p>
      <w:pPr>
        <w:keepLines w:val="0"/>
        <w:pageBreakBefore w:val="0"/>
        <w:widowControl w:val="0"/>
        <w:kinsoku/>
        <w:wordWrap/>
        <w:overflowPunct/>
        <w:topLinePunct w:val="0"/>
        <w:autoSpaceDE/>
        <w:autoSpaceDN/>
        <w:bidi w:val="0"/>
        <w:adjustRightInd/>
        <w:spacing w:line="440" w:lineRule="exact"/>
        <w:ind w:left="0" w:leftChars="0" w:firstLine="420" w:firstLineChars="200"/>
        <w:textAlignment w:val="baseline"/>
        <w:rPr>
          <w:rFonts w:ascii="宋体" w:hAnsi="宋体" w:cs="宋体"/>
          <w:color w:val="auto"/>
          <w:sz w:val="20"/>
          <w:highlight w:val="none"/>
        </w:rPr>
      </w:pPr>
      <w:r>
        <w:rPr>
          <w:rFonts w:hint="eastAsia" w:ascii="宋体" w:hAnsi="宋体" w:cs="宋体"/>
          <w:color w:val="auto"/>
          <w:highlight w:val="none"/>
        </w:rPr>
        <w:t>3.评标标准</w:t>
      </w:r>
    </w:p>
    <w:p>
      <w:pPr>
        <w:keepLines w:val="0"/>
        <w:pageBreakBefore w:val="0"/>
        <w:widowControl w:val="0"/>
        <w:kinsoku/>
        <w:wordWrap/>
        <w:overflowPunct/>
        <w:topLinePunct w:val="0"/>
        <w:autoSpaceDE/>
        <w:autoSpaceDN/>
        <w:bidi w:val="0"/>
        <w:adjustRightInd/>
        <w:spacing w:line="440" w:lineRule="exact"/>
        <w:ind w:left="0" w:leftChars="0" w:firstLine="420" w:firstLineChars="200"/>
        <w:textAlignment w:val="baseline"/>
        <w:rPr>
          <w:rFonts w:ascii="宋体" w:hAnsi="宋体" w:cs="宋体"/>
          <w:color w:val="auto"/>
          <w:sz w:val="20"/>
          <w:highlight w:val="none"/>
        </w:rPr>
      </w:pPr>
      <w:r>
        <w:rPr>
          <w:rFonts w:hint="eastAsia" w:ascii="宋体" w:hAnsi="宋体" w:cs="宋体"/>
          <w:color w:val="auto"/>
          <w:highlight w:val="none"/>
        </w:rPr>
        <w:t>各投标人的综合得分为报价得分和技术资信得分之和，总分为100分，其中：报价分20分，技术资信分80分。各投标人的资信评分由磋商小组统一打分，技术评分按照磋商小组成员的独立评分结果汇总后的算术平均分计算；各投标人的报价分得分按低价优先法计算。</w:t>
      </w:r>
    </w:p>
    <w:p>
      <w:pPr>
        <w:keepLines w:val="0"/>
        <w:pageBreakBefore w:val="0"/>
        <w:widowControl w:val="0"/>
        <w:kinsoku/>
        <w:wordWrap/>
        <w:overflowPunct/>
        <w:topLinePunct w:val="0"/>
        <w:autoSpaceDE/>
        <w:autoSpaceDN/>
        <w:bidi w:val="0"/>
        <w:adjustRightInd/>
        <w:spacing w:line="440" w:lineRule="exact"/>
        <w:ind w:left="0" w:leftChars="0" w:firstLine="420" w:firstLineChars="200"/>
        <w:textAlignment w:val="baseline"/>
        <w:rPr>
          <w:rFonts w:ascii="宋体" w:hAnsi="宋体" w:cs="宋体"/>
          <w:color w:val="auto"/>
          <w:sz w:val="20"/>
          <w:highlight w:val="none"/>
        </w:rPr>
      </w:pPr>
      <w:r>
        <w:rPr>
          <w:rFonts w:hint="eastAsia" w:ascii="宋体" w:hAnsi="宋体" w:cs="宋体"/>
          <w:color w:val="auto"/>
          <w:highlight w:val="none"/>
        </w:rPr>
        <w:t>3.1报价分（20分）：</w:t>
      </w:r>
    </w:p>
    <w:p>
      <w:pPr>
        <w:keepLines w:val="0"/>
        <w:pageBreakBefore w:val="0"/>
        <w:widowControl w:val="0"/>
        <w:kinsoku/>
        <w:wordWrap/>
        <w:overflowPunct/>
        <w:topLinePunct w:val="0"/>
        <w:autoSpaceDE/>
        <w:autoSpaceDN/>
        <w:bidi w:val="0"/>
        <w:adjustRightInd/>
        <w:spacing w:line="440" w:lineRule="exact"/>
        <w:ind w:left="0" w:leftChars="0" w:firstLine="420" w:firstLineChars="200"/>
        <w:textAlignment w:val="baseline"/>
        <w:rPr>
          <w:rFonts w:ascii="宋体" w:hAnsi="宋体" w:cs="宋体"/>
          <w:color w:val="auto"/>
          <w:sz w:val="20"/>
          <w:highlight w:val="none"/>
        </w:rPr>
      </w:pPr>
      <w:r>
        <w:rPr>
          <w:rFonts w:hint="eastAsia" w:ascii="宋体" w:hAnsi="宋体" w:cs="宋体"/>
          <w:color w:val="auto"/>
          <w:highlight w:val="none"/>
        </w:rPr>
        <w:t>3.1.1报价分采用低价优先法计算，即满足磋商文件要求且最后报价最低的供应商的价格为磋商基准价。</w:t>
      </w:r>
    </w:p>
    <w:p>
      <w:pPr>
        <w:keepLines w:val="0"/>
        <w:pageBreakBefore w:val="0"/>
        <w:widowControl w:val="0"/>
        <w:kinsoku/>
        <w:wordWrap/>
        <w:overflowPunct/>
        <w:topLinePunct w:val="0"/>
        <w:autoSpaceDE/>
        <w:autoSpaceDN/>
        <w:bidi w:val="0"/>
        <w:adjustRightInd/>
        <w:spacing w:line="440" w:lineRule="exact"/>
        <w:ind w:left="0" w:leftChars="0" w:firstLine="420" w:firstLineChars="200"/>
        <w:textAlignment w:val="baseline"/>
        <w:rPr>
          <w:rFonts w:ascii="宋体" w:hAnsi="宋体" w:cs="宋体"/>
          <w:color w:val="auto"/>
          <w:sz w:val="20"/>
          <w:highlight w:val="none"/>
        </w:rPr>
      </w:pPr>
      <w:r>
        <w:rPr>
          <w:rFonts w:hint="eastAsia" w:ascii="宋体" w:hAnsi="宋体" w:cs="宋体"/>
          <w:color w:val="auto"/>
          <w:highlight w:val="none"/>
        </w:rPr>
        <w:t>3.1.2其他供应商的报价分按照下列公式计算：</w:t>
      </w:r>
    </w:p>
    <w:p>
      <w:pPr>
        <w:keepLines w:val="0"/>
        <w:pageBreakBefore w:val="0"/>
        <w:widowControl w:val="0"/>
        <w:kinsoku/>
        <w:wordWrap/>
        <w:overflowPunct/>
        <w:topLinePunct w:val="0"/>
        <w:autoSpaceDE/>
        <w:autoSpaceDN/>
        <w:bidi w:val="0"/>
        <w:adjustRightInd/>
        <w:spacing w:line="440" w:lineRule="exact"/>
        <w:ind w:left="0" w:leftChars="0" w:firstLine="411" w:firstLineChars="196"/>
        <w:jc w:val="left"/>
        <w:textAlignment w:val="baseline"/>
        <w:rPr>
          <w:rFonts w:ascii="宋体" w:hAnsi="宋体" w:cs="宋体"/>
          <w:color w:val="auto"/>
          <w:sz w:val="20"/>
          <w:highlight w:val="none"/>
        </w:rPr>
      </w:pPr>
      <w:r>
        <w:rPr>
          <w:rFonts w:hint="eastAsia" w:ascii="宋体" w:hAnsi="宋体" w:cs="宋体"/>
          <w:color w:val="auto"/>
          <w:highlight w:val="none"/>
        </w:rPr>
        <w:t>磋商报价得分=(磋商基准价／最后磋商报价)×20%×100，结果四舍五入后保留两位小数</w:t>
      </w:r>
      <w:r>
        <w:rPr>
          <w:rFonts w:hint="eastAsia" w:ascii="宋体" w:hAnsi="宋体" w:cs="宋体"/>
          <w:color w:val="auto"/>
          <w:highlight w:val="none"/>
          <w:lang w:val="zh-CN"/>
        </w:rPr>
        <w:t>。</w:t>
      </w:r>
      <w:r>
        <w:rPr>
          <w:rFonts w:hint="eastAsia" w:ascii="宋体" w:hAnsi="宋体" w:cs="宋体"/>
          <w:color w:val="auto"/>
          <w:highlight w:val="none"/>
        </w:rPr>
        <w:t>因落实政府采购政策进行价格调整的，以调整后的价格计算磋商基准价和磋商报价。</w:t>
      </w:r>
    </w:p>
    <w:p>
      <w:pPr>
        <w:keepLines w:val="0"/>
        <w:pageBreakBefore w:val="0"/>
        <w:widowControl w:val="0"/>
        <w:kinsoku/>
        <w:wordWrap/>
        <w:overflowPunct/>
        <w:topLinePunct w:val="0"/>
        <w:autoSpaceDE/>
        <w:autoSpaceDN/>
        <w:bidi w:val="0"/>
        <w:adjustRightInd/>
        <w:spacing w:line="440" w:lineRule="exact"/>
        <w:ind w:left="0" w:leftChars="0" w:firstLine="422" w:firstLineChars="200"/>
        <w:jc w:val="left"/>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3.2技术商务资信分(80分）</w:t>
      </w:r>
    </w:p>
    <w:tbl>
      <w:tblPr>
        <w:tblStyle w:val="28"/>
        <w:tblW w:w="10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4"/>
        <w:gridCol w:w="6805"/>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654" w:type="dxa"/>
            <w:vAlign w:val="center"/>
          </w:tcPr>
          <w:p>
            <w:pPr>
              <w:widowControl/>
              <w:spacing w:line="240" w:lineRule="auto"/>
              <w:jc w:val="center"/>
              <w:rPr>
                <w:rFonts w:hint="eastAsia" w:ascii="宋体" w:hAnsi="宋体" w:eastAsia="宋体" w:cs="宋体"/>
                <w:bCs/>
                <w:color w:val="auto"/>
                <w:kern w:val="28"/>
                <w:sz w:val="21"/>
                <w:szCs w:val="21"/>
                <w:highlight w:val="none"/>
              </w:rPr>
            </w:pPr>
            <w:r>
              <w:rPr>
                <w:rFonts w:hint="eastAsia" w:ascii="宋体" w:hAnsi="宋体" w:eastAsia="宋体" w:cs="宋体"/>
                <w:bCs/>
                <w:color w:val="auto"/>
                <w:kern w:val="28"/>
                <w:sz w:val="21"/>
                <w:szCs w:val="21"/>
                <w:highlight w:val="none"/>
              </w:rPr>
              <w:t>评分内容</w:t>
            </w:r>
          </w:p>
        </w:tc>
        <w:tc>
          <w:tcPr>
            <w:tcW w:w="6805" w:type="dxa"/>
            <w:vAlign w:val="center"/>
          </w:tcPr>
          <w:p>
            <w:pPr>
              <w:widowControl/>
              <w:spacing w:line="240" w:lineRule="auto"/>
              <w:ind w:left="-50"/>
              <w:jc w:val="center"/>
              <w:rPr>
                <w:rFonts w:hint="eastAsia" w:ascii="宋体" w:hAnsi="宋体" w:eastAsia="宋体" w:cs="宋体"/>
                <w:bCs/>
                <w:color w:val="auto"/>
                <w:kern w:val="28"/>
                <w:sz w:val="21"/>
                <w:szCs w:val="21"/>
                <w:highlight w:val="none"/>
              </w:rPr>
            </w:pPr>
            <w:r>
              <w:rPr>
                <w:rFonts w:hint="eastAsia" w:ascii="宋体" w:hAnsi="宋体" w:eastAsia="宋体" w:cs="宋体"/>
                <w:bCs/>
                <w:color w:val="auto"/>
                <w:kern w:val="28"/>
                <w:sz w:val="21"/>
                <w:szCs w:val="21"/>
                <w:highlight w:val="none"/>
              </w:rPr>
              <w:t>评审细则</w:t>
            </w:r>
          </w:p>
        </w:tc>
        <w:tc>
          <w:tcPr>
            <w:tcW w:w="679" w:type="dxa"/>
            <w:vAlign w:val="center"/>
          </w:tcPr>
          <w:p>
            <w:pPr>
              <w:widowControl/>
              <w:spacing w:line="240" w:lineRule="auto"/>
              <w:ind w:left="-50"/>
              <w:jc w:val="center"/>
              <w:rPr>
                <w:rFonts w:hint="eastAsia" w:ascii="宋体" w:hAnsi="宋体" w:eastAsia="宋体" w:cs="宋体"/>
                <w:bCs/>
                <w:color w:val="auto"/>
                <w:kern w:val="28"/>
                <w:sz w:val="21"/>
                <w:szCs w:val="21"/>
                <w:highlight w:val="none"/>
              </w:rPr>
            </w:pPr>
            <w:r>
              <w:rPr>
                <w:rFonts w:hint="eastAsia" w:ascii="宋体" w:hAnsi="宋体" w:eastAsia="宋体" w:cs="宋体"/>
                <w:bCs/>
                <w:color w:val="auto"/>
                <w:kern w:val="28"/>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654" w:type="dxa"/>
            <w:vAlign w:val="center"/>
          </w:tcPr>
          <w:p>
            <w:pPr>
              <w:widowControl/>
              <w:spacing w:line="240" w:lineRule="auto"/>
              <w:jc w:val="center"/>
              <w:rPr>
                <w:rFonts w:hint="default" w:ascii="宋体" w:hAnsi="宋体" w:eastAsia="宋体" w:cs="宋体"/>
                <w:bCs/>
                <w:color w:val="auto"/>
                <w:kern w:val="28"/>
                <w:sz w:val="21"/>
                <w:szCs w:val="21"/>
                <w:highlight w:val="none"/>
                <w:lang w:val="en-US" w:eastAsia="zh-CN"/>
              </w:rPr>
            </w:pPr>
            <w:r>
              <w:rPr>
                <w:rFonts w:hint="eastAsia" w:ascii="宋体" w:hAnsi="宋体" w:cs="宋体"/>
                <w:bCs/>
                <w:color w:val="auto"/>
                <w:kern w:val="28"/>
                <w:sz w:val="21"/>
                <w:szCs w:val="21"/>
                <w:highlight w:val="none"/>
                <w:lang w:val="en-US" w:eastAsia="zh-CN"/>
              </w:rPr>
              <w:t>企业业绩</w:t>
            </w:r>
          </w:p>
        </w:tc>
        <w:tc>
          <w:tcPr>
            <w:tcW w:w="6805" w:type="dxa"/>
            <w:vAlign w:val="center"/>
          </w:tcPr>
          <w:p>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lang w:val="en-US" w:eastAsia="zh-CN"/>
              </w:rPr>
              <w:t>1月1日</w:t>
            </w:r>
            <w:r>
              <w:rPr>
                <w:rFonts w:hint="eastAsia" w:ascii="宋体" w:hAnsi="宋体" w:eastAsia="宋体" w:cs="宋体"/>
                <w:color w:val="auto"/>
                <w:kern w:val="0"/>
                <w:sz w:val="21"/>
                <w:szCs w:val="21"/>
                <w:highlight w:val="none"/>
              </w:rPr>
              <w:t>（以合同签订时间为准）以来承担过类似</w:t>
            </w:r>
            <w:r>
              <w:rPr>
                <w:rFonts w:hint="eastAsia" w:ascii="宋体" w:hAnsi="宋体" w:cs="宋体"/>
                <w:color w:val="auto"/>
                <w:kern w:val="0"/>
                <w:sz w:val="21"/>
                <w:szCs w:val="21"/>
                <w:highlight w:val="none"/>
                <w:lang w:val="en-US" w:eastAsia="zh-CN"/>
              </w:rPr>
              <w:t>政府采购项目</w:t>
            </w:r>
            <w:r>
              <w:rPr>
                <w:rFonts w:hint="eastAsia" w:ascii="宋体" w:hAnsi="宋体" w:eastAsia="宋体" w:cs="宋体"/>
                <w:color w:val="auto"/>
                <w:kern w:val="0"/>
                <w:sz w:val="21"/>
                <w:szCs w:val="21"/>
                <w:highlight w:val="none"/>
              </w:rPr>
              <w:t>业绩的每个得1分，最高得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p>
          <w:p>
            <w:pPr>
              <w:widowControl/>
              <w:spacing w:line="240" w:lineRule="auto"/>
              <w:ind w:left="-50"/>
              <w:jc w:val="both"/>
              <w:rPr>
                <w:rFonts w:hint="eastAsia" w:ascii="宋体" w:hAnsi="宋体" w:eastAsia="宋体" w:cs="宋体"/>
                <w:bCs/>
                <w:color w:val="auto"/>
                <w:kern w:val="28"/>
                <w:sz w:val="21"/>
                <w:szCs w:val="21"/>
                <w:highlight w:val="none"/>
              </w:rPr>
            </w:pPr>
            <w:r>
              <w:rPr>
                <w:rFonts w:hint="eastAsia" w:ascii="宋体" w:hAnsi="宋体" w:eastAsia="宋体" w:cs="宋体"/>
                <w:b/>
                <w:bCs/>
                <w:color w:val="auto"/>
                <w:kern w:val="0"/>
                <w:sz w:val="21"/>
                <w:szCs w:val="21"/>
                <w:highlight w:val="none"/>
              </w:rPr>
              <w:t>注：提供</w:t>
            </w:r>
            <w:r>
              <w:rPr>
                <w:rFonts w:hint="eastAsia" w:ascii="宋体" w:hAnsi="宋体" w:cs="宋体"/>
                <w:b/>
                <w:bCs/>
                <w:color w:val="auto"/>
                <w:kern w:val="0"/>
                <w:sz w:val="21"/>
                <w:szCs w:val="21"/>
                <w:highlight w:val="none"/>
                <w:lang w:val="en-US" w:eastAsia="zh-CN"/>
              </w:rPr>
              <w:t>中标通知书和</w:t>
            </w:r>
            <w:r>
              <w:rPr>
                <w:rFonts w:hint="eastAsia" w:ascii="宋体" w:hAnsi="宋体" w:eastAsia="宋体" w:cs="宋体"/>
                <w:b/>
                <w:bCs/>
                <w:color w:val="auto"/>
                <w:kern w:val="0"/>
                <w:sz w:val="21"/>
                <w:szCs w:val="21"/>
                <w:highlight w:val="none"/>
              </w:rPr>
              <w:t>合同</w:t>
            </w:r>
            <w:r>
              <w:rPr>
                <w:rFonts w:hint="eastAsia" w:ascii="宋体" w:hAnsi="宋体" w:cs="宋体"/>
                <w:b/>
                <w:bCs/>
                <w:color w:val="auto"/>
                <w:kern w:val="0"/>
                <w:sz w:val="21"/>
                <w:szCs w:val="21"/>
                <w:highlight w:val="none"/>
                <w:lang w:val="en-US" w:eastAsia="zh-CN"/>
              </w:rPr>
              <w:t>原件</w:t>
            </w:r>
            <w:r>
              <w:rPr>
                <w:rFonts w:hint="eastAsia" w:ascii="宋体" w:hAnsi="宋体" w:eastAsia="宋体" w:cs="宋体"/>
                <w:b/>
                <w:bCs/>
                <w:color w:val="auto"/>
                <w:kern w:val="0"/>
                <w:sz w:val="21"/>
                <w:szCs w:val="21"/>
                <w:highlight w:val="none"/>
              </w:rPr>
              <w:t>扫描件</w:t>
            </w:r>
            <w:r>
              <w:rPr>
                <w:rFonts w:hint="eastAsia" w:ascii="宋体" w:hAnsi="宋体" w:eastAsia="宋体" w:cs="宋体"/>
                <w:b/>
                <w:bCs/>
                <w:color w:val="auto"/>
                <w:kern w:val="0"/>
                <w:sz w:val="21"/>
                <w:szCs w:val="21"/>
                <w:highlight w:val="none"/>
                <w:lang w:val="en-US" w:eastAsia="zh-CN"/>
              </w:rPr>
              <w:t>，</w:t>
            </w:r>
            <w:r>
              <w:rPr>
                <w:rFonts w:hint="eastAsia" w:ascii="宋体" w:hAnsi="宋体" w:cs="宋体"/>
                <w:b/>
                <w:bCs/>
                <w:color w:val="auto"/>
                <w:kern w:val="0"/>
                <w:sz w:val="21"/>
                <w:szCs w:val="21"/>
                <w:highlight w:val="none"/>
                <w:lang w:val="en-US" w:eastAsia="zh-CN"/>
              </w:rPr>
              <w:t>未提供不得分</w:t>
            </w:r>
            <w:r>
              <w:rPr>
                <w:rFonts w:hint="eastAsia" w:ascii="宋体" w:hAnsi="宋体" w:eastAsia="宋体" w:cs="宋体"/>
                <w:b/>
                <w:bCs/>
                <w:color w:val="auto"/>
                <w:kern w:val="0"/>
                <w:sz w:val="21"/>
                <w:szCs w:val="21"/>
                <w:highlight w:val="none"/>
              </w:rPr>
              <w:t>。</w:t>
            </w:r>
          </w:p>
        </w:tc>
        <w:tc>
          <w:tcPr>
            <w:tcW w:w="679" w:type="dxa"/>
            <w:vAlign w:val="center"/>
          </w:tcPr>
          <w:p>
            <w:pPr>
              <w:widowControl/>
              <w:spacing w:line="240" w:lineRule="auto"/>
              <w:ind w:left="-50"/>
              <w:jc w:val="center"/>
              <w:rPr>
                <w:rFonts w:hint="default" w:ascii="宋体" w:hAnsi="宋体" w:eastAsia="宋体" w:cs="宋体"/>
                <w:bCs/>
                <w:color w:val="auto"/>
                <w:kern w:val="28"/>
                <w:sz w:val="21"/>
                <w:szCs w:val="21"/>
                <w:highlight w:val="none"/>
                <w:lang w:val="en-US" w:eastAsia="zh-CN"/>
              </w:rPr>
            </w:pPr>
            <w:r>
              <w:rPr>
                <w:rFonts w:hint="eastAsia" w:ascii="宋体" w:hAnsi="宋体" w:cs="宋体"/>
                <w:bCs/>
                <w:color w:val="auto"/>
                <w:kern w:val="28"/>
                <w:sz w:val="21"/>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2654" w:type="dxa"/>
            <w:vAlign w:val="center"/>
          </w:tcPr>
          <w:p>
            <w:pPr>
              <w:widowControl/>
              <w:spacing w:line="240" w:lineRule="auto"/>
              <w:jc w:val="center"/>
              <w:rPr>
                <w:rFonts w:hint="default" w:ascii="宋体" w:hAnsi="宋体" w:cs="宋体"/>
                <w:bCs/>
                <w:color w:val="auto"/>
                <w:kern w:val="28"/>
                <w:sz w:val="21"/>
                <w:szCs w:val="21"/>
                <w:highlight w:val="none"/>
                <w:lang w:val="en-US" w:eastAsia="zh-CN"/>
              </w:rPr>
            </w:pPr>
            <w:r>
              <w:rPr>
                <w:rFonts w:hint="eastAsia" w:ascii="宋体" w:hAnsi="宋体" w:cs="宋体"/>
                <w:bCs/>
                <w:color w:val="auto"/>
                <w:kern w:val="28"/>
                <w:sz w:val="21"/>
                <w:szCs w:val="21"/>
                <w:highlight w:val="none"/>
                <w:lang w:val="en-US" w:eastAsia="zh-CN"/>
              </w:rPr>
              <w:t>企业资质</w:t>
            </w:r>
          </w:p>
        </w:tc>
        <w:tc>
          <w:tcPr>
            <w:tcW w:w="6805" w:type="dxa"/>
            <w:vAlign w:val="center"/>
          </w:tcPr>
          <w:p>
            <w:pPr>
              <w:adjustRightInd w:val="0"/>
              <w:snapToGrid w:val="0"/>
              <w:spacing w:before="46" w:beforeLines="15" w:line="312" w:lineRule="auto"/>
              <w:rPr>
                <w:color w:val="auto"/>
                <w:highlight w:val="none"/>
              </w:rPr>
            </w:pPr>
            <w:r>
              <w:rPr>
                <w:rFonts w:hint="eastAsia"/>
                <w:color w:val="auto"/>
                <w:highlight w:val="none"/>
              </w:rPr>
              <w:t>1.</w:t>
            </w:r>
            <w:r>
              <w:rPr>
                <w:rFonts w:hint="eastAsia"/>
                <w:color w:val="auto"/>
                <w:highlight w:val="none"/>
                <w:lang w:val="en-US" w:eastAsia="zh-CN"/>
              </w:rPr>
              <w:t>投标人</w:t>
            </w:r>
            <w:r>
              <w:rPr>
                <w:rFonts w:hint="eastAsia"/>
                <w:color w:val="auto"/>
                <w:highlight w:val="none"/>
              </w:rPr>
              <w:t>具备信息安全管理体系 ISO27001 认证证书得</w:t>
            </w:r>
            <w:r>
              <w:rPr>
                <w:rFonts w:hint="eastAsia"/>
                <w:color w:val="auto"/>
                <w:highlight w:val="none"/>
                <w:lang w:val="en-US" w:eastAsia="zh-CN"/>
              </w:rPr>
              <w:t>1</w:t>
            </w:r>
            <w:r>
              <w:rPr>
                <w:rFonts w:hint="eastAsia"/>
                <w:color w:val="auto"/>
                <w:highlight w:val="none"/>
              </w:rPr>
              <w:t xml:space="preserve">分。 </w:t>
            </w:r>
          </w:p>
          <w:p>
            <w:pPr>
              <w:adjustRightInd w:val="0"/>
              <w:snapToGrid w:val="0"/>
              <w:spacing w:before="46" w:beforeLines="15" w:line="312" w:lineRule="auto"/>
              <w:rPr>
                <w:rFonts w:hint="eastAsia"/>
                <w:color w:val="auto"/>
                <w:highlight w:val="none"/>
              </w:rPr>
            </w:pPr>
            <w:r>
              <w:rPr>
                <w:rFonts w:hint="eastAsia"/>
                <w:color w:val="auto"/>
                <w:highlight w:val="none"/>
              </w:rPr>
              <w:t>2.</w:t>
            </w:r>
            <w:r>
              <w:rPr>
                <w:rFonts w:hint="eastAsia"/>
                <w:color w:val="auto"/>
                <w:highlight w:val="none"/>
                <w:lang w:val="en-US" w:eastAsia="zh-CN"/>
              </w:rPr>
              <w:t>投标人</w:t>
            </w:r>
            <w:r>
              <w:rPr>
                <w:rFonts w:hint="eastAsia"/>
                <w:color w:val="auto"/>
                <w:highlight w:val="none"/>
              </w:rPr>
              <w:t>具备ISO9001质量管理体系证书得</w:t>
            </w:r>
            <w:r>
              <w:rPr>
                <w:rFonts w:hint="eastAsia"/>
                <w:color w:val="auto"/>
                <w:highlight w:val="none"/>
                <w:lang w:val="en-US" w:eastAsia="zh-CN"/>
              </w:rPr>
              <w:t>1</w:t>
            </w:r>
            <w:r>
              <w:rPr>
                <w:rFonts w:hint="eastAsia"/>
                <w:color w:val="auto"/>
                <w:highlight w:val="none"/>
              </w:rPr>
              <w:t>分。</w:t>
            </w:r>
          </w:p>
          <w:p>
            <w:pPr>
              <w:pStyle w:val="2"/>
              <w:rPr>
                <w:rFonts w:hint="eastAsia"/>
                <w:color w:val="auto"/>
                <w:highlight w:val="none"/>
              </w:rPr>
            </w:pPr>
            <w:r>
              <w:rPr>
                <w:rFonts w:hint="eastAsia" w:ascii="宋体" w:hAnsi="宋体" w:eastAsia="宋体" w:cs="宋体"/>
                <w:b/>
                <w:bCs/>
                <w:color w:val="auto"/>
                <w:kern w:val="0"/>
                <w:sz w:val="21"/>
                <w:szCs w:val="21"/>
                <w:highlight w:val="none"/>
              </w:rPr>
              <w:t>注：提供</w:t>
            </w:r>
            <w:r>
              <w:rPr>
                <w:rFonts w:hint="eastAsia" w:ascii="宋体" w:hAnsi="宋体" w:cs="宋体"/>
                <w:b/>
                <w:bCs/>
                <w:color w:val="auto"/>
                <w:kern w:val="0"/>
                <w:sz w:val="21"/>
                <w:szCs w:val="21"/>
                <w:highlight w:val="none"/>
                <w:lang w:val="en-US" w:eastAsia="zh-CN"/>
              </w:rPr>
              <w:t>证书原件</w:t>
            </w:r>
            <w:r>
              <w:rPr>
                <w:rFonts w:hint="eastAsia" w:ascii="宋体" w:hAnsi="宋体" w:eastAsia="宋体" w:cs="宋体"/>
                <w:b/>
                <w:bCs/>
                <w:color w:val="auto"/>
                <w:kern w:val="0"/>
                <w:sz w:val="21"/>
                <w:szCs w:val="21"/>
                <w:highlight w:val="none"/>
              </w:rPr>
              <w:t>扫描件</w:t>
            </w:r>
            <w:r>
              <w:rPr>
                <w:rFonts w:hint="eastAsia" w:ascii="宋体" w:hAnsi="宋体" w:eastAsia="宋体" w:cs="宋体"/>
                <w:b/>
                <w:bCs/>
                <w:color w:val="auto"/>
                <w:kern w:val="0"/>
                <w:sz w:val="21"/>
                <w:szCs w:val="21"/>
                <w:highlight w:val="none"/>
                <w:lang w:val="en-US" w:eastAsia="zh-CN"/>
              </w:rPr>
              <w:t>，</w:t>
            </w:r>
            <w:r>
              <w:rPr>
                <w:rFonts w:hint="eastAsia" w:ascii="宋体" w:hAnsi="宋体" w:cs="宋体"/>
                <w:b/>
                <w:bCs/>
                <w:color w:val="auto"/>
                <w:kern w:val="0"/>
                <w:sz w:val="21"/>
                <w:szCs w:val="21"/>
                <w:highlight w:val="none"/>
                <w:lang w:val="en-US" w:eastAsia="zh-CN"/>
              </w:rPr>
              <w:t>未提供不得分</w:t>
            </w:r>
            <w:r>
              <w:rPr>
                <w:rFonts w:hint="eastAsia" w:ascii="宋体" w:hAnsi="宋体" w:eastAsia="宋体" w:cs="宋体"/>
                <w:b/>
                <w:bCs/>
                <w:color w:val="auto"/>
                <w:kern w:val="0"/>
                <w:sz w:val="21"/>
                <w:szCs w:val="21"/>
                <w:highlight w:val="none"/>
              </w:rPr>
              <w:t>。</w:t>
            </w:r>
          </w:p>
        </w:tc>
        <w:tc>
          <w:tcPr>
            <w:tcW w:w="679" w:type="dxa"/>
            <w:vAlign w:val="center"/>
          </w:tcPr>
          <w:p>
            <w:pPr>
              <w:widowControl/>
              <w:spacing w:line="240" w:lineRule="auto"/>
              <w:ind w:left="-50"/>
              <w:jc w:val="center"/>
              <w:rPr>
                <w:rFonts w:hint="default" w:ascii="宋体" w:hAnsi="宋体" w:cs="宋体"/>
                <w:bCs/>
                <w:color w:val="auto"/>
                <w:kern w:val="28"/>
                <w:sz w:val="21"/>
                <w:szCs w:val="21"/>
                <w:highlight w:val="none"/>
                <w:lang w:val="en-US" w:eastAsia="zh-CN"/>
              </w:rPr>
            </w:pPr>
            <w:r>
              <w:rPr>
                <w:rFonts w:hint="eastAsia" w:ascii="宋体" w:hAnsi="宋体" w:cs="宋体"/>
                <w:bCs/>
                <w:color w:val="auto"/>
                <w:kern w:val="28"/>
                <w:sz w:val="21"/>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jc w:val="center"/>
        </w:trPr>
        <w:tc>
          <w:tcPr>
            <w:tcW w:w="2654" w:type="dxa"/>
            <w:vAlign w:val="center"/>
          </w:tcPr>
          <w:p>
            <w:pPr>
              <w:widowControl/>
              <w:spacing w:line="240" w:lineRule="auto"/>
              <w:jc w:val="center"/>
              <w:rPr>
                <w:rFonts w:hint="default" w:ascii="宋体" w:hAnsi="宋体" w:cs="宋体"/>
                <w:bCs/>
                <w:color w:val="auto"/>
                <w:kern w:val="28"/>
                <w:sz w:val="21"/>
                <w:szCs w:val="21"/>
                <w:highlight w:val="none"/>
                <w:lang w:val="en-US" w:eastAsia="zh-CN"/>
              </w:rPr>
            </w:pPr>
            <w:r>
              <w:rPr>
                <w:rFonts w:hint="eastAsia" w:ascii="宋体" w:hAnsi="宋体" w:cs="宋体"/>
                <w:bCs/>
                <w:color w:val="auto"/>
                <w:kern w:val="28"/>
                <w:sz w:val="21"/>
                <w:szCs w:val="21"/>
                <w:highlight w:val="none"/>
                <w:lang w:val="en-US" w:eastAsia="zh-CN"/>
              </w:rPr>
              <w:t>人员保障</w:t>
            </w:r>
          </w:p>
        </w:tc>
        <w:tc>
          <w:tcPr>
            <w:tcW w:w="6805" w:type="dxa"/>
            <w:vAlign w:val="center"/>
          </w:tcPr>
          <w:p>
            <w:pPr>
              <w:adjustRightInd w:val="0"/>
              <w:snapToGrid w:val="0"/>
              <w:spacing w:before="46" w:beforeLines="15" w:line="312" w:lineRule="auto"/>
              <w:rPr>
                <w:rFonts w:hint="eastAsia" w:ascii="宋体" w:hAnsi="宋体"/>
                <w:color w:val="auto"/>
                <w:highlight w:val="none"/>
                <w:lang w:val="en-US" w:eastAsia="zh-CN"/>
              </w:rPr>
            </w:pPr>
            <w:r>
              <w:rPr>
                <w:rFonts w:hint="eastAsia" w:ascii="宋体" w:hAnsi="宋体"/>
                <w:color w:val="auto"/>
                <w:highlight w:val="none"/>
                <w:lang w:val="en-US" w:eastAsia="zh-CN"/>
              </w:rPr>
              <w:t>1.</w:t>
            </w:r>
            <w:r>
              <w:rPr>
                <w:rFonts w:hint="eastAsia" w:ascii="宋体" w:hAnsi="宋体"/>
                <w:color w:val="auto"/>
                <w:highlight w:val="none"/>
              </w:rPr>
              <w:t>项目</w:t>
            </w:r>
            <w:r>
              <w:rPr>
                <w:rFonts w:hint="eastAsia" w:ascii="宋体" w:hAnsi="宋体"/>
                <w:color w:val="auto"/>
                <w:highlight w:val="none"/>
                <w:lang w:val="en-US" w:eastAsia="zh-CN"/>
              </w:rPr>
              <w:t>经理</w:t>
            </w:r>
            <w:r>
              <w:rPr>
                <w:rFonts w:hint="eastAsia" w:ascii="宋体" w:hAnsi="宋体"/>
                <w:color w:val="auto"/>
                <w:highlight w:val="none"/>
              </w:rPr>
              <w:t>具有信息系统项目管理师证书的，得</w:t>
            </w:r>
            <w:r>
              <w:rPr>
                <w:rFonts w:hint="eastAsia" w:ascii="宋体" w:hAnsi="宋体"/>
                <w:color w:val="auto"/>
                <w:highlight w:val="none"/>
                <w:lang w:val="en-US" w:eastAsia="zh-CN"/>
              </w:rPr>
              <w:t>2</w:t>
            </w:r>
            <w:r>
              <w:rPr>
                <w:rFonts w:hint="eastAsia" w:ascii="宋体" w:hAnsi="宋体"/>
                <w:color w:val="auto"/>
                <w:highlight w:val="none"/>
              </w:rPr>
              <w:t>分</w:t>
            </w:r>
            <w:r>
              <w:rPr>
                <w:rFonts w:hint="eastAsia" w:ascii="宋体" w:hAnsi="宋体"/>
                <w:color w:val="auto"/>
                <w:highlight w:val="none"/>
                <w:lang w:eastAsia="zh-CN"/>
              </w:rPr>
              <w:t>，</w:t>
            </w:r>
            <w:r>
              <w:rPr>
                <w:rFonts w:hint="eastAsia" w:ascii="宋体" w:hAnsi="宋体"/>
                <w:color w:val="auto"/>
                <w:highlight w:val="none"/>
                <w:lang w:val="en-US" w:eastAsia="zh-CN"/>
              </w:rPr>
              <w:t>具有</w:t>
            </w:r>
            <w:r>
              <w:rPr>
                <w:rFonts w:hint="eastAsia" w:ascii="宋体" w:hAnsi="宋体"/>
                <w:color w:val="auto"/>
                <w:highlight w:val="none"/>
              </w:rPr>
              <w:t>系统集成项目管理工程师</w:t>
            </w:r>
            <w:r>
              <w:rPr>
                <w:rFonts w:hint="eastAsia" w:ascii="宋体" w:hAnsi="宋体"/>
                <w:color w:val="auto"/>
                <w:highlight w:val="none"/>
                <w:lang w:val="en-US" w:eastAsia="zh-CN"/>
              </w:rPr>
              <w:t>或PMP证书的得1分，否则不得分。</w:t>
            </w:r>
          </w:p>
          <w:p>
            <w:pPr>
              <w:pStyle w:val="2"/>
              <w:rPr>
                <w:rFonts w:hint="default"/>
                <w:color w:val="auto"/>
                <w:highlight w:val="none"/>
                <w:lang w:val="en-US" w:eastAsia="zh-CN"/>
              </w:rPr>
            </w:pPr>
            <w:r>
              <w:rPr>
                <w:rFonts w:hint="eastAsia" w:ascii="宋体" w:hAnsi="宋体"/>
                <w:color w:val="auto"/>
                <w:highlight w:val="none"/>
                <w:lang w:val="en-US" w:eastAsia="zh-CN"/>
              </w:rPr>
              <w:t>2.</w:t>
            </w:r>
            <w:r>
              <w:rPr>
                <w:rFonts w:hint="eastAsia" w:ascii="宋体" w:hAnsi="宋体"/>
                <w:color w:val="auto"/>
                <w:highlight w:val="none"/>
              </w:rPr>
              <w:t>项目团队</w:t>
            </w:r>
            <w:r>
              <w:rPr>
                <w:rFonts w:hint="eastAsia" w:ascii="宋体" w:hAnsi="宋体"/>
                <w:color w:val="auto"/>
                <w:highlight w:val="none"/>
                <w:lang w:val="en-US" w:eastAsia="zh-CN"/>
              </w:rPr>
              <w:t>其他成员</w:t>
            </w:r>
            <w:r>
              <w:rPr>
                <w:rFonts w:hint="eastAsia" w:ascii="宋体" w:hAnsi="宋体"/>
                <w:color w:val="auto"/>
                <w:highlight w:val="none"/>
              </w:rPr>
              <w:t>中具有</w:t>
            </w:r>
            <w:r>
              <w:rPr>
                <w:rFonts w:hint="eastAsia" w:ascii="宋体" w:hAnsi="宋体"/>
                <w:color w:val="auto"/>
                <w:highlight w:val="none"/>
                <w:lang w:val="en-US" w:eastAsia="zh-CN"/>
              </w:rPr>
              <w:t>系统架构设计师</w:t>
            </w:r>
            <w:r>
              <w:rPr>
                <w:rFonts w:hint="eastAsia" w:ascii="宋体" w:hAnsi="宋体"/>
                <w:color w:val="auto"/>
                <w:highlight w:val="none"/>
              </w:rPr>
              <w:t>、</w:t>
            </w:r>
            <w:r>
              <w:rPr>
                <w:rFonts w:hint="eastAsia" w:ascii="宋体" w:hAnsi="宋体"/>
                <w:color w:val="auto"/>
                <w:highlight w:val="none"/>
                <w:lang w:val="en-US" w:eastAsia="zh-CN"/>
              </w:rPr>
              <w:t>系统分析师、</w:t>
            </w:r>
            <w:r>
              <w:rPr>
                <w:rFonts w:hint="eastAsia" w:ascii="宋体" w:hAnsi="宋体"/>
                <w:color w:val="auto"/>
                <w:highlight w:val="none"/>
              </w:rPr>
              <w:t>软件设计师、</w:t>
            </w:r>
            <w:r>
              <w:rPr>
                <w:rFonts w:hint="eastAsia" w:ascii="宋体" w:hAnsi="宋体"/>
                <w:color w:val="auto"/>
                <w:highlight w:val="none"/>
                <w:lang w:val="en-US" w:eastAsia="zh-CN"/>
              </w:rPr>
              <w:t>软件评测</w:t>
            </w:r>
            <w:r>
              <w:rPr>
                <w:rFonts w:hint="eastAsia" w:ascii="宋体" w:hAnsi="宋体"/>
                <w:color w:val="auto"/>
                <w:highlight w:val="none"/>
              </w:rPr>
              <w:t>师、</w:t>
            </w:r>
            <w:r>
              <w:rPr>
                <w:rFonts w:hint="eastAsia" w:ascii="宋体" w:hAnsi="宋体"/>
                <w:color w:val="auto"/>
                <w:highlight w:val="none"/>
                <w:lang w:val="en-US" w:eastAsia="zh-CN"/>
              </w:rPr>
              <w:t>数据库系统工程师</w:t>
            </w:r>
            <w:r>
              <w:rPr>
                <w:rFonts w:hint="eastAsia" w:ascii="宋体" w:hAnsi="宋体"/>
                <w:color w:val="auto"/>
                <w:highlight w:val="none"/>
              </w:rPr>
              <w:t>证书</w:t>
            </w:r>
            <w:r>
              <w:rPr>
                <w:rFonts w:hint="eastAsia" w:ascii="宋体" w:hAnsi="宋体"/>
                <w:color w:val="auto"/>
                <w:highlight w:val="none"/>
                <w:lang w:val="en-US" w:eastAsia="zh-CN"/>
              </w:rPr>
              <w:t>的</w:t>
            </w:r>
            <w:r>
              <w:rPr>
                <w:rFonts w:hint="eastAsia" w:ascii="宋体" w:hAnsi="宋体"/>
                <w:color w:val="auto"/>
                <w:highlight w:val="none"/>
              </w:rPr>
              <w:t>，每</w:t>
            </w:r>
            <w:r>
              <w:rPr>
                <w:rFonts w:hint="eastAsia" w:ascii="宋体" w:hAnsi="宋体"/>
                <w:color w:val="auto"/>
                <w:highlight w:val="none"/>
                <w:lang w:val="en-US" w:eastAsia="zh-CN"/>
              </w:rPr>
              <w:t>一名人员得</w:t>
            </w:r>
            <w:r>
              <w:rPr>
                <w:rFonts w:hint="eastAsia" w:ascii="宋体" w:hAnsi="宋体"/>
                <w:color w:val="auto"/>
                <w:highlight w:val="none"/>
              </w:rPr>
              <w:t>1分，最高计</w:t>
            </w:r>
            <w:r>
              <w:rPr>
                <w:rFonts w:hint="eastAsia" w:ascii="宋体" w:hAnsi="宋体"/>
                <w:color w:val="auto"/>
                <w:highlight w:val="none"/>
                <w:lang w:val="en-US" w:eastAsia="zh-CN"/>
              </w:rPr>
              <w:t>2</w:t>
            </w:r>
            <w:r>
              <w:rPr>
                <w:rFonts w:hint="eastAsia" w:ascii="宋体" w:hAnsi="宋体"/>
                <w:color w:val="auto"/>
                <w:highlight w:val="none"/>
              </w:rPr>
              <w:t>分。</w:t>
            </w:r>
          </w:p>
          <w:p>
            <w:pPr>
              <w:widowControl/>
              <w:spacing w:line="240" w:lineRule="auto"/>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注：提供证书及证明材料及为</w:t>
            </w:r>
            <w:r>
              <w:rPr>
                <w:rFonts w:hint="eastAsia" w:ascii="宋体" w:hAnsi="宋体" w:cs="宋体"/>
                <w:b/>
                <w:bCs/>
                <w:color w:val="auto"/>
                <w:kern w:val="0"/>
                <w:sz w:val="21"/>
                <w:szCs w:val="21"/>
                <w:highlight w:val="none"/>
                <w:lang w:val="en-US" w:eastAsia="zh-CN"/>
              </w:rPr>
              <w:t>项目组成员</w:t>
            </w:r>
            <w:r>
              <w:rPr>
                <w:rFonts w:hint="eastAsia" w:ascii="宋体" w:hAnsi="宋体" w:eastAsia="宋体" w:cs="宋体"/>
                <w:b/>
                <w:bCs/>
                <w:color w:val="auto"/>
                <w:kern w:val="0"/>
                <w:sz w:val="21"/>
                <w:szCs w:val="21"/>
                <w:highlight w:val="none"/>
              </w:rPr>
              <w:t>缴纳的近三个月</w:t>
            </w:r>
            <w:r>
              <w:rPr>
                <w:rFonts w:hint="eastAsia" w:ascii="宋体" w:hAnsi="宋体" w:cs="宋体"/>
                <w:b/>
                <w:bCs/>
                <w:color w:val="auto"/>
                <w:kern w:val="0"/>
                <w:sz w:val="21"/>
                <w:szCs w:val="21"/>
                <w:highlight w:val="none"/>
                <w:lang w:val="en-US" w:eastAsia="zh-CN"/>
              </w:rPr>
              <w:t>中任意一个月</w:t>
            </w:r>
            <w:r>
              <w:rPr>
                <w:rFonts w:hint="eastAsia" w:ascii="宋体" w:hAnsi="宋体" w:eastAsia="宋体" w:cs="宋体"/>
                <w:b/>
                <w:bCs/>
                <w:color w:val="auto"/>
                <w:kern w:val="0"/>
                <w:sz w:val="21"/>
                <w:szCs w:val="21"/>
                <w:highlight w:val="none"/>
              </w:rPr>
              <w:t>的社保证明</w:t>
            </w:r>
            <w:r>
              <w:rPr>
                <w:rFonts w:hint="eastAsia" w:ascii="宋体" w:hAnsi="宋体" w:cs="宋体"/>
                <w:b/>
                <w:bCs/>
                <w:color w:val="auto"/>
                <w:kern w:val="0"/>
                <w:sz w:val="21"/>
                <w:szCs w:val="21"/>
                <w:highlight w:val="none"/>
                <w:lang w:val="en-US" w:eastAsia="zh-CN"/>
              </w:rPr>
              <w:t>原件</w:t>
            </w:r>
            <w:r>
              <w:rPr>
                <w:rFonts w:hint="eastAsia" w:ascii="宋体" w:hAnsi="宋体" w:eastAsia="宋体" w:cs="宋体"/>
                <w:b/>
                <w:bCs/>
                <w:color w:val="auto"/>
                <w:kern w:val="0"/>
                <w:sz w:val="21"/>
                <w:szCs w:val="21"/>
                <w:highlight w:val="none"/>
              </w:rPr>
              <w:t>扫描件，未提供不得分。</w:t>
            </w:r>
          </w:p>
        </w:tc>
        <w:tc>
          <w:tcPr>
            <w:tcW w:w="679" w:type="dxa"/>
            <w:vAlign w:val="center"/>
          </w:tcPr>
          <w:p>
            <w:pPr>
              <w:widowControl/>
              <w:spacing w:line="240" w:lineRule="auto"/>
              <w:ind w:left="-50"/>
              <w:jc w:val="center"/>
              <w:rPr>
                <w:rFonts w:hint="default" w:ascii="宋体" w:hAnsi="宋体" w:cs="宋体"/>
                <w:bCs/>
                <w:color w:val="auto"/>
                <w:kern w:val="28"/>
                <w:sz w:val="21"/>
                <w:szCs w:val="21"/>
                <w:highlight w:val="none"/>
                <w:lang w:val="en-US" w:eastAsia="zh-CN"/>
              </w:rPr>
            </w:pPr>
            <w:r>
              <w:rPr>
                <w:rFonts w:hint="eastAsia" w:ascii="宋体" w:hAnsi="宋体" w:cs="宋体"/>
                <w:bCs/>
                <w:color w:val="auto"/>
                <w:kern w:val="28"/>
                <w:sz w:val="21"/>
                <w:szCs w:val="21"/>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654" w:type="dxa"/>
            <w:vMerge w:val="restart"/>
            <w:vAlign w:val="center"/>
          </w:tcPr>
          <w:p>
            <w:pPr>
              <w:widowControl/>
              <w:spacing w:line="240" w:lineRule="auto"/>
              <w:jc w:val="center"/>
              <w:rPr>
                <w:rFonts w:hint="eastAsia" w:ascii="宋体" w:hAnsi="宋体" w:eastAsia="宋体" w:cs="宋体"/>
                <w:bCs/>
                <w:i w:val="0"/>
                <w:iCs w:val="0"/>
                <w:color w:val="auto"/>
                <w:kern w:val="28"/>
                <w:sz w:val="21"/>
                <w:szCs w:val="21"/>
                <w:highlight w:val="none"/>
              </w:rPr>
            </w:pPr>
            <w:r>
              <w:rPr>
                <w:rFonts w:hint="eastAsia" w:ascii="宋体" w:hAnsi="宋体" w:eastAsia="宋体" w:cs="宋体"/>
                <w:bCs/>
                <w:i w:val="0"/>
                <w:iCs w:val="0"/>
                <w:color w:val="auto"/>
                <w:kern w:val="28"/>
                <w:sz w:val="21"/>
                <w:szCs w:val="21"/>
                <w:highlight w:val="none"/>
              </w:rPr>
              <w:t>项目熟悉程度</w:t>
            </w:r>
          </w:p>
          <w:p>
            <w:pPr>
              <w:widowControl/>
              <w:spacing w:line="240" w:lineRule="auto"/>
              <w:jc w:val="center"/>
              <w:rPr>
                <w:rFonts w:hint="eastAsia" w:ascii="宋体" w:hAnsi="宋体" w:eastAsia="宋体" w:cs="宋体"/>
                <w:bCs/>
                <w:color w:val="auto"/>
                <w:kern w:val="0"/>
                <w:sz w:val="21"/>
                <w:szCs w:val="21"/>
                <w:highlight w:val="none"/>
                <w:lang w:val="en-US" w:eastAsia="zh-CN"/>
              </w:rPr>
            </w:pPr>
          </w:p>
        </w:tc>
        <w:tc>
          <w:tcPr>
            <w:tcW w:w="6805" w:type="dxa"/>
            <w:vAlign w:val="center"/>
          </w:tcPr>
          <w:p>
            <w:pPr>
              <w:widowControl/>
              <w:spacing w:line="24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rPr>
              <w:t>根据投标人对省市两级数字化建设顶层设计要求和规划的理解程度</w:t>
            </w:r>
            <w:r>
              <w:rPr>
                <w:rFonts w:hint="eastAsia" w:ascii="宋体" w:hAnsi="宋体" w:cs="宋体"/>
                <w:color w:val="auto"/>
                <w:sz w:val="21"/>
                <w:szCs w:val="21"/>
                <w:highlight w:val="none"/>
                <w:lang w:val="en-US" w:eastAsia="zh-CN"/>
              </w:rPr>
              <w:t>进行综合评分（0-4分）</w:t>
            </w:r>
            <w:r>
              <w:rPr>
                <w:rFonts w:hint="eastAsia" w:ascii="宋体" w:hAnsi="宋体" w:eastAsia="宋体" w:cs="宋体"/>
                <w:color w:val="auto"/>
                <w:sz w:val="21"/>
                <w:szCs w:val="21"/>
                <w:highlight w:val="none"/>
              </w:rPr>
              <w:t xml:space="preserve"> </w:t>
            </w:r>
          </w:p>
        </w:tc>
        <w:tc>
          <w:tcPr>
            <w:tcW w:w="679" w:type="dxa"/>
            <w:vAlign w:val="center"/>
          </w:tcPr>
          <w:p>
            <w:pPr>
              <w:widowControl/>
              <w:spacing w:line="240" w:lineRule="auto"/>
              <w:jc w:val="center"/>
              <w:rPr>
                <w:rFonts w:hint="eastAsia" w:ascii="宋体" w:hAnsi="宋体" w:eastAsia="宋体" w:cs="宋体"/>
                <w:color w:val="auto"/>
                <w:sz w:val="21"/>
                <w:szCs w:val="21"/>
                <w:highlight w:val="none"/>
              </w:rPr>
            </w:pPr>
            <w:r>
              <w:rPr>
                <w:rFonts w:hint="eastAsia" w:ascii="宋体" w:hAnsi="宋体" w:cs="宋体"/>
                <w:snapToGrid w:val="0"/>
                <w:color w:val="auto"/>
                <w:kern w:val="0"/>
                <w:sz w:val="21"/>
                <w:szCs w:val="21"/>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54" w:type="dxa"/>
            <w:vMerge w:val="continue"/>
            <w:vAlign w:val="center"/>
          </w:tcPr>
          <w:p>
            <w:pPr>
              <w:widowControl/>
              <w:spacing w:line="240" w:lineRule="auto"/>
              <w:jc w:val="center"/>
              <w:rPr>
                <w:rFonts w:hint="eastAsia" w:ascii="宋体" w:hAnsi="宋体" w:eastAsia="宋体" w:cs="宋体"/>
                <w:snapToGrid w:val="0"/>
                <w:color w:val="auto"/>
                <w:kern w:val="0"/>
                <w:sz w:val="21"/>
                <w:szCs w:val="21"/>
                <w:highlight w:val="none"/>
                <w:lang w:val="en-US" w:eastAsia="zh-CN" w:bidi="ar-SA"/>
              </w:rPr>
            </w:pPr>
          </w:p>
        </w:tc>
        <w:tc>
          <w:tcPr>
            <w:tcW w:w="6805" w:type="dxa"/>
            <w:vAlign w:val="center"/>
          </w:tcPr>
          <w:p>
            <w:pPr>
              <w:widowControl/>
              <w:spacing w:line="240" w:lineRule="auto"/>
              <w:jc w:val="left"/>
              <w:rPr>
                <w:rFonts w:hint="eastAsia" w:ascii="宋体" w:hAnsi="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根据投标人对本项目的建设背景、需求分析、建设目标、功能需求、建设依据等情况的理解和熟悉程度评分</w:t>
            </w:r>
            <w:r>
              <w:rPr>
                <w:rFonts w:hint="eastAsia" w:ascii="宋体" w:hAnsi="宋体" w:cs="宋体"/>
                <w:b w:val="0"/>
                <w:bCs w:val="0"/>
                <w:color w:val="auto"/>
                <w:kern w:val="0"/>
                <w:sz w:val="21"/>
                <w:szCs w:val="21"/>
                <w:highlight w:val="none"/>
                <w:lang w:val="en-US" w:eastAsia="zh-CN" w:bidi="ar-SA"/>
              </w:rPr>
              <w:t>。</w:t>
            </w:r>
          </w:p>
          <w:p>
            <w:pPr>
              <w:widowControl/>
              <w:spacing w:line="240" w:lineRule="auto"/>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对本项目的需求理解深刻、系统设计思路非常清晰、整体系统方案非常完善、具体，对项目部署情况具有实质性帮助的得</w:t>
            </w:r>
            <w:r>
              <w:rPr>
                <w:rFonts w:hint="eastAsia" w:ascii="宋体" w:hAnsi="宋体" w:cs="宋体"/>
                <w:b w:val="0"/>
                <w:bCs w:val="0"/>
                <w:color w:val="auto"/>
                <w:kern w:val="0"/>
                <w:sz w:val="21"/>
                <w:szCs w:val="21"/>
                <w:highlight w:val="none"/>
                <w:lang w:val="en-US" w:eastAsia="zh-CN" w:bidi="ar-SA"/>
              </w:rPr>
              <w:t>4</w:t>
            </w:r>
            <w:r>
              <w:rPr>
                <w:rFonts w:hint="eastAsia" w:ascii="宋体" w:hAnsi="宋体" w:eastAsia="宋体" w:cs="宋体"/>
                <w:b w:val="0"/>
                <w:bCs w:val="0"/>
                <w:color w:val="auto"/>
                <w:kern w:val="0"/>
                <w:sz w:val="21"/>
                <w:szCs w:val="21"/>
                <w:highlight w:val="none"/>
                <w:lang w:val="en-US" w:eastAsia="zh-CN" w:bidi="ar-SA"/>
              </w:rPr>
              <w:t>.1-</w:t>
            </w:r>
            <w:r>
              <w:rPr>
                <w:rFonts w:hint="eastAsia" w:ascii="宋体" w:hAnsi="宋体" w:cs="宋体"/>
                <w:b w:val="0"/>
                <w:bCs w:val="0"/>
                <w:color w:val="auto"/>
                <w:kern w:val="0"/>
                <w:sz w:val="21"/>
                <w:szCs w:val="21"/>
                <w:highlight w:val="none"/>
                <w:lang w:val="en-US" w:eastAsia="zh-CN" w:bidi="ar-SA"/>
              </w:rPr>
              <w:t>6</w:t>
            </w:r>
            <w:r>
              <w:rPr>
                <w:rFonts w:hint="eastAsia" w:ascii="宋体" w:hAnsi="宋体" w:eastAsia="宋体" w:cs="宋体"/>
                <w:b w:val="0"/>
                <w:bCs w:val="0"/>
                <w:color w:val="auto"/>
                <w:kern w:val="0"/>
                <w:sz w:val="21"/>
                <w:szCs w:val="21"/>
                <w:highlight w:val="none"/>
                <w:lang w:val="en-US" w:eastAsia="zh-CN" w:bidi="ar-SA"/>
              </w:rPr>
              <w:t>分；</w:t>
            </w:r>
          </w:p>
          <w:p>
            <w:pPr>
              <w:widowControl/>
              <w:spacing w:line="240" w:lineRule="auto"/>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对项目需求有一定的理解、较熟悉系统设计、具有较合理的系统方案的得2.1-</w:t>
            </w:r>
            <w:r>
              <w:rPr>
                <w:rFonts w:hint="eastAsia" w:ascii="宋体" w:hAnsi="宋体" w:cs="宋体"/>
                <w:b w:val="0"/>
                <w:bCs w:val="0"/>
                <w:color w:val="auto"/>
                <w:kern w:val="0"/>
                <w:sz w:val="21"/>
                <w:szCs w:val="21"/>
                <w:highlight w:val="none"/>
                <w:lang w:val="en-US" w:eastAsia="zh-CN" w:bidi="ar-SA"/>
              </w:rPr>
              <w:t>4</w:t>
            </w:r>
            <w:r>
              <w:rPr>
                <w:rFonts w:hint="eastAsia" w:ascii="宋体" w:hAnsi="宋体" w:eastAsia="宋体" w:cs="宋体"/>
                <w:b w:val="0"/>
                <w:bCs w:val="0"/>
                <w:color w:val="auto"/>
                <w:kern w:val="0"/>
                <w:sz w:val="21"/>
                <w:szCs w:val="21"/>
                <w:highlight w:val="none"/>
                <w:lang w:val="en-US" w:eastAsia="zh-CN" w:bidi="ar-SA"/>
              </w:rPr>
              <w:t>分；</w:t>
            </w:r>
          </w:p>
          <w:p>
            <w:pPr>
              <w:widowControl/>
              <w:spacing w:line="240" w:lineRule="auto"/>
              <w:jc w:val="left"/>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 xml:space="preserve">未提供相关内容或对项目需求、系统设计理解不够，系统方案过于笼统的得0-2分。  </w:t>
            </w:r>
          </w:p>
        </w:tc>
        <w:tc>
          <w:tcPr>
            <w:tcW w:w="679" w:type="dxa"/>
            <w:vAlign w:val="center"/>
          </w:tcPr>
          <w:p>
            <w:pPr>
              <w:widowControl/>
              <w:spacing w:line="240" w:lineRule="auto"/>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snapToGrid w:val="0"/>
                <w:color w:val="auto"/>
                <w:kern w:val="0"/>
                <w:sz w:val="21"/>
                <w:szCs w:val="21"/>
                <w:highlight w:val="none"/>
                <w:lang w:val="en-US" w:eastAsia="zh-CN"/>
              </w:rPr>
              <w:t>6</w:t>
            </w:r>
            <w:r>
              <w:rPr>
                <w:rFonts w:hint="eastAsia" w:ascii="宋体" w:hAnsi="宋体" w:eastAsia="宋体" w:cs="宋体"/>
                <w:snapToGrid w:val="0"/>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654" w:type="dxa"/>
            <w:vAlign w:val="center"/>
          </w:tcPr>
          <w:p>
            <w:pPr>
              <w:widowControl/>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bCs/>
                <w:color w:val="auto"/>
                <w:kern w:val="28"/>
                <w:sz w:val="21"/>
                <w:szCs w:val="21"/>
                <w:highlight w:val="none"/>
              </w:rPr>
              <w:t>系统整体方案</w:t>
            </w:r>
          </w:p>
        </w:tc>
        <w:tc>
          <w:tcPr>
            <w:tcW w:w="6805" w:type="dxa"/>
            <w:vAlign w:val="center"/>
          </w:tcPr>
          <w:p>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投标人提供的方案要结合常山本地的实际，包含建设思路、建设目标、部署实施、售后服务、以及知识产权认证等，既要满足常山群众、法人使用的一般性要求，又要满足某些平台、领域的特殊性需求。 </w:t>
            </w:r>
          </w:p>
          <w:p>
            <w:pPr>
              <w:widowControl/>
              <w:spacing w:line="240" w:lineRule="auto"/>
              <w:jc w:val="left"/>
              <w:rPr>
                <w:rFonts w:hint="eastAsia" w:ascii="宋体" w:hAnsi="宋体" w:eastAsia="宋体" w:cs="宋体"/>
                <w:color w:val="auto"/>
                <w:kern w:val="0"/>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highlight w:val="none"/>
              </w:rPr>
              <w:t>相应描述详细全面、针对性及合理性好的得</w:t>
            </w:r>
            <w:r>
              <w:rPr>
                <w:rFonts w:hint="eastAsia" w:ascii="宋体" w:hAnsi="宋体" w:cs="宋体"/>
                <w:color w:val="auto"/>
                <w:kern w:val="0"/>
                <w:highlight w:val="none"/>
                <w:lang w:val="en-US" w:eastAsia="zh-CN"/>
              </w:rPr>
              <w:t>4</w:t>
            </w:r>
            <w:r>
              <w:rPr>
                <w:rFonts w:hint="eastAsia" w:ascii="宋体" w:hAnsi="宋体" w:eastAsia="宋体" w:cs="宋体"/>
                <w:color w:val="auto"/>
                <w:kern w:val="0"/>
                <w:highlight w:val="none"/>
                <w:lang w:val="en-US" w:eastAsia="zh-CN"/>
              </w:rPr>
              <w:t>.1-6</w:t>
            </w:r>
            <w:r>
              <w:rPr>
                <w:rFonts w:hint="eastAsia" w:ascii="宋体" w:hAnsi="宋体" w:eastAsia="宋体" w:cs="宋体"/>
                <w:color w:val="auto"/>
                <w:kern w:val="0"/>
                <w:highlight w:val="none"/>
              </w:rPr>
              <w:t>分；</w:t>
            </w:r>
          </w:p>
          <w:p>
            <w:pPr>
              <w:widowControl/>
              <w:spacing w:line="240" w:lineRule="auto"/>
              <w:jc w:val="left"/>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内容一般、针对性及合理性一般得</w:t>
            </w:r>
            <w:r>
              <w:rPr>
                <w:rFonts w:hint="eastAsia" w:ascii="宋体" w:hAnsi="宋体" w:cs="宋体"/>
                <w:color w:val="auto"/>
                <w:kern w:val="0"/>
                <w:highlight w:val="none"/>
                <w:lang w:val="en-US" w:eastAsia="zh-CN"/>
              </w:rPr>
              <w:t>2.1-4</w:t>
            </w:r>
            <w:r>
              <w:rPr>
                <w:rFonts w:hint="eastAsia" w:ascii="宋体" w:hAnsi="宋体" w:eastAsia="宋体" w:cs="宋体"/>
                <w:color w:val="auto"/>
                <w:kern w:val="0"/>
                <w:highlight w:val="none"/>
              </w:rPr>
              <w:t>分</w:t>
            </w:r>
            <w:r>
              <w:rPr>
                <w:rFonts w:hint="eastAsia" w:ascii="宋体" w:hAnsi="宋体" w:eastAsia="宋体" w:cs="宋体"/>
                <w:color w:val="auto"/>
                <w:kern w:val="0"/>
                <w:highlight w:val="none"/>
                <w:lang w:eastAsia="zh-CN"/>
              </w:rPr>
              <w:t>；</w:t>
            </w:r>
          </w:p>
          <w:p>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highlight w:val="none"/>
              </w:rPr>
              <w:t>内容不够详细全面、针对性及合理性较差得0</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2</w:t>
            </w:r>
            <w:r>
              <w:rPr>
                <w:rFonts w:hint="eastAsia" w:ascii="宋体" w:hAnsi="宋体" w:eastAsia="宋体" w:cs="宋体"/>
                <w:color w:val="auto"/>
                <w:kern w:val="0"/>
                <w:highlight w:val="none"/>
              </w:rPr>
              <w:t>分。</w:t>
            </w:r>
            <w:r>
              <w:rPr>
                <w:rFonts w:hint="eastAsia" w:ascii="宋体" w:hAnsi="宋体" w:eastAsia="宋体" w:cs="宋体"/>
                <w:color w:val="auto"/>
                <w:kern w:val="0"/>
                <w:sz w:val="21"/>
                <w:szCs w:val="21"/>
                <w:highlight w:val="none"/>
              </w:rPr>
              <w:t xml:space="preserve">       </w:t>
            </w:r>
          </w:p>
        </w:tc>
        <w:tc>
          <w:tcPr>
            <w:tcW w:w="679" w:type="dxa"/>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cs="宋体"/>
                <w:snapToGrid w:val="0"/>
                <w:color w:val="auto"/>
                <w:kern w:val="0"/>
                <w:sz w:val="21"/>
                <w:szCs w:val="21"/>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54" w:type="dxa"/>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color w:val="auto"/>
                <w:sz w:val="21"/>
                <w:szCs w:val="21"/>
                <w:highlight w:val="none"/>
              </w:rPr>
              <w:t>技术指标响应</w:t>
            </w:r>
          </w:p>
        </w:tc>
        <w:tc>
          <w:tcPr>
            <w:tcW w:w="6805" w:type="dxa"/>
            <w:vAlign w:val="center"/>
          </w:tcPr>
          <w:p>
            <w:pPr>
              <w:widowControl/>
              <w:spacing w:line="240" w:lineRule="auto"/>
              <w:jc w:val="left"/>
              <w:rPr>
                <w:rFonts w:hint="eastAsia" w:ascii="宋体" w:hAnsi="宋体" w:eastAsia="宋体" w:cs="宋体"/>
                <w:color w:val="auto"/>
                <w:sz w:val="21"/>
                <w:szCs w:val="21"/>
                <w:highlight w:val="none"/>
              </w:rPr>
            </w:pPr>
            <w:r>
              <w:rPr>
                <w:rFonts w:hint="eastAsia" w:ascii="宋体" w:hAnsi="宋体"/>
                <w:color w:val="auto"/>
                <w:sz w:val="21"/>
                <w:szCs w:val="21"/>
                <w:highlight w:val="none"/>
              </w:rPr>
              <w:t>基础分</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分，投标文件对招标文件技术要求的响应情况，就其功能的完整性、先进性、可靠性进行评分，每有一项技术指标负偏离（扣</w:t>
            </w:r>
            <w:r>
              <w:rPr>
                <w:rFonts w:hint="eastAsia" w:ascii="宋体" w:hAnsi="宋体"/>
                <w:color w:val="auto"/>
                <w:sz w:val="21"/>
                <w:szCs w:val="21"/>
                <w:highlight w:val="none"/>
                <w:lang w:val="en-US" w:eastAsia="zh-CN"/>
              </w:rPr>
              <w:t>0.5</w:t>
            </w:r>
            <w:r>
              <w:rPr>
                <w:rFonts w:hint="eastAsia" w:ascii="宋体" w:hAnsi="宋体"/>
                <w:color w:val="auto"/>
                <w:sz w:val="21"/>
                <w:szCs w:val="21"/>
                <w:highlight w:val="none"/>
              </w:rPr>
              <w:t>分，扣完为止。</w:t>
            </w:r>
          </w:p>
        </w:tc>
        <w:tc>
          <w:tcPr>
            <w:tcW w:w="679" w:type="dxa"/>
            <w:vAlign w:val="center"/>
          </w:tcPr>
          <w:p>
            <w:pPr>
              <w:widowControl/>
              <w:spacing w:line="240" w:lineRule="auto"/>
              <w:jc w:val="center"/>
              <w:rPr>
                <w:rFonts w:hint="eastAsia" w:ascii="宋体" w:hAnsi="宋体"/>
                <w:color w:val="auto"/>
                <w:sz w:val="21"/>
                <w:szCs w:val="21"/>
                <w:highlight w:val="none"/>
              </w:rPr>
            </w:pPr>
            <w:r>
              <w:rPr>
                <w:rFonts w:hint="eastAsia" w:ascii="宋体" w:hAnsi="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654" w:type="dxa"/>
            <w:vAlign w:val="center"/>
          </w:tcPr>
          <w:p>
            <w:pPr>
              <w:widowControl/>
              <w:spacing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项目运维方案</w:t>
            </w:r>
          </w:p>
        </w:tc>
        <w:tc>
          <w:tcPr>
            <w:tcW w:w="680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Cs w:val="21"/>
                <w:highlight w:val="none"/>
                <w:lang w:val="zh-CN" w:eastAsia="zh-TW" w:bidi="ar"/>
              </w:rPr>
            </w:pPr>
            <w:r>
              <w:rPr>
                <w:rFonts w:hint="eastAsia" w:ascii="宋体" w:hAnsi="宋体" w:eastAsia="宋体" w:cs="宋体"/>
                <w:color w:val="auto"/>
                <w:kern w:val="0"/>
                <w:szCs w:val="21"/>
                <w:highlight w:val="none"/>
                <w:lang w:val="zh-CN" w:eastAsia="zh-TW" w:bidi="ar"/>
              </w:rPr>
              <w:t>根据</w:t>
            </w:r>
            <w:r>
              <w:rPr>
                <w:rFonts w:hint="eastAsia" w:ascii="宋体" w:hAnsi="宋体" w:cs="宋体"/>
                <w:color w:val="auto"/>
                <w:kern w:val="0"/>
                <w:szCs w:val="21"/>
                <w:highlight w:val="none"/>
                <w:lang w:val="zh-CN" w:eastAsia="zh-TW" w:bidi="ar"/>
              </w:rPr>
              <w:t>采购单位</w:t>
            </w:r>
            <w:r>
              <w:rPr>
                <w:rFonts w:hint="eastAsia" w:ascii="宋体" w:hAnsi="宋体" w:eastAsia="宋体" w:cs="宋体"/>
                <w:color w:val="auto"/>
                <w:kern w:val="0"/>
                <w:szCs w:val="21"/>
                <w:highlight w:val="none"/>
                <w:lang w:val="zh-CN" w:eastAsia="zh-TW" w:bidi="ar"/>
              </w:rPr>
              <w:t>现有业务系统及其相关的</w:t>
            </w:r>
            <w:r>
              <w:rPr>
                <w:rFonts w:hint="eastAsia" w:ascii="宋体" w:hAnsi="宋体" w:cs="宋体"/>
                <w:color w:val="auto"/>
                <w:kern w:val="0"/>
                <w:szCs w:val="21"/>
                <w:highlight w:val="none"/>
                <w:lang w:val="zh-CN" w:eastAsia="zh-TW" w:bidi="ar"/>
              </w:rPr>
              <w:t>软、硬件</w:t>
            </w:r>
            <w:r>
              <w:rPr>
                <w:rFonts w:hint="eastAsia" w:ascii="宋体" w:hAnsi="宋体" w:eastAsia="宋体" w:cs="宋体"/>
                <w:color w:val="auto"/>
                <w:kern w:val="0"/>
                <w:szCs w:val="21"/>
                <w:highlight w:val="none"/>
                <w:lang w:val="zh-CN" w:eastAsia="zh-TW" w:bidi="ar"/>
              </w:rPr>
              <w:t>情况，对运维服务方案进行针对性的分析。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zh-CN" w:eastAsia="zh-TW" w:bidi="ar"/>
              </w:rPr>
              <w:t>运维服务方案</w:t>
            </w:r>
            <w:r>
              <w:rPr>
                <w:rFonts w:hint="eastAsia" w:ascii="宋体" w:hAnsi="宋体" w:eastAsia="宋体" w:cs="宋体"/>
                <w:color w:val="auto"/>
                <w:kern w:val="0"/>
                <w:szCs w:val="21"/>
                <w:highlight w:val="none"/>
                <w:lang w:val="zh-CN" w:eastAsia="zh-TW" w:bidi="ar"/>
              </w:rPr>
              <w:t>阐述</w:t>
            </w:r>
            <w:r>
              <w:rPr>
                <w:rFonts w:hint="eastAsia" w:ascii="宋体" w:hAnsi="宋体" w:cs="宋体"/>
                <w:color w:val="auto"/>
                <w:kern w:val="0"/>
                <w:szCs w:val="21"/>
                <w:highlight w:val="none"/>
                <w:lang w:val="zh-CN" w:eastAsia="zh-TW" w:bidi="ar"/>
              </w:rPr>
              <w:t>的</w:t>
            </w:r>
            <w:r>
              <w:rPr>
                <w:rFonts w:hint="eastAsia" w:ascii="宋体" w:hAnsi="宋体" w:eastAsia="宋体" w:cs="宋体"/>
                <w:color w:val="auto"/>
                <w:kern w:val="0"/>
                <w:szCs w:val="21"/>
                <w:highlight w:val="none"/>
                <w:lang w:val="zh-CN" w:eastAsia="zh-TW" w:bidi="ar"/>
              </w:rPr>
              <w:t>详尽、明晰</w:t>
            </w:r>
            <w:r>
              <w:rPr>
                <w:rFonts w:hint="eastAsia" w:ascii="宋体" w:hAnsi="宋体" w:cs="宋体"/>
                <w:color w:val="auto"/>
                <w:kern w:val="0"/>
                <w:szCs w:val="21"/>
                <w:highlight w:val="none"/>
                <w:lang w:val="zh-CN" w:eastAsia="zh-TW" w:bidi="ar"/>
              </w:rPr>
              <w:t>、完全能满足本项目维保需求的得</w:t>
            </w:r>
            <w:r>
              <w:rPr>
                <w:rFonts w:hint="eastAsia" w:ascii="宋体" w:hAnsi="宋体" w:cs="宋体"/>
                <w:color w:val="auto"/>
                <w:kern w:val="0"/>
                <w:szCs w:val="21"/>
                <w:highlight w:val="none"/>
                <w:lang w:val="en-US" w:eastAsia="zh-CN" w:bidi="ar"/>
              </w:rPr>
              <w:t>2.1-4</w:t>
            </w:r>
            <w:r>
              <w:rPr>
                <w:rFonts w:hint="eastAsia" w:ascii="宋体" w:hAnsi="宋体" w:cs="宋体"/>
                <w:color w:val="auto"/>
                <w:kern w:val="0"/>
                <w:szCs w:val="21"/>
                <w:highlight w:val="none"/>
                <w:lang w:bidi="ar"/>
              </w:rPr>
              <w:t>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zh-CN" w:eastAsia="zh-TW" w:bidi="ar"/>
              </w:rPr>
              <w:t>方案基本完整，可行性善可，基本能保证运维需求的得</w:t>
            </w:r>
            <w:r>
              <w:rPr>
                <w:rFonts w:hint="eastAsia" w:ascii="宋体" w:hAnsi="宋体" w:cs="宋体"/>
                <w:color w:val="auto"/>
                <w:kern w:val="0"/>
                <w:szCs w:val="21"/>
                <w:highlight w:val="none"/>
                <w:lang w:val="en-US" w:eastAsia="zh-CN" w:bidi="ar"/>
              </w:rPr>
              <w:t>1.1-2</w:t>
            </w:r>
            <w:r>
              <w:rPr>
                <w:rFonts w:hint="eastAsia" w:ascii="宋体" w:hAnsi="宋体" w:cs="宋体"/>
                <w:color w:val="auto"/>
                <w:kern w:val="0"/>
                <w:szCs w:val="21"/>
                <w:highlight w:val="none"/>
                <w:lang w:bidi="ar"/>
              </w:rPr>
              <w:t>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val="zh-CN" w:eastAsia="zh-TW" w:bidi="ar"/>
              </w:rPr>
              <w:t>未提供相关内容或方案笼统、不能确保运维质量的得</w:t>
            </w:r>
            <w:r>
              <w:rPr>
                <w:rFonts w:hint="eastAsia" w:ascii="宋体" w:hAnsi="宋体" w:cs="宋体"/>
                <w:color w:val="auto"/>
                <w:kern w:val="0"/>
                <w:szCs w:val="21"/>
                <w:highlight w:val="none"/>
                <w:lang w:val="en-US" w:eastAsia="zh-CN" w:bidi="ar"/>
              </w:rPr>
              <w:t>0-1</w:t>
            </w:r>
            <w:r>
              <w:rPr>
                <w:rFonts w:hint="eastAsia" w:ascii="宋体" w:hAnsi="宋体" w:cs="宋体"/>
                <w:color w:val="auto"/>
                <w:kern w:val="0"/>
                <w:szCs w:val="21"/>
                <w:highlight w:val="none"/>
                <w:lang w:bidi="ar"/>
              </w:rPr>
              <w:t>分。</w:t>
            </w:r>
          </w:p>
        </w:tc>
        <w:tc>
          <w:tcPr>
            <w:tcW w:w="679" w:type="dxa"/>
            <w:vAlign w:val="center"/>
          </w:tcPr>
          <w:p>
            <w:pPr>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2654" w:type="dxa"/>
            <w:vAlign w:val="center"/>
          </w:tcPr>
          <w:p>
            <w:pPr>
              <w:spacing w:line="240" w:lineRule="auto"/>
              <w:ind w:right="3" w:rightChars="0" w:firstLine="105" w:firstLineChars="50"/>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2"/>
                <w:sz w:val="21"/>
                <w:szCs w:val="21"/>
                <w:highlight w:val="none"/>
                <w:lang w:val="en-US" w:eastAsia="zh-CN" w:bidi="ar-SA"/>
              </w:rPr>
              <w:t>项目</w:t>
            </w:r>
            <w:r>
              <w:rPr>
                <w:rFonts w:hint="eastAsia" w:ascii="宋体" w:hAnsi="宋体" w:eastAsia="宋体" w:cs="宋体"/>
                <w:color w:val="auto"/>
                <w:kern w:val="2"/>
                <w:sz w:val="21"/>
                <w:szCs w:val="21"/>
                <w:highlight w:val="none"/>
                <w:lang w:val="en-US" w:eastAsia="zh-CN" w:bidi="ar-SA"/>
              </w:rPr>
              <w:t>组织保障</w:t>
            </w:r>
            <w:r>
              <w:rPr>
                <w:rFonts w:hint="eastAsia" w:ascii="宋体" w:hAnsi="宋体" w:cs="宋体"/>
                <w:color w:val="auto"/>
                <w:kern w:val="2"/>
                <w:sz w:val="21"/>
                <w:szCs w:val="21"/>
                <w:highlight w:val="none"/>
                <w:lang w:val="en-US" w:eastAsia="zh-CN" w:bidi="ar-SA"/>
              </w:rPr>
              <w:t>措施</w:t>
            </w:r>
          </w:p>
        </w:tc>
        <w:tc>
          <w:tcPr>
            <w:tcW w:w="6805" w:type="dxa"/>
            <w:vAlign w:val="center"/>
          </w:tcPr>
          <w:p>
            <w:pPr>
              <w:spacing w:line="240" w:lineRule="auto"/>
              <w:ind w:right="3"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投标人应提供方案实施的详细组织保障，包含人员配置、资源投入以及应急管理机制等。</w:t>
            </w:r>
          </w:p>
          <w:p>
            <w:pPr>
              <w:spacing w:line="240" w:lineRule="auto"/>
              <w:ind w:right="3" w:right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相应描述详细全面、针对性及合理性好的得</w:t>
            </w:r>
            <w:r>
              <w:rPr>
                <w:rFonts w:hint="eastAsia" w:ascii="宋体" w:hAnsi="宋体" w:eastAsia="宋体" w:cs="宋体"/>
                <w:color w:val="auto"/>
                <w:kern w:val="0"/>
                <w:highlight w:val="none"/>
                <w:lang w:val="en-US" w:eastAsia="zh-CN"/>
              </w:rPr>
              <w:t>2.1-4</w:t>
            </w:r>
            <w:r>
              <w:rPr>
                <w:rFonts w:hint="eastAsia" w:ascii="宋体" w:hAnsi="宋体" w:eastAsia="宋体" w:cs="宋体"/>
                <w:color w:val="auto"/>
                <w:kern w:val="0"/>
                <w:highlight w:val="none"/>
              </w:rPr>
              <w:t>分；</w:t>
            </w:r>
          </w:p>
          <w:p>
            <w:pPr>
              <w:spacing w:line="240" w:lineRule="auto"/>
              <w:ind w:right="3" w:rightChars="0"/>
              <w:jc w:val="left"/>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内容一般、针对性及合理性一般得</w:t>
            </w:r>
            <w:r>
              <w:rPr>
                <w:rFonts w:hint="eastAsia" w:ascii="宋体" w:hAnsi="宋体" w:eastAsia="宋体" w:cs="宋体"/>
                <w:color w:val="auto"/>
                <w:kern w:val="0"/>
                <w:highlight w:val="none"/>
                <w:lang w:val="en-US" w:eastAsia="zh-CN"/>
              </w:rPr>
              <w:t>1.1-2</w:t>
            </w:r>
            <w:r>
              <w:rPr>
                <w:rFonts w:hint="eastAsia" w:ascii="宋体" w:hAnsi="宋体" w:eastAsia="宋体" w:cs="宋体"/>
                <w:color w:val="auto"/>
                <w:kern w:val="0"/>
                <w:highlight w:val="none"/>
              </w:rPr>
              <w:t>分</w:t>
            </w:r>
            <w:r>
              <w:rPr>
                <w:rFonts w:hint="eastAsia" w:ascii="宋体" w:hAnsi="宋体" w:eastAsia="宋体" w:cs="宋体"/>
                <w:color w:val="auto"/>
                <w:kern w:val="0"/>
                <w:highlight w:val="none"/>
                <w:lang w:eastAsia="zh-CN"/>
              </w:rPr>
              <w:t>；</w:t>
            </w:r>
          </w:p>
          <w:p>
            <w:pPr>
              <w:spacing w:line="240" w:lineRule="auto"/>
              <w:ind w:right="3"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highlight w:val="none"/>
              </w:rPr>
              <w:t>内容不够详细全面、针对性及合理性较差得0</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1</w:t>
            </w:r>
            <w:r>
              <w:rPr>
                <w:rFonts w:hint="eastAsia" w:ascii="宋体" w:hAnsi="宋体" w:eastAsia="宋体" w:cs="宋体"/>
                <w:color w:val="auto"/>
                <w:kern w:val="0"/>
                <w:highlight w:val="none"/>
              </w:rPr>
              <w:t>分。</w:t>
            </w:r>
          </w:p>
        </w:tc>
        <w:tc>
          <w:tcPr>
            <w:tcW w:w="679" w:type="dxa"/>
            <w:vAlign w:val="center"/>
          </w:tcPr>
          <w:p>
            <w:pPr>
              <w:spacing w:line="240" w:lineRule="auto"/>
              <w:ind w:right="3" w:rightChars="0" w:firstLine="105" w:firstLineChars="5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654" w:type="dxa"/>
            <w:vAlign w:val="center"/>
          </w:tcPr>
          <w:p>
            <w:pPr>
              <w:spacing w:line="240" w:lineRule="auto"/>
              <w:ind w:right="3" w:rightChars="0" w:firstLine="105" w:firstLineChars="50"/>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项目进度计划</w:t>
            </w:r>
          </w:p>
        </w:tc>
        <w:tc>
          <w:tcPr>
            <w:tcW w:w="6805" w:type="dxa"/>
            <w:vAlign w:val="center"/>
          </w:tcPr>
          <w:p>
            <w:pPr>
              <w:spacing w:line="240" w:lineRule="auto"/>
              <w:ind w:right="3" w:rightChars="0" w:firstLine="105" w:firstLineChars="50"/>
              <w:jc w:val="left"/>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根据项目建设进度安排的计划性、全面性、合理性、可行性进行综合评分。（0-4分）</w:t>
            </w:r>
          </w:p>
          <w:p>
            <w:pPr>
              <w:spacing w:line="240" w:lineRule="auto"/>
              <w:ind w:right="3" w:rightChars="0" w:firstLine="105" w:firstLineChars="50"/>
              <w:jc w:val="left"/>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建设进度安排详细全面、有具体时间节点的得2.1-4分；</w:t>
            </w:r>
          </w:p>
          <w:p>
            <w:pPr>
              <w:spacing w:line="240" w:lineRule="auto"/>
              <w:ind w:right="3" w:rightChars="0" w:firstLine="105" w:firstLineChars="50"/>
              <w:jc w:val="left"/>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建设进度计划较全面的得1.1-2分；</w:t>
            </w:r>
          </w:p>
          <w:p>
            <w:pPr>
              <w:spacing w:line="240" w:lineRule="auto"/>
              <w:ind w:right="3" w:rightChars="0" w:firstLine="105" w:firstLineChars="50"/>
              <w:jc w:val="left"/>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建设进度计划不够详细全面、针对性及合理性较差得0-1分。</w:t>
            </w:r>
          </w:p>
        </w:tc>
        <w:tc>
          <w:tcPr>
            <w:tcW w:w="679" w:type="dxa"/>
            <w:vAlign w:val="center"/>
          </w:tcPr>
          <w:p>
            <w:pPr>
              <w:spacing w:line="240" w:lineRule="auto"/>
              <w:ind w:right="3" w:rightChars="0" w:firstLine="105" w:firstLineChars="50"/>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2654" w:type="dxa"/>
            <w:vAlign w:val="center"/>
          </w:tcPr>
          <w:p>
            <w:pPr>
              <w:widowControl/>
              <w:spacing w:line="240" w:lineRule="auto"/>
              <w:ind w:right="3" w:rightChars="0" w:firstLine="105" w:firstLineChars="5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项目质量管理措施</w:t>
            </w:r>
          </w:p>
        </w:tc>
        <w:tc>
          <w:tcPr>
            <w:tcW w:w="6805" w:type="dxa"/>
            <w:vAlign w:val="center"/>
          </w:tcPr>
          <w:p>
            <w:pPr>
              <w:widowControl/>
              <w:spacing w:line="240" w:lineRule="auto"/>
              <w:ind w:right="3"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投标人应提供整个施工方案的详细质量管理计划，包含质量管理、需求管理，风险管理，沟通管理、变更管理等。</w:t>
            </w:r>
          </w:p>
          <w:p>
            <w:pPr>
              <w:widowControl/>
              <w:spacing w:line="240" w:lineRule="auto"/>
              <w:ind w:right="3" w:right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施工方案全面</w:t>
            </w:r>
            <w:r>
              <w:rPr>
                <w:rFonts w:hint="eastAsia" w:ascii="宋体" w:hAnsi="宋体" w:eastAsia="宋体" w:cs="宋体"/>
                <w:color w:val="auto"/>
                <w:kern w:val="0"/>
                <w:sz w:val="21"/>
                <w:szCs w:val="21"/>
                <w:highlight w:val="none"/>
              </w:rPr>
              <w:t>详细的得</w:t>
            </w:r>
            <w:r>
              <w:rPr>
                <w:rFonts w:hint="eastAsia" w:ascii="宋体" w:hAnsi="宋体" w:cs="宋体"/>
                <w:color w:val="auto"/>
                <w:kern w:val="0"/>
                <w:sz w:val="21"/>
                <w:szCs w:val="21"/>
                <w:highlight w:val="none"/>
                <w:lang w:val="en-US" w:eastAsia="zh-CN"/>
              </w:rPr>
              <w:t>2.1</w:t>
            </w:r>
            <w:r>
              <w:rPr>
                <w:rFonts w:hint="eastAsia" w:ascii="宋体" w:hAnsi="宋体" w:eastAsia="宋体" w:cs="宋体"/>
                <w:color w:val="auto"/>
                <w:kern w:val="0"/>
                <w:sz w:val="21"/>
                <w:szCs w:val="21"/>
                <w:highlight w:val="none"/>
              </w:rPr>
              <w:t>-4分</w:t>
            </w:r>
            <w:r>
              <w:rPr>
                <w:rFonts w:hint="eastAsia" w:ascii="宋体" w:hAnsi="宋体" w:eastAsia="宋体" w:cs="宋体"/>
                <w:color w:val="auto"/>
                <w:kern w:val="0"/>
                <w:sz w:val="21"/>
                <w:szCs w:val="21"/>
                <w:highlight w:val="none"/>
                <w:lang w:eastAsia="zh-CN"/>
              </w:rPr>
              <w:t>；</w:t>
            </w:r>
          </w:p>
          <w:p>
            <w:pPr>
              <w:widowControl/>
              <w:spacing w:line="240" w:lineRule="auto"/>
              <w:ind w:right="3"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施工方案较</w:t>
            </w:r>
            <w:r>
              <w:rPr>
                <w:rFonts w:hint="eastAsia" w:ascii="宋体" w:hAnsi="宋体" w:eastAsia="宋体" w:cs="宋体"/>
                <w:color w:val="auto"/>
                <w:kern w:val="0"/>
                <w:sz w:val="21"/>
                <w:szCs w:val="21"/>
                <w:highlight w:val="none"/>
              </w:rPr>
              <w:t>详细的得</w:t>
            </w: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p>
          <w:p>
            <w:pPr>
              <w:widowControl/>
              <w:spacing w:line="240" w:lineRule="auto"/>
              <w:ind w:right="3"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施工方案</w:t>
            </w:r>
            <w:r>
              <w:rPr>
                <w:rFonts w:hint="eastAsia" w:ascii="宋体" w:hAnsi="宋体" w:eastAsia="宋体" w:cs="宋体"/>
                <w:color w:val="auto"/>
                <w:kern w:val="0"/>
                <w:sz w:val="21"/>
                <w:szCs w:val="21"/>
                <w:highlight w:val="none"/>
              </w:rPr>
              <w:t>一般的得0-</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tc>
        <w:tc>
          <w:tcPr>
            <w:tcW w:w="679" w:type="dxa"/>
            <w:vAlign w:val="center"/>
          </w:tcPr>
          <w:p>
            <w:pPr>
              <w:widowControl/>
              <w:spacing w:line="240" w:lineRule="auto"/>
              <w:ind w:right="3" w:rightChars="0" w:firstLine="105" w:firstLineChars="5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2654" w:type="dxa"/>
            <w:vAlign w:val="center"/>
          </w:tcPr>
          <w:p>
            <w:pPr>
              <w:widowControl/>
              <w:spacing w:line="240" w:lineRule="auto"/>
              <w:ind w:right="3" w:rightChars="0" w:firstLine="105" w:firstLineChars="5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rPr>
              <w:t>系统测试方案</w:t>
            </w:r>
          </w:p>
        </w:tc>
        <w:tc>
          <w:tcPr>
            <w:tcW w:w="6805" w:type="dxa"/>
            <w:vAlign w:val="center"/>
          </w:tcPr>
          <w:p>
            <w:pPr>
              <w:widowControl/>
              <w:spacing w:line="240" w:lineRule="auto"/>
              <w:ind w:right="3" w:right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投标人应提供详细的系统测试方案，包含整体测试方案和分项测试方案。系统测试方案</w:t>
            </w:r>
            <w:r>
              <w:rPr>
                <w:rFonts w:hint="eastAsia" w:ascii="宋体" w:hAnsi="宋体" w:eastAsia="宋体" w:cs="宋体"/>
                <w:color w:val="auto"/>
                <w:kern w:val="0"/>
                <w:sz w:val="21"/>
                <w:szCs w:val="21"/>
                <w:highlight w:val="none"/>
                <w:lang w:val="en-US" w:eastAsia="zh-CN"/>
              </w:rPr>
              <w:t>全面</w:t>
            </w:r>
            <w:r>
              <w:rPr>
                <w:rFonts w:hint="eastAsia" w:ascii="宋体" w:hAnsi="宋体" w:eastAsia="宋体" w:cs="宋体"/>
                <w:color w:val="auto"/>
                <w:kern w:val="0"/>
                <w:sz w:val="21"/>
                <w:szCs w:val="21"/>
                <w:highlight w:val="none"/>
              </w:rPr>
              <w:t>详细的得</w:t>
            </w:r>
            <w:r>
              <w:rPr>
                <w:rFonts w:hint="eastAsia" w:ascii="宋体" w:hAnsi="宋体" w:cs="宋体"/>
                <w:color w:val="auto"/>
                <w:kern w:val="0"/>
                <w:sz w:val="21"/>
                <w:szCs w:val="21"/>
                <w:highlight w:val="none"/>
                <w:lang w:val="en-US" w:eastAsia="zh-CN"/>
              </w:rPr>
              <w:t>4.1</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p>
          <w:p>
            <w:pPr>
              <w:widowControl/>
              <w:spacing w:line="240" w:lineRule="auto"/>
              <w:ind w:right="3"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系统测试方案</w:t>
            </w:r>
            <w:r>
              <w:rPr>
                <w:rFonts w:hint="eastAsia" w:ascii="宋体" w:hAnsi="宋体" w:eastAsia="宋体" w:cs="宋体"/>
                <w:color w:val="auto"/>
                <w:kern w:val="0"/>
                <w:sz w:val="21"/>
                <w:szCs w:val="21"/>
                <w:highlight w:val="none"/>
                <w:lang w:val="en-US" w:eastAsia="zh-CN"/>
              </w:rPr>
              <w:t>较</w:t>
            </w:r>
            <w:r>
              <w:rPr>
                <w:rFonts w:hint="eastAsia" w:ascii="宋体" w:hAnsi="宋体" w:eastAsia="宋体" w:cs="宋体"/>
                <w:color w:val="auto"/>
                <w:kern w:val="0"/>
                <w:sz w:val="21"/>
                <w:szCs w:val="21"/>
                <w:highlight w:val="none"/>
              </w:rPr>
              <w:t>详细的得</w:t>
            </w:r>
            <w:r>
              <w:rPr>
                <w:rFonts w:hint="eastAsia" w:ascii="宋体" w:hAnsi="宋体" w:cs="宋体"/>
                <w:color w:val="auto"/>
                <w:kern w:val="0"/>
                <w:sz w:val="21"/>
                <w:szCs w:val="21"/>
                <w:highlight w:val="none"/>
                <w:lang w:val="en-US" w:eastAsia="zh-CN"/>
              </w:rPr>
              <w:t>2.1</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p>
          <w:p>
            <w:pPr>
              <w:widowControl/>
              <w:spacing w:line="240" w:lineRule="auto"/>
              <w:ind w:right="3"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系统测试方案</w:t>
            </w:r>
            <w:r>
              <w:rPr>
                <w:rFonts w:hint="eastAsia" w:ascii="宋体" w:hAnsi="宋体" w:eastAsia="宋体" w:cs="宋体"/>
                <w:color w:val="auto"/>
                <w:kern w:val="0"/>
                <w:sz w:val="21"/>
                <w:szCs w:val="21"/>
                <w:highlight w:val="none"/>
              </w:rPr>
              <w:t>一般的得0-</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p>
        </w:tc>
        <w:tc>
          <w:tcPr>
            <w:tcW w:w="679" w:type="dxa"/>
            <w:vAlign w:val="center"/>
          </w:tcPr>
          <w:p>
            <w:pPr>
              <w:widowControl/>
              <w:spacing w:line="240" w:lineRule="auto"/>
              <w:ind w:right="3" w:rightChars="0" w:firstLine="105" w:firstLineChars="5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654" w:type="dxa"/>
            <w:vMerge w:val="restart"/>
            <w:vAlign w:val="center"/>
          </w:tcPr>
          <w:p>
            <w:pPr>
              <w:widowControl/>
              <w:spacing w:line="240" w:lineRule="auto"/>
              <w:ind w:right="3" w:rightChars="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培训方案</w:t>
            </w:r>
          </w:p>
          <w:p>
            <w:pPr>
              <w:widowControl/>
              <w:spacing w:line="240" w:lineRule="auto"/>
              <w:ind w:right="3" w:rightChars="0"/>
              <w:jc w:val="both"/>
              <w:rPr>
                <w:rFonts w:hint="eastAsia" w:ascii="宋体" w:hAnsi="宋体" w:eastAsia="宋体" w:cs="宋体"/>
                <w:color w:val="auto"/>
                <w:kern w:val="0"/>
                <w:sz w:val="21"/>
                <w:szCs w:val="21"/>
                <w:highlight w:val="none"/>
              </w:rPr>
            </w:pPr>
          </w:p>
        </w:tc>
        <w:tc>
          <w:tcPr>
            <w:tcW w:w="6805"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根据培训计划：主要包括培训内容、时间、地点、人员、人次（次数）；系统培训，重点培训为维护、调试、配置及使用技能；业务人员培训，重点对相应应用的操作、使用等进行评审。</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培训方案的完整度高、次数多的得</w:t>
            </w:r>
            <w:r>
              <w:rPr>
                <w:rFonts w:hint="eastAsia" w:ascii="宋体" w:hAnsi="宋体" w:cs="宋体"/>
                <w:i w:val="0"/>
                <w:iCs w:val="0"/>
                <w:color w:val="auto"/>
                <w:kern w:val="0"/>
                <w:sz w:val="21"/>
                <w:szCs w:val="21"/>
                <w:highlight w:val="none"/>
                <w:u w:val="none"/>
                <w:lang w:val="en-US" w:eastAsia="zh-CN" w:bidi="ar"/>
              </w:rPr>
              <w:t>2.1-4</w:t>
            </w:r>
            <w:r>
              <w:rPr>
                <w:rFonts w:hint="eastAsia" w:ascii="宋体" w:hAnsi="宋体" w:eastAsia="宋体" w:cs="宋体"/>
                <w:i w:val="0"/>
                <w:iCs w:val="0"/>
                <w:color w:val="auto"/>
                <w:kern w:val="0"/>
                <w:sz w:val="21"/>
                <w:szCs w:val="21"/>
                <w:highlight w:val="none"/>
                <w:u w:val="none"/>
                <w:lang w:val="en-US" w:eastAsia="zh-CN" w:bidi="ar"/>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培训方案完整度一般的得</w:t>
            </w:r>
            <w:r>
              <w:rPr>
                <w:rFonts w:hint="eastAsia" w:ascii="宋体" w:hAnsi="宋体" w:cs="宋体"/>
                <w:i w:val="0"/>
                <w:iCs w:val="0"/>
                <w:color w:val="auto"/>
                <w:kern w:val="0"/>
                <w:sz w:val="21"/>
                <w:szCs w:val="21"/>
                <w:highlight w:val="none"/>
                <w:u w:val="none"/>
                <w:lang w:val="en-US" w:eastAsia="zh-CN" w:bidi="ar"/>
              </w:rPr>
              <w:t>1.1-2</w:t>
            </w:r>
            <w:r>
              <w:rPr>
                <w:rFonts w:hint="eastAsia" w:ascii="宋体" w:hAnsi="宋体" w:eastAsia="宋体" w:cs="宋体"/>
                <w:i w:val="0"/>
                <w:iCs w:val="0"/>
                <w:color w:val="auto"/>
                <w:kern w:val="0"/>
                <w:sz w:val="21"/>
                <w:szCs w:val="21"/>
                <w:highlight w:val="none"/>
                <w:u w:val="none"/>
                <w:lang w:val="en-US" w:eastAsia="zh-CN" w:bidi="ar"/>
              </w:rPr>
              <w:t>分；</w:t>
            </w:r>
          </w:p>
          <w:p>
            <w:pPr>
              <w:keepNext w:val="0"/>
              <w:keepLines w:val="0"/>
              <w:widowControl/>
              <w:suppressLineNumbers w:val="0"/>
              <w:spacing w:line="240" w:lineRule="auto"/>
              <w:jc w:val="left"/>
              <w:textAlignment w:val="center"/>
              <w:rPr>
                <w:rFonts w:hint="eastAsia" w:ascii="宋体" w:hAnsi="宋体" w:eastAsia="宋体" w:cs="宋体"/>
                <w:b/>
                <w:bCs/>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培训方案有欠缺的0-</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 xml:space="preserve">分。          </w:t>
            </w:r>
          </w:p>
        </w:tc>
        <w:tc>
          <w:tcPr>
            <w:tcW w:w="679" w:type="dxa"/>
            <w:vAlign w:val="center"/>
          </w:tcPr>
          <w:p>
            <w:pPr>
              <w:widowControl/>
              <w:spacing w:line="240" w:lineRule="auto"/>
              <w:ind w:right="3"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654" w:type="dxa"/>
            <w:vMerge w:val="continue"/>
            <w:vAlign w:val="center"/>
          </w:tcPr>
          <w:p>
            <w:pPr>
              <w:widowControl/>
              <w:spacing w:line="240" w:lineRule="auto"/>
              <w:ind w:right="3" w:rightChars="0"/>
              <w:jc w:val="both"/>
              <w:rPr>
                <w:rFonts w:hint="eastAsia" w:ascii="宋体" w:hAnsi="宋体" w:eastAsia="宋体" w:cs="宋体"/>
                <w:color w:val="auto"/>
                <w:kern w:val="0"/>
                <w:sz w:val="21"/>
                <w:szCs w:val="21"/>
                <w:highlight w:val="none"/>
              </w:rPr>
            </w:pPr>
          </w:p>
        </w:tc>
        <w:tc>
          <w:tcPr>
            <w:tcW w:w="6805" w:type="dxa"/>
            <w:vAlign w:val="center"/>
          </w:tcPr>
          <w:p>
            <w:pPr>
              <w:keepNext w:val="0"/>
              <w:keepLines w:val="0"/>
              <w:widowControl/>
              <w:suppressLineNumbers w:val="0"/>
              <w:spacing w:line="240" w:lineRule="auto"/>
              <w:jc w:val="left"/>
              <w:textAlignment w:val="center"/>
              <w:rPr>
                <w:rFonts w:hint="eastAsia" w:ascii="宋体" w:hAnsi="宋体" w:eastAsia="宋体" w:cs="宋体"/>
                <w:b/>
                <w:bCs/>
                <w:color w:val="auto"/>
                <w:kern w:val="0"/>
                <w:sz w:val="21"/>
                <w:szCs w:val="21"/>
                <w:highlight w:val="none"/>
              </w:rPr>
            </w:pPr>
            <w:r>
              <w:rPr>
                <w:rFonts w:hint="eastAsia" w:ascii="宋体" w:hAnsi="宋体" w:cs="宋体"/>
                <w:i w:val="0"/>
                <w:iCs w:val="0"/>
                <w:color w:val="auto"/>
                <w:kern w:val="0"/>
                <w:sz w:val="21"/>
                <w:szCs w:val="21"/>
                <w:highlight w:val="none"/>
                <w:u w:val="none"/>
                <w:lang w:val="en-US" w:eastAsia="zh-CN" w:bidi="ar"/>
              </w:rPr>
              <w:t>投标人</w:t>
            </w:r>
            <w:r>
              <w:rPr>
                <w:rFonts w:hint="eastAsia" w:ascii="宋体" w:hAnsi="宋体" w:eastAsia="宋体" w:cs="宋体"/>
                <w:i w:val="0"/>
                <w:iCs w:val="0"/>
                <w:color w:val="auto"/>
                <w:kern w:val="0"/>
                <w:sz w:val="21"/>
                <w:szCs w:val="21"/>
                <w:highlight w:val="none"/>
                <w:u w:val="none"/>
                <w:lang w:val="en-US" w:eastAsia="zh-CN" w:bidi="ar"/>
              </w:rPr>
              <w:t>是否能提供多种培训方式，方便使用者参加培训。2种以上得2分，2种（含）以下得0-1分</w:t>
            </w:r>
            <w:r>
              <w:rPr>
                <w:rFonts w:hint="eastAsia" w:ascii="宋体" w:hAnsi="宋体" w:cs="宋体"/>
                <w:i w:val="0"/>
                <w:iCs w:val="0"/>
                <w:color w:val="auto"/>
                <w:kern w:val="0"/>
                <w:sz w:val="21"/>
                <w:szCs w:val="21"/>
                <w:highlight w:val="none"/>
                <w:u w:val="none"/>
                <w:lang w:val="en-US" w:eastAsia="zh-CN" w:bidi="ar"/>
              </w:rPr>
              <w:t>。</w:t>
            </w:r>
          </w:p>
        </w:tc>
        <w:tc>
          <w:tcPr>
            <w:tcW w:w="679" w:type="dxa"/>
            <w:vAlign w:val="center"/>
          </w:tcPr>
          <w:p>
            <w:pPr>
              <w:widowControl/>
              <w:spacing w:line="240" w:lineRule="auto"/>
              <w:ind w:right="3"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654" w:type="dxa"/>
            <w:vAlign w:val="center"/>
          </w:tcPr>
          <w:p>
            <w:pPr>
              <w:spacing w:line="240" w:lineRule="auto"/>
              <w:jc w:val="center"/>
              <w:rPr>
                <w:rFonts w:hint="eastAsia" w:ascii="宋体" w:hAnsi="宋体" w:eastAsia="宋体" w:cs="宋体"/>
                <w:color w:val="auto"/>
                <w:kern w:val="0"/>
                <w:sz w:val="21"/>
                <w:szCs w:val="21"/>
                <w:highlight w:val="none"/>
              </w:rPr>
            </w:pPr>
            <w:r>
              <w:rPr>
                <w:rFonts w:hint="eastAsia" w:ascii="宋体" w:hAnsi="宋体"/>
                <w:color w:val="auto"/>
                <w:szCs w:val="21"/>
                <w:highlight w:val="none"/>
              </w:rPr>
              <w:t>本地化服务</w:t>
            </w:r>
          </w:p>
        </w:tc>
        <w:tc>
          <w:tcPr>
            <w:tcW w:w="6805" w:type="dxa"/>
            <w:vAlign w:val="center"/>
          </w:tcPr>
          <w:p>
            <w:pPr>
              <w:widowControl/>
              <w:spacing w:line="240" w:lineRule="auto"/>
              <w:jc w:val="left"/>
              <w:rPr>
                <w:rFonts w:ascii="宋体" w:hAnsi="宋体" w:cs="宋体"/>
                <w:color w:val="auto"/>
                <w:kern w:val="0"/>
                <w:szCs w:val="21"/>
                <w:highlight w:val="none"/>
              </w:rPr>
            </w:pPr>
            <w:r>
              <w:rPr>
                <w:rFonts w:hint="eastAsia" w:ascii="宋体" w:hAnsi="宋体"/>
                <w:color w:val="auto"/>
                <w:highlight w:val="none"/>
              </w:rPr>
              <w:t>1.供应商承诺中标后在常山县设有营业性机构或注册直属分公司的得</w:t>
            </w:r>
            <w:r>
              <w:rPr>
                <w:rFonts w:hint="eastAsia" w:ascii="宋体" w:hAnsi="宋体"/>
                <w:color w:val="auto"/>
                <w:highlight w:val="none"/>
                <w:lang w:val="en-US" w:eastAsia="zh-CN"/>
              </w:rPr>
              <w:t>4</w:t>
            </w:r>
            <w:r>
              <w:rPr>
                <w:rFonts w:hint="eastAsia" w:ascii="宋体" w:hAnsi="宋体"/>
                <w:color w:val="auto"/>
                <w:highlight w:val="none"/>
              </w:rPr>
              <w:t>分。</w:t>
            </w:r>
            <w:r>
              <w:rPr>
                <w:rFonts w:hint="eastAsia" w:ascii="宋体" w:hAnsi="宋体"/>
                <w:b/>
                <w:bCs/>
                <w:color w:val="auto"/>
                <w:highlight w:val="none"/>
              </w:rPr>
              <w:t>提供已注册的提供营业执照原件扫描件或承诺书（格式自拟），</w:t>
            </w:r>
            <w:r>
              <w:rPr>
                <w:rFonts w:hint="eastAsia" w:ascii="宋体" w:hAnsi="宋体"/>
                <w:b/>
                <w:bCs/>
                <w:color w:val="auto"/>
                <w:highlight w:val="none"/>
                <w:lang w:val="en-US" w:eastAsia="zh-CN"/>
              </w:rPr>
              <w:t>未</w:t>
            </w:r>
            <w:r>
              <w:rPr>
                <w:rFonts w:hint="eastAsia" w:ascii="宋体" w:hAnsi="宋体"/>
                <w:b/>
                <w:bCs/>
                <w:color w:val="auto"/>
                <w:highlight w:val="none"/>
              </w:rPr>
              <w:t>提供不得分。</w:t>
            </w:r>
          </w:p>
          <w:p>
            <w:pPr>
              <w:spacing w:line="240" w:lineRule="auto"/>
              <w:rPr>
                <w:rFonts w:hint="eastAsia" w:ascii="宋体" w:hAnsi="宋体" w:eastAsia="宋体" w:cs="宋体"/>
                <w:b/>
                <w:bCs/>
                <w:color w:val="auto"/>
                <w:kern w:val="0"/>
                <w:sz w:val="21"/>
                <w:szCs w:val="21"/>
                <w:highlight w:val="none"/>
                <w:lang w:eastAsia="zh-CN"/>
              </w:rPr>
            </w:pPr>
            <w:r>
              <w:rPr>
                <w:rFonts w:ascii="宋体" w:hAnsi="宋体" w:cs="宋体"/>
                <w:color w:val="auto"/>
                <w:szCs w:val="21"/>
                <w:highlight w:val="none"/>
              </w:rPr>
              <w:t>2.</w:t>
            </w:r>
            <w:r>
              <w:rPr>
                <w:rFonts w:hint="eastAsia" w:ascii="宋体" w:hAnsi="宋体" w:cs="宋体"/>
                <w:color w:val="auto"/>
                <w:szCs w:val="21"/>
                <w:highlight w:val="none"/>
              </w:rPr>
              <w:t>对供应商提供的运维保障体系进行综合评分（包括本地化服务网点情况、售后维护点距离、拟投入售后服务人员和车辆情况运维能力）（</w:t>
            </w:r>
            <w:r>
              <w:rPr>
                <w:rFonts w:ascii="宋体" w:hAnsi="宋体" w:cs="宋体"/>
                <w:color w:val="auto"/>
                <w:szCs w:val="21"/>
                <w:highlight w:val="none"/>
              </w:rPr>
              <w:t>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c>
          <w:tcPr>
            <w:tcW w:w="679" w:type="dxa"/>
            <w:vAlign w:val="center"/>
          </w:tcPr>
          <w:p>
            <w:pPr>
              <w:spacing w:line="240" w:lineRule="auto"/>
              <w:jc w:val="center"/>
              <w:rPr>
                <w:rFonts w:hint="default" w:ascii="宋体" w:hAnsi="宋体" w:cs="宋体" w:eastAsiaTheme="minorEastAsia"/>
                <w:color w:val="auto"/>
                <w:sz w:val="21"/>
                <w:szCs w:val="21"/>
                <w:highlight w:val="none"/>
                <w:lang w:val="en-US" w:eastAsia="zh-CN"/>
              </w:rPr>
            </w:pPr>
            <w:bookmarkStart w:id="371" w:name="_GoBack"/>
            <w:bookmarkEnd w:id="371"/>
            <w:r>
              <w:rPr>
                <w:rFonts w:hint="eastAsia" w:ascii="宋体" w:hAnsi="宋体" w:cs="宋体" w:eastAsiaTheme="minorEastAsia"/>
                <w:color w:val="auto"/>
                <w:kern w:val="0"/>
                <w:szCs w:val="21"/>
                <w:highlight w:val="no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2654" w:type="dxa"/>
            <w:vAlign w:val="center"/>
          </w:tcPr>
          <w:p>
            <w:pPr>
              <w:widowControl/>
              <w:spacing w:line="240" w:lineRule="auto"/>
              <w:ind w:right="3" w:rightChars="0" w:firstLine="105" w:firstLineChars="5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系统演示</w:t>
            </w:r>
          </w:p>
        </w:tc>
        <w:tc>
          <w:tcPr>
            <w:tcW w:w="6805" w:type="dxa"/>
            <w:vAlign w:val="center"/>
          </w:tcPr>
          <w:p>
            <w:pPr>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投标人</w:t>
            </w:r>
            <w:r>
              <w:rPr>
                <w:rFonts w:hint="eastAsia" w:asciiTheme="minorEastAsia" w:hAnsiTheme="minorEastAsia" w:eastAsiaTheme="minorEastAsia" w:cstheme="minorEastAsia"/>
                <w:b w:val="0"/>
                <w:bCs w:val="0"/>
                <w:color w:val="auto"/>
                <w:highlight w:val="none"/>
              </w:rPr>
              <w:t>对</w:t>
            </w:r>
            <w:r>
              <w:rPr>
                <w:rFonts w:hint="eastAsia" w:asciiTheme="minorEastAsia" w:hAnsiTheme="minorEastAsia" w:eastAsiaTheme="minorEastAsia" w:cstheme="minorEastAsia"/>
                <w:b w:val="0"/>
                <w:bCs w:val="0"/>
                <w:color w:val="auto"/>
                <w:highlight w:val="none"/>
                <w:lang w:val="en-US" w:eastAsia="zh-CN"/>
              </w:rPr>
              <w:t>本项目建设的主体，即爱常山U点通APP进行录屏</w:t>
            </w:r>
            <w:r>
              <w:rPr>
                <w:rFonts w:hint="eastAsia" w:asciiTheme="minorEastAsia" w:hAnsiTheme="minorEastAsia" w:eastAsiaTheme="minorEastAsia" w:cstheme="minorEastAsia"/>
                <w:b w:val="0"/>
                <w:bCs w:val="0"/>
                <w:color w:val="auto"/>
                <w:highlight w:val="none"/>
              </w:rPr>
              <w:t>演示与讲解。磋商小组根据讲解内容及演示效果进行综合评分，演示环境需为真实系统，采用PPT、静态网页、原型demo等其他方式的不得分</w:t>
            </w:r>
            <w:r>
              <w:rPr>
                <w:rFonts w:hint="eastAsia" w:asciiTheme="minorEastAsia" w:hAnsiTheme="minorEastAsia" w:eastAsiaTheme="minorEastAsia" w:cstheme="minorEastAsia"/>
                <w:b w:val="0"/>
                <w:bCs w:val="0"/>
                <w:color w:val="auto"/>
                <w:highlight w:val="none"/>
                <w:lang w:eastAsia="zh-CN"/>
              </w:rPr>
              <w:t>。</w:t>
            </w:r>
            <w:r>
              <w:rPr>
                <w:rFonts w:hint="eastAsia" w:asciiTheme="minorEastAsia" w:hAnsiTheme="minorEastAsia" w:eastAsiaTheme="minorEastAsia" w:cstheme="minorEastAsia"/>
                <w:b w:val="0"/>
                <w:bCs w:val="0"/>
                <w:color w:val="auto"/>
                <w:highlight w:val="none"/>
                <w:lang w:val="en-US" w:eastAsia="zh-CN"/>
              </w:rPr>
              <w:t>整个录屏演示时间不超过20分钟</w:t>
            </w:r>
            <w:r>
              <w:rPr>
                <w:rFonts w:hint="eastAsia" w:asciiTheme="minorEastAsia" w:hAnsiTheme="minorEastAsia" w:eastAsiaTheme="minorEastAsia" w:cstheme="minorEastAsia"/>
                <w:b w:val="0"/>
                <w:bCs w:val="0"/>
                <w:color w:val="auto"/>
                <w:highlight w:val="none"/>
              </w:rPr>
              <w:t>。以下功能按照演示效果与</w:t>
            </w:r>
            <w:r>
              <w:rPr>
                <w:rFonts w:hint="eastAsia" w:asciiTheme="minorEastAsia" w:hAnsiTheme="minorEastAsia" w:eastAsiaTheme="minorEastAsia" w:cstheme="minorEastAsia"/>
                <w:b w:val="0"/>
                <w:bCs w:val="0"/>
                <w:color w:val="auto"/>
                <w:highlight w:val="none"/>
                <w:lang w:val="en-US" w:eastAsia="zh-CN"/>
              </w:rPr>
              <w:t>本项目</w:t>
            </w:r>
            <w:r>
              <w:rPr>
                <w:rFonts w:hint="eastAsia" w:asciiTheme="minorEastAsia" w:hAnsiTheme="minorEastAsia" w:eastAsiaTheme="minorEastAsia" w:cstheme="minorEastAsia"/>
                <w:b w:val="0"/>
                <w:bCs w:val="0"/>
                <w:color w:val="auto"/>
                <w:highlight w:val="none"/>
              </w:rPr>
              <w:t>实际情况契合度评分。</w:t>
            </w:r>
          </w:p>
          <w:p>
            <w:pPr>
              <w:widowControl/>
              <w:spacing w:line="240" w:lineRule="auto"/>
              <w:jc w:val="left"/>
              <w:rPr>
                <w:rFonts w:hint="eastAsia" w:asciiTheme="minorEastAsia" w:hAnsiTheme="minorEastAsia" w:eastAsiaTheme="minorEastAsia" w:cstheme="minorEastAsia"/>
                <w:b w:val="0"/>
                <w:bCs w:val="0"/>
                <w:color w:val="auto"/>
                <w:highlight w:val="none"/>
                <w:lang w:val="en-US" w:eastAsia="zh-CN"/>
              </w:rPr>
            </w:pPr>
            <w:r>
              <w:rPr>
                <w:rFonts w:hint="eastAsia" w:asciiTheme="minorEastAsia" w:hAnsiTheme="minorEastAsia" w:eastAsiaTheme="minorEastAsia" w:cstheme="minorEastAsia"/>
                <w:b w:val="0"/>
                <w:bCs w:val="0"/>
                <w:color w:val="auto"/>
                <w:highlight w:val="none"/>
                <w:lang w:val="en-US" w:eastAsia="zh-CN"/>
              </w:rPr>
              <w:t>主要演示内容及要求如下:</w:t>
            </w:r>
          </w:p>
          <w:p>
            <w:pPr>
              <w:pStyle w:val="4"/>
              <w:numPr>
                <w:ilvl w:val="0"/>
                <w:numId w:val="0"/>
              </w:numPr>
              <w:spacing w:line="240" w:lineRule="auto"/>
              <w:jc w:val="both"/>
              <w:rPr>
                <w:rFonts w:hint="eastAsia" w:asciiTheme="minorEastAsia" w:hAnsiTheme="minorEastAsia" w:eastAsiaTheme="minorEastAsia" w:cstheme="minorEastAsia"/>
                <w:b w:val="0"/>
                <w:bCs w:val="0"/>
                <w:color w:val="auto"/>
                <w:highlight w:val="none"/>
                <w:lang w:val="en-US" w:eastAsia="zh-CN"/>
              </w:rPr>
            </w:pPr>
            <w:r>
              <w:rPr>
                <w:rFonts w:hint="eastAsia" w:asciiTheme="minorEastAsia" w:hAnsiTheme="minorEastAsia" w:eastAsiaTheme="minorEastAsia" w:cstheme="minorEastAsia"/>
                <w:b w:val="0"/>
                <w:bCs w:val="0"/>
                <w:color w:val="auto"/>
                <w:highlight w:val="none"/>
                <w:lang w:val="en-US" w:eastAsia="zh-CN"/>
              </w:rPr>
              <w:t>1.演示APP整体排版设计以及交互界面设计。符合招标文件要求，版面</w:t>
            </w:r>
          </w:p>
          <w:p>
            <w:pPr>
              <w:numPr>
                <w:ilvl w:val="0"/>
                <w:numId w:val="0"/>
              </w:numPr>
              <w:spacing w:line="240" w:lineRule="auto"/>
              <w:rPr>
                <w:rFonts w:hint="eastAsia" w:asciiTheme="minorEastAsia" w:hAnsiTheme="minorEastAsia" w:eastAsiaTheme="minorEastAsia" w:cstheme="minorEastAsia"/>
                <w:b w:val="0"/>
                <w:bCs w:val="0"/>
                <w:color w:val="auto"/>
                <w:highlight w:val="none"/>
                <w:lang w:val="en-US" w:eastAsia="zh-CN"/>
              </w:rPr>
            </w:pPr>
            <w:r>
              <w:rPr>
                <w:rFonts w:hint="eastAsia" w:asciiTheme="minorEastAsia" w:hAnsiTheme="minorEastAsia" w:eastAsiaTheme="minorEastAsia" w:cstheme="minorEastAsia"/>
                <w:b w:val="0"/>
                <w:bCs w:val="0"/>
                <w:color w:val="auto"/>
                <w:highlight w:val="none"/>
                <w:lang w:val="en-US" w:eastAsia="zh-CN"/>
              </w:rPr>
              <w:t>设计美观，功能齐全，交互友好的，得3分，设计一般，功能不完善的得0-2分；</w:t>
            </w:r>
          </w:p>
          <w:p>
            <w:pPr>
              <w:pStyle w:val="4"/>
              <w:numPr>
                <w:ilvl w:val="0"/>
                <w:numId w:val="0"/>
              </w:numPr>
              <w:spacing w:line="240" w:lineRule="auto"/>
              <w:ind w:leftChars="0"/>
              <w:jc w:val="both"/>
              <w:rPr>
                <w:rFonts w:hint="eastAsia" w:asciiTheme="minorEastAsia" w:hAnsiTheme="minorEastAsia" w:eastAsiaTheme="minorEastAsia" w:cstheme="minorEastAsia"/>
                <w:b w:val="0"/>
                <w:bCs w:val="0"/>
                <w:color w:val="auto"/>
                <w:highlight w:val="none"/>
                <w:lang w:val="en-US" w:eastAsia="zh-CN"/>
              </w:rPr>
            </w:pPr>
            <w:r>
              <w:rPr>
                <w:rFonts w:hint="eastAsia" w:asciiTheme="minorEastAsia" w:hAnsiTheme="minorEastAsia" w:eastAsiaTheme="minorEastAsia" w:cstheme="minorEastAsia"/>
                <w:b w:val="0"/>
                <w:bCs w:val="0"/>
                <w:color w:val="auto"/>
                <w:highlight w:val="none"/>
                <w:lang w:val="en-US" w:eastAsia="zh-CN"/>
              </w:rPr>
              <w:t>2.演示“服务”版块具体功能，至少需要点击2个应用模块，进入二级页面进行演示。符合招标文件要求的，功能完整，描述清晰的得3分，功能不够完整，描述不够清晰的得0-2分；</w:t>
            </w:r>
          </w:p>
          <w:p>
            <w:pPr>
              <w:numPr>
                <w:ilvl w:val="0"/>
                <w:numId w:val="0"/>
              </w:numPr>
              <w:spacing w:line="240" w:lineRule="auto"/>
              <w:ind w:leftChars="0"/>
              <w:rPr>
                <w:rFonts w:hint="eastAsia" w:asciiTheme="minorEastAsia" w:hAnsiTheme="minorEastAsia" w:eastAsiaTheme="minorEastAsia" w:cstheme="minorEastAsia"/>
                <w:b w:val="0"/>
                <w:bCs w:val="0"/>
                <w:color w:val="auto"/>
                <w:highlight w:val="none"/>
                <w:lang w:val="en-US" w:eastAsia="zh-CN"/>
              </w:rPr>
            </w:pPr>
            <w:r>
              <w:rPr>
                <w:rFonts w:hint="eastAsia" w:asciiTheme="minorEastAsia" w:hAnsiTheme="minorEastAsia" w:eastAsiaTheme="minorEastAsia" w:cstheme="minorEastAsia"/>
                <w:b w:val="0"/>
                <w:bCs w:val="0"/>
                <w:color w:val="auto"/>
                <w:highlight w:val="none"/>
                <w:lang w:val="en-US" w:eastAsia="zh-CN"/>
              </w:rPr>
              <w:t>3.演示“智治”版块具体功能，包含党建、平安、经济三大功能模块归集的应用，以及通知公告、部门发布类应用。符合招标文件要求的，功能完善，描述清晰的得3分，功能不够完整，描述不够清晰的得0-2分；</w:t>
            </w:r>
          </w:p>
          <w:p>
            <w:pPr>
              <w:pStyle w:val="4"/>
              <w:numPr>
                <w:ilvl w:val="0"/>
                <w:numId w:val="0"/>
              </w:numPr>
              <w:spacing w:line="240" w:lineRule="auto"/>
              <w:ind w:leftChars="0"/>
              <w:jc w:val="both"/>
              <w:rPr>
                <w:rFonts w:hint="eastAsia" w:asciiTheme="minorEastAsia" w:hAnsiTheme="minorEastAsia" w:eastAsiaTheme="minorEastAsia" w:cstheme="minorEastAsia"/>
                <w:b w:val="0"/>
                <w:bCs w:val="0"/>
                <w:color w:val="auto"/>
                <w:highlight w:val="none"/>
                <w:lang w:val="en-US" w:eastAsia="zh-CN"/>
              </w:rPr>
            </w:pPr>
            <w:r>
              <w:rPr>
                <w:rFonts w:hint="eastAsia" w:asciiTheme="minorEastAsia" w:hAnsiTheme="minorEastAsia" w:eastAsiaTheme="minorEastAsia" w:cstheme="minorEastAsia"/>
                <w:b w:val="0"/>
                <w:bCs w:val="0"/>
                <w:color w:val="auto"/>
                <w:highlight w:val="none"/>
                <w:lang w:val="en-US" w:eastAsia="zh-CN"/>
              </w:rPr>
              <w:t>4.演示“媒体”版块具体功能，包含媒体版块7大栏目的应用和内容归集，以及相关新建栏目。符合招标文件要求的，功能完善，描述清晰的得3分，功能不够完整，描述不够清晰的得0-2分；</w:t>
            </w:r>
          </w:p>
          <w:p>
            <w:pPr>
              <w:numPr>
                <w:ilvl w:val="0"/>
                <w:numId w:val="0"/>
              </w:numPr>
              <w:spacing w:line="240" w:lineRule="auto"/>
              <w:ind w:leftChars="0"/>
              <w:rPr>
                <w:rFonts w:hint="eastAsia"/>
                <w:color w:val="auto"/>
                <w:highlight w:val="none"/>
                <w:lang w:val="en-US" w:eastAsia="zh-CN"/>
              </w:rPr>
            </w:pPr>
            <w:r>
              <w:rPr>
                <w:rFonts w:hint="eastAsia" w:asciiTheme="minorEastAsia" w:hAnsiTheme="minorEastAsia" w:eastAsiaTheme="minorEastAsia" w:cstheme="minorEastAsia"/>
                <w:b w:val="0"/>
                <w:bCs w:val="0"/>
                <w:color w:val="auto"/>
                <w:highlight w:val="none"/>
                <w:lang w:val="en-US" w:eastAsia="zh-CN"/>
              </w:rPr>
              <w:t>5.演示个人中心“我的”板块具体功能，包含用户基本数据、用户个性应用、平台定义应用等功能。符合招标文件要求的，功能完善，描述清晰的得3分，功能不够完整，描述不够清晰的得0-2分。</w:t>
            </w:r>
          </w:p>
        </w:tc>
        <w:tc>
          <w:tcPr>
            <w:tcW w:w="679" w:type="dxa"/>
            <w:vAlign w:val="center"/>
          </w:tcPr>
          <w:p>
            <w:pPr>
              <w:widowControl/>
              <w:spacing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15分</w:t>
            </w:r>
          </w:p>
        </w:tc>
      </w:tr>
    </w:tbl>
    <w:p>
      <w:pPr>
        <w:spacing w:line="336" w:lineRule="auto"/>
        <w:textAlignment w:val="baseline"/>
        <w:rPr>
          <w:rFonts w:hint="default"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注：演示视频在2022年   月   日17:00送至招标代理机构处，采用邮寄方式，邮寄地址：常山县文峰西路222号，吴美娟（收），联系电话：13157029767。</w:t>
      </w:r>
    </w:p>
    <w:p>
      <w:pPr>
        <w:spacing w:line="336" w:lineRule="auto"/>
        <w:textAlignment w:val="baseline"/>
        <w:rPr>
          <w:rFonts w:ascii="宋体" w:hAnsi="宋体" w:cs="宋体"/>
          <w:b/>
          <w:color w:val="auto"/>
          <w:sz w:val="20"/>
          <w:szCs w:val="21"/>
          <w:highlight w:val="none"/>
        </w:rPr>
      </w:pPr>
      <w:r>
        <w:rPr>
          <w:rFonts w:hint="eastAsia" w:ascii="宋体" w:hAnsi="宋体" w:cs="宋体"/>
          <w:b/>
          <w:bCs/>
          <w:color w:val="auto"/>
          <w:highlight w:val="none"/>
        </w:rPr>
        <w:t>四、</w:t>
      </w:r>
      <w:r>
        <w:rPr>
          <w:rFonts w:hint="eastAsia" w:ascii="宋体" w:hAnsi="宋体" w:cs="宋体"/>
          <w:b/>
          <w:color w:val="auto"/>
          <w:szCs w:val="21"/>
          <w:highlight w:val="none"/>
        </w:rPr>
        <w:t>定标办法</w:t>
      </w:r>
    </w:p>
    <w:p>
      <w:pPr>
        <w:spacing w:line="360" w:lineRule="auto"/>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1.本次招标由磋商小组推荐1名成交候选人，采购单位根据磋商小组的推荐结果进行最终确认。</w:t>
      </w:r>
    </w:p>
    <w:p>
      <w:pPr>
        <w:tabs>
          <w:tab w:val="left" w:pos="540"/>
        </w:tabs>
        <w:spacing w:line="336" w:lineRule="auto"/>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2.磋商小组依据法律、法规及招标文件有关规定在有效标中按投标人的最终得分【即技术资信分与报价分之和】）由高到低进行排序，综合得分最高的投标人作为本项目的成交候选人（得分相同的，按投标报价由低到高顺序排列；得分且投标报价相同的，由招标人现场抽签产生成交候选人）。</w:t>
      </w:r>
    </w:p>
    <w:p>
      <w:pPr>
        <w:tabs>
          <w:tab w:val="left" w:pos="540"/>
        </w:tabs>
        <w:spacing w:line="336" w:lineRule="auto"/>
        <w:ind w:firstLine="420" w:firstLineChars="200"/>
        <w:textAlignment w:val="baseline"/>
        <w:rPr>
          <w:rFonts w:ascii="宋体" w:hAnsi="宋体" w:cs="宋体"/>
          <w:color w:val="auto"/>
          <w:sz w:val="20"/>
          <w:highlight w:val="none"/>
        </w:rPr>
      </w:pPr>
      <w:r>
        <w:rPr>
          <w:rFonts w:hint="eastAsia" w:ascii="宋体" w:hAnsi="宋体" w:cs="宋体"/>
          <w:color w:val="auto"/>
          <w:szCs w:val="21"/>
          <w:highlight w:val="none"/>
        </w:rPr>
        <w:t>3.排名第一的成交候选人因不可抗力提出不能履行合同；或未能在规定时间内与采购单位签订合同的；或者经质疑，采购单位审查后，确因排名第一的候选人在本次采购活动中存在违法违规行为或其他原因使质疑成立的，采购单位将重新组织招标。</w:t>
      </w:r>
    </w:p>
    <w:p>
      <w:pPr>
        <w:snapToGrid w:val="0"/>
        <w:spacing w:line="540" w:lineRule="exact"/>
        <w:textAlignment w:val="baseline"/>
        <w:rPr>
          <w:rFonts w:ascii="宋体" w:hAnsi="宋体" w:cs="宋体"/>
          <w:b/>
          <w:bCs/>
          <w:color w:val="auto"/>
          <w:sz w:val="20"/>
          <w:szCs w:val="21"/>
          <w:highlight w:val="none"/>
          <w:lang w:val="zh-CN"/>
        </w:rPr>
      </w:pPr>
      <w:r>
        <w:rPr>
          <w:rFonts w:hint="eastAsia" w:ascii="宋体" w:hAnsi="宋体" w:cs="宋体"/>
          <w:b/>
          <w:bCs/>
          <w:color w:val="auto"/>
          <w:szCs w:val="21"/>
          <w:highlight w:val="none"/>
        </w:rPr>
        <w:t>五</w:t>
      </w:r>
      <w:r>
        <w:rPr>
          <w:rFonts w:hint="eastAsia" w:ascii="宋体" w:hAnsi="宋体" w:cs="宋体"/>
          <w:b/>
          <w:bCs/>
          <w:color w:val="auto"/>
          <w:szCs w:val="21"/>
          <w:highlight w:val="none"/>
          <w:lang w:val="zh-CN"/>
        </w:rPr>
        <w:t>、</w:t>
      </w:r>
      <w:bookmarkStart w:id="338" w:name="注意事项"/>
      <w:r>
        <w:rPr>
          <w:rFonts w:hint="eastAsia" w:ascii="宋体" w:hAnsi="宋体" w:cs="宋体"/>
          <w:b/>
          <w:bCs/>
          <w:color w:val="auto"/>
          <w:szCs w:val="21"/>
          <w:highlight w:val="none"/>
          <w:lang w:val="zh-CN"/>
        </w:rPr>
        <w:t>注意事项</w:t>
      </w:r>
      <w:bookmarkEnd w:id="338"/>
    </w:p>
    <w:p>
      <w:pPr>
        <w:snapToGrid w:val="0"/>
        <w:spacing w:line="5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评审时磋商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磋商小组应当将其作为无效投标处理。</w:t>
      </w:r>
    </w:p>
    <w:p>
      <w:pPr>
        <w:snapToGrid w:val="0"/>
        <w:spacing w:line="540" w:lineRule="exact"/>
        <w:textAlignment w:val="baseline"/>
        <w:rPr>
          <w:rFonts w:ascii="宋体" w:hAnsi="宋体" w:cs="宋体"/>
          <w:b/>
          <w:color w:val="auto"/>
          <w:sz w:val="20"/>
          <w:szCs w:val="21"/>
          <w:highlight w:val="none"/>
        </w:rPr>
      </w:pPr>
      <w:r>
        <w:rPr>
          <w:rFonts w:hint="eastAsia" w:ascii="宋体" w:hAnsi="宋体" w:cs="宋体"/>
          <w:b/>
          <w:color w:val="auto"/>
          <w:szCs w:val="21"/>
          <w:highlight w:val="none"/>
        </w:rPr>
        <w:t>六、</w:t>
      </w:r>
      <w:bookmarkStart w:id="339" w:name="_Toc221356905"/>
      <w:bookmarkStart w:id="340" w:name="_Toc221356968"/>
      <w:r>
        <w:rPr>
          <w:rFonts w:hint="eastAsia" w:ascii="宋体" w:hAnsi="宋体" w:cs="宋体"/>
          <w:b/>
          <w:color w:val="auto"/>
          <w:szCs w:val="21"/>
          <w:highlight w:val="none"/>
        </w:rPr>
        <w:t>投标人义务</w:t>
      </w:r>
      <w:bookmarkEnd w:id="339"/>
      <w:bookmarkEnd w:id="340"/>
    </w:p>
    <w:p>
      <w:pPr>
        <w:spacing w:line="336" w:lineRule="auto"/>
        <w:ind w:left="439" w:leftChars="209"/>
        <w:textAlignment w:val="baseline"/>
        <w:rPr>
          <w:rFonts w:ascii="宋体" w:hAnsi="宋体" w:cs="宋体"/>
          <w:color w:val="auto"/>
          <w:sz w:val="20"/>
          <w:szCs w:val="21"/>
          <w:highlight w:val="none"/>
        </w:rPr>
      </w:pPr>
      <w:r>
        <w:rPr>
          <w:rFonts w:hint="eastAsia" w:ascii="宋体" w:hAnsi="宋体" w:cs="宋体"/>
          <w:color w:val="auto"/>
          <w:szCs w:val="21"/>
          <w:highlight w:val="none"/>
        </w:rPr>
        <w:t>投标人应随时接受磋商小组的询标，解答包括有关的商务、技术问题等。评标结束，所有评标资料存招标</w:t>
      </w:r>
    </w:p>
    <w:p>
      <w:pPr>
        <w:spacing w:line="336" w:lineRule="auto"/>
        <w:textAlignment w:val="baseline"/>
        <w:rPr>
          <w:rFonts w:ascii="宋体" w:hAnsi="宋体" w:cs="宋体"/>
          <w:color w:val="auto"/>
          <w:sz w:val="32"/>
          <w:szCs w:val="32"/>
          <w:highlight w:val="none"/>
        </w:rPr>
      </w:pPr>
      <w:r>
        <w:rPr>
          <w:rFonts w:hint="eastAsia" w:ascii="宋体" w:hAnsi="宋体" w:cs="宋体"/>
          <w:color w:val="auto"/>
          <w:szCs w:val="21"/>
          <w:highlight w:val="none"/>
        </w:rPr>
        <w:t>人备查。</w:t>
      </w:r>
    </w:p>
    <w:p>
      <w:pPr>
        <w:spacing w:line="360" w:lineRule="auto"/>
        <w:jc w:val="center"/>
        <w:textAlignment w:val="baseline"/>
        <w:rPr>
          <w:rFonts w:ascii="宋体" w:hAnsi="宋体" w:cs="宋体"/>
          <w:color w:val="auto"/>
          <w:sz w:val="32"/>
          <w:szCs w:val="32"/>
          <w:highlight w:val="none"/>
        </w:rPr>
      </w:pPr>
      <w:r>
        <w:rPr>
          <w:rFonts w:hint="eastAsia" w:ascii="宋体" w:hAnsi="宋体" w:cs="宋体"/>
          <w:color w:val="auto"/>
          <w:sz w:val="32"/>
          <w:szCs w:val="32"/>
          <w:highlight w:val="none"/>
        </w:rPr>
        <w:br w:type="page"/>
      </w:r>
    </w:p>
    <w:p>
      <w:pPr>
        <w:spacing w:line="360" w:lineRule="auto"/>
        <w:jc w:val="center"/>
        <w:textAlignment w:val="baseline"/>
        <w:outlineLvl w:val="0"/>
        <w:rPr>
          <w:rFonts w:ascii="宋体" w:hAnsi="宋体" w:cs="宋体"/>
          <w:b/>
          <w:bCs/>
          <w:color w:val="auto"/>
          <w:sz w:val="36"/>
          <w:szCs w:val="36"/>
          <w:highlight w:val="none"/>
        </w:rPr>
      </w:pPr>
      <w:bookmarkStart w:id="341" w:name="_Toc4286"/>
      <w:r>
        <w:rPr>
          <w:rFonts w:hint="eastAsia" w:ascii="宋体" w:hAnsi="宋体" w:cs="宋体"/>
          <w:b/>
          <w:bCs/>
          <w:color w:val="auto"/>
          <w:sz w:val="32"/>
          <w:szCs w:val="32"/>
          <w:highlight w:val="none"/>
        </w:rPr>
        <w:t>第六章   响应文件格式</w:t>
      </w:r>
      <w:bookmarkEnd w:id="341"/>
    </w:p>
    <w:p>
      <w:pPr>
        <w:spacing w:line="460" w:lineRule="exact"/>
        <w:textAlignment w:val="baseline"/>
        <w:rPr>
          <w:rFonts w:ascii="宋体" w:hAnsi="宋体" w:cs="宋体"/>
          <w:b/>
          <w:color w:val="auto"/>
          <w:sz w:val="24"/>
          <w:highlight w:val="none"/>
        </w:rPr>
      </w:pPr>
      <w:bookmarkStart w:id="342" w:name="_Toc4973"/>
      <w:bookmarkStart w:id="343" w:name="_Toc17187"/>
      <w:bookmarkStart w:id="344" w:name="_Toc1460"/>
      <w:bookmarkStart w:id="345" w:name="_Toc20872"/>
      <w:r>
        <w:rPr>
          <w:rFonts w:hint="eastAsia" w:ascii="宋体" w:hAnsi="宋体" w:cs="宋体"/>
          <w:b/>
          <w:color w:val="auto"/>
          <w:sz w:val="24"/>
          <w:highlight w:val="none"/>
        </w:rPr>
        <w:t>响应文件封面格式：</w:t>
      </w:r>
      <w:bookmarkEnd w:id="342"/>
      <w:bookmarkEnd w:id="343"/>
      <w:bookmarkEnd w:id="344"/>
      <w:bookmarkEnd w:id="345"/>
      <w:r>
        <w:rPr>
          <w:rFonts w:hint="eastAsia" w:ascii="宋体" w:hAnsi="宋体" w:cs="宋体"/>
          <w:b/>
          <w:color w:val="auto"/>
          <w:sz w:val="24"/>
          <w:highlight w:val="none"/>
        </w:rPr>
        <w:t xml:space="preserve">          </w:t>
      </w:r>
    </w:p>
    <w:p>
      <w:pPr>
        <w:pStyle w:val="51"/>
        <w:jc w:val="right"/>
        <w:rPr>
          <w:rFonts w:ascii="宋体" w:hAnsi="宋体" w:cs="宋体"/>
          <w:color w:val="auto"/>
          <w:sz w:val="32"/>
          <w:szCs w:val="32"/>
          <w:highlight w:val="none"/>
        </w:rPr>
      </w:pPr>
    </w:p>
    <w:p>
      <w:pPr>
        <w:spacing w:before="185"/>
        <w:ind w:right="210"/>
        <w:jc w:val="center"/>
        <w:textAlignment w:val="baseline"/>
        <w:rPr>
          <w:rFonts w:ascii="宋体" w:hAnsi="宋体" w:cs="宋体"/>
          <w:b/>
          <w:bCs/>
          <w:color w:val="auto"/>
          <w:sz w:val="22"/>
          <w:highlight w:val="none"/>
        </w:rPr>
      </w:pPr>
    </w:p>
    <w:p>
      <w:pPr>
        <w:pStyle w:val="2"/>
        <w:spacing w:before="11"/>
        <w:jc w:val="center"/>
        <w:textAlignment w:val="baseline"/>
        <w:rPr>
          <w:rFonts w:ascii="宋体" w:hAnsi="宋体" w:cs="宋体"/>
          <w:b/>
          <w:color w:val="auto"/>
          <w:sz w:val="52"/>
          <w:highlight w:val="none"/>
        </w:rPr>
      </w:pPr>
      <w:bookmarkStart w:id="346" w:name="_Toc24957"/>
      <w:bookmarkStart w:id="347" w:name="_Toc4036"/>
      <w:bookmarkStart w:id="348" w:name="_Toc11145"/>
      <w:r>
        <w:rPr>
          <w:rFonts w:hint="eastAsia" w:ascii="宋体" w:hAnsi="宋体" w:cs="宋体"/>
          <w:b/>
          <w:color w:val="auto"/>
          <w:sz w:val="52"/>
          <w:highlight w:val="none"/>
        </w:rPr>
        <w:t>投 标 文 件</w:t>
      </w:r>
      <w:bookmarkEnd w:id="346"/>
      <w:bookmarkEnd w:id="347"/>
      <w:bookmarkEnd w:id="348"/>
    </w:p>
    <w:p>
      <w:pPr>
        <w:pStyle w:val="2"/>
        <w:spacing w:before="11"/>
        <w:textAlignment w:val="baseline"/>
        <w:rPr>
          <w:rFonts w:ascii="宋体" w:hAnsi="宋体" w:cs="宋体"/>
          <w:b/>
          <w:color w:val="auto"/>
          <w:sz w:val="69"/>
          <w:highlight w:val="none"/>
        </w:rPr>
      </w:pPr>
    </w:p>
    <w:p>
      <w:pPr>
        <w:spacing w:line="460" w:lineRule="exact"/>
        <w:jc w:val="center"/>
        <w:textAlignment w:val="baseline"/>
        <w:rPr>
          <w:rFonts w:ascii="宋体" w:hAnsi="宋体" w:cs="宋体"/>
          <w:b/>
          <w:color w:val="auto"/>
          <w:sz w:val="32"/>
          <w:highlight w:val="none"/>
        </w:rPr>
      </w:pPr>
      <w:bookmarkStart w:id="349" w:name="_Toc6466"/>
      <w:bookmarkStart w:id="350" w:name="_Toc29951"/>
      <w:r>
        <w:rPr>
          <w:rFonts w:hint="eastAsia" w:ascii="宋体" w:hAnsi="宋体" w:cs="宋体"/>
          <w:b/>
          <w:color w:val="auto"/>
          <w:sz w:val="32"/>
          <w:highlight w:val="none"/>
          <w:lang w:eastAsia="zh-CN"/>
        </w:rPr>
        <w:t>资格审查文件</w:t>
      </w:r>
      <w:r>
        <w:rPr>
          <w:rFonts w:hint="eastAsia" w:ascii="宋体" w:hAnsi="宋体" w:cs="宋体"/>
          <w:b/>
          <w:color w:val="auto"/>
          <w:sz w:val="32"/>
          <w:highlight w:val="none"/>
        </w:rPr>
        <w:t>/商务技术文件/报价文件</w:t>
      </w:r>
      <w:bookmarkEnd w:id="349"/>
      <w:bookmarkEnd w:id="350"/>
    </w:p>
    <w:p>
      <w:pPr>
        <w:pStyle w:val="51"/>
        <w:rPr>
          <w:rFonts w:ascii="宋体" w:hAnsi="宋体" w:cs="宋体"/>
          <w:b/>
          <w:color w:val="auto"/>
          <w:sz w:val="32"/>
          <w:highlight w:val="none"/>
        </w:rPr>
      </w:pPr>
    </w:p>
    <w:p>
      <w:pPr>
        <w:pStyle w:val="51"/>
        <w:rPr>
          <w:rFonts w:ascii="宋体" w:hAnsi="宋体" w:cs="宋体"/>
          <w:b/>
          <w:color w:val="auto"/>
          <w:sz w:val="32"/>
          <w:highlight w:val="none"/>
        </w:rPr>
      </w:pPr>
    </w:p>
    <w:p>
      <w:pPr>
        <w:snapToGrid w:val="0"/>
        <w:spacing w:line="720" w:lineRule="auto"/>
        <w:ind w:firstLine="1120" w:firstLineChars="400"/>
        <w:textAlignment w:val="baseline"/>
        <w:rPr>
          <w:rFonts w:ascii="宋体" w:hAnsi="宋体" w:cs="宋体"/>
          <w:color w:val="auto"/>
          <w:sz w:val="28"/>
          <w:szCs w:val="28"/>
          <w:highlight w:val="none"/>
          <w:u w:val="single" w:color="000000"/>
        </w:rPr>
      </w:pPr>
      <w:r>
        <w:rPr>
          <w:rFonts w:hint="eastAsia" w:ascii="宋体" w:hAnsi="宋体" w:cs="宋体"/>
          <w:color w:val="auto"/>
          <w:sz w:val="28"/>
          <w:szCs w:val="28"/>
          <w:highlight w:val="none"/>
        </w:rPr>
        <w:t>项目名称：</w:t>
      </w:r>
      <w:r>
        <w:rPr>
          <w:rFonts w:hint="eastAsia" w:ascii="宋体" w:hAnsi="宋体" w:cs="宋体"/>
          <w:color w:val="auto"/>
          <w:sz w:val="28"/>
          <w:szCs w:val="28"/>
          <w:highlight w:val="none"/>
          <w:u w:val="single" w:color="000000"/>
        </w:rPr>
        <w:t xml:space="preserve">                       </w:t>
      </w:r>
    </w:p>
    <w:p>
      <w:pPr>
        <w:snapToGrid w:val="0"/>
        <w:spacing w:line="720" w:lineRule="auto"/>
        <w:ind w:firstLine="1120" w:firstLineChars="400"/>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u w:val="single" w:color="000000"/>
        </w:rPr>
        <w:t>                       </w:t>
      </w:r>
      <w:r>
        <w:rPr>
          <w:rFonts w:hint="eastAsia" w:ascii="宋体" w:hAnsi="宋体" w:cs="宋体"/>
          <w:color w:val="auto"/>
          <w:sz w:val="28"/>
          <w:szCs w:val="28"/>
          <w:highlight w:val="none"/>
        </w:rPr>
        <w:t xml:space="preserve"> </w:t>
      </w:r>
    </w:p>
    <w:p>
      <w:pPr>
        <w:snapToGrid w:val="0"/>
        <w:spacing w:line="720" w:lineRule="auto"/>
        <w:ind w:firstLine="1120" w:firstLineChars="400"/>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投标人（全称）：</w:t>
      </w:r>
      <w:r>
        <w:rPr>
          <w:rFonts w:hint="eastAsia" w:ascii="宋体" w:hAnsi="宋体" w:cs="宋体"/>
          <w:color w:val="auto"/>
          <w:sz w:val="28"/>
          <w:szCs w:val="28"/>
          <w:highlight w:val="none"/>
          <w:u w:val="single" w:color="000000"/>
        </w:rPr>
        <w:t>            （盖章）</w:t>
      </w:r>
    </w:p>
    <w:p>
      <w:pPr>
        <w:snapToGrid w:val="0"/>
        <w:spacing w:line="720" w:lineRule="auto"/>
        <w:ind w:firstLine="1120" w:firstLineChars="400"/>
        <w:textAlignment w:val="baseline"/>
        <w:rPr>
          <w:rFonts w:ascii="宋体" w:hAnsi="宋体" w:cs="宋体"/>
          <w:color w:val="auto"/>
          <w:sz w:val="28"/>
          <w:szCs w:val="28"/>
          <w:highlight w:val="none"/>
          <w:u w:val="single" w:color="000000"/>
        </w:rPr>
      </w:pPr>
      <w:r>
        <w:rPr>
          <w:rFonts w:hint="eastAsia" w:ascii="宋体" w:hAnsi="宋体" w:cs="宋体"/>
          <w:color w:val="auto"/>
          <w:sz w:val="28"/>
          <w:szCs w:val="28"/>
          <w:highlight w:val="none"/>
        </w:rPr>
        <w:t>投标人地址：</w:t>
      </w:r>
      <w:r>
        <w:rPr>
          <w:rFonts w:hint="eastAsia" w:ascii="宋体" w:hAnsi="宋体" w:cs="宋体"/>
          <w:color w:val="auto"/>
          <w:sz w:val="28"/>
          <w:szCs w:val="28"/>
          <w:highlight w:val="none"/>
          <w:u w:val="single" w:color="000000"/>
        </w:rPr>
        <w:t>                     </w:t>
      </w:r>
    </w:p>
    <w:p>
      <w:pPr>
        <w:pStyle w:val="51"/>
        <w:rPr>
          <w:rFonts w:ascii="宋体" w:hAnsi="宋体" w:cs="宋体"/>
          <w:color w:val="auto"/>
          <w:sz w:val="28"/>
          <w:szCs w:val="28"/>
          <w:highlight w:val="none"/>
          <w:u w:val="single"/>
        </w:rPr>
      </w:pPr>
    </w:p>
    <w:p>
      <w:pPr>
        <w:pStyle w:val="27"/>
        <w:spacing w:line="360" w:lineRule="auto"/>
        <w:ind w:firstLine="44"/>
        <w:textAlignment w:val="baseline"/>
        <w:rPr>
          <w:rFonts w:ascii="宋体" w:hAnsi="宋体" w:eastAsia="宋体"/>
          <w:color w:val="auto"/>
          <w:sz w:val="22"/>
          <w:szCs w:val="22"/>
          <w:highlight w:val="none"/>
          <w:u w:val="single"/>
        </w:rPr>
      </w:pPr>
      <w:r>
        <w:rPr>
          <w:rFonts w:hint="eastAsia" w:ascii="宋体" w:hAnsi="宋体" w:eastAsia="宋体"/>
          <w:b/>
          <w:bCs/>
          <w:color w:val="auto"/>
          <w:sz w:val="22"/>
          <w:szCs w:val="22"/>
          <w:highlight w:val="none"/>
        </w:rPr>
        <w:br w:type="page"/>
      </w:r>
    </w:p>
    <w:p>
      <w:pPr>
        <w:bidi w:val="0"/>
        <w:rPr>
          <w:b/>
          <w:bCs/>
          <w:color w:val="auto"/>
          <w:sz w:val="22"/>
          <w:szCs w:val="24"/>
          <w:highlight w:val="none"/>
        </w:rPr>
      </w:pPr>
      <w:bookmarkStart w:id="351" w:name="_Toc23446"/>
      <w:r>
        <w:rPr>
          <w:rFonts w:hint="eastAsia"/>
          <w:b/>
          <w:bCs/>
          <w:color w:val="auto"/>
          <w:sz w:val="22"/>
          <w:szCs w:val="24"/>
          <w:highlight w:val="none"/>
        </w:rPr>
        <w:t>附件1</w:t>
      </w:r>
      <w:bookmarkEnd w:id="351"/>
    </w:p>
    <w:p>
      <w:pPr>
        <w:spacing w:line="460" w:lineRule="exact"/>
        <w:textAlignment w:val="baseline"/>
        <w:rPr>
          <w:rFonts w:ascii="宋体" w:hAnsi="宋体" w:cs="宋体"/>
          <w:color w:val="auto"/>
          <w:sz w:val="22"/>
          <w:highlight w:val="none"/>
        </w:rPr>
      </w:pPr>
    </w:p>
    <w:p>
      <w:pPr>
        <w:widowControl/>
        <w:spacing w:line="420" w:lineRule="atLeast"/>
        <w:textAlignment w:val="baseline"/>
        <w:rPr>
          <w:rFonts w:ascii="宋体" w:hAnsi="宋体" w:cs="宋体"/>
          <w:b/>
          <w:bCs/>
          <w:color w:val="auto"/>
          <w:kern w:val="0"/>
          <w:sz w:val="24"/>
          <w:highlight w:val="none"/>
        </w:rPr>
      </w:pPr>
    </w:p>
    <w:p>
      <w:pPr>
        <w:widowControl/>
        <w:spacing w:line="420" w:lineRule="atLeast"/>
        <w:textAlignment w:val="baseline"/>
        <w:rPr>
          <w:rFonts w:ascii="宋体" w:hAnsi="宋体" w:cs="宋体"/>
          <w:b/>
          <w:bCs/>
          <w:color w:val="auto"/>
          <w:kern w:val="0"/>
          <w:sz w:val="24"/>
          <w:highlight w:val="none"/>
        </w:rPr>
      </w:pPr>
    </w:p>
    <w:p>
      <w:pPr>
        <w:widowControl/>
        <w:spacing w:line="420" w:lineRule="atLeast"/>
        <w:jc w:val="center"/>
        <w:textAlignment w:val="baseline"/>
        <w:rPr>
          <w:rFonts w:ascii="宋体" w:hAnsi="宋体" w:cs="宋体"/>
          <w:b/>
          <w:bCs/>
          <w:color w:val="auto"/>
          <w:kern w:val="0"/>
          <w:sz w:val="30"/>
          <w:szCs w:val="30"/>
          <w:highlight w:val="none"/>
        </w:rPr>
      </w:pPr>
      <w:bookmarkStart w:id="352" w:name="_Toc340777668"/>
      <w:bookmarkEnd w:id="352"/>
      <w:r>
        <w:rPr>
          <w:rFonts w:hint="eastAsia" w:ascii="宋体" w:hAnsi="宋体" w:cs="宋体"/>
          <w:b/>
          <w:bCs/>
          <w:color w:val="auto"/>
          <w:kern w:val="0"/>
          <w:sz w:val="30"/>
          <w:szCs w:val="30"/>
          <w:highlight w:val="none"/>
        </w:rPr>
        <w:t xml:space="preserve">   </w:t>
      </w:r>
      <w:bookmarkStart w:id="353" w:name="_Toc22404_WPSOffice_Level1"/>
      <w:r>
        <w:rPr>
          <w:rFonts w:hint="eastAsia" w:ascii="宋体" w:hAnsi="宋体" w:cs="宋体"/>
          <w:b/>
          <w:bCs/>
          <w:color w:val="auto"/>
          <w:kern w:val="0"/>
          <w:sz w:val="30"/>
          <w:szCs w:val="30"/>
          <w:highlight w:val="none"/>
        </w:rPr>
        <w:t>法定代表人身份证明</w:t>
      </w:r>
      <w:bookmarkEnd w:id="353"/>
    </w:p>
    <w:p>
      <w:pPr>
        <w:widowControl/>
        <w:spacing w:line="420" w:lineRule="atLeast"/>
        <w:jc w:val="center"/>
        <w:textAlignment w:val="baseline"/>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 </w:t>
      </w:r>
    </w:p>
    <w:p>
      <w:pPr>
        <w:widowControl/>
        <w:spacing w:line="420" w:lineRule="atLeast"/>
        <w:ind w:firstLine="480"/>
        <w:jc w:val="lef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 xml:space="preserve"> </w:t>
      </w:r>
    </w:p>
    <w:p>
      <w:pPr>
        <w:widowControl/>
        <w:spacing w:line="440" w:lineRule="exact"/>
        <w:ind w:firstLine="1077"/>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单位名称：</w:t>
      </w:r>
      <w:r>
        <w:rPr>
          <w:rFonts w:hint="eastAsia" w:ascii="宋体" w:hAnsi="宋体" w:cs="宋体"/>
          <w:color w:val="auto"/>
          <w:kern w:val="0"/>
          <w:szCs w:val="21"/>
          <w:highlight w:val="none"/>
          <w:u w:val="single" w:color="000000"/>
        </w:rPr>
        <w:t xml:space="preserve">                                               </w:t>
      </w:r>
    </w:p>
    <w:p>
      <w:pPr>
        <w:widowControl/>
        <w:spacing w:line="440" w:lineRule="exact"/>
        <w:ind w:firstLine="1077"/>
        <w:textAlignment w:val="baseline"/>
        <w:rPr>
          <w:rFonts w:ascii="宋体" w:hAnsi="宋体" w:cs="宋体"/>
          <w:color w:val="auto"/>
          <w:kern w:val="0"/>
          <w:sz w:val="20"/>
          <w:szCs w:val="21"/>
          <w:highlight w:val="none"/>
          <w:u w:val="single"/>
        </w:rPr>
      </w:pPr>
      <w:r>
        <w:rPr>
          <w:rFonts w:hint="eastAsia" w:ascii="宋体" w:hAnsi="宋体" w:cs="宋体"/>
          <w:color w:val="auto"/>
          <w:kern w:val="0"/>
          <w:szCs w:val="21"/>
          <w:highlight w:val="none"/>
        </w:rPr>
        <w:t>单位性质：</w:t>
      </w:r>
      <w:r>
        <w:rPr>
          <w:rFonts w:hint="eastAsia" w:ascii="宋体" w:hAnsi="宋体" w:cs="宋体"/>
          <w:color w:val="auto"/>
          <w:kern w:val="0"/>
          <w:szCs w:val="21"/>
          <w:highlight w:val="none"/>
          <w:u w:val="single" w:color="000000"/>
        </w:rPr>
        <w:t xml:space="preserve">                                               </w:t>
      </w:r>
    </w:p>
    <w:p>
      <w:pPr>
        <w:widowControl/>
        <w:spacing w:line="440" w:lineRule="exact"/>
        <w:ind w:firstLine="1077"/>
        <w:textAlignment w:val="baseline"/>
        <w:rPr>
          <w:rFonts w:ascii="宋体" w:hAnsi="宋体" w:cs="宋体"/>
          <w:color w:val="auto"/>
          <w:kern w:val="0"/>
          <w:sz w:val="20"/>
          <w:szCs w:val="21"/>
          <w:highlight w:val="none"/>
          <w:u w:val="single"/>
        </w:rPr>
      </w:pPr>
      <w:r>
        <w:rPr>
          <w:rFonts w:hint="eastAsia" w:ascii="宋体" w:hAnsi="宋体" w:cs="宋体"/>
          <w:color w:val="auto"/>
          <w:kern w:val="0"/>
          <w:szCs w:val="21"/>
          <w:highlight w:val="none"/>
        </w:rPr>
        <w:t>地    址：</w:t>
      </w:r>
      <w:r>
        <w:rPr>
          <w:rFonts w:hint="eastAsia" w:ascii="宋体" w:hAnsi="宋体" w:cs="宋体"/>
          <w:color w:val="auto"/>
          <w:kern w:val="0"/>
          <w:szCs w:val="21"/>
          <w:highlight w:val="none"/>
          <w:u w:val="single" w:color="000000"/>
        </w:rPr>
        <w:t xml:space="preserve">                                               </w:t>
      </w:r>
    </w:p>
    <w:p>
      <w:pPr>
        <w:widowControl/>
        <w:spacing w:line="440" w:lineRule="exact"/>
        <w:ind w:firstLine="1077"/>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成立时间：</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日</w:t>
      </w:r>
    </w:p>
    <w:p>
      <w:pPr>
        <w:widowControl/>
        <w:spacing w:line="440" w:lineRule="exact"/>
        <w:ind w:firstLine="1077"/>
        <w:textAlignment w:val="baseline"/>
        <w:rPr>
          <w:rFonts w:ascii="宋体" w:hAnsi="宋体" w:cs="宋体"/>
          <w:color w:val="auto"/>
          <w:kern w:val="0"/>
          <w:sz w:val="20"/>
          <w:szCs w:val="21"/>
          <w:highlight w:val="none"/>
          <w:u w:val="single"/>
        </w:rPr>
      </w:pPr>
      <w:r>
        <w:rPr>
          <w:rFonts w:hint="eastAsia" w:ascii="宋体" w:hAnsi="宋体" w:cs="宋体"/>
          <w:color w:val="auto"/>
          <w:kern w:val="0"/>
          <w:szCs w:val="21"/>
          <w:highlight w:val="none"/>
        </w:rPr>
        <w:t>经营期限：</w:t>
      </w:r>
      <w:r>
        <w:rPr>
          <w:rFonts w:hint="eastAsia" w:ascii="宋体" w:hAnsi="宋体" w:cs="宋体"/>
          <w:color w:val="auto"/>
          <w:kern w:val="0"/>
          <w:szCs w:val="21"/>
          <w:highlight w:val="none"/>
          <w:u w:val="single" w:color="000000"/>
        </w:rPr>
        <w:t xml:space="preserve">                                               </w:t>
      </w:r>
    </w:p>
    <w:p>
      <w:pPr>
        <w:widowControl/>
        <w:spacing w:line="440" w:lineRule="exact"/>
        <w:ind w:firstLine="1077"/>
        <w:textAlignment w:val="baseline"/>
        <w:rPr>
          <w:rFonts w:ascii="宋体" w:hAnsi="宋体" w:cs="宋体"/>
          <w:color w:val="auto"/>
          <w:kern w:val="0"/>
          <w:sz w:val="20"/>
          <w:szCs w:val="21"/>
          <w:highlight w:val="none"/>
          <w:u w:val="single"/>
        </w:rPr>
      </w:pPr>
      <w:r>
        <w:rPr>
          <w:rFonts w:hint="eastAsia" w:ascii="宋体" w:hAnsi="宋体" w:cs="宋体"/>
          <w:color w:val="auto"/>
          <w:kern w:val="0"/>
          <w:szCs w:val="21"/>
          <w:highlight w:val="none"/>
        </w:rPr>
        <w:t>姓    名：</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性    别：</w:t>
      </w:r>
      <w:r>
        <w:rPr>
          <w:rFonts w:hint="eastAsia" w:ascii="宋体" w:hAnsi="宋体" w:cs="宋体"/>
          <w:color w:val="auto"/>
          <w:kern w:val="0"/>
          <w:szCs w:val="21"/>
          <w:highlight w:val="none"/>
          <w:u w:val="single" w:color="000000"/>
        </w:rPr>
        <w:t xml:space="preserve">            </w:t>
      </w:r>
    </w:p>
    <w:p>
      <w:pPr>
        <w:widowControl/>
        <w:spacing w:line="440" w:lineRule="exact"/>
        <w:ind w:firstLine="1077"/>
        <w:textAlignment w:val="baseline"/>
        <w:rPr>
          <w:rFonts w:ascii="宋体" w:hAnsi="宋体" w:cs="宋体"/>
          <w:color w:val="auto"/>
          <w:kern w:val="0"/>
          <w:sz w:val="20"/>
          <w:szCs w:val="21"/>
          <w:highlight w:val="none"/>
          <w:u w:val="single"/>
        </w:rPr>
      </w:pPr>
      <w:r>
        <w:rPr>
          <w:rFonts w:hint="eastAsia" w:ascii="宋体" w:hAnsi="宋体" w:cs="宋体"/>
          <w:color w:val="auto"/>
          <w:kern w:val="0"/>
          <w:szCs w:val="21"/>
          <w:highlight w:val="none"/>
        </w:rPr>
        <w:t>年    龄：</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职    务：</w:t>
      </w:r>
      <w:r>
        <w:rPr>
          <w:rFonts w:hint="eastAsia" w:ascii="宋体" w:hAnsi="宋体" w:cs="宋体"/>
          <w:color w:val="auto"/>
          <w:kern w:val="0"/>
          <w:szCs w:val="21"/>
          <w:highlight w:val="none"/>
          <w:u w:val="single" w:color="000000"/>
        </w:rPr>
        <w:t xml:space="preserve">            </w:t>
      </w:r>
    </w:p>
    <w:p>
      <w:pPr>
        <w:widowControl/>
        <w:spacing w:line="440" w:lineRule="exact"/>
        <w:ind w:firstLine="1077"/>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（投标人名称）的法定代表人。</w:t>
      </w:r>
    </w:p>
    <w:p>
      <w:pPr>
        <w:widowControl/>
        <w:spacing w:line="440" w:lineRule="exact"/>
        <w:ind w:firstLine="1077"/>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特此证明。</w:t>
      </w:r>
    </w:p>
    <w:p>
      <w:pPr>
        <w:widowControl/>
        <w:spacing w:line="420" w:lineRule="atLeast"/>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 xml:space="preserve"> </w:t>
      </w:r>
    </w:p>
    <w:p>
      <w:pPr>
        <w:widowControl/>
        <w:spacing w:line="420" w:lineRule="atLeast"/>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 xml:space="preserve"> </w:t>
      </w:r>
    </w:p>
    <w:p>
      <w:pPr>
        <w:widowControl/>
        <w:spacing w:line="420" w:lineRule="atLeast"/>
        <w:ind w:right="-64" w:firstLine="3600"/>
        <w:textAlignment w:val="baseline"/>
        <w:rPr>
          <w:rFonts w:ascii="宋体" w:hAnsi="宋体" w:cs="宋体"/>
          <w:color w:val="auto"/>
          <w:kern w:val="0"/>
          <w:sz w:val="20"/>
          <w:szCs w:val="21"/>
          <w:highlight w:val="none"/>
        </w:rPr>
      </w:pPr>
      <w:r>
        <w:rPr>
          <w:rFonts w:hint="eastAsia" w:ascii="宋体" w:hAnsi="宋体" w:cs="宋体"/>
          <w:b/>
          <w:bCs/>
          <w:color w:val="auto"/>
          <w:szCs w:val="21"/>
          <w:highlight w:val="none"/>
        </w:rPr>
        <w:t>磋商供应商</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（盖单位章）</w:t>
      </w:r>
    </w:p>
    <w:p>
      <w:pPr>
        <w:widowControl/>
        <w:spacing w:line="420" w:lineRule="atLeast"/>
        <w:ind w:right="420"/>
        <w:textAlignment w:val="baseline"/>
        <w:rPr>
          <w:rFonts w:ascii="宋体" w:hAnsi="宋体" w:cs="宋体"/>
          <w:color w:val="auto"/>
          <w:kern w:val="0"/>
          <w:sz w:val="20"/>
          <w:szCs w:val="21"/>
          <w:highlight w:val="none"/>
          <w:u w:val="single"/>
        </w:rPr>
      </w:pPr>
    </w:p>
    <w:p>
      <w:pPr>
        <w:widowControl/>
        <w:spacing w:line="420" w:lineRule="atLeast"/>
        <w:ind w:right="-64" w:firstLine="4320"/>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 xml:space="preserve">日 </w:t>
      </w:r>
    </w:p>
    <w:p>
      <w:pPr>
        <w:widowControl/>
        <w:spacing w:line="420" w:lineRule="atLeast"/>
        <w:jc w:val="center"/>
        <w:textAlignment w:val="baseline"/>
        <w:rPr>
          <w:rFonts w:ascii="宋体" w:hAnsi="宋体" w:cs="宋体"/>
          <w:color w:val="auto"/>
          <w:kern w:val="0"/>
          <w:sz w:val="20"/>
          <w:szCs w:val="21"/>
          <w:highlight w:val="none"/>
        </w:rPr>
      </w:pPr>
    </w:p>
    <w:p>
      <w:pPr>
        <w:widowControl/>
        <w:spacing w:line="420" w:lineRule="atLeast"/>
        <w:textAlignment w:val="baseline"/>
        <w:rPr>
          <w:rFonts w:ascii="宋体" w:hAnsi="宋体" w:cs="宋体"/>
          <w:b/>
          <w:color w:val="auto"/>
          <w:kern w:val="0"/>
          <w:sz w:val="20"/>
          <w:szCs w:val="21"/>
          <w:highlight w:val="none"/>
        </w:rPr>
      </w:pPr>
      <w:r>
        <w:rPr>
          <w:rFonts w:hint="eastAsia" w:ascii="宋体" w:hAnsi="宋体" w:cs="宋体"/>
          <w:b/>
          <w:color w:val="auto"/>
          <w:kern w:val="0"/>
          <w:szCs w:val="21"/>
          <w:highlight w:val="none"/>
        </w:rPr>
        <w:t xml:space="preserve">后附法定代表人身份证复印件： </w:t>
      </w:r>
    </w:p>
    <w:p>
      <w:pPr>
        <w:widowControl/>
        <w:spacing w:line="420" w:lineRule="atLeast"/>
        <w:textAlignment w:val="baseline"/>
        <w:rPr>
          <w:rFonts w:ascii="宋体" w:hAnsi="宋体" w:cs="宋体"/>
          <w:color w:val="auto"/>
          <w:kern w:val="0"/>
          <w:sz w:val="20"/>
          <w:szCs w:val="21"/>
          <w:highlight w:val="none"/>
        </w:rPr>
      </w:pPr>
    </w:p>
    <w:p>
      <w:pPr>
        <w:widowControl/>
        <w:spacing w:line="420" w:lineRule="atLeast"/>
        <w:textAlignment w:val="baseline"/>
        <w:rPr>
          <w:rFonts w:ascii="宋体" w:hAnsi="宋体" w:cs="宋体"/>
          <w:color w:val="auto"/>
          <w:kern w:val="0"/>
          <w:sz w:val="20"/>
          <w:szCs w:val="21"/>
          <w:highlight w:val="none"/>
        </w:rPr>
      </w:pPr>
    </w:p>
    <w:p>
      <w:pPr>
        <w:pStyle w:val="2"/>
        <w:ind w:left="1020"/>
        <w:textAlignment w:val="baseline"/>
        <w:rPr>
          <w:rFonts w:ascii="宋体" w:hAnsi="宋体" w:cs="宋体"/>
          <w:color w:val="auto"/>
          <w:highlight w:val="none"/>
        </w:rPr>
      </w:pPr>
    </w:p>
    <w:p>
      <w:pPr>
        <w:pStyle w:val="2"/>
        <w:textAlignment w:val="baseline"/>
        <w:rPr>
          <w:rFonts w:ascii="宋体" w:hAnsi="宋体" w:cs="宋体"/>
          <w:color w:val="auto"/>
          <w:kern w:val="0"/>
          <w:sz w:val="24"/>
          <w:highlight w:val="none"/>
        </w:rPr>
      </w:pPr>
    </w:p>
    <w:p>
      <w:pPr>
        <w:widowControl/>
        <w:spacing w:line="420" w:lineRule="atLeast"/>
        <w:jc w:val="left"/>
        <w:textAlignment w:val="baseline"/>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pPr>
        <w:bidi w:val="0"/>
        <w:rPr>
          <w:rFonts w:hint="eastAsia"/>
          <w:b/>
          <w:bCs/>
          <w:color w:val="auto"/>
          <w:sz w:val="22"/>
          <w:szCs w:val="24"/>
          <w:highlight w:val="none"/>
        </w:rPr>
      </w:pPr>
      <w:bookmarkStart w:id="354" w:name="_Toc28011"/>
      <w:r>
        <w:rPr>
          <w:rFonts w:hint="eastAsia"/>
          <w:b/>
          <w:bCs/>
          <w:color w:val="auto"/>
          <w:sz w:val="22"/>
          <w:szCs w:val="24"/>
          <w:highlight w:val="none"/>
        </w:rPr>
        <w:t>附件1-1</w:t>
      </w:r>
      <w:bookmarkEnd w:id="354"/>
    </w:p>
    <w:p>
      <w:pPr>
        <w:widowControl/>
        <w:spacing w:line="420" w:lineRule="atLeast"/>
        <w:jc w:val="center"/>
        <w:textAlignment w:val="baseline"/>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法定代表人授权委托书</w:t>
      </w:r>
    </w:p>
    <w:p>
      <w:pPr>
        <w:widowControl/>
        <w:spacing w:line="420" w:lineRule="atLeast"/>
        <w:ind w:left="120"/>
        <w:jc w:val="left"/>
        <w:textAlignment w:val="baseline"/>
        <w:rPr>
          <w:rFonts w:ascii="宋体" w:hAnsi="宋体" w:cs="宋体"/>
          <w:color w:val="auto"/>
          <w:kern w:val="0"/>
          <w:sz w:val="24"/>
          <w:highlight w:val="none"/>
        </w:rPr>
      </w:pPr>
    </w:p>
    <w:p>
      <w:pPr>
        <w:widowControl/>
        <w:spacing w:line="460" w:lineRule="exact"/>
        <w:ind w:left="120" w:firstLine="482"/>
        <w:jc w:val="left"/>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本授权书声明：我</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（法人代表姓名、职务）是</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（单位名称）的法人代表，现代表本单位授权</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（被授权人的姓名、职务）为本单位的合法代理人，就参加</w:t>
      </w:r>
      <w:r>
        <w:rPr>
          <w:rFonts w:hint="eastAsia" w:ascii="宋体" w:hAnsi="宋体" w:cs="宋体"/>
          <w:color w:val="auto"/>
          <w:kern w:val="0"/>
          <w:szCs w:val="21"/>
          <w:highlight w:val="none"/>
          <w:u w:val="single"/>
        </w:rPr>
        <w:t xml:space="preserve">  爱常山-数字化建设工程（一期）（项目编号：GXZFCG-2022-CS09）</w:t>
      </w:r>
      <w:r>
        <w:rPr>
          <w:rFonts w:hint="eastAsia" w:ascii="宋体" w:hAnsi="宋体" w:cs="宋体"/>
          <w:color w:val="auto"/>
          <w:kern w:val="0"/>
          <w:szCs w:val="21"/>
          <w:highlight w:val="none"/>
        </w:rPr>
        <w:t>招标的投标、签订合同以及合同的执行、完成和服务，及以本单位名义处理一切与之有关的事务。</w:t>
      </w:r>
    </w:p>
    <w:p>
      <w:pPr>
        <w:widowControl/>
        <w:spacing w:line="460" w:lineRule="exact"/>
        <w:ind w:firstLine="482"/>
        <w:jc w:val="left"/>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 xml:space="preserve"> 本授权书于</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日签字生效，特此声明。</w:t>
      </w:r>
    </w:p>
    <w:p>
      <w:pPr>
        <w:pStyle w:val="51"/>
        <w:rPr>
          <w:rFonts w:ascii="宋体" w:hAnsi="宋体" w:cs="宋体"/>
          <w:color w:val="auto"/>
          <w:highlight w:val="none"/>
        </w:rPr>
      </w:pPr>
    </w:p>
    <w:p>
      <w:pPr>
        <w:widowControl/>
        <w:spacing w:line="360" w:lineRule="auto"/>
        <w:ind w:firstLine="600"/>
        <w:jc w:val="left"/>
        <w:textAlignment w:val="baseline"/>
        <w:rPr>
          <w:rFonts w:ascii="宋体" w:hAnsi="宋体" w:cs="宋体"/>
          <w:b/>
          <w:bCs/>
          <w:color w:val="auto"/>
          <w:kern w:val="0"/>
          <w:sz w:val="20"/>
          <w:szCs w:val="21"/>
          <w:highlight w:val="none"/>
        </w:rPr>
      </w:pPr>
      <w:r>
        <w:rPr>
          <w:rFonts w:hint="eastAsia" w:ascii="宋体" w:hAnsi="宋体" w:cs="宋体"/>
          <w:b/>
          <w:bCs/>
          <w:color w:val="auto"/>
          <w:kern w:val="0"/>
          <w:szCs w:val="21"/>
          <w:highlight w:val="none"/>
        </w:rPr>
        <w:t>法人代表（签字）</w:t>
      </w:r>
      <w:r>
        <w:rPr>
          <w:rFonts w:hint="eastAsia" w:ascii="宋体" w:hAnsi="宋体" w:cs="宋体"/>
          <w:b/>
          <w:bCs/>
          <w:color w:val="auto"/>
          <w:kern w:val="0"/>
          <w:szCs w:val="21"/>
          <w:highlight w:val="none"/>
          <w:u w:val="single" w:color="000000"/>
        </w:rPr>
        <w:t xml:space="preserve">                          </w:t>
      </w:r>
    </w:p>
    <w:p>
      <w:pPr>
        <w:widowControl/>
        <w:spacing w:line="360" w:lineRule="auto"/>
        <w:ind w:firstLine="600"/>
        <w:jc w:val="left"/>
        <w:textAlignment w:val="baseline"/>
        <w:rPr>
          <w:rFonts w:ascii="宋体" w:hAnsi="宋体" w:cs="宋体"/>
          <w:b/>
          <w:bCs/>
          <w:color w:val="auto"/>
          <w:kern w:val="0"/>
          <w:sz w:val="20"/>
          <w:szCs w:val="21"/>
          <w:highlight w:val="none"/>
        </w:rPr>
      </w:pPr>
      <w:r>
        <w:rPr>
          <w:rFonts w:hint="eastAsia" w:ascii="宋体" w:hAnsi="宋体" w:cs="宋体"/>
          <w:b/>
          <w:bCs/>
          <w:color w:val="auto"/>
          <w:kern w:val="0"/>
          <w:szCs w:val="21"/>
          <w:highlight w:val="none"/>
        </w:rPr>
        <w:t>授权委托人（签字）</w:t>
      </w:r>
      <w:r>
        <w:rPr>
          <w:rFonts w:hint="eastAsia" w:ascii="宋体" w:hAnsi="宋体" w:cs="宋体"/>
          <w:b/>
          <w:bCs/>
          <w:color w:val="auto"/>
          <w:kern w:val="0"/>
          <w:szCs w:val="21"/>
          <w:highlight w:val="none"/>
          <w:u w:val="single" w:color="000000"/>
        </w:rPr>
        <w:t xml:space="preserve">                        </w:t>
      </w:r>
    </w:p>
    <w:p>
      <w:pPr>
        <w:widowControl/>
        <w:spacing w:line="360" w:lineRule="auto"/>
        <w:ind w:firstLine="600"/>
        <w:jc w:val="left"/>
        <w:textAlignment w:val="baseline"/>
        <w:rPr>
          <w:rFonts w:ascii="宋体" w:hAnsi="宋体" w:cs="宋体"/>
          <w:b/>
          <w:bCs/>
          <w:color w:val="auto"/>
          <w:kern w:val="0"/>
          <w:sz w:val="20"/>
          <w:szCs w:val="21"/>
          <w:highlight w:val="none"/>
        </w:rPr>
      </w:pPr>
      <w:r>
        <w:rPr>
          <w:rFonts w:hint="eastAsia" w:ascii="宋体" w:hAnsi="宋体" w:cs="宋体"/>
          <w:b/>
          <w:bCs/>
          <w:color w:val="auto"/>
          <w:kern w:val="0"/>
          <w:szCs w:val="21"/>
          <w:highlight w:val="none"/>
        </w:rPr>
        <w:t>单位名称（公章）</w:t>
      </w:r>
      <w:r>
        <w:rPr>
          <w:rFonts w:hint="eastAsia" w:ascii="宋体" w:hAnsi="宋体" w:cs="宋体"/>
          <w:b/>
          <w:bCs/>
          <w:color w:val="auto"/>
          <w:kern w:val="0"/>
          <w:szCs w:val="21"/>
          <w:highlight w:val="none"/>
          <w:u w:val="single" w:color="000000"/>
        </w:rPr>
        <w:t xml:space="preserve">                              </w:t>
      </w:r>
    </w:p>
    <w:p>
      <w:pPr>
        <w:widowControl/>
        <w:spacing w:line="360" w:lineRule="auto"/>
        <w:ind w:firstLine="480"/>
        <w:jc w:val="left"/>
        <w:textAlignment w:val="baseline"/>
        <w:rPr>
          <w:rFonts w:ascii="宋体" w:hAnsi="宋体" w:cs="宋体"/>
          <w:b/>
          <w:bCs/>
          <w:color w:val="auto"/>
          <w:kern w:val="0"/>
          <w:sz w:val="20"/>
          <w:szCs w:val="21"/>
          <w:highlight w:val="none"/>
        </w:rPr>
      </w:pPr>
      <w:r>
        <w:rPr>
          <w:rFonts w:hint="eastAsia" w:ascii="宋体" w:hAnsi="宋体" w:cs="宋体"/>
          <w:b/>
          <w:bCs/>
          <w:color w:val="auto"/>
          <w:kern w:val="0"/>
          <w:szCs w:val="21"/>
          <w:highlight w:val="none"/>
        </w:rPr>
        <w:t xml:space="preserve"> 日    期：</w:t>
      </w:r>
      <w:r>
        <w:rPr>
          <w:rFonts w:hint="eastAsia" w:ascii="宋体" w:hAnsi="宋体" w:cs="宋体"/>
          <w:b/>
          <w:bCs/>
          <w:color w:val="auto"/>
          <w:kern w:val="0"/>
          <w:szCs w:val="21"/>
          <w:highlight w:val="none"/>
          <w:u w:val="single" w:color="000000"/>
        </w:rPr>
        <w:t xml:space="preserve">                                    </w:t>
      </w:r>
    </w:p>
    <w:p>
      <w:pPr>
        <w:widowControl/>
        <w:spacing w:line="360" w:lineRule="auto"/>
        <w:ind w:firstLine="600"/>
        <w:jc w:val="left"/>
        <w:textAlignment w:val="baseline"/>
        <w:rPr>
          <w:rFonts w:ascii="宋体" w:hAnsi="宋体" w:cs="宋体"/>
          <w:color w:val="auto"/>
          <w:kern w:val="0"/>
          <w:sz w:val="20"/>
          <w:szCs w:val="21"/>
          <w:highlight w:val="none"/>
        </w:rPr>
      </w:pPr>
    </w:p>
    <w:p>
      <w:pPr>
        <w:widowControl/>
        <w:spacing w:line="360" w:lineRule="auto"/>
        <w:textAlignment w:val="baseline"/>
        <w:rPr>
          <w:rFonts w:ascii="宋体" w:hAnsi="宋体" w:cs="宋体"/>
          <w:b/>
          <w:color w:val="auto"/>
          <w:kern w:val="0"/>
          <w:sz w:val="20"/>
          <w:szCs w:val="21"/>
          <w:highlight w:val="none"/>
        </w:rPr>
      </w:pPr>
      <w:r>
        <w:rPr>
          <w:rFonts w:hint="eastAsia" w:ascii="宋体" w:hAnsi="宋体" w:cs="宋体"/>
          <w:b/>
          <w:color w:val="auto"/>
          <w:kern w:val="0"/>
          <w:szCs w:val="21"/>
          <w:highlight w:val="none"/>
        </w:rPr>
        <w:t>后附委托代理人身份证复印件：</w:t>
      </w:r>
    </w:p>
    <w:p>
      <w:pPr>
        <w:pStyle w:val="2"/>
        <w:textAlignment w:val="baseline"/>
        <w:rPr>
          <w:rFonts w:ascii="宋体" w:hAnsi="宋体" w:cs="宋体"/>
          <w:color w:val="auto"/>
          <w:kern w:val="0"/>
          <w:sz w:val="24"/>
          <w:highlight w:val="none"/>
        </w:rPr>
      </w:pPr>
    </w:p>
    <w:p>
      <w:pPr>
        <w:spacing w:line="460" w:lineRule="exact"/>
        <w:jc w:val="left"/>
        <w:textAlignment w:val="baseline"/>
        <w:rPr>
          <w:rFonts w:ascii="宋体" w:hAnsi="宋体" w:cs="宋体"/>
          <w:b/>
          <w:bCs/>
          <w:color w:val="auto"/>
          <w:sz w:val="22"/>
          <w:highlight w:val="none"/>
        </w:rPr>
      </w:pPr>
    </w:p>
    <w:p>
      <w:pPr>
        <w:pStyle w:val="27"/>
        <w:spacing w:line="360" w:lineRule="auto"/>
        <w:ind w:firstLine="60"/>
        <w:textAlignment w:val="baseline"/>
        <w:rPr>
          <w:rFonts w:ascii="宋体" w:hAnsi="宋体" w:eastAsia="宋体"/>
          <w:color w:val="auto"/>
          <w:sz w:val="22"/>
          <w:szCs w:val="22"/>
          <w:highlight w:val="none"/>
          <w:u w:val="single"/>
        </w:rPr>
      </w:pPr>
      <w:r>
        <w:rPr>
          <w:rFonts w:hint="eastAsia" w:ascii="宋体" w:hAnsi="宋体" w:eastAsia="宋体"/>
          <w:b/>
          <w:color w:val="auto"/>
          <w:sz w:val="30"/>
          <w:highlight w:val="none"/>
        </w:rPr>
        <w:br w:type="page"/>
      </w:r>
    </w:p>
    <w:p>
      <w:pPr>
        <w:bidi w:val="0"/>
        <w:rPr>
          <w:rFonts w:hint="eastAsia"/>
          <w:b/>
          <w:bCs/>
          <w:color w:val="auto"/>
          <w:sz w:val="22"/>
          <w:szCs w:val="24"/>
          <w:highlight w:val="none"/>
        </w:rPr>
      </w:pPr>
      <w:bookmarkStart w:id="355" w:name="_Toc3534"/>
      <w:r>
        <w:rPr>
          <w:rFonts w:hint="eastAsia"/>
          <w:b/>
          <w:bCs/>
          <w:color w:val="auto"/>
          <w:sz w:val="22"/>
          <w:szCs w:val="24"/>
          <w:highlight w:val="none"/>
        </w:rPr>
        <w:t>附件2</w:t>
      </w:r>
      <w:bookmarkEnd w:id="355"/>
    </w:p>
    <w:p>
      <w:pPr>
        <w:spacing w:line="460" w:lineRule="exact"/>
        <w:jc w:val="center"/>
        <w:textAlignment w:val="baseline"/>
        <w:rPr>
          <w:rFonts w:ascii="宋体" w:hAnsi="宋体" w:cs="宋体"/>
          <w:b/>
          <w:color w:val="auto"/>
          <w:sz w:val="30"/>
          <w:highlight w:val="none"/>
        </w:rPr>
      </w:pPr>
      <w:r>
        <w:rPr>
          <w:rFonts w:hint="eastAsia" w:ascii="宋体" w:hAnsi="宋体" w:cs="宋体"/>
          <w:b/>
          <w:color w:val="auto"/>
          <w:sz w:val="30"/>
          <w:highlight w:val="none"/>
        </w:rPr>
        <w:t>具有履行合同所必需的设备和专业技术能力的承诺函</w:t>
      </w:r>
    </w:p>
    <w:p>
      <w:pPr>
        <w:spacing w:line="460" w:lineRule="exact"/>
        <w:jc w:val="center"/>
        <w:textAlignment w:val="baseline"/>
        <w:rPr>
          <w:rFonts w:ascii="宋体" w:hAnsi="宋体" w:cs="宋体"/>
          <w:b/>
          <w:color w:val="auto"/>
          <w:sz w:val="30"/>
          <w:highlight w:val="none"/>
        </w:rPr>
      </w:pPr>
    </w:p>
    <w:p>
      <w:pPr>
        <w:pStyle w:val="2"/>
        <w:tabs>
          <w:tab w:val="left" w:pos="3659"/>
        </w:tabs>
        <w:jc w:val="left"/>
        <w:textAlignment w:val="baseline"/>
        <w:rPr>
          <w:rFonts w:ascii="宋体" w:hAnsi="宋体" w:cs="宋体"/>
          <w:color w:val="auto"/>
          <w:highlight w:val="none"/>
        </w:rPr>
      </w:pPr>
      <w:r>
        <w:rPr>
          <w:rFonts w:hint="eastAsia" w:ascii="宋体" w:hAnsi="宋体" w:cs="宋体"/>
          <w:color w:val="auto"/>
          <w:highlight w:val="none"/>
          <w:u w:val="single" w:color="000000"/>
        </w:rPr>
        <w:t xml:space="preserve">常山传媒集团 </w:t>
      </w:r>
      <w:r>
        <w:rPr>
          <w:rFonts w:hint="eastAsia" w:ascii="宋体" w:hAnsi="宋体" w:cs="宋体"/>
          <w:color w:val="auto"/>
          <w:highlight w:val="none"/>
        </w:rPr>
        <w:t>：</w:t>
      </w:r>
    </w:p>
    <w:p>
      <w:pPr>
        <w:pStyle w:val="51"/>
        <w:rPr>
          <w:rFonts w:ascii="宋体" w:hAnsi="宋体" w:cs="宋体"/>
          <w:color w:val="auto"/>
          <w:highlight w:val="none"/>
        </w:rPr>
      </w:pPr>
    </w:p>
    <w:p>
      <w:pPr>
        <w:spacing w:line="360" w:lineRule="auto"/>
        <w:ind w:firstLine="412" w:firstLineChars="200"/>
        <w:jc w:val="left"/>
        <w:textAlignment w:val="baseline"/>
        <w:rPr>
          <w:rFonts w:ascii="宋体" w:hAnsi="宋体" w:cs="宋体"/>
          <w:color w:val="auto"/>
          <w:spacing w:val="-8"/>
          <w:sz w:val="20"/>
          <w:szCs w:val="21"/>
          <w:highlight w:val="none"/>
        </w:rPr>
      </w:pPr>
      <w:r>
        <w:rPr>
          <w:rFonts w:hint="eastAsia" w:ascii="宋体" w:hAnsi="宋体" w:cs="宋体"/>
          <w:color w:val="auto"/>
          <w:spacing w:val="-2"/>
          <w:szCs w:val="21"/>
          <w:highlight w:val="none"/>
        </w:rPr>
        <w:t>根据贵方</w:t>
      </w:r>
      <w:r>
        <w:rPr>
          <w:rFonts w:hint="eastAsia" w:ascii="宋体" w:hAnsi="宋体" w:cs="宋体"/>
          <w:color w:val="auto"/>
          <w:kern w:val="0"/>
          <w:szCs w:val="21"/>
          <w:highlight w:val="none"/>
          <w:u w:val="single"/>
        </w:rPr>
        <w:t xml:space="preserve">  爱常山-数字化建设工程（一期）（项目编号：GXZFCG-2022-CS09）</w:t>
      </w:r>
      <w:r>
        <w:rPr>
          <w:rFonts w:hint="eastAsia" w:ascii="宋体" w:hAnsi="宋体" w:cs="宋体"/>
          <w:color w:val="auto"/>
          <w:spacing w:val="-3"/>
          <w:szCs w:val="21"/>
          <w:highlight w:val="none"/>
        </w:rPr>
        <w:t>采购文件要求，我公司在完全理解采购文件技术要求、商务条款</w:t>
      </w:r>
      <w:r>
        <w:rPr>
          <w:rFonts w:hint="eastAsia" w:ascii="宋体" w:hAnsi="宋体" w:cs="宋体"/>
          <w:color w:val="auto"/>
          <w:spacing w:val="-6"/>
          <w:szCs w:val="21"/>
          <w:highlight w:val="none"/>
        </w:rPr>
        <w:t>及其他内容的基础上，决定参与该项目的投标活动。并承诺，我公司具有履行合同所必需的设备和专业技术能力，符合政府采购法第二十二条第三款规定的资格条件</w:t>
      </w:r>
      <w:r>
        <w:rPr>
          <w:rFonts w:hint="eastAsia" w:ascii="宋体" w:hAnsi="宋体" w:cs="宋体"/>
          <w:color w:val="auto"/>
          <w:spacing w:val="-8"/>
          <w:szCs w:val="21"/>
          <w:highlight w:val="none"/>
        </w:rPr>
        <w:t>。</w:t>
      </w:r>
    </w:p>
    <w:p>
      <w:pPr>
        <w:spacing w:line="360" w:lineRule="auto"/>
        <w:ind w:firstLine="388" w:firstLineChars="200"/>
        <w:jc w:val="left"/>
        <w:textAlignment w:val="baseline"/>
        <w:rPr>
          <w:rFonts w:ascii="宋体" w:hAnsi="宋体" w:cs="宋体"/>
          <w:color w:val="auto"/>
          <w:spacing w:val="-3"/>
          <w:sz w:val="20"/>
          <w:szCs w:val="21"/>
          <w:highlight w:val="none"/>
        </w:rPr>
      </w:pPr>
      <w:r>
        <w:rPr>
          <w:rFonts w:hint="eastAsia" w:ascii="宋体" w:hAnsi="宋体" w:cs="宋体"/>
          <w:color w:val="auto"/>
          <w:spacing w:val="-8"/>
          <w:szCs w:val="21"/>
          <w:highlight w:val="none"/>
        </w:rPr>
        <w:t>本公司对上述承诺的真实性负责，如有虚假，我公司同意按我方提供虚假材料谋取中标</w:t>
      </w:r>
      <w:r>
        <w:rPr>
          <w:rFonts w:hint="eastAsia" w:ascii="宋体" w:hAnsi="宋体" w:cs="宋体"/>
          <w:color w:val="auto"/>
          <w:szCs w:val="21"/>
          <w:highlight w:val="none"/>
        </w:rPr>
        <w:t>（成交）</w:t>
      </w:r>
      <w:r>
        <w:rPr>
          <w:rFonts w:hint="eastAsia" w:ascii="宋体" w:hAnsi="宋体" w:cs="宋体"/>
          <w:color w:val="auto"/>
          <w:spacing w:val="-3"/>
          <w:szCs w:val="21"/>
          <w:highlight w:val="none"/>
        </w:rPr>
        <w:t>处理，并依法承担相应法律责任。</w:t>
      </w:r>
    </w:p>
    <w:p>
      <w:pPr>
        <w:spacing w:line="360" w:lineRule="auto"/>
        <w:ind w:firstLine="388" w:firstLineChars="200"/>
        <w:jc w:val="left"/>
        <w:textAlignment w:val="baseline"/>
        <w:rPr>
          <w:rFonts w:ascii="宋体" w:hAnsi="宋体" w:cs="宋体"/>
          <w:color w:val="auto"/>
          <w:spacing w:val="-8"/>
          <w:sz w:val="20"/>
          <w:szCs w:val="21"/>
          <w:highlight w:val="none"/>
        </w:rPr>
      </w:pPr>
      <w:r>
        <w:rPr>
          <w:rFonts w:hint="eastAsia" w:ascii="宋体" w:hAnsi="宋体" w:cs="宋体"/>
          <w:color w:val="auto"/>
          <w:spacing w:val="-8"/>
          <w:szCs w:val="21"/>
          <w:highlight w:val="none"/>
        </w:rPr>
        <w:t>特此承诺。</w:t>
      </w:r>
    </w:p>
    <w:p>
      <w:pPr>
        <w:spacing w:line="360" w:lineRule="auto"/>
        <w:ind w:firstLine="448" w:firstLineChars="200"/>
        <w:jc w:val="left"/>
        <w:textAlignment w:val="baseline"/>
        <w:rPr>
          <w:rFonts w:ascii="宋体" w:hAnsi="宋体" w:cs="宋体"/>
          <w:color w:val="auto"/>
          <w:spacing w:val="-8"/>
          <w:sz w:val="24"/>
          <w:szCs w:val="24"/>
          <w:highlight w:val="none"/>
        </w:rPr>
      </w:pPr>
    </w:p>
    <w:p>
      <w:pPr>
        <w:spacing w:line="440" w:lineRule="exact"/>
        <w:ind w:firstLine="4860"/>
        <w:jc w:val="left"/>
        <w:textAlignment w:val="baseline"/>
        <w:rPr>
          <w:rFonts w:ascii="宋体" w:hAnsi="宋体" w:cs="宋体"/>
          <w:b/>
          <w:bCs/>
          <w:color w:val="auto"/>
          <w:sz w:val="20"/>
          <w:szCs w:val="21"/>
          <w:highlight w:val="none"/>
          <w:u w:val="single" w:color="000000"/>
        </w:rPr>
      </w:pPr>
      <w:r>
        <w:rPr>
          <w:rFonts w:hint="eastAsia" w:ascii="宋体" w:hAnsi="宋体" w:cs="宋体"/>
          <w:b/>
          <w:bCs/>
          <w:color w:val="auto"/>
          <w:sz w:val="24"/>
          <w:highlight w:val="none"/>
        </w:rPr>
        <w:t>磋商供应商名称（盖章）：</w:t>
      </w:r>
      <w:r>
        <w:rPr>
          <w:rFonts w:hint="eastAsia" w:ascii="宋体" w:hAnsi="宋体" w:cs="宋体"/>
          <w:b/>
          <w:bCs/>
          <w:color w:val="auto"/>
          <w:szCs w:val="21"/>
          <w:highlight w:val="none"/>
          <w:u w:val="single" w:color="000000"/>
        </w:rPr>
        <w:t xml:space="preserve">                               </w:t>
      </w:r>
    </w:p>
    <w:p>
      <w:pPr>
        <w:spacing w:line="440" w:lineRule="exact"/>
        <w:ind w:firstLine="4860"/>
        <w:jc w:val="left"/>
        <w:textAlignment w:val="baseline"/>
        <w:rPr>
          <w:rFonts w:ascii="宋体" w:hAnsi="宋体" w:cs="宋体"/>
          <w:color w:val="auto"/>
          <w:sz w:val="20"/>
          <w:szCs w:val="21"/>
          <w:highlight w:val="none"/>
          <w:u w:val="single" w:color="000000"/>
        </w:rPr>
      </w:pPr>
      <w:r>
        <w:rPr>
          <w:rFonts w:hint="eastAsia" w:ascii="宋体" w:hAnsi="宋体" w:cs="宋体"/>
          <w:b/>
          <w:bCs/>
          <w:color w:val="auto"/>
          <w:szCs w:val="21"/>
          <w:highlight w:val="none"/>
        </w:rPr>
        <w:t>日   期：    年     月     日</w:t>
      </w:r>
      <w:r>
        <w:rPr>
          <w:rFonts w:hint="eastAsia" w:ascii="宋体" w:hAnsi="宋体" w:cs="宋体"/>
          <w:color w:val="auto"/>
          <w:szCs w:val="21"/>
          <w:highlight w:val="none"/>
        </w:rPr>
        <w:t xml:space="preserve">                            </w:t>
      </w:r>
    </w:p>
    <w:p>
      <w:pPr>
        <w:spacing w:line="440" w:lineRule="exact"/>
        <w:textAlignment w:val="baseline"/>
        <w:rPr>
          <w:rFonts w:ascii="宋体" w:hAnsi="宋体" w:cs="宋体"/>
          <w:b/>
          <w:bCs/>
          <w:color w:val="auto"/>
          <w:sz w:val="22"/>
          <w:highlight w:val="none"/>
        </w:rPr>
      </w:pPr>
      <w:r>
        <w:rPr>
          <w:rFonts w:hint="eastAsia" w:ascii="宋体" w:hAnsi="宋体" w:cs="宋体"/>
          <w:b/>
          <w:bCs/>
          <w:color w:val="auto"/>
          <w:sz w:val="24"/>
          <w:szCs w:val="24"/>
          <w:highlight w:val="none"/>
        </w:rPr>
        <w:br w:type="page"/>
      </w:r>
    </w:p>
    <w:p>
      <w:pPr>
        <w:bidi w:val="0"/>
        <w:rPr>
          <w:rFonts w:hint="eastAsia"/>
          <w:b/>
          <w:bCs/>
          <w:color w:val="auto"/>
          <w:sz w:val="22"/>
          <w:szCs w:val="24"/>
          <w:highlight w:val="none"/>
        </w:rPr>
      </w:pPr>
      <w:bookmarkStart w:id="356" w:name="_Toc30447"/>
      <w:r>
        <w:rPr>
          <w:rFonts w:hint="eastAsia"/>
          <w:b/>
          <w:bCs/>
          <w:color w:val="auto"/>
          <w:sz w:val="22"/>
          <w:szCs w:val="24"/>
          <w:highlight w:val="none"/>
        </w:rPr>
        <w:t>附件3</w:t>
      </w:r>
      <w:bookmarkEnd w:id="356"/>
    </w:p>
    <w:p>
      <w:pPr>
        <w:spacing w:line="360" w:lineRule="auto"/>
        <w:jc w:val="center"/>
        <w:textAlignment w:val="baseline"/>
        <w:rPr>
          <w:rFonts w:ascii="宋体" w:hAnsi="宋体" w:cs="宋体"/>
          <w:b/>
          <w:color w:val="auto"/>
          <w:sz w:val="30"/>
          <w:highlight w:val="none"/>
        </w:rPr>
      </w:pPr>
      <w:r>
        <w:rPr>
          <w:rFonts w:hint="eastAsia" w:ascii="宋体" w:hAnsi="宋体" w:cs="宋体"/>
          <w:b/>
          <w:color w:val="auto"/>
          <w:sz w:val="30"/>
          <w:highlight w:val="none"/>
        </w:rPr>
        <w:t>参加本次政府采购活动前三年内</w:t>
      </w:r>
    </w:p>
    <w:p>
      <w:pPr>
        <w:spacing w:line="360" w:lineRule="auto"/>
        <w:jc w:val="center"/>
        <w:textAlignment w:val="baseline"/>
        <w:rPr>
          <w:rFonts w:ascii="宋体" w:hAnsi="宋体" w:cs="宋体"/>
          <w:b/>
          <w:color w:val="auto"/>
          <w:spacing w:val="-1"/>
          <w:sz w:val="30"/>
          <w:highlight w:val="none"/>
        </w:rPr>
      </w:pPr>
      <w:r>
        <w:rPr>
          <w:rFonts w:hint="eastAsia" w:ascii="宋体" w:hAnsi="宋体" w:cs="宋体"/>
          <w:b/>
          <w:color w:val="auto"/>
          <w:spacing w:val="-1"/>
          <w:sz w:val="30"/>
          <w:highlight w:val="none"/>
        </w:rPr>
        <w:t>在经营活动中无重大违法记录承诺函</w:t>
      </w:r>
    </w:p>
    <w:p>
      <w:pPr>
        <w:pStyle w:val="51"/>
        <w:rPr>
          <w:rFonts w:ascii="宋体" w:hAnsi="宋体" w:cs="宋体"/>
          <w:color w:val="auto"/>
          <w:highlight w:val="none"/>
        </w:rPr>
      </w:pPr>
    </w:p>
    <w:p>
      <w:pPr>
        <w:pStyle w:val="2"/>
        <w:tabs>
          <w:tab w:val="left" w:pos="3659"/>
        </w:tabs>
        <w:spacing w:after="0"/>
        <w:textAlignment w:val="baseline"/>
        <w:rPr>
          <w:rFonts w:ascii="宋体" w:hAnsi="宋体" w:cs="宋体"/>
          <w:color w:val="auto"/>
          <w:highlight w:val="none"/>
        </w:rPr>
      </w:pPr>
      <w:r>
        <w:rPr>
          <w:rFonts w:hint="eastAsia" w:ascii="宋体" w:hAnsi="宋体" w:cs="宋体"/>
          <w:color w:val="auto"/>
          <w:highlight w:val="none"/>
          <w:u w:val="single"/>
        </w:rPr>
        <w:t xml:space="preserve">常山传媒集团 </w:t>
      </w:r>
      <w:r>
        <w:rPr>
          <w:rFonts w:hint="eastAsia" w:ascii="宋体" w:hAnsi="宋体" w:cs="宋体"/>
          <w:color w:val="auto"/>
          <w:highlight w:val="none"/>
        </w:rPr>
        <w:t>：</w:t>
      </w:r>
    </w:p>
    <w:p>
      <w:pPr>
        <w:pStyle w:val="2"/>
        <w:spacing w:after="0"/>
        <w:textAlignment w:val="baseline"/>
        <w:rPr>
          <w:rFonts w:ascii="宋体" w:hAnsi="宋体" w:cs="宋体"/>
          <w:color w:val="auto"/>
          <w:sz w:val="30"/>
          <w:highlight w:val="none"/>
        </w:rPr>
      </w:pPr>
    </w:p>
    <w:p>
      <w:pPr>
        <w:pStyle w:val="2"/>
        <w:spacing w:after="0" w:line="61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我公司在参加本次政府采购活动前三年内，在经营活动中没有重大违法</w:t>
      </w:r>
      <w:r>
        <w:rPr>
          <w:rFonts w:hint="eastAsia" w:ascii="宋体" w:hAnsi="宋体" w:cs="宋体"/>
          <w:color w:val="auto"/>
          <w:spacing w:val="-11"/>
          <w:sz w:val="24"/>
          <w:highlight w:val="none"/>
        </w:rPr>
        <w:t>记录，严格遵守国家有关法律、法规及相关政策，遵循公开、公平、公正和诚实</w:t>
      </w:r>
      <w:r>
        <w:rPr>
          <w:rFonts w:hint="eastAsia" w:ascii="宋体" w:hAnsi="宋体" w:cs="宋体"/>
          <w:color w:val="auto"/>
          <w:sz w:val="24"/>
          <w:highlight w:val="none"/>
        </w:rPr>
        <w:t>信用的原则参加本次政府采购活动，本公司愿接受监管部门及采购单位监督。</w:t>
      </w:r>
    </w:p>
    <w:p>
      <w:pPr>
        <w:spacing w:line="360" w:lineRule="auto"/>
        <w:ind w:firstLine="480" w:firstLineChars="200"/>
        <w:jc w:val="left"/>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特此承诺。</w:t>
      </w:r>
    </w:p>
    <w:p>
      <w:pPr>
        <w:pStyle w:val="51"/>
        <w:rPr>
          <w:rFonts w:ascii="宋体" w:hAnsi="宋体" w:cs="宋体"/>
          <w:color w:val="auto"/>
          <w:sz w:val="24"/>
          <w:szCs w:val="24"/>
          <w:highlight w:val="none"/>
        </w:rPr>
      </w:pPr>
    </w:p>
    <w:p>
      <w:pPr>
        <w:pStyle w:val="51"/>
        <w:rPr>
          <w:rFonts w:ascii="宋体" w:hAnsi="宋体" w:cs="宋体"/>
          <w:color w:val="auto"/>
          <w:sz w:val="24"/>
          <w:szCs w:val="24"/>
          <w:highlight w:val="none"/>
        </w:rPr>
      </w:pPr>
    </w:p>
    <w:p>
      <w:pPr>
        <w:spacing w:line="440" w:lineRule="exact"/>
        <w:ind w:firstLine="4860"/>
        <w:jc w:val="left"/>
        <w:textAlignment w:val="baseline"/>
        <w:rPr>
          <w:rFonts w:ascii="宋体" w:hAnsi="宋体" w:cs="宋体"/>
          <w:b/>
          <w:bCs/>
          <w:color w:val="auto"/>
          <w:sz w:val="20"/>
          <w:szCs w:val="21"/>
          <w:highlight w:val="none"/>
          <w:u w:val="single" w:color="000000"/>
        </w:rPr>
      </w:pPr>
      <w:r>
        <w:rPr>
          <w:rFonts w:hint="eastAsia" w:ascii="宋体" w:hAnsi="宋体" w:cs="宋体"/>
          <w:b/>
          <w:bCs/>
          <w:color w:val="auto"/>
          <w:sz w:val="24"/>
          <w:highlight w:val="none"/>
        </w:rPr>
        <w:t>磋商供应商名称（盖章）：</w:t>
      </w:r>
      <w:r>
        <w:rPr>
          <w:rFonts w:hint="eastAsia" w:ascii="宋体" w:hAnsi="宋体" w:cs="宋体"/>
          <w:b/>
          <w:bCs/>
          <w:color w:val="auto"/>
          <w:szCs w:val="21"/>
          <w:highlight w:val="none"/>
          <w:u w:val="single" w:color="000000"/>
        </w:rPr>
        <w:t xml:space="preserve">                               </w:t>
      </w:r>
    </w:p>
    <w:p>
      <w:pPr>
        <w:spacing w:line="440" w:lineRule="exact"/>
        <w:ind w:firstLine="4860"/>
        <w:jc w:val="left"/>
        <w:textAlignment w:val="baseline"/>
        <w:rPr>
          <w:rFonts w:ascii="宋体" w:hAnsi="宋体" w:cs="宋体"/>
          <w:color w:val="auto"/>
          <w:sz w:val="20"/>
          <w:szCs w:val="21"/>
          <w:highlight w:val="none"/>
          <w:u w:val="single" w:color="000000"/>
        </w:rPr>
      </w:pPr>
      <w:r>
        <w:rPr>
          <w:rFonts w:hint="eastAsia" w:ascii="宋体" w:hAnsi="宋体" w:cs="宋体"/>
          <w:b/>
          <w:bCs/>
          <w:color w:val="auto"/>
          <w:szCs w:val="21"/>
          <w:highlight w:val="none"/>
        </w:rPr>
        <w:t>日   期：    年     月     日</w:t>
      </w:r>
      <w:r>
        <w:rPr>
          <w:rFonts w:hint="eastAsia" w:ascii="宋体" w:hAnsi="宋体" w:cs="宋体"/>
          <w:color w:val="auto"/>
          <w:szCs w:val="21"/>
          <w:highlight w:val="none"/>
        </w:rPr>
        <w:t xml:space="preserve">                            </w:t>
      </w:r>
    </w:p>
    <w:p>
      <w:pPr>
        <w:spacing w:line="360" w:lineRule="auto"/>
        <w:jc w:val="left"/>
        <w:textAlignment w:val="baseline"/>
        <w:rPr>
          <w:rFonts w:ascii="宋体" w:hAnsi="宋体" w:cs="宋体"/>
          <w:b/>
          <w:bCs/>
          <w:color w:val="auto"/>
          <w:sz w:val="24"/>
          <w:szCs w:val="24"/>
          <w:highlight w:val="none"/>
        </w:rPr>
      </w:pPr>
      <w:r>
        <w:rPr>
          <w:rFonts w:hint="eastAsia" w:ascii="宋体" w:hAnsi="宋体" w:cs="宋体"/>
          <w:b/>
          <w:bCs/>
          <w:color w:val="auto"/>
          <w:sz w:val="24"/>
          <w:szCs w:val="24"/>
          <w:highlight w:val="none"/>
        </w:rPr>
        <w:br w:type="page"/>
      </w:r>
    </w:p>
    <w:p>
      <w:pPr>
        <w:bidi w:val="0"/>
        <w:rPr>
          <w:rFonts w:hint="eastAsia"/>
          <w:b/>
          <w:bCs/>
          <w:color w:val="auto"/>
          <w:sz w:val="22"/>
          <w:szCs w:val="24"/>
          <w:highlight w:val="none"/>
        </w:rPr>
      </w:pPr>
      <w:bookmarkStart w:id="357" w:name="_Toc14559"/>
      <w:r>
        <w:rPr>
          <w:rFonts w:hint="eastAsia"/>
          <w:b/>
          <w:bCs/>
          <w:color w:val="auto"/>
          <w:sz w:val="22"/>
          <w:szCs w:val="24"/>
          <w:highlight w:val="none"/>
        </w:rPr>
        <w:t>附件3</w:t>
      </w:r>
    </w:p>
    <w:bookmarkEnd w:id="357"/>
    <w:p>
      <w:pPr>
        <w:spacing w:line="360" w:lineRule="auto"/>
        <w:jc w:val="center"/>
        <w:textAlignment w:val="baseline"/>
        <w:rPr>
          <w:rFonts w:ascii="宋体" w:hAnsi="宋体" w:cs="宋体"/>
          <w:b/>
          <w:bCs/>
          <w:color w:val="auto"/>
          <w:sz w:val="32"/>
          <w:szCs w:val="32"/>
          <w:highlight w:val="none"/>
        </w:rPr>
      </w:pPr>
      <w:r>
        <w:rPr>
          <w:rFonts w:hint="eastAsia" w:ascii="宋体" w:hAnsi="宋体" w:cs="宋体"/>
          <w:b/>
          <w:bCs/>
          <w:color w:val="auto"/>
          <w:sz w:val="32"/>
          <w:szCs w:val="32"/>
          <w:highlight w:val="none"/>
        </w:rPr>
        <w:t>供应商自评表</w:t>
      </w:r>
    </w:p>
    <w:tbl>
      <w:tblPr>
        <w:tblStyle w:val="28"/>
        <w:tblW w:w="10265" w:type="dxa"/>
        <w:tblInd w:w="0" w:type="dxa"/>
        <w:tblLayout w:type="fixed"/>
        <w:tblCellMar>
          <w:top w:w="15" w:type="dxa"/>
          <w:left w:w="15" w:type="dxa"/>
          <w:bottom w:w="15" w:type="dxa"/>
          <w:right w:w="15" w:type="dxa"/>
        </w:tblCellMar>
      </w:tblPr>
      <w:tblGrid>
        <w:gridCol w:w="1276"/>
        <w:gridCol w:w="4057"/>
        <w:gridCol w:w="933"/>
        <w:gridCol w:w="1117"/>
        <w:gridCol w:w="1448"/>
        <w:gridCol w:w="1434"/>
      </w:tblGrid>
      <w:tr>
        <w:tblPrEx>
          <w:tblCellMar>
            <w:top w:w="15" w:type="dxa"/>
            <w:left w:w="15" w:type="dxa"/>
            <w:bottom w:w="15" w:type="dxa"/>
            <w:right w:w="15" w:type="dxa"/>
          </w:tblCellMar>
        </w:tblPrEx>
        <w:trPr>
          <w:trHeight w:val="440" w:hRule="atLeast"/>
        </w:trPr>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b/>
                <w:bCs/>
                <w:color w:val="auto"/>
                <w:sz w:val="20"/>
                <w:szCs w:val="21"/>
                <w:highlight w:val="none"/>
              </w:rPr>
            </w:pPr>
            <w:r>
              <w:rPr>
                <w:rFonts w:hint="eastAsia" w:ascii="宋体" w:hAnsi="宋体" w:cs="宋体"/>
                <w:b/>
                <w:bCs/>
                <w:color w:val="auto"/>
                <w:szCs w:val="21"/>
                <w:highlight w:val="none"/>
              </w:rPr>
              <w:t>评审项目</w:t>
            </w:r>
          </w:p>
        </w:tc>
        <w:tc>
          <w:tcPr>
            <w:tcW w:w="40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b/>
                <w:bCs/>
                <w:color w:val="auto"/>
                <w:sz w:val="20"/>
                <w:szCs w:val="21"/>
                <w:highlight w:val="none"/>
              </w:rPr>
            </w:pPr>
            <w:r>
              <w:rPr>
                <w:rFonts w:hint="eastAsia" w:ascii="宋体" w:hAnsi="宋体" w:cs="宋体"/>
                <w:b/>
                <w:bCs/>
                <w:color w:val="auto"/>
                <w:szCs w:val="21"/>
                <w:highlight w:val="none"/>
              </w:rPr>
              <w:t>评分标准</w:t>
            </w:r>
          </w:p>
        </w:tc>
        <w:tc>
          <w:tcPr>
            <w:tcW w:w="9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b/>
                <w:bCs/>
                <w:color w:val="auto"/>
                <w:sz w:val="20"/>
                <w:szCs w:val="21"/>
                <w:highlight w:val="none"/>
              </w:rPr>
            </w:pPr>
            <w:r>
              <w:rPr>
                <w:rFonts w:hint="eastAsia" w:ascii="宋体" w:hAnsi="宋体" w:cs="宋体"/>
                <w:b/>
                <w:bCs/>
                <w:color w:val="auto"/>
                <w:szCs w:val="21"/>
                <w:highlight w:val="none"/>
              </w:rPr>
              <w:t>分值</w:t>
            </w:r>
          </w:p>
        </w:tc>
        <w:tc>
          <w:tcPr>
            <w:tcW w:w="11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b/>
                <w:bCs/>
                <w:color w:val="auto"/>
                <w:sz w:val="20"/>
                <w:szCs w:val="21"/>
                <w:highlight w:val="none"/>
              </w:rPr>
            </w:pPr>
            <w:r>
              <w:rPr>
                <w:rFonts w:hint="eastAsia" w:ascii="宋体" w:hAnsi="宋体" w:cs="宋体"/>
                <w:b/>
                <w:bCs/>
                <w:color w:val="auto"/>
                <w:szCs w:val="21"/>
                <w:highlight w:val="none"/>
              </w:rPr>
              <w:t>自评</w:t>
            </w:r>
          </w:p>
          <w:p>
            <w:pPr>
              <w:widowControl/>
              <w:spacing w:line="360" w:lineRule="auto"/>
              <w:jc w:val="center"/>
              <w:textAlignment w:val="center"/>
              <w:rPr>
                <w:rFonts w:ascii="宋体" w:hAnsi="宋体" w:cs="宋体"/>
                <w:b/>
                <w:bCs/>
                <w:color w:val="auto"/>
                <w:sz w:val="20"/>
                <w:szCs w:val="21"/>
                <w:highlight w:val="none"/>
              </w:rPr>
            </w:pPr>
            <w:r>
              <w:rPr>
                <w:rFonts w:hint="eastAsia" w:ascii="宋体" w:hAnsi="宋体" w:cs="宋体"/>
                <w:b/>
                <w:bCs/>
                <w:color w:val="auto"/>
                <w:szCs w:val="21"/>
                <w:highlight w:val="none"/>
              </w:rPr>
              <w:t>分值</w:t>
            </w:r>
          </w:p>
        </w:tc>
        <w:tc>
          <w:tcPr>
            <w:tcW w:w="14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b/>
                <w:bCs/>
                <w:color w:val="auto"/>
                <w:sz w:val="20"/>
                <w:szCs w:val="21"/>
                <w:highlight w:val="none"/>
              </w:rPr>
            </w:pPr>
            <w:r>
              <w:rPr>
                <w:rFonts w:hint="eastAsia" w:ascii="宋体" w:hAnsi="宋体" w:cs="宋体"/>
                <w:b/>
                <w:bCs/>
                <w:color w:val="auto"/>
                <w:szCs w:val="21"/>
                <w:highlight w:val="none"/>
              </w:rPr>
              <w:t>评分</w:t>
            </w:r>
          </w:p>
          <w:p>
            <w:pPr>
              <w:widowControl/>
              <w:spacing w:line="360" w:lineRule="auto"/>
              <w:jc w:val="center"/>
              <w:textAlignment w:val="center"/>
              <w:rPr>
                <w:rFonts w:ascii="宋体" w:hAnsi="宋体" w:cs="宋体"/>
                <w:b/>
                <w:bCs/>
                <w:color w:val="auto"/>
                <w:sz w:val="20"/>
                <w:szCs w:val="21"/>
                <w:highlight w:val="none"/>
              </w:rPr>
            </w:pPr>
            <w:r>
              <w:rPr>
                <w:rFonts w:hint="eastAsia" w:ascii="宋体" w:hAnsi="宋体" w:cs="宋体"/>
                <w:b/>
                <w:bCs/>
                <w:color w:val="auto"/>
                <w:szCs w:val="21"/>
                <w:highlight w:val="none"/>
              </w:rPr>
              <w:t>依据</w:t>
            </w:r>
          </w:p>
        </w:tc>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b/>
                <w:bCs/>
                <w:color w:val="auto"/>
                <w:sz w:val="20"/>
                <w:szCs w:val="21"/>
                <w:highlight w:val="none"/>
              </w:rPr>
            </w:pPr>
            <w:r>
              <w:rPr>
                <w:rFonts w:hint="eastAsia" w:ascii="宋体" w:hAnsi="宋体" w:cs="宋体"/>
                <w:b/>
                <w:bCs/>
                <w:color w:val="auto"/>
                <w:szCs w:val="21"/>
                <w:highlight w:val="none"/>
              </w:rPr>
              <w:t>评分对</w:t>
            </w:r>
          </w:p>
          <w:p>
            <w:pPr>
              <w:widowControl/>
              <w:spacing w:line="360" w:lineRule="auto"/>
              <w:jc w:val="center"/>
              <w:textAlignment w:val="center"/>
              <w:rPr>
                <w:rFonts w:ascii="宋体" w:hAnsi="宋体" w:cs="宋体"/>
                <w:b/>
                <w:bCs/>
                <w:color w:val="auto"/>
                <w:sz w:val="20"/>
                <w:szCs w:val="21"/>
                <w:highlight w:val="none"/>
              </w:rPr>
            </w:pPr>
            <w:r>
              <w:rPr>
                <w:rFonts w:hint="eastAsia" w:ascii="宋体" w:hAnsi="宋体" w:cs="宋体"/>
                <w:b/>
                <w:bCs/>
                <w:color w:val="auto"/>
                <w:szCs w:val="21"/>
                <w:highlight w:val="none"/>
              </w:rPr>
              <w:t>应页码</w:t>
            </w:r>
          </w:p>
        </w:tc>
      </w:tr>
      <w:tr>
        <w:tblPrEx>
          <w:tblCellMar>
            <w:top w:w="15" w:type="dxa"/>
            <w:left w:w="15" w:type="dxa"/>
            <w:bottom w:w="15" w:type="dxa"/>
            <w:right w:w="15" w:type="dxa"/>
          </w:tblCellMar>
        </w:tblPrEx>
        <w:trPr>
          <w:trHeight w:val="1279" w:hRule="atLeast"/>
        </w:trPr>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auto"/>
                <w:sz w:val="20"/>
                <w:szCs w:val="21"/>
                <w:highlight w:val="none"/>
              </w:rPr>
            </w:pPr>
          </w:p>
        </w:tc>
        <w:tc>
          <w:tcPr>
            <w:tcW w:w="40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宋体" w:hAnsi="宋体" w:cs="宋体"/>
                <w:color w:val="auto"/>
                <w:sz w:val="20"/>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baseline"/>
              <w:rPr>
                <w:rFonts w:ascii="宋体" w:hAnsi="宋体" w:cs="宋体"/>
                <w:color w:val="auto"/>
                <w:sz w:val="20"/>
                <w:szCs w:val="21"/>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baseline"/>
              <w:rPr>
                <w:rFonts w:ascii="宋体" w:hAnsi="宋体" w:cs="宋体"/>
                <w:color w:val="auto"/>
                <w:sz w:val="20"/>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baseline"/>
              <w:rPr>
                <w:rFonts w:ascii="宋体" w:hAnsi="宋体" w:cs="宋体"/>
                <w:color w:val="auto"/>
                <w:sz w:val="20"/>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baseline"/>
              <w:rPr>
                <w:rFonts w:ascii="宋体" w:hAnsi="宋体" w:cs="宋体"/>
                <w:color w:val="auto"/>
                <w:sz w:val="20"/>
                <w:szCs w:val="21"/>
                <w:highlight w:val="none"/>
              </w:rPr>
            </w:pPr>
          </w:p>
        </w:tc>
      </w:tr>
      <w:tr>
        <w:tblPrEx>
          <w:tblCellMar>
            <w:top w:w="15" w:type="dxa"/>
            <w:left w:w="15" w:type="dxa"/>
            <w:bottom w:w="15" w:type="dxa"/>
            <w:right w:w="15" w:type="dxa"/>
          </w:tblCellMar>
        </w:tblPrEx>
        <w:trPr>
          <w:trHeight w:val="1597" w:hRule="atLeast"/>
        </w:trPr>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auto"/>
                <w:sz w:val="20"/>
                <w:szCs w:val="21"/>
                <w:highlight w:val="none"/>
              </w:rPr>
            </w:pPr>
          </w:p>
        </w:tc>
        <w:tc>
          <w:tcPr>
            <w:tcW w:w="40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宋体" w:hAnsi="宋体" w:cs="宋体"/>
                <w:color w:val="auto"/>
                <w:sz w:val="20"/>
                <w:szCs w:val="21"/>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auto"/>
                <w:sz w:val="20"/>
                <w:szCs w:val="21"/>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auto"/>
                <w:sz w:val="20"/>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auto"/>
                <w:sz w:val="20"/>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auto"/>
                <w:sz w:val="20"/>
                <w:szCs w:val="21"/>
                <w:highlight w:val="none"/>
              </w:rPr>
            </w:pPr>
          </w:p>
        </w:tc>
      </w:tr>
      <w:tr>
        <w:tblPrEx>
          <w:tblCellMar>
            <w:top w:w="15" w:type="dxa"/>
            <w:left w:w="15" w:type="dxa"/>
            <w:bottom w:w="15" w:type="dxa"/>
            <w:right w:w="15" w:type="dxa"/>
          </w:tblCellMar>
        </w:tblPrEx>
        <w:trPr>
          <w:trHeight w:val="1545" w:hRule="atLeast"/>
        </w:trPr>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baseline"/>
              <w:rPr>
                <w:rFonts w:ascii="宋体" w:hAnsi="宋体" w:cs="宋体"/>
                <w:color w:val="auto"/>
                <w:sz w:val="20"/>
                <w:highlight w:val="none"/>
              </w:rPr>
            </w:pPr>
          </w:p>
        </w:tc>
        <w:tc>
          <w:tcPr>
            <w:tcW w:w="40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baseline"/>
              <w:rPr>
                <w:rFonts w:ascii="宋体" w:hAnsi="宋体" w:cs="宋体"/>
                <w:color w:val="auto"/>
                <w:sz w:val="20"/>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auto"/>
                <w:sz w:val="20"/>
                <w:szCs w:val="21"/>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auto"/>
                <w:sz w:val="20"/>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auto"/>
                <w:sz w:val="20"/>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auto"/>
                <w:sz w:val="20"/>
                <w:szCs w:val="21"/>
                <w:highlight w:val="none"/>
              </w:rPr>
            </w:pPr>
          </w:p>
        </w:tc>
      </w:tr>
      <w:tr>
        <w:tblPrEx>
          <w:tblCellMar>
            <w:top w:w="15" w:type="dxa"/>
            <w:left w:w="15" w:type="dxa"/>
            <w:bottom w:w="15" w:type="dxa"/>
            <w:right w:w="15" w:type="dxa"/>
          </w:tblCellMar>
        </w:tblPrEx>
        <w:trPr>
          <w:trHeight w:val="1320" w:hRule="atLeast"/>
        </w:trPr>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baseline"/>
              <w:rPr>
                <w:rFonts w:ascii="宋体" w:hAnsi="宋体" w:cs="宋体"/>
                <w:color w:val="auto"/>
                <w:sz w:val="20"/>
                <w:highlight w:val="none"/>
              </w:rPr>
            </w:pPr>
            <w:r>
              <w:rPr>
                <w:rFonts w:hint="eastAsia" w:ascii="宋体" w:hAnsi="宋体" w:cs="宋体"/>
                <w:color w:val="auto"/>
                <w:sz w:val="20"/>
                <w:highlight w:val="none"/>
              </w:rPr>
              <w:t>…</w:t>
            </w:r>
          </w:p>
        </w:tc>
        <w:tc>
          <w:tcPr>
            <w:tcW w:w="405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textAlignment w:val="baseline"/>
              <w:rPr>
                <w:rFonts w:ascii="宋体" w:hAnsi="宋体" w:cs="宋体"/>
                <w:color w:val="auto"/>
                <w:sz w:val="20"/>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auto"/>
                <w:sz w:val="20"/>
                <w:szCs w:val="21"/>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auto"/>
                <w:sz w:val="20"/>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auto"/>
                <w:sz w:val="20"/>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auto"/>
                <w:sz w:val="20"/>
                <w:szCs w:val="21"/>
                <w:highlight w:val="none"/>
              </w:rPr>
            </w:pPr>
          </w:p>
        </w:tc>
      </w:tr>
    </w:tbl>
    <w:p>
      <w:pPr>
        <w:spacing w:line="440" w:lineRule="exact"/>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rPr>
        <w:t>注：评审项目、评分标准、分值对应“第五章  评标原则及方法”技术资信分评审内容。</w:t>
      </w:r>
    </w:p>
    <w:p>
      <w:pPr>
        <w:spacing w:line="440" w:lineRule="exact"/>
        <w:ind w:firstLine="4860"/>
        <w:textAlignment w:val="baseline"/>
        <w:rPr>
          <w:rFonts w:ascii="宋体" w:hAnsi="宋体" w:cs="宋体"/>
          <w:b/>
          <w:bCs/>
          <w:color w:val="auto"/>
          <w:sz w:val="20"/>
          <w:szCs w:val="21"/>
          <w:highlight w:val="none"/>
        </w:rPr>
      </w:pPr>
    </w:p>
    <w:p>
      <w:pPr>
        <w:spacing w:line="440" w:lineRule="exact"/>
        <w:ind w:firstLine="4860"/>
        <w:textAlignment w:val="baseline"/>
        <w:rPr>
          <w:rFonts w:ascii="宋体" w:hAnsi="宋体" w:cs="宋体"/>
          <w:b/>
          <w:bCs/>
          <w:color w:val="auto"/>
          <w:sz w:val="20"/>
          <w:szCs w:val="21"/>
          <w:highlight w:val="none"/>
        </w:rPr>
      </w:pPr>
    </w:p>
    <w:p>
      <w:pPr>
        <w:spacing w:line="440" w:lineRule="exact"/>
        <w:ind w:firstLine="4860"/>
        <w:jc w:val="left"/>
        <w:textAlignment w:val="baseline"/>
        <w:rPr>
          <w:rFonts w:ascii="宋体" w:hAnsi="宋体" w:cs="宋体"/>
          <w:b/>
          <w:bCs/>
          <w:color w:val="auto"/>
          <w:sz w:val="20"/>
          <w:szCs w:val="21"/>
          <w:highlight w:val="none"/>
          <w:u w:val="single" w:color="000000"/>
        </w:rPr>
      </w:pPr>
      <w:r>
        <w:rPr>
          <w:rFonts w:hint="eastAsia" w:ascii="宋体" w:hAnsi="宋体" w:cs="宋体"/>
          <w:b/>
          <w:bCs/>
          <w:color w:val="auto"/>
          <w:sz w:val="24"/>
          <w:highlight w:val="none"/>
        </w:rPr>
        <w:t>磋商供应商名称（盖章）：</w:t>
      </w:r>
      <w:r>
        <w:rPr>
          <w:rFonts w:hint="eastAsia" w:ascii="宋体" w:hAnsi="宋体" w:cs="宋体"/>
          <w:b/>
          <w:bCs/>
          <w:color w:val="auto"/>
          <w:szCs w:val="21"/>
          <w:highlight w:val="none"/>
          <w:u w:val="single" w:color="000000"/>
        </w:rPr>
        <w:t xml:space="preserve">                               </w:t>
      </w:r>
    </w:p>
    <w:p>
      <w:pPr>
        <w:spacing w:line="440" w:lineRule="exact"/>
        <w:ind w:firstLine="4860"/>
        <w:jc w:val="left"/>
        <w:textAlignment w:val="baseline"/>
        <w:rPr>
          <w:rFonts w:ascii="宋体" w:hAnsi="宋体" w:cs="宋体"/>
          <w:color w:val="auto"/>
          <w:sz w:val="20"/>
          <w:szCs w:val="21"/>
          <w:highlight w:val="none"/>
          <w:u w:val="single" w:color="000000"/>
        </w:rPr>
      </w:pPr>
      <w:r>
        <w:rPr>
          <w:rFonts w:hint="eastAsia" w:ascii="宋体" w:hAnsi="宋体" w:cs="宋体"/>
          <w:b/>
          <w:bCs/>
          <w:color w:val="auto"/>
          <w:szCs w:val="21"/>
          <w:highlight w:val="none"/>
        </w:rPr>
        <w:t>日   期：    年     月     日</w:t>
      </w:r>
      <w:r>
        <w:rPr>
          <w:rFonts w:hint="eastAsia" w:ascii="宋体" w:hAnsi="宋体" w:cs="宋体"/>
          <w:color w:val="auto"/>
          <w:szCs w:val="21"/>
          <w:highlight w:val="none"/>
        </w:rPr>
        <w:t xml:space="preserve">                            </w:t>
      </w:r>
    </w:p>
    <w:p>
      <w:pPr>
        <w:pStyle w:val="27"/>
        <w:spacing w:line="360" w:lineRule="auto"/>
        <w:ind w:firstLine="44"/>
        <w:textAlignment w:val="baseline"/>
        <w:rPr>
          <w:rFonts w:ascii="宋体" w:hAnsi="宋体" w:eastAsia="宋体"/>
          <w:color w:val="auto"/>
          <w:sz w:val="22"/>
          <w:szCs w:val="22"/>
          <w:highlight w:val="none"/>
          <w:u w:val="single" w:color="000000"/>
        </w:rPr>
      </w:pPr>
    </w:p>
    <w:p>
      <w:pPr>
        <w:pStyle w:val="27"/>
        <w:spacing w:line="360" w:lineRule="auto"/>
        <w:ind w:firstLine="44"/>
        <w:textAlignment w:val="baseline"/>
        <w:rPr>
          <w:rFonts w:ascii="宋体" w:hAnsi="宋体" w:eastAsia="宋体"/>
          <w:color w:val="auto"/>
          <w:sz w:val="22"/>
          <w:szCs w:val="22"/>
          <w:highlight w:val="none"/>
          <w:u w:val="single"/>
        </w:rPr>
      </w:pPr>
    </w:p>
    <w:p>
      <w:pPr>
        <w:pStyle w:val="27"/>
        <w:spacing w:line="360" w:lineRule="auto"/>
        <w:ind w:firstLine="44"/>
        <w:textAlignment w:val="baseline"/>
        <w:rPr>
          <w:rFonts w:ascii="宋体" w:hAnsi="宋体" w:eastAsia="宋体"/>
          <w:color w:val="auto"/>
          <w:sz w:val="22"/>
          <w:szCs w:val="22"/>
          <w:highlight w:val="none"/>
          <w:u w:val="single"/>
        </w:rPr>
      </w:pPr>
    </w:p>
    <w:p>
      <w:pPr>
        <w:pStyle w:val="27"/>
        <w:spacing w:line="360" w:lineRule="auto"/>
        <w:ind w:firstLine="44"/>
        <w:textAlignment w:val="baseline"/>
        <w:rPr>
          <w:rFonts w:ascii="宋体" w:hAnsi="宋体" w:eastAsia="宋体"/>
          <w:color w:val="auto"/>
          <w:sz w:val="22"/>
          <w:szCs w:val="22"/>
          <w:highlight w:val="none"/>
          <w:u w:val="single"/>
        </w:rPr>
      </w:pPr>
    </w:p>
    <w:p>
      <w:pPr>
        <w:pStyle w:val="27"/>
        <w:spacing w:line="360" w:lineRule="auto"/>
        <w:ind w:firstLine="44"/>
        <w:textAlignment w:val="baseline"/>
        <w:rPr>
          <w:rFonts w:ascii="宋体" w:hAnsi="宋体" w:eastAsia="宋体"/>
          <w:color w:val="auto"/>
          <w:sz w:val="22"/>
          <w:szCs w:val="22"/>
          <w:highlight w:val="none"/>
          <w:u w:val="single"/>
        </w:rPr>
      </w:pPr>
    </w:p>
    <w:p>
      <w:pPr>
        <w:pStyle w:val="27"/>
        <w:spacing w:line="360" w:lineRule="auto"/>
        <w:ind w:firstLine="44"/>
        <w:textAlignment w:val="baseline"/>
        <w:rPr>
          <w:rFonts w:ascii="宋体" w:hAnsi="宋体" w:eastAsia="宋体"/>
          <w:color w:val="auto"/>
          <w:sz w:val="22"/>
          <w:szCs w:val="22"/>
          <w:highlight w:val="none"/>
          <w:u w:val="single"/>
        </w:rPr>
      </w:pPr>
    </w:p>
    <w:p>
      <w:pPr>
        <w:pStyle w:val="27"/>
        <w:spacing w:line="360" w:lineRule="auto"/>
        <w:ind w:firstLine="44"/>
        <w:textAlignment w:val="baseline"/>
        <w:rPr>
          <w:rFonts w:ascii="宋体" w:hAnsi="宋体" w:eastAsia="宋体"/>
          <w:color w:val="auto"/>
          <w:sz w:val="22"/>
          <w:szCs w:val="22"/>
          <w:highlight w:val="none"/>
          <w:u w:val="single"/>
        </w:rPr>
      </w:pPr>
    </w:p>
    <w:p>
      <w:pPr>
        <w:bidi w:val="0"/>
        <w:rPr>
          <w:rFonts w:hint="eastAsia"/>
          <w:b/>
          <w:bCs/>
          <w:color w:val="auto"/>
          <w:sz w:val="22"/>
          <w:szCs w:val="24"/>
          <w:highlight w:val="none"/>
        </w:rPr>
      </w:pPr>
      <w:bookmarkStart w:id="358" w:name="_Toc9861"/>
      <w:r>
        <w:rPr>
          <w:rFonts w:hint="eastAsia"/>
          <w:b/>
          <w:bCs/>
          <w:color w:val="auto"/>
          <w:sz w:val="22"/>
          <w:szCs w:val="24"/>
          <w:highlight w:val="none"/>
        </w:rPr>
        <w:t>附件5</w:t>
      </w:r>
      <w:bookmarkEnd w:id="358"/>
    </w:p>
    <w:p>
      <w:pPr>
        <w:widowControl/>
        <w:spacing w:line="420" w:lineRule="atLeast"/>
        <w:jc w:val="center"/>
        <w:textAlignment w:val="baseline"/>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投标声明书</w:t>
      </w:r>
    </w:p>
    <w:p>
      <w:pPr>
        <w:spacing w:line="360" w:lineRule="auto"/>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常山传媒集团 ：</w:t>
      </w:r>
    </w:p>
    <w:p>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根据贵方为</w:t>
      </w:r>
      <w:r>
        <w:rPr>
          <w:rFonts w:hint="eastAsia" w:ascii="宋体" w:hAnsi="宋体" w:cs="宋体"/>
          <w:color w:val="auto"/>
          <w:kern w:val="0"/>
          <w:szCs w:val="21"/>
          <w:highlight w:val="none"/>
          <w:u w:val="single"/>
        </w:rPr>
        <w:t xml:space="preserve">  爱常山-数字化建设工程（一期）（项目编号：GXZFCG-2022-CS09）</w:t>
      </w:r>
      <w:r>
        <w:rPr>
          <w:rFonts w:hint="eastAsia" w:ascii="宋体" w:hAnsi="宋体" w:cs="宋体"/>
          <w:color w:val="auto"/>
          <w:szCs w:val="21"/>
          <w:highlight w:val="none"/>
        </w:rPr>
        <w:t>的招标文件，我方</w:t>
      </w:r>
      <w:r>
        <w:rPr>
          <w:rFonts w:hint="eastAsia" w:ascii="宋体" w:hAnsi="宋体" w:cs="宋体"/>
          <w:color w:val="auto"/>
          <w:szCs w:val="21"/>
          <w:highlight w:val="none"/>
          <w:u w:val="single" w:color="000000"/>
        </w:rPr>
        <w:t>　　</w:t>
      </w:r>
      <w:r>
        <w:rPr>
          <w:rFonts w:hint="eastAsia" w:ascii="宋体" w:hAnsi="宋体" w:cs="宋体"/>
          <w:color w:val="auto"/>
          <w:szCs w:val="21"/>
          <w:highlight w:val="none"/>
        </w:rPr>
        <w:t>（投标人名称）作为投标人正式授权</w:t>
      </w:r>
      <w:r>
        <w:rPr>
          <w:rFonts w:hint="eastAsia" w:ascii="宋体" w:hAnsi="宋体" w:cs="宋体"/>
          <w:color w:val="auto"/>
          <w:szCs w:val="21"/>
          <w:highlight w:val="none"/>
          <w:u w:val="single" w:color="000000"/>
        </w:rPr>
        <w:t>　   （</w:t>
      </w:r>
      <w:r>
        <w:rPr>
          <w:rFonts w:hint="eastAsia" w:ascii="宋体" w:hAnsi="宋体" w:cs="宋体"/>
          <w:color w:val="auto"/>
          <w:szCs w:val="21"/>
          <w:highlight w:val="none"/>
        </w:rPr>
        <w:t>授权代表全名，职务）代表我方处理有关本投标的一切事宜。</w:t>
      </w:r>
    </w:p>
    <w:p>
      <w:pPr>
        <w:pStyle w:val="10"/>
        <w:spacing w:line="440" w:lineRule="exact"/>
        <w:ind w:firstLine="440"/>
        <w:textAlignment w:val="baseline"/>
        <w:rPr>
          <w:rFonts w:ascii="宋体" w:hAnsi="宋体" w:cs="宋体"/>
          <w:color w:val="auto"/>
          <w:szCs w:val="21"/>
          <w:highlight w:val="none"/>
        </w:rPr>
      </w:pPr>
      <w:r>
        <w:rPr>
          <w:rFonts w:hint="eastAsia" w:ascii="宋体" w:hAnsi="宋体" w:cs="宋体"/>
          <w:color w:val="auto"/>
          <w:szCs w:val="21"/>
          <w:highlight w:val="none"/>
        </w:rPr>
        <w:t>在此</w:t>
      </w:r>
      <w:r>
        <w:rPr>
          <w:rFonts w:hint="eastAsia" w:ascii="宋体" w:hAnsi="宋体" w:cs="宋体"/>
          <w:color w:val="auto"/>
          <w:spacing w:val="-3"/>
          <w:highlight w:val="none"/>
        </w:rPr>
        <w:t>提</w:t>
      </w:r>
      <w:r>
        <w:rPr>
          <w:rFonts w:hint="eastAsia" w:ascii="宋体" w:hAnsi="宋体" w:cs="宋体"/>
          <w:color w:val="auto"/>
          <w:highlight w:val="none"/>
        </w:rPr>
        <w:t>供</w:t>
      </w:r>
      <w:r>
        <w:rPr>
          <w:rFonts w:hint="eastAsia" w:ascii="宋体" w:hAnsi="宋体" w:cs="宋体"/>
          <w:color w:val="auto"/>
          <w:spacing w:val="-3"/>
          <w:highlight w:val="none"/>
        </w:rPr>
        <w:t>投</w:t>
      </w:r>
      <w:r>
        <w:rPr>
          <w:rFonts w:hint="eastAsia" w:ascii="宋体" w:hAnsi="宋体" w:cs="宋体"/>
          <w:color w:val="auto"/>
          <w:highlight w:val="none"/>
        </w:rPr>
        <w:t>标</w:t>
      </w:r>
      <w:r>
        <w:rPr>
          <w:rFonts w:hint="eastAsia" w:ascii="宋体" w:hAnsi="宋体" w:cs="宋体"/>
          <w:color w:val="auto"/>
          <w:spacing w:val="-3"/>
          <w:highlight w:val="none"/>
        </w:rPr>
        <w:t>人</w:t>
      </w:r>
      <w:r>
        <w:rPr>
          <w:rFonts w:hint="eastAsia" w:ascii="宋体" w:hAnsi="宋体" w:cs="宋体"/>
          <w:color w:val="auto"/>
          <w:highlight w:val="none"/>
        </w:rPr>
        <w:t>须知规</w:t>
      </w:r>
      <w:r>
        <w:rPr>
          <w:rFonts w:hint="eastAsia" w:ascii="宋体" w:hAnsi="宋体" w:cs="宋体"/>
          <w:color w:val="auto"/>
          <w:spacing w:val="-3"/>
          <w:highlight w:val="none"/>
        </w:rPr>
        <w:t>定的</w:t>
      </w:r>
      <w:r>
        <w:rPr>
          <w:rFonts w:hint="eastAsia" w:ascii="宋体" w:hAnsi="宋体" w:cs="宋体"/>
          <w:color w:val="auto"/>
          <w:highlight w:val="none"/>
        </w:rPr>
        <w:t>全部</w:t>
      </w:r>
      <w:r>
        <w:rPr>
          <w:rFonts w:hint="eastAsia" w:ascii="宋体" w:hAnsi="宋体" w:cs="宋体"/>
          <w:color w:val="auto"/>
          <w:spacing w:val="-3"/>
          <w:highlight w:val="none"/>
        </w:rPr>
        <w:t>投</w:t>
      </w:r>
      <w:r>
        <w:rPr>
          <w:rFonts w:hint="eastAsia" w:ascii="宋体" w:hAnsi="宋体" w:cs="宋体"/>
          <w:color w:val="auto"/>
          <w:highlight w:val="none"/>
        </w:rPr>
        <w:t>标</w:t>
      </w:r>
      <w:r>
        <w:rPr>
          <w:rFonts w:hint="eastAsia" w:ascii="宋体" w:hAnsi="宋体" w:cs="宋体"/>
          <w:color w:val="auto"/>
          <w:spacing w:val="-3"/>
          <w:highlight w:val="none"/>
        </w:rPr>
        <w:t>文</w:t>
      </w:r>
      <w:r>
        <w:rPr>
          <w:rFonts w:hint="eastAsia" w:ascii="宋体" w:hAnsi="宋体" w:cs="宋体"/>
          <w:color w:val="auto"/>
          <w:highlight w:val="none"/>
        </w:rPr>
        <w:t>件。</w:t>
      </w:r>
    </w:p>
    <w:p>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我方己完全明白招标文件的所有条款要求，并重申以下几点：</w:t>
      </w:r>
    </w:p>
    <w:p>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一）投标人已详细审查全部“招标文件”，包括修改、澄清文件（如有的话）以及全部参考资料和有关附件，已经了解我方对于招标文件、采购过程、采购结果有依法进行询问、质疑、投诉的权利及相关渠道和要求。</w:t>
      </w:r>
    </w:p>
    <w:p>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（二）投标人在投标之前已经与贵方进行了充分的沟通，完全理解并接受招标文件的各项规定和要求，对招标文件的合理性、合法性不再有异议。</w:t>
      </w:r>
    </w:p>
    <w:p>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（三）本投标有效期自开标日起90日。</w:t>
      </w:r>
    </w:p>
    <w:p>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（四）如中标，本投标文件至本项目合同履行完毕止均保持有效，本投标人将按“招标文件”及政府采购法律、法规的规定履行合同责任和义务。</w:t>
      </w:r>
    </w:p>
    <w:p>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（五）投标人同意按照贵方要求提供与投标有关的一切数据或资料。</w:t>
      </w:r>
    </w:p>
    <w:p>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（六）我方向贵方提交的所有投标文件、资料都是准确的和真实的。</w:t>
      </w:r>
    </w:p>
    <w:p>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（七）我方不是采购人的附属机构；在获知本项目采购信息后，与采购人聘请的为此项目提供咨询服务的公司及其附属机构没有任何联系。</w:t>
      </w:r>
    </w:p>
    <w:p>
      <w:pPr>
        <w:spacing w:line="440" w:lineRule="exact"/>
        <w:ind w:firstLine="420" w:firstLineChars="200"/>
        <w:textAlignment w:val="baseline"/>
        <w:rPr>
          <w:rFonts w:ascii="宋体" w:hAnsi="宋体" w:cs="宋体"/>
          <w:color w:val="auto"/>
          <w:sz w:val="20"/>
          <w:szCs w:val="21"/>
          <w:highlight w:val="none"/>
          <w:u w:val="single"/>
        </w:rPr>
      </w:pPr>
      <w:r>
        <w:rPr>
          <w:rFonts w:hint="eastAsia" w:ascii="宋体" w:hAnsi="宋体" w:cs="宋体"/>
          <w:color w:val="auto"/>
          <w:szCs w:val="21"/>
          <w:highlight w:val="none"/>
        </w:rPr>
        <w:t>（八）以上事项如有虚假或隐瞒，我方愿意承担一切后果，并不再寻求任何旨在减轻或免除法律责任的辩解。</w:t>
      </w:r>
    </w:p>
    <w:p>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（九）本投标有关的一切正式往来信函请寄：</w:t>
      </w:r>
    </w:p>
    <w:p>
      <w:pPr>
        <w:spacing w:line="440" w:lineRule="exact"/>
        <w:ind w:firstLine="435"/>
        <w:textAlignment w:val="baseline"/>
        <w:rPr>
          <w:rFonts w:ascii="宋体" w:hAnsi="宋体" w:cs="宋体"/>
          <w:color w:val="auto"/>
          <w:sz w:val="20"/>
          <w:szCs w:val="21"/>
          <w:highlight w:val="none"/>
          <w:u w:val="single"/>
        </w:rPr>
      </w:pPr>
      <w:r>
        <w:rPr>
          <w:rFonts w:hint="eastAsia" w:ascii="宋体" w:hAnsi="宋体" w:cs="宋体"/>
          <w:color w:val="auto"/>
          <w:szCs w:val="21"/>
          <w:highlight w:val="none"/>
        </w:rPr>
        <w:t>地址：</w:t>
      </w:r>
    </w:p>
    <w:p>
      <w:pPr>
        <w:spacing w:line="440" w:lineRule="exact"/>
        <w:ind w:firstLine="435"/>
        <w:textAlignment w:val="baseline"/>
        <w:rPr>
          <w:rFonts w:ascii="宋体" w:hAnsi="宋体" w:cs="宋体"/>
          <w:color w:val="auto"/>
          <w:sz w:val="20"/>
          <w:szCs w:val="21"/>
          <w:highlight w:val="none"/>
        </w:rPr>
      </w:pPr>
      <w:r>
        <w:rPr>
          <w:rFonts w:hint="eastAsia" w:ascii="宋体" w:hAnsi="宋体" w:cs="宋体"/>
          <w:color w:val="auto"/>
          <w:szCs w:val="21"/>
          <w:highlight w:val="none"/>
        </w:rPr>
        <w:t>电话：</w:t>
      </w:r>
    </w:p>
    <w:p>
      <w:pPr>
        <w:spacing w:line="440" w:lineRule="exact"/>
        <w:ind w:firstLine="435"/>
        <w:textAlignment w:val="baseline"/>
        <w:rPr>
          <w:rFonts w:ascii="宋体" w:hAnsi="宋体" w:cs="宋体"/>
          <w:color w:val="auto"/>
          <w:sz w:val="20"/>
          <w:szCs w:val="21"/>
          <w:highlight w:val="none"/>
        </w:rPr>
      </w:pPr>
      <w:r>
        <w:rPr>
          <w:rFonts w:hint="eastAsia" w:ascii="宋体" w:hAnsi="宋体" w:cs="宋体"/>
          <w:color w:val="auto"/>
          <w:szCs w:val="21"/>
          <w:highlight w:val="none"/>
        </w:rPr>
        <w:t>传真：</w:t>
      </w:r>
    </w:p>
    <w:p>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电子邮件：</w:t>
      </w:r>
    </w:p>
    <w:p>
      <w:pPr>
        <w:spacing w:line="440" w:lineRule="exact"/>
        <w:ind w:firstLine="4860"/>
        <w:jc w:val="left"/>
        <w:textAlignment w:val="baseline"/>
        <w:rPr>
          <w:rFonts w:ascii="宋体" w:hAnsi="宋体" w:cs="宋体"/>
          <w:b/>
          <w:bCs/>
          <w:color w:val="auto"/>
          <w:sz w:val="20"/>
          <w:szCs w:val="21"/>
          <w:highlight w:val="none"/>
          <w:u w:val="single" w:color="000000"/>
        </w:rPr>
      </w:pPr>
      <w:r>
        <w:rPr>
          <w:rFonts w:hint="eastAsia" w:ascii="宋体" w:hAnsi="宋体" w:cs="宋体"/>
          <w:b/>
          <w:bCs/>
          <w:color w:val="auto"/>
          <w:sz w:val="24"/>
          <w:highlight w:val="none"/>
        </w:rPr>
        <w:t>磋商供应商名称（盖章）：</w:t>
      </w:r>
    </w:p>
    <w:p>
      <w:pPr>
        <w:spacing w:line="440" w:lineRule="exact"/>
        <w:ind w:firstLine="4860"/>
        <w:jc w:val="left"/>
        <w:textAlignment w:val="baseline"/>
        <w:rPr>
          <w:rFonts w:ascii="宋体" w:hAnsi="宋体" w:cs="宋体"/>
          <w:color w:val="auto"/>
          <w:sz w:val="20"/>
          <w:szCs w:val="21"/>
          <w:highlight w:val="none"/>
          <w:u w:val="single" w:color="000000"/>
        </w:rPr>
      </w:pPr>
      <w:r>
        <w:rPr>
          <w:rFonts w:hint="eastAsia" w:ascii="宋体" w:hAnsi="宋体" w:cs="宋体"/>
          <w:b/>
          <w:bCs/>
          <w:color w:val="auto"/>
          <w:szCs w:val="21"/>
          <w:highlight w:val="none"/>
        </w:rPr>
        <w:t>日期：年月日</w:t>
      </w:r>
    </w:p>
    <w:p>
      <w:pPr>
        <w:spacing w:line="360" w:lineRule="auto"/>
        <w:textAlignment w:val="baseline"/>
        <w:rPr>
          <w:rFonts w:ascii="宋体" w:hAnsi="宋体" w:cs="宋体"/>
          <w:b/>
          <w:bCs/>
          <w:color w:val="auto"/>
          <w:sz w:val="22"/>
          <w:highlight w:val="none"/>
        </w:rPr>
      </w:pPr>
    </w:p>
    <w:p>
      <w:pPr>
        <w:pStyle w:val="27"/>
        <w:ind w:firstLine="44"/>
        <w:textAlignment w:val="baseline"/>
        <w:rPr>
          <w:rFonts w:ascii="宋体" w:hAnsi="宋体" w:eastAsia="宋体"/>
          <w:b/>
          <w:bCs/>
          <w:color w:val="auto"/>
          <w:sz w:val="22"/>
          <w:highlight w:val="none"/>
        </w:rPr>
      </w:pPr>
    </w:p>
    <w:p>
      <w:pPr>
        <w:pStyle w:val="27"/>
        <w:ind w:firstLine="44"/>
        <w:textAlignment w:val="baseline"/>
        <w:rPr>
          <w:rFonts w:ascii="宋体" w:hAnsi="宋体" w:eastAsia="宋体"/>
          <w:b/>
          <w:bCs/>
          <w:color w:val="auto"/>
          <w:sz w:val="22"/>
          <w:highlight w:val="none"/>
        </w:rPr>
      </w:pPr>
    </w:p>
    <w:p>
      <w:pPr>
        <w:pStyle w:val="3"/>
        <w:rPr>
          <w:color w:val="auto"/>
          <w:highlight w:val="none"/>
        </w:rPr>
      </w:pPr>
    </w:p>
    <w:p>
      <w:pPr>
        <w:bidi w:val="0"/>
        <w:rPr>
          <w:rFonts w:hint="eastAsia"/>
          <w:b/>
          <w:bCs/>
          <w:color w:val="auto"/>
          <w:sz w:val="22"/>
          <w:szCs w:val="24"/>
          <w:highlight w:val="none"/>
        </w:rPr>
      </w:pPr>
      <w:bookmarkStart w:id="359" w:name="_Toc231"/>
    </w:p>
    <w:p>
      <w:pPr>
        <w:bidi w:val="0"/>
        <w:rPr>
          <w:rFonts w:hint="eastAsia"/>
          <w:b/>
          <w:bCs/>
          <w:color w:val="auto"/>
          <w:sz w:val="22"/>
          <w:szCs w:val="24"/>
          <w:highlight w:val="none"/>
        </w:rPr>
      </w:pPr>
    </w:p>
    <w:p>
      <w:pPr>
        <w:bidi w:val="0"/>
        <w:rPr>
          <w:rFonts w:hint="eastAsia"/>
          <w:b/>
          <w:bCs/>
          <w:color w:val="auto"/>
          <w:sz w:val="22"/>
          <w:szCs w:val="24"/>
          <w:highlight w:val="none"/>
        </w:rPr>
      </w:pPr>
      <w:r>
        <w:rPr>
          <w:rFonts w:hint="eastAsia"/>
          <w:b/>
          <w:bCs/>
          <w:color w:val="auto"/>
          <w:sz w:val="22"/>
          <w:szCs w:val="24"/>
          <w:highlight w:val="none"/>
        </w:rPr>
        <w:t>附件6</w:t>
      </w:r>
      <w:bookmarkEnd w:id="359"/>
    </w:p>
    <w:p>
      <w:pPr>
        <w:widowControl/>
        <w:spacing w:line="360" w:lineRule="auto"/>
        <w:jc w:val="center"/>
        <w:textAlignment w:val="baseline"/>
        <w:rPr>
          <w:rFonts w:ascii="宋体" w:hAnsi="宋体" w:cs="宋体"/>
          <w:b/>
          <w:bCs/>
          <w:color w:val="auto"/>
          <w:kern w:val="0"/>
          <w:sz w:val="30"/>
          <w:szCs w:val="30"/>
          <w:highlight w:val="none"/>
        </w:rPr>
      </w:pPr>
      <w:bookmarkStart w:id="360" w:name="_Toc13405_WPSOffice_Level1"/>
      <w:bookmarkStart w:id="361" w:name="_Toc8847_WPSOffice_Level1"/>
      <w:r>
        <w:rPr>
          <w:rFonts w:hint="eastAsia" w:ascii="宋体" w:hAnsi="宋体" w:cs="宋体"/>
          <w:b/>
          <w:bCs/>
          <w:color w:val="auto"/>
          <w:kern w:val="0"/>
          <w:sz w:val="30"/>
          <w:szCs w:val="30"/>
          <w:highlight w:val="none"/>
        </w:rPr>
        <w:t>磋商供应商基本情况表</w:t>
      </w:r>
      <w:bookmarkEnd w:id="360"/>
      <w:bookmarkEnd w:id="361"/>
    </w:p>
    <w:tbl>
      <w:tblPr>
        <w:tblStyle w:val="28"/>
        <w:tblW w:w="92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68"/>
        <w:gridCol w:w="1209"/>
        <w:gridCol w:w="1423"/>
        <w:gridCol w:w="1431"/>
        <w:gridCol w:w="1533"/>
        <w:gridCol w:w="308"/>
        <w:gridCol w:w="15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tcBorders>
              <w:top w:val="single" w:color="auto" w:sz="4" w:space="0"/>
              <w:bottom w:val="single" w:color="auto" w:sz="4" w:space="0"/>
              <w:right w:val="single" w:color="auto" w:sz="4" w:space="0"/>
            </w:tcBorders>
            <w:vAlign w:val="center"/>
          </w:tcPr>
          <w:p>
            <w:pPr>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磋商供应商名称</w:t>
            </w:r>
          </w:p>
        </w:tc>
        <w:tc>
          <w:tcPr>
            <w:tcW w:w="7475" w:type="dxa"/>
            <w:gridSpan w:val="6"/>
            <w:tcBorders>
              <w:top w:val="single" w:color="auto" w:sz="4" w:space="0"/>
              <w:left w:val="single" w:color="auto" w:sz="4" w:space="0"/>
              <w:bottom w:val="single" w:color="auto" w:sz="4" w:space="0"/>
            </w:tcBorders>
            <w:vAlign w:val="center"/>
          </w:tcPr>
          <w:p>
            <w:pPr>
              <w:spacing w:line="360" w:lineRule="auto"/>
              <w:textAlignment w:val="baseline"/>
              <w:rPr>
                <w:rFonts w:ascii="宋体" w:hAnsi="宋体" w:cs="宋体"/>
                <w:color w:val="auto"/>
                <w:sz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tcBorders>
              <w:top w:val="single" w:color="auto" w:sz="4" w:space="0"/>
              <w:bottom w:val="single" w:color="auto" w:sz="4" w:space="0"/>
              <w:right w:val="single" w:color="auto" w:sz="4" w:space="0"/>
            </w:tcBorders>
            <w:vAlign w:val="center"/>
          </w:tcPr>
          <w:p>
            <w:pPr>
              <w:spacing w:line="360" w:lineRule="auto"/>
              <w:ind w:left="-38" w:leftChars="-51" w:right="-107" w:hanging="69" w:hangingChars="33"/>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法定代表人</w:t>
            </w:r>
          </w:p>
        </w:tc>
        <w:tc>
          <w:tcPr>
            <w:tcW w:w="1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宋体" w:hAnsi="宋体" w:cs="宋体"/>
                <w:bCs/>
                <w:color w:val="auto"/>
                <w:sz w:val="20"/>
                <w:szCs w:val="21"/>
                <w:highlight w:val="none"/>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ind w:left="-38" w:leftChars="-51" w:right="-107" w:hanging="69" w:hangingChars="33"/>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授权代表人</w:t>
            </w:r>
          </w:p>
        </w:tc>
        <w:tc>
          <w:tcPr>
            <w:tcW w:w="14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宋体" w:hAnsi="宋体" w:cs="宋体"/>
                <w:bCs/>
                <w:color w:val="auto"/>
                <w:sz w:val="20"/>
                <w:szCs w:val="21"/>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营业（经营）执照号码</w:t>
            </w:r>
          </w:p>
        </w:tc>
        <w:tc>
          <w:tcPr>
            <w:tcW w:w="1879" w:type="dxa"/>
            <w:gridSpan w:val="2"/>
            <w:tcBorders>
              <w:top w:val="single" w:color="auto" w:sz="4" w:space="0"/>
              <w:left w:val="single" w:color="auto" w:sz="4" w:space="0"/>
              <w:bottom w:val="single" w:color="auto" w:sz="4" w:space="0"/>
            </w:tcBorders>
            <w:vAlign w:val="center"/>
          </w:tcPr>
          <w:p>
            <w:pPr>
              <w:spacing w:line="360" w:lineRule="auto"/>
              <w:textAlignment w:val="baseline"/>
              <w:rPr>
                <w:rFonts w:ascii="宋体" w:hAnsi="宋体" w:cs="宋体"/>
                <w:bCs/>
                <w:color w:val="auto"/>
                <w:sz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tcBorders>
              <w:top w:val="single" w:color="auto" w:sz="4" w:space="0"/>
              <w:bottom w:val="single" w:color="auto" w:sz="4" w:space="0"/>
              <w:right w:val="single" w:color="auto" w:sz="4" w:space="0"/>
            </w:tcBorders>
            <w:vAlign w:val="center"/>
          </w:tcPr>
          <w:p>
            <w:pPr>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职工人数</w:t>
            </w:r>
          </w:p>
        </w:tc>
        <w:tc>
          <w:tcPr>
            <w:tcW w:w="1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宋体" w:hAnsi="宋体" w:cs="宋体"/>
                <w:bCs/>
                <w:color w:val="auto"/>
                <w:sz w:val="20"/>
                <w:szCs w:val="21"/>
                <w:highlight w:val="none"/>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pPr>
              <w:spacing w:line="360" w:lineRule="auto"/>
              <w:ind w:right="-89"/>
              <w:jc w:val="center"/>
              <w:textAlignment w:val="baseline"/>
              <w:rPr>
                <w:rFonts w:ascii="宋体" w:hAnsi="宋体" w:cs="宋体"/>
                <w:bCs/>
                <w:color w:val="auto"/>
                <w:sz w:val="20"/>
                <w:szCs w:val="21"/>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pPr>
              <w:spacing w:line="360" w:lineRule="auto"/>
              <w:ind w:left="-38" w:leftChars="-51" w:hanging="69" w:hangingChars="33"/>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注册资金</w:t>
            </w:r>
          </w:p>
        </w:tc>
        <w:tc>
          <w:tcPr>
            <w:tcW w:w="1879" w:type="dxa"/>
            <w:gridSpan w:val="2"/>
            <w:tcBorders>
              <w:top w:val="single" w:color="auto" w:sz="4" w:space="0"/>
              <w:left w:val="single" w:color="auto" w:sz="4" w:space="0"/>
              <w:bottom w:val="single" w:color="auto" w:sz="4" w:space="0"/>
            </w:tcBorders>
            <w:vAlign w:val="center"/>
          </w:tcPr>
          <w:p>
            <w:pPr>
              <w:spacing w:line="360" w:lineRule="auto"/>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tcBorders>
              <w:top w:val="single" w:color="auto" w:sz="4" w:space="0"/>
              <w:bottom w:val="single" w:color="auto" w:sz="4" w:space="0"/>
              <w:right w:val="single" w:color="auto" w:sz="4" w:space="0"/>
            </w:tcBorders>
            <w:vAlign w:val="center"/>
          </w:tcPr>
          <w:p>
            <w:pPr>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地址</w:t>
            </w:r>
          </w:p>
        </w:tc>
        <w:tc>
          <w:tcPr>
            <w:tcW w:w="7475" w:type="dxa"/>
            <w:gridSpan w:val="6"/>
            <w:tcBorders>
              <w:top w:val="single" w:color="auto" w:sz="4" w:space="0"/>
              <w:left w:val="single" w:color="auto" w:sz="4" w:space="0"/>
              <w:bottom w:val="single" w:color="auto" w:sz="4" w:space="0"/>
            </w:tcBorders>
            <w:vAlign w:val="center"/>
          </w:tcPr>
          <w:p>
            <w:pPr>
              <w:spacing w:line="360" w:lineRule="auto"/>
              <w:jc w:val="center"/>
              <w:textAlignment w:val="baseline"/>
              <w:rPr>
                <w:rFonts w:ascii="宋体" w:hAnsi="宋体" w:cs="宋体"/>
                <w:bCs/>
                <w:color w:val="auto"/>
                <w:sz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restart"/>
            <w:tcBorders>
              <w:top w:val="single" w:color="auto" w:sz="4" w:space="0"/>
              <w:right w:val="single" w:color="auto" w:sz="4" w:space="0"/>
            </w:tcBorders>
            <w:vAlign w:val="center"/>
          </w:tcPr>
          <w:p>
            <w:pPr>
              <w:spacing w:line="360" w:lineRule="auto"/>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所获资质</w:t>
            </w:r>
          </w:p>
          <w:p>
            <w:pPr>
              <w:spacing w:line="360" w:lineRule="auto"/>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或认证</w:t>
            </w:r>
          </w:p>
        </w:tc>
        <w:tc>
          <w:tcPr>
            <w:tcW w:w="1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颁发时间</w:t>
            </w:r>
          </w:p>
        </w:tc>
        <w:tc>
          <w:tcPr>
            <w:tcW w:w="1571" w:type="dxa"/>
            <w:tcBorders>
              <w:top w:val="single" w:color="auto" w:sz="4" w:space="0"/>
              <w:left w:val="single" w:color="auto" w:sz="4" w:space="0"/>
              <w:bottom w:val="single" w:color="auto" w:sz="4" w:space="0"/>
            </w:tcBorders>
            <w:vAlign w:val="center"/>
          </w:tcPr>
          <w:p>
            <w:pPr>
              <w:widowControl/>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right w:val="single" w:color="auto" w:sz="4" w:space="0"/>
            </w:tcBorders>
            <w:vAlign w:val="center"/>
          </w:tcPr>
          <w:p>
            <w:pPr>
              <w:spacing w:line="360" w:lineRule="auto"/>
              <w:jc w:val="center"/>
              <w:textAlignment w:val="baseline"/>
              <w:rPr>
                <w:rFonts w:ascii="宋体" w:hAnsi="宋体" w:cs="宋体"/>
                <w:color w:val="auto"/>
                <w:sz w:val="2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宋体" w:hAnsi="宋体" w:cs="宋体"/>
                <w:color w:val="auto"/>
                <w:sz w:val="2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宋体" w:hAnsi="宋体" w:cs="宋体"/>
                <w:color w:val="auto"/>
                <w:sz w:val="20"/>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宋体" w:hAnsi="宋体" w:cs="宋体"/>
                <w:color w:val="auto"/>
                <w:sz w:val="20"/>
                <w:szCs w:val="21"/>
                <w:highlight w:val="none"/>
                <w:u w:val="single"/>
              </w:rPr>
            </w:pPr>
          </w:p>
        </w:tc>
        <w:tc>
          <w:tcPr>
            <w:tcW w:w="1571" w:type="dxa"/>
            <w:tcBorders>
              <w:top w:val="single" w:color="auto" w:sz="4" w:space="0"/>
              <w:left w:val="single" w:color="auto" w:sz="4" w:space="0"/>
              <w:bottom w:val="single" w:color="auto" w:sz="4" w:space="0"/>
            </w:tcBorders>
            <w:vAlign w:val="center"/>
          </w:tcPr>
          <w:p>
            <w:pPr>
              <w:spacing w:line="360" w:lineRule="auto"/>
              <w:textAlignment w:val="baseline"/>
              <w:rPr>
                <w:rFonts w:ascii="宋体" w:hAnsi="宋体" w:cs="宋体"/>
                <w:color w:val="auto"/>
                <w:sz w:val="20"/>
                <w:szCs w:val="21"/>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right w:val="single" w:color="auto" w:sz="4" w:space="0"/>
            </w:tcBorders>
            <w:vAlign w:val="center"/>
          </w:tcPr>
          <w:p>
            <w:pPr>
              <w:spacing w:line="360" w:lineRule="auto"/>
              <w:jc w:val="center"/>
              <w:textAlignment w:val="baseline"/>
              <w:rPr>
                <w:rFonts w:ascii="宋体" w:hAnsi="宋体" w:cs="宋体"/>
                <w:color w:val="auto"/>
                <w:sz w:val="2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宋体" w:hAnsi="宋体" w:cs="宋体"/>
                <w:color w:val="auto"/>
                <w:sz w:val="2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宋体" w:hAnsi="宋体" w:cs="宋体"/>
                <w:color w:val="auto"/>
                <w:sz w:val="20"/>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宋体" w:hAnsi="宋体" w:cs="宋体"/>
                <w:color w:val="auto"/>
                <w:sz w:val="20"/>
                <w:szCs w:val="21"/>
                <w:highlight w:val="none"/>
                <w:u w:val="single"/>
              </w:rPr>
            </w:pPr>
          </w:p>
        </w:tc>
        <w:tc>
          <w:tcPr>
            <w:tcW w:w="1571" w:type="dxa"/>
            <w:tcBorders>
              <w:top w:val="single" w:color="auto" w:sz="4" w:space="0"/>
              <w:left w:val="single" w:color="auto" w:sz="4" w:space="0"/>
              <w:bottom w:val="single" w:color="auto" w:sz="4" w:space="0"/>
            </w:tcBorders>
            <w:vAlign w:val="center"/>
          </w:tcPr>
          <w:p>
            <w:pPr>
              <w:spacing w:line="360" w:lineRule="auto"/>
              <w:textAlignment w:val="baseline"/>
              <w:rPr>
                <w:rFonts w:ascii="宋体" w:hAnsi="宋体" w:cs="宋体"/>
                <w:color w:val="auto"/>
                <w:sz w:val="20"/>
                <w:szCs w:val="21"/>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right w:val="single" w:color="auto" w:sz="4" w:space="0"/>
            </w:tcBorders>
            <w:vAlign w:val="center"/>
          </w:tcPr>
          <w:p>
            <w:pPr>
              <w:spacing w:line="360" w:lineRule="auto"/>
              <w:jc w:val="center"/>
              <w:textAlignment w:val="baseline"/>
              <w:rPr>
                <w:rFonts w:ascii="宋体" w:hAnsi="宋体" w:cs="宋体"/>
                <w:color w:val="auto"/>
                <w:sz w:val="2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宋体" w:hAnsi="宋体" w:cs="宋体"/>
                <w:color w:val="auto"/>
                <w:sz w:val="2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宋体" w:hAnsi="宋体" w:cs="宋体"/>
                <w:color w:val="auto"/>
                <w:sz w:val="20"/>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宋体" w:hAnsi="宋体" w:cs="宋体"/>
                <w:color w:val="auto"/>
                <w:sz w:val="20"/>
                <w:szCs w:val="21"/>
                <w:highlight w:val="none"/>
                <w:u w:val="single"/>
              </w:rPr>
            </w:pPr>
          </w:p>
        </w:tc>
        <w:tc>
          <w:tcPr>
            <w:tcW w:w="1571" w:type="dxa"/>
            <w:tcBorders>
              <w:top w:val="single" w:color="auto" w:sz="4" w:space="0"/>
              <w:left w:val="single" w:color="auto" w:sz="4" w:space="0"/>
              <w:bottom w:val="single" w:color="auto" w:sz="4" w:space="0"/>
            </w:tcBorders>
            <w:vAlign w:val="center"/>
          </w:tcPr>
          <w:p>
            <w:pPr>
              <w:spacing w:line="360" w:lineRule="auto"/>
              <w:textAlignment w:val="baseline"/>
              <w:rPr>
                <w:rFonts w:ascii="宋体" w:hAnsi="宋体" w:cs="宋体"/>
                <w:color w:val="auto"/>
                <w:sz w:val="20"/>
                <w:szCs w:val="21"/>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right w:val="single" w:color="auto" w:sz="4" w:space="0"/>
            </w:tcBorders>
            <w:vAlign w:val="center"/>
          </w:tcPr>
          <w:p>
            <w:pPr>
              <w:spacing w:line="360" w:lineRule="auto"/>
              <w:jc w:val="center"/>
              <w:textAlignment w:val="baseline"/>
              <w:rPr>
                <w:rFonts w:ascii="宋体" w:hAnsi="宋体" w:cs="宋体"/>
                <w:color w:val="auto"/>
                <w:sz w:val="2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宋体" w:hAnsi="宋体" w:cs="宋体"/>
                <w:color w:val="auto"/>
                <w:sz w:val="2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宋体" w:hAnsi="宋体" w:cs="宋体"/>
                <w:color w:val="auto"/>
                <w:sz w:val="20"/>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宋体" w:hAnsi="宋体" w:cs="宋体"/>
                <w:color w:val="auto"/>
                <w:sz w:val="20"/>
                <w:szCs w:val="21"/>
                <w:highlight w:val="none"/>
                <w:u w:val="single"/>
              </w:rPr>
            </w:pPr>
          </w:p>
        </w:tc>
        <w:tc>
          <w:tcPr>
            <w:tcW w:w="1571" w:type="dxa"/>
            <w:tcBorders>
              <w:top w:val="single" w:color="auto" w:sz="4" w:space="0"/>
              <w:left w:val="single" w:color="auto" w:sz="4" w:space="0"/>
              <w:bottom w:val="single" w:color="auto" w:sz="4" w:space="0"/>
            </w:tcBorders>
            <w:vAlign w:val="center"/>
          </w:tcPr>
          <w:p>
            <w:pPr>
              <w:spacing w:line="360" w:lineRule="auto"/>
              <w:textAlignment w:val="baseline"/>
              <w:rPr>
                <w:rFonts w:ascii="宋体" w:hAnsi="宋体" w:cs="宋体"/>
                <w:color w:val="auto"/>
                <w:sz w:val="20"/>
                <w:szCs w:val="21"/>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restart"/>
            <w:tcBorders>
              <w:top w:val="single" w:color="auto" w:sz="4" w:space="0"/>
              <w:right w:val="single" w:color="auto" w:sz="4" w:space="0"/>
            </w:tcBorders>
            <w:vAlign w:val="center"/>
          </w:tcPr>
          <w:p>
            <w:pPr>
              <w:spacing w:line="360" w:lineRule="auto"/>
              <w:jc w:val="center"/>
              <w:textAlignment w:val="baseline"/>
              <w:rPr>
                <w:rFonts w:ascii="宋体" w:hAnsi="宋体" w:cs="宋体"/>
                <w:color w:val="auto"/>
                <w:sz w:val="20"/>
                <w:szCs w:val="21"/>
                <w:highlight w:val="none"/>
              </w:rPr>
            </w:pPr>
            <w:r>
              <w:rPr>
                <w:rFonts w:hint="eastAsia" w:ascii="宋体" w:hAnsi="宋体" w:cs="宋体"/>
                <w:bCs/>
                <w:color w:val="auto"/>
                <w:szCs w:val="21"/>
                <w:highlight w:val="none"/>
              </w:rPr>
              <w:t>所获荣誉</w:t>
            </w:r>
          </w:p>
        </w:tc>
        <w:tc>
          <w:tcPr>
            <w:tcW w:w="1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颁发时间</w:t>
            </w:r>
          </w:p>
        </w:tc>
        <w:tc>
          <w:tcPr>
            <w:tcW w:w="1571" w:type="dxa"/>
            <w:tcBorders>
              <w:top w:val="single" w:color="auto" w:sz="4" w:space="0"/>
              <w:left w:val="single" w:color="auto" w:sz="4" w:space="0"/>
              <w:bottom w:val="single" w:color="auto" w:sz="4" w:space="0"/>
            </w:tcBorders>
            <w:vAlign w:val="center"/>
          </w:tcPr>
          <w:p>
            <w:pPr>
              <w:widowControl/>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right w:val="single" w:color="auto" w:sz="4" w:space="0"/>
            </w:tcBorders>
            <w:vAlign w:val="center"/>
          </w:tcPr>
          <w:p>
            <w:pPr>
              <w:spacing w:line="360" w:lineRule="auto"/>
              <w:jc w:val="center"/>
              <w:textAlignment w:val="baseline"/>
              <w:rPr>
                <w:rFonts w:ascii="宋体" w:hAnsi="宋体" w:cs="宋体"/>
                <w:color w:val="auto"/>
                <w:sz w:val="2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宋体" w:hAnsi="宋体" w:cs="宋体"/>
                <w:color w:val="auto"/>
                <w:sz w:val="2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宋体" w:hAnsi="宋体" w:cs="宋体"/>
                <w:color w:val="auto"/>
                <w:sz w:val="20"/>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宋体" w:hAnsi="宋体" w:cs="宋体"/>
                <w:color w:val="auto"/>
                <w:sz w:val="20"/>
                <w:szCs w:val="21"/>
                <w:highlight w:val="none"/>
                <w:u w:val="single"/>
              </w:rPr>
            </w:pPr>
          </w:p>
        </w:tc>
        <w:tc>
          <w:tcPr>
            <w:tcW w:w="1571" w:type="dxa"/>
            <w:tcBorders>
              <w:top w:val="single" w:color="auto" w:sz="4" w:space="0"/>
              <w:left w:val="single" w:color="auto" w:sz="4" w:space="0"/>
              <w:bottom w:val="single" w:color="auto" w:sz="4" w:space="0"/>
            </w:tcBorders>
            <w:vAlign w:val="center"/>
          </w:tcPr>
          <w:p>
            <w:pPr>
              <w:spacing w:line="360" w:lineRule="auto"/>
              <w:textAlignment w:val="baseline"/>
              <w:rPr>
                <w:rFonts w:ascii="宋体" w:hAnsi="宋体" w:cs="宋体"/>
                <w:color w:val="auto"/>
                <w:sz w:val="20"/>
                <w:szCs w:val="21"/>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right w:val="single" w:color="auto" w:sz="4" w:space="0"/>
            </w:tcBorders>
            <w:vAlign w:val="center"/>
          </w:tcPr>
          <w:p>
            <w:pPr>
              <w:spacing w:line="360" w:lineRule="auto"/>
              <w:jc w:val="center"/>
              <w:textAlignment w:val="baseline"/>
              <w:rPr>
                <w:rFonts w:ascii="宋体" w:hAnsi="宋体" w:cs="宋体"/>
                <w:color w:val="auto"/>
                <w:sz w:val="2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宋体" w:hAnsi="宋体" w:cs="宋体"/>
                <w:color w:val="auto"/>
                <w:sz w:val="2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宋体" w:hAnsi="宋体" w:cs="宋体"/>
                <w:color w:val="auto"/>
                <w:sz w:val="20"/>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宋体" w:hAnsi="宋体" w:cs="宋体"/>
                <w:color w:val="auto"/>
                <w:sz w:val="20"/>
                <w:szCs w:val="21"/>
                <w:highlight w:val="none"/>
                <w:u w:val="single"/>
              </w:rPr>
            </w:pPr>
          </w:p>
        </w:tc>
        <w:tc>
          <w:tcPr>
            <w:tcW w:w="1571" w:type="dxa"/>
            <w:tcBorders>
              <w:top w:val="single" w:color="auto" w:sz="4" w:space="0"/>
              <w:left w:val="single" w:color="auto" w:sz="4" w:space="0"/>
              <w:bottom w:val="single" w:color="auto" w:sz="4" w:space="0"/>
            </w:tcBorders>
            <w:vAlign w:val="center"/>
          </w:tcPr>
          <w:p>
            <w:pPr>
              <w:spacing w:line="360" w:lineRule="auto"/>
              <w:textAlignment w:val="baseline"/>
              <w:rPr>
                <w:rFonts w:ascii="宋体" w:hAnsi="宋体" w:cs="宋体"/>
                <w:color w:val="auto"/>
                <w:sz w:val="20"/>
                <w:szCs w:val="21"/>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bottom w:val="single" w:color="auto" w:sz="4" w:space="0"/>
              <w:right w:val="single" w:color="auto" w:sz="4" w:space="0"/>
            </w:tcBorders>
            <w:vAlign w:val="center"/>
          </w:tcPr>
          <w:p>
            <w:pPr>
              <w:spacing w:line="360" w:lineRule="auto"/>
              <w:jc w:val="center"/>
              <w:textAlignment w:val="baseline"/>
              <w:rPr>
                <w:rFonts w:ascii="宋体" w:hAnsi="宋体" w:cs="宋体"/>
                <w:color w:val="auto"/>
                <w:sz w:val="2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宋体" w:hAnsi="宋体" w:cs="宋体"/>
                <w:color w:val="auto"/>
                <w:sz w:val="2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宋体" w:hAnsi="宋体" w:cs="宋体"/>
                <w:color w:val="auto"/>
                <w:sz w:val="20"/>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宋体" w:hAnsi="宋体" w:cs="宋体"/>
                <w:color w:val="auto"/>
                <w:sz w:val="20"/>
                <w:szCs w:val="21"/>
                <w:highlight w:val="none"/>
                <w:u w:val="single"/>
              </w:rPr>
            </w:pPr>
          </w:p>
        </w:tc>
        <w:tc>
          <w:tcPr>
            <w:tcW w:w="1571" w:type="dxa"/>
            <w:tcBorders>
              <w:top w:val="single" w:color="auto" w:sz="4" w:space="0"/>
              <w:left w:val="single" w:color="auto" w:sz="4" w:space="0"/>
              <w:bottom w:val="single" w:color="auto" w:sz="4" w:space="0"/>
            </w:tcBorders>
            <w:vAlign w:val="center"/>
          </w:tcPr>
          <w:p>
            <w:pPr>
              <w:spacing w:line="360" w:lineRule="auto"/>
              <w:textAlignment w:val="baseline"/>
              <w:rPr>
                <w:rFonts w:ascii="宋体" w:hAnsi="宋体" w:cs="宋体"/>
                <w:color w:val="auto"/>
                <w:sz w:val="20"/>
                <w:szCs w:val="21"/>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768" w:type="dxa"/>
            <w:tcBorders>
              <w:top w:val="single" w:color="auto" w:sz="4" w:space="0"/>
              <w:bottom w:val="single" w:color="auto" w:sz="4" w:space="0"/>
              <w:right w:val="single" w:color="auto" w:sz="4" w:space="0"/>
            </w:tcBorders>
            <w:vAlign w:val="center"/>
          </w:tcPr>
          <w:p>
            <w:pPr>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经营范围</w:t>
            </w:r>
          </w:p>
        </w:tc>
        <w:tc>
          <w:tcPr>
            <w:tcW w:w="7475" w:type="dxa"/>
            <w:gridSpan w:val="6"/>
            <w:tcBorders>
              <w:top w:val="single" w:color="auto" w:sz="4" w:space="0"/>
              <w:left w:val="single" w:color="auto" w:sz="4" w:space="0"/>
              <w:bottom w:val="single" w:color="auto" w:sz="4" w:space="0"/>
            </w:tcBorders>
            <w:vAlign w:val="center"/>
          </w:tcPr>
          <w:p>
            <w:pPr>
              <w:pStyle w:val="11"/>
              <w:tabs>
                <w:tab w:val="left" w:pos="1800"/>
                <w:tab w:val="left" w:pos="1980"/>
              </w:tabs>
              <w:spacing w:line="360" w:lineRule="auto"/>
              <w:ind w:left="420" w:firstLine="42"/>
              <w:textAlignment w:val="baseline"/>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1768" w:type="dxa"/>
            <w:tcBorders>
              <w:top w:val="single" w:color="auto" w:sz="4" w:space="0"/>
              <w:bottom w:val="single" w:color="auto" w:sz="4" w:space="0"/>
              <w:right w:val="single" w:color="auto" w:sz="4" w:space="0"/>
            </w:tcBorders>
            <w:vAlign w:val="center"/>
          </w:tcPr>
          <w:p>
            <w:pPr>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其他</w:t>
            </w:r>
          </w:p>
        </w:tc>
        <w:tc>
          <w:tcPr>
            <w:tcW w:w="7475" w:type="dxa"/>
            <w:gridSpan w:val="6"/>
            <w:tcBorders>
              <w:top w:val="single" w:color="auto" w:sz="4" w:space="0"/>
              <w:left w:val="single" w:color="auto" w:sz="4" w:space="0"/>
              <w:bottom w:val="single" w:color="auto" w:sz="4" w:space="0"/>
            </w:tcBorders>
            <w:vAlign w:val="center"/>
          </w:tcPr>
          <w:p>
            <w:pPr>
              <w:spacing w:line="360" w:lineRule="auto"/>
              <w:textAlignment w:val="baseline"/>
              <w:rPr>
                <w:rFonts w:ascii="宋体" w:hAnsi="宋体" w:cs="宋体"/>
                <w:bCs/>
                <w:color w:val="auto"/>
                <w:sz w:val="20"/>
                <w:szCs w:val="21"/>
                <w:highlight w:val="none"/>
              </w:rPr>
            </w:pPr>
          </w:p>
        </w:tc>
      </w:tr>
    </w:tbl>
    <w:p>
      <w:pPr>
        <w:spacing w:line="360" w:lineRule="auto"/>
        <w:ind w:firstLine="90"/>
        <w:textAlignment w:val="baseline"/>
        <w:rPr>
          <w:rFonts w:ascii="宋体" w:hAnsi="宋体" w:cs="宋体"/>
          <w:color w:val="auto"/>
          <w:sz w:val="18"/>
          <w:szCs w:val="18"/>
          <w:highlight w:val="none"/>
        </w:rPr>
      </w:pPr>
      <w:r>
        <w:rPr>
          <w:rFonts w:hint="eastAsia" w:ascii="宋体" w:hAnsi="宋体" w:cs="宋体"/>
          <w:color w:val="auto"/>
          <w:sz w:val="18"/>
          <w:szCs w:val="18"/>
          <w:highlight w:val="none"/>
        </w:rPr>
        <w:t>注：1、表格内容不够,可另附页。</w:t>
      </w:r>
    </w:p>
    <w:p>
      <w:pPr>
        <w:spacing w:line="360" w:lineRule="auto"/>
        <w:ind w:firstLine="435"/>
        <w:textAlignment w:val="baseline"/>
        <w:rPr>
          <w:rFonts w:ascii="宋体" w:hAnsi="宋体" w:cs="宋体"/>
          <w:b/>
          <w:color w:val="auto"/>
          <w:sz w:val="24"/>
          <w:highlight w:val="none"/>
        </w:rPr>
      </w:pPr>
      <w:r>
        <w:rPr>
          <w:rFonts w:hint="eastAsia" w:ascii="宋体" w:hAnsi="宋体" w:cs="宋体"/>
          <w:color w:val="auto"/>
          <w:sz w:val="18"/>
          <w:szCs w:val="18"/>
          <w:highlight w:val="none"/>
        </w:rPr>
        <w:t>2、企业营业执照、所获认证证书、荣誉资料的复印件附后。</w:t>
      </w:r>
    </w:p>
    <w:p>
      <w:pPr>
        <w:spacing w:line="440" w:lineRule="exact"/>
        <w:ind w:firstLine="4860"/>
        <w:jc w:val="left"/>
        <w:textAlignment w:val="baseline"/>
        <w:rPr>
          <w:rFonts w:ascii="宋体" w:hAnsi="宋体" w:cs="宋体"/>
          <w:b/>
          <w:bCs/>
          <w:color w:val="auto"/>
          <w:sz w:val="20"/>
          <w:szCs w:val="21"/>
          <w:highlight w:val="none"/>
          <w:u w:val="single" w:color="000000"/>
        </w:rPr>
      </w:pPr>
      <w:r>
        <w:rPr>
          <w:rFonts w:hint="eastAsia" w:ascii="宋体" w:hAnsi="宋体" w:cs="宋体"/>
          <w:b/>
          <w:bCs/>
          <w:color w:val="auto"/>
          <w:sz w:val="24"/>
          <w:highlight w:val="none"/>
        </w:rPr>
        <w:t>磋商供应商名称（盖章）：</w:t>
      </w:r>
    </w:p>
    <w:p>
      <w:pPr>
        <w:spacing w:line="440" w:lineRule="exact"/>
        <w:ind w:firstLine="4860"/>
        <w:jc w:val="left"/>
        <w:textAlignment w:val="baseline"/>
        <w:rPr>
          <w:rFonts w:ascii="宋体" w:hAnsi="宋体" w:cs="宋体"/>
          <w:color w:val="auto"/>
          <w:sz w:val="20"/>
          <w:szCs w:val="21"/>
          <w:highlight w:val="none"/>
          <w:u w:val="single" w:color="000000"/>
        </w:rPr>
      </w:pPr>
      <w:r>
        <w:rPr>
          <w:rFonts w:hint="eastAsia" w:ascii="宋体" w:hAnsi="宋体" w:cs="宋体"/>
          <w:b/>
          <w:bCs/>
          <w:color w:val="auto"/>
          <w:szCs w:val="21"/>
          <w:highlight w:val="none"/>
        </w:rPr>
        <w:t>日期：年月日</w:t>
      </w:r>
    </w:p>
    <w:p>
      <w:pPr>
        <w:spacing w:line="460" w:lineRule="exact"/>
        <w:textAlignment w:val="baseline"/>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pPr>
        <w:bidi w:val="0"/>
        <w:rPr>
          <w:rFonts w:hint="eastAsia"/>
          <w:b/>
          <w:bCs/>
          <w:color w:val="auto"/>
          <w:sz w:val="22"/>
          <w:szCs w:val="24"/>
          <w:highlight w:val="none"/>
        </w:rPr>
      </w:pPr>
      <w:bookmarkStart w:id="362" w:name="_Toc3763"/>
      <w:r>
        <w:rPr>
          <w:rFonts w:hint="eastAsia"/>
          <w:b/>
          <w:bCs/>
          <w:color w:val="auto"/>
          <w:sz w:val="22"/>
          <w:szCs w:val="24"/>
          <w:highlight w:val="none"/>
        </w:rPr>
        <w:t>附件7</w:t>
      </w:r>
      <w:bookmarkEnd w:id="362"/>
    </w:p>
    <w:p>
      <w:pPr>
        <w:widowControl/>
        <w:spacing w:line="420" w:lineRule="atLeast"/>
        <w:jc w:val="center"/>
        <w:textAlignment w:val="baseline"/>
        <w:rPr>
          <w:rFonts w:ascii="宋体" w:hAnsi="宋体" w:cs="宋体"/>
          <w:color w:val="auto"/>
          <w:highlight w:val="none"/>
        </w:rPr>
      </w:pPr>
      <w:r>
        <w:rPr>
          <w:rFonts w:hint="eastAsia" w:ascii="宋体" w:hAnsi="宋体" w:cs="宋体"/>
          <w:b/>
          <w:bCs/>
          <w:color w:val="auto"/>
          <w:kern w:val="0"/>
          <w:sz w:val="30"/>
          <w:szCs w:val="30"/>
          <w:highlight w:val="none"/>
        </w:rPr>
        <w:t>采购内容偏离表</w:t>
      </w:r>
    </w:p>
    <w:p>
      <w:pPr>
        <w:pStyle w:val="39"/>
        <w:rPr>
          <w:rFonts w:ascii="宋体" w:hAnsi="宋体" w:cs="宋体"/>
          <w:color w:val="auto"/>
          <w:highlight w:val="none"/>
        </w:rPr>
      </w:pPr>
    </w:p>
    <w:p>
      <w:pPr>
        <w:pStyle w:val="27"/>
        <w:ind w:firstLine="42"/>
        <w:rPr>
          <w:rFonts w:hint="eastAsia" w:ascii="宋体" w:hAnsi="宋体" w:eastAsia="宋体"/>
          <w:color w:val="auto"/>
          <w:highlight w:val="none"/>
        </w:rPr>
      </w:pPr>
      <w:r>
        <w:rPr>
          <w:rFonts w:hint="eastAsia" w:ascii="宋体" w:hAnsi="宋体" w:eastAsia="宋体"/>
          <w:color w:val="auto"/>
          <w:highlight w:val="none"/>
        </w:rPr>
        <w:t>项目名称： 爱常山-数字化建设工程（一期）</w:t>
      </w:r>
    </w:p>
    <w:p>
      <w:pPr>
        <w:pStyle w:val="27"/>
        <w:ind w:firstLine="42"/>
        <w:rPr>
          <w:rFonts w:ascii="宋体" w:hAnsi="宋体" w:eastAsia="宋体"/>
          <w:color w:val="auto"/>
          <w:highlight w:val="none"/>
        </w:rPr>
      </w:pPr>
      <w:r>
        <w:rPr>
          <w:rFonts w:hint="eastAsia" w:ascii="宋体" w:hAnsi="宋体" w:eastAsia="宋体"/>
          <w:color w:val="auto"/>
          <w:highlight w:val="none"/>
        </w:rPr>
        <w:t>项目编号：GXZFCG-2022-CS09</w:t>
      </w:r>
    </w:p>
    <w:tbl>
      <w:tblPr>
        <w:tblStyle w:val="28"/>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2148"/>
        <w:gridCol w:w="2040"/>
        <w:gridCol w:w="171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center"/>
        </w:trPr>
        <w:tc>
          <w:tcPr>
            <w:tcW w:w="915" w:type="dxa"/>
            <w:vAlign w:val="center"/>
          </w:tcPr>
          <w:p>
            <w:pPr>
              <w:spacing w:before="156" w:line="360" w:lineRule="auto"/>
              <w:jc w:val="center"/>
              <w:textAlignment w:val="baseline"/>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2148" w:type="dxa"/>
            <w:vAlign w:val="center"/>
          </w:tcPr>
          <w:p>
            <w:pPr>
              <w:spacing w:before="156" w:line="360" w:lineRule="auto"/>
              <w:jc w:val="center"/>
              <w:textAlignment w:val="baseline"/>
              <w:rPr>
                <w:rFonts w:ascii="宋体" w:hAnsi="宋体" w:cs="宋体"/>
                <w:b/>
                <w:color w:val="auto"/>
                <w:sz w:val="24"/>
                <w:szCs w:val="24"/>
                <w:highlight w:val="none"/>
              </w:rPr>
            </w:pPr>
            <w:r>
              <w:rPr>
                <w:rFonts w:hint="eastAsia" w:ascii="宋体" w:hAnsi="宋体" w:cs="宋体"/>
                <w:b/>
                <w:color w:val="auto"/>
                <w:sz w:val="24"/>
                <w:szCs w:val="24"/>
                <w:highlight w:val="none"/>
              </w:rPr>
              <w:t>内容</w:t>
            </w:r>
          </w:p>
        </w:tc>
        <w:tc>
          <w:tcPr>
            <w:tcW w:w="2040" w:type="dxa"/>
            <w:vAlign w:val="center"/>
          </w:tcPr>
          <w:p>
            <w:pPr>
              <w:spacing w:before="156" w:line="360" w:lineRule="auto"/>
              <w:jc w:val="center"/>
              <w:textAlignment w:val="baseline"/>
              <w:rPr>
                <w:rFonts w:ascii="宋体" w:hAnsi="宋体" w:cs="宋体"/>
                <w:b/>
                <w:color w:val="auto"/>
                <w:sz w:val="24"/>
                <w:szCs w:val="24"/>
                <w:highlight w:val="none"/>
              </w:rPr>
            </w:pPr>
            <w:r>
              <w:rPr>
                <w:rFonts w:hint="eastAsia" w:ascii="宋体" w:hAnsi="宋体" w:cs="宋体"/>
                <w:b/>
                <w:color w:val="auto"/>
                <w:sz w:val="24"/>
                <w:szCs w:val="24"/>
                <w:highlight w:val="none"/>
              </w:rPr>
              <w:t>招标文件规范要求</w:t>
            </w:r>
          </w:p>
        </w:tc>
        <w:tc>
          <w:tcPr>
            <w:tcW w:w="1710" w:type="dxa"/>
            <w:vAlign w:val="center"/>
          </w:tcPr>
          <w:p>
            <w:pPr>
              <w:spacing w:before="156" w:line="360" w:lineRule="auto"/>
              <w:jc w:val="center"/>
              <w:textAlignment w:val="baseline"/>
              <w:rPr>
                <w:rFonts w:ascii="宋体" w:hAnsi="宋体" w:cs="宋体"/>
                <w:b/>
                <w:color w:val="auto"/>
                <w:sz w:val="24"/>
                <w:szCs w:val="24"/>
                <w:highlight w:val="none"/>
              </w:rPr>
            </w:pPr>
            <w:r>
              <w:rPr>
                <w:rFonts w:hint="eastAsia" w:ascii="宋体" w:hAnsi="宋体" w:cs="宋体"/>
                <w:b/>
                <w:color w:val="auto"/>
                <w:sz w:val="24"/>
                <w:szCs w:val="24"/>
                <w:highlight w:val="none"/>
              </w:rPr>
              <w:t>投标文件对应规范</w:t>
            </w:r>
          </w:p>
        </w:tc>
        <w:tc>
          <w:tcPr>
            <w:tcW w:w="2775" w:type="dxa"/>
            <w:vAlign w:val="center"/>
          </w:tcPr>
          <w:p>
            <w:pPr>
              <w:spacing w:before="156" w:line="360" w:lineRule="auto"/>
              <w:jc w:val="center"/>
              <w:textAlignment w:val="baseline"/>
              <w:rPr>
                <w:rFonts w:ascii="宋体" w:hAnsi="宋体" w:cs="宋体"/>
                <w:b/>
                <w:color w:val="auto"/>
                <w:sz w:val="24"/>
                <w:szCs w:val="24"/>
                <w:highlight w:val="none"/>
              </w:rPr>
            </w:pPr>
            <w:r>
              <w:rPr>
                <w:rFonts w:hint="eastAsia" w:ascii="宋体" w:hAnsi="宋体" w:cs="宋体"/>
                <w:b/>
                <w:color w:val="auto"/>
                <w:sz w:val="24"/>
                <w:szCs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vAlign w:val="center"/>
          </w:tcPr>
          <w:p>
            <w:pPr>
              <w:numPr>
                <w:ilvl w:val="0"/>
                <w:numId w:val="18"/>
              </w:numPr>
              <w:spacing w:before="156" w:line="360" w:lineRule="auto"/>
              <w:jc w:val="center"/>
              <w:textAlignment w:val="baseline"/>
              <w:rPr>
                <w:rFonts w:ascii="宋体" w:hAnsi="宋体" w:cs="宋体"/>
                <w:color w:val="auto"/>
                <w:sz w:val="24"/>
                <w:szCs w:val="24"/>
                <w:highlight w:val="none"/>
              </w:rPr>
            </w:pPr>
          </w:p>
        </w:tc>
        <w:tc>
          <w:tcPr>
            <w:tcW w:w="2148" w:type="dxa"/>
          </w:tcPr>
          <w:p>
            <w:pPr>
              <w:spacing w:before="156" w:line="360" w:lineRule="auto"/>
              <w:ind w:firstLine="480" w:firstLineChars="200"/>
              <w:textAlignment w:val="baseline"/>
              <w:rPr>
                <w:rFonts w:ascii="宋体" w:hAnsi="宋体" w:cs="宋体"/>
                <w:color w:val="auto"/>
                <w:sz w:val="24"/>
                <w:szCs w:val="24"/>
                <w:highlight w:val="none"/>
              </w:rPr>
            </w:pPr>
          </w:p>
        </w:tc>
        <w:tc>
          <w:tcPr>
            <w:tcW w:w="2040" w:type="dxa"/>
          </w:tcPr>
          <w:p>
            <w:pPr>
              <w:spacing w:before="156" w:line="360" w:lineRule="auto"/>
              <w:ind w:firstLine="480" w:firstLineChars="200"/>
              <w:textAlignment w:val="baseline"/>
              <w:rPr>
                <w:rFonts w:ascii="宋体" w:hAnsi="宋体" w:cs="宋体"/>
                <w:color w:val="auto"/>
                <w:sz w:val="24"/>
                <w:szCs w:val="24"/>
                <w:highlight w:val="none"/>
              </w:rPr>
            </w:pPr>
          </w:p>
        </w:tc>
        <w:tc>
          <w:tcPr>
            <w:tcW w:w="1710" w:type="dxa"/>
          </w:tcPr>
          <w:p>
            <w:pPr>
              <w:spacing w:before="156" w:line="360" w:lineRule="auto"/>
              <w:ind w:firstLine="480" w:firstLineChars="200"/>
              <w:textAlignment w:val="baseline"/>
              <w:rPr>
                <w:rFonts w:ascii="宋体" w:hAnsi="宋体" w:cs="宋体"/>
                <w:color w:val="auto"/>
                <w:sz w:val="24"/>
                <w:szCs w:val="24"/>
                <w:highlight w:val="none"/>
              </w:rPr>
            </w:pPr>
          </w:p>
        </w:tc>
        <w:tc>
          <w:tcPr>
            <w:tcW w:w="2775" w:type="dxa"/>
          </w:tcPr>
          <w:p>
            <w:pPr>
              <w:spacing w:before="156" w:line="360" w:lineRule="auto"/>
              <w:ind w:firstLine="480" w:firstLineChars="200"/>
              <w:textAlignment w:val="baseline"/>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vAlign w:val="center"/>
          </w:tcPr>
          <w:p>
            <w:pPr>
              <w:numPr>
                <w:ilvl w:val="0"/>
                <w:numId w:val="18"/>
              </w:numPr>
              <w:spacing w:before="156" w:line="360" w:lineRule="auto"/>
              <w:jc w:val="center"/>
              <w:textAlignment w:val="baseline"/>
              <w:rPr>
                <w:rFonts w:ascii="宋体" w:hAnsi="宋体" w:cs="宋体"/>
                <w:color w:val="auto"/>
                <w:sz w:val="24"/>
                <w:szCs w:val="24"/>
                <w:highlight w:val="none"/>
              </w:rPr>
            </w:pPr>
          </w:p>
        </w:tc>
        <w:tc>
          <w:tcPr>
            <w:tcW w:w="2148" w:type="dxa"/>
          </w:tcPr>
          <w:p>
            <w:pPr>
              <w:spacing w:before="156" w:line="360" w:lineRule="auto"/>
              <w:ind w:firstLine="480" w:firstLineChars="200"/>
              <w:textAlignment w:val="baseline"/>
              <w:rPr>
                <w:rFonts w:ascii="宋体" w:hAnsi="宋体" w:cs="宋体"/>
                <w:color w:val="auto"/>
                <w:sz w:val="24"/>
                <w:szCs w:val="24"/>
                <w:highlight w:val="none"/>
              </w:rPr>
            </w:pPr>
          </w:p>
        </w:tc>
        <w:tc>
          <w:tcPr>
            <w:tcW w:w="2040" w:type="dxa"/>
          </w:tcPr>
          <w:p>
            <w:pPr>
              <w:spacing w:before="156" w:line="360" w:lineRule="auto"/>
              <w:ind w:firstLine="480" w:firstLineChars="200"/>
              <w:textAlignment w:val="baseline"/>
              <w:rPr>
                <w:rFonts w:ascii="宋体" w:hAnsi="宋体" w:cs="宋体"/>
                <w:color w:val="auto"/>
                <w:sz w:val="24"/>
                <w:szCs w:val="24"/>
                <w:highlight w:val="none"/>
              </w:rPr>
            </w:pPr>
          </w:p>
        </w:tc>
        <w:tc>
          <w:tcPr>
            <w:tcW w:w="1710" w:type="dxa"/>
          </w:tcPr>
          <w:p>
            <w:pPr>
              <w:spacing w:before="156" w:line="360" w:lineRule="auto"/>
              <w:ind w:firstLine="480" w:firstLineChars="200"/>
              <w:textAlignment w:val="baseline"/>
              <w:rPr>
                <w:rFonts w:ascii="宋体" w:hAnsi="宋体" w:cs="宋体"/>
                <w:color w:val="auto"/>
                <w:sz w:val="24"/>
                <w:szCs w:val="24"/>
                <w:highlight w:val="none"/>
              </w:rPr>
            </w:pPr>
          </w:p>
        </w:tc>
        <w:tc>
          <w:tcPr>
            <w:tcW w:w="2775" w:type="dxa"/>
          </w:tcPr>
          <w:p>
            <w:pPr>
              <w:spacing w:before="156" w:line="360" w:lineRule="auto"/>
              <w:ind w:firstLine="480" w:firstLineChars="200"/>
              <w:textAlignment w:val="baseline"/>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vAlign w:val="center"/>
          </w:tcPr>
          <w:p>
            <w:pPr>
              <w:numPr>
                <w:ilvl w:val="0"/>
                <w:numId w:val="18"/>
              </w:numPr>
              <w:spacing w:before="156" w:line="360" w:lineRule="auto"/>
              <w:jc w:val="center"/>
              <w:textAlignment w:val="baseline"/>
              <w:rPr>
                <w:rFonts w:ascii="宋体" w:hAnsi="宋体" w:cs="宋体"/>
                <w:color w:val="auto"/>
                <w:sz w:val="24"/>
                <w:szCs w:val="24"/>
                <w:highlight w:val="none"/>
              </w:rPr>
            </w:pPr>
          </w:p>
        </w:tc>
        <w:tc>
          <w:tcPr>
            <w:tcW w:w="2148" w:type="dxa"/>
          </w:tcPr>
          <w:p>
            <w:pPr>
              <w:spacing w:before="156" w:line="360" w:lineRule="auto"/>
              <w:ind w:firstLine="480" w:firstLineChars="200"/>
              <w:textAlignment w:val="baseline"/>
              <w:rPr>
                <w:rFonts w:ascii="宋体" w:hAnsi="宋体" w:cs="宋体"/>
                <w:color w:val="auto"/>
                <w:sz w:val="24"/>
                <w:szCs w:val="24"/>
                <w:highlight w:val="none"/>
              </w:rPr>
            </w:pPr>
          </w:p>
        </w:tc>
        <w:tc>
          <w:tcPr>
            <w:tcW w:w="2040" w:type="dxa"/>
          </w:tcPr>
          <w:p>
            <w:pPr>
              <w:spacing w:before="156" w:line="360" w:lineRule="auto"/>
              <w:ind w:firstLine="480" w:firstLineChars="200"/>
              <w:textAlignment w:val="baseline"/>
              <w:rPr>
                <w:rFonts w:ascii="宋体" w:hAnsi="宋体" w:cs="宋体"/>
                <w:color w:val="auto"/>
                <w:sz w:val="24"/>
                <w:szCs w:val="24"/>
                <w:highlight w:val="none"/>
              </w:rPr>
            </w:pPr>
          </w:p>
        </w:tc>
        <w:tc>
          <w:tcPr>
            <w:tcW w:w="1710" w:type="dxa"/>
          </w:tcPr>
          <w:p>
            <w:pPr>
              <w:spacing w:before="156" w:line="360" w:lineRule="auto"/>
              <w:ind w:firstLine="480" w:firstLineChars="200"/>
              <w:textAlignment w:val="baseline"/>
              <w:rPr>
                <w:rFonts w:ascii="宋体" w:hAnsi="宋体" w:cs="宋体"/>
                <w:color w:val="auto"/>
                <w:sz w:val="24"/>
                <w:szCs w:val="24"/>
                <w:highlight w:val="none"/>
              </w:rPr>
            </w:pPr>
          </w:p>
        </w:tc>
        <w:tc>
          <w:tcPr>
            <w:tcW w:w="2775" w:type="dxa"/>
          </w:tcPr>
          <w:p>
            <w:pPr>
              <w:spacing w:before="156" w:line="360" w:lineRule="auto"/>
              <w:ind w:firstLine="480" w:firstLineChars="200"/>
              <w:textAlignment w:val="baseline"/>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vAlign w:val="center"/>
          </w:tcPr>
          <w:p>
            <w:pPr>
              <w:numPr>
                <w:ilvl w:val="0"/>
                <w:numId w:val="18"/>
              </w:numPr>
              <w:spacing w:before="156" w:line="360" w:lineRule="auto"/>
              <w:jc w:val="center"/>
              <w:textAlignment w:val="baseline"/>
              <w:rPr>
                <w:rFonts w:ascii="宋体" w:hAnsi="宋体" w:cs="宋体"/>
                <w:color w:val="auto"/>
                <w:sz w:val="24"/>
                <w:szCs w:val="24"/>
                <w:highlight w:val="none"/>
              </w:rPr>
            </w:pPr>
          </w:p>
        </w:tc>
        <w:tc>
          <w:tcPr>
            <w:tcW w:w="2148" w:type="dxa"/>
          </w:tcPr>
          <w:p>
            <w:pPr>
              <w:spacing w:before="156" w:line="360" w:lineRule="auto"/>
              <w:ind w:firstLine="480" w:firstLineChars="200"/>
              <w:textAlignment w:val="baseline"/>
              <w:rPr>
                <w:rFonts w:ascii="宋体" w:hAnsi="宋体" w:cs="宋体"/>
                <w:color w:val="auto"/>
                <w:sz w:val="24"/>
                <w:szCs w:val="24"/>
                <w:highlight w:val="none"/>
              </w:rPr>
            </w:pPr>
          </w:p>
        </w:tc>
        <w:tc>
          <w:tcPr>
            <w:tcW w:w="2040" w:type="dxa"/>
          </w:tcPr>
          <w:p>
            <w:pPr>
              <w:spacing w:before="156" w:line="360" w:lineRule="auto"/>
              <w:ind w:firstLine="480" w:firstLineChars="200"/>
              <w:textAlignment w:val="baseline"/>
              <w:rPr>
                <w:rFonts w:ascii="宋体" w:hAnsi="宋体" w:cs="宋体"/>
                <w:color w:val="auto"/>
                <w:sz w:val="24"/>
                <w:szCs w:val="24"/>
                <w:highlight w:val="none"/>
              </w:rPr>
            </w:pPr>
          </w:p>
        </w:tc>
        <w:tc>
          <w:tcPr>
            <w:tcW w:w="1710" w:type="dxa"/>
          </w:tcPr>
          <w:p>
            <w:pPr>
              <w:spacing w:before="156" w:line="360" w:lineRule="auto"/>
              <w:ind w:firstLine="480" w:firstLineChars="200"/>
              <w:textAlignment w:val="baseline"/>
              <w:rPr>
                <w:rFonts w:ascii="宋体" w:hAnsi="宋体" w:cs="宋体"/>
                <w:color w:val="auto"/>
                <w:sz w:val="24"/>
                <w:szCs w:val="24"/>
                <w:highlight w:val="none"/>
              </w:rPr>
            </w:pPr>
          </w:p>
        </w:tc>
        <w:tc>
          <w:tcPr>
            <w:tcW w:w="2775" w:type="dxa"/>
          </w:tcPr>
          <w:p>
            <w:pPr>
              <w:spacing w:before="156" w:line="360" w:lineRule="auto"/>
              <w:ind w:firstLine="480" w:firstLineChars="200"/>
              <w:textAlignment w:val="baseline"/>
              <w:rPr>
                <w:rFonts w:ascii="宋体" w:hAnsi="宋体" w:cs="宋体"/>
                <w:color w:val="auto"/>
                <w:sz w:val="24"/>
                <w:szCs w:val="24"/>
                <w:highlight w:val="none"/>
              </w:rPr>
            </w:pPr>
          </w:p>
        </w:tc>
      </w:tr>
    </w:tbl>
    <w:p>
      <w:pPr>
        <w:spacing w:before="156" w:line="360" w:lineRule="auto"/>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rPr>
        <w:t>填表说明：</w:t>
      </w:r>
    </w:p>
    <w:p>
      <w:pPr>
        <w:numPr>
          <w:ilvl w:val="0"/>
          <w:numId w:val="19"/>
        </w:numPr>
        <w:spacing w:before="156" w:line="360" w:lineRule="auto"/>
        <w:textAlignment w:val="baseline"/>
        <w:rPr>
          <w:rFonts w:ascii="宋体" w:hAnsi="宋体" w:cs="宋体"/>
          <w:color w:val="auto"/>
          <w:sz w:val="20"/>
          <w:szCs w:val="21"/>
          <w:highlight w:val="none"/>
        </w:rPr>
      </w:pPr>
      <w:r>
        <w:rPr>
          <w:rFonts w:hint="eastAsia" w:ascii="宋体" w:hAnsi="宋体" w:cs="宋体"/>
          <w:color w:val="auto"/>
          <w:szCs w:val="21"/>
          <w:highlight w:val="none"/>
        </w:rPr>
        <w:t>对采购文件有任何偏离（包括正偏离及负偏离）均应汇总并填写在此表中。</w:t>
      </w:r>
    </w:p>
    <w:p>
      <w:pPr>
        <w:numPr>
          <w:ilvl w:val="0"/>
          <w:numId w:val="19"/>
        </w:numPr>
        <w:spacing w:before="156" w:line="360" w:lineRule="auto"/>
        <w:textAlignment w:val="baseline"/>
        <w:rPr>
          <w:rFonts w:ascii="宋体" w:hAnsi="宋体" w:cs="宋体"/>
          <w:color w:val="auto"/>
          <w:sz w:val="20"/>
          <w:szCs w:val="21"/>
          <w:highlight w:val="none"/>
        </w:rPr>
      </w:pPr>
      <w:r>
        <w:rPr>
          <w:rFonts w:hint="eastAsia" w:ascii="宋体" w:hAnsi="宋体" w:cs="宋体"/>
          <w:color w:val="auto"/>
          <w:szCs w:val="21"/>
          <w:highlight w:val="none"/>
        </w:rPr>
        <w:t>此表可在不改变格式的情况下自行制作。</w:t>
      </w:r>
    </w:p>
    <w:p>
      <w:pPr>
        <w:numPr>
          <w:ilvl w:val="0"/>
          <w:numId w:val="19"/>
        </w:numPr>
        <w:spacing w:before="156" w:line="360" w:lineRule="auto"/>
        <w:textAlignment w:val="baseline"/>
        <w:rPr>
          <w:rFonts w:ascii="宋体" w:hAnsi="宋体" w:cs="宋体"/>
          <w:b/>
          <w:color w:val="auto"/>
          <w:sz w:val="20"/>
          <w:szCs w:val="21"/>
          <w:highlight w:val="none"/>
        </w:rPr>
      </w:pPr>
      <w:r>
        <w:rPr>
          <w:rFonts w:hint="eastAsia" w:ascii="宋体" w:hAnsi="宋体" w:cs="宋体"/>
          <w:b/>
          <w:bCs/>
          <w:color w:val="auto"/>
          <w:szCs w:val="21"/>
          <w:highlight w:val="none"/>
        </w:rPr>
        <w:t>不填写此表视作完全响应本采购文件要求。</w:t>
      </w:r>
    </w:p>
    <w:p>
      <w:pPr>
        <w:pStyle w:val="27"/>
        <w:ind w:firstLine="42"/>
        <w:textAlignment w:val="baseline"/>
        <w:rPr>
          <w:rFonts w:ascii="宋体" w:hAnsi="宋体" w:eastAsia="宋体"/>
          <w:color w:val="auto"/>
          <w:highlight w:val="none"/>
        </w:rPr>
      </w:pPr>
    </w:p>
    <w:p>
      <w:pPr>
        <w:spacing w:line="440" w:lineRule="exact"/>
        <w:ind w:firstLine="4860"/>
        <w:jc w:val="left"/>
        <w:textAlignment w:val="baseline"/>
        <w:rPr>
          <w:rFonts w:ascii="宋体" w:hAnsi="宋体" w:cs="宋体"/>
          <w:b/>
          <w:bCs/>
          <w:color w:val="auto"/>
          <w:sz w:val="20"/>
          <w:szCs w:val="21"/>
          <w:highlight w:val="none"/>
          <w:u w:val="single" w:color="000000"/>
        </w:rPr>
      </w:pPr>
      <w:r>
        <w:rPr>
          <w:rFonts w:hint="eastAsia" w:ascii="宋体" w:hAnsi="宋体" w:cs="宋体"/>
          <w:b/>
          <w:bCs/>
          <w:color w:val="auto"/>
          <w:sz w:val="24"/>
          <w:highlight w:val="none"/>
        </w:rPr>
        <w:t>磋商供应商名称（盖章）：</w:t>
      </w:r>
    </w:p>
    <w:p>
      <w:pPr>
        <w:spacing w:line="440" w:lineRule="exact"/>
        <w:ind w:firstLine="4860"/>
        <w:jc w:val="left"/>
        <w:textAlignment w:val="baseline"/>
        <w:rPr>
          <w:rFonts w:ascii="宋体" w:hAnsi="宋体" w:cs="宋体"/>
          <w:color w:val="auto"/>
          <w:sz w:val="20"/>
          <w:szCs w:val="21"/>
          <w:highlight w:val="none"/>
          <w:u w:val="single" w:color="000000"/>
        </w:rPr>
      </w:pPr>
      <w:r>
        <w:rPr>
          <w:rFonts w:hint="eastAsia" w:ascii="宋体" w:hAnsi="宋体" w:cs="宋体"/>
          <w:b/>
          <w:bCs/>
          <w:color w:val="auto"/>
          <w:szCs w:val="21"/>
          <w:highlight w:val="none"/>
        </w:rPr>
        <w:t>日期：  年  月  日</w:t>
      </w:r>
    </w:p>
    <w:p>
      <w:pPr>
        <w:spacing w:line="460" w:lineRule="exact"/>
        <w:jc w:val="center"/>
        <w:textAlignment w:val="baseline"/>
        <w:rPr>
          <w:rFonts w:ascii="宋体" w:hAnsi="宋体" w:cs="宋体"/>
          <w:b/>
          <w:bCs/>
          <w:color w:val="auto"/>
          <w:sz w:val="28"/>
          <w:szCs w:val="28"/>
          <w:highlight w:val="none"/>
        </w:rPr>
      </w:pPr>
    </w:p>
    <w:p>
      <w:pPr>
        <w:spacing w:line="460" w:lineRule="exact"/>
        <w:jc w:val="center"/>
        <w:textAlignment w:val="baseline"/>
        <w:rPr>
          <w:rFonts w:ascii="宋体" w:hAnsi="宋体" w:cs="宋体"/>
          <w:b/>
          <w:bCs/>
          <w:color w:val="auto"/>
          <w:sz w:val="28"/>
          <w:szCs w:val="28"/>
          <w:highlight w:val="none"/>
        </w:rPr>
      </w:pPr>
    </w:p>
    <w:p>
      <w:pPr>
        <w:spacing w:line="460" w:lineRule="exact"/>
        <w:jc w:val="center"/>
        <w:textAlignment w:val="baseline"/>
        <w:rPr>
          <w:rFonts w:ascii="宋体" w:hAnsi="宋体" w:cs="宋体"/>
          <w:b/>
          <w:bCs/>
          <w:color w:val="auto"/>
          <w:sz w:val="28"/>
          <w:szCs w:val="28"/>
          <w:highlight w:val="none"/>
        </w:rPr>
      </w:pPr>
    </w:p>
    <w:p>
      <w:pPr>
        <w:spacing w:line="460" w:lineRule="exact"/>
        <w:jc w:val="center"/>
        <w:textAlignment w:val="baseline"/>
        <w:rPr>
          <w:rFonts w:ascii="宋体" w:hAnsi="宋体" w:cs="宋体"/>
          <w:b/>
          <w:bCs/>
          <w:color w:val="auto"/>
          <w:sz w:val="28"/>
          <w:szCs w:val="28"/>
          <w:highlight w:val="none"/>
        </w:rPr>
      </w:pPr>
    </w:p>
    <w:p>
      <w:pPr>
        <w:spacing w:line="460" w:lineRule="exact"/>
        <w:jc w:val="center"/>
        <w:textAlignment w:val="baseline"/>
        <w:rPr>
          <w:rFonts w:ascii="宋体" w:hAnsi="宋体" w:cs="宋体"/>
          <w:b/>
          <w:bCs/>
          <w:color w:val="auto"/>
          <w:sz w:val="28"/>
          <w:szCs w:val="28"/>
          <w:highlight w:val="none"/>
        </w:rPr>
      </w:pPr>
    </w:p>
    <w:p>
      <w:pPr>
        <w:spacing w:line="460" w:lineRule="exact"/>
        <w:jc w:val="center"/>
        <w:textAlignment w:val="baseline"/>
        <w:rPr>
          <w:rFonts w:ascii="宋体" w:hAnsi="宋体" w:cs="宋体"/>
          <w:b/>
          <w:bCs/>
          <w:color w:val="auto"/>
          <w:sz w:val="28"/>
          <w:szCs w:val="28"/>
          <w:highlight w:val="none"/>
        </w:rPr>
      </w:pPr>
    </w:p>
    <w:p>
      <w:pPr>
        <w:spacing w:line="460" w:lineRule="exact"/>
        <w:jc w:val="center"/>
        <w:textAlignment w:val="baseline"/>
        <w:rPr>
          <w:rFonts w:ascii="宋体" w:hAnsi="宋体" w:cs="宋体"/>
          <w:b/>
          <w:bCs/>
          <w:color w:val="auto"/>
          <w:sz w:val="28"/>
          <w:szCs w:val="28"/>
          <w:highlight w:val="none"/>
        </w:rPr>
      </w:pPr>
    </w:p>
    <w:p>
      <w:pPr>
        <w:spacing w:line="460" w:lineRule="exact"/>
        <w:textAlignment w:val="baseline"/>
        <w:rPr>
          <w:rFonts w:ascii="宋体" w:hAnsi="宋体" w:cs="宋体"/>
          <w:b/>
          <w:bCs/>
          <w:color w:val="auto"/>
          <w:sz w:val="28"/>
          <w:szCs w:val="28"/>
          <w:highlight w:val="none"/>
        </w:rPr>
      </w:pPr>
    </w:p>
    <w:p>
      <w:pPr>
        <w:spacing w:line="460" w:lineRule="exact"/>
        <w:textAlignment w:val="baseline"/>
        <w:rPr>
          <w:rFonts w:ascii="宋体" w:hAnsi="宋体" w:cs="宋体"/>
          <w:b/>
          <w:bCs/>
          <w:color w:val="auto"/>
          <w:sz w:val="22"/>
          <w:highlight w:val="none"/>
        </w:rPr>
      </w:pPr>
    </w:p>
    <w:p>
      <w:pPr>
        <w:pStyle w:val="27"/>
        <w:ind w:firstLine="42"/>
        <w:textAlignment w:val="baseline"/>
        <w:rPr>
          <w:rFonts w:ascii="宋体" w:hAnsi="宋体" w:eastAsia="宋体"/>
          <w:color w:val="auto"/>
          <w:highlight w:val="none"/>
        </w:rPr>
      </w:pPr>
    </w:p>
    <w:p>
      <w:pPr>
        <w:bidi w:val="0"/>
        <w:rPr>
          <w:rFonts w:hint="eastAsia"/>
          <w:b/>
          <w:bCs/>
          <w:color w:val="auto"/>
          <w:sz w:val="22"/>
          <w:szCs w:val="24"/>
          <w:highlight w:val="none"/>
        </w:rPr>
      </w:pPr>
      <w:bookmarkStart w:id="363" w:name="_Toc14763"/>
      <w:r>
        <w:rPr>
          <w:rFonts w:hint="eastAsia"/>
          <w:b/>
          <w:bCs/>
          <w:color w:val="auto"/>
          <w:sz w:val="22"/>
          <w:szCs w:val="24"/>
          <w:highlight w:val="none"/>
        </w:rPr>
        <w:t>附件8</w:t>
      </w:r>
      <w:bookmarkEnd w:id="363"/>
    </w:p>
    <w:p>
      <w:pPr>
        <w:spacing w:line="440" w:lineRule="exact"/>
        <w:jc w:val="center"/>
        <w:textAlignment w:val="baseline"/>
        <w:rPr>
          <w:rFonts w:ascii="宋体" w:hAnsi="宋体" w:cs="宋体"/>
          <w:b/>
          <w:bCs/>
          <w:color w:val="auto"/>
          <w:sz w:val="28"/>
          <w:szCs w:val="28"/>
          <w:highlight w:val="none"/>
        </w:rPr>
      </w:pPr>
      <w:r>
        <w:rPr>
          <w:rFonts w:hint="eastAsia" w:ascii="宋体" w:hAnsi="宋体" w:cs="宋体"/>
          <w:b/>
          <w:bCs/>
          <w:color w:val="auto"/>
          <w:sz w:val="28"/>
          <w:szCs w:val="28"/>
          <w:highlight w:val="none"/>
        </w:rPr>
        <w:t>项目组织与技术人员配备情况表</w:t>
      </w:r>
    </w:p>
    <w:p>
      <w:pPr>
        <w:pStyle w:val="2"/>
        <w:rPr>
          <w:rFonts w:ascii="宋体" w:hAnsi="宋体" w:cs="宋体"/>
          <w:color w:val="auto"/>
          <w:highlight w:val="none"/>
        </w:rPr>
      </w:pPr>
    </w:p>
    <w:p>
      <w:pPr>
        <w:pStyle w:val="27"/>
        <w:ind w:firstLine="42"/>
        <w:rPr>
          <w:rFonts w:hint="eastAsia" w:ascii="宋体" w:hAnsi="宋体" w:eastAsia="宋体"/>
          <w:color w:val="auto"/>
          <w:highlight w:val="none"/>
        </w:rPr>
      </w:pPr>
      <w:r>
        <w:rPr>
          <w:rFonts w:hint="eastAsia" w:ascii="宋体" w:hAnsi="宋体" w:eastAsia="宋体"/>
          <w:color w:val="auto"/>
          <w:highlight w:val="none"/>
        </w:rPr>
        <w:t>项目名称： 爱常山-数字化建设工程（一期）</w:t>
      </w:r>
    </w:p>
    <w:p>
      <w:pPr>
        <w:pStyle w:val="27"/>
        <w:ind w:firstLine="42"/>
        <w:rPr>
          <w:rFonts w:ascii="宋体" w:hAnsi="宋体" w:eastAsia="宋体"/>
          <w:color w:val="auto"/>
          <w:highlight w:val="none"/>
        </w:rPr>
      </w:pPr>
      <w:r>
        <w:rPr>
          <w:rFonts w:hint="eastAsia" w:ascii="宋体" w:hAnsi="宋体" w:eastAsia="宋体"/>
          <w:color w:val="auto"/>
          <w:highlight w:val="none"/>
        </w:rPr>
        <w:t>项目编号：GXZFCG-2022-CS09</w:t>
      </w:r>
    </w:p>
    <w:p>
      <w:pPr>
        <w:spacing w:line="520" w:lineRule="exact"/>
        <w:textAlignment w:val="baseline"/>
        <w:rPr>
          <w:rFonts w:ascii="宋体" w:hAnsi="宋体" w:cs="宋体"/>
          <w:bCs/>
          <w:color w:val="auto"/>
          <w:sz w:val="24"/>
          <w:highlight w:val="none"/>
        </w:rPr>
      </w:pPr>
    </w:p>
    <w:tbl>
      <w:tblPr>
        <w:tblStyle w:val="28"/>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2040"/>
        <w:gridCol w:w="1270"/>
        <w:gridCol w:w="1005"/>
        <w:gridCol w:w="1518"/>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482" w:type="dxa"/>
            <w:vAlign w:val="center"/>
          </w:tcPr>
          <w:p>
            <w:pPr>
              <w:spacing w:line="500" w:lineRule="exact"/>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姓名</w:t>
            </w:r>
          </w:p>
        </w:tc>
        <w:tc>
          <w:tcPr>
            <w:tcW w:w="2040" w:type="dxa"/>
            <w:vAlign w:val="center"/>
          </w:tcPr>
          <w:p>
            <w:pPr>
              <w:spacing w:line="500" w:lineRule="exact"/>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本项目</w:t>
            </w:r>
          </w:p>
          <w:p>
            <w:pPr>
              <w:spacing w:line="500" w:lineRule="exact"/>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拟任岗位</w:t>
            </w:r>
          </w:p>
        </w:tc>
        <w:tc>
          <w:tcPr>
            <w:tcW w:w="1270" w:type="dxa"/>
            <w:vAlign w:val="center"/>
          </w:tcPr>
          <w:p>
            <w:pPr>
              <w:spacing w:line="500" w:lineRule="exact"/>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年龄</w:t>
            </w:r>
          </w:p>
        </w:tc>
        <w:tc>
          <w:tcPr>
            <w:tcW w:w="1005" w:type="dxa"/>
            <w:vAlign w:val="center"/>
          </w:tcPr>
          <w:p>
            <w:pPr>
              <w:spacing w:line="500" w:lineRule="exact"/>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性别</w:t>
            </w:r>
          </w:p>
        </w:tc>
        <w:tc>
          <w:tcPr>
            <w:tcW w:w="1518" w:type="dxa"/>
            <w:vAlign w:val="center"/>
          </w:tcPr>
          <w:p>
            <w:pPr>
              <w:spacing w:line="500" w:lineRule="exact"/>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从事专业</w:t>
            </w:r>
          </w:p>
        </w:tc>
        <w:tc>
          <w:tcPr>
            <w:tcW w:w="1323" w:type="dxa"/>
            <w:vAlign w:val="center"/>
          </w:tcPr>
          <w:p>
            <w:pPr>
              <w:spacing w:line="500" w:lineRule="exact"/>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专业</w:t>
            </w:r>
          </w:p>
          <w:p>
            <w:pPr>
              <w:spacing w:line="500" w:lineRule="exact"/>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482" w:type="dxa"/>
          </w:tcPr>
          <w:p>
            <w:pPr>
              <w:spacing w:line="500" w:lineRule="exact"/>
              <w:jc w:val="center"/>
              <w:textAlignment w:val="baseline"/>
              <w:rPr>
                <w:rFonts w:ascii="宋体" w:hAnsi="宋体" w:cs="宋体"/>
                <w:bCs/>
                <w:color w:val="auto"/>
                <w:sz w:val="24"/>
                <w:highlight w:val="none"/>
              </w:rPr>
            </w:pPr>
          </w:p>
        </w:tc>
        <w:tc>
          <w:tcPr>
            <w:tcW w:w="2040" w:type="dxa"/>
          </w:tcPr>
          <w:p>
            <w:pPr>
              <w:spacing w:line="500" w:lineRule="exact"/>
              <w:jc w:val="center"/>
              <w:textAlignment w:val="baseline"/>
              <w:rPr>
                <w:rFonts w:ascii="宋体" w:hAnsi="宋体" w:cs="宋体"/>
                <w:bCs/>
                <w:color w:val="auto"/>
                <w:sz w:val="24"/>
                <w:highlight w:val="none"/>
              </w:rPr>
            </w:pPr>
          </w:p>
        </w:tc>
        <w:tc>
          <w:tcPr>
            <w:tcW w:w="1270" w:type="dxa"/>
          </w:tcPr>
          <w:p>
            <w:pPr>
              <w:spacing w:line="500" w:lineRule="exact"/>
              <w:jc w:val="center"/>
              <w:textAlignment w:val="baseline"/>
              <w:rPr>
                <w:rFonts w:ascii="宋体" w:hAnsi="宋体" w:cs="宋体"/>
                <w:bCs/>
                <w:color w:val="auto"/>
                <w:sz w:val="24"/>
                <w:highlight w:val="none"/>
              </w:rPr>
            </w:pPr>
          </w:p>
        </w:tc>
        <w:tc>
          <w:tcPr>
            <w:tcW w:w="1005" w:type="dxa"/>
          </w:tcPr>
          <w:p>
            <w:pPr>
              <w:spacing w:line="500" w:lineRule="exact"/>
              <w:jc w:val="center"/>
              <w:textAlignment w:val="baseline"/>
              <w:rPr>
                <w:rFonts w:ascii="宋体" w:hAnsi="宋体" w:cs="宋体"/>
                <w:bCs/>
                <w:color w:val="auto"/>
                <w:sz w:val="24"/>
                <w:highlight w:val="none"/>
              </w:rPr>
            </w:pPr>
          </w:p>
        </w:tc>
        <w:tc>
          <w:tcPr>
            <w:tcW w:w="1518" w:type="dxa"/>
          </w:tcPr>
          <w:p>
            <w:pPr>
              <w:spacing w:line="500" w:lineRule="exact"/>
              <w:jc w:val="center"/>
              <w:textAlignment w:val="baseline"/>
              <w:rPr>
                <w:rFonts w:ascii="宋体" w:hAnsi="宋体" w:cs="宋体"/>
                <w:bCs/>
                <w:color w:val="auto"/>
                <w:sz w:val="24"/>
                <w:highlight w:val="none"/>
              </w:rPr>
            </w:pPr>
          </w:p>
        </w:tc>
        <w:tc>
          <w:tcPr>
            <w:tcW w:w="1323" w:type="dxa"/>
          </w:tcPr>
          <w:p>
            <w:pPr>
              <w:spacing w:line="500" w:lineRule="exact"/>
              <w:jc w:val="center"/>
              <w:textAlignment w:val="baseline"/>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482" w:type="dxa"/>
          </w:tcPr>
          <w:p>
            <w:pPr>
              <w:spacing w:line="500" w:lineRule="exact"/>
              <w:jc w:val="center"/>
              <w:textAlignment w:val="baseline"/>
              <w:rPr>
                <w:rFonts w:ascii="宋体" w:hAnsi="宋体" w:cs="宋体"/>
                <w:bCs/>
                <w:color w:val="auto"/>
                <w:sz w:val="24"/>
                <w:highlight w:val="none"/>
              </w:rPr>
            </w:pPr>
          </w:p>
        </w:tc>
        <w:tc>
          <w:tcPr>
            <w:tcW w:w="2040" w:type="dxa"/>
          </w:tcPr>
          <w:p>
            <w:pPr>
              <w:spacing w:line="500" w:lineRule="exact"/>
              <w:jc w:val="center"/>
              <w:textAlignment w:val="baseline"/>
              <w:rPr>
                <w:rFonts w:ascii="宋体" w:hAnsi="宋体" w:cs="宋体"/>
                <w:bCs/>
                <w:color w:val="auto"/>
                <w:sz w:val="24"/>
                <w:highlight w:val="none"/>
              </w:rPr>
            </w:pPr>
          </w:p>
        </w:tc>
        <w:tc>
          <w:tcPr>
            <w:tcW w:w="1270" w:type="dxa"/>
          </w:tcPr>
          <w:p>
            <w:pPr>
              <w:spacing w:line="500" w:lineRule="exact"/>
              <w:jc w:val="center"/>
              <w:textAlignment w:val="baseline"/>
              <w:rPr>
                <w:rFonts w:ascii="宋体" w:hAnsi="宋体" w:cs="宋体"/>
                <w:bCs/>
                <w:color w:val="auto"/>
                <w:sz w:val="24"/>
                <w:highlight w:val="none"/>
              </w:rPr>
            </w:pPr>
          </w:p>
        </w:tc>
        <w:tc>
          <w:tcPr>
            <w:tcW w:w="1005" w:type="dxa"/>
          </w:tcPr>
          <w:p>
            <w:pPr>
              <w:spacing w:line="500" w:lineRule="exact"/>
              <w:jc w:val="center"/>
              <w:textAlignment w:val="baseline"/>
              <w:rPr>
                <w:rFonts w:ascii="宋体" w:hAnsi="宋体" w:cs="宋体"/>
                <w:bCs/>
                <w:color w:val="auto"/>
                <w:sz w:val="24"/>
                <w:highlight w:val="none"/>
              </w:rPr>
            </w:pPr>
          </w:p>
        </w:tc>
        <w:tc>
          <w:tcPr>
            <w:tcW w:w="1518" w:type="dxa"/>
          </w:tcPr>
          <w:p>
            <w:pPr>
              <w:spacing w:line="500" w:lineRule="exact"/>
              <w:jc w:val="center"/>
              <w:textAlignment w:val="baseline"/>
              <w:rPr>
                <w:rFonts w:ascii="宋体" w:hAnsi="宋体" w:cs="宋体"/>
                <w:bCs/>
                <w:color w:val="auto"/>
                <w:sz w:val="24"/>
                <w:highlight w:val="none"/>
              </w:rPr>
            </w:pPr>
          </w:p>
        </w:tc>
        <w:tc>
          <w:tcPr>
            <w:tcW w:w="1323" w:type="dxa"/>
          </w:tcPr>
          <w:p>
            <w:pPr>
              <w:spacing w:line="500" w:lineRule="exact"/>
              <w:jc w:val="center"/>
              <w:textAlignment w:val="baseline"/>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482" w:type="dxa"/>
          </w:tcPr>
          <w:p>
            <w:pPr>
              <w:spacing w:line="500" w:lineRule="exact"/>
              <w:jc w:val="center"/>
              <w:textAlignment w:val="baseline"/>
              <w:rPr>
                <w:rFonts w:ascii="宋体" w:hAnsi="宋体" w:cs="宋体"/>
                <w:bCs/>
                <w:color w:val="auto"/>
                <w:sz w:val="24"/>
                <w:highlight w:val="none"/>
              </w:rPr>
            </w:pPr>
          </w:p>
        </w:tc>
        <w:tc>
          <w:tcPr>
            <w:tcW w:w="2040" w:type="dxa"/>
          </w:tcPr>
          <w:p>
            <w:pPr>
              <w:spacing w:line="500" w:lineRule="exact"/>
              <w:jc w:val="center"/>
              <w:textAlignment w:val="baseline"/>
              <w:rPr>
                <w:rFonts w:ascii="宋体" w:hAnsi="宋体" w:cs="宋体"/>
                <w:bCs/>
                <w:color w:val="auto"/>
                <w:sz w:val="24"/>
                <w:highlight w:val="none"/>
              </w:rPr>
            </w:pPr>
          </w:p>
        </w:tc>
        <w:tc>
          <w:tcPr>
            <w:tcW w:w="1270" w:type="dxa"/>
          </w:tcPr>
          <w:p>
            <w:pPr>
              <w:spacing w:line="500" w:lineRule="exact"/>
              <w:jc w:val="center"/>
              <w:textAlignment w:val="baseline"/>
              <w:rPr>
                <w:rFonts w:ascii="宋体" w:hAnsi="宋体" w:cs="宋体"/>
                <w:bCs/>
                <w:color w:val="auto"/>
                <w:sz w:val="24"/>
                <w:highlight w:val="none"/>
              </w:rPr>
            </w:pPr>
          </w:p>
        </w:tc>
        <w:tc>
          <w:tcPr>
            <w:tcW w:w="1005" w:type="dxa"/>
          </w:tcPr>
          <w:p>
            <w:pPr>
              <w:spacing w:line="500" w:lineRule="exact"/>
              <w:jc w:val="center"/>
              <w:textAlignment w:val="baseline"/>
              <w:rPr>
                <w:rFonts w:ascii="宋体" w:hAnsi="宋体" w:cs="宋体"/>
                <w:bCs/>
                <w:color w:val="auto"/>
                <w:sz w:val="24"/>
                <w:highlight w:val="none"/>
              </w:rPr>
            </w:pPr>
          </w:p>
        </w:tc>
        <w:tc>
          <w:tcPr>
            <w:tcW w:w="1518" w:type="dxa"/>
          </w:tcPr>
          <w:p>
            <w:pPr>
              <w:spacing w:line="500" w:lineRule="exact"/>
              <w:jc w:val="center"/>
              <w:textAlignment w:val="baseline"/>
              <w:rPr>
                <w:rFonts w:ascii="宋体" w:hAnsi="宋体" w:cs="宋体"/>
                <w:bCs/>
                <w:color w:val="auto"/>
                <w:sz w:val="24"/>
                <w:highlight w:val="none"/>
              </w:rPr>
            </w:pPr>
          </w:p>
        </w:tc>
        <w:tc>
          <w:tcPr>
            <w:tcW w:w="1323" w:type="dxa"/>
          </w:tcPr>
          <w:p>
            <w:pPr>
              <w:spacing w:line="500" w:lineRule="exact"/>
              <w:jc w:val="center"/>
              <w:textAlignment w:val="baseline"/>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82" w:type="dxa"/>
          </w:tcPr>
          <w:p>
            <w:pPr>
              <w:spacing w:line="400" w:lineRule="exact"/>
              <w:jc w:val="center"/>
              <w:textAlignment w:val="baseline"/>
              <w:rPr>
                <w:rFonts w:ascii="宋体" w:hAnsi="宋体" w:cs="宋体"/>
                <w:bCs/>
                <w:color w:val="auto"/>
                <w:sz w:val="24"/>
                <w:highlight w:val="none"/>
              </w:rPr>
            </w:pPr>
          </w:p>
        </w:tc>
        <w:tc>
          <w:tcPr>
            <w:tcW w:w="2040" w:type="dxa"/>
          </w:tcPr>
          <w:p>
            <w:pPr>
              <w:spacing w:line="400" w:lineRule="exact"/>
              <w:jc w:val="center"/>
              <w:textAlignment w:val="baseline"/>
              <w:rPr>
                <w:rFonts w:ascii="宋体" w:hAnsi="宋体" w:cs="宋体"/>
                <w:bCs/>
                <w:color w:val="auto"/>
                <w:sz w:val="24"/>
                <w:highlight w:val="none"/>
              </w:rPr>
            </w:pPr>
          </w:p>
        </w:tc>
        <w:tc>
          <w:tcPr>
            <w:tcW w:w="1270" w:type="dxa"/>
          </w:tcPr>
          <w:p>
            <w:pPr>
              <w:spacing w:line="400" w:lineRule="exact"/>
              <w:jc w:val="center"/>
              <w:textAlignment w:val="baseline"/>
              <w:rPr>
                <w:rFonts w:ascii="宋体" w:hAnsi="宋体" w:cs="宋体"/>
                <w:bCs/>
                <w:color w:val="auto"/>
                <w:sz w:val="24"/>
                <w:highlight w:val="none"/>
              </w:rPr>
            </w:pPr>
          </w:p>
        </w:tc>
        <w:tc>
          <w:tcPr>
            <w:tcW w:w="1005" w:type="dxa"/>
          </w:tcPr>
          <w:p>
            <w:pPr>
              <w:spacing w:line="400" w:lineRule="exact"/>
              <w:jc w:val="center"/>
              <w:textAlignment w:val="baseline"/>
              <w:rPr>
                <w:rFonts w:ascii="宋体" w:hAnsi="宋体" w:cs="宋体"/>
                <w:bCs/>
                <w:color w:val="auto"/>
                <w:sz w:val="24"/>
                <w:highlight w:val="none"/>
              </w:rPr>
            </w:pPr>
          </w:p>
        </w:tc>
        <w:tc>
          <w:tcPr>
            <w:tcW w:w="1518" w:type="dxa"/>
          </w:tcPr>
          <w:p>
            <w:pPr>
              <w:spacing w:line="400" w:lineRule="exact"/>
              <w:jc w:val="center"/>
              <w:textAlignment w:val="baseline"/>
              <w:rPr>
                <w:rFonts w:ascii="宋体" w:hAnsi="宋体" w:cs="宋体"/>
                <w:bCs/>
                <w:color w:val="auto"/>
                <w:sz w:val="24"/>
                <w:highlight w:val="none"/>
              </w:rPr>
            </w:pPr>
          </w:p>
        </w:tc>
        <w:tc>
          <w:tcPr>
            <w:tcW w:w="1323" w:type="dxa"/>
          </w:tcPr>
          <w:p>
            <w:pPr>
              <w:spacing w:line="400" w:lineRule="exact"/>
              <w:jc w:val="center"/>
              <w:textAlignment w:val="baseline"/>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82" w:type="dxa"/>
          </w:tcPr>
          <w:p>
            <w:pPr>
              <w:spacing w:line="400" w:lineRule="exact"/>
              <w:jc w:val="center"/>
              <w:textAlignment w:val="baseline"/>
              <w:rPr>
                <w:rFonts w:ascii="宋体" w:hAnsi="宋体" w:cs="宋体"/>
                <w:bCs/>
                <w:color w:val="auto"/>
                <w:sz w:val="24"/>
                <w:highlight w:val="none"/>
              </w:rPr>
            </w:pPr>
          </w:p>
        </w:tc>
        <w:tc>
          <w:tcPr>
            <w:tcW w:w="2040" w:type="dxa"/>
          </w:tcPr>
          <w:p>
            <w:pPr>
              <w:spacing w:line="400" w:lineRule="exact"/>
              <w:jc w:val="center"/>
              <w:textAlignment w:val="baseline"/>
              <w:rPr>
                <w:rFonts w:ascii="宋体" w:hAnsi="宋体" w:cs="宋体"/>
                <w:bCs/>
                <w:color w:val="auto"/>
                <w:sz w:val="24"/>
                <w:highlight w:val="none"/>
              </w:rPr>
            </w:pPr>
          </w:p>
        </w:tc>
        <w:tc>
          <w:tcPr>
            <w:tcW w:w="1270" w:type="dxa"/>
          </w:tcPr>
          <w:p>
            <w:pPr>
              <w:spacing w:line="400" w:lineRule="exact"/>
              <w:jc w:val="center"/>
              <w:textAlignment w:val="baseline"/>
              <w:rPr>
                <w:rFonts w:ascii="宋体" w:hAnsi="宋体" w:cs="宋体"/>
                <w:bCs/>
                <w:color w:val="auto"/>
                <w:sz w:val="24"/>
                <w:highlight w:val="none"/>
              </w:rPr>
            </w:pPr>
          </w:p>
        </w:tc>
        <w:tc>
          <w:tcPr>
            <w:tcW w:w="1005" w:type="dxa"/>
          </w:tcPr>
          <w:p>
            <w:pPr>
              <w:spacing w:line="400" w:lineRule="exact"/>
              <w:jc w:val="center"/>
              <w:textAlignment w:val="baseline"/>
              <w:rPr>
                <w:rFonts w:ascii="宋体" w:hAnsi="宋体" w:cs="宋体"/>
                <w:bCs/>
                <w:color w:val="auto"/>
                <w:sz w:val="24"/>
                <w:highlight w:val="none"/>
              </w:rPr>
            </w:pPr>
          </w:p>
        </w:tc>
        <w:tc>
          <w:tcPr>
            <w:tcW w:w="1518" w:type="dxa"/>
          </w:tcPr>
          <w:p>
            <w:pPr>
              <w:spacing w:line="400" w:lineRule="exact"/>
              <w:jc w:val="center"/>
              <w:textAlignment w:val="baseline"/>
              <w:rPr>
                <w:rFonts w:ascii="宋体" w:hAnsi="宋体" w:cs="宋体"/>
                <w:bCs/>
                <w:color w:val="auto"/>
                <w:sz w:val="24"/>
                <w:highlight w:val="none"/>
              </w:rPr>
            </w:pPr>
          </w:p>
        </w:tc>
        <w:tc>
          <w:tcPr>
            <w:tcW w:w="1323" w:type="dxa"/>
          </w:tcPr>
          <w:p>
            <w:pPr>
              <w:spacing w:line="400" w:lineRule="exact"/>
              <w:jc w:val="center"/>
              <w:textAlignment w:val="baseline"/>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82" w:type="dxa"/>
          </w:tcPr>
          <w:p>
            <w:pPr>
              <w:spacing w:line="400" w:lineRule="exact"/>
              <w:jc w:val="center"/>
              <w:textAlignment w:val="baseline"/>
              <w:rPr>
                <w:rFonts w:ascii="宋体" w:hAnsi="宋体" w:cs="宋体"/>
                <w:bCs/>
                <w:color w:val="auto"/>
                <w:sz w:val="24"/>
                <w:highlight w:val="none"/>
              </w:rPr>
            </w:pPr>
          </w:p>
        </w:tc>
        <w:tc>
          <w:tcPr>
            <w:tcW w:w="2040" w:type="dxa"/>
          </w:tcPr>
          <w:p>
            <w:pPr>
              <w:spacing w:line="400" w:lineRule="exact"/>
              <w:jc w:val="center"/>
              <w:textAlignment w:val="baseline"/>
              <w:rPr>
                <w:rFonts w:ascii="宋体" w:hAnsi="宋体" w:cs="宋体"/>
                <w:bCs/>
                <w:color w:val="auto"/>
                <w:sz w:val="24"/>
                <w:highlight w:val="none"/>
              </w:rPr>
            </w:pPr>
          </w:p>
        </w:tc>
        <w:tc>
          <w:tcPr>
            <w:tcW w:w="1270" w:type="dxa"/>
          </w:tcPr>
          <w:p>
            <w:pPr>
              <w:spacing w:line="400" w:lineRule="exact"/>
              <w:jc w:val="center"/>
              <w:textAlignment w:val="baseline"/>
              <w:rPr>
                <w:rFonts w:ascii="宋体" w:hAnsi="宋体" w:cs="宋体"/>
                <w:bCs/>
                <w:color w:val="auto"/>
                <w:sz w:val="24"/>
                <w:highlight w:val="none"/>
              </w:rPr>
            </w:pPr>
          </w:p>
        </w:tc>
        <w:tc>
          <w:tcPr>
            <w:tcW w:w="1005" w:type="dxa"/>
          </w:tcPr>
          <w:p>
            <w:pPr>
              <w:spacing w:line="400" w:lineRule="exact"/>
              <w:jc w:val="center"/>
              <w:textAlignment w:val="baseline"/>
              <w:rPr>
                <w:rFonts w:ascii="宋体" w:hAnsi="宋体" w:cs="宋体"/>
                <w:bCs/>
                <w:color w:val="auto"/>
                <w:sz w:val="24"/>
                <w:highlight w:val="none"/>
              </w:rPr>
            </w:pPr>
          </w:p>
        </w:tc>
        <w:tc>
          <w:tcPr>
            <w:tcW w:w="1518" w:type="dxa"/>
          </w:tcPr>
          <w:p>
            <w:pPr>
              <w:spacing w:line="400" w:lineRule="exact"/>
              <w:jc w:val="center"/>
              <w:textAlignment w:val="baseline"/>
              <w:rPr>
                <w:rFonts w:ascii="宋体" w:hAnsi="宋体" w:cs="宋体"/>
                <w:bCs/>
                <w:color w:val="auto"/>
                <w:sz w:val="24"/>
                <w:highlight w:val="none"/>
              </w:rPr>
            </w:pPr>
          </w:p>
        </w:tc>
        <w:tc>
          <w:tcPr>
            <w:tcW w:w="1323" w:type="dxa"/>
          </w:tcPr>
          <w:p>
            <w:pPr>
              <w:spacing w:line="400" w:lineRule="exact"/>
              <w:jc w:val="center"/>
              <w:textAlignment w:val="baseline"/>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482" w:type="dxa"/>
          </w:tcPr>
          <w:p>
            <w:pPr>
              <w:spacing w:line="500" w:lineRule="exact"/>
              <w:jc w:val="center"/>
              <w:textAlignment w:val="baseline"/>
              <w:rPr>
                <w:rFonts w:ascii="宋体" w:hAnsi="宋体" w:cs="宋体"/>
                <w:bCs/>
                <w:color w:val="auto"/>
                <w:sz w:val="24"/>
                <w:highlight w:val="none"/>
              </w:rPr>
            </w:pPr>
          </w:p>
        </w:tc>
        <w:tc>
          <w:tcPr>
            <w:tcW w:w="2040" w:type="dxa"/>
          </w:tcPr>
          <w:p>
            <w:pPr>
              <w:spacing w:line="500" w:lineRule="exact"/>
              <w:jc w:val="center"/>
              <w:textAlignment w:val="baseline"/>
              <w:rPr>
                <w:rFonts w:ascii="宋体" w:hAnsi="宋体" w:cs="宋体"/>
                <w:bCs/>
                <w:color w:val="auto"/>
                <w:sz w:val="24"/>
                <w:highlight w:val="none"/>
              </w:rPr>
            </w:pPr>
          </w:p>
        </w:tc>
        <w:tc>
          <w:tcPr>
            <w:tcW w:w="1270" w:type="dxa"/>
          </w:tcPr>
          <w:p>
            <w:pPr>
              <w:spacing w:line="500" w:lineRule="exact"/>
              <w:jc w:val="center"/>
              <w:textAlignment w:val="baseline"/>
              <w:rPr>
                <w:rFonts w:ascii="宋体" w:hAnsi="宋体" w:cs="宋体"/>
                <w:bCs/>
                <w:color w:val="auto"/>
                <w:sz w:val="24"/>
                <w:highlight w:val="none"/>
              </w:rPr>
            </w:pPr>
          </w:p>
        </w:tc>
        <w:tc>
          <w:tcPr>
            <w:tcW w:w="1005" w:type="dxa"/>
          </w:tcPr>
          <w:p>
            <w:pPr>
              <w:spacing w:line="500" w:lineRule="exact"/>
              <w:jc w:val="center"/>
              <w:textAlignment w:val="baseline"/>
              <w:rPr>
                <w:rFonts w:ascii="宋体" w:hAnsi="宋体" w:cs="宋体"/>
                <w:bCs/>
                <w:color w:val="auto"/>
                <w:sz w:val="24"/>
                <w:highlight w:val="none"/>
              </w:rPr>
            </w:pPr>
          </w:p>
        </w:tc>
        <w:tc>
          <w:tcPr>
            <w:tcW w:w="1518" w:type="dxa"/>
          </w:tcPr>
          <w:p>
            <w:pPr>
              <w:spacing w:line="500" w:lineRule="exact"/>
              <w:jc w:val="center"/>
              <w:textAlignment w:val="baseline"/>
              <w:rPr>
                <w:rFonts w:ascii="宋体" w:hAnsi="宋体" w:cs="宋体"/>
                <w:bCs/>
                <w:color w:val="auto"/>
                <w:sz w:val="24"/>
                <w:highlight w:val="none"/>
              </w:rPr>
            </w:pPr>
          </w:p>
        </w:tc>
        <w:tc>
          <w:tcPr>
            <w:tcW w:w="1323" w:type="dxa"/>
          </w:tcPr>
          <w:p>
            <w:pPr>
              <w:spacing w:line="500" w:lineRule="exact"/>
              <w:jc w:val="center"/>
              <w:textAlignment w:val="baseline"/>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482" w:type="dxa"/>
          </w:tcPr>
          <w:p>
            <w:pPr>
              <w:spacing w:line="500" w:lineRule="exact"/>
              <w:jc w:val="center"/>
              <w:textAlignment w:val="baseline"/>
              <w:rPr>
                <w:rFonts w:ascii="宋体" w:hAnsi="宋体" w:cs="宋体"/>
                <w:bCs/>
                <w:color w:val="auto"/>
                <w:sz w:val="24"/>
                <w:highlight w:val="none"/>
              </w:rPr>
            </w:pPr>
          </w:p>
        </w:tc>
        <w:tc>
          <w:tcPr>
            <w:tcW w:w="2040" w:type="dxa"/>
          </w:tcPr>
          <w:p>
            <w:pPr>
              <w:spacing w:line="500" w:lineRule="exact"/>
              <w:jc w:val="center"/>
              <w:textAlignment w:val="baseline"/>
              <w:rPr>
                <w:rFonts w:ascii="宋体" w:hAnsi="宋体" w:cs="宋体"/>
                <w:bCs/>
                <w:color w:val="auto"/>
                <w:sz w:val="24"/>
                <w:highlight w:val="none"/>
              </w:rPr>
            </w:pPr>
          </w:p>
        </w:tc>
        <w:tc>
          <w:tcPr>
            <w:tcW w:w="1270" w:type="dxa"/>
          </w:tcPr>
          <w:p>
            <w:pPr>
              <w:spacing w:line="500" w:lineRule="exact"/>
              <w:jc w:val="center"/>
              <w:textAlignment w:val="baseline"/>
              <w:rPr>
                <w:rFonts w:ascii="宋体" w:hAnsi="宋体" w:cs="宋体"/>
                <w:bCs/>
                <w:color w:val="auto"/>
                <w:sz w:val="24"/>
                <w:highlight w:val="none"/>
              </w:rPr>
            </w:pPr>
          </w:p>
        </w:tc>
        <w:tc>
          <w:tcPr>
            <w:tcW w:w="1005" w:type="dxa"/>
          </w:tcPr>
          <w:p>
            <w:pPr>
              <w:spacing w:line="500" w:lineRule="exact"/>
              <w:jc w:val="center"/>
              <w:textAlignment w:val="baseline"/>
              <w:rPr>
                <w:rFonts w:ascii="宋体" w:hAnsi="宋体" w:cs="宋体"/>
                <w:bCs/>
                <w:color w:val="auto"/>
                <w:sz w:val="24"/>
                <w:highlight w:val="none"/>
              </w:rPr>
            </w:pPr>
          </w:p>
        </w:tc>
        <w:tc>
          <w:tcPr>
            <w:tcW w:w="1518" w:type="dxa"/>
          </w:tcPr>
          <w:p>
            <w:pPr>
              <w:spacing w:line="500" w:lineRule="exact"/>
              <w:jc w:val="center"/>
              <w:textAlignment w:val="baseline"/>
              <w:rPr>
                <w:rFonts w:ascii="宋体" w:hAnsi="宋体" w:cs="宋体"/>
                <w:bCs/>
                <w:color w:val="auto"/>
                <w:sz w:val="24"/>
                <w:highlight w:val="none"/>
              </w:rPr>
            </w:pPr>
          </w:p>
        </w:tc>
        <w:tc>
          <w:tcPr>
            <w:tcW w:w="1323" w:type="dxa"/>
          </w:tcPr>
          <w:p>
            <w:pPr>
              <w:spacing w:line="500" w:lineRule="exact"/>
              <w:jc w:val="center"/>
              <w:textAlignment w:val="baseline"/>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82" w:type="dxa"/>
          </w:tcPr>
          <w:p>
            <w:pPr>
              <w:spacing w:line="400" w:lineRule="exact"/>
              <w:jc w:val="center"/>
              <w:textAlignment w:val="baseline"/>
              <w:rPr>
                <w:rFonts w:ascii="宋体" w:hAnsi="宋体" w:cs="宋体"/>
                <w:bCs/>
                <w:color w:val="auto"/>
                <w:sz w:val="24"/>
                <w:highlight w:val="none"/>
              </w:rPr>
            </w:pPr>
          </w:p>
        </w:tc>
        <w:tc>
          <w:tcPr>
            <w:tcW w:w="2040" w:type="dxa"/>
          </w:tcPr>
          <w:p>
            <w:pPr>
              <w:spacing w:line="400" w:lineRule="exact"/>
              <w:jc w:val="center"/>
              <w:textAlignment w:val="baseline"/>
              <w:rPr>
                <w:rFonts w:ascii="宋体" w:hAnsi="宋体" w:cs="宋体"/>
                <w:bCs/>
                <w:color w:val="auto"/>
                <w:sz w:val="24"/>
                <w:highlight w:val="none"/>
              </w:rPr>
            </w:pPr>
          </w:p>
        </w:tc>
        <w:tc>
          <w:tcPr>
            <w:tcW w:w="1270" w:type="dxa"/>
          </w:tcPr>
          <w:p>
            <w:pPr>
              <w:spacing w:line="400" w:lineRule="exact"/>
              <w:jc w:val="center"/>
              <w:textAlignment w:val="baseline"/>
              <w:rPr>
                <w:rFonts w:ascii="宋体" w:hAnsi="宋体" w:cs="宋体"/>
                <w:bCs/>
                <w:color w:val="auto"/>
                <w:sz w:val="24"/>
                <w:highlight w:val="none"/>
              </w:rPr>
            </w:pPr>
          </w:p>
        </w:tc>
        <w:tc>
          <w:tcPr>
            <w:tcW w:w="1005" w:type="dxa"/>
          </w:tcPr>
          <w:p>
            <w:pPr>
              <w:spacing w:line="400" w:lineRule="exact"/>
              <w:jc w:val="center"/>
              <w:textAlignment w:val="baseline"/>
              <w:rPr>
                <w:rFonts w:ascii="宋体" w:hAnsi="宋体" w:cs="宋体"/>
                <w:bCs/>
                <w:color w:val="auto"/>
                <w:sz w:val="24"/>
                <w:highlight w:val="none"/>
              </w:rPr>
            </w:pPr>
          </w:p>
        </w:tc>
        <w:tc>
          <w:tcPr>
            <w:tcW w:w="1518" w:type="dxa"/>
          </w:tcPr>
          <w:p>
            <w:pPr>
              <w:spacing w:line="400" w:lineRule="exact"/>
              <w:jc w:val="center"/>
              <w:textAlignment w:val="baseline"/>
              <w:rPr>
                <w:rFonts w:ascii="宋体" w:hAnsi="宋体" w:cs="宋体"/>
                <w:bCs/>
                <w:color w:val="auto"/>
                <w:sz w:val="24"/>
                <w:highlight w:val="none"/>
              </w:rPr>
            </w:pPr>
          </w:p>
        </w:tc>
        <w:tc>
          <w:tcPr>
            <w:tcW w:w="1323" w:type="dxa"/>
          </w:tcPr>
          <w:p>
            <w:pPr>
              <w:spacing w:line="400" w:lineRule="exact"/>
              <w:jc w:val="center"/>
              <w:textAlignment w:val="baseline"/>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82" w:type="dxa"/>
          </w:tcPr>
          <w:p>
            <w:pPr>
              <w:spacing w:line="400" w:lineRule="exact"/>
              <w:jc w:val="center"/>
              <w:textAlignment w:val="baseline"/>
              <w:rPr>
                <w:rFonts w:ascii="宋体" w:hAnsi="宋体" w:cs="宋体"/>
                <w:bCs/>
                <w:color w:val="auto"/>
                <w:sz w:val="24"/>
                <w:highlight w:val="none"/>
              </w:rPr>
            </w:pPr>
          </w:p>
        </w:tc>
        <w:tc>
          <w:tcPr>
            <w:tcW w:w="2040" w:type="dxa"/>
          </w:tcPr>
          <w:p>
            <w:pPr>
              <w:spacing w:line="400" w:lineRule="exact"/>
              <w:jc w:val="center"/>
              <w:textAlignment w:val="baseline"/>
              <w:rPr>
                <w:rFonts w:ascii="宋体" w:hAnsi="宋体" w:cs="宋体"/>
                <w:bCs/>
                <w:color w:val="auto"/>
                <w:sz w:val="24"/>
                <w:highlight w:val="none"/>
              </w:rPr>
            </w:pPr>
          </w:p>
        </w:tc>
        <w:tc>
          <w:tcPr>
            <w:tcW w:w="1270" w:type="dxa"/>
          </w:tcPr>
          <w:p>
            <w:pPr>
              <w:spacing w:line="400" w:lineRule="exact"/>
              <w:jc w:val="center"/>
              <w:textAlignment w:val="baseline"/>
              <w:rPr>
                <w:rFonts w:ascii="宋体" w:hAnsi="宋体" w:cs="宋体"/>
                <w:bCs/>
                <w:color w:val="auto"/>
                <w:sz w:val="24"/>
                <w:highlight w:val="none"/>
              </w:rPr>
            </w:pPr>
          </w:p>
        </w:tc>
        <w:tc>
          <w:tcPr>
            <w:tcW w:w="1005" w:type="dxa"/>
          </w:tcPr>
          <w:p>
            <w:pPr>
              <w:spacing w:line="400" w:lineRule="exact"/>
              <w:jc w:val="center"/>
              <w:textAlignment w:val="baseline"/>
              <w:rPr>
                <w:rFonts w:ascii="宋体" w:hAnsi="宋体" w:cs="宋体"/>
                <w:bCs/>
                <w:color w:val="auto"/>
                <w:sz w:val="24"/>
                <w:highlight w:val="none"/>
              </w:rPr>
            </w:pPr>
          </w:p>
        </w:tc>
        <w:tc>
          <w:tcPr>
            <w:tcW w:w="1518" w:type="dxa"/>
          </w:tcPr>
          <w:p>
            <w:pPr>
              <w:spacing w:line="400" w:lineRule="exact"/>
              <w:jc w:val="center"/>
              <w:textAlignment w:val="baseline"/>
              <w:rPr>
                <w:rFonts w:ascii="宋体" w:hAnsi="宋体" w:cs="宋体"/>
                <w:bCs/>
                <w:color w:val="auto"/>
                <w:sz w:val="24"/>
                <w:highlight w:val="none"/>
              </w:rPr>
            </w:pPr>
          </w:p>
        </w:tc>
        <w:tc>
          <w:tcPr>
            <w:tcW w:w="1323" w:type="dxa"/>
          </w:tcPr>
          <w:p>
            <w:pPr>
              <w:spacing w:line="400" w:lineRule="exact"/>
              <w:jc w:val="center"/>
              <w:textAlignment w:val="baseline"/>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82" w:type="dxa"/>
          </w:tcPr>
          <w:p>
            <w:pPr>
              <w:spacing w:line="400" w:lineRule="exact"/>
              <w:jc w:val="center"/>
              <w:textAlignment w:val="baseline"/>
              <w:rPr>
                <w:rFonts w:ascii="宋体" w:hAnsi="宋体" w:cs="宋体"/>
                <w:bCs/>
                <w:color w:val="auto"/>
                <w:sz w:val="24"/>
                <w:highlight w:val="none"/>
              </w:rPr>
            </w:pPr>
          </w:p>
        </w:tc>
        <w:tc>
          <w:tcPr>
            <w:tcW w:w="2040" w:type="dxa"/>
          </w:tcPr>
          <w:p>
            <w:pPr>
              <w:spacing w:line="400" w:lineRule="exact"/>
              <w:jc w:val="center"/>
              <w:textAlignment w:val="baseline"/>
              <w:rPr>
                <w:rFonts w:ascii="宋体" w:hAnsi="宋体" w:cs="宋体"/>
                <w:bCs/>
                <w:color w:val="auto"/>
                <w:sz w:val="24"/>
                <w:highlight w:val="none"/>
              </w:rPr>
            </w:pPr>
          </w:p>
        </w:tc>
        <w:tc>
          <w:tcPr>
            <w:tcW w:w="1270" w:type="dxa"/>
          </w:tcPr>
          <w:p>
            <w:pPr>
              <w:spacing w:line="400" w:lineRule="exact"/>
              <w:jc w:val="center"/>
              <w:textAlignment w:val="baseline"/>
              <w:rPr>
                <w:rFonts w:ascii="宋体" w:hAnsi="宋体" w:cs="宋体"/>
                <w:bCs/>
                <w:color w:val="auto"/>
                <w:sz w:val="24"/>
                <w:highlight w:val="none"/>
              </w:rPr>
            </w:pPr>
          </w:p>
        </w:tc>
        <w:tc>
          <w:tcPr>
            <w:tcW w:w="1005" w:type="dxa"/>
          </w:tcPr>
          <w:p>
            <w:pPr>
              <w:spacing w:line="400" w:lineRule="exact"/>
              <w:jc w:val="center"/>
              <w:textAlignment w:val="baseline"/>
              <w:rPr>
                <w:rFonts w:ascii="宋体" w:hAnsi="宋体" w:cs="宋体"/>
                <w:bCs/>
                <w:color w:val="auto"/>
                <w:sz w:val="24"/>
                <w:highlight w:val="none"/>
              </w:rPr>
            </w:pPr>
          </w:p>
        </w:tc>
        <w:tc>
          <w:tcPr>
            <w:tcW w:w="1518" w:type="dxa"/>
          </w:tcPr>
          <w:p>
            <w:pPr>
              <w:spacing w:line="400" w:lineRule="exact"/>
              <w:jc w:val="center"/>
              <w:textAlignment w:val="baseline"/>
              <w:rPr>
                <w:rFonts w:ascii="宋体" w:hAnsi="宋体" w:cs="宋体"/>
                <w:bCs/>
                <w:color w:val="auto"/>
                <w:sz w:val="24"/>
                <w:highlight w:val="none"/>
              </w:rPr>
            </w:pPr>
          </w:p>
        </w:tc>
        <w:tc>
          <w:tcPr>
            <w:tcW w:w="1323" w:type="dxa"/>
          </w:tcPr>
          <w:p>
            <w:pPr>
              <w:spacing w:line="400" w:lineRule="exact"/>
              <w:jc w:val="center"/>
              <w:textAlignment w:val="baseline"/>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82" w:type="dxa"/>
          </w:tcPr>
          <w:p>
            <w:pPr>
              <w:spacing w:line="400" w:lineRule="exact"/>
              <w:jc w:val="center"/>
              <w:textAlignment w:val="baseline"/>
              <w:rPr>
                <w:rFonts w:ascii="宋体" w:hAnsi="宋体" w:cs="宋体"/>
                <w:bCs/>
                <w:color w:val="auto"/>
                <w:sz w:val="24"/>
                <w:highlight w:val="none"/>
              </w:rPr>
            </w:pPr>
          </w:p>
        </w:tc>
        <w:tc>
          <w:tcPr>
            <w:tcW w:w="2040" w:type="dxa"/>
          </w:tcPr>
          <w:p>
            <w:pPr>
              <w:spacing w:line="400" w:lineRule="exact"/>
              <w:jc w:val="center"/>
              <w:textAlignment w:val="baseline"/>
              <w:rPr>
                <w:rFonts w:ascii="宋体" w:hAnsi="宋体" w:cs="宋体"/>
                <w:bCs/>
                <w:color w:val="auto"/>
                <w:sz w:val="24"/>
                <w:highlight w:val="none"/>
              </w:rPr>
            </w:pPr>
          </w:p>
        </w:tc>
        <w:tc>
          <w:tcPr>
            <w:tcW w:w="1270" w:type="dxa"/>
          </w:tcPr>
          <w:p>
            <w:pPr>
              <w:spacing w:line="400" w:lineRule="exact"/>
              <w:jc w:val="center"/>
              <w:textAlignment w:val="baseline"/>
              <w:rPr>
                <w:rFonts w:ascii="宋体" w:hAnsi="宋体" w:cs="宋体"/>
                <w:bCs/>
                <w:color w:val="auto"/>
                <w:sz w:val="24"/>
                <w:highlight w:val="none"/>
              </w:rPr>
            </w:pPr>
          </w:p>
        </w:tc>
        <w:tc>
          <w:tcPr>
            <w:tcW w:w="1005" w:type="dxa"/>
          </w:tcPr>
          <w:p>
            <w:pPr>
              <w:spacing w:line="400" w:lineRule="exact"/>
              <w:jc w:val="center"/>
              <w:textAlignment w:val="baseline"/>
              <w:rPr>
                <w:rFonts w:ascii="宋体" w:hAnsi="宋体" w:cs="宋体"/>
                <w:bCs/>
                <w:color w:val="auto"/>
                <w:sz w:val="24"/>
                <w:highlight w:val="none"/>
              </w:rPr>
            </w:pPr>
          </w:p>
        </w:tc>
        <w:tc>
          <w:tcPr>
            <w:tcW w:w="1518" w:type="dxa"/>
          </w:tcPr>
          <w:p>
            <w:pPr>
              <w:spacing w:line="400" w:lineRule="exact"/>
              <w:jc w:val="center"/>
              <w:textAlignment w:val="baseline"/>
              <w:rPr>
                <w:rFonts w:ascii="宋体" w:hAnsi="宋体" w:cs="宋体"/>
                <w:bCs/>
                <w:color w:val="auto"/>
                <w:sz w:val="24"/>
                <w:highlight w:val="none"/>
              </w:rPr>
            </w:pPr>
          </w:p>
        </w:tc>
        <w:tc>
          <w:tcPr>
            <w:tcW w:w="1323" w:type="dxa"/>
          </w:tcPr>
          <w:p>
            <w:pPr>
              <w:spacing w:line="400" w:lineRule="exact"/>
              <w:jc w:val="center"/>
              <w:textAlignment w:val="baseline"/>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2" w:type="dxa"/>
          </w:tcPr>
          <w:p>
            <w:pPr>
              <w:spacing w:line="400" w:lineRule="exact"/>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w:t>
            </w:r>
          </w:p>
        </w:tc>
        <w:tc>
          <w:tcPr>
            <w:tcW w:w="2040" w:type="dxa"/>
          </w:tcPr>
          <w:p>
            <w:pPr>
              <w:spacing w:line="400" w:lineRule="exact"/>
              <w:jc w:val="center"/>
              <w:textAlignment w:val="baseline"/>
              <w:rPr>
                <w:rFonts w:ascii="宋体" w:hAnsi="宋体" w:cs="宋体"/>
                <w:bCs/>
                <w:color w:val="auto"/>
                <w:sz w:val="24"/>
                <w:highlight w:val="none"/>
              </w:rPr>
            </w:pPr>
          </w:p>
        </w:tc>
        <w:tc>
          <w:tcPr>
            <w:tcW w:w="1270" w:type="dxa"/>
          </w:tcPr>
          <w:p>
            <w:pPr>
              <w:spacing w:line="400" w:lineRule="exact"/>
              <w:jc w:val="center"/>
              <w:textAlignment w:val="baseline"/>
              <w:rPr>
                <w:rFonts w:ascii="宋体" w:hAnsi="宋体" w:cs="宋体"/>
                <w:bCs/>
                <w:color w:val="auto"/>
                <w:sz w:val="24"/>
                <w:highlight w:val="none"/>
              </w:rPr>
            </w:pPr>
          </w:p>
        </w:tc>
        <w:tc>
          <w:tcPr>
            <w:tcW w:w="1005" w:type="dxa"/>
          </w:tcPr>
          <w:p>
            <w:pPr>
              <w:spacing w:line="400" w:lineRule="exact"/>
              <w:jc w:val="center"/>
              <w:textAlignment w:val="baseline"/>
              <w:rPr>
                <w:rFonts w:ascii="宋体" w:hAnsi="宋体" w:cs="宋体"/>
                <w:bCs/>
                <w:color w:val="auto"/>
                <w:sz w:val="24"/>
                <w:highlight w:val="none"/>
              </w:rPr>
            </w:pPr>
          </w:p>
        </w:tc>
        <w:tc>
          <w:tcPr>
            <w:tcW w:w="1518" w:type="dxa"/>
          </w:tcPr>
          <w:p>
            <w:pPr>
              <w:spacing w:line="400" w:lineRule="exact"/>
              <w:jc w:val="center"/>
              <w:textAlignment w:val="baseline"/>
              <w:rPr>
                <w:rFonts w:ascii="宋体" w:hAnsi="宋体" w:cs="宋体"/>
                <w:bCs/>
                <w:color w:val="auto"/>
                <w:sz w:val="24"/>
                <w:highlight w:val="none"/>
              </w:rPr>
            </w:pPr>
          </w:p>
        </w:tc>
        <w:tc>
          <w:tcPr>
            <w:tcW w:w="1323" w:type="dxa"/>
          </w:tcPr>
          <w:p>
            <w:pPr>
              <w:spacing w:line="400" w:lineRule="exact"/>
              <w:jc w:val="center"/>
              <w:textAlignment w:val="baseline"/>
              <w:rPr>
                <w:rFonts w:ascii="宋体" w:hAnsi="宋体" w:cs="宋体"/>
                <w:bCs/>
                <w:color w:val="auto"/>
                <w:sz w:val="24"/>
                <w:highlight w:val="none"/>
              </w:rPr>
            </w:pPr>
          </w:p>
        </w:tc>
      </w:tr>
    </w:tbl>
    <w:p>
      <w:pPr>
        <w:spacing w:line="440" w:lineRule="exact"/>
        <w:textAlignment w:val="baseline"/>
        <w:rPr>
          <w:rFonts w:ascii="宋体" w:hAnsi="宋体" w:cs="宋体"/>
          <w:bCs/>
          <w:color w:val="auto"/>
          <w:sz w:val="24"/>
          <w:highlight w:val="none"/>
        </w:rPr>
      </w:pPr>
      <w:r>
        <w:rPr>
          <w:rFonts w:hint="eastAsia" w:ascii="宋体" w:hAnsi="宋体" w:cs="宋体"/>
          <w:bCs/>
          <w:color w:val="auto"/>
          <w:sz w:val="24"/>
          <w:highlight w:val="none"/>
        </w:rPr>
        <w:t>注：1、拟派项目组人员须满足招标文件。</w:t>
      </w:r>
    </w:p>
    <w:p>
      <w:pPr>
        <w:spacing w:line="440" w:lineRule="exact"/>
        <w:ind w:firstLine="3998" w:firstLineChars="1666"/>
        <w:textAlignment w:val="baseline"/>
        <w:rPr>
          <w:rFonts w:ascii="宋体" w:hAnsi="宋体" w:cs="宋体"/>
          <w:bCs/>
          <w:color w:val="auto"/>
          <w:sz w:val="24"/>
          <w:highlight w:val="none"/>
        </w:rPr>
      </w:pPr>
    </w:p>
    <w:p>
      <w:pPr>
        <w:spacing w:line="440" w:lineRule="exact"/>
        <w:ind w:firstLine="3998" w:firstLineChars="1666"/>
        <w:textAlignment w:val="baseline"/>
        <w:rPr>
          <w:rFonts w:ascii="宋体" w:hAnsi="宋体" w:cs="宋体"/>
          <w:bCs/>
          <w:color w:val="auto"/>
          <w:sz w:val="24"/>
          <w:highlight w:val="none"/>
        </w:rPr>
      </w:pPr>
    </w:p>
    <w:p>
      <w:pPr>
        <w:spacing w:line="440" w:lineRule="exact"/>
        <w:ind w:firstLine="4860"/>
        <w:jc w:val="left"/>
        <w:textAlignment w:val="baseline"/>
        <w:rPr>
          <w:rFonts w:ascii="宋体" w:hAnsi="宋体" w:cs="宋体"/>
          <w:b/>
          <w:bCs/>
          <w:color w:val="auto"/>
          <w:sz w:val="20"/>
          <w:szCs w:val="21"/>
          <w:highlight w:val="none"/>
          <w:u w:val="single" w:color="000000"/>
        </w:rPr>
      </w:pPr>
      <w:r>
        <w:rPr>
          <w:rFonts w:hint="eastAsia" w:ascii="宋体" w:hAnsi="宋体" w:cs="宋体"/>
          <w:b/>
          <w:bCs/>
          <w:color w:val="auto"/>
          <w:sz w:val="24"/>
          <w:highlight w:val="none"/>
        </w:rPr>
        <w:t>磋商供应商名称（盖章）：</w:t>
      </w:r>
    </w:p>
    <w:p>
      <w:pPr>
        <w:spacing w:line="440" w:lineRule="exact"/>
        <w:ind w:firstLine="4860"/>
        <w:jc w:val="left"/>
        <w:textAlignment w:val="baseline"/>
        <w:rPr>
          <w:rFonts w:ascii="宋体" w:hAnsi="宋体" w:cs="宋体"/>
          <w:color w:val="auto"/>
          <w:sz w:val="20"/>
          <w:szCs w:val="21"/>
          <w:highlight w:val="none"/>
          <w:u w:val="single" w:color="000000"/>
        </w:rPr>
      </w:pPr>
      <w:r>
        <w:rPr>
          <w:rFonts w:hint="eastAsia" w:ascii="宋体" w:hAnsi="宋体" w:cs="宋体"/>
          <w:b/>
          <w:bCs/>
          <w:color w:val="auto"/>
          <w:szCs w:val="21"/>
          <w:highlight w:val="none"/>
        </w:rPr>
        <w:t>日期：年月日</w:t>
      </w:r>
    </w:p>
    <w:p>
      <w:pPr>
        <w:spacing w:line="460" w:lineRule="exact"/>
        <w:textAlignment w:val="baseline"/>
        <w:rPr>
          <w:rFonts w:ascii="宋体" w:hAnsi="宋体" w:cs="宋体"/>
          <w:b/>
          <w:bCs/>
          <w:color w:val="auto"/>
          <w:sz w:val="22"/>
          <w:highlight w:val="none"/>
        </w:rPr>
      </w:pPr>
    </w:p>
    <w:p>
      <w:pPr>
        <w:pStyle w:val="27"/>
        <w:ind w:firstLine="44"/>
        <w:textAlignment w:val="baseline"/>
        <w:rPr>
          <w:rFonts w:ascii="宋体" w:hAnsi="宋体" w:eastAsia="宋体"/>
          <w:b/>
          <w:bCs/>
          <w:color w:val="auto"/>
          <w:sz w:val="22"/>
          <w:highlight w:val="none"/>
        </w:rPr>
      </w:pPr>
    </w:p>
    <w:p>
      <w:pPr>
        <w:pStyle w:val="27"/>
        <w:ind w:firstLine="44"/>
        <w:textAlignment w:val="baseline"/>
        <w:rPr>
          <w:rFonts w:ascii="宋体" w:hAnsi="宋体" w:eastAsia="宋体"/>
          <w:b/>
          <w:bCs/>
          <w:color w:val="auto"/>
          <w:sz w:val="22"/>
          <w:highlight w:val="none"/>
        </w:rPr>
      </w:pPr>
    </w:p>
    <w:p>
      <w:pPr>
        <w:pStyle w:val="27"/>
        <w:ind w:firstLine="44"/>
        <w:textAlignment w:val="baseline"/>
        <w:rPr>
          <w:rFonts w:ascii="宋体" w:hAnsi="宋体" w:eastAsia="宋体"/>
          <w:b/>
          <w:bCs/>
          <w:color w:val="auto"/>
          <w:sz w:val="22"/>
          <w:szCs w:val="22"/>
          <w:highlight w:val="none"/>
        </w:rPr>
      </w:pPr>
    </w:p>
    <w:p>
      <w:pPr>
        <w:pStyle w:val="3"/>
        <w:rPr>
          <w:color w:val="auto"/>
          <w:highlight w:val="none"/>
        </w:rPr>
      </w:pPr>
    </w:p>
    <w:p>
      <w:pPr>
        <w:bidi w:val="0"/>
        <w:rPr>
          <w:rFonts w:hint="eastAsia"/>
          <w:b/>
          <w:bCs/>
          <w:color w:val="auto"/>
          <w:sz w:val="22"/>
          <w:szCs w:val="24"/>
          <w:highlight w:val="none"/>
        </w:rPr>
      </w:pPr>
      <w:bookmarkStart w:id="364" w:name="_Toc31261"/>
      <w:r>
        <w:rPr>
          <w:rFonts w:hint="eastAsia"/>
          <w:b/>
          <w:bCs/>
          <w:color w:val="auto"/>
          <w:sz w:val="22"/>
          <w:szCs w:val="24"/>
          <w:highlight w:val="none"/>
        </w:rPr>
        <w:t>附件9</w:t>
      </w:r>
      <w:bookmarkEnd w:id="364"/>
    </w:p>
    <w:p>
      <w:pPr>
        <w:pStyle w:val="27"/>
        <w:ind w:firstLine="44"/>
        <w:textAlignment w:val="baseline"/>
        <w:rPr>
          <w:rFonts w:ascii="宋体" w:hAnsi="宋体" w:eastAsia="宋体"/>
          <w:b/>
          <w:bCs/>
          <w:color w:val="auto"/>
          <w:sz w:val="22"/>
          <w:szCs w:val="22"/>
          <w:highlight w:val="none"/>
        </w:rPr>
      </w:pPr>
    </w:p>
    <w:p>
      <w:pPr>
        <w:pStyle w:val="62"/>
        <w:spacing w:line="360" w:lineRule="auto"/>
        <w:jc w:val="center"/>
        <w:textAlignment w:val="baseline"/>
        <w:rPr>
          <w:rFonts w:ascii="宋体" w:hAnsi="宋体" w:cs="宋体"/>
          <w:b/>
          <w:color w:val="auto"/>
          <w:sz w:val="28"/>
          <w:szCs w:val="28"/>
          <w:highlight w:val="none"/>
        </w:rPr>
      </w:pPr>
      <w:r>
        <w:rPr>
          <w:rFonts w:hint="eastAsia" w:ascii="宋体" w:hAnsi="宋体" w:cs="宋体"/>
          <w:b/>
          <w:color w:val="auto"/>
          <w:sz w:val="28"/>
          <w:szCs w:val="28"/>
          <w:highlight w:val="none"/>
        </w:rPr>
        <w:t>类似项目业绩一览表</w:t>
      </w:r>
    </w:p>
    <w:p>
      <w:pPr>
        <w:pStyle w:val="59"/>
        <w:textAlignment w:val="baseline"/>
        <w:rPr>
          <w:rFonts w:ascii="宋体" w:hAnsi="宋体" w:eastAsia="宋体" w:cs="宋体"/>
          <w:b/>
          <w:bCs/>
          <w:color w:val="auto"/>
          <w:sz w:val="22"/>
          <w:szCs w:val="22"/>
          <w:highlight w:val="none"/>
        </w:rPr>
      </w:pPr>
    </w:p>
    <w:p>
      <w:pPr>
        <w:pStyle w:val="27"/>
        <w:ind w:firstLine="42"/>
        <w:rPr>
          <w:rFonts w:hint="eastAsia" w:ascii="宋体" w:hAnsi="宋体" w:eastAsia="宋体"/>
          <w:color w:val="auto"/>
          <w:highlight w:val="none"/>
        </w:rPr>
      </w:pPr>
      <w:r>
        <w:rPr>
          <w:rFonts w:hint="eastAsia" w:ascii="宋体" w:hAnsi="宋体" w:eastAsia="宋体"/>
          <w:color w:val="auto"/>
          <w:highlight w:val="none"/>
        </w:rPr>
        <w:t>项目名称： 爱常山-数字化建设工程（一期）</w:t>
      </w:r>
    </w:p>
    <w:p>
      <w:pPr>
        <w:pStyle w:val="27"/>
        <w:ind w:firstLine="42"/>
        <w:rPr>
          <w:rFonts w:ascii="宋体" w:hAnsi="宋体" w:eastAsia="宋体"/>
          <w:color w:val="auto"/>
          <w:highlight w:val="none"/>
        </w:rPr>
      </w:pPr>
      <w:r>
        <w:rPr>
          <w:rFonts w:hint="eastAsia" w:ascii="宋体" w:hAnsi="宋体" w:eastAsia="宋体"/>
          <w:color w:val="auto"/>
          <w:highlight w:val="none"/>
        </w:rPr>
        <w:t>项目编号：GXZFCG-2022-CS09</w:t>
      </w:r>
    </w:p>
    <w:p>
      <w:pPr>
        <w:pStyle w:val="27"/>
        <w:ind w:firstLine="42"/>
        <w:textAlignment w:val="baseline"/>
        <w:rPr>
          <w:rFonts w:ascii="宋体" w:hAnsi="宋体" w:eastAsia="宋体"/>
          <w:color w:val="auto"/>
          <w:highlight w:val="none"/>
          <w:lang w:val="zh-CN"/>
        </w:rPr>
      </w:pPr>
    </w:p>
    <w:tbl>
      <w:tblPr>
        <w:tblStyle w:val="28"/>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2374"/>
        <w:gridCol w:w="3000"/>
        <w:gridCol w:w="1661"/>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cs="宋体"/>
                <w:b/>
                <w:color w:val="auto"/>
                <w:sz w:val="20"/>
                <w:szCs w:val="21"/>
                <w:highlight w:val="none"/>
              </w:rPr>
            </w:pPr>
            <w:r>
              <w:rPr>
                <w:rFonts w:hint="eastAsia" w:ascii="宋体" w:hAnsi="宋体" w:cs="宋体"/>
                <w:b/>
                <w:color w:val="auto"/>
                <w:szCs w:val="21"/>
                <w:highlight w:val="none"/>
              </w:rPr>
              <w:t>序号</w:t>
            </w:r>
          </w:p>
        </w:tc>
        <w:tc>
          <w:tcPr>
            <w:tcW w:w="2374"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cs="宋体"/>
                <w:b/>
                <w:color w:val="auto"/>
                <w:sz w:val="20"/>
                <w:szCs w:val="21"/>
                <w:highlight w:val="none"/>
              </w:rPr>
            </w:pPr>
            <w:r>
              <w:rPr>
                <w:rFonts w:hint="eastAsia" w:ascii="宋体" w:hAnsi="宋体" w:cs="宋体"/>
                <w:b/>
                <w:color w:val="auto"/>
                <w:szCs w:val="21"/>
                <w:highlight w:val="none"/>
              </w:rPr>
              <w:t>采购单位名称</w:t>
            </w:r>
          </w:p>
        </w:tc>
        <w:tc>
          <w:tcPr>
            <w:tcW w:w="3000"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cs="宋体"/>
                <w:b/>
                <w:color w:val="auto"/>
                <w:sz w:val="20"/>
                <w:szCs w:val="21"/>
                <w:highlight w:val="none"/>
              </w:rPr>
            </w:pPr>
            <w:r>
              <w:rPr>
                <w:rFonts w:hint="eastAsia" w:ascii="宋体" w:hAnsi="宋体" w:cs="宋体"/>
                <w:b/>
                <w:color w:val="auto"/>
                <w:szCs w:val="21"/>
                <w:highlight w:val="none"/>
              </w:rPr>
              <w:t>项目名称</w:t>
            </w:r>
          </w:p>
        </w:tc>
        <w:tc>
          <w:tcPr>
            <w:tcW w:w="1661"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cs="宋体"/>
                <w:b/>
                <w:color w:val="auto"/>
                <w:sz w:val="20"/>
                <w:szCs w:val="21"/>
                <w:highlight w:val="none"/>
              </w:rPr>
            </w:pPr>
            <w:r>
              <w:rPr>
                <w:rFonts w:hint="eastAsia" w:ascii="宋体" w:hAnsi="宋体" w:cs="宋体"/>
                <w:b/>
                <w:color w:val="auto"/>
                <w:szCs w:val="21"/>
                <w:highlight w:val="none"/>
              </w:rPr>
              <w:t>采购数量</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cs="宋体"/>
                <w:b/>
                <w:color w:val="auto"/>
                <w:sz w:val="20"/>
                <w:szCs w:val="21"/>
                <w:highlight w:val="none"/>
              </w:rPr>
            </w:pPr>
            <w:r>
              <w:rPr>
                <w:rFonts w:hint="eastAsia" w:ascii="宋体" w:hAnsi="宋体" w:cs="宋体"/>
                <w:b/>
                <w:color w:val="auto"/>
                <w:szCs w:val="21"/>
                <w:highlight w:val="none"/>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164" w:type="dxa"/>
            <w:tcBorders>
              <w:top w:val="single" w:color="auto" w:sz="4" w:space="0"/>
              <w:left w:val="single" w:color="auto" w:sz="4" w:space="0"/>
              <w:bottom w:val="single" w:color="auto" w:sz="4" w:space="0"/>
              <w:right w:val="single" w:color="auto" w:sz="4" w:space="0"/>
            </w:tcBorders>
          </w:tcPr>
          <w:p>
            <w:pPr>
              <w:jc w:val="center"/>
              <w:textAlignment w:val="baseline"/>
              <w:rPr>
                <w:rFonts w:ascii="宋体" w:hAnsi="宋体" w:cs="宋体"/>
                <w:color w:val="auto"/>
                <w:sz w:val="20"/>
                <w:szCs w:val="21"/>
                <w:highlight w:val="none"/>
              </w:rPr>
            </w:pPr>
          </w:p>
        </w:tc>
        <w:tc>
          <w:tcPr>
            <w:tcW w:w="2374" w:type="dxa"/>
            <w:tcBorders>
              <w:top w:val="single" w:color="auto" w:sz="4" w:space="0"/>
              <w:left w:val="single" w:color="auto" w:sz="4" w:space="0"/>
              <w:bottom w:val="single" w:color="auto" w:sz="4" w:space="0"/>
              <w:right w:val="single" w:color="auto" w:sz="4" w:space="0"/>
            </w:tcBorders>
          </w:tcPr>
          <w:p>
            <w:pPr>
              <w:jc w:val="center"/>
              <w:textAlignment w:val="baseline"/>
              <w:rPr>
                <w:rFonts w:ascii="宋体" w:hAnsi="宋体" w:cs="宋体"/>
                <w:color w:val="auto"/>
                <w:sz w:val="20"/>
                <w:szCs w:val="21"/>
                <w:highlight w:val="none"/>
              </w:rPr>
            </w:pPr>
          </w:p>
        </w:tc>
        <w:tc>
          <w:tcPr>
            <w:tcW w:w="3000" w:type="dxa"/>
            <w:tcBorders>
              <w:top w:val="single" w:color="auto" w:sz="4" w:space="0"/>
              <w:left w:val="single" w:color="auto" w:sz="4" w:space="0"/>
              <w:bottom w:val="single" w:color="auto" w:sz="4" w:space="0"/>
              <w:right w:val="single" w:color="auto" w:sz="4" w:space="0"/>
            </w:tcBorders>
          </w:tcPr>
          <w:p>
            <w:pPr>
              <w:jc w:val="center"/>
              <w:textAlignment w:val="baseline"/>
              <w:rPr>
                <w:rFonts w:ascii="宋体" w:hAnsi="宋体" w:cs="宋体"/>
                <w:color w:val="auto"/>
                <w:sz w:val="20"/>
                <w:szCs w:val="21"/>
                <w:highlight w:val="none"/>
              </w:rPr>
            </w:pPr>
          </w:p>
        </w:tc>
        <w:tc>
          <w:tcPr>
            <w:tcW w:w="1661" w:type="dxa"/>
            <w:tcBorders>
              <w:top w:val="single" w:color="auto" w:sz="4" w:space="0"/>
              <w:left w:val="single" w:color="auto" w:sz="4" w:space="0"/>
              <w:bottom w:val="single" w:color="auto" w:sz="4" w:space="0"/>
              <w:right w:val="single" w:color="auto" w:sz="4" w:space="0"/>
            </w:tcBorders>
          </w:tcPr>
          <w:p>
            <w:pPr>
              <w:jc w:val="center"/>
              <w:textAlignment w:val="baseline"/>
              <w:rPr>
                <w:rFonts w:ascii="宋体" w:hAnsi="宋体" w:cs="宋体"/>
                <w:color w:val="auto"/>
                <w:sz w:val="20"/>
                <w:szCs w:val="21"/>
                <w:highlight w:val="none"/>
              </w:rPr>
            </w:pPr>
          </w:p>
        </w:tc>
        <w:tc>
          <w:tcPr>
            <w:tcW w:w="1398" w:type="dxa"/>
            <w:tcBorders>
              <w:top w:val="single" w:color="auto" w:sz="4" w:space="0"/>
              <w:left w:val="single" w:color="auto" w:sz="4" w:space="0"/>
              <w:bottom w:val="single" w:color="auto" w:sz="4" w:space="0"/>
              <w:right w:val="single" w:color="auto" w:sz="4" w:space="0"/>
            </w:tcBorders>
          </w:tcPr>
          <w:p>
            <w:pPr>
              <w:jc w:val="center"/>
              <w:textAlignment w:val="baseline"/>
              <w:rPr>
                <w:rFonts w:ascii="宋体" w:hAnsi="宋体" w:cs="宋体"/>
                <w:color w:val="auto"/>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64" w:type="dxa"/>
            <w:tcBorders>
              <w:top w:val="single" w:color="auto" w:sz="4" w:space="0"/>
              <w:left w:val="single" w:color="auto" w:sz="4" w:space="0"/>
              <w:bottom w:val="single" w:color="auto" w:sz="4" w:space="0"/>
              <w:right w:val="single" w:color="auto" w:sz="4" w:space="0"/>
            </w:tcBorders>
          </w:tcPr>
          <w:p>
            <w:pPr>
              <w:jc w:val="center"/>
              <w:textAlignment w:val="baseline"/>
              <w:rPr>
                <w:rFonts w:ascii="宋体" w:hAnsi="宋体" w:cs="宋体"/>
                <w:color w:val="auto"/>
                <w:sz w:val="20"/>
                <w:szCs w:val="21"/>
                <w:highlight w:val="none"/>
              </w:rPr>
            </w:pPr>
          </w:p>
        </w:tc>
        <w:tc>
          <w:tcPr>
            <w:tcW w:w="2374" w:type="dxa"/>
            <w:tcBorders>
              <w:top w:val="single" w:color="auto" w:sz="4" w:space="0"/>
              <w:left w:val="single" w:color="auto" w:sz="4" w:space="0"/>
              <w:bottom w:val="single" w:color="auto" w:sz="4" w:space="0"/>
              <w:right w:val="single" w:color="auto" w:sz="4" w:space="0"/>
            </w:tcBorders>
          </w:tcPr>
          <w:p>
            <w:pPr>
              <w:jc w:val="center"/>
              <w:textAlignment w:val="baseline"/>
              <w:rPr>
                <w:rFonts w:ascii="宋体" w:hAnsi="宋体" w:cs="宋体"/>
                <w:color w:val="auto"/>
                <w:sz w:val="20"/>
                <w:szCs w:val="21"/>
                <w:highlight w:val="none"/>
              </w:rPr>
            </w:pPr>
          </w:p>
        </w:tc>
        <w:tc>
          <w:tcPr>
            <w:tcW w:w="3000" w:type="dxa"/>
            <w:tcBorders>
              <w:top w:val="single" w:color="auto" w:sz="4" w:space="0"/>
              <w:left w:val="single" w:color="auto" w:sz="4" w:space="0"/>
              <w:bottom w:val="single" w:color="auto" w:sz="4" w:space="0"/>
              <w:right w:val="single" w:color="auto" w:sz="4" w:space="0"/>
            </w:tcBorders>
          </w:tcPr>
          <w:p>
            <w:pPr>
              <w:jc w:val="center"/>
              <w:textAlignment w:val="baseline"/>
              <w:rPr>
                <w:rFonts w:ascii="宋体" w:hAnsi="宋体" w:cs="宋体"/>
                <w:color w:val="auto"/>
                <w:sz w:val="20"/>
                <w:szCs w:val="21"/>
                <w:highlight w:val="none"/>
              </w:rPr>
            </w:pPr>
          </w:p>
        </w:tc>
        <w:tc>
          <w:tcPr>
            <w:tcW w:w="1661" w:type="dxa"/>
            <w:tcBorders>
              <w:top w:val="single" w:color="auto" w:sz="4" w:space="0"/>
              <w:left w:val="single" w:color="auto" w:sz="4" w:space="0"/>
              <w:bottom w:val="single" w:color="auto" w:sz="4" w:space="0"/>
              <w:right w:val="single" w:color="auto" w:sz="4" w:space="0"/>
            </w:tcBorders>
          </w:tcPr>
          <w:p>
            <w:pPr>
              <w:jc w:val="center"/>
              <w:textAlignment w:val="baseline"/>
              <w:rPr>
                <w:rFonts w:ascii="宋体" w:hAnsi="宋体" w:cs="宋体"/>
                <w:color w:val="auto"/>
                <w:sz w:val="20"/>
                <w:szCs w:val="21"/>
                <w:highlight w:val="none"/>
              </w:rPr>
            </w:pPr>
          </w:p>
        </w:tc>
        <w:tc>
          <w:tcPr>
            <w:tcW w:w="1398" w:type="dxa"/>
            <w:tcBorders>
              <w:top w:val="single" w:color="auto" w:sz="4" w:space="0"/>
              <w:left w:val="single" w:color="auto" w:sz="4" w:space="0"/>
              <w:bottom w:val="single" w:color="auto" w:sz="4" w:space="0"/>
              <w:right w:val="single" w:color="auto" w:sz="4" w:space="0"/>
            </w:tcBorders>
          </w:tcPr>
          <w:p>
            <w:pPr>
              <w:jc w:val="center"/>
              <w:textAlignment w:val="baseline"/>
              <w:rPr>
                <w:rFonts w:ascii="宋体" w:hAnsi="宋体" w:cs="宋体"/>
                <w:color w:val="auto"/>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164" w:type="dxa"/>
            <w:tcBorders>
              <w:top w:val="single" w:color="auto" w:sz="4" w:space="0"/>
              <w:left w:val="single" w:color="auto" w:sz="4" w:space="0"/>
              <w:bottom w:val="single" w:color="auto" w:sz="4" w:space="0"/>
              <w:right w:val="single" w:color="auto" w:sz="4" w:space="0"/>
            </w:tcBorders>
          </w:tcPr>
          <w:p>
            <w:pPr>
              <w:jc w:val="center"/>
              <w:textAlignment w:val="baseline"/>
              <w:rPr>
                <w:rFonts w:ascii="宋体" w:hAnsi="宋体" w:cs="宋体"/>
                <w:color w:val="auto"/>
                <w:sz w:val="20"/>
                <w:szCs w:val="21"/>
                <w:highlight w:val="none"/>
              </w:rPr>
            </w:pPr>
          </w:p>
        </w:tc>
        <w:tc>
          <w:tcPr>
            <w:tcW w:w="2374" w:type="dxa"/>
            <w:tcBorders>
              <w:top w:val="single" w:color="auto" w:sz="4" w:space="0"/>
              <w:left w:val="single" w:color="auto" w:sz="4" w:space="0"/>
              <w:bottom w:val="single" w:color="auto" w:sz="4" w:space="0"/>
              <w:right w:val="single" w:color="auto" w:sz="4" w:space="0"/>
            </w:tcBorders>
          </w:tcPr>
          <w:p>
            <w:pPr>
              <w:jc w:val="center"/>
              <w:textAlignment w:val="baseline"/>
              <w:rPr>
                <w:rFonts w:ascii="宋体" w:hAnsi="宋体" w:cs="宋体"/>
                <w:color w:val="auto"/>
                <w:sz w:val="20"/>
                <w:szCs w:val="21"/>
                <w:highlight w:val="none"/>
              </w:rPr>
            </w:pPr>
          </w:p>
        </w:tc>
        <w:tc>
          <w:tcPr>
            <w:tcW w:w="3000" w:type="dxa"/>
            <w:tcBorders>
              <w:top w:val="single" w:color="auto" w:sz="4" w:space="0"/>
              <w:left w:val="single" w:color="auto" w:sz="4" w:space="0"/>
              <w:bottom w:val="single" w:color="auto" w:sz="4" w:space="0"/>
              <w:right w:val="single" w:color="auto" w:sz="4" w:space="0"/>
            </w:tcBorders>
          </w:tcPr>
          <w:p>
            <w:pPr>
              <w:jc w:val="center"/>
              <w:textAlignment w:val="baseline"/>
              <w:rPr>
                <w:rFonts w:ascii="宋体" w:hAnsi="宋体" w:cs="宋体"/>
                <w:color w:val="auto"/>
                <w:sz w:val="20"/>
                <w:szCs w:val="21"/>
                <w:highlight w:val="none"/>
              </w:rPr>
            </w:pPr>
          </w:p>
        </w:tc>
        <w:tc>
          <w:tcPr>
            <w:tcW w:w="1661" w:type="dxa"/>
            <w:tcBorders>
              <w:top w:val="single" w:color="auto" w:sz="4" w:space="0"/>
              <w:left w:val="single" w:color="auto" w:sz="4" w:space="0"/>
              <w:bottom w:val="single" w:color="auto" w:sz="4" w:space="0"/>
              <w:right w:val="single" w:color="auto" w:sz="4" w:space="0"/>
            </w:tcBorders>
          </w:tcPr>
          <w:p>
            <w:pPr>
              <w:jc w:val="center"/>
              <w:textAlignment w:val="baseline"/>
              <w:rPr>
                <w:rFonts w:ascii="宋体" w:hAnsi="宋体" w:cs="宋体"/>
                <w:color w:val="auto"/>
                <w:sz w:val="20"/>
                <w:szCs w:val="21"/>
                <w:highlight w:val="none"/>
              </w:rPr>
            </w:pPr>
          </w:p>
        </w:tc>
        <w:tc>
          <w:tcPr>
            <w:tcW w:w="1398" w:type="dxa"/>
            <w:tcBorders>
              <w:top w:val="single" w:color="auto" w:sz="4" w:space="0"/>
              <w:left w:val="single" w:color="auto" w:sz="4" w:space="0"/>
              <w:bottom w:val="single" w:color="auto" w:sz="4" w:space="0"/>
              <w:right w:val="single" w:color="auto" w:sz="4" w:space="0"/>
            </w:tcBorders>
          </w:tcPr>
          <w:p>
            <w:pPr>
              <w:jc w:val="center"/>
              <w:textAlignment w:val="baseline"/>
              <w:rPr>
                <w:rFonts w:ascii="宋体" w:hAnsi="宋体" w:cs="宋体"/>
                <w:color w:val="auto"/>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164" w:type="dxa"/>
            <w:tcBorders>
              <w:top w:val="single" w:color="auto" w:sz="4" w:space="0"/>
              <w:left w:val="single" w:color="auto" w:sz="4" w:space="0"/>
              <w:bottom w:val="single" w:color="auto" w:sz="4" w:space="0"/>
              <w:right w:val="single" w:color="auto" w:sz="4" w:space="0"/>
            </w:tcBorders>
          </w:tcPr>
          <w:p>
            <w:pPr>
              <w:jc w:val="center"/>
              <w:textAlignment w:val="baseline"/>
              <w:rPr>
                <w:rFonts w:ascii="宋体" w:hAnsi="宋体" w:cs="宋体"/>
                <w:color w:val="auto"/>
                <w:sz w:val="20"/>
                <w:szCs w:val="21"/>
                <w:highlight w:val="none"/>
              </w:rPr>
            </w:pPr>
          </w:p>
        </w:tc>
        <w:tc>
          <w:tcPr>
            <w:tcW w:w="2374" w:type="dxa"/>
            <w:tcBorders>
              <w:top w:val="single" w:color="auto" w:sz="4" w:space="0"/>
              <w:left w:val="single" w:color="auto" w:sz="4" w:space="0"/>
              <w:bottom w:val="single" w:color="auto" w:sz="4" w:space="0"/>
              <w:right w:val="single" w:color="auto" w:sz="4" w:space="0"/>
            </w:tcBorders>
          </w:tcPr>
          <w:p>
            <w:pPr>
              <w:jc w:val="center"/>
              <w:textAlignment w:val="baseline"/>
              <w:rPr>
                <w:rFonts w:ascii="宋体" w:hAnsi="宋体" w:cs="宋体"/>
                <w:color w:val="auto"/>
                <w:sz w:val="20"/>
                <w:szCs w:val="21"/>
                <w:highlight w:val="none"/>
              </w:rPr>
            </w:pPr>
          </w:p>
        </w:tc>
        <w:tc>
          <w:tcPr>
            <w:tcW w:w="3000" w:type="dxa"/>
            <w:tcBorders>
              <w:top w:val="single" w:color="auto" w:sz="4" w:space="0"/>
              <w:left w:val="single" w:color="auto" w:sz="4" w:space="0"/>
              <w:bottom w:val="single" w:color="auto" w:sz="4" w:space="0"/>
              <w:right w:val="single" w:color="auto" w:sz="4" w:space="0"/>
            </w:tcBorders>
          </w:tcPr>
          <w:p>
            <w:pPr>
              <w:jc w:val="center"/>
              <w:textAlignment w:val="baseline"/>
              <w:rPr>
                <w:rFonts w:ascii="宋体" w:hAnsi="宋体" w:cs="宋体"/>
                <w:color w:val="auto"/>
                <w:sz w:val="20"/>
                <w:szCs w:val="21"/>
                <w:highlight w:val="none"/>
              </w:rPr>
            </w:pPr>
          </w:p>
        </w:tc>
        <w:tc>
          <w:tcPr>
            <w:tcW w:w="1661" w:type="dxa"/>
            <w:tcBorders>
              <w:top w:val="single" w:color="auto" w:sz="4" w:space="0"/>
              <w:left w:val="single" w:color="auto" w:sz="4" w:space="0"/>
              <w:bottom w:val="single" w:color="auto" w:sz="4" w:space="0"/>
              <w:right w:val="single" w:color="auto" w:sz="4" w:space="0"/>
            </w:tcBorders>
          </w:tcPr>
          <w:p>
            <w:pPr>
              <w:jc w:val="center"/>
              <w:textAlignment w:val="baseline"/>
              <w:rPr>
                <w:rFonts w:ascii="宋体" w:hAnsi="宋体" w:cs="宋体"/>
                <w:color w:val="auto"/>
                <w:sz w:val="20"/>
                <w:szCs w:val="21"/>
                <w:highlight w:val="none"/>
              </w:rPr>
            </w:pPr>
          </w:p>
        </w:tc>
        <w:tc>
          <w:tcPr>
            <w:tcW w:w="1398" w:type="dxa"/>
            <w:tcBorders>
              <w:top w:val="single" w:color="auto" w:sz="4" w:space="0"/>
              <w:left w:val="single" w:color="auto" w:sz="4" w:space="0"/>
              <w:bottom w:val="single" w:color="auto" w:sz="4" w:space="0"/>
              <w:right w:val="single" w:color="auto" w:sz="4" w:space="0"/>
            </w:tcBorders>
          </w:tcPr>
          <w:p>
            <w:pPr>
              <w:jc w:val="center"/>
              <w:textAlignment w:val="baseline"/>
              <w:rPr>
                <w:rFonts w:ascii="宋体" w:hAnsi="宋体" w:cs="宋体"/>
                <w:color w:val="auto"/>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164" w:type="dxa"/>
            <w:tcBorders>
              <w:top w:val="single" w:color="auto" w:sz="4" w:space="0"/>
              <w:left w:val="single" w:color="auto" w:sz="4" w:space="0"/>
              <w:bottom w:val="single" w:color="auto" w:sz="4" w:space="0"/>
              <w:right w:val="single" w:color="auto" w:sz="4" w:space="0"/>
            </w:tcBorders>
          </w:tcPr>
          <w:p>
            <w:pPr>
              <w:jc w:val="center"/>
              <w:textAlignment w:val="baseline"/>
              <w:rPr>
                <w:rFonts w:ascii="宋体" w:hAnsi="宋体" w:cs="宋体"/>
                <w:color w:val="auto"/>
                <w:sz w:val="20"/>
                <w:szCs w:val="21"/>
                <w:highlight w:val="none"/>
              </w:rPr>
            </w:pPr>
          </w:p>
        </w:tc>
        <w:tc>
          <w:tcPr>
            <w:tcW w:w="2374" w:type="dxa"/>
            <w:tcBorders>
              <w:top w:val="single" w:color="auto" w:sz="4" w:space="0"/>
              <w:left w:val="single" w:color="auto" w:sz="4" w:space="0"/>
              <w:bottom w:val="single" w:color="auto" w:sz="4" w:space="0"/>
              <w:right w:val="single" w:color="auto" w:sz="4" w:space="0"/>
            </w:tcBorders>
          </w:tcPr>
          <w:p>
            <w:pPr>
              <w:jc w:val="center"/>
              <w:textAlignment w:val="baseline"/>
              <w:rPr>
                <w:rFonts w:ascii="宋体" w:hAnsi="宋体" w:cs="宋体"/>
                <w:color w:val="auto"/>
                <w:sz w:val="20"/>
                <w:szCs w:val="21"/>
                <w:highlight w:val="none"/>
              </w:rPr>
            </w:pPr>
          </w:p>
        </w:tc>
        <w:tc>
          <w:tcPr>
            <w:tcW w:w="3000" w:type="dxa"/>
            <w:tcBorders>
              <w:top w:val="single" w:color="auto" w:sz="4" w:space="0"/>
              <w:left w:val="single" w:color="auto" w:sz="4" w:space="0"/>
              <w:bottom w:val="single" w:color="auto" w:sz="4" w:space="0"/>
              <w:right w:val="single" w:color="auto" w:sz="4" w:space="0"/>
            </w:tcBorders>
          </w:tcPr>
          <w:p>
            <w:pPr>
              <w:jc w:val="center"/>
              <w:textAlignment w:val="baseline"/>
              <w:rPr>
                <w:rFonts w:ascii="宋体" w:hAnsi="宋体" w:cs="宋体"/>
                <w:color w:val="auto"/>
                <w:sz w:val="20"/>
                <w:szCs w:val="21"/>
                <w:highlight w:val="none"/>
              </w:rPr>
            </w:pPr>
          </w:p>
        </w:tc>
        <w:tc>
          <w:tcPr>
            <w:tcW w:w="1661" w:type="dxa"/>
            <w:tcBorders>
              <w:top w:val="single" w:color="auto" w:sz="4" w:space="0"/>
              <w:left w:val="single" w:color="auto" w:sz="4" w:space="0"/>
              <w:bottom w:val="single" w:color="auto" w:sz="4" w:space="0"/>
              <w:right w:val="single" w:color="auto" w:sz="4" w:space="0"/>
            </w:tcBorders>
          </w:tcPr>
          <w:p>
            <w:pPr>
              <w:jc w:val="center"/>
              <w:textAlignment w:val="baseline"/>
              <w:rPr>
                <w:rFonts w:ascii="宋体" w:hAnsi="宋体" w:cs="宋体"/>
                <w:color w:val="auto"/>
                <w:sz w:val="20"/>
                <w:szCs w:val="21"/>
                <w:highlight w:val="none"/>
              </w:rPr>
            </w:pPr>
          </w:p>
        </w:tc>
        <w:tc>
          <w:tcPr>
            <w:tcW w:w="1398" w:type="dxa"/>
            <w:tcBorders>
              <w:top w:val="single" w:color="auto" w:sz="4" w:space="0"/>
              <w:left w:val="single" w:color="auto" w:sz="4" w:space="0"/>
              <w:bottom w:val="single" w:color="auto" w:sz="4" w:space="0"/>
              <w:right w:val="single" w:color="auto" w:sz="4" w:space="0"/>
            </w:tcBorders>
          </w:tcPr>
          <w:p>
            <w:pPr>
              <w:jc w:val="center"/>
              <w:textAlignment w:val="baseline"/>
              <w:rPr>
                <w:rFonts w:ascii="宋体" w:hAnsi="宋体" w:cs="宋体"/>
                <w:color w:val="auto"/>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64" w:type="dxa"/>
            <w:tcBorders>
              <w:top w:val="single" w:color="auto" w:sz="4" w:space="0"/>
              <w:left w:val="single" w:color="auto" w:sz="4" w:space="0"/>
              <w:bottom w:val="single" w:color="auto" w:sz="4" w:space="0"/>
              <w:right w:val="single" w:color="auto" w:sz="4" w:space="0"/>
            </w:tcBorders>
          </w:tcPr>
          <w:p>
            <w:pPr>
              <w:jc w:val="center"/>
              <w:textAlignment w:val="baseline"/>
              <w:rPr>
                <w:rFonts w:ascii="宋体" w:hAnsi="宋体" w:cs="宋体"/>
                <w:color w:val="auto"/>
                <w:sz w:val="20"/>
                <w:szCs w:val="21"/>
                <w:highlight w:val="none"/>
              </w:rPr>
            </w:pPr>
            <w:r>
              <w:rPr>
                <w:rFonts w:hint="eastAsia" w:ascii="宋体" w:hAnsi="宋体" w:cs="宋体"/>
                <w:color w:val="auto"/>
                <w:sz w:val="20"/>
                <w:szCs w:val="21"/>
                <w:highlight w:val="none"/>
              </w:rPr>
              <w:t>…</w:t>
            </w:r>
          </w:p>
        </w:tc>
        <w:tc>
          <w:tcPr>
            <w:tcW w:w="2374" w:type="dxa"/>
            <w:tcBorders>
              <w:top w:val="single" w:color="auto" w:sz="4" w:space="0"/>
              <w:left w:val="single" w:color="auto" w:sz="4" w:space="0"/>
              <w:bottom w:val="single" w:color="auto" w:sz="4" w:space="0"/>
              <w:right w:val="single" w:color="auto" w:sz="4" w:space="0"/>
            </w:tcBorders>
          </w:tcPr>
          <w:p>
            <w:pPr>
              <w:jc w:val="center"/>
              <w:textAlignment w:val="baseline"/>
              <w:rPr>
                <w:rFonts w:ascii="宋体" w:hAnsi="宋体" w:cs="宋体"/>
                <w:color w:val="auto"/>
                <w:sz w:val="20"/>
                <w:szCs w:val="21"/>
                <w:highlight w:val="none"/>
              </w:rPr>
            </w:pPr>
          </w:p>
        </w:tc>
        <w:tc>
          <w:tcPr>
            <w:tcW w:w="3000" w:type="dxa"/>
            <w:tcBorders>
              <w:top w:val="single" w:color="auto" w:sz="4" w:space="0"/>
              <w:left w:val="single" w:color="auto" w:sz="4" w:space="0"/>
              <w:bottom w:val="single" w:color="auto" w:sz="4" w:space="0"/>
              <w:right w:val="single" w:color="auto" w:sz="4" w:space="0"/>
            </w:tcBorders>
          </w:tcPr>
          <w:p>
            <w:pPr>
              <w:jc w:val="center"/>
              <w:textAlignment w:val="baseline"/>
              <w:rPr>
                <w:rFonts w:ascii="宋体" w:hAnsi="宋体" w:cs="宋体"/>
                <w:color w:val="auto"/>
                <w:sz w:val="20"/>
                <w:szCs w:val="21"/>
                <w:highlight w:val="none"/>
              </w:rPr>
            </w:pPr>
          </w:p>
        </w:tc>
        <w:tc>
          <w:tcPr>
            <w:tcW w:w="1661" w:type="dxa"/>
            <w:tcBorders>
              <w:top w:val="single" w:color="auto" w:sz="4" w:space="0"/>
              <w:left w:val="single" w:color="auto" w:sz="4" w:space="0"/>
              <w:bottom w:val="single" w:color="auto" w:sz="4" w:space="0"/>
              <w:right w:val="single" w:color="auto" w:sz="4" w:space="0"/>
            </w:tcBorders>
          </w:tcPr>
          <w:p>
            <w:pPr>
              <w:jc w:val="center"/>
              <w:textAlignment w:val="baseline"/>
              <w:rPr>
                <w:rFonts w:ascii="宋体" w:hAnsi="宋体" w:cs="宋体"/>
                <w:color w:val="auto"/>
                <w:sz w:val="20"/>
                <w:szCs w:val="21"/>
                <w:highlight w:val="none"/>
              </w:rPr>
            </w:pPr>
          </w:p>
        </w:tc>
        <w:tc>
          <w:tcPr>
            <w:tcW w:w="1398" w:type="dxa"/>
            <w:tcBorders>
              <w:top w:val="single" w:color="auto" w:sz="4" w:space="0"/>
              <w:left w:val="single" w:color="auto" w:sz="4" w:space="0"/>
              <w:bottom w:val="single" w:color="auto" w:sz="4" w:space="0"/>
              <w:right w:val="single" w:color="auto" w:sz="4" w:space="0"/>
            </w:tcBorders>
          </w:tcPr>
          <w:p>
            <w:pPr>
              <w:jc w:val="center"/>
              <w:textAlignment w:val="baseline"/>
              <w:rPr>
                <w:rFonts w:ascii="宋体" w:hAnsi="宋体" w:cs="宋体"/>
                <w:color w:val="auto"/>
                <w:sz w:val="20"/>
                <w:szCs w:val="21"/>
                <w:highlight w:val="none"/>
              </w:rPr>
            </w:pPr>
          </w:p>
        </w:tc>
      </w:tr>
    </w:tbl>
    <w:p>
      <w:pPr>
        <w:textAlignment w:val="baseline"/>
        <w:rPr>
          <w:rFonts w:ascii="宋体" w:hAnsi="宋体" w:cs="宋体"/>
          <w:color w:val="auto"/>
          <w:sz w:val="20"/>
          <w:szCs w:val="21"/>
          <w:highlight w:val="none"/>
        </w:rPr>
      </w:pPr>
    </w:p>
    <w:p>
      <w:pPr>
        <w:spacing w:line="320" w:lineRule="atLeast"/>
        <w:textAlignment w:val="baseline"/>
        <w:rPr>
          <w:rFonts w:ascii="宋体" w:hAnsi="宋体" w:cs="宋体"/>
          <w:color w:val="auto"/>
          <w:spacing w:val="20"/>
          <w:sz w:val="20"/>
          <w:szCs w:val="21"/>
          <w:highlight w:val="none"/>
        </w:rPr>
      </w:pPr>
    </w:p>
    <w:p>
      <w:pPr>
        <w:snapToGrid w:val="0"/>
        <w:spacing w:before="156" w:after="156"/>
        <w:ind w:firstLine="424" w:firstLineChars="177"/>
        <w:textAlignment w:val="baseline"/>
        <w:rPr>
          <w:rFonts w:ascii="宋体" w:hAnsi="宋体" w:cs="宋体"/>
          <w:color w:val="auto"/>
          <w:sz w:val="24"/>
          <w:highlight w:val="none"/>
        </w:rPr>
      </w:pPr>
    </w:p>
    <w:p>
      <w:pPr>
        <w:spacing w:line="440" w:lineRule="exact"/>
        <w:ind w:firstLine="4860"/>
        <w:jc w:val="left"/>
        <w:textAlignment w:val="baseline"/>
        <w:rPr>
          <w:rFonts w:ascii="宋体" w:hAnsi="宋体" w:cs="宋体"/>
          <w:b/>
          <w:bCs/>
          <w:color w:val="auto"/>
          <w:sz w:val="20"/>
          <w:szCs w:val="21"/>
          <w:highlight w:val="none"/>
          <w:u w:val="single" w:color="000000"/>
        </w:rPr>
      </w:pPr>
      <w:r>
        <w:rPr>
          <w:rFonts w:hint="eastAsia" w:ascii="宋体" w:hAnsi="宋体" w:cs="宋体"/>
          <w:b/>
          <w:bCs/>
          <w:color w:val="auto"/>
          <w:sz w:val="24"/>
          <w:highlight w:val="none"/>
        </w:rPr>
        <w:t>磋商供应商名称（盖章）：</w:t>
      </w:r>
    </w:p>
    <w:p>
      <w:pPr>
        <w:spacing w:line="440" w:lineRule="exact"/>
        <w:ind w:firstLine="4860"/>
        <w:jc w:val="left"/>
        <w:textAlignment w:val="baseline"/>
        <w:rPr>
          <w:rFonts w:ascii="宋体" w:hAnsi="宋体" w:cs="宋体"/>
          <w:color w:val="auto"/>
          <w:sz w:val="20"/>
          <w:szCs w:val="21"/>
          <w:highlight w:val="none"/>
          <w:u w:val="single" w:color="000000"/>
        </w:rPr>
      </w:pPr>
      <w:r>
        <w:rPr>
          <w:rFonts w:hint="eastAsia" w:ascii="宋体" w:hAnsi="宋体" w:cs="宋体"/>
          <w:b/>
          <w:bCs/>
          <w:color w:val="auto"/>
          <w:szCs w:val="21"/>
          <w:highlight w:val="none"/>
        </w:rPr>
        <w:t>日期：年月日</w:t>
      </w:r>
    </w:p>
    <w:p>
      <w:pPr>
        <w:spacing w:line="380" w:lineRule="exact"/>
        <w:ind w:left="359" w:leftChars="171"/>
        <w:textAlignment w:val="baseline"/>
        <w:rPr>
          <w:rFonts w:ascii="宋体" w:hAnsi="宋体" w:cs="宋体"/>
          <w:color w:val="auto"/>
          <w:sz w:val="22"/>
          <w:highlight w:val="none"/>
        </w:rPr>
      </w:pPr>
    </w:p>
    <w:p>
      <w:pPr>
        <w:widowControl/>
        <w:spacing w:line="420" w:lineRule="atLeast"/>
        <w:jc w:val="center"/>
        <w:textAlignment w:val="baseline"/>
        <w:rPr>
          <w:rFonts w:ascii="宋体" w:hAnsi="宋体" w:cs="宋体"/>
          <w:b/>
          <w:bCs/>
          <w:color w:val="auto"/>
          <w:kern w:val="0"/>
          <w:sz w:val="30"/>
          <w:szCs w:val="30"/>
          <w:highlight w:val="none"/>
        </w:rPr>
      </w:pPr>
    </w:p>
    <w:p>
      <w:pPr>
        <w:pStyle w:val="27"/>
        <w:ind w:firstLine="60"/>
        <w:textAlignment w:val="baseline"/>
        <w:rPr>
          <w:rFonts w:ascii="宋体" w:hAnsi="宋体" w:eastAsia="宋体"/>
          <w:b/>
          <w:bCs/>
          <w:color w:val="auto"/>
          <w:sz w:val="30"/>
          <w:szCs w:val="30"/>
          <w:highlight w:val="none"/>
        </w:rPr>
      </w:pPr>
    </w:p>
    <w:p>
      <w:pPr>
        <w:pStyle w:val="27"/>
        <w:ind w:firstLine="60"/>
        <w:textAlignment w:val="baseline"/>
        <w:rPr>
          <w:rFonts w:ascii="宋体" w:hAnsi="宋体" w:eastAsia="宋体"/>
          <w:b/>
          <w:bCs/>
          <w:color w:val="auto"/>
          <w:sz w:val="30"/>
          <w:szCs w:val="30"/>
          <w:highlight w:val="none"/>
        </w:rPr>
      </w:pPr>
    </w:p>
    <w:p>
      <w:pPr>
        <w:pStyle w:val="27"/>
        <w:ind w:firstLine="60"/>
        <w:textAlignment w:val="baseline"/>
        <w:rPr>
          <w:rFonts w:ascii="宋体" w:hAnsi="宋体" w:eastAsia="宋体"/>
          <w:b/>
          <w:bCs/>
          <w:color w:val="auto"/>
          <w:sz w:val="30"/>
          <w:szCs w:val="30"/>
          <w:highlight w:val="none"/>
        </w:rPr>
      </w:pPr>
    </w:p>
    <w:p>
      <w:pPr>
        <w:pStyle w:val="3"/>
        <w:rPr>
          <w:rFonts w:ascii="宋体" w:hAnsi="宋体" w:eastAsia="宋体"/>
          <w:b/>
          <w:bCs/>
          <w:color w:val="auto"/>
          <w:sz w:val="30"/>
          <w:szCs w:val="30"/>
          <w:highlight w:val="none"/>
        </w:rPr>
      </w:pPr>
    </w:p>
    <w:p>
      <w:pPr>
        <w:rPr>
          <w:color w:val="auto"/>
          <w:highlight w:val="none"/>
        </w:rPr>
      </w:pPr>
    </w:p>
    <w:p>
      <w:pPr>
        <w:bidi w:val="0"/>
        <w:rPr>
          <w:rFonts w:hint="eastAsia"/>
          <w:b/>
          <w:bCs/>
          <w:color w:val="auto"/>
          <w:sz w:val="22"/>
          <w:szCs w:val="24"/>
          <w:highlight w:val="none"/>
        </w:rPr>
      </w:pPr>
      <w:bookmarkStart w:id="365" w:name="_Toc31082"/>
      <w:r>
        <w:rPr>
          <w:rFonts w:hint="eastAsia"/>
          <w:b/>
          <w:bCs/>
          <w:color w:val="auto"/>
          <w:sz w:val="22"/>
          <w:szCs w:val="24"/>
          <w:highlight w:val="none"/>
        </w:rPr>
        <w:t>附件10</w:t>
      </w:r>
      <w:bookmarkEnd w:id="365"/>
    </w:p>
    <w:p>
      <w:pPr>
        <w:widowControl/>
        <w:spacing w:line="420" w:lineRule="atLeast"/>
        <w:jc w:val="center"/>
        <w:textAlignment w:val="baseline"/>
        <w:rPr>
          <w:rFonts w:ascii="宋体" w:hAnsi="宋体" w:cs="宋体"/>
          <w:b/>
          <w:bCs/>
          <w:color w:val="auto"/>
          <w:kern w:val="0"/>
          <w:sz w:val="30"/>
          <w:szCs w:val="30"/>
          <w:highlight w:val="none"/>
        </w:rPr>
      </w:pPr>
    </w:p>
    <w:p>
      <w:pPr>
        <w:widowControl/>
        <w:spacing w:line="420" w:lineRule="atLeast"/>
        <w:jc w:val="center"/>
        <w:textAlignment w:val="baseline"/>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开标一览表（初次报价）</w:t>
      </w:r>
    </w:p>
    <w:p>
      <w:pPr>
        <w:pStyle w:val="27"/>
        <w:ind w:firstLine="42"/>
        <w:rPr>
          <w:rFonts w:ascii="宋体" w:hAnsi="宋体" w:eastAsia="宋体"/>
          <w:color w:val="auto"/>
          <w:highlight w:val="none"/>
        </w:rPr>
      </w:pPr>
      <w:r>
        <w:rPr>
          <w:rFonts w:hint="eastAsia" w:ascii="宋体" w:hAnsi="宋体" w:eastAsia="宋体"/>
          <w:color w:val="auto"/>
          <w:highlight w:val="none"/>
        </w:rPr>
        <w:t xml:space="preserve">项目名称：  爱常山-数字化建设工程（一期）   </w:t>
      </w:r>
    </w:p>
    <w:p>
      <w:pPr>
        <w:pStyle w:val="27"/>
        <w:ind w:firstLine="42"/>
        <w:rPr>
          <w:rFonts w:ascii="宋体" w:hAnsi="宋体" w:eastAsia="宋体"/>
          <w:color w:val="auto"/>
          <w:highlight w:val="none"/>
        </w:rPr>
      </w:pPr>
      <w:r>
        <w:rPr>
          <w:rFonts w:hint="eastAsia" w:ascii="宋体" w:hAnsi="宋体" w:eastAsia="宋体"/>
          <w:color w:val="auto"/>
          <w:highlight w:val="none"/>
        </w:rPr>
        <w:t>项目编号：GXZFCG-2022-CS09</w:t>
      </w:r>
    </w:p>
    <w:tbl>
      <w:tblPr>
        <w:tblStyle w:val="28"/>
        <w:tblW w:w="96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520"/>
        <w:gridCol w:w="64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09" w:type="dxa"/>
            <w:tcBorders>
              <w:top w:val="single" w:color="auto" w:sz="4" w:space="0"/>
              <w:bottom w:val="single" w:color="auto" w:sz="4" w:space="0"/>
              <w:right w:val="single" w:color="auto" w:sz="4" w:space="0"/>
            </w:tcBorders>
            <w:vAlign w:val="center"/>
          </w:tcPr>
          <w:p>
            <w:pPr>
              <w:pStyle w:val="16"/>
              <w:jc w:val="center"/>
              <w:textAlignment w:val="baseline"/>
              <w:rPr>
                <w:rFonts w:hAnsi="宋体" w:cs="宋体"/>
                <w:color w:val="auto"/>
                <w:sz w:val="24"/>
                <w:szCs w:val="24"/>
                <w:highlight w:val="none"/>
              </w:rPr>
            </w:pPr>
            <w:r>
              <w:rPr>
                <w:rFonts w:hint="eastAsia" w:hAnsi="宋体" w:cs="宋体"/>
                <w:color w:val="auto"/>
                <w:sz w:val="24"/>
                <w:szCs w:val="24"/>
                <w:highlight w:val="none"/>
              </w:rPr>
              <w:t>序号</w:t>
            </w:r>
          </w:p>
        </w:tc>
        <w:tc>
          <w:tcPr>
            <w:tcW w:w="2520" w:type="dxa"/>
            <w:tcBorders>
              <w:top w:val="single" w:color="auto" w:sz="4" w:space="0"/>
              <w:left w:val="single" w:color="auto" w:sz="4" w:space="0"/>
              <w:bottom w:val="single" w:color="auto" w:sz="4" w:space="0"/>
              <w:right w:val="single" w:color="auto" w:sz="4" w:space="0"/>
            </w:tcBorders>
            <w:vAlign w:val="center"/>
          </w:tcPr>
          <w:p>
            <w:pPr>
              <w:pStyle w:val="16"/>
              <w:jc w:val="center"/>
              <w:textAlignment w:val="baseline"/>
              <w:rPr>
                <w:rFonts w:hAnsi="宋体" w:cs="宋体"/>
                <w:color w:val="auto"/>
                <w:sz w:val="24"/>
                <w:szCs w:val="24"/>
                <w:highlight w:val="none"/>
              </w:rPr>
            </w:pPr>
            <w:r>
              <w:rPr>
                <w:rFonts w:hint="eastAsia" w:hAnsi="宋体" w:cs="宋体"/>
                <w:color w:val="auto"/>
                <w:sz w:val="24"/>
                <w:szCs w:val="24"/>
                <w:highlight w:val="none"/>
              </w:rPr>
              <w:t>名称</w:t>
            </w:r>
          </w:p>
        </w:tc>
        <w:tc>
          <w:tcPr>
            <w:tcW w:w="6437" w:type="dxa"/>
            <w:tcBorders>
              <w:top w:val="single" w:color="auto" w:sz="4" w:space="0"/>
              <w:left w:val="single" w:color="auto" w:sz="4" w:space="0"/>
              <w:bottom w:val="single" w:color="auto" w:sz="4" w:space="0"/>
              <w:right w:val="single" w:color="auto" w:sz="8" w:space="0"/>
            </w:tcBorders>
            <w:vAlign w:val="center"/>
          </w:tcPr>
          <w:p>
            <w:pPr>
              <w:pStyle w:val="16"/>
              <w:jc w:val="center"/>
              <w:textAlignment w:val="baseline"/>
              <w:rPr>
                <w:rFonts w:hAnsi="宋体" w:cs="宋体"/>
                <w:color w:val="auto"/>
                <w:sz w:val="24"/>
                <w:szCs w:val="24"/>
                <w:highlight w:val="none"/>
              </w:rPr>
            </w:pPr>
            <w:r>
              <w:rPr>
                <w:rFonts w:hint="eastAsia" w:hAnsi="宋体" w:cs="宋体"/>
                <w:color w:val="auto"/>
                <w:sz w:val="24"/>
                <w:szCs w:val="24"/>
                <w:highlight w:val="none"/>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709" w:type="dxa"/>
            <w:tcBorders>
              <w:bottom w:val="single" w:color="auto" w:sz="4" w:space="0"/>
              <w:right w:val="single" w:color="auto" w:sz="4" w:space="0"/>
            </w:tcBorders>
            <w:vAlign w:val="center"/>
          </w:tcPr>
          <w:p>
            <w:pPr>
              <w:pStyle w:val="16"/>
              <w:jc w:val="center"/>
              <w:textAlignment w:val="baseline"/>
              <w:rPr>
                <w:rFonts w:hAnsi="宋体" w:cs="宋体"/>
                <w:color w:val="auto"/>
                <w:sz w:val="24"/>
                <w:szCs w:val="24"/>
                <w:highlight w:val="none"/>
              </w:rPr>
            </w:pPr>
            <w:r>
              <w:rPr>
                <w:rFonts w:hint="eastAsia" w:hAnsi="宋体" w:cs="宋体"/>
                <w:color w:val="auto"/>
                <w:sz w:val="24"/>
                <w:szCs w:val="24"/>
                <w:highlight w:val="none"/>
              </w:rPr>
              <w:t>一</w:t>
            </w:r>
          </w:p>
        </w:tc>
        <w:tc>
          <w:tcPr>
            <w:tcW w:w="2520" w:type="dxa"/>
            <w:tcBorders>
              <w:left w:val="single" w:color="auto" w:sz="4" w:space="0"/>
              <w:bottom w:val="single" w:color="auto" w:sz="4" w:space="0"/>
              <w:right w:val="single" w:color="auto" w:sz="4" w:space="0"/>
            </w:tcBorders>
            <w:vAlign w:val="center"/>
          </w:tcPr>
          <w:p>
            <w:pPr>
              <w:pStyle w:val="16"/>
              <w:textAlignment w:val="baseline"/>
              <w:rPr>
                <w:rFonts w:hAnsi="宋体" w:cs="宋体"/>
                <w:color w:val="auto"/>
                <w:sz w:val="24"/>
                <w:szCs w:val="24"/>
                <w:highlight w:val="none"/>
              </w:rPr>
            </w:pPr>
            <w:r>
              <w:rPr>
                <w:rFonts w:hint="eastAsia" w:hAnsi="宋体" w:cs="宋体"/>
                <w:color w:val="auto"/>
                <w:sz w:val="24"/>
                <w:szCs w:val="24"/>
                <w:highlight w:val="none"/>
              </w:rPr>
              <w:t>投标总价</w:t>
            </w:r>
          </w:p>
        </w:tc>
        <w:tc>
          <w:tcPr>
            <w:tcW w:w="6437" w:type="dxa"/>
            <w:tcBorders>
              <w:top w:val="single" w:color="auto" w:sz="4" w:space="0"/>
              <w:left w:val="single" w:color="auto" w:sz="4" w:space="0"/>
              <w:bottom w:val="single" w:color="auto" w:sz="4" w:space="0"/>
            </w:tcBorders>
            <w:vAlign w:val="center"/>
          </w:tcPr>
          <w:p>
            <w:pPr>
              <w:pStyle w:val="16"/>
              <w:textAlignment w:val="baseline"/>
              <w:rPr>
                <w:rFonts w:hAnsi="宋体" w:cs="宋体"/>
                <w:color w:val="auto"/>
                <w:sz w:val="24"/>
                <w:szCs w:val="24"/>
                <w:highlight w:val="none"/>
              </w:rPr>
            </w:pPr>
            <w:r>
              <w:rPr>
                <w:rFonts w:hint="eastAsia" w:hAnsi="宋体" w:cs="宋体"/>
                <w:color w:val="auto"/>
                <w:sz w:val="24"/>
                <w:szCs w:val="24"/>
                <w:highlight w:val="none"/>
              </w:rPr>
              <w:t>大写（人民币）：（￥:）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709" w:type="dxa"/>
            <w:tcBorders>
              <w:bottom w:val="single" w:color="auto" w:sz="4" w:space="0"/>
              <w:right w:val="single" w:color="auto" w:sz="4" w:space="0"/>
            </w:tcBorders>
            <w:vAlign w:val="center"/>
          </w:tcPr>
          <w:p>
            <w:pPr>
              <w:pStyle w:val="16"/>
              <w:jc w:val="center"/>
              <w:textAlignment w:val="baseline"/>
              <w:rPr>
                <w:rFonts w:hAnsi="宋体" w:cs="宋体"/>
                <w:color w:val="auto"/>
                <w:sz w:val="24"/>
                <w:szCs w:val="24"/>
                <w:highlight w:val="none"/>
              </w:rPr>
            </w:pPr>
            <w:r>
              <w:rPr>
                <w:rFonts w:hint="eastAsia" w:hAnsi="宋体" w:cs="宋体"/>
                <w:color w:val="auto"/>
                <w:sz w:val="24"/>
                <w:szCs w:val="24"/>
                <w:highlight w:val="none"/>
              </w:rPr>
              <w:t>二</w:t>
            </w:r>
          </w:p>
        </w:tc>
        <w:tc>
          <w:tcPr>
            <w:tcW w:w="2520" w:type="dxa"/>
            <w:tcBorders>
              <w:left w:val="single" w:color="auto" w:sz="4" w:space="0"/>
              <w:bottom w:val="single" w:color="auto" w:sz="4" w:space="0"/>
              <w:right w:val="single" w:color="auto" w:sz="4" w:space="0"/>
            </w:tcBorders>
            <w:vAlign w:val="center"/>
          </w:tcPr>
          <w:p>
            <w:pPr>
              <w:pStyle w:val="16"/>
              <w:textAlignment w:val="baseline"/>
              <w:rPr>
                <w:rFonts w:hAnsi="宋体" w:cs="宋体"/>
                <w:color w:val="auto"/>
                <w:sz w:val="24"/>
                <w:szCs w:val="24"/>
                <w:highlight w:val="none"/>
              </w:rPr>
            </w:pPr>
            <w:r>
              <w:rPr>
                <w:rFonts w:hint="eastAsia" w:hAnsi="宋体" w:cs="宋体"/>
                <w:color w:val="auto"/>
                <w:sz w:val="24"/>
                <w:szCs w:val="24"/>
                <w:highlight w:val="none"/>
              </w:rPr>
              <w:t>项目负责人</w:t>
            </w:r>
          </w:p>
        </w:tc>
        <w:tc>
          <w:tcPr>
            <w:tcW w:w="6437" w:type="dxa"/>
            <w:tcBorders>
              <w:top w:val="single" w:color="auto" w:sz="4" w:space="0"/>
              <w:left w:val="single" w:color="auto" w:sz="4" w:space="0"/>
              <w:bottom w:val="single" w:color="auto" w:sz="4" w:space="0"/>
            </w:tcBorders>
            <w:vAlign w:val="center"/>
          </w:tcPr>
          <w:p>
            <w:pPr>
              <w:pStyle w:val="16"/>
              <w:textAlignment w:val="baseline"/>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09" w:type="dxa"/>
            <w:tcBorders>
              <w:top w:val="single" w:color="auto" w:sz="4" w:space="0"/>
              <w:bottom w:val="single" w:color="auto" w:sz="4" w:space="0"/>
              <w:right w:val="single" w:color="auto" w:sz="4" w:space="0"/>
            </w:tcBorders>
            <w:vAlign w:val="center"/>
          </w:tcPr>
          <w:p>
            <w:pPr>
              <w:pStyle w:val="16"/>
              <w:jc w:val="center"/>
              <w:textAlignment w:val="baseline"/>
              <w:rPr>
                <w:rFonts w:hAnsi="宋体" w:cs="宋体"/>
                <w:color w:val="auto"/>
                <w:sz w:val="24"/>
                <w:szCs w:val="24"/>
                <w:highlight w:val="none"/>
              </w:rPr>
            </w:pPr>
            <w:r>
              <w:rPr>
                <w:rFonts w:hint="eastAsia" w:hAnsi="宋体" w:cs="宋体"/>
                <w:color w:val="auto"/>
                <w:sz w:val="24"/>
                <w:szCs w:val="24"/>
                <w:highlight w:val="none"/>
              </w:rPr>
              <w:t>三</w:t>
            </w:r>
          </w:p>
        </w:tc>
        <w:tc>
          <w:tcPr>
            <w:tcW w:w="2520" w:type="dxa"/>
            <w:tcBorders>
              <w:top w:val="single" w:color="auto" w:sz="4" w:space="0"/>
              <w:left w:val="single" w:color="auto" w:sz="4" w:space="0"/>
              <w:bottom w:val="single" w:color="auto" w:sz="4" w:space="0"/>
              <w:right w:val="single" w:color="auto" w:sz="4" w:space="0"/>
            </w:tcBorders>
            <w:vAlign w:val="center"/>
          </w:tcPr>
          <w:p>
            <w:pPr>
              <w:pStyle w:val="16"/>
              <w:textAlignment w:val="baseline"/>
              <w:rPr>
                <w:rFonts w:hAnsi="宋体" w:cs="宋体"/>
                <w:color w:val="auto"/>
                <w:sz w:val="24"/>
                <w:szCs w:val="24"/>
                <w:highlight w:val="none"/>
              </w:rPr>
            </w:pPr>
            <w:r>
              <w:rPr>
                <w:rFonts w:hint="eastAsia" w:hAnsi="宋体" w:cs="宋体"/>
                <w:color w:val="auto"/>
                <w:sz w:val="24"/>
                <w:szCs w:val="24"/>
                <w:highlight w:val="none"/>
              </w:rPr>
              <w:t>合同期限</w:t>
            </w:r>
          </w:p>
        </w:tc>
        <w:tc>
          <w:tcPr>
            <w:tcW w:w="6437" w:type="dxa"/>
            <w:tcBorders>
              <w:top w:val="single" w:color="auto" w:sz="4" w:space="0"/>
              <w:left w:val="single" w:color="auto" w:sz="4" w:space="0"/>
              <w:bottom w:val="single" w:color="auto" w:sz="4" w:space="0"/>
              <w:right w:val="single" w:color="auto" w:sz="8" w:space="0"/>
            </w:tcBorders>
            <w:vAlign w:val="center"/>
          </w:tcPr>
          <w:p>
            <w:pPr>
              <w:pStyle w:val="16"/>
              <w:textAlignment w:val="baseline"/>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3229" w:type="dxa"/>
            <w:gridSpan w:val="2"/>
            <w:tcBorders>
              <w:top w:val="single" w:color="auto" w:sz="4" w:space="0"/>
              <w:bottom w:val="single" w:color="auto" w:sz="4" w:space="0"/>
              <w:right w:val="single" w:color="auto" w:sz="4" w:space="0"/>
            </w:tcBorders>
            <w:vAlign w:val="center"/>
          </w:tcPr>
          <w:p>
            <w:pPr>
              <w:pStyle w:val="16"/>
              <w:jc w:val="center"/>
              <w:textAlignment w:val="baseline"/>
              <w:rPr>
                <w:rFonts w:hAnsi="宋体" w:cs="宋体"/>
                <w:color w:val="auto"/>
                <w:sz w:val="24"/>
                <w:szCs w:val="24"/>
                <w:highlight w:val="none"/>
              </w:rPr>
            </w:pPr>
            <w:r>
              <w:rPr>
                <w:rFonts w:hint="eastAsia" w:hAnsi="宋体" w:cs="宋体"/>
                <w:color w:val="auto"/>
                <w:sz w:val="24"/>
                <w:szCs w:val="24"/>
                <w:highlight w:val="none"/>
              </w:rPr>
              <w:t>备注</w:t>
            </w:r>
          </w:p>
        </w:tc>
        <w:tc>
          <w:tcPr>
            <w:tcW w:w="6437" w:type="dxa"/>
            <w:tcBorders>
              <w:top w:val="single" w:color="auto" w:sz="4" w:space="0"/>
              <w:left w:val="single" w:color="auto" w:sz="4" w:space="0"/>
              <w:bottom w:val="single" w:color="auto" w:sz="4" w:space="0"/>
              <w:right w:val="single" w:color="auto" w:sz="8" w:space="0"/>
            </w:tcBorders>
            <w:vAlign w:val="center"/>
          </w:tcPr>
          <w:p>
            <w:pPr>
              <w:pStyle w:val="16"/>
              <w:textAlignment w:val="baseline"/>
              <w:rPr>
                <w:rFonts w:hAnsi="宋体" w:cs="宋体"/>
                <w:color w:val="auto"/>
                <w:sz w:val="24"/>
                <w:szCs w:val="24"/>
                <w:highlight w:val="none"/>
              </w:rPr>
            </w:pPr>
            <w:r>
              <w:rPr>
                <w:rFonts w:hint="eastAsia" w:hAnsi="宋体" w:cs="宋体"/>
                <w:color w:val="auto"/>
                <w:highlight w:val="none"/>
              </w:rPr>
              <w:t>上述报价是本项目采购文件确定的采购范围内全部工作内容的价格表现。完成本项目采购范围内全部工作内容所需价款、企业应缴纳的税费及合理利润、合同包含的风险等所有采购文件提及或采购文件未提及的全部开支均已计入投标报价。</w:t>
            </w:r>
          </w:p>
        </w:tc>
      </w:tr>
    </w:tbl>
    <w:p>
      <w:pPr>
        <w:spacing w:line="360" w:lineRule="auto"/>
        <w:ind w:firstLine="602" w:firstLineChars="300"/>
        <w:textAlignment w:val="baseline"/>
        <w:rPr>
          <w:rFonts w:ascii="宋体" w:hAnsi="宋体" w:cs="宋体"/>
          <w:b/>
          <w:bCs/>
          <w:color w:val="auto"/>
          <w:sz w:val="20"/>
          <w:szCs w:val="21"/>
          <w:highlight w:val="none"/>
        </w:rPr>
      </w:pPr>
    </w:p>
    <w:p>
      <w:pPr>
        <w:snapToGrid w:val="0"/>
        <w:spacing w:before="156" w:after="156"/>
        <w:ind w:firstLine="424" w:firstLineChars="177"/>
        <w:textAlignment w:val="baseline"/>
        <w:rPr>
          <w:rFonts w:ascii="宋体" w:hAnsi="宋体" w:cs="宋体"/>
          <w:color w:val="auto"/>
          <w:sz w:val="24"/>
          <w:highlight w:val="none"/>
        </w:rPr>
      </w:pPr>
    </w:p>
    <w:p>
      <w:pPr>
        <w:snapToGrid w:val="0"/>
        <w:spacing w:before="156" w:after="156"/>
        <w:ind w:firstLine="424" w:firstLineChars="177"/>
        <w:textAlignment w:val="baseline"/>
        <w:rPr>
          <w:rFonts w:ascii="宋体" w:hAnsi="宋体" w:cs="宋体"/>
          <w:color w:val="auto"/>
          <w:sz w:val="24"/>
          <w:highlight w:val="none"/>
        </w:rPr>
      </w:pPr>
    </w:p>
    <w:p>
      <w:pPr>
        <w:spacing w:line="440" w:lineRule="exact"/>
        <w:ind w:firstLine="4860"/>
        <w:jc w:val="left"/>
        <w:textAlignment w:val="baseline"/>
        <w:rPr>
          <w:rFonts w:ascii="宋体" w:hAnsi="宋体" w:cs="宋体"/>
          <w:b/>
          <w:bCs/>
          <w:color w:val="auto"/>
          <w:sz w:val="20"/>
          <w:szCs w:val="21"/>
          <w:highlight w:val="none"/>
          <w:u w:val="single" w:color="000000"/>
        </w:rPr>
      </w:pPr>
      <w:r>
        <w:rPr>
          <w:rFonts w:hint="eastAsia" w:ascii="宋体" w:hAnsi="宋体" w:cs="宋体"/>
          <w:b/>
          <w:bCs/>
          <w:color w:val="auto"/>
          <w:sz w:val="24"/>
          <w:highlight w:val="none"/>
        </w:rPr>
        <w:t>磋商供应商名称（盖章）：</w:t>
      </w:r>
    </w:p>
    <w:p>
      <w:pPr>
        <w:spacing w:line="440" w:lineRule="exact"/>
        <w:ind w:firstLine="4860"/>
        <w:jc w:val="left"/>
        <w:textAlignment w:val="baseline"/>
        <w:rPr>
          <w:rFonts w:ascii="宋体" w:hAnsi="宋体" w:cs="宋体"/>
          <w:color w:val="auto"/>
          <w:sz w:val="20"/>
          <w:szCs w:val="21"/>
          <w:highlight w:val="none"/>
          <w:u w:val="single" w:color="000000"/>
        </w:rPr>
      </w:pPr>
      <w:r>
        <w:rPr>
          <w:rFonts w:hint="eastAsia" w:ascii="宋体" w:hAnsi="宋体" w:cs="宋体"/>
          <w:b/>
          <w:bCs/>
          <w:color w:val="auto"/>
          <w:szCs w:val="21"/>
          <w:highlight w:val="none"/>
        </w:rPr>
        <w:t>日期：年月日</w:t>
      </w:r>
    </w:p>
    <w:p>
      <w:pPr>
        <w:spacing w:line="380" w:lineRule="exact"/>
        <w:ind w:left="359" w:leftChars="171"/>
        <w:textAlignment w:val="baseline"/>
        <w:rPr>
          <w:rFonts w:ascii="宋体" w:hAnsi="宋体" w:cs="宋体"/>
          <w:color w:val="auto"/>
          <w:sz w:val="22"/>
          <w:highlight w:val="none"/>
        </w:rPr>
      </w:pPr>
    </w:p>
    <w:p>
      <w:pPr>
        <w:spacing w:line="380" w:lineRule="exact"/>
        <w:ind w:left="359" w:leftChars="171"/>
        <w:textAlignment w:val="baseline"/>
        <w:rPr>
          <w:rFonts w:ascii="宋体" w:hAnsi="宋体" w:cs="宋体"/>
          <w:color w:val="auto"/>
          <w:sz w:val="22"/>
          <w:highlight w:val="none"/>
        </w:rPr>
      </w:pPr>
    </w:p>
    <w:p>
      <w:pPr>
        <w:pStyle w:val="27"/>
        <w:ind w:firstLine="44"/>
        <w:textAlignment w:val="baseline"/>
        <w:rPr>
          <w:rFonts w:ascii="宋体" w:hAnsi="宋体" w:eastAsia="宋体"/>
          <w:color w:val="auto"/>
          <w:sz w:val="22"/>
          <w:highlight w:val="none"/>
        </w:rPr>
      </w:pPr>
    </w:p>
    <w:p>
      <w:pPr>
        <w:pStyle w:val="27"/>
        <w:ind w:firstLine="44"/>
        <w:textAlignment w:val="baseline"/>
        <w:rPr>
          <w:rFonts w:ascii="宋体" w:hAnsi="宋体" w:eastAsia="宋体"/>
          <w:color w:val="auto"/>
          <w:sz w:val="22"/>
          <w:highlight w:val="none"/>
        </w:rPr>
      </w:pPr>
    </w:p>
    <w:p>
      <w:pPr>
        <w:pStyle w:val="27"/>
        <w:ind w:firstLine="44"/>
        <w:textAlignment w:val="baseline"/>
        <w:rPr>
          <w:rFonts w:ascii="宋体" w:hAnsi="宋体" w:eastAsia="宋体"/>
          <w:color w:val="auto"/>
          <w:sz w:val="22"/>
          <w:highlight w:val="none"/>
        </w:rPr>
      </w:pPr>
    </w:p>
    <w:p>
      <w:pPr>
        <w:pStyle w:val="27"/>
        <w:ind w:firstLine="44"/>
        <w:textAlignment w:val="baseline"/>
        <w:rPr>
          <w:rFonts w:ascii="宋体" w:hAnsi="宋体" w:eastAsia="宋体"/>
          <w:color w:val="auto"/>
          <w:sz w:val="22"/>
          <w:highlight w:val="none"/>
        </w:rPr>
      </w:pPr>
    </w:p>
    <w:p>
      <w:pPr>
        <w:pStyle w:val="27"/>
        <w:ind w:firstLine="44"/>
        <w:textAlignment w:val="baseline"/>
        <w:rPr>
          <w:rFonts w:ascii="宋体" w:hAnsi="宋体" w:eastAsia="宋体"/>
          <w:color w:val="auto"/>
          <w:sz w:val="22"/>
          <w:highlight w:val="none"/>
        </w:rPr>
      </w:pPr>
    </w:p>
    <w:p>
      <w:pPr>
        <w:pStyle w:val="27"/>
        <w:ind w:firstLine="44"/>
        <w:textAlignment w:val="baseline"/>
        <w:rPr>
          <w:rFonts w:ascii="宋体" w:hAnsi="宋体" w:eastAsia="宋体"/>
          <w:color w:val="auto"/>
          <w:sz w:val="22"/>
          <w:highlight w:val="none"/>
        </w:rPr>
      </w:pPr>
    </w:p>
    <w:p>
      <w:pPr>
        <w:pStyle w:val="27"/>
        <w:ind w:firstLine="44"/>
        <w:textAlignment w:val="baseline"/>
        <w:rPr>
          <w:rFonts w:ascii="宋体" w:hAnsi="宋体" w:eastAsia="宋体"/>
          <w:color w:val="auto"/>
          <w:sz w:val="22"/>
          <w:highlight w:val="none"/>
        </w:rPr>
      </w:pPr>
    </w:p>
    <w:p>
      <w:pPr>
        <w:pStyle w:val="3"/>
        <w:ind w:firstLine="220"/>
        <w:rPr>
          <w:rFonts w:ascii="宋体" w:hAnsi="宋体" w:cs="宋体"/>
          <w:color w:val="auto"/>
          <w:sz w:val="22"/>
          <w:highlight w:val="none"/>
        </w:rPr>
      </w:pPr>
    </w:p>
    <w:p>
      <w:pPr>
        <w:spacing w:line="380" w:lineRule="exact"/>
        <w:ind w:left="359" w:leftChars="171"/>
        <w:textAlignment w:val="baseline"/>
        <w:rPr>
          <w:rFonts w:ascii="宋体" w:hAnsi="宋体" w:cs="宋体"/>
          <w:color w:val="auto"/>
          <w:sz w:val="22"/>
          <w:highlight w:val="none"/>
        </w:rPr>
      </w:pPr>
    </w:p>
    <w:p>
      <w:pPr>
        <w:bidi w:val="0"/>
        <w:rPr>
          <w:rFonts w:hint="eastAsia"/>
          <w:b/>
          <w:bCs/>
          <w:color w:val="auto"/>
          <w:sz w:val="22"/>
          <w:szCs w:val="24"/>
          <w:highlight w:val="none"/>
        </w:rPr>
      </w:pPr>
      <w:bookmarkStart w:id="366" w:name="_Toc27526"/>
      <w:r>
        <w:rPr>
          <w:rFonts w:hint="eastAsia"/>
          <w:b/>
          <w:bCs/>
          <w:color w:val="auto"/>
          <w:sz w:val="22"/>
          <w:szCs w:val="24"/>
          <w:highlight w:val="none"/>
        </w:rPr>
        <w:t>附件11</w:t>
      </w:r>
      <w:bookmarkEnd w:id="366"/>
    </w:p>
    <w:p>
      <w:pPr>
        <w:jc w:val="center"/>
        <w:rPr>
          <w:b/>
          <w:bCs/>
          <w:color w:val="auto"/>
          <w:sz w:val="32"/>
          <w:szCs w:val="36"/>
          <w:highlight w:val="none"/>
        </w:rPr>
      </w:pPr>
      <w:bookmarkStart w:id="367" w:name="_Toc28501"/>
      <w:r>
        <w:rPr>
          <w:rFonts w:hint="eastAsia"/>
          <w:b/>
          <w:bCs/>
          <w:color w:val="auto"/>
          <w:sz w:val="32"/>
          <w:szCs w:val="36"/>
          <w:highlight w:val="none"/>
        </w:rPr>
        <w:t>投标报价明细表</w:t>
      </w:r>
      <w:bookmarkEnd w:id="367"/>
    </w:p>
    <w:p>
      <w:pPr>
        <w:pStyle w:val="27"/>
        <w:ind w:firstLine="42"/>
        <w:rPr>
          <w:rFonts w:hint="eastAsia" w:ascii="宋体" w:hAnsi="宋体" w:eastAsia="宋体"/>
          <w:color w:val="auto"/>
          <w:highlight w:val="none"/>
        </w:rPr>
      </w:pPr>
      <w:r>
        <w:rPr>
          <w:rFonts w:hint="eastAsia" w:ascii="宋体" w:hAnsi="宋体" w:eastAsia="宋体"/>
          <w:color w:val="auto"/>
          <w:highlight w:val="none"/>
        </w:rPr>
        <w:t>项目名称： 爱常山-数字化建设工程（一期）</w:t>
      </w:r>
    </w:p>
    <w:p>
      <w:pPr>
        <w:pStyle w:val="27"/>
        <w:ind w:firstLine="42"/>
        <w:rPr>
          <w:rFonts w:ascii="宋体" w:hAnsi="宋体" w:eastAsia="宋体"/>
          <w:color w:val="auto"/>
          <w:highlight w:val="none"/>
        </w:rPr>
      </w:pPr>
      <w:r>
        <w:rPr>
          <w:rFonts w:hint="eastAsia" w:ascii="宋体" w:hAnsi="宋体" w:eastAsia="宋体"/>
          <w:color w:val="auto"/>
          <w:highlight w:val="none"/>
        </w:rPr>
        <w:t>项目编号：GXZFCG-2022-CS09</w:t>
      </w:r>
    </w:p>
    <w:tbl>
      <w:tblPr>
        <w:tblStyle w:val="28"/>
        <w:tblW w:w="9172" w:type="dxa"/>
        <w:jc w:val="center"/>
        <w:tblLayout w:type="fixed"/>
        <w:tblCellMar>
          <w:top w:w="0" w:type="dxa"/>
          <w:left w:w="108" w:type="dxa"/>
          <w:bottom w:w="0" w:type="dxa"/>
          <w:right w:w="108" w:type="dxa"/>
        </w:tblCellMar>
      </w:tblPr>
      <w:tblGrid>
        <w:gridCol w:w="714"/>
        <w:gridCol w:w="2158"/>
        <w:gridCol w:w="1620"/>
        <w:gridCol w:w="1440"/>
        <w:gridCol w:w="1800"/>
        <w:gridCol w:w="1440"/>
      </w:tblGrid>
      <w:tr>
        <w:tblPrEx>
          <w:tblCellMar>
            <w:top w:w="0" w:type="dxa"/>
            <w:left w:w="108" w:type="dxa"/>
            <w:bottom w:w="0" w:type="dxa"/>
            <w:right w:w="108" w:type="dxa"/>
          </w:tblCellMar>
        </w:tblPrEx>
        <w:trPr>
          <w:trHeight w:val="20" w:hRule="atLeast"/>
          <w:jc w:val="center"/>
        </w:trPr>
        <w:tc>
          <w:tcPr>
            <w:tcW w:w="7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15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项目内容</w:t>
            </w:r>
          </w:p>
        </w:tc>
        <w:tc>
          <w:tcPr>
            <w:tcW w:w="144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单价</w:t>
            </w:r>
          </w:p>
        </w:tc>
        <w:tc>
          <w:tcPr>
            <w:tcW w:w="18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总价</w:t>
            </w:r>
          </w:p>
        </w:tc>
        <w:tc>
          <w:tcPr>
            <w:tcW w:w="144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CellMar>
            <w:top w:w="0" w:type="dxa"/>
            <w:left w:w="108" w:type="dxa"/>
            <w:bottom w:w="0" w:type="dxa"/>
            <w:right w:w="108" w:type="dxa"/>
          </w:tblCellMar>
        </w:tblPrEx>
        <w:trPr>
          <w:trHeight w:val="680" w:hRule="atLeast"/>
          <w:jc w:val="center"/>
        </w:trPr>
        <w:tc>
          <w:tcPr>
            <w:tcW w:w="7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215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color w:val="auto"/>
                <w:szCs w:val="21"/>
                <w:highlight w:val="none"/>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680" w:hRule="atLeast"/>
          <w:jc w:val="center"/>
        </w:trPr>
        <w:tc>
          <w:tcPr>
            <w:tcW w:w="7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215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Cs w:val="21"/>
                <w:highlight w:val="none"/>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680" w:hRule="atLeast"/>
          <w:jc w:val="center"/>
        </w:trPr>
        <w:tc>
          <w:tcPr>
            <w:tcW w:w="7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215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Cs w:val="21"/>
                <w:highlight w:val="none"/>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680" w:hRule="atLeast"/>
          <w:jc w:val="center"/>
        </w:trPr>
        <w:tc>
          <w:tcPr>
            <w:tcW w:w="7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215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Cs w:val="21"/>
                <w:highlight w:val="none"/>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680" w:hRule="atLeast"/>
          <w:jc w:val="center"/>
        </w:trPr>
        <w:tc>
          <w:tcPr>
            <w:tcW w:w="7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215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color w:val="auto"/>
                <w:szCs w:val="21"/>
                <w:highlight w:val="none"/>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680" w:hRule="atLeast"/>
          <w:jc w:val="center"/>
        </w:trPr>
        <w:tc>
          <w:tcPr>
            <w:tcW w:w="7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215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color w:val="auto"/>
                <w:szCs w:val="21"/>
                <w:highlight w:val="none"/>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680" w:hRule="atLeast"/>
          <w:jc w:val="center"/>
        </w:trPr>
        <w:tc>
          <w:tcPr>
            <w:tcW w:w="7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215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color w:val="auto"/>
                <w:szCs w:val="21"/>
                <w:highlight w:val="none"/>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680" w:hRule="atLeast"/>
          <w:jc w:val="center"/>
        </w:trPr>
        <w:tc>
          <w:tcPr>
            <w:tcW w:w="7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215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color w:val="auto"/>
                <w:szCs w:val="21"/>
                <w:highlight w:val="none"/>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680" w:hRule="atLeast"/>
          <w:jc w:val="center"/>
        </w:trPr>
        <w:tc>
          <w:tcPr>
            <w:tcW w:w="7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215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color w:val="auto"/>
                <w:szCs w:val="21"/>
                <w:highlight w:val="none"/>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680" w:hRule="atLeast"/>
          <w:jc w:val="center"/>
        </w:trPr>
        <w:tc>
          <w:tcPr>
            <w:tcW w:w="4492"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投标报价</w:t>
            </w:r>
          </w:p>
        </w:tc>
        <w:tc>
          <w:tcPr>
            <w:tcW w:w="4680"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大写：</w:t>
            </w:r>
            <w:r>
              <w:rPr>
                <w:rFonts w:hint="eastAsia" w:ascii="宋体" w:hAnsi="宋体" w:cs="宋体"/>
                <w:color w:val="auto"/>
                <w:szCs w:val="21"/>
                <w:highlight w:val="none"/>
                <w:u w:val="single"/>
              </w:rPr>
              <w:t xml:space="preserve">                  （小写：）</w:t>
            </w:r>
          </w:p>
        </w:tc>
      </w:tr>
    </w:tbl>
    <w:p>
      <w:pPr>
        <w:spacing w:line="700" w:lineRule="exact"/>
        <w:textAlignment w:val="baseline"/>
        <w:rPr>
          <w:rFonts w:ascii="宋体" w:hAnsi="宋体" w:cs="宋体"/>
          <w:b/>
          <w:color w:val="auto"/>
          <w:sz w:val="20"/>
          <w:szCs w:val="21"/>
          <w:highlight w:val="none"/>
        </w:rPr>
      </w:pPr>
      <w:r>
        <w:rPr>
          <w:rFonts w:hint="eastAsia" w:ascii="宋体" w:hAnsi="宋体" w:cs="宋体"/>
          <w:b/>
          <w:color w:val="auto"/>
          <w:szCs w:val="21"/>
          <w:highlight w:val="none"/>
        </w:rPr>
        <w:t>要求：</w:t>
      </w:r>
    </w:p>
    <w:p>
      <w:pPr>
        <w:spacing w:line="500" w:lineRule="exact"/>
        <w:ind w:left="437"/>
        <w:textAlignment w:val="baseline"/>
        <w:rPr>
          <w:rFonts w:ascii="宋体" w:hAnsi="宋体" w:cs="宋体"/>
          <w:color w:val="auto"/>
          <w:sz w:val="20"/>
          <w:szCs w:val="21"/>
          <w:highlight w:val="none"/>
        </w:rPr>
      </w:pPr>
      <w:r>
        <w:rPr>
          <w:rFonts w:hint="eastAsia" w:ascii="宋体" w:hAnsi="宋体" w:cs="宋体"/>
          <w:color w:val="auto"/>
          <w:szCs w:val="21"/>
          <w:highlight w:val="none"/>
        </w:rPr>
        <w:t>1. 本表为《首次报价一览表》的报价明细表，如有缺项、漏项，视为磋商报价中已包含相关费用，采购人无需另外支付任何费用。</w:t>
      </w:r>
    </w:p>
    <w:p>
      <w:pPr>
        <w:spacing w:line="500" w:lineRule="exact"/>
        <w:ind w:left="437"/>
        <w:textAlignment w:val="baseline"/>
        <w:rPr>
          <w:rFonts w:ascii="宋体" w:hAnsi="宋体" w:cs="宋体"/>
          <w:b/>
          <w:bCs/>
          <w:color w:val="auto"/>
          <w:sz w:val="24"/>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报价明细表</w:t>
      </w:r>
      <w:r>
        <w:rPr>
          <w:rFonts w:hint="eastAsia" w:ascii="宋体" w:hAnsi="宋体" w:cs="宋体"/>
          <w:color w:val="auto"/>
          <w:szCs w:val="21"/>
          <w:highlight w:val="none"/>
          <w:lang w:val="zh-CN"/>
        </w:rPr>
        <w:t>”中的报价合计应与“开标一览表”中的总报价相一致，不一致时，以开标一览表为准。</w:t>
      </w:r>
      <w:r>
        <w:rPr>
          <w:rFonts w:hint="eastAsia" w:ascii="宋体" w:hAnsi="宋体" w:cs="宋体"/>
          <w:color w:val="auto"/>
          <w:szCs w:val="21"/>
          <w:highlight w:val="none"/>
        </w:rPr>
        <w:t xml:space="preserve">        </w:t>
      </w:r>
    </w:p>
    <w:p>
      <w:pPr>
        <w:spacing w:line="440" w:lineRule="exact"/>
        <w:ind w:firstLine="4860"/>
        <w:jc w:val="left"/>
        <w:textAlignment w:val="baseline"/>
        <w:rPr>
          <w:rFonts w:ascii="宋体" w:hAnsi="宋体" w:cs="宋体"/>
          <w:b/>
          <w:bCs/>
          <w:color w:val="auto"/>
          <w:sz w:val="20"/>
          <w:szCs w:val="21"/>
          <w:highlight w:val="none"/>
          <w:u w:val="single" w:color="000000"/>
        </w:rPr>
      </w:pPr>
      <w:r>
        <w:rPr>
          <w:rFonts w:hint="eastAsia" w:ascii="宋体" w:hAnsi="宋体" w:cs="宋体"/>
          <w:b/>
          <w:bCs/>
          <w:color w:val="auto"/>
          <w:sz w:val="24"/>
          <w:highlight w:val="none"/>
        </w:rPr>
        <w:t>磋商供应商名称（盖章）：</w:t>
      </w:r>
    </w:p>
    <w:p>
      <w:pPr>
        <w:spacing w:line="440" w:lineRule="exact"/>
        <w:ind w:firstLine="4860"/>
        <w:jc w:val="left"/>
        <w:textAlignment w:val="baseline"/>
        <w:rPr>
          <w:rFonts w:ascii="宋体" w:hAnsi="宋体" w:cs="宋体"/>
          <w:color w:val="auto"/>
          <w:sz w:val="20"/>
          <w:szCs w:val="21"/>
          <w:highlight w:val="none"/>
          <w:u w:val="single" w:color="000000"/>
        </w:rPr>
      </w:pPr>
      <w:r>
        <w:rPr>
          <w:rFonts w:hint="eastAsia" w:ascii="宋体" w:hAnsi="宋体" w:cs="宋体"/>
          <w:b/>
          <w:bCs/>
          <w:color w:val="auto"/>
          <w:szCs w:val="21"/>
          <w:highlight w:val="none"/>
        </w:rPr>
        <w:t>日期：年月日</w:t>
      </w:r>
    </w:p>
    <w:p>
      <w:pPr>
        <w:textAlignment w:val="baseline"/>
        <w:rPr>
          <w:rFonts w:ascii="宋体" w:hAnsi="宋体" w:cs="宋体"/>
          <w:color w:val="auto"/>
          <w:sz w:val="20"/>
          <w:highlight w:val="none"/>
        </w:rPr>
        <w:sectPr>
          <w:headerReference r:id="rId5" w:type="default"/>
          <w:footerReference r:id="rId6" w:type="default"/>
          <w:pgSz w:w="11906" w:h="16838"/>
          <w:pgMar w:top="1440" w:right="850" w:bottom="1440" w:left="85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bidi w:val="0"/>
        <w:rPr>
          <w:rFonts w:hint="eastAsia"/>
          <w:b/>
          <w:bCs/>
          <w:color w:val="auto"/>
          <w:sz w:val="22"/>
          <w:szCs w:val="24"/>
          <w:highlight w:val="none"/>
        </w:rPr>
      </w:pPr>
      <w:bookmarkStart w:id="368" w:name="_Toc5875"/>
      <w:r>
        <w:rPr>
          <w:rFonts w:hint="eastAsia"/>
          <w:b/>
          <w:bCs/>
          <w:color w:val="auto"/>
          <w:sz w:val="22"/>
          <w:szCs w:val="24"/>
          <w:highlight w:val="none"/>
        </w:rPr>
        <w:t>附件12</w:t>
      </w:r>
    </w:p>
    <w:p>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中小企业声明函</w:t>
      </w:r>
    </w:p>
    <w:p>
      <w:pPr>
        <w:pStyle w:val="18"/>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bCs/>
          <w:color w:val="auto"/>
          <w:sz w:val="21"/>
          <w:szCs w:val="21"/>
          <w:highlight w:val="none"/>
        </w:rPr>
        <w:t>服务不是由小型、微型企业承接的，无需提供此声明函</w:t>
      </w:r>
      <w:r>
        <w:rPr>
          <w:rFonts w:hint="eastAsia" w:ascii="宋体" w:hAnsi="宋体" w:cs="宋体"/>
          <w:color w:val="auto"/>
          <w:sz w:val="21"/>
          <w:szCs w:val="21"/>
          <w:highlight w:val="none"/>
        </w:rPr>
        <w:t>】</w:t>
      </w:r>
    </w:p>
    <w:p>
      <w:pPr>
        <w:pStyle w:val="59"/>
        <w:jc w:val="center"/>
        <w:rPr>
          <w:rFonts w:ascii="宋体" w:hAnsi="宋体" w:eastAsia="宋体" w:cs="宋体"/>
          <w:bCs/>
          <w:color w:val="auto"/>
          <w:sz w:val="18"/>
          <w:szCs w:val="18"/>
          <w:highlight w:val="none"/>
          <w:u w:val="single"/>
        </w:rPr>
      </w:pP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 ﹝2020﹞46号）的规定，本公司（联合体）参加</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（项目名称）（项目编号）（标项号）</w:t>
      </w:r>
      <w:r>
        <w:rPr>
          <w:rFonts w:hint="eastAsia" w:ascii="宋体" w:hAnsi="宋体" w:cs="宋体"/>
          <w:color w:val="auto"/>
          <w:szCs w:val="21"/>
          <w:highlight w:val="none"/>
        </w:rPr>
        <w:t>采购活动，相关服务承接企业（含联合体、分包单位）的具体情况如下：</w:t>
      </w:r>
    </w:p>
    <w:p>
      <w:pPr>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 xml:space="preserve">（标的名称） </w:t>
      </w:r>
      <w:r>
        <w:rPr>
          <w:rFonts w:hint="eastAsia" w:ascii="宋体" w:hAnsi="宋体" w:cs="宋体"/>
          <w:color w:val="auto"/>
          <w:szCs w:val="21"/>
          <w:highlight w:val="none"/>
        </w:rPr>
        <w:t>，属于</w:t>
      </w:r>
      <w:r>
        <w:rPr>
          <w:rFonts w:hint="eastAsia" w:ascii="宋体" w:hAnsi="宋体" w:cs="宋体"/>
          <w:color w:val="auto"/>
          <w:szCs w:val="21"/>
          <w:highlight w:val="none"/>
          <w:u w:val="single"/>
        </w:rPr>
        <w:t xml:space="preserve">  （采购文件中明确的所属行业）  </w:t>
      </w:r>
      <w:r>
        <w:rPr>
          <w:rFonts w:hint="eastAsia" w:ascii="宋体" w:hAnsi="宋体" w:cs="宋体"/>
          <w:color w:val="auto"/>
          <w:szCs w:val="21"/>
          <w:highlight w:val="none"/>
        </w:rPr>
        <w:t>行业；制造商或服务承接商为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型企业（选填：</w:t>
      </w:r>
      <w:r>
        <w:rPr>
          <w:rFonts w:hint="eastAsia" w:ascii="宋体" w:hAnsi="宋体" w:cs="宋体"/>
          <w:color w:val="auto"/>
          <w:szCs w:val="20"/>
          <w:highlight w:val="none"/>
        </w:rPr>
        <w:t>①</w:t>
      </w:r>
      <w:r>
        <w:rPr>
          <w:rFonts w:hint="eastAsia" w:ascii="宋体" w:hAnsi="宋体" w:cs="宋体"/>
          <w:color w:val="auto"/>
          <w:szCs w:val="21"/>
          <w:highlight w:val="none"/>
        </w:rPr>
        <w:t>中型企业、</w:t>
      </w:r>
      <w:r>
        <w:rPr>
          <w:rFonts w:hint="eastAsia" w:ascii="宋体" w:hAnsi="宋体" w:cs="宋体"/>
          <w:color w:val="auto"/>
          <w:szCs w:val="20"/>
          <w:highlight w:val="none"/>
        </w:rPr>
        <w:t>②</w:t>
      </w:r>
      <w:r>
        <w:rPr>
          <w:rFonts w:hint="eastAsia" w:ascii="宋体" w:hAnsi="宋体" w:cs="宋体"/>
          <w:color w:val="auto"/>
          <w:szCs w:val="21"/>
          <w:highlight w:val="none"/>
        </w:rPr>
        <w:t>小型企业、</w:t>
      </w:r>
      <w:r>
        <w:rPr>
          <w:rFonts w:hint="eastAsia" w:ascii="宋体" w:hAnsi="宋体" w:cs="宋体"/>
          <w:color w:val="auto"/>
          <w:szCs w:val="20"/>
          <w:highlight w:val="none"/>
        </w:rPr>
        <w:t>③</w:t>
      </w:r>
      <w:r>
        <w:rPr>
          <w:rFonts w:hint="eastAsia" w:ascii="宋体" w:hAnsi="宋体" w:cs="宋体"/>
          <w:color w:val="auto"/>
          <w:szCs w:val="21"/>
          <w:highlight w:val="none"/>
        </w:rPr>
        <w:t>微型企业）；</w:t>
      </w:r>
    </w:p>
    <w:p>
      <w:pPr>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 xml:space="preserve">（标的名称） </w:t>
      </w:r>
      <w:r>
        <w:rPr>
          <w:rFonts w:hint="eastAsia" w:ascii="宋体" w:hAnsi="宋体" w:cs="宋体"/>
          <w:color w:val="auto"/>
          <w:szCs w:val="21"/>
          <w:highlight w:val="none"/>
        </w:rPr>
        <w:t>，属于</w:t>
      </w:r>
      <w:r>
        <w:rPr>
          <w:rFonts w:hint="eastAsia" w:ascii="宋体" w:hAnsi="宋体" w:cs="宋体"/>
          <w:color w:val="auto"/>
          <w:szCs w:val="21"/>
          <w:highlight w:val="none"/>
          <w:u w:val="single"/>
        </w:rPr>
        <w:t xml:space="preserve">  （采购文件中明确的所属行业）   </w:t>
      </w:r>
      <w:r>
        <w:rPr>
          <w:rFonts w:hint="eastAsia" w:ascii="宋体" w:hAnsi="宋体" w:cs="宋体"/>
          <w:color w:val="auto"/>
          <w:szCs w:val="21"/>
          <w:highlight w:val="none"/>
        </w:rPr>
        <w:t>行业；制造商或服务承接商为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企</w:t>
      </w:r>
      <w:r>
        <w:rPr>
          <w:rFonts w:hint="eastAsia" w:ascii="宋体" w:hAnsi="宋体" w:cs="宋体"/>
          <w:color w:val="auto"/>
          <w:szCs w:val="21"/>
          <w:highlight w:val="none"/>
          <w:u w:val="single"/>
        </w:rPr>
        <w:t xml:space="preserve">业名称） </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型企业（选填：</w:t>
      </w:r>
      <w:r>
        <w:rPr>
          <w:rFonts w:hint="eastAsia" w:ascii="宋体" w:hAnsi="宋体" w:cs="宋体"/>
          <w:color w:val="auto"/>
          <w:szCs w:val="20"/>
          <w:highlight w:val="none"/>
        </w:rPr>
        <w:t>①</w:t>
      </w:r>
      <w:r>
        <w:rPr>
          <w:rFonts w:hint="eastAsia" w:ascii="宋体" w:hAnsi="宋体" w:cs="宋体"/>
          <w:color w:val="auto"/>
          <w:szCs w:val="21"/>
          <w:highlight w:val="none"/>
        </w:rPr>
        <w:t>中型企业、</w:t>
      </w:r>
      <w:r>
        <w:rPr>
          <w:rFonts w:hint="eastAsia" w:ascii="宋体" w:hAnsi="宋体" w:cs="宋体"/>
          <w:color w:val="auto"/>
          <w:szCs w:val="20"/>
          <w:highlight w:val="none"/>
        </w:rPr>
        <w:t>②</w:t>
      </w:r>
      <w:r>
        <w:rPr>
          <w:rFonts w:hint="eastAsia" w:ascii="宋体" w:hAnsi="宋体" w:cs="宋体"/>
          <w:color w:val="auto"/>
          <w:szCs w:val="21"/>
          <w:highlight w:val="none"/>
        </w:rPr>
        <w:t>小型企业、</w:t>
      </w:r>
      <w:r>
        <w:rPr>
          <w:rFonts w:hint="eastAsia" w:ascii="宋体" w:hAnsi="宋体" w:cs="宋体"/>
          <w:color w:val="auto"/>
          <w:szCs w:val="20"/>
          <w:highlight w:val="none"/>
        </w:rPr>
        <w:t>③</w:t>
      </w:r>
      <w:r>
        <w:rPr>
          <w:rFonts w:hint="eastAsia" w:ascii="宋体" w:hAnsi="宋体" w:cs="宋体"/>
          <w:color w:val="auto"/>
          <w:szCs w:val="21"/>
          <w:highlight w:val="none"/>
        </w:rPr>
        <w:t>微型企业）；</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pPr>
        <w:rPr>
          <w:rFonts w:ascii="宋体" w:hAnsi="宋体" w:cs="宋体"/>
          <w:b/>
          <w:color w:val="auto"/>
          <w:szCs w:val="21"/>
          <w:highlight w:val="none"/>
        </w:rPr>
      </w:pPr>
    </w:p>
    <w:p>
      <w:pPr>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 xml:space="preserve">供应商名称（盖章）： </w:t>
      </w:r>
      <w:r>
        <w:rPr>
          <w:rFonts w:hint="eastAsia" w:ascii="宋体" w:hAnsi="宋体" w:cs="宋体"/>
          <w:color w:val="auto"/>
          <w:szCs w:val="21"/>
          <w:highlight w:val="none"/>
          <w:u w:val="single"/>
        </w:rPr>
        <w:t xml:space="preserve">                          </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日期：      年   月   日</w:t>
      </w:r>
    </w:p>
    <w:p>
      <w:pPr>
        <w:widowControl/>
        <w:tabs>
          <w:tab w:val="left" w:pos="4860"/>
        </w:tabs>
        <w:ind w:right="-21"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说明：</w:t>
      </w:r>
    </w:p>
    <w:p>
      <w:pPr>
        <w:autoSpaceDE w:val="0"/>
        <w:autoSpaceDN w:val="0"/>
        <w:adjustRightIn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★1.采购项目涉及多个采购标的的，供应商应当按照“供应商（投标人）须知前附表”明确的所有采购标的对应的中小企业划型标准所属行业，分别</w:t>
      </w:r>
      <w:r>
        <w:rPr>
          <w:rFonts w:hint="eastAsia" w:ascii="宋体" w:hAnsi="宋体" w:cs="宋体"/>
          <w:b/>
          <w:bCs/>
          <w:color w:val="auto"/>
          <w:szCs w:val="21"/>
          <w:highlight w:val="none"/>
        </w:rPr>
        <w:t>结合《关于印发中小企业划型标准规定的通知》（工信部联企业〔2011〕300号）对应的划分标准和所投产品制造商</w:t>
      </w:r>
      <w:r>
        <w:rPr>
          <w:rFonts w:hint="eastAsia" w:ascii="宋体" w:hAnsi="宋体" w:cs="宋体"/>
          <w:b/>
          <w:color w:val="auto"/>
          <w:szCs w:val="21"/>
          <w:highlight w:val="none"/>
        </w:rPr>
        <w:t>（或服务承接商或工程承建商）</w:t>
      </w:r>
      <w:r>
        <w:rPr>
          <w:rFonts w:hint="eastAsia" w:ascii="宋体" w:hAnsi="宋体" w:cs="宋体"/>
          <w:b/>
          <w:bCs/>
          <w:color w:val="auto"/>
          <w:szCs w:val="21"/>
          <w:highlight w:val="none"/>
        </w:rPr>
        <w:t>各项指标自测相关企业规模类型，</w:t>
      </w:r>
      <w:r>
        <w:rPr>
          <w:rFonts w:hint="eastAsia" w:ascii="宋体" w:hAnsi="宋体" w:cs="宋体"/>
          <w:b/>
          <w:color w:val="auto"/>
          <w:szCs w:val="21"/>
          <w:highlight w:val="none"/>
        </w:rPr>
        <w:t>逐一如实判断所投产品制造商（或服务承接商或工程承建商）是否属于小型或微型企业。</w:t>
      </w:r>
    </w:p>
    <w:p>
      <w:pPr>
        <w:autoSpaceDE w:val="0"/>
        <w:autoSpaceDN w:val="0"/>
        <w:adjustRightInd w:val="0"/>
        <w:spacing w:line="40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★2.未按上述要求填写的（即未完整、如实填写的），其《中小企业声明函》不予认定，即不享受价格扣除优惠政策。</w:t>
      </w:r>
    </w:p>
    <w:p>
      <w:pPr>
        <w:widowControl/>
        <w:tabs>
          <w:tab w:val="left" w:pos="4860"/>
        </w:tabs>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3.从业人员、营业收入、资产总额等填报上一年度数据。新成立企业应参照</w:t>
      </w:r>
      <w:r>
        <w:rPr>
          <w:rFonts w:hint="eastAsia" w:ascii="宋体" w:hAnsi="宋体" w:cs="宋体"/>
          <w:color w:val="auto"/>
          <w:szCs w:val="21"/>
          <w:highlight w:val="none"/>
        </w:rPr>
        <w:t>《关于印发中小企业划型标准规定的通知》（工信部联企业〔2011〕300号）对应的划分标准</w:t>
      </w:r>
      <w:r>
        <w:rPr>
          <w:rFonts w:hint="eastAsia" w:ascii="宋体" w:hAnsi="宋体" w:cs="宋体"/>
          <w:bCs/>
          <w:color w:val="auto"/>
          <w:szCs w:val="21"/>
          <w:highlight w:val="none"/>
        </w:rPr>
        <w:t>，根据企业自身情况如实判断。</w:t>
      </w:r>
    </w:p>
    <w:p>
      <w:pPr>
        <w:widowControl/>
        <w:tabs>
          <w:tab w:val="left" w:pos="4860"/>
        </w:tabs>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4.依据</w:t>
      </w:r>
      <w:r>
        <w:rPr>
          <w:rFonts w:hint="eastAsia" w:ascii="宋体" w:hAnsi="宋体" w:cs="宋体"/>
          <w:color w:val="auto"/>
          <w:szCs w:val="21"/>
          <w:highlight w:val="none"/>
        </w:rPr>
        <w:t>《政府采购促进中小企业发展管理办法》（财库﹝2020﹞46号）</w:t>
      </w:r>
      <w:r>
        <w:rPr>
          <w:rFonts w:hint="eastAsia" w:ascii="宋体" w:hAnsi="宋体" w:cs="宋体"/>
          <w:bCs/>
          <w:color w:val="auto"/>
          <w:szCs w:val="21"/>
          <w:highlight w:val="none"/>
        </w:rPr>
        <w:t>规定享受</w:t>
      </w:r>
      <w:r>
        <w:rPr>
          <w:rFonts w:hint="eastAsia" w:ascii="宋体" w:hAnsi="宋体" w:cs="宋体"/>
          <w:b/>
          <w:color w:val="auto"/>
          <w:szCs w:val="21"/>
          <w:highlight w:val="none"/>
        </w:rPr>
        <w:t>价格扣除优惠</w:t>
      </w:r>
      <w:r>
        <w:rPr>
          <w:rFonts w:hint="eastAsia" w:ascii="宋体" w:hAnsi="宋体" w:cs="宋体"/>
          <w:bCs/>
          <w:color w:val="auto"/>
          <w:szCs w:val="21"/>
          <w:highlight w:val="none"/>
        </w:rPr>
        <w:t>政策而中标（成交）的，中标（成交）人的《中小企业声明函》及相关联合体协议（如项目接受联合体）、分包协议（如项目接受分包）等将随中标（成交）结果同时公开，接受监督；</w:t>
      </w:r>
    </w:p>
    <w:p>
      <w:pPr>
        <w:widowControl/>
        <w:tabs>
          <w:tab w:val="left" w:pos="4860"/>
        </w:tabs>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5.供应商提供的《中小企业声明函》经审查与事实不符，或享受</w:t>
      </w:r>
      <w:r>
        <w:rPr>
          <w:rFonts w:hint="eastAsia" w:ascii="宋体" w:hAnsi="宋体" w:cs="宋体"/>
          <w:b/>
          <w:color w:val="auto"/>
          <w:szCs w:val="21"/>
          <w:highlight w:val="none"/>
        </w:rPr>
        <w:t>价格扣除优惠</w:t>
      </w:r>
      <w:r>
        <w:rPr>
          <w:rFonts w:hint="eastAsia" w:ascii="宋体" w:hAnsi="宋体" w:cs="宋体"/>
          <w:bCs/>
          <w:color w:val="auto"/>
          <w:szCs w:val="21"/>
          <w:highlight w:val="none"/>
        </w:rPr>
        <w:t>政策而中标（成交）后违反规定将合同分包给大、中型企业的，按提供虚假材料谋取中标（成交）处理，依照《政府采购法》及其实施条例相关规定追究法律责任。</w:t>
      </w:r>
    </w:p>
    <w:p>
      <w:pPr>
        <w:widowControl/>
        <w:tabs>
          <w:tab w:val="left" w:pos="4860"/>
        </w:tabs>
        <w:spacing w:line="288"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br w:type="page"/>
      </w:r>
    </w:p>
    <w:p>
      <w:pPr>
        <w:bidi w:val="0"/>
        <w:rPr>
          <w:rFonts w:hint="eastAsia"/>
          <w:b/>
          <w:bCs/>
          <w:color w:val="auto"/>
          <w:sz w:val="22"/>
          <w:szCs w:val="24"/>
          <w:highlight w:val="none"/>
        </w:rPr>
      </w:pPr>
      <w:r>
        <w:rPr>
          <w:rFonts w:hint="eastAsia"/>
          <w:b/>
          <w:bCs/>
          <w:color w:val="auto"/>
          <w:sz w:val="22"/>
          <w:szCs w:val="24"/>
          <w:highlight w:val="none"/>
        </w:rPr>
        <w:t>附件13</w:t>
      </w:r>
    </w:p>
    <w:p>
      <w:pPr>
        <w:widowControl/>
        <w:tabs>
          <w:tab w:val="left" w:pos="4860"/>
        </w:tabs>
        <w:spacing w:line="288" w:lineRule="auto"/>
        <w:ind w:firstLine="420" w:firstLineChars="200"/>
        <w:jc w:val="center"/>
        <w:rPr>
          <w:rFonts w:ascii="宋体" w:hAnsi="宋体" w:cs="宋体"/>
          <w:color w:val="auto"/>
          <w:szCs w:val="21"/>
          <w:highlight w:val="none"/>
        </w:rPr>
      </w:pPr>
    </w:p>
    <w:p>
      <w:pPr>
        <w:widowControl/>
        <w:tabs>
          <w:tab w:val="left" w:pos="4860"/>
        </w:tabs>
        <w:spacing w:line="288" w:lineRule="auto"/>
        <w:ind w:firstLine="562" w:firstLineChars="20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残疾人福利性单位声明函</w:t>
      </w:r>
    </w:p>
    <w:p>
      <w:pPr>
        <w:pStyle w:val="18"/>
        <w:spacing w:line="360" w:lineRule="auto"/>
        <w:ind w:firstLine="2835" w:firstLineChars="1350"/>
        <w:rPr>
          <w:rFonts w:ascii="宋体" w:hAnsi="宋体" w:cs="宋体"/>
          <w:color w:val="auto"/>
          <w:sz w:val="21"/>
          <w:szCs w:val="21"/>
          <w:highlight w:val="none"/>
        </w:rPr>
      </w:pPr>
      <w:r>
        <w:rPr>
          <w:rFonts w:hint="eastAsia" w:ascii="宋体" w:hAnsi="宋体" w:cs="宋体"/>
          <w:color w:val="auto"/>
          <w:sz w:val="21"/>
          <w:szCs w:val="21"/>
          <w:highlight w:val="none"/>
        </w:rPr>
        <w:t>【不属于残疾人福利性单位无需提供】</w:t>
      </w:r>
    </w:p>
    <w:p>
      <w:pPr>
        <w:widowControl/>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采购活动提供本单位制造的货物（由本单位承担工程/提供服务），或者提供其他残疾人福利性单位制造的货物（不包括使用非残疾人福利性单位注册商标的货物）。</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pPr>
        <w:spacing w:line="360" w:lineRule="auto"/>
        <w:jc w:val="left"/>
        <w:rPr>
          <w:rFonts w:ascii="宋体" w:hAnsi="宋体" w:cs="宋体"/>
          <w:color w:val="auto"/>
          <w:szCs w:val="21"/>
          <w:highlight w:val="none"/>
        </w:rPr>
      </w:pPr>
    </w:p>
    <w:p>
      <w:pPr>
        <w:spacing w:line="360" w:lineRule="auto"/>
        <w:jc w:val="left"/>
        <w:rPr>
          <w:rFonts w:ascii="宋体" w:hAnsi="宋体" w:cs="宋体"/>
          <w:color w:val="auto"/>
          <w:szCs w:val="21"/>
          <w:highlight w:val="none"/>
        </w:rPr>
      </w:pPr>
    </w:p>
    <w:p>
      <w:pPr>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 xml:space="preserve">供应商名称（盖章）： </w:t>
      </w:r>
      <w:r>
        <w:rPr>
          <w:rFonts w:hint="eastAsia" w:ascii="宋体" w:hAnsi="宋体" w:cs="宋体"/>
          <w:color w:val="auto"/>
          <w:szCs w:val="21"/>
          <w:highlight w:val="none"/>
          <w:u w:val="single"/>
        </w:rPr>
        <w:t xml:space="preserve">                          </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日期：      年   月   日</w:t>
      </w:r>
    </w:p>
    <w:p>
      <w:pPr>
        <w:rPr>
          <w:rFonts w:ascii="宋体" w:hAnsi="宋体" w:cs="宋体"/>
          <w:color w:val="auto"/>
          <w:highlight w:val="none"/>
        </w:rPr>
      </w:pPr>
    </w:p>
    <w:p>
      <w:pPr>
        <w:tabs>
          <w:tab w:val="left" w:pos="4860"/>
        </w:tabs>
        <w:ind w:right="1560"/>
        <w:jc w:val="left"/>
        <w:rPr>
          <w:rFonts w:ascii="宋体" w:hAnsi="宋体" w:cs="宋体"/>
          <w:b/>
          <w:color w:val="auto"/>
          <w:sz w:val="22"/>
          <w:highlight w:val="none"/>
        </w:rPr>
      </w:pPr>
      <w:r>
        <w:rPr>
          <w:rFonts w:hint="eastAsia" w:ascii="宋体" w:hAnsi="宋体" w:cs="宋体"/>
          <w:b/>
          <w:color w:val="auto"/>
          <w:sz w:val="22"/>
          <w:highlight w:val="none"/>
        </w:rPr>
        <w:t>说明：</w:t>
      </w:r>
    </w:p>
    <w:p>
      <w:pPr>
        <w:widowControl/>
        <w:tabs>
          <w:tab w:val="left" w:pos="4860"/>
        </w:tabs>
        <w:ind w:right="-21"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1.如成交，将在成交公示中将此残疾人福利性单位声明函予以公示，接受社会监督；</w:t>
      </w:r>
    </w:p>
    <w:p>
      <w:pPr>
        <w:widowControl/>
        <w:tabs>
          <w:tab w:val="left" w:pos="4860"/>
        </w:tabs>
        <w:ind w:right="-21" w:firstLine="422" w:firstLineChars="200"/>
        <w:jc w:val="left"/>
        <w:rPr>
          <w:rFonts w:ascii="宋体" w:hAnsi="宋体" w:cs="宋体"/>
          <w:b/>
          <w:color w:val="auto"/>
          <w:spacing w:val="6"/>
          <w:szCs w:val="21"/>
          <w:highlight w:val="none"/>
        </w:rPr>
      </w:pPr>
      <w:r>
        <w:rPr>
          <w:rFonts w:hint="eastAsia" w:ascii="宋体" w:hAnsi="宋体" w:cs="宋体"/>
          <w:b/>
          <w:color w:val="auto"/>
          <w:szCs w:val="21"/>
          <w:highlight w:val="none"/>
        </w:rPr>
        <w:t>2.供应商提供的《残疾人福利性单位声明函》与事实不符的，依照《政府采购法》第七十七条第一款的规定追究法律责任。</w:t>
      </w:r>
    </w:p>
    <w:p>
      <w:pPr>
        <w:rPr>
          <w:rStyle w:val="66"/>
          <w:rFonts w:ascii="宋体" w:hAnsi="宋体" w:cs="宋体"/>
          <w:b/>
          <w:color w:val="auto"/>
          <w:sz w:val="28"/>
          <w:szCs w:val="28"/>
          <w:highlight w:val="none"/>
        </w:rPr>
      </w:pPr>
      <w:r>
        <w:rPr>
          <w:rStyle w:val="66"/>
          <w:rFonts w:hint="eastAsia" w:ascii="宋体" w:hAnsi="宋体" w:cs="宋体"/>
          <w:b/>
          <w:color w:val="auto"/>
          <w:sz w:val="28"/>
          <w:szCs w:val="28"/>
          <w:highlight w:val="none"/>
        </w:rPr>
        <w:br w:type="page"/>
      </w:r>
    </w:p>
    <w:p>
      <w:pPr>
        <w:bidi w:val="0"/>
        <w:jc w:val="center"/>
        <w:rPr>
          <w:rFonts w:hAnsi="宋体" w:cs="宋体"/>
          <w:color w:val="auto"/>
          <w:sz w:val="32"/>
          <w:szCs w:val="32"/>
          <w:highlight w:val="none"/>
        </w:rPr>
      </w:pPr>
      <w:r>
        <w:rPr>
          <w:rFonts w:hint="eastAsia" w:hAnsi="宋体" w:cs="宋体"/>
          <w:color w:val="auto"/>
          <w:sz w:val="32"/>
          <w:szCs w:val="32"/>
          <w:highlight w:val="none"/>
        </w:rPr>
        <w:t>政府采购活动现场确认声明书</w:t>
      </w:r>
      <w:bookmarkEnd w:id="368"/>
    </w:p>
    <w:p>
      <w:pPr>
        <w:pStyle w:val="85"/>
        <w:numPr>
          <w:ilvl w:val="0"/>
          <w:numId w:val="0"/>
        </w:numPr>
        <w:snapToGrid w:val="0"/>
        <w:ind w:left="227"/>
        <w:rPr>
          <w:rFonts w:hAnsi="宋体" w:cs="宋体"/>
          <w:color w:val="auto"/>
          <w:sz w:val="28"/>
          <w:szCs w:val="28"/>
          <w:highlight w:val="none"/>
        </w:rPr>
      </w:pPr>
    </w:p>
    <w:p>
      <w:pPr>
        <w:pStyle w:val="85"/>
        <w:numPr>
          <w:ilvl w:val="0"/>
          <w:numId w:val="0"/>
        </w:numPr>
        <w:snapToGrid w:val="0"/>
        <w:spacing w:line="440" w:lineRule="exact"/>
        <w:ind w:left="227"/>
        <w:rPr>
          <w:rFonts w:hAnsi="宋体" w:cs="宋体"/>
          <w:bCs/>
          <w:color w:val="auto"/>
          <w:sz w:val="24"/>
          <w:szCs w:val="24"/>
          <w:highlight w:val="none"/>
        </w:rPr>
      </w:pPr>
      <w:r>
        <w:rPr>
          <w:rFonts w:hint="eastAsia" w:hAnsi="宋体" w:cs="宋体"/>
          <w:color w:val="auto"/>
          <w:sz w:val="24"/>
          <w:szCs w:val="24"/>
          <w:highlight w:val="none"/>
        </w:rPr>
        <w:t>浙江衢州公信工程管理有限公司　：</w:t>
      </w:r>
    </w:p>
    <w:p>
      <w:pPr>
        <w:pStyle w:val="85"/>
        <w:numPr>
          <w:ilvl w:val="0"/>
          <w:numId w:val="0"/>
        </w:numPr>
        <w:snapToGrid w:val="0"/>
        <w:spacing w:line="440" w:lineRule="exact"/>
        <w:ind w:left="420" w:leftChars="200"/>
        <w:rPr>
          <w:rFonts w:hAnsi="宋体" w:cs="宋体"/>
          <w:color w:val="auto"/>
          <w:spacing w:val="6"/>
          <w:sz w:val="24"/>
          <w:szCs w:val="24"/>
          <w:highlight w:val="none"/>
          <w:u w:val="single"/>
        </w:rPr>
      </w:pPr>
      <w:r>
        <w:rPr>
          <w:rFonts w:hint="eastAsia" w:hAnsi="宋体" w:cs="宋体"/>
          <w:color w:val="auto"/>
          <w:spacing w:val="6"/>
          <w:sz w:val="24"/>
          <w:szCs w:val="24"/>
          <w:highlight w:val="none"/>
        </w:rPr>
        <w:t>本人</w:t>
      </w:r>
      <w:r>
        <w:rPr>
          <w:rFonts w:hint="eastAsia" w:hAnsi="宋体" w:cs="宋体"/>
          <w:color w:val="auto"/>
          <w:spacing w:val="6"/>
          <w:sz w:val="24"/>
          <w:szCs w:val="24"/>
          <w:highlight w:val="none"/>
          <w:u w:val="single"/>
        </w:rPr>
        <w:t xml:space="preserve">        </w:t>
      </w:r>
      <w:r>
        <w:rPr>
          <w:rFonts w:hint="eastAsia" w:hAnsi="宋体" w:cs="宋体"/>
          <w:color w:val="auto"/>
          <w:spacing w:val="6"/>
          <w:sz w:val="24"/>
          <w:szCs w:val="24"/>
          <w:highlight w:val="none"/>
        </w:rPr>
        <w:t>（授权代表姓名），经由</w:t>
      </w:r>
      <w:r>
        <w:rPr>
          <w:rFonts w:hint="eastAsia" w:hAnsi="宋体" w:cs="宋体"/>
          <w:color w:val="auto"/>
          <w:spacing w:val="6"/>
          <w:sz w:val="24"/>
          <w:szCs w:val="24"/>
          <w:highlight w:val="none"/>
          <w:u w:val="single"/>
        </w:rPr>
        <w:t xml:space="preserve">                              </w:t>
      </w:r>
      <w:r>
        <w:rPr>
          <w:rFonts w:hint="eastAsia" w:hAnsi="宋体" w:cs="宋体"/>
          <w:color w:val="auto"/>
          <w:spacing w:val="6"/>
          <w:sz w:val="24"/>
          <w:szCs w:val="24"/>
          <w:highlight w:val="none"/>
        </w:rPr>
        <w:t>（单位）</w:t>
      </w:r>
      <w:r>
        <w:rPr>
          <w:rFonts w:hint="eastAsia" w:hAnsi="宋体" w:cs="宋体"/>
          <w:color w:val="auto"/>
          <w:spacing w:val="6"/>
          <w:sz w:val="24"/>
          <w:szCs w:val="24"/>
          <w:highlight w:val="none"/>
          <w:u w:val="single"/>
        </w:rPr>
        <w:t xml:space="preserve">         </w:t>
      </w:r>
    </w:p>
    <w:p>
      <w:pPr>
        <w:pStyle w:val="85"/>
        <w:numPr>
          <w:ilvl w:val="0"/>
          <w:numId w:val="0"/>
        </w:numPr>
        <w:wordWrap w:val="0"/>
        <w:snapToGrid w:val="0"/>
        <w:spacing w:line="440" w:lineRule="exact"/>
        <w:ind w:left="227"/>
        <w:rPr>
          <w:rFonts w:hAnsi="宋体" w:cs="宋体"/>
          <w:color w:val="auto"/>
          <w:spacing w:val="6"/>
          <w:sz w:val="24"/>
          <w:szCs w:val="24"/>
          <w:highlight w:val="none"/>
        </w:rPr>
      </w:pPr>
      <w:r>
        <w:rPr>
          <w:rFonts w:hint="eastAsia" w:hAnsi="宋体" w:cs="宋体"/>
          <w:color w:val="auto"/>
          <w:spacing w:val="6"/>
          <w:sz w:val="24"/>
          <w:szCs w:val="24"/>
          <w:highlight w:val="none"/>
          <w:u w:val="single"/>
        </w:rPr>
        <w:t xml:space="preserve">                 </w:t>
      </w:r>
      <w:r>
        <w:rPr>
          <w:rFonts w:hint="eastAsia" w:hAnsi="宋体" w:cs="宋体"/>
          <w:color w:val="auto"/>
          <w:spacing w:val="6"/>
          <w:sz w:val="24"/>
          <w:szCs w:val="24"/>
          <w:highlight w:val="none"/>
        </w:rPr>
        <w:t>（法定代表人姓名）合法授权参加</w:t>
      </w:r>
      <w:r>
        <w:rPr>
          <w:rFonts w:hint="eastAsia" w:hAnsi="宋体" w:cs="宋体"/>
          <w:color w:val="auto"/>
          <w:sz w:val="24"/>
          <w:szCs w:val="24"/>
          <w:highlight w:val="none"/>
          <w:u w:val="single"/>
        </w:rPr>
        <w:t xml:space="preserve">   爱常山-数字化建设工程（一期）</w:t>
      </w:r>
      <w:r>
        <w:rPr>
          <w:rFonts w:hint="eastAsia" w:hAnsi="宋体" w:cs="宋体"/>
          <w:color w:val="auto"/>
          <w:spacing w:val="6"/>
          <w:sz w:val="24"/>
          <w:szCs w:val="24"/>
          <w:highlight w:val="none"/>
        </w:rPr>
        <w:t>（编号：</w:t>
      </w:r>
      <w:r>
        <w:rPr>
          <w:rFonts w:hint="eastAsia" w:hAnsi="宋体" w:cs="宋体"/>
          <w:color w:val="auto"/>
          <w:spacing w:val="6"/>
          <w:sz w:val="24"/>
          <w:szCs w:val="24"/>
          <w:highlight w:val="none"/>
          <w:u w:val="single"/>
        </w:rPr>
        <w:t>GXZFCG-2022-CS09</w:t>
      </w:r>
      <w:r>
        <w:rPr>
          <w:rFonts w:hint="eastAsia" w:hAnsi="宋体" w:cs="宋体"/>
          <w:color w:val="auto"/>
          <w:spacing w:val="6"/>
          <w:sz w:val="24"/>
          <w:szCs w:val="24"/>
          <w:highlight w:val="none"/>
        </w:rPr>
        <w:t xml:space="preserve">）政府采购活动，经与本单位法人代表（负责人）联系确认，现就有关公平竞争事项郑重声明如下： </w:t>
      </w:r>
    </w:p>
    <w:p>
      <w:pPr>
        <w:pStyle w:val="40"/>
        <w:widowControl/>
        <w:numPr>
          <w:ilvl w:val="0"/>
          <w:numId w:val="20"/>
        </w:numPr>
        <w:snapToGrid w:val="0"/>
        <w:spacing w:line="440" w:lineRule="exact"/>
        <w:ind w:firstLine="453" w:firstLineChars="189"/>
        <w:rPr>
          <w:rFonts w:ascii="宋体" w:cs="宋体"/>
          <w:color w:val="auto"/>
          <w:kern w:val="0"/>
          <w:sz w:val="24"/>
          <w:highlight w:val="none"/>
        </w:rPr>
      </w:pPr>
      <w:r>
        <w:rPr>
          <w:rFonts w:hint="eastAsia" w:ascii="宋体" w:cs="宋体"/>
          <w:color w:val="auto"/>
          <w:kern w:val="0"/>
          <w:sz w:val="24"/>
          <w:highlight w:val="none"/>
        </w:rPr>
        <w:t>本单位与采购人之间 □不存在利害关系 □存在下列利害关系</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w:t>
      </w:r>
    </w:p>
    <w:p>
      <w:pPr>
        <w:pStyle w:val="40"/>
        <w:widowControl/>
        <w:numPr>
          <w:ilvl w:val="0"/>
          <w:numId w:val="0"/>
        </w:numPr>
        <w:snapToGrid w:val="0"/>
        <w:spacing w:line="440" w:lineRule="exact"/>
        <w:ind w:left="227"/>
        <w:rPr>
          <w:rFonts w:ascii="宋体" w:cs="宋体"/>
          <w:color w:val="auto"/>
          <w:kern w:val="0"/>
          <w:sz w:val="24"/>
          <w:highlight w:val="none"/>
        </w:rPr>
      </w:pPr>
      <w:r>
        <w:rPr>
          <w:rFonts w:hint="eastAsia" w:ascii="宋体" w:cs="宋体"/>
          <w:color w:val="auto"/>
          <w:kern w:val="0"/>
          <w:sz w:val="24"/>
          <w:highlight w:val="none"/>
        </w:rPr>
        <w:t xml:space="preserve">  A.投资关系    B.行政隶属关系    C.业务指导关系</w:t>
      </w:r>
    </w:p>
    <w:p>
      <w:pPr>
        <w:pStyle w:val="40"/>
        <w:widowControl/>
        <w:numPr>
          <w:ilvl w:val="0"/>
          <w:numId w:val="0"/>
        </w:numPr>
        <w:snapToGrid w:val="0"/>
        <w:spacing w:line="440" w:lineRule="exact"/>
        <w:ind w:left="227"/>
        <w:rPr>
          <w:rFonts w:ascii="宋体" w:cs="宋体"/>
          <w:color w:val="auto"/>
          <w:kern w:val="0"/>
          <w:sz w:val="24"/>
          <w:highlight w:val="none"/>
        </w:rPr>
      </w:pPr>
      <w:r>
        <w:rPr>
          <w:rFonts w:hint="eastAsia" w:ascii="宋体" w:cs="宋体"/>
          <w:color w:val="auto"/>
          <w:kern w:val="0"/>
          <w:sz w:val="24"/>
          <w:highlight w:val="none"/>
        </w:rPr>
        <w:t xml:space="preserve">  D.其他可能</w:t>
      </w:r>
      <w:r>
        <w:rPr>
          <w:rFonts w:hint="eastAsia" w:ascii="宋体" w:cs="宋体"/>
          <w:color w:val="auto"/>
          <w:sz w:val="24"/>
          <w:highlight w:val="none"/>
        </w:rPr>
        <w:t>影响采购公正的</w:t>
      </w:r>
      <w:r>
        <w:rPr>
          <w:rFonts w:hint="eastAsia" w:ascii="宋体" w:cs="宋体"/>
          <w:color w:val="auto"/>
          <w:kern w:val="0"/>
          <w:sz w:val="24"/>
          <w:highlight w:val="none"/>
        </w:rPr>
        <w:t xml:space="preserve">利害关系（如有，请如实说明） </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w:t>
      </w:r>
    </w:p>
    <w:p>
      <w:pPr>
        <w:pStyle w:val="40"/>
        <w:widowControl/>
        <w:numPr>
          <w:ilvl w:val="0"/>
          <w:numId w:val="20"/>
        </w:numPr>
        <w:snapToGrid w:val="0"/>
        <w:spacing w:line="440" w:lineRule="exact"/>
        <w:ind w:firstLine="453" w:firstLineChars="189"/>
        <w:rPr>
          <w:rFonts w:ascii="宋体" w:cs="宋体"/>
          <w:color w:val="auto"/>
          <w:kern w:val="0"/>
          <w:sz w:val="24"/>
          <w:highlight w:val="none"/>
        </w:rPr>
      </w:pPr>
      <w:r>
        <w:rPr>
          <w:rFonts w:hint="eastAsia" w:ascii="宋体" w:cs="宋体"/>
          <w:color w:val="auto"/>
          <w:kern w:val="0"/>
          <w:sz w:val="24"/>
          <w:highlight w:val="none"/>
        </w:rPr>
        <w:t xml:space="preserve">现已清楚知道参加本项目采购活动的其他所有供应商名称，本单位 □与其他所有供应商之间均不存在利害关系 □与 </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（供应商名称）之间存在下列利害关系</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w:t>
      </w:r>
    </w:p>
    <w:p>
      <w:pPr>
        <w:pStyle w:val="85"/>
        <w:numPr>
          <w:ilvl w:val="0"/>
          <w:numId w:val="0"/>
        </w:numPr>
        <w:snapToGrid w:val="0"/>
        <w:spacing w:line="440" w:lineRule="exact"/>
        <w:ind w:left="227"/>
        <w:rPr>
          <w:rFonts w:hAnsi="宋体" w:cs="宋体"/>
          <w:color w:val="auto"/>
          <w:sz w:val="24"/>
          <w:szCs w:val="24"/>
          <w:highlight w:val="none"/>
        </w:rPr>
      </w:pPr>
      <w:r>
        <w:rPr>
          <w:rFonts w:hint="eastAsia" w:hAnsi="宋体" w:cs="宋体"/>
          <w:color w:val="auto"/>
          <w:sz w:val="24"/>
          <w:szCs w:val="24"/>
          <w:highlight w:val="none"/>
        </w:rPr>
        <w:t>A.法定代表人或负责人或实际控制人是同一人</w:t>
      </w:r>
    </w:p>
    <w:p>
      <w:pPr>
        <w:pStyle w:val="85"/>
        <w:numPr>
          <w:ilvl w:val="0"/>
          <w:numId w:val="0"/>
        </w:numPr>
        <w:snapToGrid w:val="0"/>
        <w:spacing w:line="440" w:lineRule="exact"/>
        <w:ind w:left="227"/>
        <w:rPr>
          <w:rFonts w:hAnsi="宋体" w:cs="宋体"/>
          <w:color w:val="auto"/>
          <w:spacing w:val="6"/>
          <w:sz w:val="24"/>
          <w:szCs w:val="24"/>
          <w:highlight w:val="none"/>
        </w:rPr>
      </w:pPr>
      <w:r>
        <w:rPr>
          <w:rFonts w:hint="eastAsia" w:hAnsi="宋体" w:cs="宋体"/>
          <w:color w:val="auto"/>
          <w:sz w:val="24"/>
          <w:szCs w:val="24"/>
          <w:highlight w:val="none"/>
        </w:rPr>
        <w:t>B.法定代表人或负责人或实际控制人是夫妻关系</w:t>
      </w:r>
    </w:p>
    <w:p>
      <w:pPr>
        <w:pStyle w:val="85"/>
        <w:numPr>
          <w:ilvl w:val="0"/>
          <w:numId w:val="0"/>
        </w:numPr>
        <w:snapToGrid w:val="0"/>
        <w:spacing w:line="440" w:lineRule="exact"/>
        <w:ind w:left="227"/>
        <w:rPr>
          <w:rFonts w:hAnsi="宋体" w:cs="宋体"/>
          <w:color w:val="auto"/>
          <w:sz w:val="24"/>
          <w:szCs w:val="24"/>
          <w:highlight w:val="none"/>
        </w:rPr>
      </w:pPr>
      <w:r>
        <w:rPr>
          <w:rFonts w:hint="eastAsia" w:hAnsi="宋体" w:cs="宋体"/>
          <w:color w:val="auto"/>
          <w:sz w:val="24"/>
          <w:szCs w:val="24"/>
          <w:highlight w:val="none"/>
        </w:rPr>
        <w:t>C.法定代表人或负责人或实际控制人是直系血亲关系</w:t>
      </w:r>
    </w:p>
    <w:p>
      <w:pPr>
        <w:pStyle w:val="85"/>
        <w:numPr>
          <w:ilvl w:val="0"/>
          <w:numId w:val="0"/>
        </w:numPr>
        <w:snapToGrid w:val="0"/>
        <w:spacing w:line="440" w:lineRule="exact"/>
        <w:ind w:firstLine="240" w:firstLineChars="100"/>
        <w:rPr>
          <w:rFonts w:hAnsi="宋体" w:cs="宋体"/>
          <w:color w:val="auto"/>
          <w:spacing w:val="6"/>
          <w:sz w:val="24"/>
          <w:szCs w:val="24"/>
          <w:highlight w:val="none"/>
        </w:rPr>
      </w:pPr>
      <w:r>
        <w:rPr>
          <w:rFonts w:hint="eastAsia" w:hAnsi="宋体" w:cs="宋体"/>
          <w:color w:val="auto"/>
          <w:sz w:val="24"/>
          <w:szCs w:val="24"/>
          <w:highlight w:val="none"/>
        </w:rPr>
        <w:t>D.法定代表人或负责人或实际控制人存在三代以内旁系血亲关系</w:t>
      </w:r>
    </w:p>
    <w:p>
      <w:pPr>
        <w:pStyle w:val="85"/>
        <w:numPr>
          <w:ilvl w:val="0"/>
          <w:numId w:val="0"/>
        </w:numPr>
        <w:snapToGrid w:val="0"/>
        <w:spacing w:line="440" w:lineRule="exact"/>
        <w:ind w:left="227"/>
        <w:rPr>
          <w:rFonts w:hAnsi="宋体" w:cs="宋体"/>
          <w:color w:val="auto"/>
          <w:sz w:val="24"/>
          <w:szCs w:val="24"/>
          <w:highlight w:val="none"/>
        </w:rPr>
      </w:pPr>
      <w:r>
        <w:rPr>
          <w:rFonts w:hint="eastAsia" w:hAnsi="宋体" w:cs="宋体"/>
          <w:color w:val="auto"/>
          <w:sz w:val="24"/>
          <w:szCs w:val="24"/>
          <w:highlight w:val="none"/>
        </w:rPr>
        <w:t>E.法定代表人或负责人或实际控制人存在近姻亲关系</w:t>
      </w:r>
    </w:p>
    <w:p>
      <w:pPr>
        <w:pStyle w:val="85"/>
        <w:numPr>
          <w:ilvl w:val="0"/>
          <w:numId w:val="0"/>
        </w:numPr>
        <w:snapToGrid w:val="0"/>
        <w:spacing w:line="440" w:lineRule="exact"/>
        <w:ind w:left="227"/>
        <w:rPr>
          <w:rFonts w:hAnsi="宋体" w:cs="宋体"/>
          <w:color w:val="auto"/>
          <w:sz w:val="24"/>
          <w:szCs w:val="24"/>
          <w:highlight w:val="none"/>
        </w:rPr>
      </w:pPr>
      <w:r>
        <w:rPr>
          <w:rFonts w:hint="eastAsia" w:hAnsi="宋体" w:cs="宋体"/>
          <w:color w:val="auto"/>
          <w:sz w:val="24"/>
          <w:szCs w:val="24"/>
          <w:highlight w:val="none"/>
        </w:rPr>
        <w:t>F.法定代表人或负责人或实际控制人存在股份控制或实际控制关系</w:t>
      </w:r>
    </w:p>
    <w:p>
      <w:pPr>
        <w:pStyle w:val="85"/>
        <w:numPr>
          <w:ilvl w:val="0"/>
          <w:numId w:val="0"/>
        </w:numPr>
        <w:snapToGrid w:val="0"/>
        <w:spacing w:line="440" w:lineRule="exact"/>
        <w:ind w:left="227"/>
        <w:rPr>
          <w:rFonts w:hAnsi="宋体" w:cs="宋体"/>
          <w:color w:val="auto"/>
          <w:sz w:val="24"/>
          <w:szCs w:val="24"/>
          <w:highlight w:val="none"/>
        </w:rPr>
      </w:pPr>
      <w:r>
        <w:rPr>
          <w:rFonts w:hint="eastAsia" w:hAnsi="宋体" w:cs="宋体"/>
          <w:color w:val="auto"/>
          <w:sz w:val="24"/>
          <w:szCs w:val="24"/>
          <w:highlight w:val="none"/>
        </w:rPr>
        <w:t>G.存在共同直接或间接投资设立子公司、联营企业和合营企业情况</w:t>
      </w:r>
    </w:p>
    <w:p>
      <w:pPr>
        <w:pStyle w:val="85"/>
        <w:numPr>
          <w:ilvl w:val="0"/>
          <w:numId w:val="0"/>
        </w:numPr>
        <w:snapToGrid w:val="0"/>
        <w:spacing w:line="440" w:lineRule="exact"/>
        <w:ind w:left="227"/>
        <w:rPr>
          <w:rFonts w:hAnsi="宋体" w:cs="宋体"/>
          <w:color w:val="auto"/>
          <w:sz w:val="24"/>
          <w:szCs w:val="24"/>
          <w:highlight w:val="none"/>
        </w:rPr>
      </w:pPr>
      <w:r>
        <w:rPr>
          <w:rFonts w:hint="eastAsia" w:hAnsi="宋体" w:cs="宋体"/>
          <w:color w:val="auto"/>
          <w:sz w:val="24"/>
          <w:szCs w:val="24"/>
          <w:highlight w:val="none"/>
        </w:rPr>
        <w:t>H.存在分级代理或代销关系、同一生产制造商关系、管理关系、重要业务（占主营业务收入50%以上）或重要财务往来关系（如融资）等其他实质性控制关系</w:t>
      </w:r>
    </w:p>
    <w:p>
      <w:pPr>
        <w:pStyle w:val="85"/>
        <w:numPr>
          <w:ilvl w:val="0"/>
          <w:numId w:val="0"/>
        </w:numPr>
        <w:snapToGrid w:val="0"/>
        <w:spacing w:line="440" w:lineRule="exact"/>
        <w:ind w:left="227"/>
        <w:rPr>
          <w:rFonts w:hAnsi="宋体" w:cs="宋体"/>
          <w:color w:val="auto"/>
          <w:spacing w:val="6"/>
          <w:sz w:val="24"/>
          <w:szCs w:val="24"/>
          <w:highlight w:val="none"/>
        </w:rPr>
      </w:pPr>
      <w:bookmarkStart w:id="369" w:name="_Toc680"/>
      <w:bookmarkStart w:id="370" w:name="_Toc22681"/>
      <w:r>
        <w:rPr>
          <w:rFonts w:hint="eastAsia" w:hAnsi="宋体" w:cs="宋体"/>
          <w:color w:val="auto"/>
          <w:sz w:val="24"/>
          <w:szCs w:val="24"/>
          <w:highlight w:val="none"/>
        </w:rPr>
        <w:t>I.其他利害关系情况</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w:t>
      </w:r>
      <w:bookmarkEnd w:id="369"/>
      <w:bookmarkEnd w:id="370"/>
    </w:p>
    <w:p>
      <w:pPr>
        <w:pStyle w:val="40"/>
        <w:widowControl/>
        <w:numPr>
          <w:ilvl w:val="0"/>
          <w:numId w:val="21"/>
        </w:numPr>
        <w:snapToGrid w:val="0"/>
        <w:spacing w:line="440" w:lineRule="exact"/>
        <w:ind w:firstLine="453" w:firstLineChars="189"/>
        <w:rPr>
          <w:rFonts w:ascii="宋体" w:cs="宋体"/>
          <w:color w:val="auto"/>
          <w:kern w:val="0"/>
          <w:sz w:val="24"/>
          <w:highlight w:val="none"/>
        </w:rPr>
      </w:pPr>
      <w:r>
        <w:rPr>
          <w:rFonts w:hint="eastAsia" w:ascii="宋体" w:cs="宋体"/>
          <w:color w:val="auto"/>
          <w:sz w:val="24"/>
          <w:highlight w:val="none"/>
        </w:rPr>
        <w:t>现已清楚知道并</w:t>
      </w:r>
      <w:r>
        <w:rPr>
          <w:rFonts w:hint="eastAsia" w:ascii="宋体" w:cs="宋体"/>
          <w:color w:val="auto"/>
          <w:kern w:val="0"/>
          <w:sz w:val="24"/>
          <w:highlight w:val="none"/>
        </w:rPr>
        <w:t>严格遵守政府采购法律法规和现场纪律。</w:t>
      </w:r>
    </w:p>
    <w:p>
      <w:pPr>
        <w:pStyle w:val="40"/>
        <w:widowControl/>
        <w:numPr>
          <w:ilvl w:val="0"/>
          <w:numId w:val="21"/>
        </w:numPr>
        <w:snapToGrid w:val="0"/>
        <w:spacing w:line="440" w:lineRule="exact"/>
        <w:ind w:firstLine="453" w:firstLineChars="189"/>
        <w:rPr>
          <w:rFonts w:ascii="宋体" w:cs="宋体"/>
          <w:color w:val="auto"/>
          <w:kern w:val="0"/>
          <w:sz w:val="24"/>
          <w:highlight w:val="none"/>
        </w:rPr>
      </w:pPr>
      <w:r>
        <w:rPr>
          <w:rFonts w:hint="eastAsia" w:ascii="宋体" w:cs="宋体"/>
          <w:color w:val="auto"/>
          <w:kern w:val="0"/>
          <w:sz w:val="24"/>
          <w:highlight w:val="none"/>
        </w:rPr>
        <w:t>我发现</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供应商之间存在或可能存在上述第二条第</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项利害关系。</w:t>
      </w:r>
    </w:p>
    <w:p>
      <w:pPr>
        <w:pStyle w:val="85"/>
        <w:numPr>
          <w:ilvl w:val="0"/>
          <w:numId w:val="0"/>
        </w:numPr>
        <w:snapToGrid w:val="0"/>
        <w:spacing w:line="440" w:lineRule="exact"/>
        <w:ind w:left="227"/>
        <w:rPr>
          <w:rFonts w:hAnsi="宋体" w:cs="宋体"/>
          <w:color w:val="auto"/>
          <w:sz w:val="24"/>
          <w:szCs w:val="24"/>
          <w:highlight w:val="none"/>
        </w:rPr>
      </w:pPr>
      <w:r>
        <w:rPr>
          <w:rFonts w:hint="eastAsia" w:hAnsi="宋体" w:cs="宋体"/>
          <w:color w:val="auto"/>
          <w:sz w:val="24"/>
          <w:szCs w:val="24"/>
          <w:highlight w:val="none"/>
        </w:rPr>
        <w:t xml:space="preserve">（供应商代表签名）：                                </w:t>
      </w:r>
    </w:p>
    <w:p>
      <w:pPr>
        <w:pStyle w:val="85"/>
        <w:numPr>
          <w:ilvl w:val="0"/>
          <w:numId w:val="0"/>
        </w:numPr>
        <w:snapToGrid w:val="0"/>
        <w:spacing w:line="440" w:lineRule="exact"/>
        <w:ind w:left="5250" w:leftChars="2500"/>
        <w:rPr>
          <w:rFonts w:hAnsi="宋体" w:cs="宋体"/>
          <w:color w:val="auto"/>
          <w:sz w:val="24"/>
          <w:szCs w:val="24"/>
          <w:highlight w:val="none"/>
        </w:rPr>
      </w:pPr>
      <w:r>
        <w:rPr>
          <w:rFonts w:hint="eastAsia" w:hAnsi="宋体" w:cs="宋体"/>
          <w:color w:val="auto"/>
          <w:sz w:val="24"/>
          <w:szCs w:val="24"/>
          <w:highlight w:val="none"/>
        </w:rPr>
        <w:t>2022年  月  日</w:t>
      </w:r>
    </w:p>
    <w:p>
      <w:pPr>
        <w:pStyle w:val="85"/>
        <w:numPr>
          <w:ilvl w:val="0"/>
          <w:numId w:val="0"/>
        </w:numPr>
        <w:snapToGrid w:val="0"/>
        <w:spacing w:line="440" w:lineRule="exact"/>
        <w:ind w:left="227"/>
        <w:rPr>
          <w:rFonts w:ascii="宋体" w:hAnsi="宋体" w:eastAsia="宋体"/>
          <w:color w:val="auto"/>
          <w:highlight w:val="none"/>
        </w:rPr>
      </w:pPr>
      <w:r>
        <w:rPr>
          <w:rFonts w:hint="eastAsia" w:hAnsi="宋体" w:cs="宋体"/>
          <w:b/>
          <w:bCs/>
          <w:color w:val="auto"/>
          <w:sz w:val="24"/>
          <w:szCs w:val="24"/>
          <w:highlight w:val="none"/>
        </w:rPr>
        <w:t>注：待完成解密后填写本确认书再以扫描件的形式发到QQ邮箱（617535062@qq.com）内，打印时请删除此项注明。</w:t>
      </w:r>
    </w:p>
    <w:sectPr>
      <w:headerReference r:id="rId7" w:type="default"/>
      <w:footerReference r:id="rId8" w:type="default"/>
      <w:pgSz w:w="11906" w:h="16838"/>
      <w:pgMar w:top="1440" w:right="850" w:bottom="1440" w:left="850" w:header="850" w:footer="992" w:gutter="0"/>
      <w:pgBorders>
        <w:top w:val="none" w:sz="0" w:space="0"/>
        <w:left w:val="none" w:sz="0" w:space="0"/>
        <w:bottom w:val="none" w:sz="0" w:space="0"/>
        <w:right w:val="none" w:sz="0" w:space="0"/>
      </w:pgBorders>
      <w:cols w:space="72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G Times">
    <w:panose1 w:val="02020603050405020304"/>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5103"/>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39</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9"/>
                          </w:pPr>
                        </w:p>
                      </w:txbxContent>
                    </wps:txbx>
                    <wps:bodyPr wrap="none" lIns="0" tIns="0" rIns="0" bIns="0">
                      <a:spAutoFit/>
                    </wps:bodyPr>
                  </wps:wsp>
                </a:graphicData>
              </a:graphic>
            </wp:anchor>
          </w:drawing>
        </mc:Choice>
        <mc:Fallback>
          <w:pict>
            <v:shape id="_x0000_s1026" o:spid="_x0000_s1026" o:spt="202" type="#_x0000_t202" style="position:absolute;left:0pt;margin-left:0pt;margin-top:0pt;height:144pt;width:144p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HhoS99ABAACkAwAADgAAAAAAAAABACAAAAAeAQAAZHJz&#10;L2Uyb0RvYy54bWxQSwUGAAAAAAYABgBZAQAAYAUAAAAA&#10;">
              <v:fill on="f" focussize="0,0"/>
              <v:stroke on="f"/>
              <v:imagedata o:title=""/>
              <o:lock v:ext="edit" aspectratio="f"/>
              <v:textbox inset="0mm,0mm,0mm,0mm" style="mso-fit-shape-to-text:t;">
                <w:txbxContent>
                  <w:p>
                    <w:pPr>
                      <w:pStyle w:val="19"/>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9"/>
                          </w:pPr>
                        </w:p>
                      </w:txbxContent>
                    </wps:txbx>
                    <wps:bodyPr wrap="none" lIns="0" tIns="0" rIns="0" bIns="0">
                      <a:spAutoFit/>
                    </wps:bodyPr>
                  </wps:wsp>
                </a:graphicData>
              </a:graphic>
            </wp:anchor>
          </w:drawing>
        </mc:Choice>
        <mc:Fallback>
          <w:pict>
            <v:shape id="_x0000_s1026" o:spid="_x0000_s1026" o:spt="202" type="#_x0000_t202" style="position:absolute;left:0pt;margin-left:0pt;margin-top:0pt;height:144pt;width:144p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df4lAdABAACkAwAADgAAAAAAAAABACAAAAAeAQAAZHJz&#10;L2Uyb0RvYy54bWxQSwUGAAAAAAYABgBZAQAAYAUAAAAA&#10;">
              <v:fill on="f" focussize="0,0"/>
              <v:stroke on="f"/>
              <v:imagedata o:title=""/>
              <o:lock v:ext="edit" aspectratio="f"/>
              <v:textbox inset="0mm,0mm,0mm,0mm" style="mso-fit-shape-to-text:t;">
                <w:txbxContent>
                  <w:p>
                    <w:pPr>
                      <w:pStyle w:val="19"/>
                    </w:pP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5103"/>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73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CdrcvLAQAAl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E1GKg/+wyFiC7mzhDpCTcVwXpnbtFtpIZ76Oevxf9r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Ana3LywEAAJcDAAAOAAAAAAAAAAEAIAAAACIBAABkcnMv&#10;ZTJvRG9jLnhtbFBLBQYAAAAABgAGAFkBAABfBQAAAAA=&#10;">
              <v:fill on="f" focussize="0,0"/>
              <v:stroke on="f" weight="1.2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73</w:t>
                    </w:r>
                    <w:r>
                      <w:rPr>
                        <w:rFonts w:hint="eastAsia"/>
                      </w:rP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ascii="宋体" w:hAnsi="宋体" w:cs="宋体"/>
      </w:rPr>
      <w:t>QZGX</w:t>
    </w:r>
    <w:r>
      <w:rPr>
        <w:rFonts w:hint="eastAsia" w:ascii="宋体" w:hAnsi="宋体" w:cs="宋体"/>
      </w:rPr>
      <w:t xml:space="preserve"> </w:t>
    </w:r>
    <w:r>
      <w:rPr>
        <w:rFonts w:hint="eastAsia" w:ascii="宋体" w:hAnsi="宋体" w:cs="宋体"/>
        <w:sz w:val="21"/>
        <w:szCs w:val="21"/>
      </w:rPr>
      <w:t xml:space="preserve">                                  </w:t>
    </w:r>
    <w:r>
      <w:rPr>
        <w:rFonts w:hint="eastAsia" w:ascii="宋体" w:hAnsi="宋体" w:cs="宋体"/>
      </w:rPr>
      <w:t xml:space="preserve">      爱常山-数字化建设工程（一期）</w:t>
    </w: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ascii="宋体" w:hAnsi="宋体" w:cs="宋体"/>
      </w:rPr>
      <w:t xml:space="preserve">QZGX                                            </w:t>
    </w:r>
    <w:r>
      <w:rPr>
        <w:rFonts w:hint="eastAsia"/>
      </w:rPr>
      <w:t xml:space="preserve">  爱常山-数字化建设工程（一期）竞争性磋商文件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rPr>
      <w:t xml:space="preserve">QZGX                                        </w:t>
    </w:r>
    <w:r>
      <w:rPr>
        <w:rFonts w:hint="eastAsia" w:ascii="宋体" w:hAnsi="宋体" w:cs="宋体"/>
      </w:rPr>
      <w:t xml:space="preserve">   </w:t>
    </w:r>
    <w:r>
      <w:rPr>
        <w:rFonts w:hint="eastAsia"/>
      </w:rPr>
      <w:t xml:space="preserve">  爱常山-数字化建设工程（一期）竞争性磋商文件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EAB738"/>
    <w:multiLevelType w:val="singleLevel"/>
    <w:tmpl w:val="ABEAB738"/>
    <w:lvl w:ilvl="0" w:tentative="0">
      <w:start w:val="1"/>
      <w:numFmt w:val="decimal"/>
      <w:lvlText w:val="%1"/>
      <w:lvlJc w:val="left"/>
      <w:pPr>
        <w:tabs>
          <w:tab w:val="left" w:pos="420"/>
        </w:tabs>
        <w:ind w:left="425" w:hanging="425"/>
      </w:pPr>
      <w:rPr>
        <w:rFonts w:hint="default"/>
      </w:rPr>
    </w:lvl>
  </w:abstractNum>
  <w:abstractNum w:abstractNumId="1">
    <w:nsid w:val="C441833F"/>
    <w:multiLevelType w:val="singleLevel"/>
    <w:tmpl w:val="C441833F"/>
    <w:lvl w:ilvl="0" w:tentative="0">
      <w:start w:val="1"/>
      <w:numFmt w:val="decimal"/>
      <w:lvlText w:val="%1"/>
      <w:lvlJc w:val="left"/>
      <w:pPr>
        <w:tabs>
          <w:tab w:val="left" w:pos="420"/>
        </w:tabs>
        <w:ind w:left="425" w:hanging="425"/>
      </w:pPr>
      <w:rPr>
        <w:rFonts w:hint="default"/>
      </w:rPr>
    </w:lvl>
  </w:abstractNum>
  <w:abstractNum w:abstractNumId="2">
    <w:nsid w:val="D1678106"/>
    <w:multiLevelType w:val="singleLevel"/>
    <w:tmpl w:val="D1678106"/>
    <w:lvl w:ilvl="0" w:tentative="0">
      <w:start w:val="1"/>
      <w:numFmt w:val="decimal"/>
      <w:suff w:val="space"/>
      <w:lvlText w:val="（%1）"/>
      <w:lvlJc w:val="left"/>
      <w:pPr>
        <w:ind w:left="600" w:firstLine="0"/>
      </w:pPr>
    </w:lvl>
  </w:abstractNum>
  <w:abstractNum w:abstractNumId="3">
    <w:nsid w:val="F3C06143"/>
    <w:multiLevelType w:val="singleLevel"/>
    <w:tmpl w:val="F3C06143"/>
    <w:lvl w:ilvl="0" w:tentative="0">
      <w:start w:val="4"/>
      <w:numFmt w:val="decimal"/>
      <w:suff w:val="nothing"/>
      <w:lvlText w:val="%1）"/>
      <w:lvlJc w:val="left"/>
    </w:lvl>
  </w:abstractNum>
  <w:abstractNum w:abstractNumId="4">
    <w:nsid w:val="FFFFFF88"/>
    <w:multiLevelType w:val="singleLevel"/>
    <w:tmpl w:val="FFFFFF88"/>
    <w:lvl w:ilvl="0" w:tentative="0">
      <w:start w:val="1"/>
      <w:numFmt w:val="decimal"/>
      <w:pStyle w:val="57"/>
      <w:lvlText w:val="%1."/>
      <w:lvlJc w:val="left"/>
      <w:pPr>
        <w:tabs>
          <w:tab w:val="left" w:pos="360"/>
        </w:tabs>
        <w:ind w:left="360" w:hanging="360"/>
      </w:pPr>
      <w:rPr>
        <w:rFonts w:cs="Times New Roman"/>
      </w:rPr>
    </w:lvl>
  </w:abstractNum>
  <w:abstractNum w:abstractNumId="5">
    <w:nsid w:val="00000012"/>
    <w:multiLevelType w:val="multilevel"/>
    <w:tmpl w:val="00000012"/>
    <w:lvl w:ilvl="0" w:tentative="0">
      <w:start w:val="2"/>
      <w:numFmt w:val="chineseCountingThousand"/>
      <w:suff w:val="space"/>
      <w:lvlText w:val="%1"/>
      <w:lvlJc w:val="left"/>
      <w:pPr>
        <w:tabs>
          <w:tab w:val="left" w:pos="0"/>
        </w:tabs>
        <w:ind w:left="425" w:firstLine="142"/>
      </w:pPr>
      <w:rPr>
        <w:rFonts w:hint="eastAsia" w:ascii="宋体" w:hAnsi="宋体" w:eastAsia="宋体" w:cs="宋体"/>
      </w:rPr>
    </w:lvl>
    <w:lvl w:ilvl="1" w:tentative="0">
      <w:start w:val="1"/>
      <w:numFmt w:val="decimal"/>
      <w:suff w:val="space"/>
      <w:lvlText w:val="19.%2"/>
      <w:lvlJc w:val="left"/>
      <w:pPr>
        <w:tabs>
          <w:tab w:val="left" w:pos="0"/>
        </w:tabs>
        <w:ind w:left="-42" w:firstLine="567"/>
      </w:pPr>
      <w:rPr>
        <w:rFonts w:hint="eastAsia" w:ascii="宋体" w:hAnsi="宋体" w:eastAsia="宋体" w:cs="宋体"/>
      </w:rPr>
    </w:lvl>
    <w:lvl w:ilvl="2" w:tentative="0">
      <w:start w:val="1"/>
      <w:numFmt w:val="decimal"/>
      <w:suff w:val="space"/>
      <w:lvlText w:val="%1.%2.%3"/>
      <w:lvlJc w:val="left"/>
      <w:pPr>
        <w:tabs>
          <w:tab w:val="left" w:pos="0"/>
        </w:tabs>
        <w:ind w:left="567" w:hanging="567"/>
      </w:pPr>
      <w:rPr>
        <w:rFonts w:hint="eastAsia" w:ascii="宋体" w:hAnsi="宋体" w:eastAsia="宋体" w:cs="宋体"/>
      </w:rPr>
    </w:lvl>
    <w:lvl w:ilvl="3" w:tentative="0">
      <w:start w:val="1"/>
      <w:numFmt w:val="decimal"/>
      <w:lvlText w:val="%1.%2.%3.%4"/>
      <w:lvlJc w:val="left"/>
      <w:pPr>
        <w:tabs>
          <w:tab w:val="left" w:pos="1984"/>
        </w:tabs>
        <w:ind w:left="1984" w:hanging="1984"/>
      </w:pPr>
      <w:rPr>
        <w:rFonts w:hint="eastAsia" w:ascii="宋体" w:hAnsi="宋体" w:eastAsia="宋体" w:cs="宋体"/>
      </w:rPr>
    </w:lvl>
    <w:lvl w:ilvl="4" w:tentative="0">
      <w:start w:val="1"/>
      <w:numFmt w:val="decimal"/>
      <w:lvlText w:val="%1.%2.%3.%4.%5"/>
      <w:lvlJc w:val="left"/>
      <w:pPr>
        <w:tabs>
          <w:tab w:val="left" w:pos="2551"/>
        </w:tabs>
        <w:ind w:left="2551" w:hanging="850"/>
      </w:pPr>
      <w:rPr>
        <w:rFonts w:hint="eastAsia" w:ascii="宋体" w:hAnsi="宋体" w:eastAsia="宋体" w:cs="宋体"/>
      </w:rPr>
    </w:lvl>
    <w:lvl w:ilvl="5" w:tentative="0">
      <w:start w:val="1"/>
      <w:numFmt w:val="decimal"/>
      <w:lvlText w:val="%1.%2.%3.%4.%5.%6"/>
      <w:lvlJc w:val="left"/>
      <w:pPr>
        <w:tabs>
          <w:tab w:val="left" w:pos="3260"/>
        </w:tabs>
        <w:ind w:left="3260" w:hanging="1134"/>
      </w:pPr>
      <w:rPr>
        <w:rFonts w:hint="eastAsia" w:ascii="宋体" w:hAnsi="宋体" w:eastAsia="宋体" w:cs="宋体"/>
      </w:rPr>
    </w:lvl>
    <w:lvl w:ilvl="6" w:tentative="0">
      <w:start w:val="1"/>
      <w:numFmt w:val="decimal"/>
      <w:lvlText w:val="%1.%2.%3.%4.%5.%6.%7"/>
      <w:lvlJc w:val="left"/>
      <w:pPr>
        <w:tabs>
          <w:tab w:val="left" w:pos="3827"/>
        </w:tabs>
        <w:ind w:left="3827" w:hanging="1276"/>
      </w:pPr>
      <w:rPr>
        <w:rFonts w:hint="eastAsia" w:ascii="宋体" w:hAnsi="宋体" w:eastAsia="宋体" w:cs="宋体"/>
      </w:rPr>
    </w:lvl>
    <w:lvl w:ilvl="7" w:tentative="0">
      <w:start w:val="1"/>
      <w:numFmt w:val="decimal"/>
      <w:lvlText w:val="%1.%2.%3.%4.%5.%6.%7.%8"/>
      <w:lvlJc w:val="left"/>
      <w:pPr>
        <w:tabs>
          <w:tab w:val="left" w:pos="4394"/>
        </w:tabs>
        <w:ind w:left="4394" w:hanging="1418"/>
      </w:pPr>
      <w:rPr>
        <w:rFonts w:hint="eastAsia" w:ascii="宋体" w:hAnsi="宋体" w:eastAsia="宋体" w:cs="宋体"/>
      </w:rPr>
    </w:lvl>
    <w:lvl w:ilvl="8" w:tentative="0">
      <w:start w:val="1"/>
      <w:numFmt w:val="decimal"/>
      <w:lvlText w:val="%1.%2.%3.%4.%5.%6.%7.%8.%9"/>
      <w:lvlJc w:val="left"/>
      <w:pPr>
        <w:tabs>
          <w:tab w:val="left" w:pos="5102"/>
        </w:tabs>
        <w:ind w:left="5102" w:hanging="1700"/>
      </w:pPr>
      <w:rPr>
        <w:rFonts w:hint="eastAsia" w:ascii="宋体" w:hAnsi="宋体" w:eastAsia="宋体" w:cs="宋体"/>
      </w:rPr>
    </w:lvl>
  </w:abstractNum>
  <w:abstractNum w:abstractNumId="6">
    <w:nsid w:val="00000013"/>
    <w:multiLevelType w:val="multilevel"/>
    <w:tmpl w:val="00000013"/>
    <w:lvl w:ilvl="0" w:tentative="0">
      <w:start w:val="1"/>
      <w:numFmt w:val="decimal"/>
      <w:suff w:val="space"/>
      <w:lvlText w:val="%1."/>
      <w:lvlJc w:val="left"/>
      <w:pPr>
        <w:tabs>
          <w:tab w:val="left" w:pos="0"/>
        </w:tabs>
        <w:ind w:left="0" w:firstLine="567"/>
      </w:pPr>
      <w:rPr>
        <w:rFonts w:hint="eastAsia" w:ascii="宋体" w:hAnsi="宋体" w:eastAsia="宋体" w:cs="宋体"/>
      </w:rPr>
    </w:lvl>
    <w:lvl w:ilvl="1" w:tentative="0">
      <w:start w:val="1"/>
      <w:numFmt w:val="decimal"/>
      <w:lvlText w:val="%1.%2"/>
      <w:lvlJc w:val="left"/>
      <w:pPr>
        <w:tabs>
          <w:tab w:val="left" w:pos="987"/>
        </w:tabs>
        <w:ind w:left="0" w:firstLine="567"/>
      </w:pPr>
      <w:rPr>
        <w:rFonts w:hint="default" w:ascii="仿宋_GB2312" w:eastAsia="仿宋_GB2312" w:cs="仿宋_GB2312"/>
        <w:b w:val="0"/>
        <w:i w:val="0"/>
        <w:sz w:val="21"/>
        <w:szCs w:val="21"/>
      </w:rPr>
    </w:lvl>
    <w:lvl w:ilvl="2" w:tentative="0">
      <w:start w:val="1"/>
      <w:numFmt w:val="decimal"/>
      <w:lvlText w:val="%1.%2.%3"/>
      <w:lvlJc w:val="left"/>
      <w:pPr>
        <w:tabs>
          <w:tab w:val="left" w:pos="1129"/>
        </w:tabs>
        <w:ind w:left="1129" w:hanging="709"/>
      </w:pPr>
      <w:rPr>
        <w:rFonts w:hint="eastAsia" w:ascii="宋体" w:hAnsi="宋体" w:eastAsia="宋体" w:cs="宋体"/>
      </w:rPr>
    </w:lvl>
    <w:lvl w:ilvl="3" w:tentative="0">
      <w:start w:val="1"/>
      <w:numFmt w:val="decimal"/>
      <w:lvlText w:val="%1.%2.%3.%4"/>
      <w:lvlJc w:val="left"/>
      <w:pPr>
        <w:tabs>
          <w:tab w:val="left" w:pos="1271"/>
        </w:tabs>
        <w:ind w:left="1271" w:hanging="851"/>
      </w:pPr>
      <w:rPr>
        <w:rFonts w:hint="eastAsia" w:ascii="宋体" w:hAnsi="宋体" w:eastAsia="宋体" w:cs="宋体"/>
      </w:rPr>
    </w:lvl>
    <w:lvl w:ilvl="4" w:tentative="0">
      <w:start w:val="1"/>
      <w:numFmt w:val="decimal"/>
      <w:lvlText w:val="%1.%2.%3.%4.%5"/>
      <w:lvlJc w:val="left"/>
      <w:pPr>
        <w:tabs>
          <w:tab w:val="left" w:pos="1412"/>
        </w:tabs>
        <w:ind w:left="1412" w:hanging="992"/>
      </w:pPr>
      <w:rPr>
        <w:rFonts w:hint="eastAsia" w:ascii="宋体" w:hAnsi="宋体" w:eastAsia="宋体" w:cs="宋体"/>
      </w:rPr>
    </w:lvl>
    <w:lvl w:ilvl="5" w:tentative="0">
      <w:start w:val="1"/>
      <w:numFmt w:val="decimal"/>
      <w:lvlText w:val="%1.%2.%3.%4.%5.%6."/>
      <w:lvlJc w:val="left"/>
      <w:pPr>
        <w:tabs>
          <w:tab w:val="left" w:pos="1554"/>
        </w:tabs>
        <w:ind w:left="1554" w:hanging="1134"/>
      </w:pPr>
      <w:rPr>
        <w:rFonts w:hint="eastAsia" w:ascii="宋体" w:hAnsi="宋体" w:eastAsia="宋体" w:cs="宋体"/>
      </w:rPr>
    </w:lvl>
    <w:lvl w:ilvl="6" w:tentative="0">
      <w:start w:val="1"/>
      <w:numFmt w:val="decimal"/>
      <w:lvlText w:val="%1.%2.%3.%4.%5.%6.%7."/>
      <w:lvlJc w:val="left"/>
      <w:pPr>
        <w:tabs>
          <w:tab w:val="left" w:pos="1696"/>
        </w:tabs>
        <w:ind w:left="1696" w:hanging="1276"/>
      </w:pPr>
      <w:rPr>
        <w:rFonts w:hint="eastAsia" w:ascii="宋体" w:hAnsi="宋体" w:eastAsia="宋体" w:cs="宋体"/>
      </w:rPr>
    </w:lvl>
    <w:lvl w:ilvl="7" w:tentative="0">
      <w:start w:val="1"/>
      <w:numFmt w:val="decimal"/>
      <w:lvlText w:val="%1.%2.%3.%4.%5.%6.%7.%8."/>
      <w:lvlJc w:val="left"/>
      <w:pPr>
        <w:tabs>
          <w:tab w:val="left" w:pos="1838"/>
        </w:tabs>
        <w:ind w:left="1838" w:hanging="1418"/>
      </w:pPr>
      <w:rPr>
        <w:rFonts w:hint="eastAsia" w:ascii="宋体" w:hAnsi="宋体" w:eastAsia="宋体" w:cs="宋体"/>
      </w:rPr>
    </w:lvl>
    <w:lvl w:ilvl="8" w:tentative="0">
      <w:start w:val="1"/>
      <w:numFmt w:val="decimal"/>
      <w:lvlText w:val="%1.%2.%3.%4.%5.%6.%7.%8.%9."/>
      <w:lvlJc w:val="left"/>
      <w:pPr>
        <w:tabs>
          <w:tab w:val="left" w:pos="1979"/>
        </w:tabs>
        <w:ind w:left="1979" w:hanging="1559"/>
      </w:pPr>
      <w:rPr>
        <w:rFonts w:hint="eastAsia" w:ascii="宋体" w:hAnsi="宋体" w:eastAsia="宋体" w:cs="宋体"/>
      </w:rPr>
    </w:lvl>
  </w:abstractNum>
  <w:abstractNum w:abstractNumId="7">
    <w:nsid w:val="00000014"/>
    <w:multiLevelType w:val="multilevel"/>
    <w:tmpl w:val="00000014"/>
    <w:lvl w:ilvl="0" w:tentative="0">
      <w:start w:val="1"/>
      <w:numFmt w:val="decimal"/>
      <w:suff w:val="space"/>
      <w:lvlText w:val="18.%1"/>
      <w:lvlJc w:val="left"/>
      <w:pPr>
        <w:tabs>
          <w:tab w:val="left" w:pos="0"/>
        </w:tabs>
        <w:ind w:left="425" w:firstLine="142"/>
      </w:pPr>
      <w:rPr>
        <w:rFonts w:hint="eastAsia" w:ascii="宋体" w:hAnsi="宋体" w:eastAsia="宋体" w:cs="宋体"/>
      </w:rPr>
    </w:lvl>
    <w:lvl w:ilvl="1" w:tentative="0">
      <w:start w:val="1"/>
      <w:numFmt w:val="decimal"/>
      <w:suff w:val="space"/>
      <w:lvlText w:val="%2"/>
      <w:lvlJc w:val="left"/>
      <w:pPr>
        <w:tabs>
          <w:tab w:val="left" w:pos="0"/>
        </w:tabs>
        <w:ind w:left="0" w:firstLine="567"/>
      </w:pPr>
      <w:rPr>
        <w:rFonts w:hint="eastAsia" w:ascii="宋体" w:hAnsi="宋体" w:eastAsia="宋体" w:cs="宋体"/>
        <w:b w:val="0"/>
        <w:i w:val="0"/>
      </w:rPr>
    </w:lvl>
    <w:lvl w:ilvl="2" w:tentative="0">
      <w:start w:val="1"/>
      <w:numFmt w:val="decimal"/>
      <w:isLgl/>
      <w:suff w:val="nothing"/>
      <w:lvlText w:val="%2.%3"/>
      <w:lvlJc w:val="left"/>
      <w:pPr>
        <w:tabs>
          <w:tab w:val="left" w:pos="0"/>
        </w:tabs>
        <w:ind w:left="0" w:firstLine="567"/>
      </w:pPr>
      <w:rPr>
        <w:rFonts w:hint="eastAsia" w:ascii="宋体" w:hAnsi="宋体" w:eastAsia="宋体" w:cs="宋体"/>
        <w:b w:val="0"/>
      </w:rPr>
    </w:lvl>
    <w:lvl w:ilvl="3" w:tentative="0">
      <w:start w:val="1"/>
      <w:numFmt w:val="decimal"/>
      <w:suff w:val="nothing"/>
      <w:lvlText w:val="%2.%3.%4"/>
      <w:lvlJc w:val="left"/>
      <w:pPr>
        <w:tabs>
          <w:tab w:val="left" w:pos="0"/>
        </w:tabs>
        <w:ind w:left="0" w:firstLine="567"/>
      </w:pPr>
      <w:rPr>
        <w:rFonts w:hint="default" w:ascii="Times New Roman" w:hAnsi="Times New Roman" w:cs="Times New Roman"/>
      </w:rPr>
    </w:lvl>
    <w:lvl w:ilvl="4" w:tentative="0">
      <w:start w:val="1"/>
      <w:numFmt w:val="decimal"/>
      <w:lvlText w:val="%1.%2.%3.%4.%5"/>
      <w:lvlJc w:val="left"/>
      <w:pPr>
        <w:tabs>
          <w:tab w:val="left" w:pos="2551"/>
        </w:tabs>
        <w:ind w:left="2551" w:hanging="850"/>
      </w:pPr>
      <w:rPr>
        <w:rFonts w:hint="eastAsia" w:ascii="宋体" w:hAnsi="宋体" w:eastAsia="宋体" w:cs="宋体"/>
      </w:rPr>
    </w:lvl>
    <w:lvl w:ilvl="5" w:tentative="0">
      <w:start w:val="1"/>
      <w:numFmt w:val="decimal"/>
      <w:lvlText w:val="%1.%2.%3.%4.%5.%6"/>
      <w:lvlJc w:val="left"/>
      <w:pPr>
        <w:tabs>
          <w:tab w:val="left" w:pos="3260"/>
        </w:tabs>
        <w:ind w:left="3260" w:hanging="1134"/>
      </w:pPr>
      <w:rPr>
        <w:rFonts w:hint="eastAsia" w:ascii="宋体" w:hAnsi="宋体" w:eastAsia="宋体" w:cs="宋体"/>
      </w:rPr>
    </w:lvl>
    <w:lvl w:ilvl="6" w:tentative="0">
      <w:start w:val="1"/>
      <w:numFmt w:val="decimal"/>
      <w:lvlText w:val="%1.%2.%3.%4.%5.%6.%7"/>
      <w:lvlJc w:val="left"/>
      <w:pPr>
        <w:tabs>
          <w:tab w:val="left" w:pos="3827"/>
        </w:tabs>
        <w:ind w:left="3827" w:hanging="1276"/>
      </w:pPr>
      <w:rPr>
        <w:rFonts w:hint="eastAsia" w:ascii="宋体" w:hAnsi="宋体" w:eastAsia="宋体" w:cs="宋体"/>
      </w:rPr>
    </w:lvl>
    <w:lvl w:ilvl="7" w:tentative="0">
      <w:start w:val="1"/>
      <w:numFmt w:val="decimal"/>
      <w:lvlText w:val="%1.%2.%3.%4.%5.%6.%7.%8"/>
      <w:lvlJc w:val="left"/>
      <w:pPr>
        <w:tabs>
          <w:tab w:val="left" w:pos="4394"/>
        </w:tabs>
        <w:ind w:left="4394" w:hanging="1418"/>
      </w:pPr>
      <w:rPr>
        <w:rFonts w:hint="eastAsia" w:ascii="宋体" w:hAnsi="宋体" w:eastAsia="宋体" w:cs="宋体"/>
      </w:rPr>
    </w:lvl>
    <w:lvl w:ilvl="8" w:tentative="0">
      <w:start w:val="1"/>
      <w:numFmt w:val="decimal"/>
      <w:lvlText w:val="%1.%2.%3.%4.%5.%6.%7.%8.%9"/>
      <w:lvlJc w:val="left"/>
      <w:pPr>
        <w:tabs>
          <w:tab w:val="left" w:pos="5102"/>
        </w:tabs>
        <w:ind w:left="5102" w:hanging="1700"/>
      </w:pPr>
      <w:rPr>
        <w:rFonts w:hint="eastAsia" w:ascii="宋体" w:hAnsi="宋体" w:eastAsia="宋体" w:cs="宋体"/>
      </w:rPr>
    </w:lvl>
  </w:abstractNum>
  <w:abstractNum w:abstractNumId="8">
    <w:nsid w:val="036C06B5"/>
    <w:multiLevelType w:val="multilevel"/>
    <w:tmpl w:val="036C06B5"/>
    <w:lvl w:ilvl="0" w:tentative="0">
      <w:start w:val="1"/>
      <w:numFmt w:val="bullet"/>
      <w:pStyle w:val="40"/>
      <w:lvlText w:val=""/>
      <w:lvlJc w:val="left"/>
      <w:pPr>
        <w:tabs>
          <w:tab w:val="left" w:pos="587"/>
        </w:tabs>
        <w:ind w:left="0" w:firstLine="227"/>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1CBB7A8C"/>
    <w:multiLevelType w:val="multilevel"/>
    <w:tmpl w:val="1CBB7A8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9391921"/>
    <w:multiLevelType w:val="singleLevel"/>
    <w:tmpl w:val="29391921"/>
    <w:lvl w:ilvl="0" w:tentative="0">
      <w:start w:val="1"/>
      <w:numFmt w:val="decimal"/>
      <w:suff w:val="nothing"/>
      <w:lvlText w:val="%1、"/>
      <w:lvlJc w:val="left"/>
    </w:lvl>
  </w:abstractNum>
  <w:abstractNum w:abstractNumId="11">
    <w:nsid w:val="3F5162E2"/>
    <w:multiLevelType w:val="multilevel"/>
    <w:tmpl w:val="3F5162E2"/>
    <w:lvl w:ilvl="0" w:tentative="0">
      <w:start w:val="1"/>
      <w:numFmt w:val="decimal"/>
      <w:suff w:val="space"/>
      <w:lvlText w:val="第%1章"/>
      <w:lvlJc w:val="left"/>
      <w:pPr>
        <w:ind w:left="0" w:firstLine="0"/>
      </w:pPr>
      <w:rPr>
        <w:rFonts w:hint="eastAsia" w:ascii="宋体" w:eastAsia="宋体" w:cs="Times New Roman"/>
        <w:b/>
        <w:bCs w:val="0"/>
        <w:i w:val="0"/>
        <w:iCs w:val="0"/>
        <w:caps w:val="0"/>
        <w:smallCaps w:val="0"/>
        <w:strike w:val="0"/>
        <w:dstrike w:val="0"/>
        <w:vanish w:val="0"/>
        <w:color w:val="000000"/>
        <w:spacing w:val="0"/>
        <w:kern w:val="0"/>
        <w:position w:val="0"/>
        <w:sz w:val="36"/>
        <w:u w:val="none"/>
        <w:vertAlign w:val="baseline"/>
      </w:rPr>
    </w:lvl>
    <w:lvl w:ilvl="1" w:tentative="0">
      <w:start w:val="1"/>
      <w:numFmt w:val="decimal"/>
      <w:pStyle w:val="5"/>
      <w:suff w:val="space"/>
      <w:lvlText w:val="%1.%2"/>
      <w:lvlJc w:val="left"/>
      <w:pPr>
        <w:ind w:left="0" w:firstLine="0"/>
      </w:pPr>
      <w:rPr>
        <w:rFonts w:hint="eastAsia" w:ascii="宋体" w:hAnsi="Times New Roman" w:eastAsia="宋体" w:cs="Times New Roman"/>
        <w:b/>
        <w:bCs w:val="0"/>
        <w:i w:val="0"/>
        <w:iCs w:val="0"/>
        <w:caps w:val="0"/>
        <w:smallCaps w:val="0"/>
        <w:strike w:val="0"/>
        <w:dstrike w:val="0"/>
        <w:vanish w:val="0"/>
        <w:color w:val="000000"/>
        <w:spacing w:val="0"/>
        <w:kern w:val="0"/>
        <w:position w:val="0"/>
        <w:sz w:val="32"/>
        <w:u w:val="none"/>
        <w:vertAlign w:val="baseline"/>
      </w:rPr>
    </w:lvl>
    <w:lvl w:ilvl="2" w:tentative="0">
      <w:start w:val="1"/>
      <w:numFmt w:val="decimal"/>
      <w:suff w:val="space"/>
      <w:lvlText w:val="%1.%2.%3"/>
      <w:lvlJc w:val="left"/>
      <w:pPr>
        <w:ind w:left="0" w:firstLine="0"/>
      </w:pPr>
      <w:rPr>
        <w:rFonts w:hint="eastAsia" w:ascii="宋体" w:eastAsia="宋体"/>
        <w:b/>
        <w:bCs w:val="0"/>
        <w:i w:val="0"/>
        <w:iCs w:val="0"/>
        <w:caps w:val="0"/>
        <w:smallCaps w:val="0"/>
        <w:strike w:val="0"/>
        <w:dstrike w:val="0"/>
        <w:vanish w:val="0"/>
        <w:color w:val="000000"/>
        <w:spacing w:val="0"/>
        <w:position w:val="0"/>
        <w:sz w:val="30"/>
        <w:u w:val="none"/>
        <w:vertAlign w:val="baseline"/>
      </w:rPr>
    </w:lvl>
    <w:lvl w:ilvl="3" w:tentative="0">
      <w:start w:val="1"/>
      <w:numFmt w:val="decimal"/>
      <w:pStyle w:val="7"/>
      <w:suff w:val="space"/>
      <w:lvlText w:val="%1.%2.%3.%4"/>
      <w:lvlJc w:val="left"/>
      <w:pPr>
        <w:ind w:left="0" w:firstLine="0"/>
      </w:pPr>
      <w:rPr>
        <w:b w:val="0"/>
        <w:bCs w:val="0"/>
        <w:i w:val="0"/>
        <w:iCs w:val="0"/>
        <w:caps w:val="0"/>
        <w:smallCaps w:val="0"/>
        <w:strike w:val="0"/>
        <w:dstrike w:val="0"/>
        <w:vanish w:val="0"/>
        <w:color w:val="000000"/>
        <w:spacing w:val="0"/>
        <w:position w:val="0"/>
        <w:u w:val="none"/>
        <w:vertAlign w:val="baseline"/>
      </w:rPr>
    </w:lvl>
    <w:lvl w:ilvl="4" w:tentative="0">
      <w:start w:val="1"/>
      <w:numFmt w:val="decimal"/>
      <w:pStyle w:val="8"/>
      <w:suff w:val="space"/>
      <w:lvlText w:val="%1.%2.%3.%4.%5"/>
      <w:lvlJc w:val="left"/>
      <w:pPr>
        <w:ind w:left="0" w:firstLine="0"/>
      </w:pPr>
      <w:rPr>
        <w:rFonts w:hint="eastAsia" w:ascii="宋体" w:hAnsi="Times New Roman" w:eastAsia="宋体" w:cs="Times New Roman"/>
        <w:b/>
        <w:bCs w:val="0"/>
        <w:i w:val="0"/>
        <w:iCs w:val="0"/>
        <w:caps w:val="0"/>
        <w:smallCaps w:val="0"/>
        <w:strike w:val="0"/>
        <w:dstrike w:val="0"/>
        <w:vanish w:val="0"/>
        <w:color w:val="000000"/>
        <w:spacing w:val="0"/>
        <w:position w:val="0"/>
        <w:sz w:val="24"/>
        <w:u w:val="none"/>
        <w:vertAlign w:val="baseline"/>
      </w:rPr>
    </w:lvl>
    <w:lvl w:ilvl="5" w:tentative="0">
      <w:start w:val="1"/>
      <w:numFmt w:val="decimal"/>
      <w:pStyle w:val="9"/>
      <w:lvlText w:val="%1.%2.%3.%4.%5.%6."/>
      <w:lvlJc w:val="left"/>
      <w:pPr>
        <w:tabs>
          <w:tab w:val="left" w:pos="432"/>
        </w:tabs>
        <w:ind w:left="0" w:firstLine="0"/>
      </w:pPr>
      <w:rPr>
        <w:rFonts w:hint="default" w:ascii="Arial" w:hAnsi="Arial" w:eastAsia="仿宋"/>
      </w:rPr>
    </w:lvl>
    <w:lvl w:ilvl="6" w:tentative="0">
      <w:start w:val="1"/>
      <w:numFmt w:val="decimal"/>
      <w:lvlText w:val="%1.%2.%3.%4.%5.%6.%7."/>
      <w:lvlJc w:val="left"/>
      <w:pPr>
        <w:tabs>
          <w:tab w:val="left" w:pos="432"/>
        </w:tabs>
        <w:ind w:left="0" w:firstLine="0"/>
      </w:pPr>
      <w:rPr>
        <w:rFonts w:hint="default"/>
      </w:rPr>
    </w:lvl>
    <w:lvl w:ilvl="7" w:tentative="0">
      <w:start w:val="1"/>
      <w:numFmt w:val="decimal"/>
      <w:lvlText w:val="%1.%2.%3.%4.%5.%6.%7.%8."/>
      <w:lvlJc w:val="left"/>
      <w:pPr>
        <w:tabs>
          <w:tab w:val="left" w:pos="432"/>
        </w:tabs>
        <w:ind w:left="0" w:firstLine="0"/>
      </w:pPr>
      <w:rPr>
        <w:rFonts w:hint="default"/>
      </w:rPr>
    </w:lvl>
    <w:lvl w:ilvl="8" w:tentative="0">
      <w:start w:val="1"/>
      <w:numFmt w:val="decimal"/>
      <w:lvlText w:val="%1.%2.%3.%4.%5.%6.%7.%8.%9."/>
      <w:lvlJc w:val="left"/>
      <w:pPr>
        <w:tabs>
          <w:tab w:val="left" w:pos="432"/>
        </w:tabs>
        <w:ind w:left="0" w:firstLine="0"/>
      </w:pPr>
      <w:rPr>
        <w:rFonts w:hint="default"/>
      </w:rPr>
    </w:lvl>
  </w:abstractNum>
  <w:abstractNum w:abstractNumId="12">
    <w:nsid w:val="46B96B19"/>
    <w:multiLevelType w:val="singleLevel"/>
    <w:tmpl w:val="46B96B19"/>
    <w:lvl w:ilvl="0" w:tentative="0">
      <w:start w:val="1"/>
      <w:numFmt w:val="chineseCounting"/>
      <w:suff w:val="nothing"/>
      <w:lvlText w:val="（%1）"/>
      <w:lvlJc w:val="left"/>
      <w:rPr>
        <w:rFonts w:hint="eastAsia"/>
      </w:rPr>
    </w:lvl>
  </w:abstractNum>
  <w:abstractNum w:abstractNumId="13">
    <w:nsid w:val="4DE019BF"/>
    <w:multiLevelType w:val="singleLevel"/>
    <w:tmpl w:val="4DE019BF"/>
    <w:lvl w:ilvl="0" w:tentative="0">
      <w:start w:val="1"/>
      <w:numFmt w:val="decimal"/>
      <w:suff w:val="nothing"/>
      <w:lvlText w:val="（%1）"/>
      <w:lvlJc w:val="left"/>
    </w:lvl>
  </w:abstractNum>
  <w:abstractNum w:abstractNumId="14">
    <w:nsid w:val="54F403B5"/>
    <w:multiLevelType w:val="singleLevel"/>
    <w:tmpl w:val="54F403B5"/>
    <w:lvl w:ilvl="0" w:tentative="0">
      <w:start w:val="1"/>
      <w:numFmt w:val="chineseCounting"/>
      <w:suff w:val="nothing"/>
      <w:lvlText w:val="%1、"/>
      <w:lvlJc w:val="left"/>
    </w:lvl>
  </w:abstractNum>
  <w:abstractNum w:abstractNumId="15">
    <w:nsid w:val="557FD3DA"/>
    <w:multiLevelType w:val="singleLevel"/>
    <w:tmpl w:val="557FD3DA"/>
    <w:lvl w:ilvl="0" w:tentative="0">
      <w:start w:val="3"/>
      <w:numFmt w:val="chineseCounting"/>
      <w:suff w:val="nothing"/>
      <w:lvlText w:val="%1、"/>
      <w:lvlJc w:val="left"/>
    </w:lvl>
  </w:abstractNum>
  <w:abstractNum w:abstractNumId="16">
    <w:nsid w:val="6DD43F91"/>
    <w:multiLevelType w:val="multilevel"/>
    <w:tmpl w:val="6DD43F9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7">
    <w:nsid w:val="71A4D0B4"/>
    <w:multiLevelType w:val="singleLevel"/>
    <w:tmpl w:val="71A4D0B4"/>
    <w:lvl w:ilvl="0" w:tentative="0">
      <w:start w:val="1"/>
      <w:numFmt w:val="bullet"/>
      <w:lvlText w:val=""/>
      <w:lvlJc w:val="left"/>
      <w:pPr>
        <w:ind w:left="420" w:hanging="420"/>
      </w:pPr>
      <w:rPr>
        <w:rFonts w:hint="default" w:ascii="Wingdings" w:hAnsi="Wingdings"/>
      </w:rPr>
    </w:lvl>
  </w:abstractNum>
  <w:abstractNum w:abstractNumId="18">
    <w:nsid w:val="71AA59D9"/>
    <w:multiLevelType w:val="multilevel"/>
    <w:tmpl w:val="71AA59D9"/>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9">
    <w:nsid w:val="78BCAACF"/>
    <w:multiLevelType w:val="singleLevel"/>
    <w:tmpl w:val="78BCAACF"/>
    <w:lvl w:ilvl="0" w:tentative="0">
      <w:start w:val="1"/>
      <w:numFmt w:val="bullet"/>
      <w:lvlText w:val=""/>
      <w:lvlJc w:val="left"/>
      <w:pPr>
        <w:ind w:left="420" w:hanging="420"/>
      </w:pPr>
      <w:rPr>
        <w:rFonts w:hint="default" w:ascii="Wingdings" w:hAnsi="Wingdings"/>
      </w:rPr>
    </w:lvl>
  </w:abstractNum>
  <w:abstractNum w:abstractNumId="20">
    <w:nsid w:val="7F6053CB"/>
    <w:multiLevelType w:val="multilevel"/>
    <w:tmpl w:val="7F6053CB"/>
    <w:lvl w:ilvl="0" w:tentative="0">
      <w:start w:val="1"/>
      <w:numFmt w:val="decimal"/>
      <w:lvlText w:val="第 %1 条"/>
      <w:lvlJc w:val="center"/>
      <w:pPr>
        <w:tabs>
          <w:tab w:val="left" w:pos="3420"/>
        </w:tabs>
        <w:ind w:left="2581" w:firstLine="119"/>
      </w:pPr>
      <w:rPr>
        <w:rFonts w:hint="default" w:ascii="Times New Roman" w:hAnsi="Times New Roman" w:eastAsia="宋体" w:cs="Times New Roman"/>
        <w:b/>
        <w:i w:val="0"/>
        <w:sz w:val="30"/>
      </w:rPr>
    </w:lvl>
    <w:lvl w:ilvl="1" w:tentative="0">
      <w:start w:val="1"/>
      <w:numFmt w:val="decimal"/>
      <w:lvlText w:val="%1.%2"/>
      <w:lvlJc w:val="left"/>
      <w:pPr>
        <w:tabs>
          <w:tab w:val="left" w:pos="624"/>
        </w:tabs>
        <w:ind w:left="624" w:hanging="624"/>
      </w:pPr>
      <w:rPr>
        <w:rFonts w:hint="default" w:ascii="Times New Roman" w:hAnsi="Times New Roman" w:eastAsia="宋体" w:cs="Times New Roman"/>
        <w:b/>
        <w:i w:val="0"/>
        <w:sz w:val="28"/>
        <w:szCs w:val="28"/>
      </w:rPr>
    </w:lvl>
    <w:lvl w:ilvl="2" w:tentative="0">
      <w:start w:val="1"/>
      <w:numFmt w:val="decimal"/>
      <w:pStyle w:val="6"/>
      <w:suff w:val="space"/>
      <w:lvlText w:val="%1.%2.%3"/>
      <w:lvlJc w:val="left"/>
      <w:rPr>
        <w:rFonts w:hint="default" w:ascii="Times New Roman" w:hAnsi="Times New Roman" w:eastAsia="宋体" w:cs="Times New Roman"/>
        <w:b w:val="0"/>
        <w:i w:val="0"/>
        <w:sz w:val="24"/>
        <w:szCs w:val="24"/>
      </w:rPr>
    </w:lvl>
    <w:lvl w:ilvl="3" w:tentative="0">
      <w:start w:val="1"/>
      <w:numFmt w:val="lowerLetter"/>
      <w:lvlText w:val="（%4）"/>
      <w:lvlJc w:val="left"/>
      <w:pPr>
        <w:tabs>
          <w:tab w:val="left" w:pos="1006"/>
        </w:tabs>
        <w:ind w:left="1006" w:hanging="864"/>
      </w:pPr>
      <w:rPr>
        <w:rFonts w:hint="eastAsia" w:cs="Times New Roman"/>
      </w:rPr>
    </w:lvl>
    <w:lvl w:ilvl="4" w:tentative="0">
      <w:start w:val="1"/>
      <w:numFmt w:val="lowerRoman"/>
      <w:lvlText w:val="（%5）"/>
      <w:lvlJc w:val="left"/>
      <w:pPr>
        <w:tabs>
          <w:tab w:val="left" w:pos="720"/>
        </w:tabs>
        <w:ind w:left="720" w:hanging="1008"/>
      </w:pPr>
      <w:rPr>
        <w:rFonts w:hint="eastAsia" w:cs="Times New Roman"/>
        <w:color w:val="auto"/>
      </w:rPr>
    </w:lvl>
    <w:lvl w:ilvl="5" w:tentative="0">
      <w:start w:val="1"/>
      <w:numFmt w:val="decimal"/>
      <w:lvlText w:val="%1.%2.%3.%4.%5.%6"/>
      <w:lvlJc w:val="left"/>
      <w:pPr>
        <w:tabs>
          <w:tab w:val="left" w:pos="864"/>
        </w:tabs>
        <w:ind w:left="864" w:hanging="1152"/>
      </w:pPr>
      <w:rPr>
        <w:rFonts w:hint="eastAsia" w:cs="Times New Roman"/>
      </w:rPr>
    </w:lvl>
    <w:lvl w:ilvl="6" w:tentative="0">
      <w:start w:val="1"/>
      <w:numFmt w:val="decimal"/>
      <w:lvlText w:val="%1.%2.%3.%4.%5.%6.%7"/>
      <w:lvlJc w:val="left"/>
      <w:pPr>
        <w:tabs>
          <w:tab w:val="left" w:pos="1008"/>
        </w:tabs>
        <w:ind w:left="1008" w:hanging="1296"/>
      </w:pPr>
      <w:rPr>
        <w:rFonts w:hint="eastAsia" w:cs="Times New Roman"/>
      </w:rPr>
    </w:lvl>
    <w:lvl w:ilvl="7" w:tentative="0">
      <w:start w:val="1"/>
      <w:numFmt w:val="decimal"/>
      <w:lvlText w:val="%1.%2.%3.%4.%5.%6.%7.%8"/>
      <w:lvlJc w:val="left"/>
      <w:pPr>
        <w:tabs>
          <w:tab w:val="left" w:pos="1152"/>
        </w:tabs>
        <w:ind w:left="1152" w:hanging="1440"/>
      </w:pPr>
      <w:rPr>
        <w:rFonts w:hint="eastAsia" w:cs="Times New Roman"/>
      </w:rPr>
    </w:lvl>
    <w:lvl w:ilvl="8" w:tentative="0">
      <w:start w:val="1"/>
      <w:numFmt w:val="decimal"/>
      <w:lvlText w:val="%1.%2.%3.%4.%5.%6.%7.%8.%9"/>
      <w:lvlJc w:val="left"/>
      <w:pPr>
        <w:tabs>
          <w:tab w:val="left" w:pos="1296"/>
        </w:tabs>
        <w:ind w:left="1296" w:hanging="1584"/>
      </w:pPr>
      <w:rPr>
        <w:rFonts w:hint="eastAsia" w:cs="Times New Roman"/>
      </w:rPr>
    </w:lvl>
  </w:abstractNum>
  <w:num w:numId="1">
    <w:abstractNumId w:val="11"/>
  </w:num>
  <w:num w:numId="2">
    <w:abstractNumId w:val="20"/>
  </w:num>
  <w:num w:numId="3">
    <w:abstractNumId w:val="8"/>
  </w:num>
  <w:num w:numId="4">
    <w:abstractNumId w:val="4"/>
  </w:num>
  <w:num w:numId="5">
    <w:abstractNumId w:val="1"/>
  </w:num>
  <w:num w:numId="6">
    <w:abstractNumId w:val="3"/>
  </w:num>
  <w:num w:numId="7">
    <w:abstractNumId w:val="12"/>
  </w:num>
  <w:num w:numId="8">
    <w:abstractNumId w:val="2"/>
  </w:num>
  <w:num w:numId="9">
    <w:abstractNumId w:val="19"/>
  </w:num>
  <w:num w:numId="10">
    <w:abstractNumId w:val="13"/>
  </w:num>
  <w:num w:numId="11">
    <w:abstractNumId w:val="17"/>
  </w:num>
  <w:num w:numId="12">
    <w:abstractNumId w:val="9"/>
  </w:num>
  <w:num w:numId="13">
    <w:abstractNumId w:val="16"/>
  </w:num>
  <w:num w:numId="14">
    <w:abstractNumId w:val="18"/>
  </w:num>
  <w:num w:numId="15">
    <w:abstractNumId w:val="6"/>
  </w:num>
  <w:num w:numId="16">
    <w:abstractNumId w:val="7"/>
  </w:num>
  <w:num w:numId="17">
    <w:abstractNumId w:val="5"/>
  </w:num>
  <w:num w:numId="18">
    <w:abstractNumId w:val="0"/>
  </w:num>
  <w:num w:numId="19">
    <w:abstractNumId w:val="10"/>
  </w:num>
  <w:num w:numId="20">
    <w:abstractNumId w:val="1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mZDgwYTAwMmNkZTk1MDdkOTg1Y2RjZjRhZGU3ZTcifQ=="/>
  </w:docVars>
  <w:rsids>
    <w:rsidRoot w:val="353B09A0"/>
    <w:rsid w:val="00010167"/>
    <w:rsid w:val="00050887"/>
    <w:rsid w:val="000C0881"/>
    <w:rsid w:val="000D5711"/>
    <w:rsid w:val="00133793"/>
    <w:rsid w:val="001E44E9"/>
    <w:rsid w:val="001F0A21"/>
    <w:rsid w:val="002012CF"/>
    <w:rsid w:val="00220AEB"/>
    <w:rsid w:val="002F659C"/>
    <w:rsid w:val="00311BBD"/>
    <w:rsid w:val="00387A77"/>
    <w:rsid w:val="003D3AFA"/>
    <w:rsid w:val="003D7267"/>
    <w:rsid w:val="003F3B8C"/>
    <w:rsid w:val="00410745"/>
    <w:rsid w:val="00476E27"/>
    <w:rsid w:val="004953CD"/>
    <w:rsid w:val="004C2990"/>
    <w:rsid w:val="004F7371"/>
    <w:rsid w:val="0050752C"/>
    <w:rsid w:val="005266E5"/>
    <w:rsid w:val="0053423F"/>
    <w:rsid w:val="0054401D"/>
    <w:rsid w:val="00566BDF"/>
    <w:rsid w:val="00580FE9"/>
    <w:rsid w:val="005A21F2"/>
    <w:rsid w:val="005C0C86"/>
    <w:rsid w:val="00611502"/>
    <w:rsid w:val="006554C5"/>
    <w:rsid w:val="006925B7"/>
    <w:rsid w:val="006D0562"/>
    <w:rsid w:val="006E1F52"/>
    <w:rsid w:val="007D3335"/>
    <w:rsid w:val="007F440E"/>
    <w:rsid w:val="00834467"/>
    <w:rsid w:val="008418E2"/>
    <w:rsid w:val="00853DF2"/>
    <w:rsid w:val="00877AE3"/>
    <w:rsid w:val="0088246D"/>
    <w:rsid w:val="0096056A"/>
    <w:rsid w:val="009A580A"/>
    <w:rsid w:val="009C6EFF"/>
    <w:rsid w:val="009E7CE8"/>
    <w:rsid w:val="00A27A5E"/>
    <w:rsid w:val="00A87849"/>
    <w:rsid w:val="00AC3364"/>
    <w:rsid w:val="00AF358D"/>
    <w:rsid w:val="00B27DE6"/>
    <w:rsid w:val="00B75848"/>
    <w:rsid w:val="00BB47C7"/>
    <w:rsid w:val="00BC3906"/>
    <w:rsid w:val="00C1486D"/>
    <w:rsid w:val="00C744D5"/>
    <w:rsid w:val="00C86FB1"/>
    <w:rsid w:val="00CD1554"/>
    <w:rsid w:val="00CD299C"/>
    <w:rsid w:val="00CE027E"/>
    <w:rsid w:val="00CF26B5"/>
    <w:rsid w:val="00D47403"/>
    <w:rsid w:val="00D6253C"/>
    <w:rsid w:val="00DE6E56"/>
    <w:rsid w:val="00E54E75"/>
    <w:rsid w:val="00E96B4D"/>
    <w:rsid w:val="00EC4A63"/>
    <w:rsid w:val="00ED00F4"/>
    <w:rsid w:val="00EF4B06"/>
    <w:rsid w:val="00EF5AA6"/>
    <w:rsid w:val="00F03396"/>
    <w:rsid w:val="00F04226"/>
    <w:rsid w:val="00F61C8B"/>
    <w:rsid w:val="00F671F2"/>
    <w:rsid w:val="00F811DC"/>
    <w:rsid w:val="00FD1419"/>
    <w:rsid w:val="0114328C"/>
    <w:rsid w:val="012F43BC"/>
    <w:rsid w:val="01490498"/>
    <w:rsid w:val="015E0189"/>
    <w:rsid w:val="01A26EDA"/>
    <w:rsid w:val="023201E5"/>
    <w:rsid w:val="0250246E"/>
    <w:rsid w:val="026A1835"/>
    <w:rsid w:val="02A50652"/>
    <w:rsid w:val="02BA7CB2"/>
    <w:rsid w:val="02D83141"/>
    <w:rsid w:val="039743BD"/>
    <w:rsid w:val="03B170D7"/>
    <w:rsid w:val="03BF38F8"/>
    <w:rsid w:val="0499408B"/>
    <w:rsid w:val="04D64A5B"/>
    <w:rsid w:val="04DB088C"/>
    <w:rsid w:val="054962B1"/>
    <w:rsid w:val="054A3CDD"/>
    <w:rsid w:val="059E1B13"/>
    <w:rsid w:val="05CB7098"/>
    <w:rsid w:val="061C371F"/>
    <w:rsid w:val="06581A11"/>
    <w:rsid w:val="066C4AE8"/>
    <w:rsid w:val="068D1B31"/>
    <w:rsid w:val="06D7299F"/>
    <w:rsid w:val="06DF3856"/>
    <w:rsid w:val="070F3358"/>
    <w:rsid w:val="074E2F45"/>
    <w:rsid w:val="07621A0E"/>
    <w:rsid w:val="076808DF"/>
    <w:rsid w:val="078A79B8"/>
    <w:rsid w:val="0793589F"/>
    <w:rsid w:val="07AF2977"/>
    <w:rsid w:val="08610AB4"/>
    <w:rsid w:val="08CC1F74"/>
    <w:rsid w:val="091A2635"/>
    <w:rsid w:val="0971652A"/>
    <w:rsid w:val="09A856C0"/>
    <w:rsid w:val="09B21497"/>
    <w:rsid w:val="09BC683E"/>
    <w:rsid w:val="09CD0D4C"/>
    <w:rsid w:val="0AB1779B"/>
    <w:rsid w:val="0B0B140F"/>
    <w:rsid w:val="0B0B42CE"/>
    <w:rsid w:val="0B0B7898"/>
    <w:rsid w:val="0B3B41AE"/>
    <w:rsid w:val="0B4B14E2"/>
    <w:rsid w:val="0B570DC0"/>
    <w:rsid w:val="0B835452"/>
    <w:rsid w:val="0C2648CE"/>
    <w:rsid w:val="0CCF22A8"/>
    <w:rsid w:val="0D392F32"/>
    <w:rsid w:val="0DBF0046"/>
    <w:rsid w:val="0DCB329C"/>
    <w:rsid w:val="0DDD6BA5"/>
    <w:rsid w:val="0DF53397"/>
    <w:rsid w:val="0DF5347F"/>
    <w:rsid w:val="0E2973AE"/>
    <w:rsid w:val="0E4479A7"/>
    <w:rsid w:val="0E5C7254"/>
    <w:rsid w:val="0EEE0020"/>
    <w:rsid w:val="0F330759"/>
    <w:rsid w:val="0F576A5B"/>
    <w:rsid w:val="0FA37038"/>
    <w:rsid w:val="107D60E2"/>
    <w:rsid w:val="10934FF1"/>
    <w:rsid w:val="10BA2DC3"/>
    <w:rsid w:val="10E5358A"/>
    <w:rsid w:val="113E1C9A"/>
    <w:rsid w:val="11724C1B"/>
    <w:rsid w:val="11A307CE"/>
    <w:rsid w:val="11EB1677"/>
    <w:rsid w:val="12240651"/>
    <w:rsid w:val="122E55B0"/>
    <w:rsid w:val="123B27D1"/>
    <w:rsid w:val="1265128C"/>
    <w:rsid w:val="12724F5E"/>
    <w:rsid w:val="127822B5"/>
    <w:rsid w:val="127C0BA7"/>
    <w:rsid w:val="12855389"/>
    <w:rsid w:val="128C7CD3"/>
    <w:rsid w:val="12E65181"/>
    <w:rsid w:val="130F1D20"/>
    <w:rsid w:val="13477CA5"/>
    <w:rsid w:val="136C6BDF"/>
    <w:rsid w:val="13DA6F8D"/>
    <w:rsid w:val="150948F0"/>
    <w:rsid w:val="15623A24"/>
    <w:rsid w:val="15BA49A3"/>
    <w:rsid w:val="15D3598F"/>
    <w:rsid w:val="15F26797"/>
    <w:rsid w:val="15F65792"/>
    <w:rsid w:val="16172D09"/>
    <w:rsid w:val="16E20B3E"/>
    <w:rsid w:val="170C6713"/>
    <w:rsid w:val="17886B7F"/>
    <w:rsid w:val="178D2675"/>
    <w:rsid w:val="17C931E2"/>
    <w:rsid w:val="17D901FF"/>
    <w:rsid w:val="17FA5F05"/>
    <w:rsid w:val="186033AF"/>
    <w:rsid w:val="18742154"/>
    <w:rsid w:val="18CE45EB"/>
    <w:rsid w:val="191331C3"/>
    <w:rsid w:val="1926721A"/>
    <w:rsid w:val="1A030941"/>
    <w:rsid w:val="1A475995"/>
    <w:rsid w:val="1A5C1A78"/>
    <w:rsid w:val="1A603624"/>
    <w:rsid w:val="1A9219FB"/>
    <w:rsid w:val="1AC403AE"/>
    <w:rsid w:val="1B6417B0"/>
    <w:rsid w:val="1B6672B1"/>
    <w:rsid w:val="1BD25B21"/>
    <w:rsid w:val="1BD4616D"/>
    <w:rsid w:val="1BFB0E3A"/>
    <w:rsid w:val="1C360827"/>
    <w:rsid w:val="1C4E37D5"/>
    <w:rsid w:val="1C6F209D"/>
    <w:rsid w:val="1CCE6D50"/>
    <w:rsid w:val="1CD42DAD"/>
    <w:rsid w:val="1D02315B"/>
    <w:rsid w:val="1D0F41FB"/>
    <w:rsid w:val="1D1642DD"/>
    <w:rsid w:val="1D263DB2"/>
    <w:rsid w:val="1D9527F4"/>
    <w:rsid w:val="1DAC3EB1"/>
    <w:rsid w:val="1DB71E03"/>
    <w:rsid w:val="1DF01E1B"/>
    <w:rsid w:val="1E283168"/>
    <w:rsid w:val="1E5A48B2"/>
    <w:rsid w:val="1EA02471"/>
    <w:rsid w:val="1F207806"/>
    <w:rsid w:val="1F6D7E0F"/>
    <w:rsid w:val="1FA34B10"/>
    <w:rsid w:val="1FAA0D66"/>
    <w:rsid w:val="1FAB57C7"/>
    <w:rsid w:val="200C7D9A"/>
    <w:rsid w:val="20954E1B"/>
    <w:rsid w:val="20B0193D"/>
    <w:rsid w:val="20D5104A"/>
    <w:rsid w:val="20F63892"/>
    <w:rsid w:val="20FB2DBF"/>
    <w:rsid w:val="210C5BD6"/>
    <w:rsid w:val="212A5F25"/>
    <w:rsid w:val="213F21C9"/>
    <w:rsid w:val="215556D8"/>
    <w:rsid w:val="21F04294"/>
    <w:rsid w:val="22126005"/>
    <w:rsid w:val="22573BE0"/>
    <w:rsid w:val="22751EDA"/>
    <w:rsid w:val="22AC723B"/>
    <w:rsid w:val="22C024C9"/>
    <w:rsid w:val="22C024D6"/>
    <w:rsid w:val="22FE7A36"/>
    <w:rsid w:val="23180FA5"/>
    <w:rsid w:val="236A7696"/>
    <w:rsid w:val="23E86965"/>
    <w:rsid w:val="24194909"/>
    <w:rsid w:val="242916BD"/>
    <w:rsid w:val="24B722DA"/>
    <w:rsid w:val="24D447A2"/>
    <w:rsid w:val="24F66F84"/>
    <w:rsid w:val="25122F37"/>
    <w:rsid w:val="253C60EE"/>
    <w:rsid w:val="25850719"/>
    <w:rsid w:val="25852A52"/>
    <w:rsid w:val="25C11E0D"/>
    <w:rsid w:val="267539C7"/>
    <w:rsid w:val="26A96D22"/>
    <w:rsid w:val="26C2749D"/>
    <w:rsid w:val="26EE5B38"/>
    <w:rsid w:val="27520EF9"/>
    <w:rsid w:val="27867423"/>
    <w:rsid w:val="27DA0525"/>
    <w:rsid w:val="27F714D0"/>
    <w:rsid w:val="27FA5B95"/>
    <w:rsid w:val="28022433"/>
    <w:rsid w:val="282969C9"/>
    <w:rsid w:val="282F096B"/>
    <w:rsid w:val="28350DE4"/>
    <w:rsid w:val="28BB57EB"/>
    <w:rsid w:val="292B19EC"/>
    <w:rsid w:val="293B74DB"/>
    <w:rsid w:val="295312BC"/>
    <w:rsid w:val="2971553E"/>
    <w:rsid w:val="29B923EA"/>
    <w:rsid w:val="2A3679BC"/>
    <w:rsid w:val="2AD7734B"/>
    <w:rsid w:val="2ADF1D9D"/>
    <w:rsid w:val="2B0A581E"/>
    <w:rsid w:val="2B0B1D57"/>
    <w:rsid w:val="2B177DCE"/>
    <w:rsid w:val="2B5920B8"/>
    <w:rsid w:val="2BCC1090"/>
    <w:rsid w:val="2BF738BD"/>
    <w:rsid w:val="2CDA1D47"/>
    <w:rsid w:val="2D4C3CE0"/>
    <w:rsid w:val="2D5770D8"/>
    <w:rsid w:val="2D732E94"/>
    <w:rsid w:val="2D932376"/>
    <w:rsid w:val="2E7A5E37"/>
    <w:rsid w:val="2E8214F4"/>
    <w:rsid w:val="2EC14403"/>
    <w:rsid w:val="2F10271C"/>
    <w:rsid w:val="2F402024"/>
    <w:rsid w:val="2F61609B"/>
    <w:rsid w:val="2FB861BB"/>
    <w:rsid w:val="2FBC6C5A"/>
    <w:rsid w:val="2FED6D35"/>
    <w:rsid w:val="301A4137"/>
    <w:rsid w:val="30347D23"/>
    <w:rsid w:val="303D3962"/>
    <w:rsid w:val="30EB1E14"/>
    <w:rsid w:val="314A4F02"/>
    <w:rsid w:val="316B1D43"/>
    <w:rsid w:val="317A53A8"/>
    <w:rsid w:val="31B97B44"/>
    <w:rsid w:val="31CF1BE6"/>
    <w:rsid w:val="324C48A1"/>
    <w:rsid w:val="325C0BDA"/>
    <w:rsid w:val="326D08D9"/>
    <w:rsid w:val="3275333C"/>
    <w:rsid w:val="32D0254E"/>
    <w:rsid w:val="32F77971"/>
    <w:rsid w:val="33297D43"/>
    <w:rsid w:val="3341251D"/>
    <w:rsid w:val="336D3397"/>
    <w:rsid w:val="33700CD4"/>
    <w:rsid w:val="337C40C7"/>
    <w:rsid w:val="34266E92"/>
    <w:rsid w:val="34324333"/>
    <w:rsid w:val="34795E8C"/>
    <w:rsid w:val="348F05CA"/>
    <w:rsid w:val="349D07B0"/>
    <w:rsid w:val="35346CAC"/>
    <w:rsid w:val="35377C4E"/>
    <w:rsid w:val="353B09A0"/>
    <w:rsid w:val="35830745"/>
    <w:rsid w:val="35D01034"/>
    <w:rsid w:val="35FA7F90"/>
    <w:rsid w:val="366156D0"/>
    <w:rsid w:val="36685CF0"/>
    <w:rsid w:val="36C7204F"/>
    <w:rsid w:val="372C602D"/>
    <w:rsid w:val="37781C9F"/>
    <w:rsid w:val="37830680"/>
    <w:rsid w:val="37C2268E"/>
    <w:rsid w:val="380D0AFB"/>
    <w:rsid w:val="383564BA"/>
    <w:rsid w:val="38651BCF"/>
    <w:rsid w:val="395D31FD"/>
    <w:rsid w:val="396B1830"/>
    <w:rsid w:val="39F77BE4"/>
    <w:rsid w:val="39F80C9A"/>
    <w:rsid w:val="3A357E2D"/>
    <w:rsid w:val="3A7727CD"/>
    <w:rsid w:val="3B654373"/>
    <w:rsid w:val="3B7721FE"/>
    <w:rsid w:val="3B7D3B4D"/>
    <w:rsid w:val="3BF51E1C"/>
    <w:rsid w:val="3C194C77"/>
    <w:rsid w:val="3C60135A"/>
    <w:rsid w:val="3C7A0F4B"/>
    <w:rsid w:val="3C862362"/>
    <w:rsid w:val="3CC20A2F"/>
    <w:rsid w:val="3CC82DB1"/>
    <w:rsid w:val="3CE24C9E"/>
    <w:rsid w:val="3CEB2B51"/>
    <w:rsid w:val="3D7C6A3A"/>
    <w:rsid w:val="3E047CEE"/>
    <w:rsid w:val="3E294DBF"/>
    <w:rsid w:val="3EBB30A6"/>
    <w:rsid w:val="3EC77396"/>
    <w:rsid w:val="3ED6123E"/>
    <w:rsid w:val="3F4F586A"/>
    <w:rsid w:val="3F8C3FE1"/>
    <w:rsid w:val="3F9F4A2D"/>
    <w:rsid w:val="3FA45105"/>
    <w:rsid w:val="3FAD1E21"/>
    <w:rsid w:val="3FAD3F2A"/>
    <w:rsid w:val="3FD31402"/>
    <w:rsid w:val="405522F8"/>
    <w:rsid w:val="408F561E"/>
    <w:rsid w:val="40C02A49"/>
    <w:rsid w:val="413D1610"/>
    <w:rsid w:val="41666E60"/>
    <w:rsid w:val="416D012D"/>
    <w:rsid w:val="419D5840"/>
    <w:rsid w:val="420144F6"/>
    <w:rsid w:val="424C451D"/>
    <w:rsid w:val="425C4F23"/>
    <w:rsid w:val="427C0176"/>
    <w:rsid w:val="428321E8"/>
    <w:rsid w:val="429E63C6"/>
    <w:rsid w:val="42BD5080"/>
    <w:rsid w:val="430E44A8"/>
    <w:rsid w:val="43191540"/>
    <w:rsid w:val="43C17374"/>
    <w:rsid w:val="43CF6DE7"/>
    <w:rsid w:val="43E511A3"/>
    <w:rsid w:val="43EC0FB3"/>
    <w:rsid w:val="44042918"/>
    <w:rsid w:val="444F05C1"/>
    <w:rsid w:val="44521FDF"/>
    <w:rsid w:val="447A1126"/>
    <w:rsid w:val="448031DF"/>
    <w:rsid w:val="449675BE"/>
    <w:rsid w:val="44982BA2"/>
    <w:rsid w:val="44F23662"/>
    <w:rsid w:val="44F57BCE"/>
    <w:rsid w:val="451203DC"/>
    <w:rsid w:val="451C58E6"/>
    <w:rsid w:val="456A0530"/>
    <w:rsid w:val="45841897"/>
    <w:rsid w:val="459578A3"/>
    <w:rsid w:val="45A30F67"/>
    <w:rsid w:val="45DA2D97"/>
    <w:rsid w:val="45E624DF"/>
    <w:rsid w:val="46347164"/>
    <w:rsid w:val="464130C1"/>
    <w:rsid w:val="46B93068"/>
    <w:rsid w:val="473B5AF9"/>
    <w:rsid w:val="4758493F"/>
    <w:rsid w:val="47601C34"/>
    <w:rsid w:val="47BA4CFD"/>
    <w:rsid w:val="47F21E53"/>
    <w:rsid w:val="482F37F3"/>
    <w:rsid w:val="48603B53"/>
    <w:rsid w:val="48A352F2"/>
    <w:rsid w:val="48A77517"/>
    <w:rsid w:val="48F81C9E"/>
    <w:rsid w:val="48FC4CE4"/>
    <w:rsid w:val="49082AA9"/>
    <w:rsid w:val="498E53FA"/>
    <w:rsid w:val="49A54C47"/>
    <w:rsid w:val="49F0775D"/>
    <w:rsid w:val="4A347F90"/>
    <w:rsid w:val="4A564D3D"/>
    <w:rsid w:val="4A5A5A80"/>
    <w:rsid w:val="4A622934"/>
    <w:rsid w:val="4A74000B"/>
    <w:rsid w:val="4A9265AB"/>
    <w:rsid w:val="4AD11C6E"/>
    <w:rsid w:val="4B3475A6"/>
    <w:rsid w:val="4B452887"/>
    <w:rsid w:val="4B747717"/>
    <w:rsid w:val="4BB6355F"/>
    <w:rsid w:val="4BBC5403"/>
    <w:rsid w:val="4BDA4C17"/>
    <w:rsid w:val="4BDF1A98"/>
    <w:rsid w:val="4BF25F94"/>
    <w:rsid w:val="4C262242"/>
    <w:rsid w:val="4C292FB7"/>
    <w:rsid w:val="4C3063D7"/>
    <w:rsid w:val="4C410343"/>
    <w:rsid w:val="4C6068FA"/>
    <w:rsid w:val="4C7C5ED4"/>
    <w:rsid w:val="4C9B6BCF"/>
    <w:rsid w:val="4CCB5EA5"/>
    <w:rsid w:val="4D782813"/>
    <w:rsid w:val="4D894FFF"/>
    <w:rsid w:val="4D8F21AB"/>
    <w:rsid w:val="4E493012"/>
    <w:rsid w:val="4E4E31AC"/>
    <w:rsid w:val="4E56283B"/>
    <w:rsid w:val="4E9915B0"/>
    <w:rsid w:val="4E9A2CD0"/>
    <w:rsid w:val="4ED86D93"/>
    <w:rsid w:val="4EE43F07"/>
    <w:rsid w:val="4F47493D"/>
    <w:rsid w:val="4F4A32CC"/>
    <w:rsid w:val="4F600C2E"/>
    <w:rsid w:val="4F767BF0"/>
    <w:rsid w:val="4FAF1DDA"/>
    <w:rsid w:val="50324731"/>
    <w:rsid w:val="505C7F2D"/>
    <w:rsid w:val="50641485"/>
    <w:rsid w:val="50EC4999"/>
    <w:rsid w:val="51A00668"/>
    <w:rsid w:val="521855F1"/>
    <w:rsid w:val="52382532"/>
    <w:rsid w:val="52692C4E"/>
    <w:rsid w:val="527C7CEA"/>
    <w:rsid w:val="529B37EE"/>
    <w:rsid w:val="529E401E"/>
    <w:rsid w:val="52C46194"/>
    <w:rsid w:val="533C6BFD"/>
    <w:rsid w:val="53411CCF"/>
    <w:rsid w:val="536D6D3B"/>
    <w:rsid w:val="53817C44"/>
    <w:rsid w:val="53AD48A4"/>
    <w:rsid w:val="53B63678"/>
    <w:rsid w:val="53EA7EAE"/>
    <w:rsid w:val="53F934C0"/>
    <w:rsid w:val="541B7496"/>
    <w:rsid w:val="54564958"/>
    <w:rsid w:val="547B2582"/>
    <w:rsid w:val="54C47FDD"/>
    <w:rsid w:val="54E05BFB"/>
    <w:rsid w:val="55402184"/>
    <w:rsid w:val="55492338"/>
    <w:rsid w:val="55E64AA2"/>
    <w:rsid w:val="56355CE7"/>
    <w:rsid w:val="5689160E"/>
    <w:rsid w:val="56955C0E"/>
    <w:rsid w:val="56A42320"/>
    <w:rsid w:val="56BC618B"/>
    <w:rsid w:val="56E83B25"/>
    <w:rsid w:val="5726133B"/>
    <w:rsid w:val="576D6A1E"/>
    <w:rsid w:val="581C3C86"/>
    <w:rsid w:val="58B35AC8"/>
    <w:rsid w:val="58C03F2E"/>
    <w:rsid w:val="59340209"/>
    <w:rsid w:val="59576A84"/>
    <w:rsid w:val="596C01DD"/>
    <w:rsid w:val="597275C0"/>
    <w:rsid w:val="59A11816"/>
    <w:rsid w:val="59E76564"/>
    <w:rsid w:val="5A1334AA"/>
    <w:rsid w:val="5A2C7950"/>
    <w:rsid w:val="5A2D00B4"/>
    <w:rsid w:val="5A6D3FB0"/>
    <w:rsid w:val="5A7B1324"/>
    <w:rsid w:val="5AC9207A"/>
    <w:rsid w:val="5ACC69D3"/>
    <w:rsid w:val="5AD3594A"/>
    <w:rsid w:val="5AE058B6"/>
    <w:rsid w:val="5B013FFE"/>
    <w:rsid w:val="5B3C13B7"/>
    <w:rsid w:val="5B5774F6"/>
    <w:rsid w:val="5BC86DE0"/>
    <w:rsid w:val="5C060B77"/>
    <w:rsid w:val="5C336BC5"/>
    <w:rsid w:val="5C407EBF"/>
    <w:rsid w:val="5C771C2B"/>
    <w:rsid w:val="5C797D48"/>
    <w:rsid w:val="5C9476E3"/>
    <w:rsid w:val="5CEC4AF6"/>
    <w:rsid w:val="5D1C36CA"/>
    <w:rsid w:val="5D6808D9"/>
    <w:rsid w:val="5D8559A9"/>
    <w:rsid w:val="5DDB3802"/>
    <w:rsid w:val="5EAF23C4"/>
    <w:rsid w:val="5EDA03DE"/>
    <w:rsid w:val="5F2540C3"/>
    <w:rsid w:val="5FD131B5"/>
    <w:rsid w:val="60362E3C"/>
    <w:rsid w:val="605F3033"/>
    <w:rsid w:val="60DE4BDB"/>
    <w:rsid w:val="60E2224F"/>
    <w:rsid w:val="6113146D"/>
    <w:rsid w:val="61134759"/>
    <w:rsid w:val="614405A5"/>
    <w:rsid w:val="61480611"/>
    <w:rsid w:val="61880C9C"/>
    <w:rsid w:val="61967449"/>
    <w:rsid w:val="61AB2550"/>
    <w:rsid w:val="62097C76"/>
    <w:rsid w:val="62234B37"/>
    <w:rsid w:val="626A7E25"/>
    <w:rsid w:val="62840A39"/>
    <w:rsid w:val="62BA5DDC"/>
    <w:rsid w:val="62FF0C08"/>
    <w:rsid w:val="63002F69"/>
    <w:rsid w:val="633C1C08"/>
    <w:rsid w:val="6343056E"/>
    <w:rsid w:val="63DD33AA"/>
    <w:rsid w:val="63F675B5"/>
    <w:rsid w:val="641D7781"/>
    <w:rsid w:val="642A2423"/>
    <w:rsid w:val="643E6BC1"/>
    <w:rsid w:val="64417DA8"/>
    <w:rsid w:val="64FC1BC8"/>
    <w:rsid w:val="650321AD"/>
    <w:rsid w:val="650C2B98"/>
    <w:rsid w:val="655B1BCC"/>
    <w:rsid w:val="657555B7"/>
    <w:rsid w:val="65D87D0A"/>
    <w:rsid w:val="65DE2082"/>
    <w:rsid w:val="65E0431F"/>
    <w:rsid w:val="65F16189"/>
    <w:rsid w:val="65FA5357"/>
    <w:rsid w:val="66616073"/>
    <w:rsid w:val="66C016C6"/>
    <w:rsid w:val="67084694"/>
    <w:rsid w:val="6721713C"/>
    <w:rsid w:val="675A68D3"/>
    <w:rsid w:val="67E52D51"/>
    <w:rsid w:val="67E87893"/>
    <w:rsid w:val="67EC6572"/>
    <w:rsid w:val="67F86E79"/>
    <w:rsid w:val="680657B3"/>
    <w:rsid w:val="68254F50"/>
    <w:rsid w:val="6852337A"/>
    <w:rsid w:val="68A72A50"/>
    <w:rsid w:val="69322DA6"/>
    <w:rsid w:val="69685B5B"/>
    <w:rsid w:val="696C71F7"/>
    <w:rsid w:val="69977A9B"/>
    <w:rsid w:val="699A391B"/>
    <w:rsid w:val="69F3799D"/>
    <w:rsid w:val="6A8207A6"/>
    <w:rsid w:val="6A963105"/>
    <w:rsid w:val="6B240DE5"/>
    <w:rsid w:val="6B4D3B92"/>
    <w:rsid w:val="6B56329B"/>
    <w:rsid w:val="6B634EB9"/>
    <w:rsid w:val="6B7105BF"/>
    <w:rsid w:val="6B7B7960"/>
    <w:rsid w:val="6B7E07B9"/>
    <w:rsid w:val="6BA45610"/>
    <w:rsid w:val="6C345A2D"/>
    <w:rsid w:val="6C3E778F"/>
    <w:rsid w:val="6C67544D"/>
    <w:rsid w:val="6C822881"/>
    <w:rsid w:val="6C951F56"/>
    <w:rsid w:val="6C9A5765"/>
    <w:rsid w:val="6CA51590"/>
    <w:rsid w:val="6CAE2105"/>
    <w:rsid w:val="6CD91ACD"/>
    <w:rsid w:val="6CE632A0"/>
    <w:rsid w:val="6CF11BC7"/>
    <w:rsid w:val="6D664854"/>
    <w:rsid w:val="6D777539"/>
    <w:rsid w:val="6E026A1B"/>
    <w:rsid w:val="6E3050BD"/>
    <w:rsid w:val="6E5031D3"/>
    <w:rsid w:val="6EA41261"/>
    <w:rsid w:val="6F400286"/>
    <w:rsid w:val="6F6E4AFF"/>
    <w:rsid w:val="6F9454B9"/>
    <w:rsid w:val="6F9F044F"/>
    <w:rsid w:val="7017608F"/>
    <w:rsid w:val="705A0CD1"/>
    <w:rsid w:val="70A729E1"/>
    <w:rsid w:val="70AD2E48"/>
    <w:rsid w:val="70AD6588"/>
    <w:rsid w:val="71E62D3B"/>
    <w:rsid w:val="71EE1295"/>
    <w:rsid w:val="71FD02E7"/>
    <w:rsid w:val="722E2EA9"/>
    <w:rsid w:val="72951BE2"/>
    <w:rsid w:val="729B5374"/>
    <w:rsid w:val="73374B7F"/>
    <w:rsid w:val="73402BC5"/>
    <w:rsid w:val="738C2151"/>
    <w:rsid w:val="739710DE"/>
    <w:rsid w:val="739A1AFC"/>
    <w:rsid w:val="73A26DEB"/>
    <w:rsid w:val="741D55BA"/>
    <w:rsid w:val="74354239"/>
    <w:rsid w:val="744D473B"/>
    <w:rsid w:val="74513AF1"/>
    <w:rsid w:val="746B3CAF"/>
    <w:rsid w:val="74754750"/>
    <w:rsid w:val="74D70265"/>
    <w:rsid w:val="757232B9"/>
    <w:rsid w:val="75752F8D"/>
    <w:rsid w:val="7580174E"/>
    <w:rsid w:val="75AA747B"/>
    <w:rsid w:val="75D54D59"/>
    <w:rsid w:val="75D56130"/>
    <w:rsid w:val="761C26EA"/>
    <w:rsid w:val="763C24E0"/>
    <w:rsid w:val="7654267A"/>
    <w:rsid w:val="7662793F"/>
    <w:rsid w:val="76DA3215"/>
    <w:rsid w:val="77352BFE"/>
    <w:rsid w:val="775001F8"/>
    <w:rsid w:val="77582649"/>
    <w:rsid w:val="77644784"/>
    <w:rsid w:val="77676A05"/>
    <w:rsid w:val="77853D80"/>
    <w:rsid w:val="77DB4757"/>
    <w:rsid w:val="781D017E"/>
    <w:rsid w:val="788D3082"/>
    <w:rsid w:val="78BA4BE3"/>
    <w:rsid w:val="78D0322B"/>
    <w:rsid w:val="78FE2225"/>
    <w:rsid w:val="7977420F"/>
    <w:rsid w:val="79AE2763"/>
    <w:rsid w:val="7A0C3669"/>
    <w:rsid w:val="7A527C0D"/>
    <w:rsid w:val="7A9D69F8"/>
    <w:rsid w:val="7AAB68AA"/>
    <w:rsid w:val="7AC93465"/>
    <w:rsid w:val="7ACC5AD7"/>
    <w:rsid w:val="7AF23B57"/>
    <w:rsid w:val="7B106671"/>
    <w:rsid w:val="7B9E40C9"/>
    <w:rsid w:val="7BA10A40"/>
    <w:rsid w:val="7BED0375"/>
    <w:rsid w:val="7C2E7969"/>
    <w:rsid w:val="7C711F43"/>
    <w:rsid w:val="7C864AF6"/>
    <w:rsid w:val="7CB84E88"/>
    <w:rsid w:val="7CCF6945"/>
    <w:rsid w:val="7CE80EC9"/>
    <w:rsid w:val="7CF1325B"/>
    <w:rsid w:val="7D575A72"/>
    <w:rsid w:val="7D5D1E07"/>
    <w:rsid w:val="7DAA43E4"/>
    <w:rsid w:val="7DFA3259"/>
    <w:rsid w:val="7DFD061C"/>
    <w:rsid w:val="7E177379"/>
    <w:rsid w:val="7E6B3101"/>
    <w:rsid w:val="7E7E048E"/>
    <w:rsid w:val="7E903C73"/>
    <w:rsid w:val="7E9B4050"/>
    <w:rsid w:val="7EAC5AF2"/>
    <w:rsid w:val="7EDB2536"/>
    <w:rsid w:val="7EE5287C"/>
    <w:rsid w:val="7EF6285C"/>
    <w:rsid w:val="7F0A49F2"/>
    <w:rsid w:val="7F146331"/>
    <w:rsid w:val="7F777854"/>
    <w:rsid w:val="7F846928"/>
    <w:rsid w:val="7F8E5C58"/>
    <w:rsid w:val="7FBF27D5"/>
    <w:rsid w:val="7FDA14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iPriority="0" w:semiHidden="0" w:name="heading 4"/>
    <w:lsdException w:qFormat="1" w:uiPriority="0"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
    <w:pPr>
      <w:keepNext/>
      <w:jc w:val="center"/>
      <w:outlineLvl w:val="0"/>
    </w:pPr>
    <w:rPr>
      <w:rFonts w:ascii="楷体_GB2312" w:eastAsia="楷体_GB2312"/>
      <w:b/>
      <w:bCs/>
    </w:rPr>
  </w:style>
  <w:style w:type="paragraph" w:styleId="5">
    <w:name w:val="heading 2"/>
    <w:basedOn w:val="1"/>
    <w:next w:val="1"/>
    <w:unhideWhenUsed/>
    <w:qFormat/>
    <w:uiPriority w:val="0"/>
    <w:pPr>
      <w:keepNext/>
      <w:keepLines/>
      <w:numPr>
        <w:ilvl w:val="1"/>
        <w:numId w:val="1"/>
      </w:numPr>
      <w:jc w:val="left"/>
      <w:outlineLvl w:val="1"/>
    </w:pPr>
    <w:rPr>
      <w:rFonts w:ascii="宋体" w:hAnsi="宋体" w:cstheme="majorBidi"/>
      <w:b/>
      <w:bCs/>
      <w:sz w:val="32"/>
      <w:szCs w:val="32"/>
    </w:rPr>
  </w:style>
  <w:style w:type="paragraph" w:styleId="6">
    <w:name w:val="heading 3"/>
    <w:basedOn w:val="1"/>
    <w:next w:val="1"/>
    <w:qFormat/>
    <w:uiPriority w:val="9"/>
    <w:pPr>
      <w:widowControl/>
      <w:numPr>
        <w:ilvl w:val="2"/>
        <w:numId w:val="2"/>
      </w:numPr>
      <w:autoSpaceDE w:val="0"/>
      <w:autoSpaceDN w:val="0"/>
      <w:adjustRightInd w:val="0"/>
      <w:spacing w:beforeLines="50" w:afterLines="50" w:line="360" w:lineRule="auto"/>
      <w:outlineLvl w:val="2"/>
    </w:pPr>
    <w:rPr>
      <w:rFonts w:ascii="CG Times" w:hAnsi="CG Times"/>
      <w:color w:val="000000"/>
      <w:kern w:val="0"/>
      <w:sz w:val="24"/>
      <w:szCs w:val="20"/>
    </w:rPr>
  </w:style>
  <w:style w:type="paragraph" w:styleId="7">
    <w:name w:val="heading 4"/>
    <w:basedOn w:val="1"/>
    <w:next w:val="1"/>
    <w:unhideWhenUsed/>
    <w:qFormat/>
    <w:uiPriority w:val="0"/>
    <w:pPr>
      <w:keepNext/>
      <w:keepLines/>
      <w:numPr>
        <w:ilvl w:val="3"/>
        <w:numId w:val="1"/>
      </w:numPr>
      <w:jc w:val="left"/>
      <w:outlineLvl w:val="3"/>
    </w:pPr>
    <w:rPr>
      <w:rFonts w:ascii="宋体" w:hAnsiTheme="majorHAnsi" w:cstheme="majorBidi"/>
      <w:b/>
      <w:bCs/>
      <w:sz w:val="28"/>
      <w:szCs w:val="28"/>
    </w:rPr>
  </w:style>
  <w:style w:type="paragraph" w:styleId="8">
    <w:name w:val="heading 5"/>
    <w:basedOn w:val="1"/>
    <w:next w:val="1"/>
    <w:unhideWhenUsed/>
    <w:qFormat/>
    <w:uiPriority w:val="0"/>
    <w:pPr>
      <w:keepNext/>
      <w:keepLines/>
      <w:numPr>
        <w:ilvl w:val="4"/>
        <w:numId w:val="1"/>
      </w:numPr>
      <w:tabs>
        <w:tab w:val="left" w:pos="576"/>
      </w:tabs>
      <w:jc w:val="left"/>
      <w:outlineLvl w:val="4"/>
    </w:pPr>
    <w:rPr>
      <w:rFonts w:ascii="宋体" w:hAnsi="宋体"/>
      <w:b/>
      <w:bCs/>
      <w:szCs w:val="20"/>
    </w:rPr>
  </w:style>
  <w:style w:type="paragraph" w:styleId="9">
    <w:name w:val="heading 6"/>
    <w:basedOn w:val="1"/>
    <w:next w:val="1"/>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Cs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rPr>
      <w:rFonts w:ascii="Times New Roman" w:hAnsi="Times New Roman"/>
      <w:szCs w:val="24"/>
    </w:rPr>
  </w:style>
  <w:style w:type="paragraph" w:styleId="3">
    <w:name w:val="Body Text First Indent"/>
    <w:basedOn w:val="2"/>
    <w:next w:val="1"/>
    <w:qFormat/>
    <w:uiPriority w:val="0"/>
    <w:pPr>
      <w:autoSpaceDE w:val="0"/>
      <w:autoSpaceDN w:val="0"/>
      <w:adjustRightInd w:val="0"/>
      <w:ind w:firstLine="420" w:firstLineChars="100"/>
      <w:textAlignment w:val="baseline"/>
    </w:pPr>
    <w:rPr>
      <w:sz w:val="24"/>
      <w:szCs w:val="20"/>
    </w:rPr>
  </w:style>
  <w:style w:type="paragraph" w:styleId="10">
    <w:name w:val="Normal Indent"/>
    <w:basedOn w:val="1"/>
    <w:next w:val="11"/>
    <w:unhideWhenUsed/>
    <w:qFormat/>
    <w:uiPriority w:val="99"/>
    <w:pPr>
      <w:adjustRightInd w:val="0"/>
      <w:spacing w:line="312" w:lineRule="atLeast"/>
      <w:ind w:firstLine="420"/>
    </w:pPr>
    <w:rPr>
      <w:rFonts w:cs="黑体"/>
    </w:rPr>
  </w:style>
  <w:style w:type="paragraph" w:styleId="11">
    <w:name w:val="Body Text Indent"/>
    <w:basedOn w:val="1"/>
    <w:next w:val="1"/>
    <w:qFormat/>
    <w:uiPriority w:val="0"/>
    <w:pPr>
      <w:ind w:left="360" w:firstLine="56" w:firstLineChars="20"/>
    </w:pPr>
    <w:rPr>
      <w:rFonts w:eastAsia="仿宋_GB2312"/>
      <w:kern w:val="0"/>
      <w:sz w:val="32"/>
      <w:szCs w:val="24"/>
    </w:rPr>
  </w:style>
  <w:style w:type="paragraph" w:styleId="12">
    <w:name w:val="toa heading"/>
    <w:basedOn w:val="1"/>
    <w:next w:val="1"/>
    <w:unhideWhenUsed/>
    <w:qFormat/>
    <w:uiPriority w:val="99"/>
    <w:pPr>
      <w:spacing w:before="120"/>
    </w:pPr>
    <w:rPr>
      <w:rFonts w:ascii="Arial" w:hAnsi="Arial" w:eastAsia="仿宋_GB2312" w:cs="Arial"/>
      <w:b/>
      <w:bCs/>
      <w:color w:val="000000"/>
      <w:kern w:val="0"/>
      <w:sz w:val="24"/>
      <w:szCs w:val="21"/>
    </w:rPr>
  </w:style>
  <w:style w:type="paragraph" w:styleId="13">
    <w:name w:val="annotation text"/>
    <w:basedOn w:val="1"/>
    <w:qFormat/>
    <w:uiPriority w:val="0"/>
    <w:pPr>
      <w:jc w:val="left"/>
    </w:pPr>
  </w:style>
  <w:style w:type="paragraph" w:styleId="14">
    <w:name w:val="Block Text"/>
    <w:basedOn w:val="1"/>
    <w:qFormat/>
    <w:uiPriority w:val="0"/>
    <w:pPr>
      <w:spacing w:beforeLines="50" w:afterLines="50"/>
      <w:ind w:left="426" w:right="-11" w:hanging="426" w:hangingChars="203"/>
    </w:pPr>
    <w:rPr>
      <w:rFonts w:eastAsia="楷体_GB2312"/>
    </w:rPr>
  </w:style>
  <w:style w:type="paragraph" w:styleId="15">
    <w:name w:val="toc 3"/>
    <w:basedOn w:val="1"/>
    <w:next w:val="1"/>
    <w:qFormat/>
    <w:uiPriority w:val="0"/>
    <w:pPr>
      <w:ind w:left="840" w:leftChars="400"/>
    </w:pPr>
  </w:style>
  <w:style w:type="paragraph" w:styleId="16">
    <w:name w:val="Plain Text"/>
    <w:basedOn w:val="1"/>
    <w:next w:val="1"/>
    <w:unhideWhenUsed/>
    <w:qFormat/>
    <w:uiPriority w:val="99"/>
    <w:pPr>
      <w:widowControl/>
      <w:overflowPunct w:val="0"/>
      <w:autoSpaceDE w:val="0"/>
      <w:autoSpaceDN w:val="0"/>
      <w:adjustRightInd w:val="0"/>
      <w:jc w:val="left"/>
    </w:pPr>
    <w:rPr>
      <w:rFonts w:ascii="宋体" w:hAnsi="Courier New" w:cs="黑体"/>
      <w:szCs w:val="21"/>
    </w:rPr>
  </w:style>
  <w:style w:type="paragraph" w:styleId="17">
    <w:name w:val="Date"/>
    <w:basedOn w:val="1"/>
    <w:next w:val="1"/>
    <w:qFormat/>
    <w:uiPriority w:val="0"/>
    <w:pPr>
      <w:ind w:left="100" w:leftChars="2500"/>
    </w:pPr>
    <w:rPr>
      <w:sz w:val="24"/>
    </w:rPr>
  </w:style>
  <w:style w:type="paragraph" w:styleId="18">
    <w:name w:val="Balloon Text"/>
    <w:basedOn w:val="1"/>
    <w:link w:val="63"/>
    <w:qFormat/>
    <w:uiPriority w:val="0"/>
    <w:rPr>
      <w:sz w:val="18"/>
      <w:szCs w:val="18"/>
    </w:rPr>
  </w:style>
  <w:style w:type="paragraph" w:styleId="19">
    <w:name w:val="footer"/>
    <w:basedOn w:val="1"/>
    <w:unhideWhenUsed/>
    <w:qFormat/>
    <w:uiPriority w:val="99"/>
    <w:pPr>
      <w:tabs>
        <w:tab w:val="center" w:pos="4153"/>
        <w:tab w:val="right" w:pos="8306"/>
      </w:tabs>
      <w:snapToGrid w:val="0"/>
      <w:jc w:val="left"/>
    </w:pPr>
    <w:rPr>
      <w:sz w:val="18"/>
      <w:szCs w:val="18"/>
    </w:rPr>
  </w:style>
  <w:style w:type="paragraph" w:styleId="2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spacing w:line="340" w:lineRule="exact"/>
    </w:pPr>
  </w:style>
  <w:style w:type="paragraph" w:styleId="22">
    <w:name w:val="toc 6"/>
    <w:basedOn w:val="1"/>
    <w:next w:val="1"/>
    <w:qFormat/>
    <w:uiPriority w:val="99"/>
    <w:pPr>
      <w:ind w:left="2100" w:leftChars="1000"/>
    </w:pPr>
  </w:style>
  <w:style w:type="paragraph" w:styleId="23">
    <w:name w:val="table of figures"/>
    <w:basedOn w:val="1"/>
    <w:next w:val="1"/>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24">
    <w:name w:val="toc 2"/>
    <w:basedOn w:val="1"/>
    <w:next w:val="1"/>
    <w:qFormat/>
    <w:uiPriority w:val="0"/>
    <w:pPr>
      <w:ind w:left="420" w:leftChars="200"/>
    </w:pPr>
  </w:style>
  <w:style w:type="paragraph" w:styleId="25">
    <w:name w:val="Normal (Web)"/>
    <w:basedOn w:val="1"/>
    <w:qFormat/>
    <w:uiPriority w:val="0"/>
    <w:pPr>
      <w:spacing w:beforeAutospacing="1" w:afterAutospacing="1"/>
      <w:jc w:val="left"/>
    </w:pPr>
    <w:rPr>
      <w:kern w:val="0"/>
      <w:sz w:val="24"/>
    </w:rPr>
  </w:style>
  <w:style w:type="paragraph" w:styleId="26">
    <w:name w:val="Title"/>
    <w:basedOn w:val="1"/>
    <w:next w:val="1"/>
    <w:qFormat/>
    <w:uiPriority w:val="10"/>
    <w:pPr>
      <w:jc w:val="center"/>
    </w:pPr>
    <w:rPr>
      <w:rFonts w:ascii="Arial" w:hAnsi="Arial"/>
      <w:b/>
      <w:kern w:val="0"/>
      <w:sz w:val="36"/>
      <w:szCs w:val="20"/>
      <w:lang w:eastAsia="en-US"/>
    </w:rPr>
  </w:style>
  <w:style w:type="paragraph" w:styleId="27">
    <w:name w:val="Body Text First Indent 2"/>
    <w:basedOn w:val="11"/>
    <w:next w:val="3"/>
    <w:unhideWhenUsed/>
    <w:qFormat/>
    <w:uiPriority w:val="99"/>
    <w:pPr>
      <w:spacing w:after="120"/>
      <w:ind w:left="420" w:leftChars="200" w:firstLine="420"/>
    </w:pPr>
    <w:rPr>
      <w:rFonts w:cs="宋体"/>
      <w:sz w:val="21"/>
      <w:szCs w:val="21"/>
    </w:rPr>
  </w:style>
  <w:style w:type="table" w:styleId="29">
    <w:name w:val="Table Grid"/>
    <w:basedOn w:val="2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Cs/>
    </w:rPr>
  </w:style>
  <w:style w:type="character" w:styleId="32">
    <w:name w:val="page number"/>
    <w:basedOn w:val="30"/>
    <w:qFormat/>
    <w:uiPriority w:val="0"/>
  </w:style>
  <w:style w:type="character" w:styleId="33">
    <w:name w:val="FollowedHyperlink"/>
    <w:basedOn w:val="30"/>
    <w:qFormat/>
    <w:uiPriority w:val="0"/>
    <w:rPr>
      <w:color w:val="800080"/>
      <w:u w:val="none"/>
    </w:rPr>
  </w:style>
  <w:style w:type="character" w:styleId="34">
    <w:name w:val="Hyperlink"/>
    <w:basedOn w:val="30"/>
    <w:unhideWhenUsed/>
    <w:qFormat/>
    <w:uiPriority w:val="99"/>
    <w:rPr>
      <w:color w:val="0563C1"/>
      <w:u w:val="single"/>
    </w:rPr>
  </w:style>
  <w:style w:type="character" w:styleId="35">
    <w:name w:val="annotation reference"/>
    <w:basedOn w:val="30"/>
    <w:qFormat/>
    <w:uiPriority w:val="0"/>
    <w:rPr>
      <w:sz w:val="21"/>
      <w:szCs w:val="21"/>
    </w:rPr>
  </w:style>
  <w:style w:type="paragraph" w:customStyle="1" w:styleId="36">
    <w:name w:val="样式1"/>
    <w:basedOn w:val="20"/>
    <w:next w:val="2"/>
    <w:qFormat/>
    <w:uiPriority w:val="0"/>
    <w:pPr>
      <w:widowControl/>
      <w:tabs>
        <w:tab w:val="left" w:pos="1212"/>
        <w:tab w:val="left" w:pos="3888"/>
        <w:tab w:val="clear" w:pos="4153"/>
        <w:tab w:val="clear" w:pos="8306"/>
      </w:tabs>
      <w:spacing w:line="336" w:lineRule="auto"/>
      <w:ind w:firstLine="432"/>
      <w:jc w:val="left"/>
    </w:pPr>
    <w:rPr>
      <w:rFonts w:ascii="宋体" w:hAnsi="宋体"/>
      <w:kern w:val="0"/>
      <w:sz w:val="24"/>
      <w:szCs w:val="20"/>
    </w:rPr>
  </w:style>
  <w:style w:type="paragraph" w:customStyle="1" w:styleId="37">
    <w:name w:val="[Normal]"/>
    <w:qFormat/>
    <w:uiPriority w:val="0"/>
    <w:rPr>
      <w:rFonts w:ascii="宋体" w:hAnsi="宋体" w:eastAsia="宋体" w:cs="Times New Roman"/>
      <w:sz w:val="24"/>
      <w:szCs w:val="22"/>
      <w:lang w:val="zh-CN" w:eastAsia="zh-CN" w:bidi="ar-SA"/>
    </w:rPr>
  </w:style>
  <w:style w:type="paragraph" w:customStyle="1" w:styleId="38">
    <w:name w:val="正文缩进1"/>
    <w:basedOn w:val="1"/>
    <w:qFormat/>
    <w:uiPriority w:val="0"/>
    <w:pPr>
      <w:ind w:firstLine="420"/>
    </w:pPr>
    <w:rPr>
      <w:rFonts w:ascii="Times New Roman" w:hAnsi="Times New Roman"/>
      <w:kern w:val="0"/>
      <w:sz w:val="20"/>
    </w:rPr>
  </w:style>
  <w:style w:type="paragraph" w:customStyle="1" w:styleId="39">
    <w:name w:val="样式 表格正文 + 两端对齐"/>
    <w:basedOn w:val="1"/>
    <w:next w:val="40"/>
    <w:qFormat/>
    <w:uiPriority w:val="0"/>
    <w:pPr>
      <w:spacing w:line="300" w:lineRule="auto"/>
    </w:pPr>
    <w:rPr>
      <w:rFonts w:ascii="Times New Roman"/>
      <w:sz w:val="24"/>
    </w:rPr>
  </w:style>
  <w:style w:type="paragraph" w:customStyle="1" w:styleId="40">
    <w:name w:val="正文1"/>
    <w:basedOn w:val="1"/>
    <w:next w:val="41"/>
    <w:qFormat/>
    <w:uiPriority w:val="0"/>
    <w:pPr>
      <w:numPr>
        <w:ilvl w:val="0"/>
        <w:numId w:val="3"/>
      </w:numPr>
      <w:spacing w:line="500" w:lineRule="exact"/>
    </w:pPr>
    <w:rPr>
      <w:rFonts w:ascii="黑体" w:hAnsi="宋体"/>
    </w:rPr>
  </w:style>
  <w:style w:type="paragraph" w:customStyle="1" w:styleId="41">
    <w:name w:val="自动更正"/>
    <w:next w:val="42"/>
    <w:qFormat/>
    <w:uiPriority w:val="0"/>
    <w:pPr>
      <w:widowControl w:val="0"/>
      <w:jc w:val="both"/>
    </w:pPr>
    <w:rPr>
      <w:rFonts w:ascii="Calibri" w:hAnsi="Calibri" w:eastAsia="宋体" w:cs="Times New Roman"/>
      <w:kern w:val="2"/>
      <w:sz w:val="21"/>
      <w:szCs w:val="24"/>
      <w:lang w:val="en-US" w:eastAsia="zh-CN" w:bidi="ar-SA"/>
    </w:rPr>
  </w:style>
  <w:style w:type="paragraph" w:customStyle="1" w:styleId="42">
    <w:name w:val="xl39"/>
    <w:basedOn w:val="1"/>
    <w:next w:val="43"/>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43">
    <w:name w:val="分手多日，近况如何？"/>
    <w:next w:val="1"/>
    <w:qFormat/>
    <w:uiPriority w:val="0"/>
    <w:pPr>
      <w:widowControl w:val="0"/>
      <w:jc w:val="both"/>
    </w:pPr>
    <w:rPr>
      <w:rFonts w:ascii="Calibri" w:hAnsi="Calibri" w:eastAsia="宋体" w:cs="Times New Roman"/>
      <w:sz w:val="21"/>
      <w:lang w:val="en-US" w:eastAsia="zh-CN" w:bidi="ar-SA"/>
    </w:rPr>
  </w:style>
  <w:style w:type="paragraph" w:customStyle="1" w:styleId="44">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45">
    <w:name w:val="Body Text First Indent 21"/>
    <w:basedOn w:val="46"/>
    <w:qFormat/>
    <w:uiPriority w:val="0"/>
    <w:pPr>
      <w:ind w:firstLine="420"/>
    </w:pPr>
    <w:rPr>
      <w:rFonts w:ascii="Times New Roman" w:hAnsi="Times New Roman" w:cs="宋体"/>
    </w:rPr>
  </w:style>
  <w:style w:type="paragraph" w:customStyle="1" w:styleId="46">
    <w:name w:val="Body Text Indent1"/>
    <w:basedOn w:val="1"/>
    <w:next w:val="1"/>
    <w:qFormat/>
    <w:uiPriority w:val="0"/>
    <w:pPr>
      <w:ind w:left="420" w:leftChars="200"/>
    </w:pPr>
    <w:rPr>
      <w:color w:val="000000"/>
      <w:szCs w:val="21"/>
    </w:rPr>
  </w:style>
  <w:style w:type="paragraph" w:customStyle="1" w:styleId="47">
    <w:name w:val="Normal Indent1"/>
    <w:basedOn w:val="1"/>
    <w:qFormat/>
    <w:uiPriority w:val="0"/>
    <w:pPr>
      <w:ind w:firstLine="420" w:firstLineChars="200"/>
    </w:pPr>
  </w:style>
  <w:style w:type="paragraph" w:customStyle="1" w:styleId="48">
    <w:name w:val="Char"/>
    <w:basedOn w:val="1"/>
    <w:qFormat/>
    <w:uiPriority w:val="0"/>
    <w:rPr>
      <w:rFonts w:ascii="仿宋_GB2312" w:eastAsia="仿宋_GB2312"/>
      <w:b/>
      <w:sz w:val="32"/>
      <w:szCs w:val="32"/>
    </w:rPr>
  </w:style>
  <w:style w:type="paragraph" w:customStyle="1" w:styleId="49">
    <w:name w:val="列出段落1"/>
    <w:basedOn w:val="1"/>
    <w:qFormat/>
    <w:uiPriority w:val="99"/>
    <w:pPr>
      <w:ind w:firstLine="420" w:firstLineChars="200"/>
    </w:pPr>
  </w:style>
  <w:style w:type="paragraph" w:customStyle="1" w:styleId="50">
    <w:name w:val="Table Paragraph"/>
    <w:basedOn w:val="1"/>
    <w:qFormat/>
    <w:uiPriority w:val="1"/>
    <w:rPr>
      <w:rFonts w:ascii="宋体" w:hAnsi="宋体" w:cs="宋体"/>
      <w:lang w:val="zh-CN" w:bidi="zh-CN"/>
    </w:rPr>
  </w:style>
  <w:style w:type="paragraph" w:customStyle="1" w:styleId="51">
    <w:name w:val="Fließtext"/>
    <w:basedOn w:val="1"/>
    <w:qFormat/>
    <w:uiPriority w:val="0"/>
    <w:pPr>
      <w:overflowPunct w:val="0"/>
      <w:autoSpaceDE w:val="0"/>
      <w:autoSpaceDN w:val="0"/>
      <w:adjustRightInd w:val="0"/>
      <w:textAlignment w:val="baseline"/>
    </w:pPr>
    <w:rPr>
      <w:kern w:val="28"/>
      <w:szCs w:val="20"/>
    </w:rPr>
  </w:style>
  <w:style w:type="paragraph" w:customStyle="1" w:styleId="5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List Paragraph1"/>
    <w:basedOn w:val="1"/>
    <w:qFormat/>
    <w:uiPriority w:val="0"/>
    <w:pPr>
      <w:ind w:firstLine="420" w:firstLineChars="200"/>
    </w:pPr>
    <w:rPr>
      <w:rFonts w:ascii="Times New Roman" w:hAnsi="Times New Roman"/>
      <w:szCs w:val="24"/>
    </w:rPr>
  </w:style>
  <w:style w:type="paragraph" w:styleId="54">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55">
    <w:name w:val="正常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
    <w:basedOn w:val="1"/>
    <w:qFormat/>
    <w:uiPriority w:val="0"/>
    <w:rPr>
      <w:rFonts w:eastAsia="仿宋"/>
      <w:sz w:val="32"/>
    </w:rPr>
  </w:style>
  <w:style w:type="paragraph" w:customStyle="1" w:styleId="57">
    <w:name w:val="11样式2"/>
    <w:basedOn w:val="1"/>
    <w:qFormat/>
    <w:uiPriority w:val="99"/>
    <w:pPr>
      <w:numPr>
        <w:ilvl w:val="0"/>
        <w:numId w:val="4"/>
      </w:numPr>
      <w:ind w:firstLine="0"/>
    </w:pPr>
    <w:rPr>
      <w:rFonts w:ascii="Times New Roman" w:hAnsi="Times New Roman"/>
      <w:szCs w:val="24"/>
    </w:rPr>
  </w:style>
  <w:style w:type="character" w:customStyle="1" w:styleId="58">
    <w:name w:val="font21"/>
    <w:basedOn w:val="30"/>
    <w:qFormat/>
    <w:uiPriority w:val="99"/>
    <w:rPr>
      <w:rFonts w:ascii="宋体" w:hAnsi="宋体" w:eastAsia="宋体" w:cs="宋体"/>
      <w:color w:val="000000"/>
      <w:sz w:val="21"/>
      <w:szCs w:val="21"/>
      <w:u w:val="none"/>
    </w:rPr>
  </w:style>
  <w:style w:type="paragraph" w:customStyle="1" w:styleId="59">
    <w:name w:val="Default"/>
    <w:next w:val="60"/>
    <w:qFormat/>
    <w:uiPriority w:val="0"/>
    <w:pPr>
      <w:widowControl w:val="0"/>
      <w:autoSpaceDE w:val="0"/>
      <w:autoSpaceDN w:val="0"/>
      <w:adjustRightInd w:val="0"/>
      <w:spacing w:line="360" w:lineRule="auto"/>
      <w:jc w:val="both"/>
    </w:pPr>
    <w:rPr>
      <w:rFonts w:ascii="黑体" w:hAnsi="Times New Roman" w:eastAsia="黑体" w:cs="黑体"/>
      <w:color w:val="000000"/>
      <w:sz w:val="24"/>
      <w:szCs w:val="24"/>
      <w:lang w:val="en-US" w:eastAsia="zh-CN" w:bidi="ar-SA"/>
    </w:rPr>
  </w:style>
  <w:style w:type="paragraph" w:customStyle="1" w:styleId="6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2">
    <w:name w:val="正文_4"/>
    <w:qFormat/>
    <w:uiPriority w:val="0"/>
    <w:pPr>
      <w:widowControl w:val="0"/>
      <w:jc w:val="both"/>
    </w:pPr>
    <w:rPr>
      <w:rFonts w:ascii="Calibri" w:hAnsi="Calibri" w:eastAsia="宋体" w:cs="Times New Roman"/>
      <w:kern w:val="2"/>
      <w:sz w:val="21"/>
      <w:szCs w:val="24"/>
      <w:lang w:val="en-US" w:eastAsia="zh-CN" w:bidi="ar-SA"/>
    </w:rPr>
  </w:style>
  <w:style w:type="character" w:customStyle="1" w:styleId="63">
    <w:name w:val="批注框文本 Char"/>
    <w:basedOn w:val="30"/>
    <w:link w:val="18"/>
    <w:qFormat/>
    <w:uiPriority w:val="0"/>
    <w:rPr>
      <w:kern w:val="2"/>
      <w:sz w:val="18"/>
      <w:szCs w:val="18"/>
    </w:rPr>
  </w:style>
  <w:style w:type="paragraph" w:customStyle="1" w:styleId="64">
    <w:name w:val="p0"/>
    <w:basedOn w:val="1"/>
    <w:qFormat/>
    <w:uiPriority w:val="0"/>
    <w:pPr>
      <w:widowControl/>
      <w:spacing w:line="360" w:lineRule="atLeast"/>
      <w:ind w:firstLine="641"/>
    </w:pPr>
    <w:rPr>
      <w:kern w:val="0"/>
    </w:rPr>
  </w:style>
  <w:style w:type="paragraph" w:customStyle="1" w:styleId="65">
    <w:name w:val="content5"/>
    <w:basedOn w:val="1"/>
    <w:qFormat/>
    <w:uiPriority w:val="0"/>
    <w:pPr>
      <w:widowControl/>
      <w:spacing w:before="100" w:beforeAutospacing="1" w:after="100" w:afterAutospacing="1"/>
      <w:jc w:val="left"/>
    </w:pPr>
    <w:rPr>
      <w:rFonts w:ascii="幼圆" w:hAnsi="幼圆" w:eastAsia="幼圆" w:cs="幼圆"/>
      <w:b/>
      <w:color w:val="000000"/>
      <w:kern w:val="0"/>
      <w:sz w:val="84"/>
    </w:rPr>
  </w:style>
  <w:style w:type="character" w:customStyle="1" w:styleId="66">
    <w:name w:val="NormalCharacter"/>
    <w:qFormat/>
    <w:uiPriority w:val="0"/>
  </w:style>
  <w:style w:type="paragraph" w:customStyle="1" w:styleId="6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8">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69">
    <w:name w:val="表格内容"/>
    <w:basedOn w:val="2"/>
    <w:qFormat/>
    <w:uiPriority w:val="99"/>
    <w:pPr>
      <w:suppressLineNumbers/>
      <w:suppressAutoHyphens/>
    </w:pPr>
    <w:rPr>
      <w:kern w:val="1"/>
      <w:lang w:eastAsia="ar-SA"/>
    </w:rPr>
  </w:style>
  <w:style w:type="paragraph" w:customStyle="1" w:styleId="70">
    <w:name w:val="1册标题1"/>
    <w:basedOn w:val="1"/>
    <w:next w:val="1"/>
    <w:qFormat/>
    <w:uiPriority w:val="0"/>
    <w:pPr>
      <w:spacing w:beforeLines="50" w:afterLines="50" w:line="300" w:lineRule="auto"/>
      <w:jc w:val="center"/>
      <w:outlineLvl w:val="0"/>
    </w:pPr>
    <w:rPr>
      <w:rFonts w:ascii="Arial" w:hAnsi="Arial" w:eastAsia="黑体"/>
      <w:b/>
      <w:bCs/>
      <w:sz w:val="48"/>
      <w:szCs w:val="20"/>
    </w:rPr>
  </w:style>
  <w:style w:type="paragraph" w:customStyle="1" w:styleId="71">
    <w:name w:val="正文2"/>
    <w:basedOn w:val="1"/>
    <w:qFormat/>
    <w:uiPriority w:val="0"/>
    <w:pPr>
      <w:spacing w:before="156" w:line="360" w:lineRule="auto"/>
      <w:ind w:firstLine="510" w:firstLineChars="200"/>
    </w:pPr>
    <w:rPr>
      <w:sz w:val="24"/>
      <w:szCs w:val="20"/>
    </w:rPr>
  </w:style>
  <w:style w:type="paragraph" w:customStyle="1" w:styleId="72">
    <w:name w:val="_Style 17"/>
    <w:basedOn w:val="1"/>
    <w:next w:val="73"/>
    <w:qFormat/>
    <w:uiPriority w:val="0"/>
    <w:pPr>
      <w:ind w:firstLine="420" w:firstLineChars="200"/>
    </w:pPr>
  </w:style>
  <w:style w:type="paragraph" w:styleId="73">
    <w:name w:val="List Paragraph"/>
    <w:basedOn w:val="1"/>
    <w:qFormat/>
    <w:uiPriority w:val="0"/>
    <w:pPr>
      <w:ind w:firstLine="420" w:firstLineChars="200"/>
    </w:pPr>
    <w:rPr>
      <w:rFonts w:eastAsia="仿宋_GB2312"/>
      <w:sz w:val="24"/>
      <w:szCs w:val="21"/>
    </w:rPr>
  </w:style>
  <w:style w:type="paragraph" w:customStyle="1" w:styleId="74">
    <w:name w:val="表格文字"/>
    <w:basedOn w:val="1"/>
    <w:next w:val="2"/>
    <w:qFormat/>
    <w:uiPriority w:val="0"/>
    <w:pPr>
      <w:adjustRightInd w:val="0"/>
      <w:spacing w:line="420" w:lineRule="atLeast"/>
      <w:jc w:val="left"/>
      <w:textAlignment w:val="baseline"/>
    </w:pPr>
    <w:rPr>
      <w:rFonts w:ascii="Times New Roman" w:hAnsi="Times New Roman"/>
      <w:kern w:val="0"/>
      <w:szCs w:val="24"/>
    </w:rPr>
  </w:style>
  <w:style w:type="paragraph" w:customStyle="1" w:styleId="75">
    <w:name w:val="正文 A"/>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76">
    <w:name w:val="列出段落111"/>
    <w:basedOn w:val="1"/>
    <w:qFormat/>
    <w:uiPriority w:val="99"/>
    <w:pPr>
      <w:ind w:firstLine="420" w:firstLineChars="200"/>
    </w:pPr>
    <w:rPr>
      <w:rFonts w:eastAsia="仿宋_GB2312" w:cs="仿宋_GB2312"/>
      <w:b/>
      <w:spacing w:val="4"/>
      <w:sz w:val="24"/>
    </w:rPr>
  </w:style>
  <w:style w:type="paragraph" w:customStyle="1" w:styleId="77">
    <w:name w:val="DAS正文"/>
    <w:basedOn w:val="1"/>
    <w:qFormat/>
    <w:uiPriority w:val="0"/>
    <w:pPr>
      <w:spacing w:line="360" w:lineRule="auto"/>
      <w:ind w:right="181" w:firstLine="480" w:firstLineChars="200"/>
    </w:pPr>
    <w:rPr>
      <w:rFonts w:ascii="Verdana" w:hAnsi="Verdana"/>
      <w:szCs w:val="20"/>
    </w:rPr>
  </w:style>
  <w:style w:type="paragraph" w:customStyle="1" w:styleId="78">
    <w:name w:val="正文首行缩进 21"/>
    <w:basedOn w:val="79"/>
    <w:qFormat/>
    <w:uiPriority w:val="0"/>
  </w:style>
  <w:style w:type="paragraph" w:customStyle="1" w:styleId="79">
    <w:name w:val="正文文本缩进1"/>
    <w:basedOn w:val="1"/>
    <w:qFormat/>
    <w:uiPriority w:val="0"/>
    <w:pPr>
      <w:spacing w:after="120"/>
      <w:ind w:left="420" w:leftChars="200"/>
    </w:pPr>
  </w:style>
  <w:style w:type="paragraph" w:customStyle="1" w:styleId="80">
    <w:name w:val="列出段落12"/>
    <w:basedOn w:val="1"/>
    <w:qFormat/>
    <w:uiPriority w:val="34"/>
    <w:pPr>
      <w:widowControl/>
      <w:ind w:firstLine="420" w:firstLineChars="200"/>
      <w:jc w:val="left"/>
    </w:pPr>
    <w:rPr>
      <w:rFonts w:ascii="宋体" w:hAnsi="宋体" w:cs="宋体"/>
      <w:kern w:val="0"/>
      <w:sz w:val="24"/>
    </w:rPr>
  </w:style>
  <w:style w:type="paragraph" w:customStyle="1" w:styleId="81">
    <w:name w:val="Other|1"/>
    <w:basedOn w:val="1"/>
    <w:qFormat/>
    <w:uiPriority w:val="0"/>
    <w:pPr>
      <w:spacing w:line="238" w:lineRule="exact"/>
      <w:jc w:val="center"/>
    </w:pPr>
    <w:rPr>
      <w:rFonts w:ascii="宋体" w:hAnsi="宋体" w:cs="宋体"/>
      <w:sz w:val="20"/>
      <w:szCs w:val="20"/>
      <w:lang w:val="zh-TW" w:eastAsia="zh-TW" w:bidi="zh-TW"/>
    </w:rPr>
  </w:style>
  <w:style w:type="character" w:customStyle="1" w:styleId="82">
    <w:name w:val="font31"/>
    <w:basedOn w:val="30"/>
    <w:qFormat/>
    <w:uiPriority w:val="0"/>
    <w:rPr>
      <w:rFonts w:hint="eastAsia" w:ascii="宋体" w:hAnsi="宋体" w:eastAsia="宋体" w:cs="宋体"/>
      <w:color w:val="FF0000"/>
      <w:sz w:val="20"/>
      <w:szCs w:val="20"/>
      <w:u w:val="none"/>
    </w:rPr>
  </w:style>
  <w:style w:type="paragraph" w:customStyle="1" w:styleId="83">
    <w:name w:val="批注框文本1"/>
    <w:basedOn w:val="1"/>
    <w:qFormat/>
    <w:uiPriority w:val="0"/>
    <w:rPr>
      <w:sz w:val="18"/>
      <w:szCs w:val="18"/>
    </w:rPr>
  </w:style>
  <w:style w:type="character" w:customStyle="1" w:styleId="84">
    <w:name w:val="font11"/>
    <w:basedOn w:val="30"/>
    <w:qFormat/>
    <w:uiPriority w:val="0"/>
    <w:rPr>
      <w:rFonts w:hint="eastAsia" w:ascii="宋体" w:hAnsi="宋体" w:eastAsia="宋体" w:cs="宋体"/>
      <w:color w:val="000000"/>
      <w:sz w:val="21"/>
      <w:szCs w:val="21"/>
      <w:u w:val="none"/>
    </w:rPr>
  </w:style>
  <w:style w:type="paragraph" w:customStyle="1" w:styleId="85">
    <w:name w:val="纯文本1"/>
    <w:basedOn w:val="40"/>
    <w:qFormat/>
    <w:uiPriority w:val="0"/>
    <w:rPr>
      <w:rFonts w:ascii="宋体" w:hAnsi="Courier New"/>
      <w:kern w:val="0"/>
      <w:sz w:val="20"/>
      <w:szCs w:val="20"/>
    </w:rPr>
  </w:style>
  <w:style w:type="paragraph" w:customStyle="1" w:styleId="86">
    <w:name w:val="WPSOffice手动目录 1"/>
    <w:qFormat/>
    <w:uiPriority w:val="0"/>
    <w:rPr>
      <w:rFonts w:ascii="Calibri" w:hAnsi="Calibri" w:eastAsia="宋体" w:cs="Times New Roman"/>
      <w:lang w:val="en-US" w:eastAsia="zh-CN" w:bidi="ar-SA"/>
    </w:rPr>
  </w:style>
  <w:style w:type="paragraph" w:customStyle="1" w:styleId="87">
    <w:name w:val="C503-正文格式"/>
    <w:basedOn w:val="1"/>
    <w:qFormat/>
    <w:uiPriority w:val="0"/>
    <w:pPr>
      <w:spacing w:line="360" w:lineRule="auto"/>
      <w:ind w:firstLine="480" w:firstLineChars="200"/>
    </w:pPr>
    <w:rPr>
      <w:rFonts w:ascii="Times New Roman" w:hAnsi="Times New Roman" w:eastAsia="仿宋" w:cs="宋体"/>
      <w:sz w:val="24"/>
      <w:szCs w:val="20"/>
    </w:rPr>
  </w:style>
  <w:style w:type="character" w:customStyle="1" w:styleId="88">
    <w:name w:val="font121"/>
    <w:basedOn w:val="30"/>
    <w:qFormat/>
    <w:uiPriority w:val="0"/>
    <w:rPr>
      <w:rFonts w:hint="default" w:ascii="Times New Roman" w:hAnsi="Times New Roman" w:cs="Times New Roman"/>
      <w:color w:val="000000"/>
      <w:sz w:val="18"/>
      <w:szCs w:val="18"/>
      <w:u w:val="none"/>
    </w:rPr>
  </w:style>
  <w:style w:type="character" w:customStyle="1" w:styleId="89">
    <w:name w:val="font131"/>
    <w:basedOn w:val="30"/>
    <w:uiPriority w:val="0"/>
    <w:rPr>
      <w:rFonts w:hint="default" w:ascii="Times New Roman" w:hAnsi="Times New Roman" w:cs="Times New Roman"/>
      <w:color w:val="000000"/>
      <w:sz w:val="18"/>
      <w:szCs w:val="18"/>
      <w:u w:val="none"/>
    </w:rPr>
  </w:style>
  <w:style w:type="character" w:customStyle="1" w:styleId="90">
    <w:name w:val="font91"/>
    <w:basedOn w:val="30"/>
    <w:uiPriority w:val="0"/>
    <w:rPr>
      <w:rFonts w:hint="default" w:ascii="Times New Roman" w:hAnsi="Times New Roman" w:cs="Times New Roman"/>
      <w:color w:val="000000"/>
      <w:sz w:val="18"/>
      <w:szCs w:val="18"/>
      <w:u w:val="none"/>
    </w:rPr>
  </w:style>
  <w:style w:type="character" w:customStyle="1" w:styleId="91">
    <w:name w:val="font71"/>
    <w:basedOn w:val="30"/>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46109</Words>
  <Characters>49774</Characters>
  <Lines>379</Lines>
  <Paragraphs>106</Paragraphs>
  <TotalTime>6</TotalTime>
  <ScaleCrop>false</ScaleCrop>
  <LinksUpToDate>false</LinksUpToDate>
  <CharactersWithSpaces>51899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2022-05-14T14:44:00Z</dcterms:created>
  <dc:creator>vicy_YY</dc:creator>
  <cp:lastModifiedBy>吴美娟</cp:lastModifiedBy>
  <cp:lastPrinted>2022-02-11T02:08:00Z</cp:lastPrinted>
  <dcterms:modified xsi:type="dcterms:W3CDTF">2022-06-15T08:38:04Z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36A64409DC604AFAACD54E3013221A82</vt:lpwstr>
  </property>
</Properties>
</file>