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s="仿宋"/>
          <w:b/>
          <w:sz w:val="48"/>
          <w:szCs w:val="48"/>
        </w:rPr>
      </w:pPr>
    </w:p>
    <w:p>
      <w:pPr>
        <w:snapToGrid w:val="0"/>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江山市智慧交通指挥中心改造提升项目</w:t>
      </w:r>
    </w:p>
    <w:p>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项目编号:</w:t>
      </w:r>
      <w:r>
        <w:rPr>
          <w:rFonts w:hint="eastAsia" w:ascii="仿宋" w:hAnsi="仿宋" w:eastAsia="仿宋" w:cs="仿宋"/>
          <w:sz w:val="32"/>
          <w:szCs w:val="32"/>
          <w:lang w:eastAsia="zh-CN"/>
        </w:rPr>
        <w:t>***</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72"/>
          <w:szCs w:val="72"/>
        </w:rPr>
      </w:pPr>
      <w:r>
        <w:rPr>
          <w:rFonts w:hint="eastAsia" w:ascii="仿宋" w:hAnsi="仿宋" w:eastAsia="仿宋" w:cs="仿宋"/>
          <w:b/>
          <w:sz w:val="72"/>
          <w:szCs w:val="72"/>
        </w:rPr>
        <w:t>公</w:t>
      </w:r>
    </w:p>
    <w:p>
      <w:pPr>
        <w:spacing w:line="360" w:lineRule="auto"/>
        <w:jc w:val="center"/>
        <w:rPr>
          <w:rFonts w:ascii="仿宋" w:hAnsi="仿宋" w:eastAsia="仿宋" w:cs="仿宋"/>
          <w:b/>
          <w:sz w:val="72"/>
          <w:szCs w:val="72"/>
        </w:rPr>
      </w:pPr>
      <w:r>
        <w:rPr>
          <w:rFonts w:hint="eastAsia" w:ascii="仿宋" w:hAnsi="仿宋" w:eastAsia="仿宋" w:cs="仿宋"/>
          <w:b/>
          <w:sz w:val="72"/>
          <w:szCs w:val="72"/>
        </w:rPr>
        <w:t>开</w:t>
      </w:r>
    </w:p>
    <w:p>
      <w:pPr>
        <w:spacing w:line="360" w:lineRule="auto"/>
        <w:jc w:val="center"/>
        <w:rPr>
          <w:rFonts w:ascii="仿宋" w:hAnsi="仿宋" w:eastAsia="仿宋" w:cs="仿宋"/>
          <w:b/>
          <w:sz w:val="72"/>
          <w:szCs w:val="72"/>
        </w:rPr>
      </w:pPr>
      <w:r>
        <w:rPr>
          <w:rFonts w:hint="eastAsia" w:ascii="仿宋" w:hAnsi="仿宋" w:eastAsia="仿宋" w:cs="仿宋"/>
          <w:b/>
          <w:sz w:val="72"/>
          <w:szCs w:val="72"/>
        </w:rPr>
        <w:t>招</w:t>
      </w:r>
    </w:p>
    <w:p>
      <w:pPr>
        <w:spacing w:line="360" w:lineRule="auto"/>
        <w:jc w:val="center"/>
        <w:rPr>
          <w:rFonts w:ascii="仿宋" w:hAnsi="仿宋" w:eastAsia="仿宋" w:cs="仿宋"/>
          <w:sz w:val="72"/>
          <w:szCs w:val="72"/>
        </w:rPr>
      </w:pPr>
      <w:r>
        <w:rPr>
          <w:rFonts w:hint="eastAsia" w:ascii="仿宋" w:hAnsi="仿宋" w:eastAsia="仿宋" w:cs="仿宋"/>
          <w:b/>
          <w:sz w:val="72"/>
          <w:szCs w:val="72"/>
        </w:rPr>
        <w:t>标</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spacing w:line="360" w:lineRule="auto"/>
        <w:jc w:val="center"/>
        <w:rPr>
          <w:rFonts w:ascii="仿宋" w:hAnsi="仿宋" w:eastAsia="仿宋" w:cs="仿宋"/>
          <w:sz w:val="24"/>
        </w:rPr>
      </w:pPr>
    </w:p>
    <w:p>
      <w:pPr>
        <w:spacing w:line="360" w:lineRule="auto"/>
        <w:rPr>
          <w:rFonts w:ascii="仿宋" w:hAnsi="仿宋" w:eastAsia="仿宋" w:cs="仿宋"/>
          <w:sz w:val="32"/>
          <w:szCs w:val="32"/>
        </w:rPr>
      </w:pPr>
    </w:p>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rPr>
        <w:t>采购单位：江山市公安局</w:t>
      </w:r>
      <w:r>
        <w:rPr>
          <w:rFonts w:hint="eastAsia" w:ascii="仿宋" w:hAnsi="仿宋" w:eastAsia="仿宋" w:cs="仿宋"/>
          <w:sz w:val="32"/>
          <w:szCs w:val="32"/>
          <w:lang w:val="en-US" w:eastAsia="zh-CN"/>
        </w:rPr>
        <w:t>交通警察大队</w:t>
      </w:r>
    </w:p>
    <w:p>
      <w:pPr>
        <w:spacing w:line="360" w:lineRule="auto"/>
        <w:jc w:val="center"/>
        <w:rPr>
          <w:rFonts w:ascii="仿宋" w:hAnsi="仿宋" w:eastAsia="仿宋" w:cs="仿宋"/>
          <w:bCs/>
          <w:sz w:val="32"/>
          <w:szCs w:val="32"/>
        </w:rPr>
      </w:pPr>
      <w:r>
        <w:rPr>
          <w:rFonts w:hint="eastAsia" w:ascii="仿宋" w:hAnsi="仿宋" w:eastAsia="仿宋" w:cs="仿宋"/>
          <w:bCs/>
          <w:sz w:val="32"/>
          <w:szCs w:val="32"/>
        </w:rPr>
        <w:t xml:space="preserve"> 采购代理机构：江山市政府采购中心</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二〇二二年</w:t>
      </w:r>
      <w:r>
        <w:rPr>
          <w:rFonts w:hint="eastAsia" w:ascii="仿宋" w:hAnsi="仿宋" w:eastAsia="仿宋" w:cs="仿宋"/>
          <w:bCs/>
          <w:sz w:val="32"/>
          <w:szCs w:val="32"/>
          <w:lang w:val="en-US" w:eastAsia="zh-CN"/>
        </w:rPr>
        <w:t>十一</w:t>
      </w:r>
      <w:r>
        <w:rPr>
          <w:rFonts w:hint="eastAsia" w:ascii="仿宋" w:hAnsi="仿宋" w:eastAsia="仿宋" w:cs="仿宋"/>
          <w:bCs/>
          <w:sz w:val="32"/>
          <w:szCs w:val="32"/>
        </w:rPr>
        <w:t>月</w:t>
      </w:r>
    </w:p>
    <w:p>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江山市智慧交通指挥中心改造提升项目</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"https://www.zcygov.cn/）获取（下载）招标文件，并于2021年" </w:instrText>
      </w:r>
      <w:r>
        <w:fldChar w:fldCharType="separate"/>
      </w:r>
      <w:r>
        <w:rPr>
          <w:rStyle w:val="86"/>
          <w:rFonts w:hint="eastAsia" w:ascii="仿宋" w:hAnsi="仿宋" w:eastAsia="仿宋" w:cs="仿宋"/>
          <w:sz w:val="24"/>
        </w:rPr>
        <w:t>https://www.zcygov.cn/）获取（下载）招标文件，并于</w:t>
      </w:r>
      <w:r>
        <w:rPr>
          <w:rFonts w:hint="eastAsia" w:ascii="仿宋" w:hAnsi="仿宋" w:eastAsia="仿宋" w:cs="仿宋"/>
          <w:sz w:val="24"/>
          <w:u w:val="single"/>
        </w:rPr>
        <w:t>2022年</w:t>
      </w:r>
      <w:r>
        <w:rPr>
          <w:rFonts w:hint="eastAsia" w:ascii="仿宋" w:hAnsi="仿宋" w:eastAsia="仿宋" w:cs="仿宋"/>
          <w:sz w:val="24"/>
          <w:u w:val="single"/>
          <w:lang w:val="en-US" w:eastAsia="zh-CN"/>
        </w:rPr>
        <w:t>11月10</w:t>
      </w:r>
      <w:r>
        <w:rPr>
          <w:rFonts w:hint="eastAsia" w:ascii="仿宋" w:hAnsi="仿宋" w:eastAsia="仿宋" w:cs="仿宋"/>
          <w:sz w:val="24"/>
          <w:u w:val="single"/>
          <w:lang w:eastAsia="zh-CN"/>
        </w:rPr>
        <w:t>日</w:t>
      </w:r>
      <w:r>
        <w:rPr>
          <w:rFonts w:hint="eastAsia" w:ascii="仿宋" w:hAnsi="仿宋" w:eastAsia="仿宋" w:cs="仿宋"/>
          <w:sz w:val="24"/>
          <w:u w:val="single"/>
        </w:rPr>
        <w:t>9点00分</w:t>
      </w:r>
      <w:r>
        <w:rPr>
          <w:rFonts w:hint="eastAsia" w:ascii="仿宋" w:hAnsi="仿宋" w:eastAsia="仿宋" w:cs="仿宋"/>
          <w:bCs/>
          <w:sz w:val="24"/>
          <w:u w:val="single"/>
        </w:rPr>
        <w:t>00秒</w:t>
      </w:r>
      <w:r>
        <w:rPr>
          <w:rFonts w:hint="eastAsia" w:ascii="仿宋" w:hAnsi="仿宋" w:eastAsia="仿宋" w:cs="仿宋"/>
          <w:bCs/>
          <w:sz w:val="24"/>
          <w:u w:val="single"/>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pStyle w:val="151"/>
        <w:numPr>
          <w:ilvl w:val="0"/>
          <w:numId w:val="5"/>
        </w:numPr>
        <w:ind w:firstLineChars="0"/>
        <w:rPr>
          <w:rFonts w:ascii="仿宋" w:hAnsi="仿宋" w:eastAsia="仿宋" w:cs="仿宋"/>
          <w:b/>
        </w:rPr>
      </w:pPr>
      <w:r>
        <w:rPr>
          <w:rFonts w:hint="eastAsia" w:ascii="仿宋" w:hAnsi="仿宋" w:eastAsia="仿宋" w:cs="仿宋"/>
          <w:b/>
        </w:rPr>
        <w:t>招标公告发布前事项：</w:t>
      </w:r>
    </w:p>
    <w:p>
      <w:pPr>
        <w:pStyle w:val="151"/>
        <w:numPr>
          <w:ilvl w:val="0"/>
          <w:numId w:val="9"/>
        </w:numPr>
        <w:ind w:left="720" w:firstLine="0" w:firstLineChars="0"/>
        <w:rPr>
          <w:rFonts w:ascii="仿宋" w:hAnsi="仿宋" w:eastAsia="仿宋" w:cs="仿宋"/>
          <w:u w:val="single"/>
        </w:rPr>
      </w:pPr>
      <w:r>
        <w:rPr>
          <w:rFonts w:hint="eastAsia" w:ascii="仿宋" w:hAnsi="仿宋" w:eastAsia="仿宋" w:cs="仿宋"/>
        </w:rPr>
        <w:t>意向公开的发布链接:</w:t>
      </w:r>
    </w:p>
    <w:p>
      <w:pPr>
        <w:pStyle w:val="151"/>
        <w:numPr>
          <w:ilvl w:val="0"/>
          <w:numId w:val="0"/>
        </w:numPr>
        <w:ind w:left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https://zfcg.czt.zj.gov.cn/innerUsed_noticeDetails/index.html?noticeId=8659173&amp;utm=web-government-front.49399a16.0.0.cdda28c060bf11edb0fa8530c72575ca</w:t>
      </w:r>
    </w:p>
    <w:p>
      <w:pPr>
        <w:pStyle w:val="151"/>
        <w:numPr>
          <w:ilvl w:val="0"/>
          <w:numId w:val="5"/>
        </w:numPr>
        <w:ind w:firstLineChars="0"/>
        <w:rPr>
          <w:rFonts w:ascii="仿宋" w:hAnsi="仿宋" w:eastAsia="仿宋" w:cs="仿宋"/>
          <w:b/>
        </w:rPr>
      </w:pPr>
      <w:r>
        <w:rPr>
          <w:rFonts w:hint="eastAsia" w:ascii="仿宋" w:hAnsi="仿宋" w:eastAsia="仿宋" w:cs="仿宋"/>
          <w:b/>
        </w:rPr>
        <w:t xml:space="preserve">项目基本情况                                            </w:t>
      </w:r>
    </w:p>
    <w:p>
      <w:pPr>
        <w:spacing w:line="360" w:lineRule="auto"/>
        <w:rPr>
          <w:rFonts w:hint="default" w:ascii="仿宋" w:hAnsi="仿宋" w:eastAsia="仿宋" w:cs="仿宋"/>
          <w:sz w:val="24"/>
          <w:lang w:val="en-US" w:eastAsia="zh-CN"/>
        </w:rPr>
      </w:pPr>
      <w:r>
        <w:rPr>
          <w:rFonts w:hint="eastAsia" w:ascii="仿宋" w:hAnsi="仿宋" w:eastAsia="仿宋" w:cs="仿宋"/>
          <w:b/>
          <w:sz w:val="24"/>
        </w:rPr>
        <w:t>项目编号：</w:t>
      </w:r>
      <w:r>
        <w:rPr>
          <w:rFonts w:hint="eastAsia" w:ascii="仿宋" w:hAnsi="仿宋" w:eastAsia="仿宋" w:cs="仿宋"/>
          <w:b/>
          <w:sz w:val="24"/>
          <w:lang w:val="en-US" w:eastAsia="zh-CN"/>
        </w:rPr>
        <w:t>***</w:t>
      </w:r>
    </w:p>
    <w:p>
      <w:pPr>
        <w:spacing w:line="360" w:lineRule="auto"/>
        <w:ind w:firstLine="480"/>
        <w:rPr>
          <w:rFonts w:hint="eastAsia" w:ascii="仿宋" w:hAnsi="仿宋" w:eastAsia="仿宋" w:cs="仿宋"/>
          <w:sz w:val="24"/>
          <w:lang w:eastAsia="zh-CN"/>
        </w:rPr>
      </w:pPr>
      <w:r>
        <w:rPr>
          <w:rFonts w:hint="eastAsia" w:ascii="仿宋" w:hAnsi="仿宋" w:eastAsia="仿宋" w:cs="仿宋"/>
          <w:b/>
          <w:sz w:val="24"/>
        </w:rPr>
        <w:t>项目名称：</w:t>
      </w:r>
      <w:r>
        <w:rPr>
          <w:rFonts w:hint="eastAsia" w:ascii="仿宋" w:hAnsi="仿宋" w:eastAsia="仿宋" w:cs="仿宋"/>
          <w:sz w:val="24"/>
          <w:lang w:eastAsia="zh-CN"/>
        </w:rPr>
        <w:t>江山市智慧交通指挥中心改造提升项目</w:t>
      </w:r>
    </w:p>
    <w:p>
      <w:pPr>
        <w:spacing w:line="360" w:lineRule="auto"/>
        <w:ind w:firstLine="480"/>
        <w:rPr>
          <w:rFonts w:ascii="仿宋" w:hAnsi="仿宋" w:eastAsia="仿宋" w:cs="仿宋"/>
          <w:b/>
          <w:sz w:val="24"/>
        </w:rPr>
      </w:pPr>
      <w:r>
        <w:rPr>
          <w:rFonts w:hint="eastAsia" w:ascii="仿宋" w:hAnsi="仿宋" w:eastAsia="仿宋" w:cs="仿宋"/>
          <w:b/>
          <w:sz w:val="24"/>
        </w:rPr>
        <w:t>预算金额（元）：</w:t>
      </w:r>
      <w:r>
        <w:rPr>
          <w:rFonts w:hint="eastAsia" w:ascii="仿宋" w:hAnsi="仿宋" w:eastAsia="仿宋" w:cs="仿宋"/>
          <w:b/>
          <w:sz w:val="24"/>
          <w:lang w:val="en-US" w:eastAsia="zh-CN"/>
        </w:rPr>
        <w:t>14200000.00</w:t>
      </w:r>
      <w:r>
        <w:rPr>
          <w:rFonts w:hint="eastAsia" w:ascii="仿宋" w:hAnsi="仿宋" w:eastAsia="仿宋" w:cs="仿宋"/>
          <w:b/>
          <w:sz w:val="24"/>
        </w:rPr>
        <w:t xml:space="preserve">元  </w:t>
      </w:r>
    </w:p>
    <w:p>
      <w:pPr>
        <w:pStyle w:val="8"/>
        <w:spacing w:line="360" w:lineRule="auto"/>
        <w:ind w:firstLine="480"/>
        <w:rPr>
          <w:rFonts w:ascii="仿宋" w:hAnsi="仿宋" w:eastAsia="仿宋" w:cs="仿宋"/>
          <w:b/>
          <w:color w:val="auto"/>
          <w:sz w:val="24"/>
          <w:szCs w:val="24"/>
        </w:rPr>
      </w:pPr>
      <w:r>
        <w:rPr>
          <w:rFonts w:hint="eastAsia" w:ascii="仿宋" w:hAnsi="仿宋" w:eastAsia="仿宋" w:cs="仿宋"/>
          <w:b/>
          <w:snapToGrid/>
          <w:color w:val="auto"/>
          <w:kern w:val="2"/>
          <w:sz w:val="24"/>
          <w:szCs w:val="24"/>
        </w:rPr>
        <w:t>主要内容</w:t>
      </w:r>
      <w:r>
        <w:rPr>
          <w:rFonts w:hint="eastAsia" w:ascii="仿宋" w:hAnsi="仿宋" w:eastAsia="仿宋" w:cs="仿宋"/>
          <w:bCs/>
          <w:snapToGrid/>
          <w:color w:val="auto"/>
          <w:kern w:val="2"/>
          <w:sz w:val="24"/>
          <w:szCs w:val="24"/>
        </w:rPr>
        <w:t>：</w:t>
      </w:r>
      <w:r>
        <w:rPr>
          <w:rFonts w:hint="eastAsia" w:ascii="仿宋" w:hAnsi="仿宋" w:eastAsia="仿宋" w:cs="仿宋"/>
          <w:bCs/>
          <w:snapToGrid/>
          <w:color w:val="auto"/>
          <w:kern w:val="2"/>
          <w:sz w:val="24"/>
          <w:szCs w:val="24"/>
          <w:lang w:val="en-US" w:eastAsia="zh-CN"/>
        </w:rPr>
        <w:t>交通事故指挥中心软硬件</w:t>
      </w:r>
      <w:r>
        <w:rPr>
          <w:rFonts w:hint="eastAsia" w:ascii="仿宋" w:hAnsi="仿宋" w:eastAsia="仿宋" w:cs="仿宋"/>
          <w:color w:val="auto"/>
          <w:sz w:val="24"/>
          <w:szCs w:val="24"/>
        </w:rPr>
        <w:t>建设</w:t>
      </w:r>
      <w:r>
        <w:rPr>
          <w:rFonts w:hint="eastAsia" w:ascii="仿宋" w:hAnsi="仿宋" w:eastAsia="仿宋" w:cs="仿宋"/>
          <w:sz w:val="24"/>
          <w:szCs w:val="24"/>
        </w:rPr>
        <w:t>。</w:t>
      </w:r>
    </w:p>
    <w:p>
      <w:pPr>
        <w:pStyle w:val="8"/>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szCs w:val="24"/>
        </w:rPr>
        <w:t>采购需求：</w:t>
      </w:r>
      <w:r>
        <w:rPr>
          <w:rFonts w:hint="eastAsia" w:ascii="仿宋" w:hAnsi="仿宋" w:eastAsia="仿宋" w:cs="仿宋"/>
          <w:bCs/>
          <w:snapToGrid/>
          <w:color w:val="auto"/>
          <w:kern w:val="2"/>
          <w:sz w:val="24"/>
          <w:szCs w:val="24"/>
        </w:rPr>
        <w:t>详见招标文件第三部分采购需求。</w:t>
      </w:r>
    </w:p>
    <w:p>
      <w:pPr>
        <w:pStyle w:val="212"/>
        <w:ind w:firstLine="482"/>
        <w:outlineLvl w:val="2"/>
        <w:rPr>
          <w:rFonts w:ascii="仿宋" w:hAnsi="仿宋" w:eastAsia="仿宋" w:cs="仿宋"/>
          <w:szCs w:val="24"/>
        </w:rPr>
      </w:pPr>
      <w:r>
        <w:rPr>
          <w:rFonts w:hint="eastAsia" w:ascii="仿宋" w:hAnsi="仿宋" w:eastAsia="仿宋" w:cs="仿宋"/>
          <w:b/>
          <w:szCs w:val="24"/>
        </w:rPr>
        <w:t>合同履约期限：</w:t>
      </w:r>
    </w:p>
    <w:p>
      <w:pPr>
        <w:pStyle w:val="8"/>
        <w:spacing w:line="360" w:lineRule="auto"/>
        <w:ind w:firstLine="480"/>
        <w:rPr>
          <w:rFonts w:ascii="仿宋" w:hAnsi="仿宋" w:eastAsia="仿宋" w:cs="仿宋"/>
          <w:b/>
          <w:color w:val="auto"/>
          <w:sz w:val="24"/>
          <w:szCs w:val="24"/>
        </w:rPr>
      </w:pPr>
      <w:r>
        <w:rPr>
          <w:rFonts w:hint="eastAsia" w:ascii="仿宋" w:hAnsi="仿宋" w:eastAsia="仿宋" w:cs="仿宋"/>
          <w:b/>
          <w:color w:val="auto"/>
          <w:sz w:val="24"/>
          <w:szCs w:val="24"/>
        </w:rPr>
        <w:t>本项目接受联合体投标：</w:t>
      </w:r>
      <w:r>
        <w:rPr>
          <w:rFonts w:hint="eastAsia" w:ascii="仿宋" w:hAnsi="仿宋" w:eastAsia="仿宋" w:cs="仿宋"/>
          <w:color w:val="auto"/>
          <w:kern w:val="0"/>
          <w:sz w:val="24"/>
          <w:szCs w:val="24"/>
        </w:rPr>
        <w:sym w:font="Wingdings" w:char="00A8"/>
      </w:r>
      <w:r>
        <w:rPr>
          <w:rFonts w:hint="eastAsia" w:ascii="仿宋" w:hAnsi="仿宋" w:eastAsia="仿宋" w:cs="仿宋"/>
          <w:b/>
          <w:color w:val="auto"/>
          <w:sz w:val="24"/>
          <w:szCs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szCs w:val="24"/>
        </w:rPr>
        <w:t>否</w:t>
      </w:r>
      <w:r>
        <w:rPr>
          <w:rFonts w:hint="eastAsia" w:ascii="仿宋" w:hAnsi="仿宋" w:eastAsia="仿宋" w:cs="仿宋"/>
          <w:color w:val="auto"/>
          <w:kern w:val="0"/>
          <w:sz w:val="24"/>
          <w:szCs w:val="24"/>
        </w:rPr>
        <w:t>。</w:t>
      </w:r>
    </w:p>
    <w:p>
      <w:pPr>
        <w:spacing w:line="360" w:lineRule="auto"/>
        <w:rPr>
          <w:rFonts w:ascii="仿宋" w:hAnsi="仿宋" w:eastAsia="仿宋" w:cs="仿宋"/>
          <w:b/>
          <w:sz w:val="24"/>
        </w:rPr>
      </w:pPr>
      <w:r>
        <w:rPr>
          <w:rFonts w:hint="eastAsia" w:ascii="仿宋" w:hAnsi="仿宋" w:eastAsia="仿宋" w:cs="仿宋"/>
          <w:b/>
          <w:sz w:val="24"/>
        </w:rPr>
        <w:t>三、申请人的资格要求：</w:t>
      </w:r>
    </w:p>
    <w:p>
      <w:pPr>
        <w:spacing w:line="360" w:lineRule="auto"/>
        <w:ind w:firstLine="480"/>
        <w:rPr>
          <w:rFonts w:ascii="仿宋" w:hAnsi="仿宋" w:eastAsia="仿宋" w:cs="仿宋"/>
          <w:snapToGrid w:val="0"/>
          <w:kern w:val="28"/>
          <w:sz w:val="24"/>
        </w:rPr>
      </w:pPr>
      <w:r>
        <w:rPr>
          <w:rFonts w:hint="eastAsia" w:ascii="仿宋" w:hAnsi="仿宋" w:eastAsia="仿宋" w:cs="仿宋"/>
          <w:snapToGrid w:val="0"/>
          <w:kern w:val="28"/>
          <w:sz w:val="24"/>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 xml:space="preserve">    2.落实政府采购政策需满足的资格要求：</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无；</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u w:val="single"/>
        </w:rPr>
      </w:pPr>
      <w:r>
        <w:rPr>
          <w:rFonts w:hint="eastAsia" w:ascii="仿宋" w:hAnsi="仿宋" w:eastAsia="仿宋" w:cs="仿宋"/>
          <w:kern w:val="0"/>
          <w:sz w:val="24"/>
        </w:rPr>
        <w:sym w:font="Wingdings" w:char="00A8"/>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服务全部由符合政策要求的小微企业承接，提供中小企业声明函；</w:t>
      </w:r>
    </w:p>
    <w:p>
      <w:pPr>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pacing w:val="8"/>
          <w:kern w:val="0"/>
          <w:sz w:val="24"/>
        </w:rPr>
      </w:pPr>
      <w:r>
        <w:rPr>
          <w:rFonts w:hint="eastAsia" w:ascii="仿宋" w:hAnsi="仿宋" w:eastAsia="仿宋" w:cs="仿宋"/>
          <w:kern w:val="0"/>
          <w:sz w:val="24"/>
        </w:rPr>
        <w:sym w:font="Wingdings" w:char="00A8"/>
      </w:r>
      <w:r>
        <w:rPr>
          <w:rFonts w:hint="eastAsia" w:ascii="仿宋" w:hAnsi="仿宋" w:eastAsia="仿宋" w:cs="仿宋"/>
          <w:spacing w:val="8"/>
          <w:kern w:val="0"/>
          <w:sz w:val="24"/>
        </w:rPr>
        <w:t>要求合同分包，提供分包意向协议和中小企业声明函，分包意向协议中中小企业合同金额应当达到达到 40 % ，小微企业合同金额应当达到40 % ;如果供应商本身提供所有标的均由中小企业制造、承建或承接，视同符合了资格条件，无需再向中小企业分包，无需提供分包意向协议；</w:t>
      </w:r>
    </w:p>
    <w:p>
      <w:pPr>
        <w:numPr>
          <w:ilvl w:val="0"/>
          <w:numId w:val="10"/>
        </w:numPr>
        <w:snapToGrid w:val="0"/>
        <w:spacing w:line="360" w:lineRule="auto"/>
        <w:ind w:firstLine="480" w:firstLineChars="200"/>
        <w:rPr>
          <w:rFonts w:ascii="仿宋" w:hAnsi="仿宋" w:eastAsia="仿宋" w:cs="仿宋"/>
          <w:sz w:val="24"/>
        </w:rPr>
      </w:pPr>
      <w:r>
        <w:rPr>
          <w:rFonts w:hint="eastAsia" w:ascii="仿宋" w:hAnsi="仿宋" w:eastAsia="仿宋" w:cs="仿宋"/>
          <w:sz w:val="24"/>
        </w:rPr>
        <w:t>在中华人民共和国境内注册，具有独立法人资格（网络运营商除外），能承担本项目的制造商、经销商、代理商。</w:t>
      </w:r>
    </w:p>
    <w:p>
      <w:pPr>
        <w:numPr>
          <w:ilvl w:val="0"/>
          <w:numId w:val="10"/>
        </w:numPr>
        <w:snapToGrid w:val="0"/>
        <w:spacing w:line="360" w:lineRule="auto"/>
        <w:ind w:firstLine="480" w:firstLineChars="200"/>
        <w:rPr>
          <w:rFonts w:ascii="仿宋" w:hAnsi="仿宋" w:eastAsia="仿宋" w:cs="仿宋"/>
          <w:sz w:val="24"/>
        </w:rPr>
      </w:pPr>
      <w:r>
        <w:rPr>
          <w:rFonts w:hint="eastAsia" w:ascii="仿宋" w:hAnsi="仿宋" w:eastAsia="仿宋" w:cs="仿宋"/>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四、获取招标文件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2022年</w:t>
      </w:r>
      <w:r>
        <w:rPr>
          <w:rFonts w:hint="eastAsia" w:ascii="仿宋" w:hAnsi="仿宋" w:eastAsia="仿宋" w:cs="仿宋"/>
          <w:sz w:val="24"/>
          <w:u w:val="single"/>
          <w:lang w:eastAsia="zh-CN"/>
        </w:rPr>
        <w:t>月日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0</w:t>
      </w:r>
    </w:p>
    <w:p>
      <w:pPr>
        <w:spacing w:line="360" w:lineRule="auto"/>
        <w:rPr>
          <w:rFonts w:ascii="仿宋" w:hAnsi="仿宋" w:eastAsia="仿宋" w:cs="仿宋"/>
          <w:b/>
          <w:sz w:val="24"/>
        </w:rPr>
      </w:pPr>
      <w:r>
        <w:rPr>
          <w:rFonts w:hint="eastAsia" w:ascii="仿宋" w:hAnsi="仿宋" w:eastAsia="仿宋" w:cs="仿宋"/>
          <w:b/>
          <w:sz w:val="24"/>
        </w:rPr>
        <w:t>五、提交投标文件截止时间、开标时间和地点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2022年</w:t>
      </w:r>
      <w:r>
        <w:rPr>
          <w:rFonts w:hint="eastAsia" w:ascii="仿宋" w:hAnsi="仿宋" w:eastAsia="仿宋" w:cs="仿宋"/>
          <w:sz w:val="24"/>
          <w:u w:val="single"/>
          <w:lang w:eastAsia="zh-CN"/>
        </w:rPr>
        <w:t>月日</w:t>
      </w:r>
      <w:r>
        <w:rPr>
          <w:rFonts w:hint="eastAsia" w:ascii="仿宋" w:hAnsi="仿宋" w:eastAsia="仿宋" w:cs="仿宋"/>
          <w:sz w:val="24"/>
          <w:u w:val="single"/>
        </w:rPr>
        <w:t>9点00分</w:t>
      </w:r>
      <w:r>
        <w:rPr>
          <w:rFonts w:hint="eastAsia" w:ascii="仿宋" w:hAnsi="仿宋" w:eastAsia="仿宋" w:cs="仿宋"/>
          <w:bCs/>
          <w:sz w:val="24"/>
          <w:u w:val="single"/>
        </w:rPr>
        <w:t>00秒</w:t>
      </w:r>
      <w:r>
        <w:rPr>
          <w:rFonts w:hint="eastAsia" w:ascii="仿宋" w:hAnsi="仿宋" w:eastAsia="仿宋" w:cs="仿宋"/>
          <w:sz w:val="24"/>
        </w:rPr>
        <w:t>（北京时间）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2022年</w:t>
      </w:r>
      <w:r>
        <w:rPr>
          <w:rFonts w:hint="eastAsia" w:ascii="仿宋" w:hAnsi="仿宋" w:eastAsia="仿宋" w:cs="仿宋"/>
          <w:sz w:val="24"/>
          <w:u w:val="single"/>
          <w:lang w:eastAsia="zh-CN"/>
        </w:rPr>
        <w:t>月日</w:t>
      </w:r>
      <w:r>
        <w:rPr>
          <w:rFonts w:hint="eastAsia" w:ascii="仿宋" w:hAnsi="仿宋" w:eastAsia="仿宋" w:cs="仿宋"/>
          <w:sz w:val="24"/>
          <w:u w:val="single"/>
        </w:rPr>
        <w:t>9点00分</w:t>
      </w:r>
      <w:r>
        <w:rPr>
          <w:rFonts w:hint="eastAsia" w:ascii="仿宋" w:hAnsi="仿宋" w:eastAsia="仿宋" w:cs="仿宋"/>
          <w:bCs/>
          <w:sz w:val="24"/>
          <w:u w:val="single"/>
        </w:rPr>
        <w:t>00秒</w:t>
      </w:r>
      <w:r>
        <w:rPr>
          <w:rFonts w:hint="eastAsia" w:ascii="仿宋" w:hAnsi="仿宋" w:eastAsia="仿宋" w:cs="仿宋"/>
          <w:sz w:val="24"/>
        </w:rPr>
        <w:t>（北京时间）</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ascii="仿宋" w:hAnsi="仿宋" w:eastAsia="仿宋" w:cs="仿宋"/>
          <w:sz w:val="24"/>
        </w:rPr>
      </w:pPr>
      <w:r>
        <w:rPr>
          <w:rFonts w:hint="eastAsia" w:ascii="仿宋" w:hAnsi="仿宋" w:eastAsia="仿宋" w:cs="仿宋"/>
          <w:b/>
          <w:sz w:val="24"/>
        </w:rPr>
        <w:t xml:space="preserve">六、公告期限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七、其他补充事宜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仿宋" w:hAnsi="仿宋" w:eastAsia="仿宋" w:cs="仿宋"/>
          <w:b/>
          <w:sz w:val="24"/>
        </w:rPr>
      </w:pPr>
      <w:r>
        <w:rPr>
          <w:rFonts w:hint="eastAsia" w:ascii="仿宋" w:hAnsi="仿宋" w:eastAsia="仿宋" w:cs="仿宋"/>
          <w:b/>
          <w:sz w:val="24"/>
        </w:rPr>
        <w:t>八、对本次采购提出询问、质疑、投诉，请按以下方式联系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rPr>
          <w:rFonts w:ascii="仿宋_GB2312" w:hAnsi="仿宋" w:eastAsia="仿宋_GB2312"/>
          <w:sz w:val="24"/>
        </w:rPr>
      </w:pPr>
      <w:r>
        <w:rPr>
          <w:rFonts w:ascii="仿宋_GB2312" w:hAnsi="仿宋" w:eastAsia="仿宋_GB2312"/>
          <w:sz w:val="24"/>
        </w:rPr>
        <w:t xml:space="preserve">    名    称：</w:t>
      </w:r>
      <w:r>
        <w:rPr>
          <w:rFonts w:hint="eastAsia" w:ascii="仿宋_GB2312" w:hAnsi="仿宋" w:eastAsia="仿宋_GB2312"/>
          <w:sz w:val="24"/>
        </w:rPr>
        <w:t>江山市公安局交通警察大队</w:t>
      </w:r>
    </w:p>
    <w:p>
      <w:pPr>
        <w:spacing w:line="360" w:lineRule="auto"/>
        <w:rPr>
          <w:rFonts w:hint="eastAsia" w:ascii="仿宋_GB2312" w:hAnsi="仿宋" w:eastAsia="仿宋_GB2312"/>
          <w:sz w:val="24"/>
        </w:rPr>
      </w:pPr>
      <w:r>
        <w:rPr>
          <w:rFonts w:ascii="仿宋_GB2312" w:hAnsi="仿宋" w:eastAsia="仿宋_GB2312"/>
          <w:sz w:val="24"/>
        </w:rPr>
        <w:t xml:space="preserve">    地    址：</w:t>
      </w:r>
      <w:r>
        <w:rPr>
          <w:rFonts w:hint="eastAsia" w:ascii="仿宋_GB2312" w:hAnsi="仿宋" w:eastAsia="仿宋_GB2312"/>
          <w:sz w:val="24"/>
        </w:rPr>
        <w:t>江山市江滨南路1号</w:t>
      </w:r>
    </w:p>
    <w:p>
      <w:pPr>
        <w:spacing w:line="360" w:lineRule="auto"/>
        <w:ind w:firstLine="480"/>
        <w:rPr>
          <w:rFonts w:ascii="仿宋" w:hAnsi="仿宋" w:eastAsia="仿宋"/>
          <w:sz w:val="24"/>
        </w:rPr>
      </w:pPr>
      <w:r>
        <w:rPr>
          <w:rFonts w:hint="eastAsia" w:ascii="仿宋_GB2312" w:hAnsi="仿宋" w:eastAsia="仿宋_GB2312"/>
          <w:sz w:val="24"/>
        </w:rPr>
        <w:t>传</w:t>
      </w:r>
      <w:r>
        <w:rPr>
          <w:rFonts w:ascii="仿宋_GB2312" w:hAnsi="仿宋" w:eastAsia="仿宋_GB2312"/>
          <w:sz w:val="24"/>
        </w:rPr>
        <w:t xml:space="preserve">    真： </w:t>
      </w:r>
      <w:r>
        <w:rPr>
          <w:rFonts w:ascii="仿宋" w:hAnsi="仿宋" w:eastAsia="仿宋"/>
          <w:sz w:val="24"/>
        </w:rPr>
        <w:t>/</w:t>
      </w:r>
    </w:p>
    <w:p>
      <w:pPr>
        <w:spacing w:line="360" w:lineRule="auto"/>
        <w:ind w:firstLine="480"/>
        <w:rPr>
          <w:rFonts w:hint="eastAsia" w:ascii="仿宋_GB2312" w:hAnsi="仿宋" w:eastAsia="仿宋_GB2312"/>
          <w:sz w:val="24"/>
        </w:rPr>
      </w:pPr>
      <w:r>
        <w:rPr>
          <w:rFonts w:hint="eastAsia" w:ascii="仿宋_GB2312" w:hAnsi="仿宋" w:eastAsia="仿宋_GB2312"/>
          <w:sz w:val="24"/>
        </w:rPr>
        <w:t>项目联系人（询问）： 毛先生</w:t>
      </w:r>
    </w:p>
    <w:p>
      <w:pPr>
        <w:pStyle w:val="6"/>
        <w:ind w:left="433" w:leftChars="202" w:hanging="9" w:hangingChars="4"/>
        <w:jc w:val="both"/>
        <w:rPr>
          <w:b w:val="0"/>
          <w:bCs w:val="0"/>
          <w:lang w:val="en-US"/>
        </w:rPr>
      </w:pPr>
      <w:r>
        <w:rPr>
          <w:b w:val="0"/>
          <w:bCs w:val="0"/>
          <w:sz w:val="24"/>
        </w:rPr>
        <w:t>联系方式</w:t>
      </w:r>
      <w:r>
        <w:rPr>
          <w:rFonts w:hint="eastAsia"/>
          <w:b w:val="0"/>
          <w:bCs w:val="0"/>
          <w:sz w:val="24"/>
        </w:rPr>
        <w:t>：0570-4046118</w:t>
      </w:r>
    </w:p>
    <w:p>
      <w:pPr>
        <w:spacing w:line="360" w:lineRule="auto"/>
        <w:ind w:firstLine="480"/>
        <w:rPr>
          <w:rFonts w:hint="eastAsia" w:ascii="仿宋" w:hAnsi="仿宋" w:eastAsia="仿宋_GB2312"/>
          <w:sz w:val="24"/>
        </w:rPr>
      </w:pPr>
      <w:r>
        <w:rPr>
          <w:rFonts w:ascii="仿宋_GB2312" w:hAnsi="仿宋" w:eastAsia="仿宋_GB2312"/>
          <w:sz w:val="24"/>
        </w:rPr>
        <w:t>质疑联系人：</w:t>
      </w:r>
      <w:r>
        <w:rPr>
          <w:rFonts w:hint="eastAsia" w:ascii="仿宋_GB2312" w:hAnsi="仿宋" w:eastAsia="仿宋_GB2312"/>
          <w:sz w:val="24"/>
        </w:rPr>
        <w:t>何先生</w:t>
      </w:r>
    </w:p>
    <w:p>
      <w:pPr>
        <w:spacing w:line="360" w:lineRule="auto"/>
        <w:rPr>
          <w:rFonts w:hint="eastAsia" w:ascii="仿宋_GB2312" w:hAnsi="仿宋" w:eastAsia="仿宋_GB2312"/>
          <w:sz w:val="24"/>
        </w:rPr>
      </w:pPr>
      <w:r>
        <w:rPr>
          <w:rFonts w:ascii="仿宋_GB2312" w:hAnsi="仿宋" w:eastAsia="仿宋_GB2312"/>
          <w:sz w:val="24"/>
        </w:rPr>
        <w:t xml:space="preserve">    质疑联系方式：</w:t>
      </w:r>
      <w:r>
        <w:rPr>
          <w:rFonts w:hint="eastAsia" w:ascii="仿宋_GB2312" w:hAnsi="仿宋" w:eastAsia="仿宋_GB2312"/>
          <w:sz w:val="24"/>
        </w:rPr>
        <w:t>0570-4046400</w:t>
      </w:r>
    </w:p>
    <w:p>
      <w:pPr>
        <w:spacing w:line="360" w:lineRule="auto"/>
        <w:rPr>
          <w:rFonts w:ascii="仿宋" w:hAnsi="仿宋" w:eastAsia="仿宋" w:cs="仿宋"/>
          <w:sz w:val="24"/>
        </w:rPr>
      </w:pPr>
      <w:r>
        <w:rPr>
          <w:rFonts w:hint="eastAsia" w:ascii="仿宋" w:hAnsi="仿宋" w:eastAsia="仿宋" w:cs="仿宋"/>
          <w:sz w:val="24"/>
        </w:rPr>
        <w:t xml:space="preserve">    2.采购代理机构信息</w:t>
      </w:r>
    </w:p>
    <w:p>
      <w:pPr>
        <w:spacing w:line="360" w:lineRule="auto"/>
        <w:ind w:firstLine="480"/>
        <w:rPr>
          <w:rFonts w:ascii="仿宋" w:hAnsi="仿宋" w:eastAsia="仿宋" w:cs="仿宋"/>
          <w:sz w:val="24"/>
        </w:rPr>
      </w:pPr>
      <w:r>
        <w:rPr>
          <w:rFonts w:hint="eastAsia" w:ascii="仿宋" w:hAnsi="仿宋" w:eastAsia="仿宋" w:cs="仿宋"/>
          <w:sz w:val="24"/>
        </w:rPr>
        <w:t>名    称：江山市政府采购中心</w:t>
      </w:r>
    </w:p>
    <w:p>
      <w:pPr>
        <w:spacing w:line="360" w:lineRule="auto"/>
        <w:ind w:firstLine="480"/>
        <w:rPr>
          <w:rFonts w:ascii="仿宋" w:hAnsi="仿宋" w:eastAsia="仿宋" w:cs="仿宋"/>
          <w:sz w:val="24"/>
        </w:rPr>
      </w:pPr>
      <w:r>
        <w:rPr>
          <w:rFonts w:hint="eastAsia" w:ascii="仿宋" w:hAnsi="仿宋" w:eastAsia="仿宋" w:cs="仿宋"/>
          <w:sz w:val="24"/>
        </w:rPr>
        <w:t>地    址： 江山市虎山街道景星西路万商城西一楼</w:t>
      </w:r>
      <w:bookmarkStart w:id="597" w:name="_GoBack"/>
      <w:bookmarkEnd w:id="597"/>
    </w:p>
    <w:p>
      <w:pPr>
        <w:spacing w:line="360" w:lineRule="auto"/>
        <w:rPr>
          <w:rFonts w:ascii="仿宋" w:hAnsi="仿宋" w:eastAsia="仿宋" w:cs="仿宋"/>
          <w:sz w:val="24"/>
        </w:rPr>
      </w:pPr>
      <w:r>
        <w:rPr>
          <w:rFonts w:hint="eastAsia" w:ascii="仿宋" w:hAnsi="仿宋" w:eastAsia="仿宋" w:cs="仿宋"/>
          <w:sz w:val="24"/>
        </w:rPr>
        <w:t xml:space="preserve">    传    真：/</w:t>
      </w:r>
    </w:p>
    <w:p>
      <w:pPr>
        <w:spacing w:line="360" w:lineRule="auto"/>
        <w:rPr>
          <w:rFonts w:ascii="仿宋" w:hAnsi="仿宋" w:eastAsia="仿宋" w:cs="仿宋"/>
          <w:sz w:val="24"/>
        </w:rPr>
      </w:pPr>
      <w:r>
        <w:rPr>
          <w:rFonts w:hint="eastAsia" w:ascii="仿宋" w:hAnsi="仿宋" w:eastAsia="仿宋" w:cs="仿宋"/>
          <w:sz w:val="24"/>
        </w:rPr>
        <w:t xml:space="preserve">    项目联系人（询问）：王先生</w:t>
      </w:r>
    </w:p>
    <w:p>
      <w:pPr>
        <w:spacing w:line="360" w:lineRule="auto"/>
        <w:rPr>
          <w:rFonts w:ascii="仿宋" w:hAnsi="仿宋" w:eastAsia="仿宋" w:cs="仿宋"/>
          <w:sz w:val="24"/>
        </w:rPr>
      </w:pPr>
      <w:r>
        <w:rPr>
          <w:rFonts w:hint="eastAsia" w:ascii="仿宋" w:hAnsi="仿宋" w:eastAsia="仿宋" w:cs="仿宋"/>
          <w:sz w:val="24"/>
        </w:rPr>
        <w:t xml:space="preserve">    项目联系方式（询问）： 0570-4031937</w:t>
      </w:r>
    </w:p>
    <w:p>
      <w:pPr>
        <w:spacing w:line="360" w:lineRule="auto"/>
        <w:rPr>
          <w:rFonts w:ascii="仿宋" w:hAnsi="仿宋" w:eastAsia="仿宋" w:cs="仿宋"/>
          <w:sz w:val="24"/>
        </w:rPr>
      </w:pPr>
      <w:r>
        <w:rPr>
          <w:rFonts w:hint="eastAsia" w:ascii="仿宋" w:hAnsi="仿宋" w:eastAsia="仿宋" w:cs="仿宋"/>
          <w:sz w:val="24"/>
        </w:rPr>
        <w:t xml:space="preserve">    质疑联系人：薛女士</w:t>
      </w:r>
    </w:p>
    <w:p>
      <w:pPr>
        <w:spacing w:line="360" w:lineRule="auto"/>
        <w:rPr>
          <w:rFonts w:ascii="仿宋" w:hAnsi="仿宋" w:eastAsia="仿宋" w:cs="仿宋"/>
          <w:sz w:val="24"/>
        </w:rPr>
      </w:pPr>
      <w:r>
        <w:rPr>
          <w:rFonts w:hint="eastAsia" w:ascii="仿宋" w:hAnsi="仿宋" w:eastAsia="仿宋" w:cs="仿宋"/>
          <w:sz w:val="24"/>
        </w:rPr>
        <w:t xml:space="preserve">    质疑联系方式： 0570-4031937</w:t>
      </w:r>
    </w:p>
    <w:p>
      <w:pPr>
        <w:spacing w:line="360" w:lineRule="auto"/>
        <w:rPr>
          <w:rFonts w:ascii="仿宋" w:hAnsi="仿宋" w:eastAsia="仿宋" w:cs="仿宋"/>
          <w:sz w:val="24"/>
        </w:rPr>
      </w:pPr>
      <w:r>
        <w:rPr>
          <w:rFonts w:hint="eastAsia" w:ascii="仿宋" w:hAnsi="仿宋" w:eastAsia="仿宋" w:cs="仿宋"/>
          <w:sz w:val="24"/>
        </w:rPr>
        <w:t xml:space="preserve">    3.同级政府采购监督管理部门</w:t>
      </w:r>
    </w:p>
    <w:p>
      <w:pPr>
        <w:spacing w:line="360" w:lineRule="auto"/>
        <w:rPr>
          <w:rFonts w:ascii="仿宋" w:hAnsi="仿宋" w:eastAsia="仿宋" w:cs="仿宋"/>
          <w:sz w:val="24"/>
        </w:rPr>
      </w:pPr>
      <w:r>
        <w:rPr>
          <w:rFonts w:hint="eastAsia" w:ascii="仿宋" w:hAnsi="仿宋" w:eastAsia="仿宋" w:cs="仿宋"/>
          <w:sz w:val="24"/>
        </w:rPr>
        <w:t xml:space="preserve">    名    称： 江山市财政局采监科</w:t>
      </w:r>
    </w:p>
    <w:p>
      <w:pPr>
        <w:spacing w:line="360" w:lineRule="auto"/>
        <w:rPr>
          <w:rFonts w:ascii="仿宋" w:hAnsi="仿宋" w:eastAsia="仿宋" w:cs="仿宋"/>
          <w:sz w:val="24"/>
        </w:rPr>
      </w:pPr>
      <w:r>
        <w:rPr>
          <w:rFonts w:hint="eastAsia" w:ascii="仿宋" w:hAnsi="仿宋" w:eastAsia="仿宋" w:cs="仿宋"/>
          <w:sz w:val="24"/>
        </w:rPr>
        <w:t xml:space="preserve">    地    址：江山市鹿溪中路240号 </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传    真：0570-4033811 </w:t>
      </w:r>
    </w:p>
    <w:p>
      <w:pPr>
        <w:spacing w:line="360" w:lineRule="auto"/>
        <w:rPr>
          <w:rFonts w:ascii="仿宋" w:hAnsi="仿宋" w:eastAsia="仿宋" w:cs="仿宋"/>
          <w:sz w:val="24"/>
        </w:rPr>
      </w:pPr>
      <w:r>
        <w:rPr>
          <w:rFonts w:hint="eastAsia" w:ascii="仿宋" w:hAnsi="仿宋" w:eastAsia="仿宋" w:cs="仿宋"/>
          <w:sz w:val="24"/>
        </w:rPr>
        <w:t xml:space="preserve">    联系人 ：王科长    </w:t>
      </w:r>
    </w:p>
    <w:p>
      <w:pPr>
        <w:spacing w:line="360" w:lineRule="auto"/>
        <w:ind w:firstLine="480" w:firstLineChars="200"/>
        <w:rPr>
          <w:rFonts w:ascii="仿宋" w:hAnsi="仿宋" w:eastAsia="仿宋" w:cs="仿宋"/>
          <w:sz w:val="24"/>
        </w:rPr>
      </w:pPr>
      <w:r>
        <w:rPr>
          <w:rFonts w:hint="eastAsia" w:ascii="仿宋" w:hAnsi="仿宋" w:eastAsia="仿宋" w:cs="仿宋"/>
          <w:sz w:val="24"/>
        </w:rPr>
        <w:t>监督投诉电话：0570-4033811</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40"/>
        <w:spacing w:line="360" w:lineRule="auto"/>
        <w:ind w:firstLine="480" w:firstLineChars="200"/>
        <w:rPr>
          <w:rFonts w:ascii="仿宋" w:hAnsi="仿宋" w:eastAsia="仿宋" w:cs="仿宋"/>
          <w:sz w:val="24"/>
          <w:szCs w:val="24"/>
        </w:rPr>
      </w:pP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7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color w:val="FF0000"/>
                <w:kern w:val="0"/>
                <w:sz w:val="24"/>
                <w:lang w:val="zh-CN"/>
              </w:rPr>
            </w:pPr>
            <w:r>
              <w:rPr>
                <w:rFonts w:ascii="仿宋" w:hAnsi="仿宋" w:eastAsia="仿宋" w:cs="仿宋"/>
                <w:kern w:val="0"/>
                <w:sz w:val="24"/>
                <w:lang w:val="zh-CN"/>
              </w:rPr>
              <w:t>有关本项目实施所需的所有费用（含税费）均计入报价。</w:t>
            </w:r>
            <w:r>
              <w:rPr>
                <w:rFonts w:ascii="仿宋" w:hAnsi="仿宋" w:eastAsia="仿宋" w:cs="仿宋"/>
                <w:sz w:val="24"/>
              </w:rPr>
              <w:t>开标一览表（报价表）是报价的唯一载体</w:t>
            </w:r>
            <w:r>
              <w:rPr>
                <w:rFonts w:ascii="仿宋" w:hAnsi="仿宋" w:eastAsia="仿宋" w:cs="仿宋"/>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仿宋"/>
                <w:b/>
                <w:kern w:val="0"/>
                <w:sz w:val="24"/>
                <w:lang w:val="zh-CN"/>
              </w:rPr>
            </w:pPr>
            <w:r>
              <w:rPr>
                <w:rFonts w:ascii="仿宋" w:hAnsi="仿宋" w:eastAsia="仿宋" w:cs="仿宋"/>
                <w:b/>
                <w:kern w:val="0"/>
                <w:sz w:val="24"/>
                <w:lang w:val="zh-CN"/>
              </w:rPr>
              <w:t>投标报价出现下列情形的，投标无效：</w:t>
            </w:r>
          </w:p>
          <w:p>
            <w:pPr>
              <w:snapToGrid w:val="0"/>
              <w:spacing w:line="360" w:lineRule="auto"/>
              <w:ind w:firstLine="241" w:firstLineChars="100"/>
              <w:jc w:val="left"/>
              <w:rPr>
                <w:rFonts w:ascii="仿宋" w:hAnsi="仿宋" w:eastAsia="仿宋" w:cs="仿宋"/>
                <w:b/>
                <w:kern w:val="0"/>
                <w:sz w:val="24"/>
                <w:lang w:val="zh-CN"/>
              </w:rPr>
            </w:pPr>
            <w:r>
              <w:rPr>
                <w:rFonts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仿宋"/>
                <w:kern w:val="0"/>
                <w:sz w:val="24"/>
                <w:lang w:val="zh-CN"/>
              </w:rPr>
            </w:pPr>
            <w:r>
              <w:rPr>
                <w:rFonts w:ascii="仿宋" w:hAnsi="仿宋" w:eastAsia="仿宋" w:cs="仿宋"/>
                <w:b/>
                <w:kern w:val="0"/>
                <w:sz w:val="24"/>
                <w:lang w:val="zh-CN"/>
              </w:rPr>
              <w:t>投标报价超过招标文件中规定的预算金额或者最高限价的;</w:t>
            </w:r>
          </w:p>
          <w:p>
            <w:pPr>
              <w:spacing w:line="360" w:lineRule="auto"/>
              <w:ind w:firstLine="241" w:firstLineChars="100"/>
              <w:rPr>
                <w:rFonts w:ascii="仿宋" w:hAnsi="仿宋" w:eastAsia="仿宋" w:cs="仿宋"/>
                <w:b/>
                <w:sz w:val="24"/>
              </w:rPr>
            </w:pPr>
            <w:r>
              <w:rPr>
                <w:rFonts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sz w:val="24"/>
              </w:rPr>
              <w:t>;</w:t>
            </w:r>
          </w:p>
          <w:p>
            <w:pPr>
              <w:spacing w:line="360" w:lineRule="auto"/>
              <w:ind w:firstLine="241" w:firstLineChars="100"/>
              <w:rPr>
                <w:rFonts w:ascii="仿宋" w:hAnsi="仿宋" w:eastAsia="仿宋" w:cs="仿宋"/>
                <w:sz w:val="24"/>
              </w:rPr>
            </w:pPr>
            <w:r>
              <w:rPr>
                <w:rFonts w:ascii="仿宋" w:hAnsi="仿宋" w:eastAsia="仿宋" w:cs="仿宋"/>
                <w:b/>
                <w:kern w:val="0"/>
                <w:sz w:val="24"/>
              </w:rPr>
              <w:t>投标人对根据修正原则修正后的报价不确认的</w:t>
            </w:r>
            <w:r>
              <w:rPr>
                <w:rFonts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ascii="仿宋" w:hAnsi="仿宋" w:eastAsia="仿宋" w:cs="仿宋"/>
                <w:kern w:val="0"/>
                <w:sz w:val="24"/>
              </w:rPr>
              <w:t>☐ A</w:t>
            </w:r>
            <w:r>
              <w:rPr>
                <w:rFonts w:ascii="仿宋" w:hAnsi="仿宋" w:eastAsia="仿宋" w:cs="仿宋"/>
                <w:sz w:val="24"/>
              </w:rPr>
              <w:t>同意将非主体、非关键性的工作分包。</w:t>
            </w:r>
            <w:r>
              <w:rPr>
                <w:rFonts w:ascii="仿宋" w:hAnsi="仿宋" w:eastAsia="仿宋" w:cs="仿宋"/>
                <w:kern w:val="0"/>
                <w:sz w:val="24"/>
              </w:rPr>
              <w:sym w:font="Wingdings" w:char="F0FE"/>
            </w:r>
            <w:r>
              <w:rPr>
                <w:rFonts w:ascii="仿宋" w:hAnsi="仿宋" w:eastAsia="仿宋" w:cs="仿宋"/>
                <w:kern w:val="0"/>
                <w:sz w:val="24"/>
              </w:rPr>
              <w:t xml:space="preserve"> B</w:t>
            </w:r>
            <w:r>
              <w:rPr>
                <w:rFonts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ascii="仿宋" w:hAnsi="仿宋" w:eastAsia="仿宋" w:cs="仿宋"/>
                <w:sz w:val="24"/>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ascii="仿宋" w:hAnsi="仿宋" w:eastAsia="仿宋" w:cs="仿宋"/>
                <w:sz w:val="24"/>
              </w:rPr>
              <w:t>（1）资格证明文件：见招标文件第二部分11.1。</w:t>
            </w:r>
          </w:p>
          <w:p>
            <w:pPr>
              <w:spacing w:line="360" w:lineRule="auto"/>
              <w:rPr>
                <w:rFonts w:ascii="仿宋" w:hAnsi="仿宋" w:eastAsia="仿宋" w:cs="仿宋"/>
                <w:snapToGrid w:val="0"/>
                <w:kern w:val="0"/>
                <w:sz w:val="24"/>
              </w:rPr>
            </w:pPr>
            <w:r>
              <w:rPr>
                <w:rFonts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ascii="仿宋" w:hAnsi="仿宋" w:eastAsia="仿宋" w:cs="仿宋"/>
                <w:b/>
                <w:bCs/>
                <w:kern w:val="0"/>
                <w:sz w:val="24"/>
              </w:rPr>
              <w:sym w:font="Wingdings" w:char="00FE"/>
            </w:r>
            <w:r>
              <w:rPr>
                <w:rFonts w:ascii="仿宋" w:hAnsi="仿宋" w:eastAsia="仿宋" w:cs="仿宋"/>
                <w:kern w:val="0"/>
                <w:sz w:val="24"/>
              </w:rPr>
              <w:t>A</w:t>
            </w:r>
            <w:r>
              <w:rPr>
                <w:rFonts w:ascii="仿宋" w:hAnsi="仿宋" w:eastAsia="仿宋" w:cs="仿宋"/>
                <w:sz w:val="24"/>
              </w:rPr>
              <w:t>不组织。</w:t>
            </w:r>
          </w:p>
          <w:p>
            <w:pPr>
              <w:spacing w:line="360" w:lineRule="auto"/>
              <w:rPr>
                <w:rFonts w:hint="default" w:ascii="仿宋" w:hAnsi="仿宋" w:eastAsia="仿宋" w:cs="仿宋"/>
                <w:b/>
                <w:bCs/>
                <w:sz w:val="24"/>
                <w:lang w:val="en-US" w:eastAsia="zh-CN"/>
              </w:rPr>
            </w:pPr>
            <w:r>
              <w:rPr>
                <w:rFonts w:ascii="仿宋" w:hAnsi="仿宋" w:eastAsia="仿宋" w:cs="仿宋"/>
                <w:kern w:val="0"/>
                <w:sz w:val="24"/>
              </w:rPr>
              <w:sym w:font="Wingdings" w:char="00A8"/>
            </w:r>
            <w:r>
              <w:rPr>
                <w:rFonts w:ascii="仿宋" w:hAnsi="仿宋" w:eastAsia="仿宋" w:cs="仿宋"/>
                <w:b/>
                <w:bCs/>
                <w:kern w:val="0"/>
                <w:sz w:val="24"/>
              </w:rPr>
              <w:t>B组织现场考察，</w:t>
            </w:r>
            <w:r>
              <w:rPr>
                <w:rFonts w:ascii="仿宋" w:hAnsi="仿宋" w:eastAsia="仿宋" w:cs="仿宋"/>
                <w:b/>
                <w:bCs/>
                <w:sz w:val="24"/>
              </w:rPr>
              <w:t>时间：</w:t>
            </w:r>
            <w:r>
              <w:rPr>
                <w:rFonts w:hint="eastAsia" w:ascii="仿宋" w:hAnsi="仿宋" w:eastAsia="仿宋" w:cs="仿宋"/>
                <w:b/>
                <w:bCs/>
                <w:sz w:val="24"/>
                <w:u w:val="single"/>
                <w:lang w:val="en-US" w:eastAsia="zh-CN"/>
              </w:rPr>
              <w:t xml:space="preserve">            </w:t>
            </w:r>
            <w:r>
              <w:rPr>
                <w:rFonts w:ascii="仿宋" w:hAnsi="仿宋" w:eastAsia="仿宋" w:cs="仿宋"/>
                <w:b/>
                <w:bCs/>
                <w:sz w:val="24"/>
              </w:rPr>
              <w:t>,地点：</w:t>
            </w:r>
            <w:r>
              <w:rPr>
                <w:rFonts w:hint="eastAsia" w:ascii="仿宋" w:hAnsi="仿宋" w:eastAsia="仿宋" w:cs="仿宋"/>
                <w:b/>
                <w:bCs/>
                <w:sz w:val="24"/>
                <w:u w:val="single"/>
                <w:lang w:val="en-US" w:eastAsia="zh-CN"/>
              </w:rPr>
              <w:t xml:space="preserve">        </w:t>
            </w:r>
            <w:r>
              <w:rPr>
                <w:rFonts w:ascii="仿宋" w:hAnsi="仿宋" w:eastAsia="仿宋" w:cs="仿宋"/>
                <w:b/>
                <w:bCs/>
                <w:sz w:val="24"/>
              </w:rPr>
              <w:t>，联系人：</w:t>
            </w:r>
            <w:r>
              <w:rPr>
                <w:rFonts w:hint="eastAsia" w:ascii="仿宋" w:hAnsi="仿宋" w:eastAsia="仿宋" w:cs="仿宋"/>
                <w:b/>
                <w:bCs/>
                <w:sz w:val="24"/>
                <w:u w:val="single"/>
                <w:lang w:val="en-US" w:eastAsia="zh-CN"/>
              </w:rPr>
              <w:t xml:space="preserve">       </w:t>
            </w:r>
          </w:p>
          <w:p>
            <w:pPr>
              <w:spacing w:line="360" w:lineRule="auto"/>
              <w:rPr>
                <w:rFonts w:ascii="仿宋" w:hAnsi="仿宋" w:eastAsia="仿宋" w:cs="仿宋"/>
                <w:color w:val="FF0000"/>
                <w:sz w:val="24"/>
              </w:rPr>
            </w:pPr>
            <w:r>
              <w:rPr>
                <w:rFonts w:ascii="仿宋" w:hAnsi="仿宋" w:eastAsia="仿宋" w:cs="仿宋"/>
                <w:b/>
                <w:bCs/>
                <w:sz w:val="24"/>
              </w:rPr>
              <w:t>联系方式：</w:t>
            </w:r>
            <w:r>
              <w:rPr>
                <w:rFonts w:hint="eastAsia" w:ascii="仿宋" w:hAnsi="仿宋" w:eastAsia="仿宋" w:cs="仿宋"/>
                <w:b/>
                <w:bCs/>
                <w:sz w:val="24"/>
                <w:u w:val="single"/>
                <w:lang w:val="en-US" w:eastAsia="zh-CN"/>
              </w:rPr>
              <w:t xml:space="preserve">          </w:t>
            </w:r>
            <w:r>
              <w:rPr>
                <w:rFonts w:ascii="仿宋" w:hAnsi="仿宋" w:eastAsia="仿宋" w:cs="仿宋"/>
                <w:b/>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ascii="仿宋" w:hAnsi="仿宋" w:eastAsia="仿宋" w:cs="仿宋"/>
                <w:kern w:val="0"/>
                <w:sz w:val="24"/>
              </w:rPr>
              <w:sym w:font="Wingdings" w:char="00FE"/>
            </w:r>
            <w:r>
              <w:rPr>
                <w:rFonts w:ascii="仿宋" w:hAnsi="仿宋" w:eastAsia="仿宋" w:cs="仿宋"/>
                <w:kern w:val="0"/>
                <w:sz w:val="24"/>
              </w:rPr>
              <w:t>A</w:t>
            </w:r>
            <w:r>
              <w:rPr>
                <w:rFonts w:ascii="仿宋" w:hAnsi="仿宋" w:eastAsia="仿宋" w:cs="仿宋"/>
                <w:sz w:val="24"/>
              </w:rPr>
              <w:t>不要求提供。</w:t>
            </w:r>
          </w:p>
          <w:p>
            <w:pPr>
              <w:spacing w:line="360" w:lineRule="auto"/>
              <w:rPr>
                <w:rFonts w:ascii="仿宋" w:hAnsi="仿宋" w:eastAsia="仿宋" w:cs="仿宋"/>
                <w:b/>
                <w:sz w:val="24"/>
              </w:rPr>
            </w:pPr>
            <w:r>
              <w:rPr>
                <w:rFonts w:ascii="仿宋" w:hAnsi="仿宋" w:eastAsia="仿宋" w:cs="仿宋"/>
                <w:kern w:val="0"/>
                <w:sz w:val="24"/>
              </w:rPr>
              <w:sym w:font="Wingdings" w:char="00A8"/>
            </w:r>
            <w:r>
              <w:rPr>
                <w:rFonts w:ascii="仿宋" w:hAnsi="仿宋" w:eastAsia="仿宋" w:cs="仿宋"/>
                <w:kern w:val="0"/>
                <w:sz w:val="24"/>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ascii="仿宋" w:hAnsi="仿宋" w:eastAsia="仿宋" w:cs="仿宋"/>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ascii="仿宋" w:hAnsi="仿宋" w:eastAsia="仿宋" w:cs="仿宋"/>
                <w:kern w:val="0"/>
                <w:sz w:val="24"/>
              </w:rPr>
              <w:sym w:font="Wingdings" w:char="F0FE"/>
            </w:r>
            <w:r>
              <w:rPr>
                <w:rFonts w:ascii="仿宋" w:hAnsi="仿宋" w:eastAsia="仿宋" w:cs="仿宋"/>
                <w:kern w:val="0"/>
                <w:sz w:val="24"/>
              </w:rPr>
              <w:t>A</w:t>
            </w:r>
            <w:r>
              <w:rPr>
                <w:rFonts w:ascii="仿宋" w:hAnsi="仿宋" w:eastAsia="仿宋" w:cs="仿宋"/>
                <w:sz w:val="24"/>
              </w:rPr>
              <w:t>不组织。</w:t>
            </w:r>
          </w:p>
          <w:p>
            <w:pPr>
              <w:spacing w:line="360" w:lineRule="auto"/>
              <w:rPr>
                <w:rFonts w:ascii="仿宋" w:hAnsi="仿宋" w:eastAsia="仿宋" w:cs="仿宋"/>
                <w:b/>
                <w:kern w:val="0"/>
                <w:sz w:val="24"/>
                <w:lang w:val="zh-CN"/>
              </w:rPr>
            </w:pPr>
            <w:r>
              <w:rPr>
                <w:rFonts w:ascii="仿宋" w:hAnsi="仿宋" w:eastAsia="仿宋" w:cs="仿宋"/>
                <w:kern w:val="0"/>
                <w:sz w:val="24"/>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ascii="仿宋" w:hAnsi="仿宋" w:eastAsia="仿宋" w:cs="仿宋"/>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r>
              <w:rPr>
                <w:rFonts w:ascii="仿宋" w:hAnsi="仿宋" w:eastAsia="仿宋" w:cs="仿宋"/>
                <w:kern w:val="0"/>
                <w:sz w:val="24"/>
              </w:rPr>
              <w:sym w:font="Wingdings" w:char="F0FE"/>
            </w:r>
            <w:r>
              <w:rPr>
                <w:rFonts w:ascii="仿宋" w:hAnsi="仿宋" w:eastAsia="仿宋" w:cs="仿宋"/>
                <w:kern w:val="0"/>
                <w:sz w:val="24"/>
              </w:rPr>
              <w:t>本项目不允许采购进口产品。</w:t>
            </w:r>
          </w:p>
          <w:p>
            <w:pPr>
              <w:spacing w:line="360" w:lineRule="auto"/>
              <w:rPr>
                <w:rFonts w:ascii="仿宋" w:hAnsi="仿宋" w:eastAsia="仿宋" w:cs="仿宋"/>
                <w:sz w:val="24"/>
              </w:rPr>
            </w:pPr>
            <w:r>
              <w:rPr>
                <w:rFonts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ascii="仿宋" w:hAnsi="仿宋" w:eastAsia="仿宋" w:cs="仿宋"/>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b/>
                <w:bCs/>
                <w:kern w:val="0"/>
                <w:sz w:val="24"/>
                <w:u w:val="single"/>
              </w:rPr>
            </w:pPr>
            <w:r>
              <w:rPr>
                <w:rFonts w:ascii="仿宋" w:hAnsi="仿宋" w:eastAsia="仿宋" w:cs="仿宋"/>
                <w:kern w:val="0"/>
                <w:sz w:val="24"/>
              </w:rPr>
              <w:sym w:font="Wingdings" w:char="00FE"/>
            </w:r>
            <w:r>
              <w:rPr>
                <w:rFonts w:ascii="仿宋" w:hAnsi="仿宋" w:eastAsia="仿宋" w:cs="仿宋"/>
                <w:kern w:val="0"/>
                <w:sz w:val="24"/>
              </w:rPr>
              <w:t>A</w:t>
            </w:r>
            <w:r>
              <w:rPr>
                <w:rFonts w:ascii="仿宋" w:hAnsi="仿宋" w:eastAsia="仿宋" w:cs="仿宋"/>
                <w:sz w:val="24"/>
              </w:rPr>
              <w:t>货物类，</w:t>
            </w:r>
            <w:r>
              <w:rPr>
                <w:rFonts w:ascii="仿宋" w:hAnsi="仿宋" w:eastAsia="仿宋" w:cs="仿宋"/>
                <w:b/>
                <w:bCs/>
                <w:kern w:val="0"/>
                <w:sz w:val="24"/>
              </w:rPr>
              <w:t>核心产品为：</w:t>
            </w:r>
            <w:r>
              <w:rPr>
                <w:rFonts w:hint="eastAsia" w:ascii="仿宋" w:hAnsi="仿宋" w:eastAsia="仿宋" w:cs="仿宋"/>
                <w:sz w:val="24"/>
                <w:u w:val="single"/>
              </w:rPr>
              <w:t>江山市交通事故“一键快响”应用软件</w:t>
            </w:r>
            <w:r>
              <w:rPr>
                <w:rFonts w:ascii="仿宋" w:hAnsi="仿宋" w:eastAsia="仿宋" w:cs="仿宋"/>
                <w:sz w:val="24"/>
                <w:u w:val="single"/>
              </w:rPr>
              <w:t>（详见采购内容）</w:t>
            </w:r>
            <w:r>
              <w:rPr>
                <w:rFonts w:ascii="仿宋" w:hAnsi="仿宋" w:eastAsia="仿宋" w:cs="仿宋"/>
                <w:b/>
                <w:bCs/>
                <w:kern w:val="0"/>
                <w:sz w:val="24"/>
              </w:rPr>
              <w:t>；</w:t>
            </w:r>
          </w:p>
          <w:p>
            <w:pPr>
              <w:spacing w:line="360" w:lineRule="auto"/>
              <w:rPr>
                <w:rFonts w:ascii="仿宋" w:hAnsi="仿宋" w:eastAsia="仿宋" w:cs="仿宋"/>
                <w:sz w:val="24"/>
              </w:rPr>
            </w:pPr>
            <w:r>
              <w:rPr>
                <w:rFonts w:ascii="仿宋" w:hAnsi="仿宋" w:eastAsia="仿宋" w:cs="仿宋"/>
                <w:kern w:val="0"/>
                <w:sz w:val="24"/>
              </w:rPr>
              <w:sym w:font="Wingdings" w:char="00A8"/>
            </w:r>
            <w:r>
              <w:rPr>
                <w:rFonts w:ascii="仿宋" w:hAnsi="仿宋" w:eastAsia="仿宋" w:cs="仿宋"/>
                <w:kern w:val="0"/>
                <w:sz w:val="24"/>
              </w:rPr>
              <w:t>B</w:t>
            </w:r>
            <w:r>
              <w:rPr>
                <w:rFonts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ascii="仿宋" w:hAnsi="仿宋" w:eastAsia="仿宋" w:cs="仿宋"/>
                <w:b/>
                <w:sz w:val="24"/>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ascii="仿宋" w:hAnsi="仿宋" w:eastAsia="仿宋" w:cs="仿宋"/>
                <w:kern w:val="0"/>
                <w:sz w:val="24"/>
              </w:rPr>
              <w:t>（1）标的：</w:t>
            </w:r>
            <w:r>
              <w:rPr>
                <w:rFonts w:hint="eastAsia" w:ascii="仿宋" w:hAnsi="仿宋" w:eastAsia="仿宋" w:cs="仿宋"/>
                <w:kern w:val="0"/>
                <w:sz w:val="24"/>
                <w:lang w:val="en-US" w:eastAsia="zh-CN"/>
              </w:rPr>
              <w:t xml:space="preserve">   </w:t>
            </w:r>
            <w:r>
              <w:rPr>
                <w:rFonts w:ascii="仿宋" w:hAnsi="仿宋" w:eastAsia="仿宋" w:cs="仿宋"/>
                <w:sz w:val="24"/>
                <w:u w:val="single"/>
              </w:rPr>
              <w:t>等</w:t>
            </w:r>
            <w:r>
              <w:rPr>
                <w:rFonts w:ascii="仿宋" w:hAnsi="仿宋" w:eastAsia="仿宋" w:cs="仿宋"/>
                <w:kern w:val="0"/>
                <w:sz w:val="24"/>
              </w:rPr>
              <w:t>，属于</w:t>
            </w:r>
            <w:r>
              <w:rPr>
                <w:rFonts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77"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ascii="仿宋" w:hAnsi="仿宋" w:eastAsia="仿宋" w:cs="仿宋"/>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rPr>
                <w:rFonts w:ascii="仿宋" w:hAnsi="仿宋" w:eastAsia="仿宋" w:cs="仿宋"/>
                <w:snapToGrid w:val="0"/>
                <w:kern w:val="28"/>
                <w:sz w:val="24"/>
              </w:rPr>
            </w:pPr>
            <w:r>
              <w:rPr>
                <w:rFonts w:ascii="仿宋" w:hAnsi="仿宋" w:eastAsia="仿宋" w:cs="仿宋"/>
                <w:snapToGrid w:val="0"/>
                <w:kern w:val="28"/>
                <w:sz w:val="24"/>
              </w:rPr>
              <w:t>供应商中标后也可在“政采云”平台申请政采贷：操作路径：登录政采云平台 - 金融服务中心 -【融资服务】，可在热门申请中选择产品直接申请，或者在可申请项目中根据该项目进行申请。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360" w:lineRule="auto"/>
              <w:jc w:val="center"/>
              <w:rPr>
                <w:rFonts w:ascii="仿宋" w:hAnsi="仿宋" w:eastAsia="仿宋" w:cs="仿宋"/>
                <w:snapToGrid w:val="0"/>
                <w:kern w:val="28"/>
                <w:sz w:val="24"/>
              </w:rPr>
            </w:pPr>
            <w:r>
              <w:rPr>
                <w:rFonts w:ascii="仿宋" w:hAnsi="仿宋" w:eastAsia="仿宋" w:cs="仿宋"/>
                <w:snapToGrid w:val="0"/>
                <w:kern w:val="28"/>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pStyle w:val="40"/>
              <w:snapToGrid w:val="0"/>
              <w:spacing w:line="360" w:lineRule="auto"/>
              <w:rPr>
                <w:rFonts w:ascii="仿宋" w:hAnsi="仿宋" w:eastAsia="仿宋" w:cs="仿宋"/>
                <w:kern w:val="28"/>
                <w:sz w:val="24"/>
                <w:szCs w:val="24"/>
              </w:rPr>
            </w:pPr>
            <w:r>
              <w:rPr>
                <w:rFonts w:ascii="仿宋" w:hAnsi="仿宋" w:eastAsia="仿宋" w:cs="仿宋"/>
                <w:b/>
                <w:bCs/>
                <w:kern w:val="28"/>
                <w:sz w:val="24"/>
                <w:szCs w:val="24"/>
              </w:rPr>
              <w:t>投标文件形式、制作及组成</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napToGrid w:val="0"/>
                <w:kern w:val="28"/>
                <w:sz w:val="24"/>
              </w:rPr>
            </w:pPr>
            <w:r>
              <w:rPr>
                <w:rFonts w:ascii="仿宋" w:hAnsi="仿宋" w:eastAsia="仿宋" w:cs="仿宋"/>
                <w:snapToGrid w:val="0"/>
                <w:kern w:val="28"/>
                <w:sz w:val="24"/>
              </w:rPr>
              <w:t>投标人请准备电子投标文件、电子备份投标文件：</w:t>
            </w:r>
          </w:p>
          <w:p>
            <w:pPr>
              <w:snapToGrid w:val="0"/>
              <w:spacing w:line="360" w:lineRule="auto"/>
              <w:rPr>
                <w:rFonts w:ascii="仿宋" w:hAnsi="仿宋" w:eastAsia="仿宋" w:cs="仿宋"/>
                <w:snapToGrid w:val="0"/>
                <w:kern w:val="28"/>
                <w:sz w:val="24"/>
              </w:rPr>
            </w:pPr>
            <w:r>
              <w:rPr>
                <w:rFonts w:ascii="仿宋" w:hAnsi="仿宋" w:eastAsia="仿宋" w:cs="仿宋"/>
                <w:snapToGrid w:val="0"/>
                <w:kern w:val="28"/>
                <w:sz w:val="24"/>
              </w:rPr>
              <w:t>（1）电子投标文件，按政采云平台供应商项目采购-电子招投标操作指南（网址：https://help.zcygov.cn/web/site_2/2018/12-28/2573.html）及本招标文件要求递交。</w:t>
            </w:r>
          </w:p>
          <w:p>
            <w:pPr>
              <w:snapToGrid w:val="0"/>
              <w:spacing w:line="360" w:lineRule="auto"/>
              <w:rPr>
                <w:rFonts w:ascii="仿宋" w:hAnsi="仿宋" w:eastAsia="仿宋" w:cs="仿宋"/>
                <w:snapToGrid w:val="0"/>
                <w:kern w:val="28"/>
                <w:sz w:val="24"/>
              </w:rPr>
            </w:pPr>
            <w:r>
              <w:rPr>
                <w:rFonts w:ascii="仿宋" w:hAnsi="仿宋" w:eastAsia="仿宋" w:cs="仿宋"/>
                <w:snapToGrid w:val="0"/>
                <w:kern w:val="28"/>
                <w:sz w:val="24"/>
              </w:rPr>
              <w:t>（2）电子备份投标文件参照政采云平台供应商项目采购-电子招投标操作指南（网址：https://help.zcygov.cn/web/site_2/2018/12-28/2573.html）中上传的电子投标文件格式文档，以电子邮件方式加密传送至江山市政府采购中心邮箱(13567016767@163.com)，逾期传输将被拒收，数量为1份。</w:t>
            </w:r>
          </w:p>
          <w:p>
            <w:pPr>
              <w:spacing w:line="360" w:lineRule="auto"/>
              <w:rPr>
                <w:rFonts w:ascii="仿宋" w:hAnsi="仿宋" w:eastAsia="仿宋" w:cs="仿宋"/>
                <w:b/>
                <w:bCs/>
                <w:snapToGrid w:val="0"/>
                <w:color w:val="FF0000"/>
                <w:kern w:val="28"/>
                <w:sz w:val="24"/>
              </w:rPr>
            </w:pPr>
            <w:r>
              <w:rPr>
                <w:rFonts w:ascii="仿宋" w:hAnsi="仿宋" w:eastAsia="仿宋" w:cs="仿宋"/>
                <w:b/>
                <w:bCs/>
                <w:snapToGrid w:val="0"/>
                <w:color w:val="FF0000"/>
                <w:kern w:val="28"/>
                <w:sz w:val="24"/>
              </w:rPr>
              <w:t>（3）中标供应商应在中标后提供一份纸质投标文件【正本】（包括资格文件、商务技术文件和报价文件，分别装订成册并每页加盖公章）给采购代理机构。</w:t>
            </w:r>
          </w:p>
          <w:p>
            <w:pPr>
              <w:snapToGrid w:val="0"/>
              <w:spacing w:line="360" w:lineRule="auto"/>
              <w:rPr>
                <w:rFonts w:ascii="仿宋" w:hAnsi="仿宋" w:eastAsia="仿宋" w:cs="仿宋"/>
                <w:snapToGrid w:val="0"/>
                <w:kern w:val="28"/>
                <w:sz w:val="24"/>
              </w:rPr>
            </w:pPr>
            <w:r>
              <w:rPr>
                <w:rFonts w:ascii="仿宋" w:hAnsi="仿宋" w:eastAsia="仿宋" w:cs="仿宋"/>
                <w:snapToGrid w:val="0"/>
                <w:kern w:val="28"/>
                <w:sz w:val="24"/>
              </w:rPr>
              <w:t>（4）投标文件均由商务资信文件、技术文件和报价文件组成。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360" w:lineRule="auto"/>
              <w:jc w:val="center"/>
              <w:rPr>
                <w:rFonts w:ascii="仿宋" w:hAnsi="仿宋" w:eastAsia="仿宋" w:cs="仿宋"/>
                <w:snapToGrid w:val="0"/>
                <w:kern w:val="28"/>
                <w:sz w:val="24"/>
              </w:rPr>
            </w:pPr>
            <w:r>
              <w:rPr>
                <w:rFonts w:ascii="仿宋" w:hAnsi="仿宋" w:eastAsia="仿宋" w:cs="仿宋"/>
                <w:snapToGrid w:val="0"/>
                <w:kern w:val="28"/>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ascii="仿宋" w:hAnsi="仿宋" w:eastAsia="仿宋" w:cs="仿宋"/>
                <w:b/>
                <w:bCs/>
                <w:snapToGrid w:val="0"/>
                <w:kern w:val="28"/>
                <w:sz w:val="24"/>
              </w:rPr>
              <w:t>电子投标文件的传输递交</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ascii="仿宋" w:hAnsi="仿宋" w:eastAsia="仿宋" w:cs="仿宋"/>
                <w:snapToGrid w:val="0"/>
                <w:kern w:val="28"/>
                <w:sz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360" w:lineRule="auto"/>
              <w:jc w:val="center"/>
              <w:rPr>
                <w:rFonts w:ascii="仿宋" w:hAnsi="仿宋" w:eastAsia="仿宋" w:cs="仿宋"/>
                <w:snapToGrid w:val="0"/>
                <w:kern w:val="28"/>
                <w:sz w:val="24"/>
              </w:rPr>
            </w:pPr>
            <w:r>
              <w:rPr>
                <w:rFonts w:ascii="仿宋" w:hAnsi="仿宋" w:eastAsia="仿宋" w:cs="仿宋"/>
                <w:snapToGrid w:val="0"/>
                <w:kern w:val="28"/>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ascii="仿宋" w:hAnsi="仿宋" w:eastAsia="仿宋" w:cs="仿宋"/>
                <w:b/>
                <w:bCs/>
                <w:snapToGrid w:val="0"/>
                <w:kern w:val="28"/>
                <w:sz w:val="24"/>
              </w:rPr>
              <w:t>电子备份投标文件的递交</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fldChar w:fldCharType="begin"/>
            </w:r>
            <w:r>
              <w:instrText xml:space="preserve"> HYPERLINK "mailto: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 </w:instrText>
            </w:r>
            <w:r>
              <w:fldChar w:fldCharType="separate"/>
            </w:r>
            <w:r>
              <w:rPr>
                <w:rFonts w:ascii="仿宋" w:hAnsi="仿宋" w:eastAsia="仿宋" w:cs="仿宋"/>
                <w:snapToGrid w:val="0"/>
                <w:kern w:val="28"/>
                <w:sz w:val="24"/>
              </w:rPr>
              <w:t>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w:t>
            </w:r>
            <w:r>
              <w:rPr>
                <w:rFonts w:ascii="仿宋" w:hAnsi="仿宋" w:eastAsia="仿宋" w:cs="仿宋"/>
                <w:snapToGrid w:val="0"/>
                <w:kern w:val="28"/>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ascii="仿宋" w:hAnsi="仿宋" w:eastAsia="仿宋" w:cs="仿宋"/>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ascii="仿宋" w:hAnsi="仿宋" w:eastAsia="仿宋" w:cs="仿宋"/>
                <w:snapToGrid w:val="0"/>
                <w:kern w:val="28"/>
                <w:sz w:val="24"/>
              </w:rPr>
              <w:t>无</w:t>
            </w:r>
            <w:r>
              <w:rPr>
                <w:rFonts w:ascii="仿宋" w:hAnsi="仿宋" w:eastAsia="仿宋" w:cs="仿宋"/>
                <w:b/>
                <w:kern w:val="0"/>
                <w:sz w:val="24"/>
              </w:rPr>
              <w:t>。</w:t>
            </w:r>
          </w:p>
        </w:tc>
      </w:tr>
    </w:tbl>
    <w:p>
      <w:pPr>
        <w:snapToGrid w:val="0"/>
        <w:spacing w:line="360" w:lineRule="auto"/>
        <w:jc w:val="center"/>
        <w:rPr>
          <w:rFonts w:ascii="仿宋" w:hAnsi="仿宋" w:eastAsia="仿宋" w:cs="仿宋"/>
          <w:b/>
          <w:sz w:val="32"/>
          <w:szCs w:val="20"/>
        </w:rPr>
      </w:pPr>
    </w:p>
    <w:bookmarkEnd w:id="10"/>
    <w:p>
      <w:pPr>
        <w:pStyle w:val="938"/>
        <w:spacing w:before="120" w:after="120"/>
        <w:ind w:left="525"/>
      </w:pPr>
      <w:bookmarkStart w:id="11" w:name="第三部分"/>
      <w:bookmarkStart w:id="12" w:name="_Toc164416483"/>
      <w:r>
        <w:rPr>
          <w:rFonts w:hint="eastAsia"/>
        </w:rPr>
        <w:t>一、总则</w:t>
      </w:r>
    </w:p>
    <w:p>
      <w:pPr>
        <w:pStyle w:val="899"/>
        <w:spacing w:before="24" w:after="24"/>
        <w:ind w:firstLine="602"/>
      </w:pPr>
      <w:r>
        <w:rPr>
          <w:rFonts w:hint="eastAsia"/>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pStyle w:val="899"/>
        <w:spacing w:before="24" w:after="24"/>
        <w:ind w:firstLine="602"/>
      </w:pPr>
      <w:r>
        <w:rPr>
          <w:rFonts w:hint="eastAsia"/>
        </w:rPr>
        <w:t>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系指实质性要求条款，供应商必须做出实质性响应。</w:t>
      </w:r>
    </w:p>
    <w:p>
      <w:pPr>
        <w:spacing w:line="360" w:lineRule="auto"/>
        <w:ind w:firstLine="960" w:firstLineChars="400"/>
        <w:rPr>
          <w:rFonts w:ascii="仿宋" w:hAnsi="仿宋" w:eastAsia="仿宋" w:cs="仿宋"/>
          <w:sz w:val="24"/>
        </w:rPr>
      </w:pPr>
      <w:r>
        <w:rPr>
          <w:rFonts w:hint="eastAsia" w:ascii="仿宋" w:hAnsi="仿宋" w:eastAsia="仿宋" w:cs="仿宋"/>
          <w:sz w:val="24"/>
        </w:rPr>
        <w:t>“◆”系产品采购项目中单一产品或核心产品。</w:t>
      </w:r>
    </w:p>
    <w:p>
      <w:pPr>
        <w:spacing w:line="360" w:lineRule="auto"/>
        <w:ind w:firstLine="960" w:firstLineChars="400"/>
        <w:rPr>
          <w:rFonts w:ascii="仿宋" w:hAnsi="仿宋" w:eastAsia="仿宋" w:cs="仿宋"/>
          <w:sz w:val="24"/>
        </w:rPr>
      </w:pPr>
      <w:r>
        <w:rPr>
          <w:rFonts w:hint="eastAsia" w:ascii="仿宋" w:hAnsi="仿宋" w:eastAsia="仿宋" w:cs="仿宋"/>
          <w:sz w:val="24"/>
        </w:rPr>
        <w:t>“★”系产品采购项目中重要参数。</w:t>
      </w:r>
    </w:p>
    <w:p>
      <w:pPr>
        <w:spacing w:line="360" w:lineRule="auto"/>
        <w:ind w:firstLine="960" w:firstLineChars="400"/>
        <w:rPr>
          <w:rFonts w:ascii="仿宋" w:hAnsi="仿宋" w:eastAsia="仿宋" w:cs="仿宋"/>
          <w:sz w:val="24"/>
        </w:rPr>
      </w:pPr>
      <w:r>
        <w:rPr>
          <w:rFonts w:hint="eastAsia" w:ascii="仿宋" w:hAnsi="仿宋" w:eastAsia="仿宋" w:cs="仿宋"/>
          <w:sz w:val="24"/>
        </w:rPr>
        <w:t>“</w:t>
      </w:r>
      <w:r>
        <w:rPr>
          <w:rFonts w:hint="eastAsia" w:ascii="仿宋" w:hAnsi="仿宋" w:eastAsia="仿宋" w:cs="仿宋"/>
          <w:kern w:val="0"/>
          <w:sz w:val="24"/>
        </w:rPr>
        <w:sym w:font="Wingdings" w:char="00FE"/>
      </w:r>
      <w:r>
        <w:rPr>
          <w:rFonts w:hint="eastAsia" w:ascii="仿宋" w:hAnsi="仿宋" w:eastAsia="仿宋" w:cs="仿宋"/>
          <w:sz w:val="24"/>
        </w:rPr>
        <w:t>” 系指适用本项目的要求。</w:t>
      </w:r>
    </w:p>
    <w:p>
      <w:pPr>
        <w:spacing w:line="360" w:lineRule="auto"/>
        <w:ind w:firstLine="960" w:firstLineChars="400"/>
        <w:rPr>
          <w:rFonts w:ascii="仿宋" w:hAnsi="仿宋" w:eastAsia="仿宋" w:cs="仿宋"/>
          <w:sz w:val="24"/>
        </w:rPr>
      </w:pPr>
      <w:r>
        <w:rPr>
          <w:rFonts w:hint="eastAsia" w:ascii="仿宋" w:hAnsi="仿宋" w:eastAsia="仿宋" w:cs="仿宋"/>
          <w:sz w:val="24"/>
        </w:rPr>
        <w:t>“</w:t>
      </w:r>
      <w:r>
        <w:rPr>
          <w:rFonts w:hint="eastAsia" w:ascii="仿宋" w:hAnsi="仿宋" w:eastAsia="仿宋" w:cs="仿宋"/>
          <w:kern w:val="0"/>
          <w:sz w:val="24"/>
        </w:rPr>
        <w:t>☐</w:t>
      </w:r>
      <w:r>
        <w:rPr>
          <w:rFonts w:hint="eastAsia" w:ascii="仿宋" w:hAnsi="仿宋" w:eastAsia="仿宋" w:cs="仿宋"/>
          <w:sz w:val="24"/>
        </w:rPr>
        <w:t>” 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 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b/>
          <w:sz w:val="24"/>
        </w:rPr>
      </w:pP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4.2供应商质疑</w:t>
      </w:r>
    </w:p>
    <w:p>
      <w:pPr>
        <w:pStyle w:val="40"/>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lang w:val="zh-CN"/>
        </w:rPr>
        <w:t>4.2</w:t>
      </w:r>
      <w:r>
        <w:rPr>
          <w:rFonts w:hint="eastAsia" w:ascii="仿宋" w:hAnsi="仿宋" w:eastAsia="仿宋" w:cs="仿宋"/>
          <w:sz w:val="24"/>
          <w:szCs w:val="24"/>
        </w:rPr>
        <w:t>.1提出质疑的供应商应当是参与所质疑项目采购活动的供应商。潜在供应商已依法获取其可质疑的招标文件的，可以对该文件提出质疑。</w:t>
      </w:r>
    </w:p>
    <w:p>
      <w:pPr>
        <w:pStyle w:val="40"/>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lang w:val="zh-CN"/>
        </w:rPr>
        <w:t>4.2</w:t>
      </w:r>
      <w:r>
        <w:rPr>
          <w:rFonts w:hint="eastAsia" w:ascii="仿宋" w:hAnsi="仿宋" w:eastAsia="仿宋" w:cs="仿宋"/>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4.2.2.1对招标文件提出质疑的，质疑期限为供应商获得招标文件之日或者招标文件公告期限届满之日起计算。</w:t>
      </w:r>
    </w:p>
    <w:p>
      <w:pPr>
        <w:pStyle w:val="4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4.2.2.2对采购过程提出质疑的，质疑期限为各采购程序环节结束之日起计算。对同一采购程序环节的质疑，供应商须一次性提出。</w:t>
      </w:r>
    </w:p>
    <w:p>
      <w:pPr>
        <w:pStyle w:val="4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4.2.2.3对采购结果提出质疑的，质疑期限自采购结果公告期限届满之日起计算。</w:t>
      </w:r>
    </w:p>
    <w:p>
      <w:pPr>
        <w:pStyle w:val="40"/>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4.2.3</w:t>
      </w:r>
      <w:r>
        <w:rPr>
          <w:rFonts w:hint="eastAsia" w:ascii="仿宋" w:hAnsi="仿宋" w:eastAsia="仿宋" w:cs="仿宋"/>
          <w:sz w:val="24"/>
          <w:szCs w:val="24"/>
        </w:rPr>
        <w:t>供应商提出质疑应当提交质疑函和必要的证明材料。质疑函应当包括下列内容：</w:t>
      </w:r>
    </w:p>
    <w:p>
      <w:pPr>
        <w:pStyle w:val="40"/>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　　4.2.3.1供应商的姓名或者名称、地址、邮编、联系人及联系电话；</w:t>
      </w:r>
    </w:p>
    <w:p>
      <w:pPr>
        <w:pStyle w:val="40"/>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　　4.2.3.2质疑项目的名称、编号；</w:t>
      </w:r>
    </w:p>
    <w:p>
      <w:pPr>
        <w:pStyle w:val="40"/>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　　4.2.3.3具体、明确的质疑事项和与质疑事项相关的请求；</w:t>
      </w:r>
    </w:p>
    <w:p>
      <w:pPr>
        <w:pStyle w:val="40"/>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　　4.2.3.4事实依据；</w:t>
      </w:r>
    </w:p>
    <w:p>
      <w:pPr>
        <w:pStyle w:val="40"/>
        <w:spacing w:line="360" w:lineRule="auto"/>
        <w:ind w:firstLine="480" w:firstLineChars="200"/>
        <w:rPr>
          <w:rFonts w:ascii="仿宋" w:hAnsi="仿宋" w:eastAsia="仿宋" w:cs="仿宋"/>
          <w:kern w:val="0"/>
          <w:sz w:val="24"/>
          <w:szCs w:val="24"/>
          <w:lang w:val="zh-CN"/>
        </w:rPr>
      </w:pPr>
      <w:r>
        <w:rPr>
          <w:rFonts w:hint="eastAsia" w:ascii="仿宋" w:hAnsi="仿宋" w:eastAsia="仿宋" w:cs="仿宋"/>
          <w:kern w:val="0"/>
          <w:sz w:val="24"/>
          <w:szCs w:val="24"/>
          <w:lang w:val="zh-CN"/>
        </w:rPr>
        <w:t>　　4.2.3.5必要的法律依据；</w:t>
      </w:r>
    </w:p>
    <w:p>
      <w:pPr>
        <w:pStyle w:val="40"/>
        <w:spacing w:line="360" w:lineRule="auto"/>
        <w:ind w:firstLine="960" w:firstLineChars="400"/>
        <w:rPr>
          <w:rFonts w:ascii="仿宋" w:hAnsi="仿宋" w:eastAsia="仿宋" w:cs="仿宋"/>
          <w:kern w:val="0"/>
          <w:sz w:val="24"/>
          <w:szCs w:val="24"/>
          <w:lang w:val="zh-CN"/>
        </w:rPr>
      </w:pPr>
      <w:r>
        <w:rPr>
          <w:rFonts w:hint="eastAsia" w:ascii="仿宋" w:hAnsi="仿宋" w:eastAsia="仿宋" w:cs="仿宋"/>
          <w:kern w:val="0"/>
          <w:sz w:val="24"/>
          <w:szCs w:val="24"/>
          <w:lang w:val="zh-CN"/>
        </w:rPr>
        <w:t>4.2.3.6提出质疑的日期。</w:t>
      </w:r>
    </w:p>
    <w:p>
      <w:pPr>
        <w:pStyle w:val="66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66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66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pPr>
        <w:pStyle w:val="66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669"/>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4.3供应商投诉</w:t>
      </w:r>
    </w:p>
    <w:p>
      <w:pPr>
        <w:pStyle w:val="66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66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66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66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669"/>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pStyle w:val="212"/>
        <w:snapToGrid w:val="0"/>
        <w:spacing w:before="0"/>
        <w:ind w:firstLine="360"/>
        <w:rPr>
          <w:rFonts w:ascii="仿宋" w:hAnsi="仿宋" w:eastAsia="仿宋" w:cs="仿宋"/>
          <w:sz w:val="18"/>
          <w:szCs w:val="18"/>
        </w:rPr>
      </w:pPr>
    </w:p>
    <w:p>
      <w:pPr>
        <w:pStyle w:val="938"/>
        <w:spacing w:before="120" w:after="120"/>
        <w:ind w:left="525"/>
        <w:rPr>
          <w:rFonts w:ascii="仿宋" w:hAnsi="仿宋" w:eastAsia="仿宋" w:cs="仿宋"/>
          <w:b w:val="0"/>
          <w:sz w:val="32"/>
          <w:szCs w:val="20"/>
        </w:rPr>
      </w:pPr>
      <w:r>
        <w:rPr>
          <w:rFonts w:hint="eastAsia"/>
        </w:rPr>
        <w:t>二、招标文件的构成、澄清、修改</w:t>
      </w:r>
    </w:p>
    <w:p>
      <w:pPr>
        <w:pStyle w:val="40"/>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4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40"/>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40"/>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40"/>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40"/>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40"/>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40"/>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40"/>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212"/>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212"/>
        <w:snapToGrid w:val="0"/>
        <w:spacing w:before="0"/>
        <w:ind w:firstLine="480"/>
        <w:rPr>
          <w:rFonts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 w:hAnsi="仿宋" w:eastAsia="仿宋" w:cs="仿宋"/>
          <w:sz w:val="18"/>
          <w:szCs w:val="18"/>
          <w:lang w:val="en-US"/>
        </w:rPr>
      </w:pPr>
    </w:p>
    <w:p>
      <w:pPr>
        <w:pStyle w:val="838"/>
      </w:pPr>
      <w:r>
        <w:rPr>
          <w:rFonts w:hint="eastAsia"/>
        </w:rPr>
        <w:t>三、投标</w:t>
      </w:r>
    </w:p>
    <w:p>
      <w:pPr>
        <w:pStyle w:val="40"/>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40"/>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4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40"/>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8"/>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40"/>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40"/>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720" w:firstLineChars="300"/>
        <w:rPr>
          <w:rFonts w:ascii="仿宋" w:hAnsi="仿宋" w:eastAsia="仿宋" w:cs="仿宋"/>
          <w:kern w:val="0"/>
          <w:sz w:val="24"/>
          <w:lang w:val="zh-CN"/>
        </w:rPr>
      </w:pPr>
      <w:r>
        <w:rPr>
          <w:rFonts w:hint="eastAsia" w:ascii="仿宋" w:hAnsi="仿宋" w:eastAsia="仿宋" w:cs="仿宋"/>
          <w:kern w:val="0"/>
          <w:sz w:val="24"/>
          <w:lang w:val="zh-CN"/>
        </w:rPr>
        <w:t>11.1.1资格文件封面；</w:t>
      </w:r>
    </w:p>
    <w:p>
      <w:pPr>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▲11.1.</w:t>
      </w:r>
      <w:r>
        <w:rPr>
          <w:rFonts w:hint="eastAsia" w:ascii="仿宋" w:hAnsi="仿宋" w:eastAsia="仿宋" w:cs="仿宋"/>
          <w:kern w:val="0"/>
          <w:sz w:val="24"/>
        </w:rPr>
        <w:t>2</w:t>
      </w:r>
      <w:r>
        <w:rPr>
          <w:rFonts w:hint="eastAsia" w:ascii="仿宋" w:hAnsi="仿宋" w:eastAsia="仿宋" w:cs="仿宋"/>
          <w:kern w:val="0"/>
          <w:sz w:val="24"/>
          <w:lang w:val="zh-CN"/>
        </w:rPr>
        <w:t>符合参加政府采购活动应当具备的一般条件的承诺函；</w:t>
      </w:r>
    </w:p>
    <w:p>
      <w:pPr>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▲11.1.</w:t>
      </w:r>
      <w:r>
        <w:rPr>
          <w:rFonts w:hint="eastAsia" w:ascii="仿宋" w:hAnsi="仿宋" w:eastAsia="仿宋" w:cs="仿宋"/>
          <w:kern w:val="0"/>
          <w:sz w:val="24"/>
        </w:rPr>
        <w:t>3</w:t>
      </w:r>
      <w:r>
        <w:rPr>
          <w:rFonts w:hint="eastAsia" w:ascii="仿宋" w:hAnsi="仿宋" w:eastAsia="仿宋" w:cs="仿宋"/>
          <w:kern w:val="0"/>
          <w:sz w:val="24"/>
          <w:lang w:val="zh-CN"/>
        </w:rPr>
        <w:t>落实政府采购政策需满足的资格要求；</w:t>
      </w:r>
    </w:p>
    <w:p>
      <w:pPr>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▲11.1.</w:t>
      </w:r>
      <w:r>
        <w:rPr>
          <w:rFonts w:hint="eastAsia" w:ascii="仿宋" w:hAnsi="仿宋" w:eastAsia="仿宋" w:cs="仿宋"/>
          <w:kern w:val="0"/>
          <w:sz w:val="24"/>
        </w:rPr>
        <w:t>4</w:t>
      </w:r>
      <w:r>
        <w:rPr>
          <w:rFonts w:hint="eastAsia" w:ascii="仿宋" w:hAnsi="仿宋" w:eastAsia="仿宋" w:cs="仿宋"/>
          <w:kern w:val="0"/>
          <w:sz w:val="24"/>
          <w:lang w:val="zh-CN"/>
        </w:rPr>
        <w:t>有效的《企业法人营业执照》副本扫描件；</w:t>
      </w:r>
    </w:p>
    <w:p>
      <w:pPr>
        <w:snapToGrid w:val="0"/>
        <w:spacing w:line="360" w:lineRule="auto"/>
        <w:ind w:firstLine="720" w:firstLineChars="300"/>
        <w:rPr>
          <w:rFonts w:ascii="仿宋" w:hAnsi="仿宋" w:eastAsia="仿宋" w:cs="仿宋"/>
          <w:kern w:val="0"/>
          <w:sz w:val="24"/>
          <w:lang w:val="zh-CN"/>
        </w:rPr>
      </w:pPr>
      <w:r>
        <w:rPr>
          <w:rFonts w:hint="eastAsia" w:ascii="仿宋" w:hAnsi="仿宋" w:eastAsia="仿宋" w:cs="仿宋"/>
          <w:kern w:val="0"/>
          <w:sz w:val="24"/>
          <w:lang w:val="zh-CN"/>
        </w:rPr>
        <w:t>11.1.</w:t>
      </w:r>
      <w:r>
        <w:rPr>
          <w:rFonts w:hint="eastAsia" w:ascii="仿宋" w:hAnsi="仿宋" w:eastAsia="仿宋" w:cs="仿宋"/>
          <w:kern w:val="0"/>
          <w:sz w:val="24"/>
        </w:rPr>
        <w:t>5</w:t>
      </w:r>
      <w:r>
        <w:rPr>
          <w:rFonts w:hint="eastAsia" w:ascii="仿宋" w:hAnsi="仿宋" w:eastAsia="仿宋" w:cs="仿宋"/>
          <w:kern w:val="0"/>
          <w:sz w:val="24"/>
          <w:lang w:val="zh-CN"/>
        </w:rPr>
        <w:t>本项目的特定资格要求；</w:t>
      </w:r>
    </w:p>
    <w:p>
      <w:pPr>
        <w:pStyle w:val="3"/>
        <w:ind w:firstLine="720" w:firstLineChars="300"/>
        <w:rPr>
          <w:rFonts w:ascii="仿宋" w:hAnsi="仿宋" w:eastAsia="仿宋" w:cs="仿宋"/>
          <w:lang w:val="en-US"/>
        </w:rPr>
      </w:pPr>
      <w:r>
        <w:rPr>
          <w:rFonts w:hint="eastAsia" w:ascii="仿宋" w:hAnsi="仿宋" w:eastAsia="仿宋" w:cs="仿宋"/>
          <w:kern w:val="0"/>
          <w:lang w:val="en-US"/>
        </w:rPr>
        <w:t>11.1.6</w:t>
      </w:r>
      <w:r>
        <w:rPr>
          <w:rFonts w:hint="eastAsia" w:ascii="仿宋" w:hAnsi="仿宋" w:eastAsia="仿宋" w:cs="仿宋"/>
        </w:rPr>
        <w:t>分包意向协议和中小企业声明函；</w:t>
      </w:r>
    </w:p>
    <w:p>
      <w:pPr>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▲11.1.</w:t>
      </w:r>
      <w:r>
        <w:rPr>
          <w:rFonts w:hint="eastAsia" w:ascii="仿宋" w:hAnsi="仿宋" w:eastAsia="仿宋" w:cs="仿宋"/>
          <w:kern w:val="0"/>
          <w:sz w:val="24"/>
        </w:rPr>
        <w:t>7</w:t>
      </w:r>
      <w:r>
        <w:rPr>
          <w:rFonts w:hint="eastAsia" w:ascii="仿宋" w:hAnsi="仿宋" w:eastAsia="仿宋" w:cs="仿宋"/>
          <w:kern w:val="0"/>
          <w:sz w:val="24"/>
          <w:lang w:val="zh-CN"/>
        </w:rPr>
        <w:t>政府采购活动现场确认声明书。</w:t>
      </w:r>
    </w:p>
    <w:p>
      <w:pPr>
        <w:snapToGrid w:val="0"/>
        <w:spacing w:line="360" w:lineRule="auto"/>
        <w:ind w:firstLine="482" w:firstLineChars="200"/>
        <w:rPr>
          <w:rFonts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pPr>
        <w:snapToGrid w:val="0"/>
        <w:spacing w:line="360" w:lineRule="auto"/>
        <w:ind w:firstLine="720" w:firstLineChars="300"/>
        <w:rPr>
          <w:rFonts w:ascii="仿宋" w:hAnsi="仿宋" w:eastAsia="仿宋" w:cs="仿宋"/>
          <w:kern w:val="0"/>
          <w:sz w:val="24"/>
          <w:lang w:val="zh-CN"/>
        </w:rPr>
      </w:pPr>
      <w:r>
        <w:rPr>
          <w:rFonts w:hint="eastAsia" w:ascii="仿宋" w:hAnsi="仿宋" w:eastAsia="仿宋" w:cs="仿宋"/>
          <w:kern w:val="0"/>
          <w:sz w:val="24"/>
          <w:lang w:val="zh-CN"/>
        </w:rPr>
        <w:t>11.2.1商务技术文件封面；</w:t>
      </w:r>
    </w:p>
    <w:p>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▲11.2.</w:t>
      </w:r>
      <w:r>
        <w:rPr>
          <w:rFonts w:hint="eastAsia" w:ascii="仿宋" w:hAnsi="仿宋" w:eastAsia="仿宋" w:cs="仿宋"/>
          <w:kern w:val="0"/>
          <w:sz w:val="24"/>
        </w:rPr>
        <w:t>2</w:t>
      </w:r>
      <w:r>
        <w:rPr>
          <w:rFonts w:hint="eastAsia" w:ascii="仿宋" w:hAnsi="仿宋" w:eastAsia="仿宋" w:cs="仿宋"/>
          <w:kern w:val="0"/>
          <w:sz w:val="24"/>
          <w:lang w:val="en-US" w:eastAsia="zh-CN"/>
        </w:rPr>
        <w:t>导读表</w:t>
      </w:r>
      <w:r>
        <w:rPr>
          <w:rFonts w:hint="eastAsia" w:ascii="仿宋" w:hAnsi="仿宋" w:eastAsia="仿宋" w:cs="仿宋"/>
          <w:kern w:val="0"/>
          <w:sz w:val="24"/>
          <w:lang w:val="zh-CN"/>
        </w:rPr>
        <w:t xml:space="preserve">； </w:t>
      </w:r>
    </w:p>
    <w:p>
      <w:pPr>
        <w:snapToGrid w:val="0"/>
        <w:spacing w:line="360" w:lineRule="auto"/>
        <w:ind w:firstLine="480" w:firstLineChars="200"/>
        <w:rPr>
          <w:lang w:val="zh-CN"/>
        </w:rPr>
      </w:pPr>
      <w:r>
        <w:rPr>
          <w:rFonts w:hint="eastAsia" w:ascii="仿宋" w:hAnsi="仿宋" w:eastAsia="仿宋" w:cs="仿宋"/>
          <w:kern w:val="0"/>
          <w:sz w:val="24"/>
          <w:lang w:val="zh-CN"/>
        </w:rPr>
        <w:t>▲11.2.</w:t>
      </w:r>
      <w:r>
        <w:rPr>
          <w:rFonts w:hint="eastAsia" w:ascii="仿宋" w:hAnsi="仿宋" w:eastAsia="仿宋" w:cs="仿宋"/>
          <w:kern w:val="0"/>
          <w:sz w:val="24"/>
          <w:lang w:val="en-US" w:eastAsia="zh-CN"/>
        </w:rPr>
        <w:t>3</w:t>
      </w:r>
      <w:r>
        <w:rPr>
          <w:rFonts w:hint="eastAsia" w:ascii="仿宋" w:hAnsi="仿宋" w:eastAsia="仿宋" w:cs="仿宋"/>
          <w:kern w:val="0"/>
          <w:sz w:val="24"/>
          <w:lang w:val="zh-CN"/>
        </w:rPr>
        <w:t xml:space="preserve">投标函； </w:t>
      </w:r>
    </w:p>
    <w:p>
      <w:pPr>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▲11.2.</w:t>
      </w:r>
      <w:r>
        <w:rPr>
          <w:rFonts w:hint="eastAsia" w:ascii="仿宋" w:hAnsi="仿宋" w:eastAsia="仿宋" w:cs="仿宋"/>
          <w:kern w:val="0"/>
          <w:sz w:val="24"/>
          <w:lang w:val="en-US" w:eastAsia="zh-CN"/>
        </w:rPr>
        <w:t>4</w:t>
      </w:r>
      <w:r>
        <w:rPr>
          <w:rFonts w:hint="eastAsia" w:ascii="仿宋" w:hAnsi="仿宋" w:eastAsia="仿宋" w:cs="仿宋"/>
          <w:kern w:val="0"/>
          <w:sz w:val="24"/>
          <w:lang w:val="zh-CN"/>
        </w:rPr>
        <w:t>符合性审查资料；</w:t>
      </w:r>
    </w:p>
    <w:p>
      <w:pPr>
        <w:snapToGrid w:val="0"/>
        <w:spacing w:line="360" w:lineRule="auto"/>
        <w:ind w:firstLine="720" w:firstLineChars="300"/>
        <w:rPr>
          <w:rFonts w:ascii="仿宋" w:hAnsi="仿宋" w:eastAsia="仿宋" w:cs="仿宋"/>
          <w:kern w:val="0"/>
          <w:sz w:val="24"/>
          <w:lang w:val="zh-CN"/>
        </w:rPr>
      </w:pPr>
      <w:r>
        <w:rPr>
          <w:rFonts w:hint="eastAsia" w:ascii="仿宋" w:hAnsi="仿宋" w:eastAsia="仿宋" w:cs="仿宋"/>
          <w:kern w:val="0"/>
          <w:sz w:val="24"/>
          <w:lang w:val="zh-CN"/>
        </w:rPr>
        <w:t>11.2.</w:t>
      </w:r>
      <w:r>
        <w:rPr>
          <w:rFonts w:hint="eastAsia" w:ascii="仿宋" w:hAnsi="仿宋" w:eastAsia="仿宋" w:cs="仿宋"/>
          <w:kern w:val="0"/>
          <w:sz w:val="24"/>
          <w:lang w:val="en-US" w:eastAsia="zh-CN"/>
        </w:rPr>
        <w:t>5</w:t>
      </w:r>
      <w:r>
        <w:rPr>
          <w:rFonts w:hint="eastAsia" w:ascii="仿宋" w:hAnsi="仿宋" w:eastAsia="仿宋" w:cs="仿宋"/>
          <w:kern w:val="0"/>
          <w:sz w:val="24"/>
          <w:lang w:val="zh-CN"/>
        </w:rPr>
        <w:t>评标标准相应的商务技术资料；</w:t>
      </w:r>
    </w:p>
    <w:p>
      <w:pPr>
        <w:snapToGrid w:val="0"/>
        <w:spacing w:line="360" w:lineRule="auto"/>
        <w:ind w:firstLine="720" w:firstLineChars="300"/>
        <w:rPr>
          <w:rFonts w:ascii="仿宋" w:hAnsi="仿宋" w:eastAsia="仿宋" w:cs="仿宋"/>
          <w:kern w:val="0"/>
          <w:sz w:val="24"/>
          <w:lang w:val="zh-CN"/>
        </w:rPr>
      </w:pPr>
      <w:r>
        <w:rPr>
          <w:rFonts w:hint="eastAsia" w:ascii="仿宋" w:hAnsi="仿宋" w:eastAsia="仿宋" w:cs="仿宋"/>
          <w:kern w:val="0"/>
          <w:sz w:val="24"/>
          <w:lang w:val="zh-CN"/>
        </w:rPr>
        <w:t>11.2.</w:t>
      </w:r>
      <w:r>
        <w:rPr>
          <w:rFonts w:hint="eastAsia" w:ascii="仿宋" w:hAnsi="仿宋" w:eastAsia="仿宋" w:cs="仿宋"/>
          <w:kern w:val="0"/>
          <w:sz w:val="24"/>
          <w:lang w:val="en-US" w:eastAsia="zh-CN"/>
        </w:rPr>
        <w:t>6</w:t>
      </w:r>
      <w:r>
        <w:rPr>
          <w:rFonts w:hint="eastAsia" w:ascii="仿宋" w:hAnsi="仿宋" w:eastAsia="仿宋" w:cs="仿宋"/>
          <w:kern w:val="0"/>
          <w:sz w:val="24"/>
          <w:lang w:val="zh-CN"/>
        </w:rPr>
        <w:t>商务技术偏离表；</w:t>
      </w:r>
    </w:p>
    <w:p>
      <w:pPr>
        <w:snapToGrid w:val="0"/>
        <w:spacing w:line="360" w:lineRule="auto"/>
        <w:ind w:firstLine="480" w:firstLineChars="200"/>
        <w:rPr>
          <w:rFonts w:ascii="仿宋" w:hAnsi="仿宋" w:eastAsia="仿宋" w:cs="仿宋"/>
          <w:lang w:val="zh-CN"/>
        </w:rPr>
      </w:pPr>
      <w:r>
        <w:rPr>
          <w:rFonts w:hint="eastAsia" w:ascii="仿宋" w:hAnsi="仿宋" w:eastAsia="仿宋" w:cs="仿宋"/>
          <w:kern w:val="0"/>
          <w:sz w:val="24"/>
          <w:lang w:val="zh-CN"/>
        </w:rPr>
        <w:t>▲11.2.</w:t>
      </w:r>
      <w:r>
        <w:rPr>
          <w:rFonts w:hint="eastAsia" w:ascii="仿宋" w:hAnsi="仿宋" w:eastAsia="仿宋" w:cs="仿宋"/>
          <w:kern w:val="0"/>
          <w:sz w:val="24"/>
          <w:lang w:val="en-US" w:eastAsia="zh-CN"/>
        </w:rPr>
        <w:t>7</w:t>
      </w:r>
      <w:r>
        <w:rPr>
          <w:rFonts w:hint="eastAsia" w:ascii="仿宋" w:hAnsi="仿宋" w:eastAsia="仿宋" w:cs="仿宋"/>
          <w:kern w:val="0"/>
          <w:sz w:val="24"/>
          <w:lang w:val="zh-CN"/>
        </w:rPr>
        <w:t>政府采购供应商廉洁自律承诺书。</w:t>
      </w:r>
    </w:p>
    <w:p>
      <w:pPr>
        <w:snapToGrid w:val="0"/>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pPr>
        <w:snapToGrid w:val="0"/>
        <w:spacing w:line="360" w:lineRule="auto"/>
        <w:ind w:firstLine="720" w:firstLineChars="3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kern w:val="0"/>
          <w:sz w:val="24"/>
          <w:lang w:val="zh-CN"/>
        </w:rPr>
        <w:t>.1</w:t>
      </w:r>
      <w:r>
        <w:rPr>
          <w:rFonts w:hint="eastAsia" w:ascii="仿宋" w:hAnsi="仿宋" w:eastAsia="仿宋" w:cs="仿宋"/>
          <w:kern w:val="0"/>
          <w:sz w:val="24"/>
        </w:rPr>
        <w:t>报价</w:t>
      </w:r>
      <w:r>
        <w:rPr>
          <w:rFonts w:hint="eastAsia" w:ascii="仿宋" w:hAnsi="仿宋" w:eastAsia="仿宋" w:cs="仿宋"/>
          <w:kern w:val="0"/>
          <w:sz w:val="24"/>
          <w:lang w:val="zh-CN"/>
        </w:rPr>
        <w:t>文件封面；</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w:t>
      </w:r>
      <w:r>
        <w:rPr>
          <w:rFonts w:hint="eastAsia" w:ascii="仿宋" w:hAnsi="仿宋" w:eastAsia="仿宋" w:cs="仿宋"/>
          <w:kern w:val="0"/>
          <w:sz w:val="24"/>
        </w:rPr>
        <w:t>11.3.2</w:t>
      </w:r>
      <w:r>
        <w:rPr>
          <w:rFonts w:hint="eastAsia" w:ascii="仿宋" w:hAnsi="仿宋" w:eastAsia="仿宋" w:cs="仿宋"/>
          <w:kern w:val="0"/>
          <w:sz w:val="24"/>
          <w:lang w:val="zh-CN"/>
        </w:rPr>
        <w:t>开标一览表（格式见附件）；</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w:t>
      </w:r>
      <w:r>
        <w:rPr>
          <w:rFonts w:hint="eastAsia" w:ascii="仿宋" w:hAnsi="仿宋" w:eastAsia="仿宋" w:cs="仿宋"/>
          <w:kern w:val="0"/>
          <w:sz w:val="24"/>
        </w:rPr>
        <w:t>11.3.3</w:t>
      </w:r>
      <w:r>
        <w:rPr>
          <w:rFonts w:hint="eastAsia" w:ascii="仿宋" w:hAnsi="仿宋" w:eastAsia="仿宋" w:cs="仿宋"/>
          <w:kern w:val="0"/>
          <w:sz w:val="24"/>
          <w:lang w:val="zh-CN"/>
        </w:rPr>
        <w:t>报价明细表（格式见附件）；</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11.3.4中小企业声明函。</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40"/>
        <w:spacing w:line="360" w:lineRule="auto"/>
        <w:rPr>
          <w:rFonts w:ascii="仿宋" w:hAnsi="仿宋" w:eastAsia="仿宋" w:cs="仿宋"/>
          <w:b/>
          <w:sz w:val="24"/>
          <w:szCs w:val="24"/>
        </w:rPr>
      </w:pPr>
      <w:r>
        <w:rPr>
          <w:rFonts w:hint="eastAsia" w:ascii="仿宋" w:hAnsi="仿宋" w:eastAsia="仿宋" w:cs="仿宋"/>
          <w:b/>
          <w:sz w:val="24"/>
          <w:szCs w:val="24"/>
        </w:rPr>
        <w:t>12. 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212"/>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212"/>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212"/>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212"/>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212"/>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2"/>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212"/>
        <w:spacing w:before="0"/>
        <w:ind w:firstLine="480"/>
        <w:rPr>
          <w:rFonts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40"/>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40"/>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40"/>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4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4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40"/>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15.5投标人仅提交备份投标文件，没有在电子交易平台传输递交投标文件的，投标无效。</w:t>
      </w:r>
    </w:p>
    <w:p>
      <w:pPr>
        <w:pStyle w:val="212"/>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31"/>
        <w:spacing w:line="360" w:lineRule="auto"/>
        <w:ind w:firstLine="315"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第13项规定</w:t>
      </w:r>
      <w:r>
        <w:rPr>
          <w:rFonts w:hint="eastAsia" w:ascii="仿宋" w:hAnsi="仿宋" w:eastAsia="仿宋" w:cs="仿宋"/>
          <w:szCs w:val="21"/>
        </w:rPr>
        <w:t>的情形之一的，投标无效：</w:t>
      </w:r>
    </w:p>
    <w:p>
      <w:pPr>
        <w:pStyle w:val="212"/>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212"/>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212"/>
        <w:spacing w:before="0"/>
        <w:ind w:firstLine="480"/>
        <w:rPr>
          <w:rFonts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212"/>
        <w:spacing w:before="0"/>
        <w:ind w:firstLine="643"/>
        <w:rPr>
          <w:rFonts w:ascii="仿宋" w:hAnsi="仿宋" w:eastAsia="仿宋" w:cs="仿宋"/>
          <w:b/>
          <w:sz w:val="32"/>
        </w:rPr>
      </w:pPr>
    </w:p>
    <w:p>
      <w:pPr>
        <w:pStyle w:val="212"/>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1058"/>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pPr>
        <w:pStyle w:val="1058"/>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1058"/>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1058"/>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212"/>
        <w:spacing w:before="0"/>
        <w:ind w:firstLine="48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212"/>
        <w:spacing w:before="0"/>
        <w:ind w:firstLine="480"/>
        <w:rPr>
          <w:rFonts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212"/>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212"/>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212"/>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212"/>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212"/>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212"/>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212"/>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212"/>
        <w:spacing w:before="0"/>
        <w:ind w:firstLine="0" w:firstLineChars="0"/>
        <w:rPr>
          <w:rFonts w:ascii="仿宋" w:hAnsi="仿宋" w:eastAsia="仿宋" w:cs="仿宋"/>
          <w:kern w:val="0"/>
          <w:szCs w:val="24"/>
        </w:rPr>
      </w:pPr>
    </w:p>
    <w:p>
      <w:pPr>
        <w:pStyle w:val="938"/>
        <w:spacing w:before="120" w:after="120"/>
        <w:ind w:left="525"/>
      </w:pPr>
      <w:r>
        <w:rPr>
          <w:rFonts w:hint="eastAsia"/>
        </w:rPr>
        <w:t>三、评标</w:t>
      </w:r>
    </w:p>
    <w:p>
      <w:pPr>
        <w:spacing w:line="360" w:lineRule="auto"/>
        <w:rPr>
          <w:rFonts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pStyle w:val="938"/>
        <w:spacing w:before="120" w:after="120"/>
        <w:ind w:left="525"/>
      </w:pPr>
      <w:r>
        <w:rPr>
          <w:rFonts w:hint="eastAsia"/>
        </w:rPr>
        <w:t>四、定标</w:t>
      </w:r>
    </w:p>
    <w:p>
      <w:pPr>
        <w:pStyle w:val="31"/>
        <w:spacing w:line="360" w:lineRule="auto"/>
        <w:ind w:left="840" w:hanging="420" w:hangingChars="199"/>
        <w:rPr>
          <w:rFonts w:ascii="仿宋" w:hAnsi="仿宋" w:eastAsia="仿宋" w:cs="仿宋"/>
          <w:b/>
        </w:rPr>
      </w:pPr>
      <w:r>
        <w:rPr>
          <w:rFonts w:hint="eastAsia" w:ascii="仿宋" w:hAnsi="仿宋" w:eastAsia="仿宋" w:cs="仿宋"/>
          <w:b/>
        </w:rPr>
        <w:t>22. 确定中标供应商</w:t>
      </w:r>
    </w:p>
    <w:p>
      <w:pPr>
        <w:pStyle w:val="212"/>
        <w:snapToGrid w:val="0"/>
        <w:spacing w:before="0"/>
        <w:ind w:firstLine="48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212"/>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31"/>
        <w:spacing w:line="360" w:lineRule="auto"/>
        <w:ind w:left="840" w:hanging="420"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31"/>
        <w:spacing w:line="360" w:lineRule="auto"/>
        <w:ind w:left="840" w:hanging="420"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212"/>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212"/>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212"/>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212"/>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31"/>
        <w:spacing w:line="360" w:lineRule="auto"/>
        <w:ind w:left="840" w:hanging="420"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w:t>
      </w:r>
      <w:r>
        <w:rPr>
          <w:rFonts w:hint="eastAsia" w:ascii="仿宋" w:hAnsi="仿宋" w:eastAsia="仿宋" w:cs="仿宋"/>
          <w:b/>
          <w:sz w:val="24"/>
        </w:rPr>
        <w:t>采购人不得拒收履约保函。</w:t>
      </w:r>
    </w:p>
    <w:p>
      <w:pPr>
        <w:tabs>
          <w:tab w:val="left" w:pos="0"/>
        </w:tabs>
        <w:spacing w:line="360" w:lineRule="auto"/>
        <w:ind w:firstLine="482"/>
        <w:rPr>
          <w:rFonts w:ascii="仿宋" w:hAnsi="仿宋" w:eastAsia="仿宋" w:cs="仿宋"/>
          <w:kern w:val="0"/>
          <w:sz w:val="24"/>
        </w:rPr>
      </w:pPr>
      <w:r>
        <w:rPr>
          <w:rFonts w:hint="eastAsia" w:ascii="仿宋" w:hAnsi="仿宋" w:eastAsia="仿宋" w:cs="仿宋"/>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ascii="仿宋" w:hAnsi="仿宋" w:eastAsia="仿宋" w:cs="仿宋"/>
          <w:b/>
          <w:sz w:val="24"/>
        </w:rPr>
      </w:pPr>
      <w:r>
        <w:rPr>
          <w:rFonts w:hint="eastAsia" w:ascii="仿宋" w:hAnsi="仿宋" w:eastAsia="仿宋" w:cs="仿宋"/>
          <w:b/>
          <w:sz w:val="32"/>
        </w:rPr>
        <w:t>八、电子交易活动的中止</w:t>
      </w:r>
    </w:p>
    <w:p>
      <w:pPr>
        <w:pStyle w:val="212"/>
        <w:snapToGrid w:val="0"/>
        <w:spacing w:before="0"/>
        <w:ind w:firstLine="0" w:firstLineChars="0"/>
        <w:rPr>
          <w:rFonts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212"/>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212"/>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212"/>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212"/>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212"/>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212"/>
        <w:snapToGrid w:val="0"/>
        <w:spacing w:before="0"/>
        <w:ind w:firstLine="0" w:firstLineChars="0"/>
        <w:rPr>
          <w:rFonts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ind w:left="120" w:leftChars="57"/>
        <w:jc w:val="center"/>
        <w:rPr>
          <w:rFonts w:ascii="仿宋" w:hAnsi="仿宋" w:eastAsia="仿宋" w:cs="仿宋"/>
          <w:b/>
          <w:sz w:val="32"/>
        </w:rPr>
      </w:pPr>
      <w:r>
        <w:rPr>
          <w:rFonts w:hint="eastAsia" w:ascii="仿宋" w:hAnsi="仿宋" w:eastAsia="仿宋" w:cs="仿宋"/>
          <w:b/>
          <w:sz w:val="32"/>
        </w:rPr>
        <w:t>九、验收</w:t>
      </w:r>
    </w:p>
    <w:p>
      <w:pPr>
        <w:pStyle w:val="31"/>
        <w:spacing w:line="360" w:lineRule="auto"/>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74714665"/>
      <w:bookmarkEnd w:id="15"/>
      <w:bookmarkStart w:id="16" w:name="_Hlt74729768"/>
      <w:bookmarkEnd w:id="16"/>
      <w:bookmarkStart w:id="17" w:name="_Hlt74730295"/>
      <w:bookmarkEnd w:id="17"/>
      <w:bookmarkStart w:id="18" w:name="_Hlt68073093"/>
      <w:bookmarkEnd w:id="18"/>
      <w:bookmarkStart w:id="19" w:name="_Hlt68072998"/>
      <w:bookmarkEnd w:id="19"/>
      <w:bookmarkStart w:id="20" w:name="_Hlt75236101"/>
      <w:bookmarkEnd w:id="20"/>
      <w:bookmarkStart w:id="21" w:name="_Hlt75236011"/>
      <w:bookmarkEnd w:id="21"/>
      <w:bookmarkStart w:id="22" w:name="_Hlt74707468"/>
      <w:bookmarkEnd w:id="22"/>
      <w:bookmarkStart w:id="23" w:name="_Hlt68072990"/>
      <w:bookmarkEnd w:id="23"/>
      <w:bookmarkStart w:id="24" w:name="_Hlt68403820"/>
      <w:bookmarkEnd w:id="24"/>
      <w:bookmarkStart w:id="25" w:name="_Hlt68057669"/>
      <w:bookmarkEnd w:id="25"/>
    </w:p>
    <w:bookmarkEnd w:id="11"/>
    <w:bookmarkEnd w:id="12"/>
    <w:p>
      <w:pPr>
        <w:adjustRightInd/>
        <w:spacing w:line="360" w:lineRule="auto"/>
        <w:jc w:val="center"/>
        <w:outlineLvl w:val="0"/>
        <w:rPr>
          <w:rFonts w:ascii="仿宋" w:hAnsi="仿宋" w:eastAsia="仿宋" w:cs="仿宋"/>
          <w:b/>
          <w:sz w:val="36"/>
          <w:szCs w:val="20"/>
        </w:rPr>
      </w:pPr>
      <w:bookmarkStart w:id="26" w:name="第四部分"/>
      <w:r>
        <w:rPr>
          <w:rFonts w:hint="eastAsia" w:ascii="仿宋" w:hAnsi="仿宋" w:eastAsia="仿宋" w:cs="仿宋"/>
          <w:b/>
          <w:sz w:val="36"/>
          <w:szCs w:val="20"/>
        </w:rPr>
        <w:t>第三部分 采购需求</w:t>
      </w:r>
      <w:bookmarkStart w:id="27" w:name="_Toc103784593"/>
    </w:p>
    <w:bookmarkEnd w:id="27"/>
    <w:p>
      <w:pPr>
        <w:pStyle w:val="938"/>
        <w:spacing w:before="156" w:after="156"/>
        <w:ind w:left="525"/>
      </w:pPr>
      <w:r>
        <w:rPr>
          <w:rFonts w:hint="eastAsia"/>
        </w:rPr>
        <w:t>一、项目概述</w:t>
      </w:r>
    </w:p>
    <w:p>
      <w:pPr>
        <w:pStyle w:val="112"/>
        <w:rPr>
          <w:rFonts w:hint="eastAsia" w:ascii="Times New Roman" w:hAnsi="Times New Roman"/>
        </w:rPr>
      </w:pPr>
      <w:r>
        <w:rPr>
          <w:rFonts w:hint="eastAsia" w:ascii="Times New Roman" w:hAnsi="Times New Roman"/>
        </w:rPr>
        <w:t>江山市公安局</w:t>
      </w:r>
      <w:r>
        <w:rPr>
          <w:rFonts w:hint="eastAsia" w:ascii="Times New Roman" w:hAnsi="Times New Roman"/>
          <w:lang w:val="en-US" w:eastAsia="zh-CN"/>
        </w:rPr>
        <w:t>交通警察大队</w:t>
      </w:r>
      <w:r>
        <w:rPr>
          <w:rFonts w:hint="eastAsia" w:ascii="Times New Roman" w:hAnsi="Times New Roman"/>
        </w:rPr>
        <w:t>紧紧围绕市委“1433”发展战略体系，坚决贯彻落实党的十九届五中全会、省委十四届七次、八次全会、市委七届七次、八次全会精神，面对复杂严峻的内外部环境，保持定力、凝聚战力，发展改革各项工作稳中有进。推进市域文明城市的治理体系和治理能力，适应全国文明城市的发展规律和特点，紧紧围绕全国文明城市建设的总目标，按照“以用促建、共建共享”的原则，打造健壮稳定、集约高效、自主可控、安全可信、开放兼容的一体化智能化公共数据平台，“浙里办”“浙政钉”两大终端，总结梳理衍生服务事项，大力提升交警部门对文明单位的协调率，提高文明城市的办事效率和满意度。</w:t>
      </w:r>
    </w:p>
    <w:p>
      <w:pPr>
        <w:pStyle w:val="938"/>
        <w:spacing w:before="156" w:after="156"/>
        <w:ind w:left="525"/>
        <w:rPr>
          <w:rFonts w:hint="eastAsia" w:eastAsia="等线"/>
          <w:lang w:val="en-US" w:eastAsia="zh-CN"/>
        </w:rPr>
      </w:pPr>
      <w:bookmarkStart w:id="28" w:name="_Toc103784603"/>
      <w:r>
        <w:rPr>
          <w:rFonts w:hint="eastAsia"/>
        </w:rPr>
        <w:t>二、项目建设</w:t>
      </w:r>
      <w:bookmarkEnd w:id="28"/>
      <w:r>
        <w:rPr>
          <w:rFonts w:hint="eastAsia"/>
          <w:lang w:val="en-US" w:eastAsia="zh-CN"/>
        </w:rPr>
        <w:t>目标</w:t>
      </w:r>
    </w:p>
    <w:p>
      <w:pPr>
        <w:pStyle w:val="112"/>
        <w:rPr>
          <w:rFonts w:hint="eastAsia" w:ascii="Times New Roman" w:hAnsi="Times New Roman"/>
        </w:rPr>
      </w:pPr>
      <w:r>
        <w:rPr>
          <w:rFonts w:hint="eastAsia" w:ascii="Times New Roman" w:hAnsi="Times New Roman"/>
        </w:rPr>
        <w:t>城市道路智能交通管控平台是根据日常道路交通安全管理现状及需求，基于交警部门实际道路交通管控现状和需求，运用数据通讯传输、大数据、物联网等先进技术或产品，建立先进实用、反应快速、运转协调、安全可靠的道路交通安全管理体系，满足江山交警对道路交通安全宏观管控、警力资源指挥调度、决策支持、协同作战的实战要求，进一步提高对道路交通安全的管控能力和面向社会的综合服务水平。</w:t>
      </w:r>
    </w:p>
    <w:p>
      <w:pPr>
        <w:pStyle w:val="112"/>
        <w:rPr>
          <w:rFonts w:ascii="Times New Roman" w:hAnsi="Times New Roman"/>
          <w:b/>
        </w:rPr>
      </w:pPr>
      <w:r>
        <w:rPr>
          <w:rFonts w:hint="eastAsia" w:ascii="Times New Roman" w:hAnsi="Times New Roman"/>
          <w:b/>
        </w:rPr>
        <w:t>2.1数据驱动交通管理模式转变和优化</w:t>
      </w:r>
    </w:p>
    <w:p>
      <w:pPr>
        <w:pStyle w:val="112"/>
        <w:rPr>
          <w:rFonts w:hint="eastAsia" w:ascii="Times New Roman" w:hAnsi="Times New Roman"/>
        </w:rPr>
      </w:pPr>
      <w:r>
        <w:rPr>
          <w:rFonts w:hint="eastAsia" w:ascii="Times New Roman" w:hAnsi="Times New Roman"/>
        </w:rPr>
        <w:t>交通管理由“被动”转变为“主动”。通过城市道路交通智能管控平台，动态有机呈现，针对交通事件统一指挥、快速处置。通过数据驱动交通管理模式的改变，改变原有的交通治理方式，消除各类交通管理的数据不通信和共享的现状，提高对基础交通视频、交通流数据、交通控制数据等资源的数据分析能力和利用率，提升交通管理效率，同时节省大量路面和中心交通管控警力。</w:t>
      </w:r>
    </w:p>
    <w:p>
      <w:pPr>
        <w:pStyle w:val="112"/>
        <w:rPr>
          <w:rFonts w:hint="eastAsia" w:ascii="Times New Roman" w:hAnsi="Times New Roman"/>
        </w:rPr>
      </w:pPr>
      <w:r>
        <w:rPr>
          <w:rFonts w:hint="eastAsia" w:ascii="Times New Roman" w:hAnsi="Times New Roman"/>
        </w:rPr>
        <w:t>设备管理由“人工”转变为“智能”。通过设施管理系统和设备运维系统建设，对设备入网、启用、维护进行精细化、流程化、数字化管控，解决设备管控无预警、无记录、无跟踪、低效率的状况发生。</w:t>
      </w:r>
    </w:p>
    <w:p>
      <w:pPr>
        <w:pStyle w:val="112"/>
        <w:rPr>
          <w:rFonts w:ascii="Times New Roman" w:hAnsi="Times New Roman"/>
          <w:b/>
        </w:rPr>
      </w:pPr>
      <w:r>
        <w:rPr>
          <w:rFonts w:hint="eastAsia" w:ascii="Times New Roman" w:hAnsi="Times New Roman"/>
          <w:b/>
        </w:rPr>
        <w:t>2.2数据驱动交通服务模式的转变和优化</w:t>
      </w:r>
    </w:p>
    <w:p>
      <w:pPr>
        <w:pStyle w:val="112"/>
        <w:rPr>
          <w:rFonts w:hint="eastAsia" w:ascii="Verdana" w:hAnsi="Verdana"/>
          <w:szCs w:val="28"/>
        </w:rPr>
      </w:pPr>
      <w:r>
        <w:rPr>
          <w:rFonts w:hint="eastAsia" w:ascii="Verdana" w:hAnsi="Verdana"/>
          <w:szCs w:val="28"/>
        </w:rPr>
        <w:t>因应全省数字化改革，针对交通事故容易伴随交通堵塞、民事纠纷等情况，基于发生交通事故的当事人对事故处理不了解、不熟悉、不信任等原因，引入“交通事故人民调解员”的模式，进一步调动协辅警人力资源，通过大队管控平台可视化、扁平化直接指挥路面执勤协警就近派警进行现场调解或者通过平台实现多方远程连线进行交通事故处理，实时掌握事故处理进度，完成各类交通事故现场信息采集、事故互联网在线处理、定损和理赔，实现从事故报警信息开始，到保险理赔完成的全闭环管理。</w:t>
      </w:r>
    </w:p>
    <w:p>
      <w:pPr>
        <w:pStyle w:val="938"/>
        <w:spacing w:before="156" w:after="156"/>
        <w:ind w:left="525"/>
        <w:rPr>
          <w:rFonts w:hint="eastAsia"/>
          <w:lang w:val="en-US" w:eastAsia="zh-CN"/>
        </w:rPr>
      </w:pPr>
      <w:r>
        <w:rPr>
          <w:rFonts w:hint="eastAsia"/>
          <w:lang w:val="en-US" w:eastAsia="zh-CN"/>
        </w:rPr>
        <w:t>三</w:t>
      </w:r>
      <w:r>
        <w:rPr>
          <w:rFonts w:hint="eastAsia"/>
        </w:rPr>
        <w:t>、项目建设</w:t>
      </w:r>
      <w:r>
        <w:rPr>
          <w:rFonts w:hint="eastAsia"/>
          <w:lang w:val="en-US" w:eastAsia="zh-CN"/>
        </w:rPr>
        <w:t>必要性</w:t>
      </w:r>
    </w:p>
    <w:p>
      <w:pPr>
        <w:numPr>
          <w:ilvl w:val="0"/>
          <w:numId w:val="0"/>
        </w:numPr>
        <w:tabs>
          <w:tab w:val="left" w:pos="720"/>
        </w:tabs>
        <w:adjustRightInd w:val="0"/>
        <w:spacing w:before="60" w:after="60" w:line="360" w:lineRule="auto"/>
        <w:ind w:leftChars="0" w:firstLine="480" w:firstLineChars="200"/>
        <w:textAlignment w:val="baseline"/>
        <w:outlineLvl w:val="2"/>
        <w:rPr>
          <w:rFonts w:hint="eastAsia" w:ascii="Times New Roman" w:hAnsi="Times New Roman" w:eastAsiaTheme="minorEastAsia" w:cstheme="minorBidi"/>
          <w:b/>
          <w:kern w:val="2"/>
          <w:sz w:val="24"/>
          <w:szCs w:val="22"/>
          <w:lang w:val="en-US" w:eastAsia="zh-CN" w:bidi="ar-SA"/>
        </w:rPr>
      </w:pPr>
      <w:bookmarkStart w:id="29" w:name="_Toc85207332"/>
      <w:bookmarkStart w:id="30" w:name="_Toc108991497"/>
      <w:r>
        <w:rPr>
          <w:rFonts w:hint="eastAsia" w:ascii="Times New Roman" w:hAnsi="Times New Roman" w:eastAsiaTheme="minorEastAsia" w:cstheme="minorBidi"/>
          <w:b/>
          <w:kern w:val="2"/>
          <w:sz w:val="24"/>
          <w:szCs w:val="22"/>
          <w:lang w:val="en-US" w:eastAsia="zh-CN" w:bidi="ar-SA"/>
        </w:rPr>
        <w:t>3.1有利于提高交警部门数据与县政府数据共享</w:t>
      </w:r>
      <w:bookmarkEnd w:id="29"/>
      <w:bookmarkEnd w:id="30"/>
    </w:p>
    <w:p>
      <w:pPr>
        <w:snapToGrid w:val="0"/>
        <w:spacing w:line="560" w:lineRule="exact"/>
        <w:ind w:firstLine="480" w:firstLineChars="200"/>
        <w:rPr>
          <w:rFonts w:hint="eastAsia" w:ascii="Verdana" w:hAnsi="Verdana" w:eastAsiaTheme="minorEastAsia" w:cstheme="minorBidi"/>
          <w:kern w:val="2"/>
          <w:sz w:val="24"/>
          <w:szCs w:val="28"/>
          <w:lang w:val="en-US" w:eastAsia="zh-CN" w:bidi="ar-SA"/>
        </w:rPr>
      </w:pPr>
      <w:r>
        <w:rPr>
          <w:rFonts w:hint="eastAsia" w:ascii="Verdana" w:hAnsi="Verdana" w:eastAsiaTheme="minorEastAsia" w:cstheme="minorBidi"/>
          <w:kern w:val="2"/>
          <w:sz w:val="24"/>
          <w:szCs w:val="28"/>
          <w:lang w:val="en-US" w:eastAsia="zh-CN" w:bidi="ar-SA"/>
        </w:rPr>
        <w:t>随着社会经济水平的迅速提高，江山市的机动车、驾驶人数量不断增加，路面执法设备更新，交警部门的各类交通数据城北增长。早些年江山市交警大队投资建设的基础软硬件环境已经不能满足目前系统的需求，而且这些年前端设备种类较多，没有非常系统地规划，导致资源浪费严重，没有合理地统筹设计，随之产生地数据安全问题也日益凸显。因此，为了数据能进行有效管理，运用先进的科学技术，提高数据接入效率并与江山市政府各机关单位数据共享，加强信息化建设显得尤为迫切。</w:t>
      </w:r>
    </w:p>
    <w:p>
      <w:pPr>
        <w:numPr>
          <w:ilvl w:val="0"/>
          <w:numId w:val="0"/>
        </w:numPr>
        <w:tabs>
          <w:tab w:val="left" w:pos="720"/>
        </w:tabs>
        <w:adjustRightInd w:val="0"/>
        <w:spacing w:before="60" w:after="60" w:line="360" w:lineRule="auto"/>
        <w:ind w:leftChars="0" w:firstLine="480" w:firstLineChars="200"/>
        <w:textAlignment w:val="baseline"/>
        <w:outlineLvl w:val="2"/>
        <w:rPr>
          <w:rFonts w:hint="eastAsia" w:ascii="Times New Roman" w:hAnsi="Times New Roman" w:eastAsiaTheme="minorEastAsia" w:cstheme="minorBidi"/>
          <w:b/>
          <w:kern w:val="2"/>
          <w:sz w:val="24"/>
          <w:szCs w:val="22"/>
          <w:lang w:val="en-US" w:eastAsia="zh-CN" w:bidi="ar-SA"/>
        </w:rPr>
      </w:pPr>
      <w:bookmarkStart w:id="31" w:name="_Toc494461909"/>
      <w:bookmarkStart w:id="32" w:name="_Toc108991498"/>
      <w:bookmarkStart w:id="33" w:name="_Toc85207333"/>
      <w:r>
        <w:rPr>
          <w:rFonts w:hint="eastAsia" w:ascii="Times New Roman" w:hAnsi="Times New Roman" w:eastAsiaTheme="minorEastAsia" w:cstheme="minorBidi"/>
          <w:b/>
          <w:kern w:val="2"/>
          <w:sz w:val="24"/>
          <w:szCs w:val="22"/>
          <w:lang w:val="en-US" w:eastAsia="zh-CN" w:bidi="ar-SA"/>
        </w:rPr>
        <w:t>3.2有利于提高交通管理水平和交通管理者进行科学决策</w:t>
      </w:r>
      <w:bookmarkEnd w:id="31"/>
      <w:bookmarkEnd w:id="32"/>
      <w:bookmarkEnd w:id="33"/>
    </w:p>
    <w:p>
      <w:pPr>
        <w:snapToGrid w:val="0"/>
        <w:spacing w:line="560" w:lineRule="exact"/>
        <w:ind w:firstLine="480" w:firstLineChars="200"/>
        <w:rPr>
          <w:rFonts w:ascii="仿宋_GB2312" w:hAnsi="宋体" w:eastAsia="仿宋_GB2312"/>
          <w:color w:val="000000"/>
          <w:kern w:val="0"/>
          <w:sz w:val="28"/>
          <w:szCs w:val="28"/>
        </w:rPr>
      </w:pPr>
      <w:r>
        <w:rPr>
          <w:rFonts w:hint="eastAsia" w:ascii="Verdana" w:hAnsi="Verdana" w:eastAsiaTheme="minorEastAsia" w:cstheme="minorBidi"/>
          <w:kern w:val="2"/>
          <w:sz w:val="24"/>
          <w:szCs w:val="28"/>
          <w:lang w:val="en-US" w:eastAsia="zh-CN" w:bidi="ar-SA"/>
        </w:rPr>
        <w:t>科学合理快速的交通管理决策指挥依赖于对交通流信息、交通事件信息、交通控制方案等各类交通资源的全面及时掌握。高清视频监控系统、高清电子警察子系统、交通信号控制系统等技术子系统都采集到了大量的交通信息和数据。系统的建设可对这些海量的数据进行全面的分析处理和深入的数据挖掘，为交通管理者进行科学决策提供及时有效的信息和数据支持。</w:t>
      </w:r>
      <w:r>
        <w:rPr>
          <w:rFonts w:hint="eastAsia" w:ascii="仿宋_GB2312" w:hAnsi="宋体" w:eastAsia="仿宋_GB2312"/>
          <w:color w:val="000000"/>
          <w:kern w:val="0"/>
          <w:sz w:val="28"/>
          <w:szCs w:val="28"/>
        </w:rPr>
        <w:t xml:space="preserve"> </w:t>
      </w:r>
    </w:p>
    <w:p>
      <w:pPr>
        <w:numPr>
          <w:ilvl w:val="0"/>
          <w:numId w:val="0"/>
        </w:numPr>
        <w:tabs>
          <w:tab w:val="left" w:pos="720"/>
        </w:tabs>
        <w:adjustRightInd w:val="0"/>
        <w:spacing w:before="60" w:after="60" w:line="360" w:lineRule="auto"/>
        <w:ind w:leftChars="0" w:firstLine="480" w:firstLineChars="200"/>
        <w:textAlignment w:val="baseline"/>
        <w:outlineLvl w:val="2"/>
        <w:rPr>
          <w:rFonts w:hint="eastAsia" w:ascii="Times New Roman" w:hAnsi="Times New Roman" w:eastAsiaTheme="minorEastAsia" w:cstheme="minorBidi"/>
          <w:b/>
          <w:kern w:val="2"/>
          <w:sz w:val="24"/>
          <w:szCs w:val="22"/>
          <w:lang w:val="en-US" w:eastAsia="zh-CN" w:bidi="ar-SA"/>
        </w:rPr>
      </w:pPr>
      <w:bookmarkStart w:id="34" w:name="_Toc108991499"/>
      <w:bookmarkStart w:id="35" w:name="_Toc494461911"/>
      <w:bookmarkStart w:id="36" w:name="_Toc85207334"/>
      <w:r>
        <w:rPr>
          <w:rFonts w:hint="eastAsia" w:ascii="Times New Roman" w:hAnsi="Times New Roman" w:eastAsiaTheme="minorEastAsia" w:cstheme="minorBidi"/>
          <w:b/>
          <w:kern w:val="2"/>
          <w:sz w:val="24"/>
          <w:szCs w:val="22"/>
          <w:lang w:val="en-US" w:eastAsia="zh-CN" w:bidi="ar-SA"/>
        </w:rPr>
        <w:t>3.3有利于提高交通信息服务能力</w:t>
      </w:r>
      <w:bookmarkEnd w:id="34"/>
      <w:bookmarkEnd w:id="35"/>
      <w:bookmarkEnd w:id="36"/>
    </w:p>
    <w:p>
      <w:pPr>
        <w:snapToGrid w:val="0"/>
        <w:spacing w:line="560" w:lineRule="exact"/>
        <w:ind w:firstLine="480" w:firstLineChars="200"/>
        <w:rPr>
          <w:rFonts w:hint="eastAsia" w:ascii="Verdana" w:hAnsi="Verdana" w:eastAsiaTheme="minorEastAsia" w:cstheme="minorBidi"/>
          <w:kern w:val="2"/>
          <w:sz w:val="24"/>
          <w:szCs w:val="28"/>
          <w:lang w:val="en-US" w:eastAsia="zh-CN" w:bidi="ar-SA"/>
        </w:rPr>
      </w:pPr>
      <w:r>
        <w:rPr>
          <w:rFonts w:hint="eastAsia" w:ascii="Verdana" w:hAnsi="Verdana" w:eastAsiaTheme="minorEastAsia" w:cstheme="minorBidi"/>
          <w:kern w:val="2"/>
          <w:sz w:val="24"/>
          <w:szCs w:val="28"/>
          <w:lang w:val="en-US" w:eastAsia="zh-CN" w:bidi="ar-SA"/>
        </w:rPr>
        <w:t>交通需求不仅表现在数量的快速增长，也表现在对高品质运输服务的要求更加强烈，市民对交通的服务能力、服务水平、服务质量都提出了越来越高的要求，这些也构成了本项目的直接需求。以出行信息为例，市民迫切需要获得实时准确道路交通流量信息、交通拥堵信息等，从而根据这些信息来安排行程计划，决定出行路线，绕开拥堵路线或拥堵点。</w:t>
      </w:r>
    </w:p>
    <w:p>
      <w:pPr>
        <w:numPr>
          <w:ilvl w:val="0"/>
          <w:numId w:val="0"/>
        </w:numPr>
        <w:tabs>
          <w:tab w:val="left" w:pos="720"/>
        </w:tabs>
        <w:adjustRightInd w:val="0"/>
        <w:spacing w:before="60" w:after="60" w:line="360" w:lineRule="auto"/>
        <w:ind w:leftChars="0" w:firstLine="480" w:firstLineChars="200"/>
        <w:textAlignment w:val="baseline"/>
        <w:outlineLvl w:val="2"/>
        <w:rPr>
          <w:rFonts w:hint="eastAsia" w:ascii="Times New Roman" w:hAnsi="Times New Roman" w:eastAsiaTheme="minorEastAsia" w:cstheme="minorBidi"/>
          <w:b/>
          <w:kern w:val="2"/>
          <w:sz w:val="24"/>
          <w:szCs w:val="22"/>
          <w:lang w:val="en-US" w:eastAsia="zh-CN" w:bidi="ar-SA"/>
        </w:rPr>
      </w:pPr>
      <w:bookmarkStart w:id="37" w:name="_Toc494461915"/>
      <w:bookmarkStart w:id="38" w:name="_Toc108991500"/>
      <w:bookmarkStart w:id="39" w:name="_Toc85207335"/>
      <w:r>
        <w:rPr>
          <w:rFonts w:hint="eastAsia" w:ascii="Times New Roman" w:hAnsi="Times New Roman" w:eastAsiaTheme="minorEastAsia" w:cstheme="minorBidi"/>
          <w:b/>
          <w:kern w:val="2"/>
          <w:sz w:val="24"/>
          <w:szCs w:val="22"/>
          <w:lang w:val="en-US" w:eastAsia="zh-CN" w:bidi="ar-SA"/>
        </w:rPr>
        <w:t>3.4有利于提升城市形象和社会生产力</w:t>
      </w:r>
      <w:bookmarkEnd w:id="37"/>
      <w:bookmarkEnd w:id="38"/>
      <w:bookmarkEnd w:id="39"/>
    </w:p>
    <w:p>
      <w:pPr>
        <w:snapToGrid w:val="0"/>
        <w:spacing w:line="560" w:lineRule="exact"/>
        <w:ind w:firstLine="480" w:firstLineChars="200"/>
        <w:rPr>
          <w:rFonts w:hint="eastAsia" w:ascii="Verdana" w:hAnsi="Verdana" w:eastAsiaTheme="minorEastAsia" w:cstheme="minorBidi"/>
          <w:kern w:val="2"/>
          <w:sz w:val="24"/>
          <w:szCs w:val="28"/>
          <w:lang w:val="en-US" w:eastAsia="zh-CN" w:bidi="ar-SA"/>
        </w:rPr>
      </w:pPr>
      <w:r>
        <w:rPr>
          <w:rFonts w:hint="eastAsia" w:ascii="Verdana" w:hAnsi="Verdana" w:eastAsiaTheme="minorEastAsia" w:cstheme="minorBidi"/>
          <w:kern w:val="2"/>
          <w:sz w:val="24"/>
          <w:szCs w:val="28"/>
          <w:lang w:val="en-US" w:eastAsia="zh-CN" w:bidi="ar-SA"/>
        </w:rPr>
        <w:t>通过建设和应用先进的交警指挥调度系统，使城市交通的运行效益大幅度提高，达到降低能耗，减轻环境污染，加快人流、物流的运转，改善城市投资环境和居住环境，从而促进江山市综合能力和竞争能力的提高，加快社会生产力的发展。</w:t>
      </w:r>
    </w:p>
    <w:p>
      <w:pPr>
        <w:numPr>
          <w:ilvl w:val="0"/>
          <w:numId w:val="0"/>
        </w:numPr>
        <w:tabs>
          <w:tab w:val="left" w:pos="720"/>
        </w:tabs>
        <w:adjustRightInd w:val="0"/>
        <w:spacing w:before="60" w:after="60" w:line="360" w:lineRule="auto"/>
        <w:ind w:leftChars="0" w:firstLine="480" w:firstLineChars="200"/>
        <w:textAlignment w:val="baseline"/>
        <w:outlineLvl w:val="2"/>
        <w:rPr>
          <w:rFonts w:hint="eastAsia" w:ascii="Times New Roman" w:hAnsi="Times New Roman" w:eastAsiaTheme="minorEastAsia" w:cstheme="minorBidi"/>
          <w:b/>
          <w:kern w:val="2"/>
          <w:sz w:val="24"/>
          <w:szCs w:val="22"/>
          <w:lang w:val="en-US" w:eastAsia="zh-CN" w:bidi="ar-SA"/>
        </w:rPr>
      </w:pPr>
      <w:bookmarkStart w:id="40" w:name="_Toc108991502"/>
      <w:r>
        <w:rPr>
          <w:rFonts w:hint="eastAsia" w:ascii="Times New Roman" w:hAnsi="Times New Roman" w:eastAsiaTheme="minorEastAsia" w:cstheme="minorBidi"/>
          <w:b/>
          <w:kern w:val="2"/>
          <w:sz w:val="24"/>
          <w:szCs w:val="22"/>
          <w:lang w:val="en-US" w:eastAsia="zh-CN" w:bidi="ar-SA"/>
        </w:rPr>
        <w:t>3.5道路交通数据精准研判的需求</w:t>
      </w:r>
      <w:bookmarkEnd w:id="40"/>
    </w:p>
    <w:p>
      <w:pPr>
        <w:snapToGrid w:val="0"/>
        <w:spacing w:line="560" w:lineRule="exact"/>
        <w:ind w:firstLine="480" w:firstLineChars="200"/>
        <w:rPr>
          <w:rFonts w:hint="eastAsia" w:ascii="Verdana" w:hAnsi="Verdana" w:eastAsiaTheme="minorEastAsia" w:cstheme="minorBidi"/>
          <w:kern w:val="2"/>
          <w:sz w:val="24"/>
          <w:szCs w:val="28"/>
          <w:lang w:val="en-US" w:eastAsia="zh-CN" w:bidi="ar-SA"/>
        </w:rPr>
      </w:pPr>
      <w:r>
        <w:rPr>
          <w:rFonts w:hint="eastAsia" w:ascii="Verdana" w:hAnsi="Verdana" w:eastAsiaTheme="minorEastAsia" w:cstheme="minorBidi"/>
          <w:kern w:val="2"/>
          <w:sz w:val="24"/>
          <w:szCs w:val="28"/>
          <w:lang w:val="en-US" w:eastAsia="zh-CN" w:bidi="ar-SA"/>
        </w:rPr>
        <w:t>目前江山市在日常交通管控中，缺乏综合的道路交通信息采集和分析能力，缺乏对交通动态数据进行融合和计算的能力。因此，无法为交通管理部门提供充足的、实时的交管数据，为管理者提供决策依据。在本次智慧交通项目建设中，需要融合多种交通数据源，包括所有交通元素、数据、信息（设施、设备、实时路况、车辆）等，实现对交通态精准刻画，为交通管理的科学化、精细化提供支撑。</w:t>
      </w:r>
    </w:p>
    <w:p>
      <w:pPr>
        <w:numPr>
          <w:ilvl w:val="0"/>
          <w:numId w:val="0"/>
        </w:numPr>
        <w:tabs>
          <w:tab w:val="left" w:pos="720"/>
        </w:tabs>
        <w:adjustRightInd w:val="0"/>
        <w:spacing w:before="60" w:after="60" w:line="360" w:lineRule="auto"/>
        <w:ind w:leftChars="0" w:firstLine="480" w:firstLineChars="200"/>
        <w:textAlignment w:val="baseline"/>
        <w:outlineLvl w:val="2"/>
        <w:rPr>
          <w:rFonts w:hint="eastAsia" w:ascii="Times New Roman" w:hAnsi="Times New Roman" w:eastAsiaTheme="minorEastAsia" w:cstheme="minorBidi"/>
          <w:b/>
          <w:kern w:val="2"/>
          <w:sz w:val="24"/>
          <w:szCs w:val="22"/>
          <w:lang w:val="en-US" w:eastAsia="zh-CN" w:bidi="ar-SA"/>
        </w:rPr>
      </w:pPr>
      <w:bookmarkStart w:id="41" w:name="_Toc85207329"/>
      <w:bookmarkStart w:id="42" w:name="_Toc108991503"/>
      <w:r>
        <w:rPr>
          <w:rFonts w:hint="eastAsia" w:ascii="Times New Roman" w:hAnsi="Times New Roman" w:eastAsiaTheme="minorEastAsia" w:cstheme="minorBidi"/>
          <w:b/>
          <w:kern w:val="2"/>
          <w:sz w:val="24"/>
          <w:szCs w:val="22"/>
          <w:lang w:val="en-US" w:eastAsia="zh-CN" w:bidi="ar-SA"/>
        </w:rPr>
        <w:t>3.6交通事件快速感知定位的需求</w:t>
      </w:r>
      <w:bookmarkEnd w:id="41"/>
      <w:bookmarkEnd w:id="42"/>
    </w:p>
    <w:p>
      <w:pPr>
        <w:snapToGrid w:val="0"/>
        <w:spacing w:line="560" w:lineRule="exact"/>
        <w:ind w:firstLine="480" w:firstLineChars="200"/>
        <w:rPr>
          <w:rFonts w:hint="eastAsia" w:ascii="Verdana" w:hAnsi="Verdana" w:eastAsiaTheme="minorEastAsia" w:cstheme="minorBidi"/>
          <w:kern w:val="2"/>
          <w:sz w:val="24"/>
          <w:szCs w:val="28"/>
          <w:lang w:val="en-US" w:eastAsia="zh-CN" w:bidi="ar-SA"/>
        </w:rPr>
      </w:pPr>
      <w:r>
        <w:rPr>
          <w:rFonts w:hint="eastAsia" w:ascii="Verdana" w:hAnsi="Verdana" w:eastAsiaTheme="minorEastAsia" w:cstheme="minorBidi"/>
          <w:kern w:val="2"/>
          <w:sz w:val="24"/>
          <w:szCs w:val="28"/>
          <w:lang w:val="en-US" w:eastAsia="zh-CN" w:bidi="ar-SA"/>
        </w:rPr>
        <w:t>在城市道路的隧道、主干道、交叉口等位置事件的快速发现与预警，对于交通管理来说显的尤为重要，一旦处理不及时，很容易引发更大的交通事故及车辆大堵塞等问题。在现有的系统中，交通事件没有进行系统化、流程化的管控，这种方式容易造成事件处置的延误，而无法做到及时发现和及时处理。因此，迫切需要一套交通事件管控的智能化解决方案，对发生的事件实时进行报警提示，系统采集的事件经管控平台汇集、任务分派，调动相应人员进行事件有效及时的处置。</w:t>
      </w:r>
    </w:p>
    <w:p/>
    <w:p>
      <w:pPr>
        <w:numPr>
          <w:ilvl w:val="0"/>
          <w:numId w:val="0"/>
        </w:numPr>
        <w:tabs>
          <w:tab w:val="left" w:pos="720"/>
        </w:tabs>
        <w:adjustRightInd w:val="0"/>
        <w:spacing w:before="60" w:after="60" w:line="360" w:lineRule="auto"/>
        <w:ind w:leftChars="0" w:firstLine="480" w:firstLineChars="200"/>
        <w:textAlignment w:val="baseline"/>
        <w:outlineLvl w:val="2"/>
        <w:rPr>
          <w:rFonts w:hint="eastAsia" w:ascii="Times New Roman" w:hAnsi="Times New Roman" w:eastAsiaTheme="minorEastAsia" w:cstheme="minorBidi"/>
          <w:b/>
          <w:kern w:val="2"/>
          <w:sz w:val="24"/>
          <w:szCs w:val="22"/>
          <w:lang w:val="en-US" w:eastAsia="zh-CN" w:bidi="ar-SA"/>
        </w:rPr>
      </w:pPr>
      <w:bookmarkStart w:id="43" w:name="_Toc108991504"/>
      <w:r>
        <w:rPr>
          <w:rFonts w:hint="eastAsia" w:ascii="Times New Roman" w:hAnsi="Times New Roman" w:eastAsiaTheme="minorEastAsia" w:cstheme="minorBidi"/>
          <w:b/>
          <w:kern w:val="2"/>
          <w:sz w:val="24"/>
          <w:szCs w:val="22"/>
          <w:lang w:val="en-US" w:eastAsia="zh-CN" w:bidi="ar-SA"/>
        </w:rPr>
        <w:t>3.7交警指挥大厅装修改造需求</w:t>
      </w:r>
      <w:bookmarkEnd w:id="43"/>
    </w:p>
    <w:p>
      <w:pPr>
        <w:snapToGrid w:val="0"/>
        <w:spacing w:line="560" w:lineRule="exact"/>
        <w:ind w:firstLine="480" w:firstLineChars="200"/>
        <w:rPr>
          <w:rFonts w:hint="eastAsia" w:ascii="Verdana" w:hAnsi="Verdana" w:eastAsiaTheme="minorEastAsia" w:cstheme="minorBidi"/>
          <w:kern w:val="2"/>
          <w:sz w:val="24"/>
          <w:szCs w:val="28"/>
          <w:lang w:val="en-US" w:eastAsia="zh-CN" w:bidi="ar-SA"/>
        </w:rPr>
      </w:pPr>
      <w:r>
        <w:rPr>
          <w:rFonts w:hint="eastAsia" w:ascii="Verdana" w:hAnsi="Verdana" w:eastAsiaTheme="minorEastAsia" w:cstheme="minorBidi"/>
          <w:kern w:val="2"/>
          <w:sz w:val="24"/>
          <w:szCs w:val="28"/>
          <w:lang w:val="en-US" w:eastAsia="zh-CN" w:bidi="ar-SA"/>
        </w:rPr>
        <w:t>现阶段，交警大队的指挥中心大厅破旧，已经无法满足当前的日常工作，面对越来越多的交通事故报警，设备老旧，经常瘫痪，严重影响了日常处警，严重影响了交警的工作效率。因此，迫切需要对指挥中心进行装修升级改造，利用先进成熟的计算和信息处理技术，建设一个集计算机技术、网络技术、通信技术、图形图像技术、数据库技术及信息处理技术等为一体的、全新的交警指挥大厅；并可实现平滑扩充及系统升级；以满足业务需求为出发点，为交警日常工作提供全方位的、人性化的现代化信息系统。</w:t>
      </w:r>
    </w:p>
    <w:p>
      <w:pPr>
        <w:pStyle w:val="938"/>
        <w:spacing w:before="156" w:after="156"/>
        <w:ind w:left="525"/>
        <w:rPr>
          <w:rFonts w:hint="default" w:eastAsia="等线"/>
          <w:lang w:val="en-US" w:eastAsia="zh-CN"/>
        </w:rPr>
      </w:pPr>
      <w:bookmarkStart w:id="44" w:name="_Toc438737001"/>
      <w:bookmarkEnd w:id="44"/>
      <w:bookmarkStart w:id="45" w:name="_Toc493601411"/>
      <w:bookmarkEnd w:id="45"/>
      <w:bookmarkStart w:id="46" w:name="_Toc517255791"/>
      <w:bookmarkEnd w:id="46"/>
      <w:bookmarkStart w:id="47" w:name="_Toc46835155"/>
      <w:bookmarkStart w:id="48" w:name="_Toc103784619"/>
      <w:r>
        <w:rPr>
          <w:rFonts w:hint="eastAsia"/>
        </w:rPr>
        <w:t>四、</w:t>
      </w:r>
      <w:bookmarkEnd w:id="47"/>
      <w:bookmarkEnd w:id="48"/>
      <w:r>
        <w:rPr>
          <w:rFonts w:hint="eastAsia"/>
          <w:lang w:val="en-US" w:eastAsia="zh-CN"/>
        </w:rPr>
        <w:t>项目总体架构</w:t>
      </w:r>
    </w:p>
    <w:p>
      <w:pPr>
        <w:pStyle w:val="112"/>
      </w:pPr>
      <w:r>
        <w:rPr>
          <w:rFonts w:hint="eastAsia" w:ascii="Times New Roman" w:hAnsi="Times New Roman"/>
        </w:rPr>
        <w:t>系统总体架构包括设备接入层、网络传输层、支撑服务层、应用服务层。接入层提供设备的接入能力，主要包括电警设备、视频监控设备、测速设备、**通设备、卡口设备、多媒体设备、执法记录仪设备等数据的接入。网络传输层提供数据安全传输的能力，主要包括互联网、政务网、视频专网、公安网等。通过网络安全设备的防护，将数据安全传输到支撑服务层。支撑服务层主要包括数据基座平台、视频共享平台、110接处警平台、公安地址库、PGIS/GIS地图、短信平台、浙里办平台、公安其他基础信息库等。支撑服务层为上层应用提供基础支撑服务，提供标准的接口和其他应用进行对接。应用层面向用户提供应用服务，主要包括110接处警改造应用、标签管理子系统应用、电动车违法查处应用、重点车辆（渣土车、两客一危车辆）管理应用、交通事故写入应用、多媒体调处应用、远程执法应用、交通事故信息协同处理应用</w:t>
      </w:r>
      <w:r>
        <w:rPr>
          <w:rFonts w:hint="eastAsia"/>
        </w:rPr>
        <w:t>。</w:t>
      </w:r>
    </w:p>
    <w:p>
      <w:pPr>
        <w:pStyle w:val="535"/>
        <w:spacing w:before="31" w:after="31"/>
        <w:ind w:firstLine="0" w:firstLineChars="0"/>
        <w:rPr>
          <w:rFonts w:ascii="Times New Roman" w:hAnsi="Times New Roman"/>
        </w:rPr>
        <w:sectPr>
          <w:pgSz w:w="11906" w:h="16838"/>
          <w:pgMar w:top="1588" w:right="1418" w:bottom="1588" w:left="1418" w:header="851" w:footer="992" w:gutter="0"/>
          <w:cols w:space="720" w:num="1"/>
          <w:docGrid w:type="lines" w:linePitch="312" w:charSpace="0"/>
        </w:sectPr>
      </w:pPr>
    </w:p>
    <w:p>
      <w:pPr>
        <w:pStyle w:val="938"/>
        <w:spacing w:before="120" w:after="120"/>
        <w:ind w:left="525"/>
        <w:rPr>
          <w:rFonts w:hint="eastAsia"/>
        </w:rPr>
      </w:pPr>
      <w:r>
        <w:rPr>
          <w:rFonts w:hint="eastAsia"/>
          <w:lang w:val="en-US" w:eastAsia="zh-CN"/>
        </w:rPr>
        <w:t>五</w:t>
      </w:r>
      <w:r>
        <w:rPr>
          <w:rFonts w:hint="eastAsia"/>
        </w:rPr>
        <w:t>、</w:t>
      </w:r>
      <w:r>
        <w:rPr>
          <w:rFonts w:hint="eastAsia"/>
          <w:lang w:val="en-US" w:eastAsia="zh-CN"/>
        </w:rPr>
        <w:t>采购</w:t>
      </w:r>
      <w:r>
        <w:rPr>
          <w:rFonts w:hint="eastAsia"/>
        </w:rPr>
        <w:t>清单</w:t>
      </w:r>
    </w:p>
    <w:p>
      <w:pPr>
        <w:pStyle w:val="544"/>
      </w:pPr>
    </w:p>
    <w:tbl>
      <w:tblPr>
        <w:tblStyle w:val="72"/>
        <w:tblW w:w="159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1286"/>
        <w:gridCol w:w="12382"/>
        <w:gridCol w:w="818"/>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159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6"/>
                <w:szCs w:val="36"/>
                <w:u w:val="none"/>
              </w:rPr>
            </w:pPr>
            <w:r>
              <w:rPr>
                <w:rFonts w:hint="eastAsia" w:ascii="微软雅黑" w:hAnsi="微软雅黑" w:eastAsia="微软雅黑" w:cs="微软雅黑"/>
                <w:b/>
                <w:bCs/>
                <w:i w:val="0"/>
                <w:iCs w:val="0"/>
                <w:color w:val="000000"/>
                <w:kern w:val="0"/>
                <w:sz w:val="36"/>
                <w:szCs w:val="36"/>
                <w:u w:val="none"/>
                <w:lang w:val="en-US" w:eastAsia="zh-CN" w:bidi="ar"/>
              </w:rPr>
              <w:t>江山市公安局交通警察大队交通事故“一键快响”指挥中心建设项目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产品类别</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技术规格</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9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一、指挥大厅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1.1大屏系统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LED小间距</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1、▲点间距≤1.25mm；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2、屏体尺寸：宽度≥12.6米，高度≥3.03米；</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3、整屏分辨率宽≥10080点，高≥2430点；</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4、▲像素密度：≥640000点/平方,采用优质封装厂家SMD表贴三合一金线封装 ；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5、箱体长度≤600mm，最小显示单元高度≤168.75mm ；采用压铸铝合金材质，全金属自然散热结构，无风扇、防尘、静音设计；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6、白平衡亮度： ≥600cd/㎡；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7、视角：水平/垂直视角≥160°；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8、灰度等级：12-22bit；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9、色温：2000K－10000K可调；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10、换帧频率：≥60Hz；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11、最高对比度：10000：1；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12、色域≥120%NTSC；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13、平整度：≤0.1mm；刷新频率：960Hz-5760Hz；                                                                                                                                                                                                                                                         14、亮度均匀性：≥99%；像素失控率：≤1/1000000，无连续失控点；</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15、单箱断电功能：箱体支持伸缩式硬连接接口，可实现对单箱进行断电/通电控制；                                                                                                                                                                                              16、★箱体背面自带LCD智能模块，可实现LED屏幕的单点检测、温度检测、电源检测，具备远程监督控制，对可能发生潜在的故障记录日志，并向操作员发出警报信号；（提供产品实物图片并加盖公章）；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17、安装方式：支持前后安装，常规座装、贴墙、壁挂、吊装、内弧安装、自动定位安装等多类型快速安装方式；                                                                                                                                                                  18、维护方式：支持模块、电源、接收卡完全前拆前维护；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19、LED屏体长时间未使用或在潮湿环境中，会自动进入除湿模式，具备除湿功能；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20、采用多层盲孔印制线路板设计，PCB电路及表面沉金处理工艺，符合国家标准；具有独特的消隐、节能处理、一体化驱动功能；                                                                                                                                    21、LED屏支持箱体为单元的转接卡板载千兆光口模块一体设计，发送端至接收端无任何接口转换，无任何RJ45网口、HDMI视频接口、DVI视频接口接入及TTL电路转换，防止通讯数据被非法监听、窃取、篡改，保障通讯数据绝对安全；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22、模块表面采用电喷及绝缘导热面膜技术，屏体正面亚黑处理，可有效防止反光、眩光和静电，无面罩设计，反光率≤1.2%；显示屏对比度高，屏幕表面采用无塑胶类结构件，屏体表面均匀，观看视角大，观看效果好，PCB及灯管散热良好；                                                                                                                                                                                                                                                                       23、电源系统冗余多备份：箱体内部无强电，箱体输入电压小于48V， 采用电源 N+1 冗余设计，多个拔插式的开关电源组成外置AC-DC 的电源箱，任意拔掉其中一个系统电源，不影响系统的正常运行；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24、LED面板采用模压抽真空腔体结构设计，胶面厚度和墨色一致；灯板采用光学级纳米防护材料进行表面涂覆的纳米光学镀膜3D防护技术，支持水滴测试，具有防潮、防雾、防湿功能；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25、LED灯板和LED显示屏采用低反射率制造工艺及屏体亮度具备自动调节系统及方法、消除亮暗线控制系统、消除毛毛虫现象等，且符合国家级检测机构认可的低耗能设计要求；                                                                                                                                                                                    26、LED显示屏支持安全性加密及故障自诊断及排查、像素失控监测及定位、视频图像稳定性监测功能，系统控制软件支持国产，经过国产桌面操作系统软件测试；                                                                                                                                                                                                                                                                               27、为保障整体项目建设能力， LED 显示屏厂家通过《 T /CITIF001-2019信息系统建设和服务能力评估体系能力要求》为基本级（CS2)；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28、所投显示屏产品已购买产品责任险、公众责任险、财产一切险、雇主责任险（提供全项保单扫描件并加盖公章）；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29、LED显示屏需符合GB / T 23001-2017信息化和汇业化融合管理体系认证；                                                                                                                                                </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30、LED显示屏符合CESI产品认证实施规则CESI-PC-0D11中色彩品质A级的要求；                                                                                                                                                                                                                                                                                              31、为了保证网络信息安全，LED显示屏制造厂商信息系统安全集成服务资质与信息系统安全运维服务资质符合中国网络安全审查技术与认证中心CCRC核发的信息安全服务资质。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38.27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独立主控</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1.带载能力230 万点，支持自定义分辨率；</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2.支持最大宽度3840；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3.支持最大高度3840；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4.单台最大带载1920× 1200@60Hz；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5.支持2K高清画面</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6.输入接口DVI×1，DVI OUT×1,  HDMI×1，HDMI OUT×1；</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7.输出接口6路千兆网口输出；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8.视频源位深8bit；</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9.支持新一代逐点亮色度校正技术，校正过程快速高效</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10.可级联多台进行统一控制</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视频拼接服务器</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  采用纯硬件架构，系统的核心为大规模的FPGA阵列，其内部无任何CPU和操作系统，安全稳定；</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  采用模块化结构设计，一台拼接处理器由多个模块结构组成，包括输入模块、输出模块、控制模块、数据模块、电源模块等，支持各种模块的任意插板处理，输入板卡热插拔恢复时间＜2s，输出板卡热插拔恢复时间＜8s，具有系统故障的快速检测和及时恢复；</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  不小于6路高清输出，不小于8路高清输入接口；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  信号处理带宽：机箱背板为每路信号单独提供20Gbps带宽，单张板卡提供80Gbps带宽，背板总带宽不小于12800Gbps；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  带电热插拔功能：所有输入、输出板卡支持带电热插拔功能，可在系统正常供电的情况下对输出输入板卡进行带电插拔更换，且系统能快速恢复，针对某些特殊环境可在系统不断电的状态下迅速恢复，恢复时间&lt;3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  开机时间：&lt;10S；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  输入信号源：支持DVI、HDMI、VGA、RGB、3G/HD/SD-SDI、Dual-Link、IP解码、YPbPr、S-Video、CVBS、HDBaseT、Optical Fiber、4K等信号，同时具有音频同步切换功能；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  任意输出自定义：根据显示屏幕相应的点数及显示面积任意制定输出分辨率，通过软件内部界面设置及相应的点数划分制定功能，并将自定义的分辨率添加到系统默认列表中；</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  支持多用户分级管理及操控：允许多台工作站同时对大屏幕进行操作，互不影响。每个用户单独设置不同管理权限，不同的用户需要登录认证，具有不同的设备管理功能、不同的业务访问分配功能；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 工作持续性：可7x24持续工作；</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 控制方式：支持RS232串口、网络、遥控器、中控、面板按键等多种方式对设备进行控制；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 图像快速切换：采用图像处理芯片，配合先进的技术，通过对软件界面及面板按键的操作，可快速切换调用当前场景及信号窗口。输入信号切换实时、无缝，确保单个或多个信号进行切换时无花屏、无蓝屏、无黑场现象，任意信号切换时间≦20m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 窗口任意组合缩放显示：支持输出通道图像窗口任意摆放显示，接入处理器的多种视频信号可根据需求在显示端进行任意位置开窗、叠加、拉伸、漫游、跨屏、缩放或画中画显示功能，也可将接入系统的信号源在单屏及组合屏幕上显示，将前端多个输入信号源以窗口的形式在1、2、4、6、8、9、12、16多画面进行任意组合摆放显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 支持多个场景预案功能，可将输入信号组合编辑为模式场景，可保存多达256种场景模式，支持自动轮巡，可自定义设置轮巡时间；</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 故障检测及在线升级功能：支持输入信号丢失检测，支持在线升级维护；</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综合播控系统软件</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1、软件支持集成中控功能；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2、软件支持故障检测功能；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3、软件支持麒麟操作系统；</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4、所投软件与LED显示屏制造厂商为同一厂家：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海量图像演示和多媒体控制功能；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有图像细节优化处理功能；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智能除湿功能；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LED显示屏色彩校正软件；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显示屏伽马校正软件；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LED显示屏远距离视频监控系统软件；</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屏体自带逐点校正及智能亮度调节软件</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结构支撑</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采用镀锌方管焊接，符合国家标准要求；</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包含屏体相关的结构设计、埋件构造、支撑焊接、焊点喷漆及吊装安装；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38.27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装饰包边</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1、安装结构能满足LED高清显示屏的整体均匀平滑要求，采用环保型材，结构应便于安装和调试。</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2、采用国标材料制作，定制装置，拆装方便；具备间距调节装置，可实现精确调节，显示模组之间的缝隙均匀，显示效果清晰；钢结构框架，所有材料采用国家标准材料施工制作，防锈防氧化处理</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3、LED显示屏选用环保型铝型材框架安装,其框架材料经过严格环保、无毒测试；</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配电系统</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30KW配电系统采用三相五线制供电，配电系统保证三相平衡，尽量减少对电网的冲击影响；</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同时还应配备过流、短路、断路、过压、欠压、温度过高等保护措施，以及相应的故障指示装置，具有PLC远程控制功能。生产企业具备能源管理体系认证证书、CQC认证证书、智能配电管理系统软件证书；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专用线缆</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屏体部分专用的网线、排线、5V电源线。备注：不包含主供电缆及可能产生的远距离传输光纤。</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1.2操作台及配套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指挥观摩区控制台                  </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共1组，8工位。 单组尺寸≥10000*900*760mm；主框架为优质碳素结构钢板侧板艺术造型，采用钢木结构、抗倍特板与碳素结构钢板经连接件连接/前后门板为带网孔优质碳素结构钢板/专业强弱电理线槽/拉铝型材背墙板。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控制台台板采用具有高强度、耐腐蚀、耐冲击、阻燃、抗变形的抗培特板材制作，板材厚度≥18mm。台面部分具备耐摩擦、耐火，光电感应功能（不需鼠标垫）。台面在恒定温度下耐干热性无变化，在15种常用试剂下具备耐污染性，在500g的力下对台板磨损无破坏达到基本的耐磨性。台板在半正弦冲击波型，加速到500G，持续时间3MS，冲击次数5次/轴的情况下，表面无变型。根据不同行业使用人的坏境、天气等原因控制台遇水浸泡24小时后，台板重量、颜色、光泽度不产生变化，不出现分层、起鼓现象，满足高强度、耐腐蚀、耐冲击、阻燃、抗变形条件要求。（提供控制台耐冲击、承重、防浸泡、阻燃测试检测报告扫描件并加盖公章）</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控制台主体采用组合式设计，拆装便捷并满足未来扩展改造需求；内部结构具有可调整性，辅有专业的各式设备承托架及内配件，安装与调整方便。每个长度1000MM的底柜承重500KG时，各零部件无割裂和断裂，外观视觉上无变形、倾斜现象。操作台设置前门转门，打开角度≥110度，设备承托件配置专业托盆，方便维修设备和维护工作的灵活性。满足底柜承重500KG时，各零部件无割裂和断裂，外观视觉上无变形、倾斜现象。（提供操作台承重检测报告扫描件并加盖公章）</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3、承重框架使用不低于3mm厚的一级冷轧钢板加工。一般受力件采用2.0mm厚优质冷轧钢板，外表面静电塑粉喷涂。支撑框架采用专用挤压铝合金型材。</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控制台前后门板采用厚度不低于1.2mm的冷轧钢板制作。操作台前后门板采用压筋散气孔工艺，散气孔长形孔设计，孔宽度尺寸不大于4.7mm，长度尺寸不大于40mm。散气孔具备平面立体效果，立体凸起均匀分布，凸起高度不超过3mm，通风率≥60%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5、在控制台系统的后屏风上，可配置变化红、绿、蓝三种颜色灯光的导光板。灯光可以用按钮网络等方式控制，多个席位的灯光也可以实现集中控制功能，也可以与中控系统相融合、联动显示警示信号。</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由于应用系统中的电子通信信号会以电磁辐射的形式向外界传播(即TEMPEST现象)，外界利用监测设备即可进行截获还原。为了防止电子通信设备信息泄漏，确保信息安全，抵御外界电磁干扰或攻击能力，操作控制台的射频电磁场辐射抗扰度频率范围在80-1000MHZ范围内，严酷等级不少于2级。射频磁场感应的传导骚扰抗扰度频率范围在0.15-80MHZ范围内，严酷等级不少于2级，静电放电抗扰度不少于3KV，空气放电不少于5KV，浪涌冲击不少于1KV，电快速瞬变脉冲群抗扰度在2KV，5/100KHZ，严酷等级不少于2级。浪涌冲击不少于1KV，电快速瞬变脉冲群抗扰度在2KV，5/100KHZ，严酷等级不少于3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为避免静电敏感元器件以及工作人员遭受静电损伤而设置的防静电接地处理，根据现场操作席位的实际使用环境进行灵活设置，并与人员操作席位形成贯通。控制台台面表面电阻及金属部件对地电阻在100V-500V电压测试区间，具备防静电功能，防静电接地铜钉在表面喷涂之前完成冲压式链接在框架上，喷涂过程中对铜钉进行保护，预留接地连接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8、控制台整体未检出产品涂层和覆盖面层有害物质铅、铬、镉、汞等物质，木质件甲醛释放含量为0.013mg/m³。（提供以《金属家具通用技术条件》为检测依据的安全性能检测报告扫描件并加盖公章）</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、控制台发光部件要求降低波长450mm蓝光辐射损伤及反射眩光的风险。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延米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操作区A 控制台        （第一排）                </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▲共2组，1组3工位，共6工位。与“指挥观摩区控制台 ”同一品牌；单组尺寸≥5900*900*760mm；主框架为优质碳素结构钢板侧板艺术造型，采用钢木结构、抗倍特板与碳素结构钢板经连接件连接/前后门板为带网孔优质碳素结构钢板/专业强弱电理线槽/拉铝型材背墙板。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控制台台板采用具有高强度、耐腐蚀、耐冲击、阻燃、抗变形的抗培特板材制作，板材厚度≥18mm。台面部分具备耐摩擦、耐火，光电感应功能（不需鼠标垫）。台面在恒定温度下耐干热性无变化，在15种常用试剂下具备耐污染性，在500g的力下对台板磨损无破坏达到基本的耐磨性。台板在半正弦冲击波型，加速到500G，持续时间3MS，冲击次数5次/轴的情况下，表面无变型。根据不同行业使用人的坏境、天气等原因控制台遇水浸泡24小时后，台板重量、颜色、光泽度不产生变化，不出现分层、起鼓现象，满足高强度、耐腐蚀、耐冲击、阻燃、抗变形条件要求。</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控制台主体采用组合式设计，拆装便捷并满足未来扩展改造需求；内部结构具有可调整性，辅有专业的各式设备承托架及内配件，安装与调整方便。每个长度1000MM的底柜承重500KG时，各零部件无割裂和断裂，外观视觉上无变形、倾斜现象。操作台设置前门转门，打开角度≥110度，设备承托件配置专业托盆，方便维修设备和维护工作的灵活性。满足底柜承重500KG时，各零部件无割裂和断裂，外观视觉上无变形、倾斜现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3、承重框架使用不低于3mm厚的一级冷轧钢板加工。一般受力件采用2.0mm厚优质冷轧钢板，外表面静电塑粉喷涂。支撑框架采用专用挤压铝合金型材。</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控制台前后门板采用厚度不低于1.2mm的冷轧钢板制作。操作台前后门板采用压筋散气孔工艺，散气孔长形孔设计，孔宽度尺寸不大于4.7mm，长度尺寸不大于40mm。散气孔具备平面立体效果，立体凸起均匀分布，凸起高度不超过3mm，通风率≥60%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5、在控制台系统的后屏风上，可配置变化红、绿、蓝三种颜色灯光的导光板。灯光可以用按钮网络等方式控制，多个席位的灯光也可以实现集中控制功能，也可以与中控系统相融合、联动显示警示信号。</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由于应用系统中的电子通信信号会以电磁辐射的形式向外界传播(即TEMPEST现象)，外界利用监测设备即可进行截获还原。为了防止电子通信设备信息泄漏，确保信息安全，抵御外界电磁干扰或攻击能力，操作控制台的射频电磁场辐射抗扰度频率范围在80-1000MHZ范围内，严酷等级不少于2级。射频磁场感应的传导骚扰抗扰度频率范围在0.15-80MHZ范围内，严酷等级不少于2级，静电放电抗扰度不少于3KV，空气放电不少于5KV，浪涌冲击不少于1KV，电快速瞬变脉冲群抗扰度在2KV，5/100KHZ，严酷等级不少于2级。浪涌冲击不少于1KV，电快速瞬变脉冲群抗扰度在2KV，5/100KHZ，严酷等级不少于3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为避免静电敏感元器件以及工作人员遭受静电损伤而设置的防静电接地处理，根据现场操作席位的实际使用环境进行灵活设置，并与人员操作席位形成贯通。控制台台面表面电阻及金属部件对地电阻在100V-500V电压测试区间，具备防静电功能，防静电接地铜钉在表面喷涂之前完成冲压式链接在框架上，喷涂过程中对铜钉进行保护，预留接地连接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8、控制台整体未检出产品涂层和覆盖面层有害物质铅、铬、镉、汞等物质，木质件甲醛释放含量为0.013mg/m³。</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、控制台发光部件要求降低波长450mm蓝光辐射损伤及反射眩光的风险。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延米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操作区B 控制台              （第二排）            </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▲共2组，1组3工位，共6工位。与“指挥观摩区控制台 ”同一品牌；单组尺寸≥5900*900*760mm；主框架为优质碳素结构钢板侧板艺术造型，采用钢木结构、抗倍特板与碳素结构钢板经连接件连接/前后门板为带网孔优质碳素结构钢板/专业强弱电理线槽/拉铝型材背墙板。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控制台台板采用具有高强度、耐腐蚀、耐冲击、阻燃、抗变形的抗培特板材制作，板材厚度≥18mm。台面部分具备耐摩擦、耐火，光电感应功能（不需鼠标垫）。台面在恒定温度下耐干热性无变化，在15种常用试剂下具备耐污染性，在500g的力下对台板磨损无破坏达到基本的耐磨性。台板在半正弦冲击波型，加速到500G，持续时间3MS，冲击次数5次/轴的情况下，表面无变型。根据不同行业使用人的坏境、天气等原因控制台遇水浸泡24小时后，台板重量、颜色、光泽度不产生变化，不出现分层、起鼓现象，满足高强度、耐腐蚀、耐冲击、阻燃、抗变形条件要求。</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控制台主体采用组合式设计，拆装便捷并满足未来扩展改造需求；内部结构具有可调整性，辅有专业的各式设备承托架及内配件，安装与调整方便。每个长度1000MM的底柜承重500KG时，各零部件无割裂和断裂，外观视觉上无变形、倾斜现象。操作台设置前门转门，打开角度≥110度，设备承托件配置专业托盆，方便维修设备和维护工作的灵活性。满足底柜承重500KG时，各零部件无割裂和断裂，外观视觉上无变形、倾斜现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3、承重框架使用不低于3mm厚的一级冷轧钢板加工。一般受力件采用2.0mm厚优质冷轧钢板，外表面静电塑粉喷涂。支撑框架采用专用挤压铝合金型材。</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控制台前后门板采用厚度不低于1.2mm的冷轧钢板制作。操作台前后门板采用压筋散气孔工艺，散气孔长形孔设计，孔宽度尺寸不大于4.7mm，长度尺寸不大于40mm。散气孔具备平面立体效果，立体凸起均匀分布，凸起高度不超过3mm，通风率≥60%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5、在控制台系统的后屏风上，可配置变化红、绿、蓝三种颜色灯光的导光板。灯光可以用按钮网络等方式控制，多个席位的灯光也可以实现集中控制功能，也可以与中控系统相融合、联动显示警示信号。</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由于应用系统中的电子通信信号会以电磁辐射的形式向外界传播(即TEMPEST现象)，外界利用监测设备即可进行截获还原。为了防止电子通信设备信息泄漏，确保信息安全，抵御外界电磁干扰或攻击能力，操作控制台的射频电磁场辐射抗扰度频率范围在80-1000MHZ范围内，严酷等级不少于2级。射频磁场感应的传导骚扰抗扰度频率范围在0.15-80MHZ范围内，严酷等级不少于2级，静电放电抗扰度不少于3KV，空气放电不少于5KV，浪涌冲击不少于1KV，电快速瞬变脉冲群抗扰度在2KV，5/100KHZ，严酷等级不少于2级。浪涌冲击不少于1KV，电快速瞬变脉冲群抗扰度在2KV，5/100KHZ，严酷等级不少于3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为避免静电敏感元器件以及工作人员遭受静电损伤而设置的防静电接地处理，根据现场操作席位的实际使用环境进行灵活设置，并与人员操作席位形成贯通。控制台台面表面电阻及金属部件对地电阻在100V-500V电压测试区间，具备防静电功能，防静电接地铜钉在表面喷涂之前完成冲压式链接在框架上，喷涂过程中对铜钉进行保护，预留接地连接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8、控制台整体未检出产品涂层和覆盖面层有害物质铅、铬、镉、汞等物质，木质件甲醛释放含量为0.013mg/m³。</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、控制台发光部件要求降低波长450mm蓝光辐射损伤及反射眩光的风险。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延米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多媒体信息盒</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固定于桌面，标准款，安装方式为嵌入式。也可根据要求，将各种所需的接口（比如网络、电话、USB、HDMI、DVI-D、VGA、音频、视频、卡侬姆等接口）以及电源插座等按照客户要求组合在一起。</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液晶支臂</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钢制滑轨，抽拉式，外置配置扶手，对手腕有一个自然的托举，符合人体工程学，满足支臂单臂不少于20kg承重。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定制屏风灯带</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蓝色、白色，也可根据用户实际使用需求定制，起到了应急响应提示及提升作战效率功能。整体调度台发光设备电源要求在电压及额定频率下正常开启，电源电流需达到35 mA±2mA，同时对波长450mm蓝光辐射及反射眩光无损伤。</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PDU</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采用行业防雷等级较高的克莱沃知名品牌，6位五孔，结构精准，插孔牢固不弹不脱，耐插拔1000次以上接触优良。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键盘托盘</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钢制滑轨，抽拉式，外置配置扶手，对手腕有一个自然的托举，符合人体工程学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主机托盘</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1、直接摆放于框架固定位置上</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2、托盘上方放置主机处理器</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3、托盘上设散热孔，便于设备散热通风</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控制台配套人体工学椅</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网孔麻绒座椅，椅架：一次成型尼龙支架，尼龙五星脚，尼龙纤维万向轮，可升降PP扶手</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领导席配套椅</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优质皮椅，人体工学设计，贴合紧密，可分散脊椎疲劳。高回弹海绵，加厚坐垫，柔软舒适。加厚木质椅腿，稳固安全。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1.3办公及配套设备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无线触摸屏操作终端</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内存容量：16GB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屏幕尺寸：12.6英寸</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系统：Windows 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智慧操作应用专用终端</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硬件参数不低于：I5-12400F ，16G内存 ，512G固态， GT730-2G ，无线+蓝牙，含正版操作系统。</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视频应用专用终端</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硬件参数不低于：I7-12700F，32G内存， 2T+1T固态， RTX2060-6G，无线+蓝牙，含正版操作系统。</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键盘托</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钢制滑轨，抽拉式，外置配置扶手，对手腕有一个自然的托举，符合人体工程学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主机托盘</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1、直接摆放于框架固定位置上</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2、托盘上方放置主机处理器</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3、托盘上设散热孔，便于设备散热通风</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键盘鼠标套装</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USB电脑台式机笔记本商务办公键鼠套装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液晶显示屏</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27英寸及以上，亮度300cd/㎡以上，分辨率：1920*1080；接口：HDMI，VGA。</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显示器支架</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显示器支架双屏免打孔旋转升降支持22-32英寸液晶屏</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液晶显示终端A</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75英寸或以上LED显示屏，CPU核心数：四核；储内存：32GB；运行内存/RAM：2GB；WIFI频段：2.4G&amp;5G；HDMI(ARC)接口；USB接口；</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液晶显示终端B</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86英寸或以上LED显示屏，CPU核心数：四核；储内存：32GB；运行内存/RAM：2GB；WIFI频段：2.4G&amp;5G；HDMI(ARC)接口；USB接口；</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宣教专用液晶显示终端</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98英寸或以上LED显示屏，Android，CPU核心数：四核；储内存：64GB；运行内存/RAM：3GB；WIFI频段：2.4G&amp;5G；HDMI(ARC)接口；USB接口；独立音响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智能会议平板一体机</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主要功能：无线投屏会议电视，视频会议智慧屏，触摸书写电子白板。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屏幕：触摸屏，85英寸或以上；</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CPU核心数：双核A53+双核A73</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运行内存/RAM：4GB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WIFI频段：2.4G&amp;5G</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背光方式：直下式/DLED</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存储内存：32GB</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HDMI(ARC)接口；USB接口；触摸屏；超高清4K；书写笔*2支、电源线*1个、移动支架套件*1个</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大厅监控摄像机</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传感器类型：1/3英寸CMOS；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像素：400万；</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最大分辨率：2688×1520；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最低照度：0.002Lux（彩色模式）；0.0002Lux（黑白模式）；0Lux（补光灯开启）；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最大补光距离：30m（红外）；</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镜头类型：定焦；</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镜头焦距：3.6mm；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通用行为分析：绊线入侵；区域入侵；</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视频压缩标准：H.265;H.264;H.264B;MJPEG（仅辅码流支持）；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智能编码：H.264:支持;H.265:支持；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宽动态：120dB；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内置MIC：支持；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报警事件：无SD卡；SD卡空间不足；SD卡出错；网络断开；IP冲突；非法访问；动态检测；视频遮挡；绊线入侵；区域入侵；音频异常侦测；电压检测；外部报警；安全异常；智能动检（人）；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接入标准：ONVIF（Profile S/Profile G/Profile T）;CGI;GB/T28181（双国标）;大华云联；</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最大Micro SD卡：256GB；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音频输入：1路（RCA头）；音频输出：1路（RCA头）；报警输入：2路（湿节点,支持直流3V~5V电位,5mA电流）；报警输出：2路（湿节点,支持直流最大12V电位,0.3A电流）；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供电方式：DC12V/POE；</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防护等级：IP67；IK10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具有1个RJ45网路借口、2路报警输入、2路报警输出、1路音频输入、1路音频输出、1个RS232接口、1个SD卡槽、1个复位按键。</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最低照度检验：红外灯关闭:彩色:≤0.0011x(AGC ON，应能分辨反身式视频矩阵测试卡中彩色色块)黑白:≤0.00011x(AGC ON，应能分辨反射式视频分辨率测试卡中圆形轮廓)</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在客户端软件或IE浏览器下，具有彩色模式、黑白模式设置选项，并具有自动、定时、报警触发转换设置选项</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摄像机应具有自动白平衡功能，当使用环境实际色温在2800K~10000K范围内变化时，摄像机应能自动调整白平衡，使输出图像准确重现出观察场景的实际色彩.当以下的智能分析行为达到设定的阈值时，可通过客户端软件或IE浏览器给出报警提示。a)区域入侵;b)停车;c)越界入侵;d)人员聚集;e)快速移动;f)物品移除;g)物品遗留;h)徘徊;i)进入区域;])离开区域;K)逆行样机支持行为分析触发后报警上传，发送邮件，联动拆图，录像，辅助输出等多种报警触发方式</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高保真拾音器</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监控摄像机麦克风声音录音器摄像头高清音频器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1.4无纸化办公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无纸化管理服务器-2U（带复位电路）</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1.支持网络通讯对接协议，与第三方中控对接；</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2.操作系统支持：支持安装windows、linux、VMware esxi等主流操作系统的各个版本；</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3.采用易于管理的机架式服务器，支持高速串行总线数据的吞吐量16GT/s的传输速率；</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4.支持Wake-on-LAN、Wake-on-Wireless-LAN唤醒技术，定制BIOS固件提升数据密集型应用程序性能；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5.具有内存、CPU、网卡、存储器模块化替换设计；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6.系统整体性能监控功能,对资源池中CPU、网络、磁盘使用率等指标进行实时的数据统计,并能反映现阶段物理资源瓶颈报警；</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7.支持不低于I5、8G 内存 256G固态硬盘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8.支持不低于一路HDMI信号输入、支持一路HDMI、一路VGA信号输出。支持HDMI2.0输出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9.支持与会场同步信号跟踪功能，当会场无同步信号时，输出接口输出画面为会议欢迎标语；</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10.不低于4个标准的 7Pin SATA 接口，支持 SATA3.0、SATA2.0 和 SATA1.0；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11.不低于2个标准 RJ45 千兆网口接口，支持 110/100/1000Mbpss；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12.不低于4个USB3.0、4个USB2.0；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13.不低于2路RS232，支持RS422、RS485模式，最大可拓展6路；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14.支持不低于1路Line out, 1路MIC_ in、1路Line_ IN；</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15.服务器支持FPGA同步、异步复位功能，保证系统进入统一协调工作环境，保证实现更高的性能；</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16.支持GPIO8位可编程数字I/0接口，自定义输入输出设备接入或功能；</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多媒体会议智能呼叫互动服务软件</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1.支持跨操作平台组网、无线有线混合组网；</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支持数据信息双备份机制，数据本地服务器同步存储、服务器数据库核对后执行存储数据归档入库，映射触发事件建表后，对比本地存储数据与数据库主从信息表是否一致，保证终端断网、断电会议资料不会丢失；</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3.支持参会人员的服务功能，会议服务人员响应参会人的茶、水、纸笔、卫生清理、自定义服务等。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4.支持通过网络发送服务请求，会议服务人员可以快速定位参会人员位置、需求，从而快速提供服务，不影响会议的正常进行。</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5.实时显示会议室呼叫服务信息，包括会议室信息，呼叫人名，呼叫内容，服务人员需手动消除服务；</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6.会务人员处理完后可以通过服务记录查询；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多媒体会议平台综合管理软件</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1.支持会议资料整理，会议结束后一键打包会前、会中、会后所有资料，包括签到信息、投票结果、会议纪要、批注资料等，可以对会议资料一键销毁；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2.支持跨操作平台组网、无线有线混合组网；</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3.服务后台可同时处理不少于500台客户端无纸化；</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4.支持管理、控制、数据交互、服务等功能，支持远程登录web管理；支持对服务器进行统一配置管理，包括会议服务器、流媒体服务器。配置其名称、ID、网络地址、备注等详细信息；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5.无纸化软件双备份事件信息通讯架构，客户端终端软件采用分布通讯模式设计，任意一台客户端程序均能唤出后台授权账户验证窗口进行系统设置、上会会议流程开始；</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数据信息双备份机制，数据本地服务器同步存储、服务器数据库核对后执行存储数据归档入库，映射触发事件建表后，对比本地存储数据与数据库主从信息表是否一致，保证终端断网、断电会议资料不会丢失；</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7.软件支持数据流兼容性验证设置菜单，解决码流带宽、网络通讯、编解码适用性问题，保证用户使用便捷性；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8.软件支持三种以上的背屏硬件及通讯方式（TCP为独立IP背屏、USB可拓展无线、扩展为VGA输出）；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9.软件对在线离线设备实时监控显示，并通过参数配置对异常设备做故障判断；</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10.软件具备多种签到模式，如免签、访客、密码、签名、人脸识别（定制版本）；</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11.支持多个设备可以被多个会议室同步添加，实现主会场、分会场、合并会场场景应用；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12.软件支持多会议室的（1对多、多对1、1对1）流媒体投影管理，实现互联互通最后一步；</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13.软件支持数据重复调用功能，记录每次参会人员信息，下次上会时可快速编辑参会人员信息；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支持使用可视化设计工具对会议室真实布局进行绘制，可根据真实会议室场景平面图作为底图，按照真实布局对固定资产摆放、无纸化终端摆放及终端绑定，在会议室布局图上可以进行参会人员模拟排位，会议终端显示人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15.支持参会人员会议模拟排位，在会议室实际可视化图形布局上通过拖拽的方式设置参会人员排位，每个议题都可以设置不同的人员排位；</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16.软件电子桌牌支持图片、图片加文字显示，字段对象自定义设计。电子桌牌的底图可以根据要求定制并上传，支持格式JPG，分辨率768*1080；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17.会议议程不少于3种方式，导入议程文件、在线编辑议程、时间轴议程，有效提示会议组织者会议节奏的控制；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18.支持标签技术为多播推送大数据流时，提高效率寻址、标签的提高效率和保证稳定性；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19.控制客户端软件的应用软件模块，不少于8种会议功能，可快速叠加卸载应用。包括：会议功能、会议资料、签到信息、会议议程、批注查看、电子白板、视频直播、互动交流、业务导航；</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20.支持一个会议创建多个会议议题，支持每个议题上传关联多个会议资料，会议资料支持常用版本的Office文档类、PDF类、图片类、视频类文件资源，支持会议中每个议题都可以设置不同的参会人员、会议秘书和会议主席，会议终端能够根据设置自动切换参会人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21.支持在组织架构中直接添加参会人员，也支持单独添加参会人员时选择所在部门；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22.支持配置多个会议管理员，并且不同的会议管理员创建的会议信息独立保密；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23.支持灵活配置系统用户角色，并设置角色用户在管理系统中的操作功能、操作权限；</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24.支持会议终端使用角色的设置，包括参会人员、会议秘书、会议主席；</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25.支持通过管理后台对会议室终端管理，支持全部开关机和升降控制，支持分组开关机和升降控制；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26.网络KVM仿真技术，实现对同屏过程中信号源屏幕的预览和远程控制；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27.公告广播强切控制技术，有效控制会议进程；</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28.会议归档信息采用转码打包，起到第一层加密措施，在归档前点加密，为第二次加密算法保密，多重加密技术应用；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29.支持通过管理后台创建投票表决项，支持赞成/反对、分值、优良中差等投票模式；</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支持视频点播服务，支持添加视频文件，可在管理后台网页预览，支持设置参会人员观看权限，具备权限的参会人员在客户端可自由点播查看。支持视频直播服务，支持添加rtmp/rtsp格式直播流，可在管理后台网页预览，支持设置参会人员观看权限，具备权限的参会人员在客户端可选择查看；</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多媒体会议客户端可视化应用控制软件</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1.支持多路外部信号接入，能够预览外部信号图像和全屏显示，外部信号支持同屏和投屏；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2.支持跨操作平台组网、无线有线混合组网；</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3.支持会议终端的多角色设定，可以灵活指定会议主席、会议秘书席位；</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4.支持会议前的欢迎界面自动根据会议自定义设置更新显示，显示内容可自定义包括但不限于本次会议主题、本次会议时间；</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5.支持电子桌牌显示参会人员信息；显示内容可自定义包括但不限于参会人员中英文姓名、职务、单位；</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6.支持设置信息化签到方式，不少于5种签到方式，会议签到方式通过服务器端进行设置；</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7.支持文件点对点推送解码技术，降低带宽、帧率稳定；</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8.支持通过会议议题分组查看会议资料，支持常用版本的Word、PPT、PDF、Excel、图片、视频等会议资料的查阅；</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9.支持会议资料查阅的过程中进行批注、标记功能，批注内容自动保存；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支持数据信息双备份机制，数据本地服务器同步存储、服务器数据库核对后执行存储数据归档入库，映射触发事件建表后，对比本地存储数据与数据库主从信息表是否一致，保证终端断网、断电会议资料不会丢失；</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11.支持参会人员同屏申请指定无纸化终端跟随自己的屏幕查看会议资料，同屏支持普通跟随和强制跟随；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12.异地开会会后签字，打开签字功能直接在文件上签字；</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13.支持参会人员屏幕投放大屏幕显示，大屏幕支持全屏、四分屏的模式；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14.电子白板可以自定义参会人员同屏交互，实现分组讨论；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15.支持会议交流，参会人员可一对一或者一对多互发消息进行交流；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16.支持会中对会议交流的控制功能，会中可随时禁止交流、启用交流；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17.支持启动已经创建好的投票表决项，也可以临时创建投票表决；支持实名、匿名两种表决方式，支持投票表决结果实时统计，会议主席和秘书可以选择是否公布表决结果；</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18.支持U盘支持断点续传及自动弹窗事件触发功能，快速稳定浏览文件；</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无纸化多媒体终端控制主机-I5</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1.可选无线WIFI，采用标准IEEE802.11b/g/n协议无线网卡；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2.支持Window7、10、Linux操作系统；</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3.支持Wake-on-LAN、Wake-on-Wireless-LAN唤醒技术，定制BIOS固件提升数据密集型应用程序性能；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4.具有内存、CPU、网卡、存储器模块化替换设计；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5.系统整体性能监控功能,对资源池中CPU、网络、磁盘使用率等指标进行实时的数据统计,并能反映现阶段物理资源瓶颈报警；</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6.配置不低于i5、8G内存、128G固态硬盘；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7.支持不低于一路HDMI、一路VGA信号输入/输出；</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8.≥RJ45*1，≥USB2.0*4，≥USB3.0*4；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无纸化双屏触摸升降终端-17.3寸</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1.▲采用双屏设计，前屏触摸电容液晶屏显示尺寸≥17.3英寸，分辨率为1920*1080dpi，屏幕比例16：9（宽屏），背面搭载10.1英寸副屏，可显示会议需要背景图，参会人名称等信息；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2.设备面板厚度≤3mm，宽度≤70mm，显示屏厚度≤10mm；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3.支持≥1路HDMI、≥1路VGA视频信号输入，当只有一路信号输入时，屏幕会自动识别信号，当两路信号同时输入时，可通过面板按键手动切换，当无信号输入时，屏幕自动进入省电模式；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4.升降器具有≥2组232/485输入输出接口，≥3路USB接口，实现开/关机、数据传输功能；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5.设备可通过中控软件进行集中控制，支持通过主机进行控制，一键可让室内所有的设备都上升或下降；</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6.升降器具备≥1路环通输出电源插座，给终端供电减少终端电源插座布线；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7.桌面面板具备≥1路USB接口，支持连接U盘可进行浏览文件或上传文件等操作；</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8.屏体控制方式：上、下、停三种模式，多媒体会议终端开关、USB接口等；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9.升降器控制接口RJ45,不少于1路进，1路出；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10.支持直线滑轨加齿轮咬合多点平衡升降技术，具备高刚度，高负荷运动；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11.升降器支持红外遥控对码，实现无线一键升降控制；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12.升降器支持不少于32分组独立控制；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13.升降器具备≥1路环通输出电源插座，给终端供电减少终端电源插座布线。阵列话筒、升降器独立供电；</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14.升降器面板具备上、下、停动作按钮，多媒体会议终端电源开、关按钮、具备≥1路USB接口，支持连接U盘可进行浏览文件或上传文件等操作；</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15.升降屏可控制后仰角度0～30度可调节，可定制30~60度后仰角度；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智能一体式流媒体服务器</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1.具有GPU并行多线程执行单元，支持多会议室拆分组合应用；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2.操作系统支持：支持安装windows、linux、VMware esxi等主流操作系统的各个版本；</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3.采用2U高度易于管理的机架式服务器，支持高速串行总线数据的吞吐量16GT/s的传输速率；</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4.支持Wake-on-LAN、Wake-on-Wireless-LAN唤醒技术，定制BIOS固件提升数据密集型应用程序性能；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5.具有内存、CPU、网卡、存储器模块化替换设计；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6.系统整体性能监控功能,对资源池中CPU、网络、磁盘使用率等指标进行实时的数据统计,并能反映现阶段物理资源瓶颈报警；</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7.配置不低于i5、8G内存、128G固态硬盘；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HDMI最大分辨率为4096X2160@60Hz，将会场终端信号、会议标语投屏广播显示，支持将投票结果和签到结果投屏广播显示，与会场同步信号跟踪功能，当会场无同步信号时，输出接口输出画面为会议欢迎标语，会议欢迎标语背景颜色与字体字号可根据会议要求自行设置，满足会场的实际需求，避免大屏幕或投影机待机状态或无信号输入状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9.支持信号格式自动转换功能，网络数据信号转换成数字信号，数字信号自动转换成网络信号传输。系统提供外部音视频信号和内部音视频信号互联互通的流媒体平台；</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10.支持将4组不同的无纸化系统屏幕广播画面以4分屏画面投屏输出显示；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11.支持第三方录制软件使用，可以适用于各种直播场景；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12.支持软件直接调取采集卡驱动，可以实现预览、抓图、共享等功能；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13.具有录音USB接口，可录制和输出现场音频信号；</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14.具备≥1路HDMI视频、≥1路VGA视频输出接口、≥1路3.5mm音频输入接口和≥1路3.5mm音频输出接口，实现音视频同步输入输出；具备≥6个串口、≥8个USB接口、≥2个SATA3.0、≥SATA2.0；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15.服务器支持硬件看门狗，保证系统进入统一协调工作环境，保证实现更高的性能；</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16.支持GPIO8位可编程数字I/0接口，自定义输入输出设备接入或功能；</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多媒体会议智能交互同屏服务软件</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1.大屏显示时当会场无同步信号时，输出接口始终显示会议标语；</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2.多台客户端信号源的音视频信号编解码转换管理；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3.支持跨操作平台组网、无线有线混合组网；</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4.支持无纸化会议的多点传送组控传输控制及管理；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数据信息双备份机制，数据本地服务器同步存储、服务器数据库核对后执行存储数据归档入库，映射触发事件建表后，对比本地存储数据与数据库主从信息表是否一致，保证终端断网、断电会议资料不会丢失；</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6.同屏PPT文件，视频动态播放，保证源文件播放；</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7.会议终端一键同屏，或者单一同屏到大屏幕显示；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8.支持选择广播信号源、强制同屏、结束同屏、结束会议等功能；</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9.支持外置U盘内任何文件一键同屏到其他会议终端与大屏幕；</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千兆交换机</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24口，组播，千兆；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网线</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国标；超六类网线；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1.5发言系统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无线智能会议中心</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1.采用UHF数字无线通信频段，650MHz~700MHz数据通信,结合数字会议系统架构，采用无线抗干扰音频通信技术，保证了系统的稳定性。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2.配备≥2.7英寸LCD显示屏，显示系统菜单和主机状态等信息。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3.具备不低于5组通信频段可选，互不干扰。</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4.支持会前、会中、会后对会议现场无线信号进行实时检测。</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5.系统自动为单元分配发言通道，屏蔽较差的通信频率，保证了系统的稳定性。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6.多多样化的软件模块，可实现三种工作模式、自定义主席、会务管理、摄像跟踪、中控控制等功能。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7.主机具备1路RJ45接口、1路RS-232接口，支持与控制电脑/中控之间连接实现会议系统的后台控制。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8.天线信号传输距离半径可达0-20m。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9.具有音频输入≥1路XLR；具有音频输出≥2路XLR,≥2路phoenix；具有≥1路RS485/RS232 接口，支持连接中控，可实现集控会议系统。</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10.频率响应：20Hz-20KHz，信噪比 &gt;102dB，动态范围 &gt;106dB，总谐波失真 ≤0.05%。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无线会议话筒单元</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1.内置不小于1个14毫米直径镀金电容式收音头，超心型指向性收音角度。</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2.采用UHF650MHz~700MHz数字无线通信频段（650MHz~700MHz），具备5组通信频段可选，互不干扰。</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3.内置6000mAh锂聚合物电池，持续发言时间可达8小时，超长待机，1A充电电流可快速充电。</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4.自定义主席机配置功能，可根据现场需要，临时定义任意单元为主席单元，主席单元无数量限制。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5.系统自动为单元分配发言通道，屏蔽较差的通信频率，保证了系统的稳定性。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6.音频无线传输延时不大于5ms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7.话筒面板应支持自定义企业LOGO丝印或激光镭射雕刻工艺，支持不小于10cm*10cm丝网印刷或激光镭射面积。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8.最大声压级不低于 130dB(THD&lt;3%)</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9.灵敏度不低于 -28dB </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10.频率响应不劣于30Hz-18KHz</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无线专用天线</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1.无线用于无线单元与无线会议主机之间的数据通讯。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2.采用UHF数字无线通信频段，650MHz~700MHz数据通信，抗干扰音频通信技术，保证了系统的稳定性。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3.具备不低于5组通信频段可选，互不干扰。</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4.天线信号传输距离半径最大≥20M；</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5.采用AES高级加密标准。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会议系统公－公20米主缆</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会议系统20米主线，用于会议系统主机与话筒之间的连接</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无线话筒通用充电箱</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1.话筒充电箱可同时为8台无线单元充电。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2.具有充电保护和指示功能。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3.功率≥30 W</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4.单位最大充电电流 500 mA</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5.充电时间4-5小时</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45" name="Picture_1"/>
                  <wp:cNvGraphicFramePr/>
                  <a:graphic xmlns:a="http://schemas.openxmlformats.org/drawingml/2006/main">
                    <a:graphicData uri="http://schemas.openxmlformats.org/drawingml/2006/picture">
                      <pic:pic xmlns:pic="http://schemas.openxmlformats.org/drawingml/2006/picture">
                        <pic:nvPicPr>
                          <pic:cNvPr id="2445" name="Picture_1"/>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2451" name="Picture_11"/>
                  <wp:cNvGraphicFramePr/>
                  <a:graphic xmlns:a="http://schemas.openxmlformats.org/drawingml/2006/main">
                    <a:graphicData uri="http://schemas.openxmlformats.org/drawingml/2006/picture">
                      <pic:pic xmlns:pic="http://schemas.openxmlformats.org/drawingml/2006/picture">
                        <pic:nvPicPr>
                          <pic:cNvPr id="2451" name="Picture_11"/>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63" name="Picture_12"/>
                  <wp:cNvGraphicFramePr/>
                  <a:graphic xmlns:a="http://schemas.openxmlformats.org/drawingml/2006/main">
                    <a:graphicData uri="http://schemas.openxmlformats.org/drawingml/2006/picture">
                      <pic:pic xmlns:pic="http://schemas.openxmlformats.org/drawingml/2006/picture">
                        <pic:nvPicPr>
                          <pic:cNvPr id="2463" name="Picture_1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65" name="Picture_13"/>
                  <wp:cNvGraphicFramePr/>
                  <a:graphic xmlns:a="http://schemas.openxmlformats.org/drawingml/2006/main">
                    <a:graphicData uri="http://schemas.openxmlformats.org/drawingml/2006/picture">
                      <pic:pic xmlns:pic="http://schemas.openxmlformats.org/drawingml/2006/picture">
                        <pic:nvPicPr>
                          <pic:cNvPr id="2465" name="Picture_13"/>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2461" name="Picture_11_SpCnt_1"/>
                  <wp:cNvGraphicFramePr/>
                  <a:graphic xmlns:a="http://schemas.openxmlformats.org/drawingml/2006/main">
                    <a:graphicData uri="http://schemas.openxmlformats.org/drawingml/2006/picture">
                      <pic:pic xmlns:pic="http://schemas.openxmlformats.org/drawingml/2006/picture">
                        <pic:nvPicPr>
                          <pic:cNvPr id="2461" name="Picture_11_SpCnt_1"/>
                          <pic:cNvPicPr/>
                        </pic:nvPicPr>
                        <pic:blipFill>
                          <a:blip r:embed="rId33"/>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2452" name="Picture_12_SpCnt_1"/>
                  <wp:cNvGraphicFramePr/>
                  <a:graphic xmlns:a="http://schemas.openxmlformats.org/drawingml/2006/main">
                    <a:graphicData uri="http://schemas.openxmlformats.org/drawingml/2006/picture">
                      <pic:pic xmlns:pic="http://schemas.openxmlformats.org/drawingml/2006/picture">
                        <pic:nvPicPr>
                          <pic:cNvPr id="2452" name="Picture_12_SpCnt_1"/>
                          <pic:cNvPicPr/>
                        </pic:nvPicPr>
                        <pic:blipFill>
                          <a:blip r:embed="rId33"/>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46" name="Picture_13_SpCnt_1"/>
                  <wp:cNvGraphicFramePr/>
                  <a:graphic xmlns:a="http://schemas.openxmlformats.org/drawingml/2006/main">
                    <a:graphicData uri="http://schemas.openxmlformats.org/drawingml/2006/picture">
                      <pic:pic xmlns:pic="http://schemas.openxmlformats.org/drawingml/2006/picture">
                        <pic:nvPicPr>
                          <pic:cNvPr id="2446" name="Picture_13_SpCnt_1"/>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47" name="Picture_13_SpCnt_2"/>
                  <wp:cNvGraphicFramePr/>
                  <a:graphic xmlns:a="http://schemas.openxmlformats.org/drawingml/2006/main">
                    <a:graphicData uri="http://schemas.openxmlformats.org/drawingml/2006/picture">
                      <pic:pic xmlns:pic="http://schemas.openxmlformats.org/drawingml/2006/picture">
                        <pic:nvPicPr>
                          <pic:cNvPr id="2447" name="Picture_13_SpCnt_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62" name="Picture_13_SpCnt_3"/>
                  <wp:cNvGraphicFramePr/>
                  <a:graphic xmlns:a="http://schemas.openxmlformats.org/drawingml/2006/main">
                    <a:graphicData uri="http://schemas.openxmlformats.org/drawingml/2006/picture">
                      <pic:pic xmlns:pic="http://schemas.openxmlformats.org/drawingml/2006/picture">
                        <pic:nvPicPr>
                          <pic:cNvPr id="2462" name="Picture_13_SpCnt_3"/>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50" name="Picture_12_SpCnt_2"/>
                  <wp:cNvGraphicFramePr/>
                  <a:graphic xmlns:a="http://schemas.openxmlformats.org/drawingml/2006/main">
                    <a:graphicData uri="http://schemas.openxmlformats.org/drawingml/2006/picture">
                      <pic:pic xmlns:pic="http://schemas.openxmlformats.org/drawingml/2006/picture">
                        <pic:nvPicPr>
                          <pic:cNvPr id="2450" name="Picture_12_SpCnt_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57" name="Picture_12_SpCnt_3"/>
                  <wp:cNvGraphicFramePr/>
                  <a:graphic xmlns:a="http://schemas.openxmlformats.org/drawingml/2006/main">
                    <a:graphicData uri="http://schemas.openxmlformats.org/drawingml/2006/picture">
                      <pic:pic xmlns:pic="http://schemas.openxmlformats.org/drawingml/2006/picture">
                        <pic:nvPicPr>
                          <pic:cNvPr id="2457" name="Picture_12_SpCnt_3"/>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48" name="Picture_13_SpCnt_4"/>
                  <wp:cNvGraphicFramePr/>
                  <a:graphic xmlns:a="http://schemas.openxmlformats.org/drawingml/2006/main">
                    <a:graphicData uri="http://schemas.openxmlformats.org/drawingml/2006/picture">
                      <pic:pic xmlns:pic="http://schemas.openxmlformats.org/drawingml/2006/picture">
                        <pic:nvPicPr>
                          <pic:cNvPr id="2448" name="Picture_13_SpCnt_4"/>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58" name="Picture_12_SpCnt_4"/>
                  <wp:cNvGraphicFramePr/>
                  <a:graphic xmlns:a="http://schemas.openxmlformats.org/drawingml/2006/main">
                    <a:graphicData uri="http://schemas.openxmlformats.org/drawingml/2006/picture">
                      <pic:pic xmlns:pic="http://schemas.openxmlformats.org/drawingml/2006/picture">
                        <pic:nvPicPr>
                          <pic:cNvPr id="2458" name="Picture_12_SpCnt_4"/>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2459" name="Picture_11_SpCnt_2"/>
                  <wp:cNvGraphicFramePr/>
                  <a:graphic xmlns:a="http://schemas.openxmlformats.org/drawingml/2006/main">
                    <a:graphicData uri="http://schemas.openxmlformats.org/drawingml/2006/picture">
                      <pic:pic xmlns:pic="http://schemas.openxmlformats.org/drawingml/2006/picture">
                        <pic:nvPicPr>
                          <pic:cNvPr id="2459" name="Picture_11_SpCnt_2"/>
                          <pic:cNvPicPr/>
                        </pic:nvPicPr>
                        <pic:blipFill>
                          <a:blip r:embed="rId33"/>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2449" name="Picture_12_SpCnt_5"/>
                  <wp:cNvGraphicFramePr/>
                  <a:graphic xmlns:a="http://schemas.openxmlformats.org/drawingml/2006/main">
                    <a:graphicData uri="http://schemas.openxmlformats.org/drawingml/2006/picture">
                      <pic:pic xmlns:pic="http://schemas.openxmlformats.org/drawingml/2006/picture">
                        <pic:nvPicPr>
                          <pic:cNvPr id="2449" name="Picture_12_SpCnt_5"/>
                          <pic:cNvPicPr/>
                        </pic:nvPicPr>
                        <pic:blipFill>
                          <a:blip r:embed="rId33"/>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67" name="Picture_13_SpCnt_5"/>
                  <wp:cNvGraphicFramePr/>
                  <a:graphic xmlns:a="http://schemas.openxmlformats.org/drawingml/2006/main">
                    <a:graphicData uri="http://schemas.openxmlformats.org/drawingml/2006/picture">
                      <pic:pic xmlns:pic="http://schemas.openxmlformats.org/drawingml/2006/picture">
                        <pic:nvPicPr>
                          <pic:cNvPr id="2467" name="Picture_13_SpCnt_5"/>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70" name="Picture_12_SpCnt_6"/>
                  <wp:cNvGraphicFramePr/>
                  <a:graphic xmlns:a="http://schemas.openxmlformats.org/drawingml/2006/main">
                    <a:graphicData uri="http://schemas.openxmlformats.org/drawingml/2006/picture">
                      <pic:pic xmlns:pic="http://schemas.openxmlformats.org/drawingml/2006/picture">
                        <pic:nvPicPr>
                          <pic:cNvPr id="2470" name="Picture_12_SpCnt_6"/>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53" name="Picture_12_SpCnt_7"/>
                  <wp:cNvGraphicFramePr/>
                  <a:graphic xmlns:a="http://schemas.openxmlformats.org/drawingml/2006/main">
                    <a:graphicData uri="http://schemas.openxmlformats.org/drawingml/2006/picture">
                      <pic:pic xmlns:pic="http://schemas.openxmlformats.org/drawingml/2006/picture">
                        <pic:nvPicPr>
                          <pic:cNvPr id="2453" name="Picture_12_SpCnt_7"/>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72" name="Picture_13_SpCnt_6"/>
                  <wp:cNvGraphicFramePr/>
                  <a:graphic xmlns:a="http://schemas.openxmlformats.org/drawingml/2006/main">
                    <a:graphicData uri="http://schemas.openxmlformats.org/drawingml/2006/picture">
                      <pic:pic xmlns:pic="http://schemas.openxmlformats.org/drawingml/2006/picture">
                        <pic:nvPicPr>
                          <pic:cNvPr id="2472" name="Picture_13_SpCnt_6"/>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2454" name="Picture_11_SpCnt_3"/>
                  <wp:cNvGraphicFramePr/>
                  <a:graphic xmlns:a="http://schemas.openxmlformats.org/drawingml/2006/main">
                    <a:graphicData uri="http://schemas.openxmlformats.org/drawingml/2006/picture">
                      <pic:pic xmlns:pic="http://schemas.openxmlformats.org/drawingml/2006/picture">
                        <pic:nvPicPr>
                          <pic:cNvPr id="2454" name="Picture_11_SpCnt_3"/>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71" name="Picture_12_SpCnt_8"/>
                  <wp:cNvGraphicFramePr/>
                  <a:graphic xmlns:a="http://schemas.openxmlformats.org/drawingml/2006/main">
                    <a:graphicData uri="http://schemas.openxmlformats.org/drawingml/2006/picture">
                      <pic:pic xmlns:pic="http://schemas.openxmlformats.org/drawingml/2006/picture">
                        <pic:nvPicPr>
                          <pic:cNvPr id="2471" name="Picture_12_SpCnt_8"/>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68" name="Picture_13_SpCnt_7"/>
                  <wp:cNvGraphicFramePr/>
                  <a:graphic xmlns:a="http://schemas.openxmlformats.org/drawingml/2006/main">
                    <a:graphicData uri="http://schemas.openxmlformats.org/drawingml/2006/picture">
                      <pic:pic xmlns:pic="http://schemas.openxmlformats.org/drawingml/2006/picture">
                        <pic:nvPicPr>
                          <pic:cNvPr id="2468" name="Picture_13_SpCnt_7"/>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55" name="Picture_13_SpCnt_8"/>
                  <wp:cNvGraphicFramePr/>
                  <a:graphic xmlns:a="http://schemas.openxmlformats.org/drawingml/2006/main">
                    <a:graphicData uri="http://schemas.openxmlformats.org/drawingml/2006/picture">
                      <pic:pic xmlns:pic="http://schemas.openxmlformats.org/drawingml/2006/picture">
                        <pic:nvPicPr>
                          <pic:cNvPr id="2455" name="Picture_13_SpCnt_8"/>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56" name="Picture_13_SpCnt_9"/>
                  <wp:cNvGraphicFramePr/>
                  <a:graphic xmlns:a="http://schemas.openxmlformats.org/drawingml/2006/main">
                    <a:graphicData uri="http://schemas.openxmlformats.org/drawingml/2006/picture">
                      <pic:pic xmlns:pic="http://schemas.openxmlformats.org/drawingml/2006/picture">
                        <pic:nvPicPr>
                          <pic:cNvPr id="2456" name="Picture_13_SpCnt_9"/>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66" name="Picture_13_SpCnt_10"/>
                  <wp:cNvGraphicFramePr/>
                  <a:graphic xmlns:a="http://schemas.openxmlformats.org/drawingml/2006/main">
                    <a:graphicData uri="http://schemas.openxmlformats.org/drawingml/2006/picture">
                      <pic:pic xmlns:pic="http://schemas.openxmlformats.org/drawingml/2006/picture">
                        <pic:nvPicPr>
                          <pic:cNvPr id="2466" name="Picture_13_SpCnt_10"/>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69" name="Picture_13_SpCnt_11"/>
                  <wp:cNvGraphicFramePr/>
                  <a:graphic xmlns:a="http://schemas.openxmlformats.org/drawingml/2006/main">
                    <a:graphicData uri="http://schemas.openxmlformats.org/drawingml/2006/picture">
                      <pic:pic xmlns:pic="http://schemas.openxmlformats.org/drawingml/2006/picture">
                        <pic:nvPicPr>
                          <pic:cNvPr id="2469" name="Picture_13_SpCnt_11"/>
                          <pic:cNvPicPr/>
                        </pic:nvPicPr>
                        <pic:blipFill>
                          <a:blip r:embed="rId34"/>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60" name="Picture_13_SpCnt_12"/>
                  <wp:cNvGraphicFramePr/>
                  <a:graphic xmlns:a="http://schemas.openxmlformats.org/drawingml/2006/main">
                    <a:graphicData uri="http://schemas.openxmlformats.org/drawingml/2006/picture">
                      <pic:pic xmlns:pic="http://schemas.openxmlformats.org/drawingml/2006/picture">
                        <pic:nvPicPr>
                          <pic:cNvPr id="2460" name="Picture_13_SpCnt_1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2443" name="Picture_13_SpCnt_13"/>
                  <wp:cNvGraphicFramePr/>
                  <a:graphic xmlns:a="http://schemas.openxmlformats.org/drawingml/2006/main">
                    <a:graphicData uri="http://schemas.openxmlformats.org/drawingml/2006/picture">
                      <pic:pic xmlns:pic="http://schemas.openxmlformats.org/drawingml/2006/picture">
                        <pic:nvPicPr>
                          <pic:cNvPr id="2443" name="Picture_13_SpCnt_13"/>
                          <pic:cNvPicPr/>
                        </pic:nvPicPr>
                        <pic:blipFill>
                          <a:blip r:embed="rId35"/>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2444" name="Picture_13_SpCnt_14"/>
                  <wp:cNvGraphicFramePr/>
                  <a:graphic xmlns:a="http://schemas.openxmlformats.org/drawingml/2006/main">
                    <a:graphicData uri="http://schemas.openxmlformats.org/drawingml/2006/picture">
                      <pic:pic xmlns:pic="http://schemas.openxmlformats.org/drawingml/2006/picture">
                        <pic:nvPicPr>
                          <pic:cNvPr id="2444" name="Picture_13_SpCnt_14"/>
                          <pic:cNvPicPr/>
                        </pic:nvPicPr>
                        <pic:blipFill>
                          <a:blip r:embed="rId35"/>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64" name="Picture_13_SpCnt_15"/>
                  <wp:cNvGraphicFramePr/>
                  <a:graphic xmlns:a="http://schemas.openxmlformats.org/drawingml/2006/main">
                    <a:graphicData uri="http://schemas.openxmlformats.org/drawingml/2006/picture">
                      <pic:pic xmlns:pic="http://schemas.openxmlformats.org/drawingml/2006/picture">
                        <pic:nvPicPr>
                          <pic:cNvPr id="2464" name="Picture_13_SpCnt_15"/>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84" name="Picture_13_SpCnt_16"/>
                  <wp:cNvGraphicFramePr/>
                  <a:graphic xmlns:a="http://schemas.openxmlformats.org/drawingml/2006/main">
                    <a:graphicData uri="http://schemas.openxmlformats.org/drawingml/2006/picture">
                      <pic:pic xmlns:pic="http://schemas.openxmlformats.org/drawingml/2006/picture">
                        <pic:nvPicPr>
                          <pic:cNvPr id="2484" name="Picture_13_SpCnt_16"/>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79" name="Picture_13_SpCnt_17"/>
                  <wp:cNvGraphicFramePr/>
                  <a:graphic xmlns:a="http://schemas.openxmlformats.org/drawingml/2006/main">
                    <a:graphicData uri="http://schemas.openxmlformats.org/drawingml/2006/picture">
                      <pic:pic xmlns:pic="http://schemas.openxmlformats.org/drawingml/2006/picture">
                        <pic:nvPicPr>
                          <pic:cNvPr id="2479" name="Picture_13_SpCnt_17"/>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80" name="Picture_13_SpCnt_18"/>
                  <wp:cNvGraphicFramePr/>
                  <a:graphic xmlns:a="http://schemas.openxmlformats.org/drawingml/2006/main">
                    <a:graphicData uri="http://schemas.openxmlformats.org/drawingml/2006/picture">
                      <pic:pic xmlns:pic="http://schemas.openxmlformats.org/drawingml/2006/picture">
                        <pic:nvPicPr>
                          <pic:cNvPr id="2480" name="Picture_13_SpCnt_18"/>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85" name="Picture_13_SpCnt_19"/>
                  <wp:cNvGraphicFramePr/>
                  <a:graphic xmlns:a="http://schemas.openxmlformats.org/drawingml/2006/main">
                    <a:graphicData uri="http://schemas.openxmlformats.org/drawingml/2006/picture">
                      <pic:pic xmlns:pic="http://schemas.openxmlformats.org/drawingml/2006/picture">
                        <pic:nvPicPr>
                          <pic:cNvPr id="2485" name="Picture_13_SpCnt_19"/>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73" name="Picture_13_SpCnt_20"/>
                  <wp:cNvGraphicFramePr/>
                  <a:graphic xmlns:a="http://schemas.openxmlformats.org/drawingml/2006/main">
                    <a:graphicData uri="http://schemas.openxmlformats.org/drawingml/2006/picture">
                      <pic:pic xmlns:pic="http://schemas.openxmlformats.org/drawingml/2006/picture">
                        <pic:nvPicPr>
                          <pic:cNvPr id="2473" name="Picture_13_SpCnt_20"/>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77" name="Picture_13_SpCnt_21"/>
                  <wp:cNvGraphicFramePr/>
                  <a:graphic xmlns:a="http://schemas.openxmlformats.org/drawingml/2006/main">
                    <a:graphicData uri="http://schemas.openxmlformats.org/drawingml/2006/picture">
                      <pic:pic xmlns:pic="http://schemas.openxmlformats.org/drawingml/2006/picture">
                        <pic:nvPicPr>
                          <pic:cNvPr id="2477" name="Picture_13_SpCnt_21"/>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75" name="Picture_12_SpCnt_9"/>
                  <wp:cNvGraphicFramePr/>
                  <a:graphic xmlns:a="http://schemas.openxmlformats.org/drawingml/2006/main">
                    <a:graphicData uri="http://schemas.openxmlformats.org/drawingml/2006/picture">
                      <pic:pic xmlns:pic="http://schemas.openxmlformats.org/drawingml/2006/picture">
                        <pic:nvPicPr>
                          <pic:cNvPr id="2475" name="Picture_12_SpCnt_9"/>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74" name="Picture_13_SpCnt_22"/>
                  <wp:cNvGraphicFramePr/>
                  <a:graphic xmlns:a="http://schemas.openxmlformats.org/drawingml/2006/main">
                    <a:graphicData uri="http://schemas.openxmlformats.org/drawingml/2006/picture">
                      <pic:pic xmlns:pic="http://schemas.openxmlformats.org/drawingml/2006/picture">
                        <pic:nvPicPr>
                          <pic:cNvPr id="2474" name="Picture_13_SpCnt_2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76" name="Picture_12_SpCnt_10"/>
                  <wp:cNvGraphicFramePr/>
                  <a:graphic xmlns:a="http://schemas.openxmlformats.org/drawingml/2006/main">
                    <a:graphicData uri="http://schemas.openxmlformats.org/drawingml/2006/picture">
                      <pic:pic xmlns:pic="http://schemas.openxmlformats.org/drawingml/2006/picture">
                        <pic:nvPicPr>
                          <pic:cNvPr id="2476" name="Picture_12_SpCnt_10"/>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81" name="Picture_1_SpCnt_1"/>
                  <wp:cNvGraphicFramePr/>
                  <a:graphic xmlns:a="http://schemas.openxmlformats.org/drawingml/2006/main">
                    <a:graphicData uri="http://schemas.openxmlformats.org/drawingml/2006/picture">
                      <pic:pic xmlns:pic="http://schemas.openxmlformats.org/drawingml/2006/picture">
                        <pic:nvPicPr>
                          <pic:cNvPr id="2481" name="Picture_1_SpCnt_1"/>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86" name="Picture_10"/>
                  <wp:cNvGraphicFramePr/>
                  <a:graphic xmlns:a="http://schemas.openxmlformats.org/drawingml/2006/main">
                    <a:graphicData uri="http://schemas.openxmlformats.org/drawingml/2006/picture">
                      <pic:pic xmlns:pic="http://schemas.openxmlformats.org/drawingml/2006/picture">
                        <pic:nvPicPr>
                          <pic:cNvPr id="2486" name="Picture_10"/>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78" name="Picture_13_SpCnt_23"/>
                  <wp:cNvGraphicFramePr/>
                  <a:graphic xmlns:a="http://schemas.openxmlformats.org/drawingml/2006/main">
                    <a:graphicData uri="http://schemas.openxmlformats.org/drawingml/2006/picture">
                      <pic:pic xmlns:pic="http://schemas.openxmlformats.org/drawingml/2006/picture">
                        <pic:nvPicPr>
                          <pic:cNvPr id="2478" name="Picture_13_SpCnt_23"/>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2482" name="Picture_11_SpCnt_4"/>
                  <wp:cNvGraphicFramePr/>
                  <a:graphic xmlns:a="http://schemas.openxmlformats.org/drawingml/2006/main">
                    <a:graphicData uri="http://schemas.openxmlformats.org/drawingml/2006/picture">
                      <pic:pic xmlns:pic="http://schemas.openxmlformats.org/drawingml/2006/picture">
                        <pic:nvPicPr>
                          <pic:cNvPr id="2482" name="Picture_11_SpCnt_4"/>
                          <pic:cNvPicPr/>
                        </pic:nvPicPr>
                        <pic:blipFill>
                          <a:blip r:embed="rId33"/>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2483" name="Picture_12_SpCnt_11"/>
                  <wp:cNvGraphicFramePr/>
                  <a:graphic xmlns:a="http://schemas.openxmlformats.org/drawingml/2006/main">
                    <a:graphicData uri="http://schemas.openxmlformats.org/drawingml/2006/picture">
                      <pic:pic xmlns:pic="http://schemas.openxmlformats.org/drawingml/2006/picture">
                        <pic:nvPicPr>
                          <pic:cNvPr id="2483" name="Picture_12_SpCnt_11"/>
                          <pic:cNvPicPr/>
                        </pic:nvPicPr>
                        <pic:blipFill>
                          <a:blip r:embed="rId33"/>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73" name="Picture_13_SpCnt_24"/>
                  <wp:cNvGraphicFramePr/>
                  <a:graphic xmlns:a="http://schemas.openxmlformats.org/drawingml/2006/main">
                    <a:graphicData uri="http://schemas.openxmlformats.org/drawingml/2006/picture">
                      <pic:pic xmlns:pic="http://schemas.openxmlformats.org/drawingml/2006/picture">
                        <pic:nvPicPr>
                          <pic:cNvPr id="2373" name="Picture_13_SpCnt_24"/>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48" name="Picture_13_SpCnt_25"/>
                  <wp:cNvGraphicFramePr/>
                  <a:graphic xmlns:a="http://schemas.openxmlformats.org/drawingml/2006/main">
                    <a:graphicData uri="http://schemas.openxmlformats.org/drawingml/2006/picture">
                      <pic:pic xmlns:pic="http://schemas.openxmlformats.org/drawingml/2006/picture">
                        <pic:nvPicPr>
                          <pic:cNvPr id="2348" name="Picture_13_SpCnt_25"/>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2355" name="Picture_2"/>
                  <wp:cNvGraphicFramePr/>
                  <a:graphic xmlns:a="http://schemas.openxmlformats.org/drawingml/2006/main">
                    <a:graphicData uri="http://schemas.openxmlformats.org/drawingml/2006/picture">
                      <pic:pic xmlns:pic="http://schemas.openxmlformats.org/drawingml/2006/picture">
                        <pic:nvPicPr>
                          <pic:cNvPr id="2355" name="Picture_2"/>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2362" name="Picture_11_SpCnt_5"/>
                  <wp:cNvGraphicFramePr/>
                  <a:graphic xmlns:a="http://schemas.openxmlformats.org/drawingml/2006/main">
                    <a:graphicData uri="http://schemas.openxmlformats.org/drawingml/2006/picture">
                      <pic:pic xmlns:pic="http://schemas.openxmlformats.org/drawingml/2006/picture">
                        <pic:nvPicPr>
                          <pic:cNvPr id="2362" name="Picture_11_SpCnt_5"/>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72" name="Picture_12_SpCnt_12"/>
                  <wp:cNvGraphicFramePr/>
                  <a:graphic xmlns:a="http://schemas.openxmlformats.org/drawingml/2006/main">
                    <a:graphicData uri="http://schemas.openxmlformats.org/drawingml/2006/picture">
                      <pic:pic xmlns:pic="http://schemas.openxmlformats.org/drawingml/2006/picture">
                        <pic:nvPicPr>
                          <pic:cNvPr id="2372" name="Picture_12_SpCnt_1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69" name="Picture_10_SpCnt_1"/>
                  <wp:cNvGraphicFramePr/>
                  <a:graphic xmlns:a="http://schemas.openxmlformats.org/drawingml/2006/main">
                    <a:graphicData uri="http://schemas.openxmlformats.org/drawingml/2006/picture">
                      <pic:pic xmlns:pic="http://schemas.openxmlformats.org/drawingml/2006/picture">
                        <pic:nvPicPr>
                          <pic:cNvPr id="2369" name="Picture_10_SpCnt_1"/>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59" name="Picture_1_SpCnt_2"/>
                  <wp:cNvGraphicFramePr/>
                  <a:graphic xmlns:a="http://schemas.openxmlformats.org/drawingml/2006/main">
                    <a:graphicData uri="http://schemas.openxmlformats.org/drawingml/2006/picture">
                      <pic:pic xmlns:pic="http://schemas.openxmlformats.org/drawingml/2006/picture">
                        <pic:nvPicPr>
                          <pic:cNvPr id="2359" name="Picture_1_SpCnt_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49" name="Picture_1_SpCnt_3"/>
                  <wp:cNvGraphicFramePr/>
                  <a:graphic xmlns:a="http://schemas.openxmlformats.org/drawingml/2006/main">
                    <a:graphicData uri="http://schemas.openxmlformats.org/drawingml/2006/picture">
                      <pic:pic xmlns:pic="http://schemas.openxmlformats.org/drawingml/2006/picture">
                        <pic:nvPicPr>
                          <pic:cNvPr id="2349" name="Picture_1_SpCnt_3"/>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74" name="Picture_13_SpCnt_26"/>
                  <wp:cNvGraphicFramePr/>
                  <a:graphic xmlns:a="http://schemas.openxmlformats.org/drawingml/2006/main">
                    <a:graphicData uri="http://schemas.openxmlformats.org/drawingml/2006/picture">
                      <pic:pic xmlns:pic="http://schemas.openxmlformats.org/drawingml/2006/picture">
                        <pic:nvPicPr>
                          <pic:cNvPr id="2374" name="Picture_13_SpCnt_26"/>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2375" name="Picture_2_SpCnt_1"/>
                  <wp:cNvGraphicFramePr/>
                  <a:graphic xmlns:a="http://schemas.openxmlformats.org/drawingml/2006/main">
                    <a:graphicData uri="http://schemas.openxmlformats.org/drawingml/2006/picture">
                      <pic:pic xmlns:pic="http://schemas.openxmlformats.org/drawingml/2006/picture">
                        <pic:nvPicPr>
                          <pic:cNvPr id="2375" name="Picture_2_SpCnt_1"/>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57" name="Picture_13_SpCnt_27"/>
                  <wp:cNvGraphicFramePr/>
                  <a:graphic xmlns:a="http://schemas.openxmlformats.org/drawingml/2006/main">
                    <a:graphicData uri="http://schemas.openxmlformats.org/drawingml/2006/picture">
                      <pic:pic xmlns:pic="http://schemas.openxmlformats.org/drawingml/2006/picture">
                        <pic:nvPicPr>
                          <pic:cNvPr id="2357" name="Picture_13_SpCnt_27"/>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2361" name="Picture_2_SpCnt_2"/>
                  <wp:cNvGraphicFramePr/>
                  <a:graphic xmlns:a="http://schemas.openxmlformats.org/drawingml/2006/main">
                    <a:graphicData uri="http://schemas.openxmlformats.org/drawingml/2006/picture">
                      <pic:pic xmlns:pic="http://schemas.openxmlformats.org/drawingml/2006/picture">
                        <pic:nvPicPr>
                          <pic:cNvPr id="2361" name="Picture_2_SpCnt_2"/>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76" name="Picture_10_SpCnt_2"/>
                  <wp:cNvGraphicFramePr/>
                  <a:graphic xmlns:a="http://schemas.openxmlformats.org/drawingml/2006/main">
                    <a:graphicData uri="http://schemas.openxmlformats.org/drawingml/2006/picture">
                      <pic:pic xmlns:pic="http://schemas.openxmlformats.org/drawingml/2006/picture">
                        <pic:nvPicPr>
                          <pic:cNvPr id="2376" name="Picture_10_SpCnt_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60" name="Picture_1_SpCnt_4"/>
                  <wp:cNvGraphicFramePr/>
                  <a:graphic xmlns:a="http://schemas.openxmlformats.org/drawingml/2006/main">
                    <a:graphicData uri="http://schemas.openxmlformats.org/drawingml/2006/picture">
                      <pic:pic xmlns:pic="http://schemas.openxmlformats.org/drawingml/2006/picture">
                        <pic:nvPicPr>
                          <pic:cNvPr id="2360" name="Picture_1_SpCnt_4"/>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50" name="Picture_10_SpCnt_3"/>
                  <wp:cNvGraphicFramePr/>
                  <a:graphic xmlns:a="http://schemas.openxmlformats.org/drawingml/2006/main">
                    <a:graphicData uri="http://schemas.openxmlformats.org/drawingml/2006/picture">
                      <pic:pic xmlns:pic="http://schemas.openxmlformats.org/drawingml/2006/picture">
                        <pic:nvPicPr>
                          <pic:cNvPr id="2350" name="Picture_10_SpCnt_3"/>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2377" name="Picture_11_SpCnt_6"/>
                  <wp:cNvGraphicFramePr/>
                  <a:graphic xmlns:a="http://schemas.openxmlformats.org/drawingml/2006/main">
                    <a:graphicData uri="http://schemas.openxmlformats.org/drawingml/2006/picture">
                      <pic:pic xmlns:pic="http://schemas.openxmlformats.org/drawingml/2006/picture">
                        <pic:nvPicPr>
                          <pic:cNvPr id="2377" name="Picture_11_SpCnt_6"/>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63" name="Picture_12_SpCnt_13"/>
                  <wp:cNvGraphicFramePr/>
                  <a:graphic xmlns:a="http://schemas.openxmlformats.org/drawingml/2006/main">
                    <a:graphicData uri="http://schemas.openxmlformats.org/drawingml/2006/picture">
                      <pic:pic xmlns:pic="http://schemas.openxmlformats.org/drawingml/2006/picture">
                        <pic:nvPicPr>
                          <pic:cNvPr id="2363" name="Picture_12_SpCnt_13"/>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78" name="Picture_1_SpCnt_5"/>
                  <wp:cNvGraphicFramePr/>
                  <a:graphic xmlns:a="http://schemas.openxmlformats.org/drawingml/2006/main">
                    <a:graphicData uri="http://schemas.openxmlformats.org/drawingml/2006/picture">
                      <pic:pic xmlns:pic="http://schemas.openxmlformats.org/drawingml/2006/picture">
                        <pic:nvPicPr>
                          <pic:cNvPr id="2378" name="Picture_1_SpCnt_5"/>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2358" name="Picture_11_SpCnt_7"/>
                  <wp:cNvGraphicFramePr/>
                  <a:graphic xmlns:a="http://schemas.openxmlformats.org/drawingml/2006/main">
                    <a:graphicData uri="http://schemas.openxmlformats.org/drawingml/2006/picture">
                      <pic:pic xmlns:pic="http://schemas.openxmlformats.org/drawingml/2006/picture">
                        <pic:nvPicPr>
                          <pic:cNvPr id="2358" name="Picture_11_SpCnt_7"/>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68" name="Picture_13_SpCnt_28"/>
                  <wp:cNvGraphicFramePr/>
                  <a:graphic xmlns:a="http://schemas.openxmlformats.org/drawingml/2006/main">
                    <a:graphicData uri="http://schemas.openxmlformats.org/drawingml/2006/picture">
                      <pic:pic xmlns:pic="http://schemas.openxmlformats.org/drawingml/2006/picture">
                        <pic:nvPicPr>
                          <pic:cNvPr id="2368" name="Picture_13_SpCnt_28"/>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67" name="Picture_1_SpCnt_6"/>
                  <wp:cNvGraphicFramePr/>
                  <a:graphic xmlns:a="http://schemas.openxmlformats.org/drawingml/2006/main">
                    <a:graphicData uri="http://schemas.openxmlformats.org/drawingml/2006/picture">
                      <pic:pic xmlns:pic="http://schemas.openxmlformats.org/drawingml/2006/picture">
                        <pic:nvPicPr>
                          <pic:cNvPr id="2367" name="Picture_1_SpCnt_6"/>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52" name="Picture_12_SpCnt_14"/>
                  <wp:cNvGraphicFramePr/>
                  <a:graphic xmlns:a="http://schemas.openxmlformats.org/drawingml/2006/main">
                    <a:graphicData uri="http://schemas.openxmlformats.org/drawingml/2006/picture">
                      <pic:pic xmlns:pic="http://schemas.openxmlformats.org/drawingml/2006/picture">
                        <pic:nvPicPr>
                          <pic:cNvPr id="2352" name="Picture_12_SpCnt_14"/>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2370" name="Picture_2_SpCnt_3"/>
                  <wp:cNvGraphicFramePr/>
                  <a:graphic xmlns:a="http://schemas.openxmlformats.org/drawingml/2006/main">
                    <a:graphicData uri="http://schemas.openxmlformats.org/drawingml/2006/picture">
                      <pic:pic xmlns:pic="http://schemas.openxmlformats.org/drawingml/2006/picture">
                        <pic:nvPicPr>
                          <pic:cNvPr id="2370" name="Picture_2_SpCnt_3"/>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64" name="Picture_10_SpCnt_4"/>
                  <wp:cNvGraphicFramePr/>
                  <a:graphic xmlns:a="http://schemas.openxmlformats.org/drawingml/2006/main">
                    <a:graphicData uri="http://schemas.openxmlformats.org/drawingml/2006/picture">
                      <pic:pic xmlns:pic="http://schemas.openxmlformats.org/drawingml/2006/picture">
                        <pic:nvPicPr>
                          <pic:cNvPr id="2364" name="Picture_10_SpCnt_4"/>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2371" name="Picture_2_SpCnt_4"/>
                  <wp:cNvGraphicFramePr/>
                  <a:graphic xmlns:a="http://schemas.openxmlformats.org/drawingml/2006/main">
                    <a:graphicData uri="http://schemas.openxmlformats.org/drawingml/2006/picture">
                      <pic:pic xmlns:pic="http://schemas.openxmlformats.org/drawingml/2006/picture">
                        <pic:nvPicPr>
                          <pic:cNvPr id="2371" name="Picture_2_SpCnt_4"/>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65" name="Picture_13_SpCnt_29"/>
                  <wp:cNvGraphicFramePr/>
                  <a:graphic xmlns:a="http://schemas.openxmlformats.org/drawingml/2006/main">
                    <a:graphicData uri="http://schemas.openxmlformats.org/drawingml/2006/picture">
                      <pic:pic xmlns:pic="http://schemas.openxmlformats.org/drawingml/2006/picture">
                        <pic:nvPicPr>
                          <pic:cNvPr id="2365" name="Picture_13_SpCnt_29"/>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66" name="Picture_13_SpCnt_30"/>
                  <wp:cNvGraphicFramePr/>
                  <a:graphic xmlns:a="http://schemas.openxmlformats.org/drawingml/2006/main">
                    <a:graphicData uri="http://schemas.openxmlformats.org/drawingml/2006/picture">
                      <pic:pic xmlns:pic="http://schemas.openxmlformats.org/drawingml/2006/picture">
                        <pic:nvPicPr>
                          <pic:cNvPr id="2366" name="Picture_13_SpCnt_30"/>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47" name="Picture_10_SpCnt_5"/>
                  <wp:cNvGraphicFramePr/>
                  <a:graphic xmlns:a="http://schemas.openxmlformats.org/drawingml/2006/main">
                    <a:graphicData uri="http://schemas.openxmlformats.org/drawingml/2006/picture">
                      <pic:pic xmlns:pic="http://schemas.openxmlformats.org/drawingml/2006/picture">
                        <pic:nvPicPr>
                          <pic:cNvPr id="2347" name="Picture_10_SpCnt_5"/>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56" name="Picture_12_SpCnt_15"/>
                  <wp:cNvGraphicFramePr/>
                  <a:graphic xmlns:a="http://schemas.openxmlformats.org/drawingml/2006/main">
                    <a:graphicData uri="http://schemas.openxmlformats.org/drawingml/2006/picture">
                      <pic:pic xmlns:pic="http://schemas.openxmlformats.org/drawingml/2006/picture">
                        <pic:nvPicPr>
                          <pic:cNvPr id="2356" name="Picture_12_SpCnt_15"/>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54" name="Picture_1_SpCnt_7"/>
                  <wp:cNvGraphicFramePr/>
                  <a:graphic xmlns:a="http://schemas.openxmlformats.org/drawingml/2006/main">
                    <a:graphicData uri="http://schemas.openxmlformats.org/drawingml/2006/picture">
                      <pic:pic xmlns:pic="http://schemas.openxmlformats.org/drawingml/2006/picture">
                        <pic:nvPicPr>
                          <pic:cNvPr id="2354" name="Picture_1_SpCnt_7"/>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51" name="Picture_1_SpCnt_8"/>
                  <wp:cNvGraphicFramePr/>
                  <a:graphic xmlns:a="http://schemas.openxmlformats.org/drawingml/2006/main">
                    <a:graphicData uri="http://schemas.openxmlformats.org/drawingml/2006/picture">
                      <pic:pic xmlns:pic="http://schemas.openxmlformats.org/drawingml/2006/picture">
                        <pic:nvPicPr>
                          <pic:cNvPr id="2351" name="Picture_1_SpCnt_8"/>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53" name="Picture_10_SpCnt_6"/>
                  <wp:cNvGraphicFramePr/>
                  <a:graphic xmlns:a="http://schemas.openxmlformats.org/drawingml/2006/main">
                    <a:graphicData uri="http://schemas.openxmlformats.org/drawingml/2006/picture">
                      <pic:pic xmlns:pic="http://schemas.openxmlformats.org/drawingml/2006/picture">
                        <pic:nvPicPr>
                          <pic:cNvPr id="2353" name="Picture_10_SpCnt_6"/>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99" name="Picture_12_SpCnt_16"/>
                  <wp:cNvGraphicFramePr/>
                  <a:graphic xmlns:a="http://schemas.openxmlformats.org/drawingml/2006/main">
                    <a:graphicData uri="http://schemas.openxmlformats.org/drawingml/2006/picture">
                      <pic:pic xmlns:pic="http://schemas.openxmlformats.org/drawingml/2006/picture">
                        <pic:nvPicPr>
                          <pic:cNvPr id="2399" name="Picture_12_SpCnt_16"/>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89" name="Picture_10_SpCnt_7"/>
                  <wp:cNvGraphicFramePr/>
                  <a:graphic xmlns:a="http://schemas.openxmlformats.org/drawingml/2006/main">
                    <a:graphicData uri="http://schemas.openxmlformats.org/drawingml/2006/picture">
                      <pic:pic xmlns:pic="http://schemas.openxmlformats.org/drawingml/2006/picture">
                        <pic:nvPicPr>
                          <pic:cNvPr id="2389" name="Picture_10_SpCnt_7"/>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2388" name="Picture_11_SpCnt_8"/>
                  <wp:cNvGraphicFramePr/>
                  <a:graphic xmlns:a="http://schemas.openxmlformats.org/drawingml/2006/main">
                    <a:graphicData uri="http://schemas.openxmlformats.org/drawingml/2006/picture">
                      <pic:pic xmlns:pic="http://schemas.openxmlformats.org/drawingml/2006/picture">
                        <pic:nvPicPr>
                          <pic:cNvPr id="2388" name="Picture_11_SpCnt_8"/>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94" name="Picture_12_SpCnt_17"/>
                  <wp:cNvGraphicFramePr/>
                  <a:graphic xmlns:a="http://schemas.openxmlformats.org/drawingml/2006/main">
                    <a:graphicData uri="http://schemas.openxmlformats.org/drawingml/2006/picture">
                      <pic:pic xmlns:pic="http://schemas.openxmlformats.org/drawingml/2006/picture">
                        <pic:nvPicPr>
                          <pic:cNvPr id="2394" name="Picture_12_SpCnt_17"/>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2405" name="Picture_2_SpCnt_5"/>
                  <wp:cNvGraphicFramePr/>
                  <a:graphic xmlns:a="http://schemas.openxmlformats.org/drawingml/2006/main">
                    <a:graphicData uri="http://schemas.openxmlformats.org/drawingml/2006/picture">
                      <pic:pic xmlns:pic="http://schemas.openxmlformats.org/drawingml/2006/picture">
                        <pic:nvPicPr>
                          <pic:cNvPr id="2405" name="Picture_2_SpCnt_5"/>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95" name="Picture_13_SpCnt_31"/>
                  <wp:cNvGraphicFramePr/>
                  <a:graphic xmlns:a="http://schemas.openxmlformats.org/drawingml/2006/main">
                    <a:graphicData uri="http://schemas.openxmlformats.org/drawingml/2006/picture">
                      <pic:pic xmlns:pic="http://schemas.openxmlformats.org/drawingml/2006/picture">
                        <pic:nvPicPr>
                          <pic:cNvPr id="2395" name="Picture_13_SpCnt_31"/>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2396" name="Picture_2_SpCnt_6"/>
                  <wp:cNvGraphicFramePr/>
                  <a:graphic xmlns:a="http://schemas.openxmlformats.org/drawingml/2006/main">
                    <a:graphicData uri="http://schemas.openxmlformats.org/drawingml/2006/picture">
                      <pic:pic xmlns:pic="http://schemas.openxmlformats.org/drawingml/2006/picture">
                        <pic:nvPicPr>
                          <pic:cNvPr id="2396" name="Picture_2_SpCnt_6"/>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83" name="Picture_13_SpCnt_32"/>
                  <wp:cNvGraphicFramePr/>
                  <a:graphic xmlns:a="http://schemas.openxmlformats.org/drawingml/2006/main">
                    <a:graphicData uri="http://schemas.openxmlformats.org/drawingml/2006/picture">
                      <pic:pic xmlns:pic="http://schemas.openxmlformats.org/drawingml/2006/picture">
                        <pic:nvPicPr>
                          <pic:cNvPr id="2383" name="Picture_13_SpCnt_3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90" name="Picture_13_SpCnt_33"/>
                  <wp:cNvGraphicFramePr/>
                  <a:graphic xmlns:a="http://schemas.openxmlformats.org/drawingml/2006/main">
                    <a:graphicData uri="http://schemas.openxmlformats.org/drawingml/2006/picture">
                      <pic:pic xmlns:pic="http://schemas.openxmlformats.org/drawingml/2006/picture">
                        <pic:nvPicPr>
                          <pic:cNvPr id="2390" name="Picture_13_SpCnt_33"/>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2397" name="Picture_2_SpCnt_7"/>
                  <wp:cNvGraphicFramePr/>
                  <a:graphic xmlns:a="http://schemas.openxmlformats.org/drawingml/2006/main">
                    <a:graphicData uri="http://schemas.openxmlformats.org/drawingml/2006/picture">
                      <pic:pic xmlns:pic="http://schemas.openxmlformats.org/drawingml/2006/picture">
                        <pic:nvPicPr>
                          <pic:cNvPr id="2397" name="Picture_2_SpCnt_7"/>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98" name="Picture_13_SpCnt_34"/>
                  <wp:cNvGraphicFramePr/>
                  <a:graphic xmlns:a="http://schemas.openxmlformats.org/drawingml/2006/main">
                    <a:graphicData uri="http://schemas.openxmlformats.org/drawingml/2006/picture">
                      <pic:pic xmlns:pic="http://schemas.openxmlformats.org/drawingml/2006/picture">
                        <pic:nvPicPr>
                          <pic:cNvPr id="2398" name="Picture_13_SpCnt_34"/>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2393" name="Picture_2_SpCnt_8"/>
                  <wp:cNvGraphicFramePr/>
                  <a:graphic xmlns:a="http://schemas.openxmlformats.org/drawingml/2006/main">
                    <a:graphicData uri="http://schemas.openxmlformats.org/drawingml/2006/picture">
                      <pic:pic xmlns:pic="http://schemas.openxmlformats.org/drawingml/2006/picture">
                        <pic:nvPicPr>
                          <pic:cNvPr id="2393" name="Picture_2_SpCnt_8"/>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87" name="Picture_10_SpCnt_8"/>
                  <wp:cNvGraphicFramePr/>
                  <a:graphic xmlns:a="http://schemas.openxmlformats.org/drawingml/2006/main">
                    <a:graphicData uri="http://schemas.openxmlformats.org/drawingml/2006/picture">
                      <pic:pic xmlns:pic="http://schemas.openxmlformats.org/drawingml/2006/picture">
                        <pic:nvPicPr>
                          <pic:cNvPr id="2387" name="Picture_10_SpCnt_8"/>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02" name="Picture_1_SpCnt_9"/>
                  <wp:cNvGraphicFramePr/>
                  <a:graphic xmlns:a="http://schemas.openxmlformats.org/drawingml/2006/main">
                    <a:graphicData uri="http://schemas.openxmlformats.org/drawingml/2006/picture">
                      <pic:pic xmlns:pic="http://schemas.openxmlformats.org/drawingml/2006/picture">
                        <pic:nvPicPr>
                          <pic:cNvPr id="2402" name="Picture_1_SpCnt_9"/>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91" name="Picture_10_SpCnt_9"/>
                  <wp:cNvGraphicFramePr/>
                  <a:graphic xmlns:a="http://schemas.openxmlformats.org/drawingml/2006/main">
                    <a:graphicData uri="http://schemas.openxmlformats.org/drawingml/2006/picture">
                      <pic:pic xmlns:pic="http://schemas.openxmlformats.org/drawingml/2006/picture">
                        <pic:nvPicPr>
                          <pic:cNvPr id="2391" name="Picture_10_SpCnt_9"/>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2382" name="Picture_11_SpCnt_9"/>
                  <wp:cNvGraphicFramePr/>
                  <a:graphic xmlns:a="http://schemas.openxmlformats.org/drawingml/2006/main">
                    <a:graphicData uri="http://schemas.openxmlformats.org/drawingml/2006/picture">
                      <pic:pic xmlns:pic="http://schemas.openxmlformats.org/drawingml/2006/picture">
                        <pic:nvPicPr>
                          <pic:cNvPr id="2382" name="Picture_11_SpCnt_9"/>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00" name="Picture_12_SpCnt_18"/>
                  <wp:cNvGraphicFramePr/>
                  <a:graphic xmlns:a="http://schemas.openxmlformats.org/drawingml/2006/main">
                    <a:graphicData uri="http://schemas.openxmlformats.org/drawingml/2006/picture">
                      <pic:pic xmlns:pic="http://schemas.openxmlformats.org/drawingml/2006/picture">
                        <pic:nvPicPr>
                          <pic:cNvPr id="2400" name="Picture_12_SpCnt_18"/>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80" name="Picture_1_SpCnt_10"/>
                  <wp:cNvGraphicFramePr/>
                  <a:graphic xmlns:a="http://schemas.openxmlformats.org/drawingml/2006/main">
                    <a:graphicData uri="http://schemas.openxmlformats.org/drawingml/2006/picture">
                      <pic:pic xmlns:pic="http://schemas.openxmlformats.org/drawingml/2006/picture">
                        <pic:nvPicPr>
                          <pic:cNvPr id="2380" name="Picture_1_SpCnt_10"/>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2392" name="Picture_11_SpCnt_10"/>
                  <wp:cNvGraphicFramePr/>
                  <a:graphic xmlns:a="http://schemas.openxmlformats.org/drawingml/2006/main">
                    <a:graphicData uri="http://schemas.openxmlformats.org/drawingml/2006/picture">
                      <pic:pic xmlns:pic="http://schemas.openxmlformats.org/drawingml/2006/picture">
                        <pic:nvPicPr>
                          <pic:cNvPr id="2392" name="Picture_11_SpCnt_10"/>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01" name="Picture_13_SpCnt_35"/>
                  <wp:cNvGraphicFramePr/>
                  <a:graphic xmlns:a="http://schemas.openxmlformats.org/drawingml/2006/main">
                    <a:graphicData uri="http://schemas.openxmlformats.org/drawingml/2006/picture">
                      <pic:pic xmlns:pic="http://schemas.openxmlformats.org/drawingml/2006/picture">
                        <pic:nvPicPr>
                          <pic:cNvPr id="2401" name="Picture_13_SpCnt_35"/>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03" name="Picture_1_SpCnt_11"/>
                  <wp:cNvGraphicFramePr/>
                  <a:graphic xmlns:a="http://schemas.openxmlformats.org/drawingml/2006/main">
                    <a:graphicData uri="http://schemas.openxmlformats.org/drawingml/2006/picture">
                      <pic:pic xmlns:pic="http://schemas.openxmlformats.org/drawingml/2006/picture">
                        <pic:nvPicPr>
                          <pic:cNvPr id="2403" name="Picture_1_SpCnt_11"/>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84" name="Picture_12_SpCnt_19"/>
                  <wp:cNvGraphicFramePr/>
                  <a:graphic xmlns:a="http://schemas.openxmlformats.org/drawingml/2006/main">
                    <a:graphicData uri="http://schemas.openxmlformats.org/drawingml/2006/picture">
                      <pic:pic xmlns:pic="http://schemas.openxmlformats.org/drawingml/2006/picture">
                        <pic:nvPicPr>
                          <pic:cNvPr id="2384" name="Picture_12_SpCnt_19"/>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2385" name="Picture_2_SpCnt_9"/>
                  <wp:cNvGraphicFramePr/>
                  <a:graphic xmlns:a="http://schemas.openxmlformats.org/drawingml/2006/main">
                    <a:graphicData uri="http://schemas.openxmlformats.org/drawingml/2006/picture">
                      <pic:pic xmlns:pic="http://schemas.openxmlformats.org/drawingml/2006/picture">
                        <pic:nvPicPr>
                          <pic:cNvPr id="2385" name="Picture_2_SpCnt_9"/>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04" name="Picture_10_SpCnt_10"/>
                  <wp:cNvGraphicFramePr/>
                  <a:graphic xmlns:a="http://schemas.openxmlformats.org/drawingml/2006/main">
                    <a:graphicData uri="http://schemas.openxmlformats.org/drawingml/2006/picture">
                      <pic:pic xmlns:pic="http://schemas.openxmlformats.org/drawingml/2006/picture">
                        <pic:nvPicPr>
                          <pic:cNvPr id="2404" name="Picture_10_SpCnt_10"/>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86" name="Picture_13_SpCnt_36"/>
                  <wp:cNvGraphicFramePr/>
                  <a:graphic xmlns:a="http://schemas.openxmlformats.org/drawingml/2006/main">
                    <a:graphicData uri="http://schemas.openxmlformats.org/drawingml/2006/picture">
                      <pic:pic xmlns:pic="http://schemas.openxmlformats.org/drawingml/2006/picture">
                        <pic:nvPicPr>
                          <pic:cNvPr id="2386" name="Picture_13_SpCnt_36"/>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06" name="Picture_13_SpCnt_37"/>
                  <wp:cNvGraphicFramePr/>
                  <a:graphic xmlns:a="http://schemas.openxmlformats.org/drawingml/2006/main">
                    <a:graphicData uri="http://schemas.openxmlformats.org/drawingml/2006/picture">
                      <pic:pic xmlns:pic="http://schemas.openxmlformats.org/drawingml/2006/picture">
                        <pic:nvPicPr>
                          <pic:cNvPr id="2406" name="Picture_13_SpCnt_37"/>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07" name="Picture_13_SpCnt_38"/>
                  <wp:cNvGraphicFramePr/>
                  <a:graphic xmlns:a="http://schemas.openxmlformats.org/drawingml/2006/main">
                    <a:graphicData uri="http://schemas.openxmlformats.org/drawingml/2006/picture">
                      <pic:pic xmlns:pic="http://schemas.openxmlformats.org/drawingml/2006/picture">
                        <pic:nvPicPr>
                          <pic:cNvPr id="2407" name="Picture_13_SpCnt_38"/>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08" name="Picture_13_SpCnt_39"/>
                  <wp:cNvGraphicFramePr/>
                  <a:graphic xmlns:a="http://schemas.openxmlformats.org/drawingml/2006/main">
                    <a:graphicData uri="http://schemas.openxmlformats.org/drawingml/2006/picture">
                      <pic:pic xmlns:pic="http://schemas.openxmlformats.org/drawingml/2006/picture">
                        <pic:nvPicPr>
                          <pic:cNvPr id="2408" name="Picture_13_SpCnt_39"/>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09" name="Picture_12_SpCnt_20"/>
                  <wp:cNvGraphicFramePr/>
                  <a:graphic xmlns:a="http://schemas.openxmlformats.org/drawingml/2006/main">
                    <a:graphicData uri="http://schemas.openxmlformats.org/drawingml/2006/picture">
                      <pic:pic xmlns:pic="http://schemas.openxmlformats.org/drawingml/2006/picture">
                        <pic:nvPicPr>
                          <pic:cNvPr id="2409" name="Picture_12_SpCnt_20"/>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10" name="Picture_12_SpCnt_21"/>
                  <wp:cNvGraphicFramePr/>
                  <a:graphic xmlns:a="http://schemas.openxmlformats.org/drawingml/2006/main">
                    <a:graphicData uri="http://schemas.openxmlformats.org/drawingml/2006/picture">
                      <pic:pic xmlns:pic="http://schemas.openxmlformats.org/drawingml/2006/picture">
                        <pic:nvPicPr>
                          <pic:cNvPr id="2410" name="Picture_12_SpCnt_21"/>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79" name="Picture_12_SpCnt_22"/>
                  <wp:cNvGraphicFramePr/>
                  <a:graphic xmlns:a="http://schemas.openxmlformats.org/drawingml/2006/main">
                    <a:graphicData uri="http://schemas.openxmlformats.org/drawingml/2006/picture">
                      <pic:pic xmlns:pic="http://schemas.openxmlformats.org/drawingml/2006/picture">
                        <pic:nvPicPr>
                          <pic:cNvPr id="2379" name="Picture_12_SpCnt_2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381" name="Picture_13_SpCnt_40"/>
                  <wp:cNvGraphicFramePr/>
                  <a:graphic xmlns:a="http://schemas.openxmlformats.org/drawingml/2006/main">
                    <a:graphicData uri="http://schemas.openxmlformats.org/drawingml/2006/picture">
                      <pic:pic xmlns:pic="http://schemas.openxmlformats.org/drawingml/2006/picture">
                        <pic:nvPicPr>
                          <pic:cNvPr id="2381" name="Picture_13_SpCnt_40"/>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34" name="Picture_12_SpCnt_23"/>
                  <wp:cNvGraphicFramePr/>
                  <a:graphic xmlns:a="http://schemas.openxmlformats.org/drawingml/2006/main">
                    <a:graphicData uri="http://schemas.openxmlformats.org/drawingml/2006/picture">
                      <pic:pic xmlns:pic="http://schemas.openxmlformats.org/drawingml/2006/picture">
                        <pic:nvPicPr>
                          <pic:cNvPr id="2434" name="Picture_12_SpCnt_23"/>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33" name="Picture_13_SpCnt_41"/>
                  <wp:cNvGraphicFramePr/>
                  <a:graphic xmlns:a="http://schemas.openxmlformats.org/drawingml/2006/main">
                    <a:graphicData uri="http://schemas.openxmlformats.org/drawingml/2006/picture">
                      <pic:pic xmlns:pic="http://schemas.openxmlformats.org/drawingml/2006/picture">
                        <pic:nvPicPr>
                          <pic:cNvPr id="2433" name="Picture_13_SpCnt_41"/>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2429" name="Picture_12_SpCnt_24"/>
                  <wp:cNvGraphicFramePr/>
                  <a:graphic xmlns:a="http://schemas.openxmlformats.org/drawingml/2006/main">
                    <a:graphicData uri="http://schemas.openxmlformats.org/drawingml/2006/picture">
                      <pic:pic xmlns:pic="http://schemas.openxmlformats.org/drawingml/2006/picture">
                        <pic:nvPicPr>
                          <pic:cNvPr id="2429" name="Picture_12_SpCnt_24"/>
                          <pic:cNvPicPr/>
                        </pic:nvPicPr>
                        <pic:blipFill>
                          <a:blip r:embed="rId33"/>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2415" name="Picture_12_SpCnt_25"/>
                  <wp:cNvGraphicFramePr/>
                  <a:graphic xmlns:a="http://schemas.openxmlformats.org/drawingml/2006/main">
                    <a:graphicData uri="http://schemas.openxmlformats.org/drawingml/2006/picture">
                      <pic:pic xmlns:pic="http://schemas.openxmlformats.org/drawingml/2006/picture">
                        <pic:nvPicPr>
                          <pic:cNvPr id="2415" name="Picture_12_SpCnt_25"/>
                          <pic:cNvPicPr/>
                        </pic:nvPicPr>
                        <pic:blipFill>
                          <a:blip r:embed="rId33"/>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35" name="Picture_12_SpCnt_26"/>
                  <wp:cNvGraphicFramePr/>
                  <a:graphic xmlns:a="http://schemas.openxmlformats.org/drawingml/2006/main">
                    <a:graphicData uri="http://schemas.openxmlformats.org/drawingml/2006/picture">
                      <pic:pic xmlns:pic="http://schemas.openxmlformats.org/drawingml/2006/picture">
                        <pic:nvPicPr>
                          <pic:cNvPr id="2435" name="Picture_12_SpCnt_26"/>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2412" name="Picture_11_SpCnt_11"/>
                  <wp:cNvGraphicFramePr/>
                  <a:graphic xmlns:a="http://schemas.openxmlformats.org/drawingml/2006/main">
                    <a:graphicData uri="http://schemas.openxmlformats.org/drawingml/2006/picture">
                      <pic:pic xmlns:pic="http://schemas.openxmlformats.org/drawingml/2006/picture">
                        <pic:nvPicPr>
                          <pic:cNvPr id="2412" name="Picture_11_SpCnt_11"/>
                          <pic:cNvPicPr/>
                        </pic:nvPicPr>
                        <pic:blipFill>
                          <a:blip r:embed="rId33"/>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2414" name="Picture_11_SpCnt_12"/>
                  <wp:cNvGraphicFramePr/>
                  <a:graphic xmlns:a="http://schemas.openxmlformats.org/drawingml/2006/main">
                    <a:graphicData uri="http://schemas.openxmlformats.org/drawingml/2006/picture">
                      <pic:pic xmlns:pic="http://schemas.openxmlformats.org/drawingml/2006/picture">
                        <pic:nvPicPr>
                          <pic:cNvPr id="2414" name="Picture_11_SpCnt_12"/>
                          <pic:cNvPicPr/>
                        </pic:nvPicPr>
                        <pic:blipFill>
                          <a:blip r:embed="rId33"/>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36" name="Picture_10_SpCnt_11"/>
                  <wp:cNvGraphicFramePr/>
                  <a:graphic xmlns:a="http://schemas.openxmlformats.org/drawingml/2006/main">
                    <a:graphicData uri="http://schemas.openxmlformats.org/drawingml/2006/picture">
                      <pic:pic xmlns:pic="http://schemas.openxmlformats.org/drawingml/2006/picture">
                        <pic:nvPicPr>
                          <pic:cNvPr id="2436" name="Picture_10_SpCnt_11"/>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16" name="Picture_1_SpCnt_12"/>
                  <wp:cNvGraphicFramePr/>
                  <a:graphic xmlns:a="http://schemas.openxmlformats.org/drawingml/2006/main">
                    <a:graphicData uri="http://schemas.openxmlformats.org/drawingml/2006/picture">
                      <pic:pic xmlns:pic="http://schemas.openxmlformats.org/drawingml/2006/picture">
                        <pic:nvPicPr>
                          <pic:cNvPr id="2416" name="Picture_1_SpCnt_1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11" name="Picture_13_SpCnt_42"/>
                  <wp:cNvGraphicFramePr/>
                  <a:graphic xmlns:a="http://schemas.openxmlformats.org/drawingml/2006/main">
                    <a:graphicData uri="http://schemas.openxmlformats.org/drawingml/2006/picture">
                      <pic:pic xmlns:pic="http://schemas.openxmlformats.org/drawingml/2006/picture">
                        <pic:nvPicPr>
                          <pic:cNvPr id="2411" name="Picture_13_SpCnt_4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2413" name="Picture_13_SpCnt_43"/>
                  <wp:cNvGraphicFramePr/>
                  <a:graphic xmlns:a="http://schemas.openxmlformats.org/drawingml/2006/main">
                    <a:graphicData uri="http://schemas.openxmlformats.org/drawingml/2006/picture">
                      <pic:pic xmlns:pic="http://schemas.openxmlformats.org/drawingml/2006/picture">
                        <pic:nvPicPr>
                          <pic:cNvPr id="2413" name="Picture_13_SpCnt_43"/>
                          <pic:cNvPicPr/>
                        </pic:nvPicPr>
                        <pic:blipFill>
                          <a:blip r:embed="rId35"/>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32" name="Picture_13_SpCnt_44"/>
                  <wp:cNvGraphicFramePr/>
                  <a:graphic xmlns:a="http://schemas.openxmlformats.org/drawingml/2006/main">
                    <a:graphicData uri="http://schemas.openxmlformats.org/drawingml/2006/picture">
                      <pic:pic xmlns:pic="http://schemas.openxmlformats.org/drawingml/2006/picture">
                        <pic:nvPicPr>
                          <pic:cNvPr id="2432" name="Picture_13_SpCnt_44"/>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17" name="Picture_13_SpCnt_45"/>
                  <wp:cNvGraphicFramePr/>
                  <a:graphic xmlns:a="http://schemas.openxmlformats.org/drawingml/2006/main">
                    <a:graphicData uri="http://schemas.openxmlformats.org/drawingml/2006/picture">
                      <pic:pic xmlns:pic="http://schemas.openxmlformats.org/drawingml/2006/picture">
                        <pic:nvPicPr>
                          <pic:cNvPr id="2417" name="Picture_13_SpCnt_45"/>
                          <pic:cNvPicPr/>
                        </pic:nvPicPr>
                        <pic:blipFill>
                          <a:blip r:embed="rId34"/>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2442" name="Picture_13_SpCnt_46"/>
                  <wp:cNvGraphicFramePr/>
                  <a:graphic xmlns:a="http://schemas.openxmlformats.org/drawingml/2006/main">
                    <a:graphicData uri="http://schemas.openxmlformats.org/drawingml/2006/picture">
                      <pic:pic xmlns:pic="http://schemas.openxmlformats.org/drawingml/2006/picture">
                        <pic:nvPicPr>
                          <pic:cNvPr id="2442" name="Picture_13_SpCnt_46"/>
                          <pic:cNvPicPr/>
                        </pic:nvPicPr>
                        <pic:blipFill>
                          <a:blip r:embed="rId35"/>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37" name="Picture_13_SpCnt_47"/>
                  <wp:cNvGraphicFramePr/>
                  <a:graphic xmlns:a="http://schemas.openxmlformats.org/drawingml/2006/main">
                    <a:graphicData uri="http://schemas.openxmlformats.org/drawingml/2006/picture">
                      <pic:pic xmlns:pic="http://schemas.openxmlformats.org/drawingml/2006/picture">
                        <pic:nvPicPr>
                          <pic:cNvPr id="2437" name="Picture_13_SpCnt_47"/>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18" name="Picture_13_SpCnt_48"/>
                  <wp:cNvGraphicFramePr/>
                  <a:graphic xmlns:a="http://schemas.openxmlformats.org/drawingml/2006/main">
                    <a:graphicData uri="http://schemas.openxmlformats.org/drawingml/2006/picture">
                      <pic:pic xmlns:pic="http://schemas.openxmlformats.org/drawingml/2006/picture">
                        <pic:nvPicPr>
                          <pic:cNvPr id="2418" name="Picture_13_SpCnt_48"/>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30" name="Picture_13_SpCnt_49"/>
                  <wp:cNvGraphicFramePr/>
                  <a:graphic xmlns:a="http://schemas.openxmlformats.org/drawingml/2006/main">
                    <a:graphicData uri="http://schemas.openxmlformats.org/drawingml/2006/picture">
                      <pic:pic xmlns:pic="http://schemas.openxmlformats.org/drawingml/2006/picture">
                        <pic:nvPicPr>
                          <pic:cNvPr id="2430" name="Picture_13_SpCnt_49"/>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19" name="Picture_10_SpCnt_12"/>
                  <wp:cNvGraphicFramePr/>
                  <a:graphic xmlns:a="http://schemas.openxmlformats.org/drawingml/2006/main">
                    <a:graphicData uri="http://schemas.openxmlformats.org/drawingml/2006/picture">
                      <pic:pic xmlns:pic="http://schemas.openxmlformats.org/drawingml/2006/picture">
                        <pic:nvPicPr>
                          <pic:cNvPr id="2419" name="Picture_10_SpCnt_1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20" name="Picture_13_SpCnt_50"/>
                  <wp:cNvGraphicFramePr/>
                  <a:graphic xmlns:a="http://schemas.openxmlformats.org/drawingml/2006/main">
                    <a:graphicData uri="http://schemas.openxmlformats.org/drawingml/2006/picture">
                      <pic:pic xmlns:pic="http://schemas.openxmlformats.org/drawingml/2006/picture">
                        <pic:nvPicPr>
                          <pic:cNvPr id="2420" name="Picture_13_SpCnt_50"/>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21" name="Picture_13_SpCnt_51"/>
                  <wp:cNvGraphicFramePr/>
                  <a:graphic xmlns:a="http://schemas.openxmlformats.org/drawingml/2006/main">
                    <a:graphicData uri="http://schemas.openxmlformats.org/drawingml/2006/picture">
                      <pic:pic xmlns:pic="http://schemas.openxmlformats.org/drawingml/2006/picture">
                        <pic:nvPicPr>
                          <pic:cNvPr id="2421" name="Picture_13_SpCnt_51"/>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22" name="Picture_13_SpCnt_52"/>
                  <wp:cNvGraphicFramePr/>
                  <a:graphic xmlns:a="http://schemas.openxmlformats.org/drawingml/2006/main">
                    <a:graphicData uri="http://schemas.openxmlformats.org/drawingml/2006/picture">
                      <pic:pic xmlns:pic="http://schemas.openxmlformats.org/drawingml/2006/picture">
                        <pic:nvPicPr>
                          <pic:cNvPr id="2422" name="Picture_13_SpCnt_5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38" name="Picture_13_SpCnt_53"/>
                  <wp:cNvGraphicFramePr/>
                  <a:graphic xmlns:a="http://schemas.openxmlformats.org/drawingml/2006/main">
                    <a:graphicData uri="http://schemas.openxmlformats.org/drawingml/2006/picture">
                      <pic:pic xmlns:pic="http://schemas.openxmlformats.org/drawingml/2006/picture">
                        <pic:nvPicPr>
                          <pic:cNvPr id="2438" name="Picture_13_SpCnt_53"/>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23" name="Picture_12_SpCnt_27"/>
                  <wp:cNvGraphicFramePr/>
                  <a:graphic xmlns:a="http://schemas.openxmlformats.org/drawingml/2006/main">
                    <a:graphicData uri="http://schemas.openxmlformats.org/drawingml/2006/picture">
                      <pic:pic xmlns:pic="http://schemas.openxmlformats.org/drawingml/2006/picture">
                        <pic:nvPicPr>
                          <pic:cNvPr id="2423" name="Picture_12_SpCnt_27"/>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26" name="Picture_13_SpCnt_54"/>
                  <wp:cNvGraphicFramePr/>
                  <a:graphic xmlns:a="http://schemas.openxmlformats.org/drawingml/2006/main">
                    <a:graphicData uri="http://schemas.openxmlformats.org/drawingml/2006/picture">
                      <pic:pic xmlns:pic="http://schemas.openxmlformats.org/drawingml/2006/picture">
                        <pic:nvPicPr>
                          <pic:cNvPr id="2426" name="Picture_13_SpCnt_54"/>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2424" name="Picture_11_SpCnt_13"/>
                  <wp:cNvGraphicFramePr/>
                  <a:graphic xmlns:a="http://schemas.openxmlformats.org/drawingml/2006/main">
                    <a:graphicData uri="http://schemas.openxmlformats.org/drawingml/2006/picture">
                      <pic:pic xmlns:pic="http://schemas.openxmlformats.org/drawingml/2006/picture">
                        <pic:nvPicPr>
                          <pic:cNvPr id="2424" name="Picture_11_SpCnt_13"/>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2425" name="Picture_11_SpCnt_14"/>
                  <wp:cNvGraphicFramePr/>
                  <a:graphic xmlns:a="http://schemas.openxmlformats.org/drawingml/2006/main">
                    <a:graphicData uri="http://schemas.openxmlformats.org/drawingml/2006/picture">
                      <pic:pic xmlns:pic="http://schemas.openxmlformats.org/drawingml/2006/picture">
                        <pic:nvPicPr>
                          <pic:cNvPr id="2425" name="Picture_11_SpCnt_14"/>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2439" name="Picture_12_SpCnt_28"/>
                  <wp:cNvGraphicFramePr/>
                  <a:graphic xmlns:a="http://schemas.openxmlformats.org/drawingml/2006/main">
                    <a:graphicData uri="http://schemas.openxmlformats.org/drawingml/2006/picture">
                      <pic:pic xmlns:pic="http://schemas.openxmlformats.org/drawingml/2006/picture">
                        <pic:nvPicPr>
                          <pic:cNvPr id="2439" name="Picture_12_SpCnt_28"/>
                          <pic:cNvPicPr/>
                        </pic:nvPicPr>
                        <pic:blipFill>
                          <a:blip r:embed="rId33"/>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27" name="Picture_12_SpCnt_29"/>
                  <wp:cNvGraphicFramePr/>
                  <a:graphic xmlns:a="http://schemas.openxmlformats.org/drawingml/2006/main">
                    <a:graphicData uri="http://schemas.openxmlformats.org/drawingml/2006/picture">
                      <pic:pic xmlns:pic="http://schemas.openxmlformats.org/drawingml/2006/picture">
                        <pic:nvPicPr>
                          <pic:cNvPr id="2427" name="Picture_12_SpCnt_29"/>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40" name="Picture_13_SpCnt_55"/>
                  <wp:cNvGraphicFramePr/>
                  <a:graphic xmlns:a="http://schemas.openxmlformats.org/drawingml/2006/main">
                    <a:graphicData uri="http://schemas.openxmlformats.org/drawingml/2006/picture">
                      <pic:pic xmlns:pic="http://schemas.openxmlformats.org/drawingml/2006/picture">
                        <pic:nvPicPr>
                          <pic:cNvPr id="2440" name="Picture_13_SpCnt_55"/>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41" name="Picture_13_SpCnt_56"/>
                  <wp:cNvGraphicFramePr/>
                  <a:graphic xmlns:a="http://schemas.openxmlformats.org/drawingml/2006/main">
                    <a:graphicData uri="http://schemas.openxmlformats.org/drawingml/2006/picture">
                      <pic:pic xmlns:pic="http://schemas.openxmlformats.org/drawingml/2006/picture">
                        <pic:nvPicPr>
                          <pic:cNvPr id="2441" name="Picture_13_SpCnt_56"/>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28" name="Picture_12_SpCnt_30"/>
                  <wp:cNvGraphicFramePr/>
                  <a:graphic xmlns:a="http://schemas.openxmlformats.org/drawingml/2006/main">
                    <a:graphicData uri="http://schemas.openxmlformats.org/drawingml/2006/picture">
                      <pic:pic xmlns:pic="http://schemas.openxmlformats.org/drawingml/2006/picture">
                        <pic:nvPicPr>
                          <pic:cNvPr id="2428" name="Picture_12_SpCnt_30"/>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31" name="Picture_13_SpCnt_57"/>
                  <wp:cNvGraphicFramePr/>
                  <a:graphic xmlns:a="http://schemas.openxmlformats.org/drawingml/2006/main">
                    <a:graphicData uri="http://schemas.openxmlformats.org/drawingml/2006/picture">
                      <pic:pic xmlns:pic="http://schemas.openxmlformats.org/drawingml/2006/picture">
                        <pic:nvPicPr>
                          <pic:cNvPr id="2431" name="Picture_13_SpCnt_57"/>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2492" name="Picture_11_SpCnt_15"/>
                  <wp:cNvGraphicFramePr/>
                  <a:graphic xmlns:a="http://schemas.openxmlformats.org/drawingml/2006/main">
                    <a:graphicData uri="http://schemas.openxmlformats.org/drawingml/2006/picture">
                      <pic:pic xmlns:pic="http://schemas.openxmlformats.org/drawingml/2006/picture">
                        <pic:nvPicPr>
                          <pic:cNvPr id="2492" name="Picture_11_SpCnt_15"/>
                          <pic:cNvPicPr/>
                        </pic:nvPicPr>
                        <pic:blipFill>
                          <a:blip r:embed="rId33"/>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93" name="Picture_12_SpCnt_31"/>
                  <wp:cNvGraphicFramePr/>
                  <a:graphic xmlns:a="http://schemas.openxmlformats.org/drawingml/2006/main">
                    <a:graphicData uri="http://schemas.openxmlformats.org/drawingml/2006/picture">
                      <pic:pic xmlns:pic="http://schemas.openxmlformats.org/drawingml/2006/picture">
                        <pic:nvPicPr>
                          <pic:cNvPr id="2493" name="Picture_12_SpCnt_31"/>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90" name="Picture_13_SpCnt_58"/>
                  <wp:cNvGraphicFramePr/>
                  <a:graphic xmlns:a="http://schemas.openxmlformats.org/drawingml/2006/main">
                    <a:graphicData uri="http://schemas.openxmlformats.org/drawingml/2006/picture">
                      <pic:pic xmlns:pic="http://schemas.openxmlformats.org/drawingml/2006/picture">
                        <pic:nvPicPr>
                          <pic:cNvPr id="2490" name="Picture_13_SpCnt_58"/>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2487" name="Picture_2_SpCnt_10"/>
                  <wp:cNvGraphicFramePr/>
                  <a:graphic xmlns:a="http://schemas.openxmlformats.org/drawingml/2006/main">
                    <a:graphicData uri="http://schemas.openxmlformats.org/drawingml/2006/picture">
                      <pic:pic xmlns:pic="http://schemas.openxmlformats.org/drawingml/2006/picture">
                        <pic:nvPicPr>
                          <pic:cNvPr id="2487" name="Picture_2_SpCnt_10"/>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91" name="Picture_10_SpCnt_13"/>
                  <wp:cNvGraphicFramePr/>
                  <a:graphic xmlns:a="http://schemas.openxmlformats.org/drawingml/2006/main">
                    <a:graphicData uri="http://schemas.openxmlformats.org/drawingml/2006/picture">
                      <pic:pic xmlns:pic="http://schemas.openxmlformats.org/drawingml/2006/picture">
                        <pic:nvPicPr>
                          <pic:cNvPr id="2491" name="Picture_10_SpCnt_13"/>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88" name="Picture_1_SpCnt_13"/>
                  <wp:cNvGraphicFramePr/>
                  <a:graphic xmlns:a="http://schemas.openxmlformats.org/drawingml/2006/main">
                    <a:graphicData uri="http://schemas.openxmlformats.org/drawingml/2006/picture">
                      <pic:pic xmlns:pic="http://schemas.openxmlformats.org/drawingml/2006/picture">
                        <pic:nvPicPr>
                          <pic:cNvPr id="2488" name="Picture_1_SpCnt_13"/>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2489" name="Picture_13_SpCnt_59"/>
                  <wp:cNvGraphicFramePr/>
                  <a:graphic xmlns:a="http://schemas.openxmlformats.org/drawingml/2006/main">
                    <a:graphicData uri="http://schemas.openxmlformats.org/drawingml/2006/picture">
                      <pic:pic xmlns:pic="http://schemas.openxmlformats.org/drawingml/2006/picture">
                        <pic:nvPicPr>
                          <pic:cNvPr id="2489" name="Picture_13_SpCnt_59"/>
                          <pic:cNvPicPr/>
                        </pic:nvPicPr>
                        <pic:blipFill>
                          <a:blip r:embed="rId34"/>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779" name="Picture_2_SpCnt_11"/>
                  <wp:cNvGraphicFramePr/>
                  <a:graphic xmlns:a="http://schemas.openxmlformats.org/drawingml/2006/main">
                    <a:graphicData uri="http://schemas.openxmlformats.org/drawingml/2006/picture">
                      <pic:pic xmlns:pic="http://schemas.openxmlformats.org/drawingml/2006/picture">
                        <pic:nvPicPr>
                          <pic:cNvPr id="1779" name="Picture_2_SpCnt_11"/>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77" name="Picture_10_SpCnt_14"/>
                  <wp:cNvGraphicFramePr/>
                  <a:graphic xmlns:a="http://schemas.openxmlformats.org/drawingml/2006/main">
                    <a:graphicData uri="http://schemas.openxmlformats.org/drawingml/2006/picture">
                      <pic:pic xmlns:pic="http://schemas.openxmlformats.org/drawingml/2006/picture">
                        <pic:nvPicPr>
                          <pic:cNvPr id="1777" name="Picture_10_SpCnt_14"/>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81" name="Picture_13_SpCnt_60"/>
                  <wp:cNvGraphicFramePr/>
                  <a:graphic xmlns:a="http://schemas.openxmlformats.org/drawingml/2006/main">
                    <a:graphicData uri="http://schemas.openxmlformats.org/drawingml/2006/picture">
                      <pic:pic xmlns:pic="http://schemas.openxmlformats.org/drawingml/2006/picture">
                        <pic:nvPicPr>
                          <pic:cNvPr id="1781" name="Picture_13_SpCnt_60"/>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770" name="Picture_11_SpCnt_16"/>
                  <wp:cNvGraphicFramePr/>
                  <a:graphic xmlns:a="http://schemas.openxmlformats.org/drawingml/2006/main">
                    <a:graphicData uri="http://schemas.openxmlformats.org/drawingml/2006/picture">
                      <pic:pic xmlns:pic="http://schemas.openxmlformats.org/drawingml/2006/picture">
                        <pic:nvPicPr>
                          <pic:cNvPr id="1770" name="Picture_11_SpCnt_16"/>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60" name="Picture_13_SpCnt_61"/>
                  <wp:cNvGraphicFramePr/>
                  <a:graphic xmlns:a="http://schemas.openxmlformats.org/drawingml/2006/main">
                    <a:graphicData uri="http://schemas.openxmlformats.org/drawingml/2006/picture">
                      <pic:pic xmlns:pic="http://schemas.openxmlformats.org/drawingml/2006/picture">
                        <pic:nvPicPr>
                          <pic:cNvPr id="1760" name="Picture_13_SpCnt_61"/>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64" name="Picture_1_SpCnt_14"/>
                  <wp:cNvGraphicFramePr/>
                  <a:graphic xmlns:a="http://schemas.openxmlformats.org/drawingml/2006/main">
                    <a:graphicData uri="http://schemas.openxmlformats.org/drawingml/2006/picture">
                      <pic:pic xmlns:pic="http://schemas.openxmlformats.org/drawingml/2006/picture">
                        <pic:nvPicPr>
                          <pic:cNvPr id="1764" name="Picture_1_SpCnt_14"/>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82" name="Picture_12_SpCnt_32"/>
                  <wp:cNvGraphicFramePr/>
                  <a:graphic xmlns:a="http://schemas.openxmlformats.org/drawingml/2006/main">
                    <a:graphicData uri="http://schemas.openxmlformats.org/drawingml/2006/picture">
                      <pic:pic xmlns:pic="http://schemas.openxmlformats.org/drawingml/2006/picture">
                        <pic:nvPicPr>
                          <pic:cNvPr id="1782" name="Picture_12_SpCnt_3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78" name="Picture_1_SpCnt_15"/>
                  <wp:cNvGraphicFramePr/>
                  <a:graphic xmlns:a="http://schemas.openxmlformats.org/drawingml/2006/main">
                    <a:graphicData uri="http://schemas.openxmlformats.org/drawingml/2006/picture">
                      <pic:pic xmlns:pic="http://schemas.openxmlformats.org/drawingml/2006/picture">
                        <pic:nvPicPr>
                          <pic:cNvPr id="1778" name="Picture_1_SpCnt_15"/>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785" name="Picture_2_SpCnt_12"/>
                  <wp:cNvGraphicFramePr/>
                  <a:graphic xmlns:a="http://schemas.openxmlformats.org/drawingml/2006/main">
                    <a:graphicData uri="http://schemas.openxmlformats.org/drawingml/2006/picture">
                      <pic:pic xmlns:pic="http://schemas.openxmlformats.org/drawingml/2006/picture">
                        <pic:nvPicPr>
                          <pic:cNvPr id="1785" name="Picture_2_SpCnt_12"/>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80" name="Picture_10_SpCnt_15"/>
                  <wp:cNvGraphicFramePr/>
                  <a:graphic xmlns:a="http://schemas.openxmlformats.org/drawingml/2006/main">
                    <a:graphicData uri="http://schemas.openxmlformats.org/drawingml/2006/picture">
                      <pic:pic xmlns:pic="http://schemas.openxmlformats.org/drawingml/2006/picture">
                        <pic:nvPicPr>
                          <pic:cNvPr id="1780" name="Picture_10_SpCnt_15"/>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76" name="Picture_12_SpCnt_33"/>
                  <wp:cNvGraphicFramePr/>
                  <a:graphic xmlns:a="http://schemas.openxmlformats.org/drawingml/2006/main">
                    <a:graphicData uri="http://schemas.openxmlformats.org/drawingml/2006/picture">
                      <pic:pic xmlns:pic="http://schemas.openxmlformats.org/drawingml/2006/picture">
                        <pic:nvPicPr>
                          <pic:cNvPr id="1776" name="Picture_12_SpCnt_33"/>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769" name="Picture_2_SpCnt_13"/>
                  <wp:cNvGraphicFramePr/>
                  <a:graphic xmlns:a="http://schemas.openxmlformats.org/drawingml/2006/main">
                    <a:graphicData uri="http://schemas.openxmlformats.org/drawingml/2006/picture">
                      <pic:pic xmlns:pic="http://schemas.openxmlformats.org/drawingml/2006/picture">
                        <pic:nvPicPr>
                          <pic:cNvPr id="1769" name="Picture_2_SpCnt_13"/>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783" name="Picture_11_SpCnt_17"/>
                  <wp:cNvGraphicFramePr/>
                  <a:graphic xmlns:a="http://schemas.openxmlformats.org/drawingml/2006/main">
                    <a:graphicData uri="http://schemas.openxmlformats.org/drawingml/2006/picture">
                      <pic:pic xmlns:pic="http://schemas.openxmlformats.org/drawingml/2006/picture">
                        <pic:nvPicPr>
                          <pic:cNvPr id="1783" name="Picture_11_SpCnt_17"/>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84" name="Picture_12_SpCnt_34"/>
                  <wp:cNvGraphicFramePr/>
                  <a:graphic xmlns:a="http://schemas.openxmlformats.org/drawingml/2006/main">
                    <a:graphicData uri="http://schemas.openxmlformats.org/drawingml/2006/picture">
                      <pic:pic xmlns:pic="http://schemas.openxmlformats.org/drawingml/2006/picture">
                        <pic:nvPicPr>
                          <pic:cNvPr id="1784" name="Picture_12_SpCnt_34"/>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86" name="Picture_10_SpCnt_16"/>
                  <wp:cNvGraphicFramePr/>
                  <a:graphic xmlns:a="http://schemas.openxmlformats.org/drawingml/2006/main">
                    <a:graphicData uri="http://schemas.openxmlformats.org/drawingml/2006/picture">
                      <pic:pic xmlns:pic="http://schemas.openxmlformats.org/drawingml/2006/picture">
                        <pic:nvPicPr>
                          <pic:cNvPr id="1786" name="Picture_10_SpCnt_16"/>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57" name="Picture_13_SpCnt_62"/>
                  <wp:cNvGraphicFramePr/>
                  <a:graphic xmlns:a="http://schemas.openxmlformats.org/drawingml/2006/main">
                    <a:graphicData uri="http://schemas.openxmlformats.org/drawingml/2006/picture">
                      <pic:pic xmlns:pic="http://schemas.openxmlformats.org/drawingml/2006/picture">
                        <pic:nvPicPr>
                          <pic:cNvPr id="1757" name="Picture_13_SpCnt_6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87" name="Picture_1_SpCnt_16"/>
                  <wp:cNvGraphicFramePr/>
                  <a:graphic xmlns:a="http://schemas.openxmlformats.org/drawingml/2006/main">
                    <a:graphicData uri="http://schemas.openxmlformats.org/drawingml/2006/picture">
                      <pic:pic xmlns:pic="http://schemas.openxmlformats.org/drawingml/2006/picture">
                        <pic:nvPicPr>
                          <pic:cNvPr id="1787" name="Picture_1_SpCnt_16"/>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71" name="Picture_10_SpCnt_17"/>
                  <wp:cNvGraphicFramePr/>
                  <a:graphic xmlns:a="http://schemas.openxmlformats.org/drawingml/2006/main">
                    <a:graphicData uri="http://schemas.openxmlformats.org/drawingml/2006/picture">
                      <pic:pic xmlns:pic="http://schemas.openxmlformats.org/drawingml/2006/picture">
                        <pic:nvPicPr>
                          <pic:cNvPr id="1771" name="Picture_10_SpCnt_17"/>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765" name="Picture_11_SpCnt_18"/>
                  <wp:cNvGraphicFramePr/>
                  <a:graphic xmlns:a="http://schemas.openxmlformats.org/drawingml/2006/main">
                    <a:graphicData uri="http://schemas.openxmlformats.org/drawingml/2006/picture">
                      <pic:pic xmlns:pic="http://schemas.openxmlformats.org/drawingml/2006/picture">
                        <pic:nvPicPr>
                          <pic:cNvPr id="1765" name="Picture_11_SpCnt_18"/>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61" name="Picture_10_SpCnt_18"/>
                  <wp:cNvGraphicFramePr/>
                  <a:graphic xmlns:a="http://schemas.openxmlformats.org/drawingml/2006/main">
                    <a:graphicData uri="http://schemas.openxmlformats.org/drawingml/2006/picture">
                      <pic:pic xmlns:pic="http://schemas.openxmlformats.org/drawingml/2006/picture">
                        <pic:nvPicPr>
                          <pic:cNvPr id="1761" name="Picture_10_SpCnt_18"/>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62" name="Picture_13_SpCnt_63"/>
                  <wp:cNvGraphicFramePr/>
                  <a:graphic xmlns:a="http://schemas.openxmlformats.org/drawingml/2006/main">
                    <a:graphicData uri="http://schemas.openxmlformats.org/drawingml/2006/picture">
                      <pic:pic xmlns:pic="http://schemas.openxmlformats.org/drawingml/2006/picture">
                        <pic:nvPicPr>
                          <pic:cNvPr id="1762" name="Picture_13_SpCnt_63"/>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58" name="Picture_1_SpCnt_17"/>
                  <wp:cNvGraphicFramePr/>
                  <a:graphic xmlns:a="http://schemas.openxmlformats.org/drawingml/2006/main">
                    <a:graphicData uri="http://schemas.openxmlformats.org/drawingml/2006/picture">
                      <pic:pic xmlns:pic="http://schemas.openxmlformats.org/drawingml/2006/picture">
                        <pic:nvPicPr>
                          <pic:cNvPr id="1758" name="Picture_1_SpCnt_17"/>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88" name="Picture_12_SpCnt_35"/>
                  <wp:cNvGraphicFramePr/>
                  <a:graphic xmlns:a="http://schemas.openxmlformats.org/drawingml/2006/main">
                    <a:graphicData uri="http://schemas.openxmlformats.org/drawingml/2006/picture">
                      <pic:pic xmlns:pic="http://schemas.openxmlformats.org/drawingml/2006/picture">
                        <pic:nvPicPr>
                          <pic:cNvPr id="1788" name="Picture_12_SpCnt_35"/>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59" name="Picture_12_SpCnt_36"/>
                  <wp:cNvGraphicFramePr/>
                  <a:graphic xmlns:a="http://schemas.openxmlformats.org/drawingml/2006/main">
                    <a:graphicData uri="http://schemas.openxmlformats.org/drawingml/2006/picture">
                      <pic:pic xmlns:pic="http://schemas.openxmlformats.org/drawingml/2006/picture">
                        <pic:nvPicPr>
                          <pic:cNvPr id="1759" name="Picture_12_SpCnt_36"/>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63" name="Picture_13_SpCnt_64"/>
                  <wp:cNvGraphicFramePr/>
                  <a:graphic xmlns:a="http://schemas.openxmlformats.org/drawingml/2006/main">
                    <a:graphicData uri="http://schemas.openxmlformats.org/drawingml/2006/picture">
                      <pic:pic xmlns:pic="http://schemas.openxmlformats.org/drawingml/2006/picture">
                        <pic:nvPicPr>
                          <pic:cNvPr id="1763" name="Picture_13_SpCnt_64"/>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66" name="Picture_1_SpCnt_18"/>
                  <wp:cNvGraphicFramePr/>
                  <a:graphic xmlns:a="http://schemas.openxmlformats.org/drawingml/2006/main">
                    <a:graphicData uri="http://schemas.openxmlformats.org/drawingml/2006/picture">
                      <pic:pic xmlns:pic="http://schemas.openxmlformats.org/drawingml/2006/picture">
                        <pic:nvPicPr>
                          <pic:cNvPr id="1766" name="Picture_1_SpCnt_18"/>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767" name="Picture_11_SpCnt_19"/>
                  <wp:cNvGraphicFramePr/>
                  <a:graphic xmlns:a="http://schemas.openxmlformats.org/drawingml/2006/main">
                    <a:graphicData uri="http://schemas.openxmlformats.org/drawingml/2006/picture">
                      <pic:pic xmlns:pic="http://schemas.openxmlformats.org/drawingml/2006/picture">
                        <pic:nvPicPr>
                          <pic:cNvPr id="1767" name="Picture_11_SpCnt_19"/>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68" name="Picture_13_SpCnt_65"/>
                  <wp:cNvGraphicFramePr/>
                  <a:graphic xmlns:a="http://schemas.openxmlformats.org/drawingml/2006/main">
                    <a:graphicData uri="http://schemas.openxmlformats.org/drawingml/2006/picture">
                      <pic:pic xmlns:pic="http://schemas.openxmlformats.org/drawingml/2006/picture">
                        <pic:nvPicPr>
                          <pic:cNvPr id="1768" name="Picture_13_SpCnt_65"/>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772" name="Picture_2_SpCnt_14"/>
                  <wp:cNvGraphicFramePr/>
                  <a:graphic xmlns:a="http://schemas.openxmlformats.org/drawingml/2006/main">
                    <a:graphicData uri="http://schemas.openxmlformats.org/drawingml/2006/picture">
                      <pic:pic xmlns:pic="http://schemas.openxmlformats.org/drawingml/2006/picture">
                        <pic:nvPicPr>
                          <pic:cNvPr id="1772" name="Picture_2_SpCnt_14"/>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73" name="Picture_10_SpCnt_19"/>
                  <wp:cNvGraphicFramePr/>
                  <a:graphic xmlns:a="http://schemas.openxmlformats.org/drawingml/2006/main">
                    <a:graphicData uri="http://schemas.openxmlformats.org/drawingml/2006/picture">
                      <pic:pic xmlns:pic="http://schemas.openxmlformats.org/drawingml/2006/picture">
                        <pic:nvPicPr>
                          <pic:cNvPr id="1773" name="Picture_10_SpCnt_19"/>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74" name="Picture_1_SpCnt_19"/>
                  <wp:cNvGraphicFramePr/>
                  <a:graphic xmlns:a="http://schemas.openxmlformats.org/drawingml/2006/main">
                    <a:graphicData uri="http://schemas.openxmlformats.org/drawingml/2006/picture">
                      <pic:pic xmlns:pic="http://schemas.openxmlformats.org/drawingml/2006/picture">
                        <pic:nvPicPr>
                          <pic:cNvPr id="1774" name="Picture_1_SpCnt_19"/>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75" name="Picture_12_SpCnt_37"/>
                  <wp:cNvGraphicFramePr/>
                  <a:graphic xmlns:a="http://schemas.openxmlformats.org/drawingml/2006/main">
                    <a:graphicData uri="http://schemas.openxmlformats.org/drawingml/2006/picture">
                      <pic:pic xmlns:pic="http://schemas.openxmlformats.org/drawingml/2006/picture">
                        <pic:nvPicPr>
                          <pic:cNvPr id="1775" name="Picture_12_SpCnt_37"/>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15" name="Picture_13_SpCnt_66"/>
                  <wp:cNvGraphicFramePr/>
                  <a:graphic xmlns:a="http://schemas.openxmlformats.org/drawingml/2006/main">
                    <a:graphicData uri="http://schemas.openxmlformats.org/drawingml/2006/picture">
                      <pic:pic xmlns:pic="http://schemas.openxmlformats.org/drawingml/2006/picture">
                        <pic:nvPicPr>
                          <pic:cNvPr id="1815" name="Picture_13_SpCnt_66"/>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97" name="Picture_13_SpCnt_67"/>
                  <wp:cNvGraphicFramePr/>
                  <a:graphic xmlns:a="http://schemas.openxmlformats.org/drawingml/2006/main">
                    <a:graphicData uri="http://schemas.openxmlformats.org/drawingml/2006/picture">
                      <pic:pic xmlns:pic="http://schemas.openxmlformats.org/drawingml/2006/picture">
                        <pic:nvPicPr>
                          <pic:cNvPr id="1797" name="Picture_13_SpCnt_67"/>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91" name="Picture_13_SpCnt_68"/>
                  <wp:cNvGraphicFramePr/>
                  <a:graphic xmlns:a="http://schemas.openxmlformats.org/drawingml/2006/main">
                    <a:graphicData uri="http://schemas.openxmlformats.org/drawingml/2006/picture">
                      <pic:pic xmlns:pic="http://schemas.openxmlformats.org/drawingml/2006/picture">
                        <pic:nvPicPr>
                          <pic:cNvPr id="1791" name="Picture_13_SpCnt_68"/>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790" name="Picture_11_SpCnt_20"/>
                  <wp:cNvGraphicFramePr/>
                  <a:graphic xmlns:a="http://schemas.openxmlformats.org/drawingml/2006/main">
                    <a:graphicData uri="http://schemas.openxmlformats.org/drawingml/2006/picture">
                      <pic:pic xmlns:pic="http://schemas.openxmlformats.org/drawingml/2006/picture">
                        <pic:nvPicPr>
                          <pic:cNvPr id="1790" name="Picture_11_SpCnt_20"/>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92" name="Picture_13_SpCnt_69"/>
                  <wp:cNvGraphicFramePr/>
                  <a:graphic xmlns:a="http://schemas.openxmlformats.org/drawingml/2006/main">
                    <a:graphicData uri="http://schemas.openxmlformats.org/drawingml/2006/picture">
                      <pic:pic xmlns:pic="http://schemas.openxmlformats.org/drawingml/2006/picture">
                        <pic:nvPicPr>
                          <pic:cNvPr id="1792" name="Picture_13_SpCnt_69"/>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93" name="Picture_1_SpCnt_20"/>
                  <wp:cNvGraphicFramePr/>
                  <a:graphic xmlns:a="http://schemas.openxmlformats.org/drawingml/2006/main">
                    <a:graphicData uri="http://schemas.openxmlformats.org/drawingml/2006/picture">
                      <pic:pic xmlns:pic="http://schemas.openxmlformats.org/drawingml/2006/picture">
                        <pic:nvPicPr>
                          <pic:cNvPr id="1793" name="Picture_1_SpCnt_20"/>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98" name="Picture_12_SpCnt_38"/>
                  <wp:cNvGraphicFramePr/>
                  <a:graphic xmlns:a="http://schemas.openxmlformats.org/drawingml/2006/main">
                    <a:graphicData uri="http://schemas.openxmlformats.org/drawingml/2006/picture">
                      <pic:pic xmlns:pic="http://schemas.openxmlformats.org/drawingml/2006/picture">
                        <pic:nvPicPr>
                          <pic:cNvPr id="1798" name="Picture_12_SpCnt_38"/>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01" name="Picture_1_SpCnt_21"/>
                  <wp:cNvGraphicFramePr/>
                  <a:graphic xmlns:a="http://schemas.openxmlformats.org/drawingml/2006/main">
                    <a:graphicData uri="http://schemas.openxmlformats.org/drawingml/2006/picture">
                      <pic:pic xmlns:pic="http://schemas.openxmlformats.org/drawingml/2006/picture">
                        <pic:nvPicPr>
                          <pic:cNvPr id="1801" name="Picture_1_SpCnt_21"/>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810" name="Picture_2_SpCnt_15"/>
                  <wp:cNvGraphicFramePr/>
                  <a:graphic xmlns:a="http://schemas.openxmlformats.org/drawingml/2006/main">
                    <a:graphicData uri="http://schemas.openxmlformats.org/drawingml/2006/picture">
                      <pic:pic xmlns:pic="http://schemas.openxmlformats.org/drawingml/2006/picture">
                        <pic:nvPicPr>
                          <pic:cNvPr id="1810" name="Picture_2_SpCnt_15"/>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16" name="Picture_10_SpCnt_20"/>
                  <wp:cNvGraphicFramePr/>
                  <a:graphic xmlns:a="http://schemas.openxmlformats.org/drawingml/2006/main">
                    <a:graphicData uri="http://schemas.openxmlformats.org/drawingml/2006/picture">
                      <pic:pic xmlns:pic="http://schemas.openxmlformats.org/drawingml/2006/picture">
                        <pic:nvPicPr>
                          <pic:cNvPr id="1816" name="Picture_10_SpCnt_20"/>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94" name="Picture_12_SpCnt_39"/>
                  <wp:cNvGraphicFramePr/>
                  <a:graphic xmlns:a="http://schemas.openxmlformats.org/drawingml/2006/main">
                    <a:graphicData uri="http://schemas.openxmlformats.org/drawingml/2006/picture">
                      <pic:pic xmlns:pic="http://schemas.openxmlformats.org/drawingml/2006/picture">
                        <pic:nvPicPr>
                          <pic:cNvPr id="1794" name="Picture_12_SpCnt_39"/>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813" name="Picture_2_SpCnt_16"/>
                  <wp:cNvGraphicFramePr/>
                  <a:graphic xmlns:a="http://schemas.openxmlformats.org/drawingml/2006/main">
                    <a:graphicData uri="http://schemas.openxmlformats.org/drawingml/2006/picture">
                      <pic:pic xmlns:pic="http://schemas.openxmlformats.org/drawingml/2006/picture">
                        <pic:nvPicPr>
                          <pic:cNvPr id="1813" name="Picture_2_SpCnt_16"/>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795" name="Picture_11_SpCnt_21"/>
                  <wp:cNvGraphicFramePr/>
                  <a:graphic xmlns:a="http://schemas.openxmlformats.org/drawingml/2006/main">
                    <a:graphicData uri="http://schemas.openxmlformats.org/drawingml/2006/picture">
                      <pic:pic xmlns:pic="http://schemas.openxmlformats.org/drawingml/2006/picture">
                        <pic:nvPicPr>
                          <pic:cNvPr id="1795" name="Picture_11_SpCnt_21"/>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96" name="Picture_12_SpCnt_40"/>
                  <wp:cNvGraphicFramePr/>
                  <a:graphic xmlns:a="http://schemas.openxmlformats.org/drawingml/2006/main">
                    <a:graphicData uri="http://schemas.openxmlformats.org/drawingml/2006/picture">
                      <pic:pic xmlns:pic="http://schemas.openxmlformats.org/drawingml/2006/picture">
                        <pic:nvPicPr>
                          <pic:cNvPr id="1796" name="Picture_12_SpCnt_40"/>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99" name="Picture_10_SpCnt_21"/>
                  <wp:cNvGraphicFramePr/>
                  <a:graphic xmlns:a="http://schemas.openxmlformats.org/drawingml/2006/main">
                    <a:graphicData uri="http://schemas.openxmlformats.org/drawingml/2006/picture">
                      <pic:pic xmlns:pic="http://schemas.openxmlformats.org/drawingml/2006/picture">
                        <pic:nvPicPr>
                          <pic:cNvPr id="1799" name="Picture_10_SpCnt_21"/>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17" name="Picture_13_SpCnt_70"/>
                  <wp:cNvGraphicFramePr/>
                  <a:graphic xmlns:a="http://schemas.openxmlformats.org/drawingml/2006/main">
                    <a:graphicData uri="http://schemas.openxmlformats.org/drawingml/2006/picture">
                      <pic:pic xmlns:pic="http://schemas.openxmlformats.org/drawingml/2006/picture">
                        <pic:nvPicPr>
                          <pic:cNvPr id="1817" name="Picture_13_SpCnt_70"/>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00" name="Picture_1_SpCnt_22"/>
                  <wp:cNvGraphicFramePr/>
                  <a:graphic xmlns:a="http://schemas.openxmlformats.org/drawingml/2006/main">
                    <a:graphicData uri="http://schemas.openxmlformats.org/drawingml/2006/picture">
                      <pic:pic xmlns:pic="http://schemas.openxmlformats.org/drawingml/2006/picture">
                        <pic:nvPicPr>
                          <pic:cNvPr id="1800" name="Picture_1_SpCnt_2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02" name="Picture_13_SpCnt_71"/>
                  <wp:cNvGraphicFramePr/>
                  <a:graphic xmlns:a="http://schemas.openxmlformats.org/drawingml/2006/main">
                    <a:graphicData uri="http://schemas.openxmlformats.org/drawingml/2006/picture">
                      <pic:pic xmlns:pic="http://schemas.openxmlformats.org/drawingml/2006/picture">
                        <pic:nvPicPr>
                          <pic:cNvPr id="1802" name="Picture_13_SpCnt_71"/>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1808" name="Picture_12_SpCnt_41"/>
                  <wp:cNvGraphicFramePr/>
                  <a:graphic xmlns:a="http://schemas.openxmlformats.org/drawingml/2006/main">
                    <a:graphicData uri="http://schemas.openxmlformats.org/drawingml/2006/picture">
                      <pic:pic xmlns:pic="http://schemas.openxmlformats.org/drawingml/2006/picture">
                        <pic:nvPicPr>
                          <pic:cNvPr id="1808" name="Picture_12_SpCnt_41"/>
                          <pic:cNvPicPr/>
                        </pic:nvPicPr>
                        <pic:blipFill>
                          <a:blip r:embed="rId33"/>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18" name="Picture_13_SpCnt_72"/>
                  <wp:cNvGraphicFramePr/>
                  <a:graphic xmlns:a="http://schemas.openxmlformats.org/drawingml/2006/main">
                    <a:graphicData uri="http://schemas.openxmlformats.org/drawingml/2006/picture">
                      <pic:pic xmlns:pic="http://schemas.openxmlformats.org/drawingml/2006/picture">
                        <pic:nvPicPr>
                          <pic:cNvPr id="1818" name="Picture_13_SpCnt_7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03" name="Picture_13_SpCnt_73"/>
                  <wp:cNvGraphicFramePr/>
                  <a:graphic xmlns:a="http://schemas.openxmlformats.org/drawingml/2006/main">
                    <a:graphicData uri="http://schemas.openxmlformats.org/drawingml/2006/picture">
                      <pic:pic xmlns:pic="http://schemas.openxmlformats.org/drawingml/2006/picture">
                        <pic:nvPicPr>
                          <pic:cNvPr id="1803" name="Picture_13_SpCnt_73"/>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04" name="Picture_12_SpCnt_42"/>
                  <wp:cNvGraphicFramePr/>
                  <a:graphic xmlns:a="http://schemas.openxmlformats.org/drawingml/2006/main">
                    <a:graphicData uri="http://schemas.openxmlformats.org/drawingml/2006/picture">
                      <pic:pic xmlns:pic="http://schemas.openxmlformats.org/drawingml/2006/picture">
                        <pic:nvPicPr>
                          <pic:cNvPr id="1804" name="Picture_12_SpCnt_4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19" name="Picture_12_SpCnt_43"/>
                  <wp:cNvGraphicFramePr/>
                  <a:graphic xmlns:a="http://schemas.openxmlformats.org/drawingml/2006/main">
                    <a:graphicData uri="http://schemas.openxmlformats.org/drawingml/2006/picture">
                      <pic:pic xmlns:pic="http://schemas.openxmlformats.org/drawingml/2006/picture">
                        <pic:nvPicPr>
                          <pic:cNvPr id="1819" name="Picture_12_SpCnt_43"/>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05" name="Picture_12_SpCnt_44"/>
                  <wp:cNvGraphicFramePr/>
                  <a:graphic xmlns:a="http://schemas.openxmlformats.org/drawingml/2006/main">
                    <a:graphicData uri="http://schemas.openxmlformats.org/drawingml/2006/picture">
                      <pic:pic xmlns:pic="http://schemas.openxmlformats.org/drawingml/2006/picture">
                        <pic:nvPicPr>
                          <pic:cNvPr id="1805" name="Picture_12_SpCnt_44"/>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12" name="Picture_13_SpCnt_74"/>
                  <wp:cNvGraphicFramePr/>
                  <a:graphic xmlns:a="http://schemas.openxmlformats.org/drawingml/2006/main">
                    <a:graphicData uri="http://schemas.openxmlformats.org/drawingml/2006/picture">
                      <pic:pic xmlns:pic="http://schemas.openxmlformats.org/drawingml/2006/picture">
                        <pic:nvPicPr>
                          <pic:cNvPr id="1812" name="Picture_13_SpCnt_74"/>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06" name="Picture_12_SpCnt_45"/>
                  <wp:cNvGraphicFramePr/>
                  <a:graphic xmlns:a="http://schemas.openxmlformats.org/drawingml/2006/main">
                    <a:graphicData uri="http://schemas.openxmlformats.org/drawingml/2006/picture">
                      <pic:pic xmlns:pic="http://schemas.openxmlformats.org/drawingml/2006/picture">
                        <pic:nvPicPr>
                          <pic:cNvPr id="1806" name="Picture_12_SpCnt_45"/>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09" name="Picture_13_SpCnt_75"/>
                  <wp:cNvGraphicFramePr/>
                  <a:graphic xmlns:a="http://schemas.openxmlformats.org/drawingml/2006/main">
                    <a:graphicData uri="http://schemas.openxmlformats.org/drawingml/2006/picture">
                      <pic:pic xmlns:pic="http://schemas.openxmlformats.org/drawingml/2006/picture">
                        <pic:nvPicPr>
                          <pic:cNvPr id="1809" name="Picture_13_SpCnt_75"/>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1814" name="Picture_11_SpCnt_22"/>
                  <wp:cNvGraphicFramePr/>
                  <a:graphic xmlns:a="http://schemas.openxmlformats.org/drawingml/2006/main">
                    <a:graphicData uri="http://schemas.openxmlformats.org/drawingml/2006/picture">
                      <pic:pic xmlns:pic="http://schemas.openxmlformats.org/drawingml/2006/picture">
                        <pic:nvPicPr>
                          <pic:cNvPr id="1814" name="Picture_11_SpCnt_22"/>
                          <pic:cNvPicPr/>
                        </pic:nvPicPr>
                        <pic:blipFill>
                          <a:blip r:embed="rId33"/>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1807" name="Picture_12_SpCnt_46"/>
                  <wp:cNvGraphicFramePr/>
                  <a:graphic xmlns:a="http://schemas.openxmlformats.org/drawingml/2006/main">
                    <a:graphicData uri="http://schemas.openxmlformats.org/drawingml/2006/picture">
                      <pic:pic xmlns:pic="http://schemas.openxmlformats.org/drawingml/2006/picture">
                        <pic:nvPicPr>
                          <pic:cNvPr id="1807" name="Picture_12_SpCnt_46"/>
                          <pic:cNvPicPr/>
                        </pic:nvPicPr>
                        <pic:blipFill>
                          <a:blip r:embed="rId33"/>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1811" name="Picture_11_SpCnt_23"/>
                  <wp:cNvGraphicFramePr/>
                  <a:graphic xmlns:a="http://schemas.openxmlformats.org/drawingml/2006/main">
                    <a:graphicData uri="http://schemas.openxmlformats.org/drawingml/2006/picture">
                      <pic:pic xmlns:pic="http://schemas.openxmlformats.org/drawingml/2006/picture">
                        <pic:nvPicPr>
                          <pic:cNvPr id="1811" name="Picture_11_SpCnt_23"/>
                          <pic:cNvPicPr/>
                        </pic:nvPicPr>
                        <pic:blipFill>
                          <a:blip r:embed="rId33"/>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20" name="Picture_10_SpCnt_22"/>
                  <wp:cNvGraphicFramePr/>
                  <a:graphic xmlns:a="http://schemas.openxmlformats.org/drawingml/2006/main">
                    <a:graphicData uri="http://schemas.openxmlformats.org/drawingml/2006/picture">
                      <pic:pic xmlns:pic="http://schemas.openxmlformats.org/drawingml/2006/picture">
                        <pic:nvPicPr>
                          <pic:cNvPr id="1820" name="Picture_10_SpCnt_2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789" name="Picture_13_SpCnt_76"/>
                  <wp:cNvGraphicFramePr/>
                  <a:graphic xmlns:a="http://schemas.openxmlformats.org/drawingml/2006/main">
                    <a:graphicData uri="http://schemas.openxmlformats.org/drawingml/2006/picture">
                      <pic:pic xmlns:pic="http://schemas.openxmlformats.org/drawingml/2006/picture">
                        <pic:nvPicPr>
                          <pic:cNvPr id="1789" name="Picture_13_SpCnt_76"/>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40" name="Picture_13_SpCnt_77"/>
                  <wp:cNvGraphicFramePr/>
                  <a:graphic xmlns:a="http://schemas.openxmlformats.org/drawingml/2006/main">
                    <a:graphicData uri="http://schemas.openxmlformats.org/drawingml/2006/picture">
                      <pic:pic xmlns:pic="http://schemas.openxmlformats.org/drawingml/2006/picture">
                        <pic:nvPicPr>
                          <pic:cNvPr id="1840" name="Picture_13_SpCnt_77"/>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28" name="Picture_12_SpCnt_47"/>
                  <wp:cNvGraphicFramePr/>
                  <a:graphic xmlns:a="http://schemas.openxmlformats.org/drawingml/2006/main">
                    <a:graphicData uri="http://schemas.openxmlformats.org/drawingml/2006/picture">
                      <pic:pic xmlns:pic="http://schemas.openxmlformats.org/drawingml/2006/picture">
                        <pic:nvPicPr>
                          <pic:cNvPr id="1828" name="Picture_12_SpCnt_47"/>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48" name="Picture_13_SpCnt_78"/>
                  <wp:cNvGraphicFramePr/>
                  <a:graphic xmlns:a="http://schemas.openxmlformats.org/drawingml/2006/main">
                    <a:graphicData uri="http://schemas.openxmlformats.org/drawingml/2006/picture">
                      <pic:pic xmlns:pic="http://schemas.openxmlformats.org/drawingml/2006/picture">
                        <pic:nvPicPr>
                          <pic:cNvPr id="1848" name="Picture_13_SpCnt_78"/>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23" name="Picture_13_SpCnt_79"/>
                  <wp:cNvGraphicFramePr/>
                  <a:graphic xmlns:a="http://schemas.openxmlformats.org/drawingml/2006/main">
                    <a:graphicData uri="http://schemas.openxmlformats.org/drawingml/2006/picture">
                      <pic:pic xmlns:pic="http://schemas.openxmlformats.org/drawingml/2006/picture">
                        <pic:nvPicPr>
                          <pic:cNvPr id="1823" name="Picture_13_SpCnt_79"/>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1841" name="Picture_13_SpCnt_80"/>
                  <wp:cNvGraphicFramePr/>
                  <a:graphic xmlns:a="http://schemas.openxmlformats.org/drawingml/2006/main">
                    <a:graphicData uri="http://schemas.openxmlformats.org/drawingml/2006/picture">
                      <pic:pic xmlns:pic="http://schemas.openxmlformats.org/drawingml/2006/picture">
                        <pic:nvPicPr>
                          <pic:cNvPr id="1841" name="Picture_13_SpCnt_80"/>
                          <pic:cNvPicPr/>
                        </pic:nvPicPr>
                        <pic:blipFill>
                          <a:blip r:embed="rId35"/>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1833" name="Picture_13_SpCnt_81"/>
                  <wp:cNvGraphicFramePr/>
                  <a:graphic xmlns:a="http://schemas.openxmlformats.org/drawingml/2006/main">
                    <a:graphicData uri="http://schemas.openxmlformats.org/drawingml/2006/picture">
                      <pic:pic xmlns:pic="http://schemas.openxmlformats.org/drawingml/2006/picture">
                        <pic:nvPicPr>
                          <pic:cNvPr id="1833" name="Picture_13_SpCnt_81"/>
                          <pic:cNvPicPr/>
                        </pic:nvPicPr>
                        <pic:blipFill>
                          <a:blip r:embed="rId35"/>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50" name="Picture_13_SpCnt_82"/>
                  <wp:cNvGraphicFramePr/>
                  <a:graphic xmlns:a="http://schemas.openxmlformats.org/drawingml/2006/main">
                    <a:graphicData uri="http://schemas.openxmlformats.org/drawingml/2006/picture">
                      <pic:pic xmlns:pic="http://schemas.openxmlformats.org/drawingml/2006/picture">
                        <pic:nvPicPr>
                          <pic:cNvPr id="1850" name="Picture_13_SpCnt_8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49" name="Picture_13_SpCnt_83"/>
                  <wp:cNvGraphicFramePr/>
                  <a:graphic xmlns:a="http://schemas.openxmlformats.org/drawingml/2006/main">
                    <a:graphicData uri="http://schemas.openxmlformats.org/drawingml/2006/picture">
                      <pic:pic xmlns:pic="http://schemas.openxmlformats.org/drawingml/2006/picture">
                        <pic:nvPicPr>
                          <pic:cNvPr id="1849" name="Picture_13_SpCnt_83"/>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43" name="Picture_13_SpCnt_84"/>
                  <wp:cNvGraphicFramePr/>
                  <a:graphic xmlns:a="http://schemas.openxmlformats.org/drawingml/2006/main">
                    <a:graphicData uri="http://schemas.openxmlformats.org/drawingml/2006/picture">
                      <pic:pic xmlns:pic="http://schemas.openxmlformats.org/drawingml/2006/picture">
                        <pic:nvPicPr>
                          <pic:cNvPr id="1843" name="Picture_13_SpCnt_84"/>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34" name="Picture_13_SpCnt_85"/>
                  <wp:cNvGraphicFramePr/>
                  <a:graphic xmlns:a="http://schemas.openxmlformats.org/drawingml/2006/main">
                    <a:graphicData uri="http://schemas.openxmlformats.org/drawingml/2006/picture">
                      <pic:pic xmlns:pic="http://schemas.openxmlformats.org/drawingml/2006/picture">
                        <pic:nvPicPr>
                          <pic:cNvPr id="1834" name="Picture_13_SpCnt_85"/>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25" name="Picture_13_SpCnt_86"/>
                  <wp:cNvGraphicFramePr/>
                  <a:graphic xmlns:a="http://schemas.openxmlformats.org/drawingml/2006/main">
                    <a:graphicData uri="http://schemas.openxmlformats.org/drawingml/2006/picture">
                      <pic:pic xmlns:pic="http://schemas.openxmlformats.org/drawingml/2006/picture">
                        <pic:nvPicPr>
                          <pic:cNvPr id="1825" name="Picture_13_SpCnt_86"/>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42" name="Picture_12_SpCnt_48"/>
                  <wp:cNvGraphicFramePr/>
                  <a:graphic xmlns:a="http://schemas.openxmlformats.org/drawingml/2006/main">
                    <a:graphicData uri="http://schemas.openxmlformats.org/drawingml/2006/picture">
                      <pic:pic xmlns:pic="http://schemas.openxmlformats.org/drawingml/2006/picture">
                        <pic:nvPicPr>
                          <pic:cNvPr id="1842" name="Picture_12_SpCnt_48"/>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35" name="Picture_13_SpCnt_87"/>
                  <wp:cNvGraphicFramePr/>
                  <a:graphic xmlns:a="http://schemas.openxmlformats.org/drawingml/2006/main">
                    <a:graphicData uri="http://schemas.openxmlformats.org/drawingml/2006/picture">
                      <pic:pic xmlns:pic="http://schemas.openxmlformats.org/drawingml/2006/picture">
                        <pic:nvPicPr>
                          <pic:cNvPr id="1835" name="Picture_13_SpCnt_87"/>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44" name="Picture_13_SpCnt_88"/>
                  <wp:cNvGraphicFramePr/>
                  <a:graphic xmlns:a="http://schemas.openxmlformats.org/drawingml/2006/main">
                    <a:graphicData uri="http://schemas.openxmlformats.org/drawingml/2006/picture">
                      <pic:pic xmlns:pic="http://schemas.openxmlformats.org/drawingml/2006/picture">
                        <pic:nvPicPr>
                          <pic:cNvPr id="1844" name="Picture_13_SpCnt_88"/>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51" name="Picture_13_SpCnt_89"/>
                  <wp:cNvGraphicFramePr/>
                  <a:graphic xmlns:a="http://schemas.openxmlformats.org/drawingml/2006/main">
                    <a:graphicData uri="http://schemas.openxmlformats.org/drawingml/2006/picture">
                      <pic:pic xmlns:pic="http://schemas.openxmlformats.org/drawingml/2006/picture">
                        <pic:nvPicPr>
                          <pic:cNvPr id="1851" name="Picture_13_SpCnt_89"/>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31" name="Picture_1_SpCnt_23"/>
                  <wp:cNvGraphicFramePr/>
                  <a:graphic xmlns:a="http://schemas.openxmlformats.org/drawingml/2006/main">
                    <a:graphicData uri="http://schemas.openxmlformats.org/drawingml/2006/picture">
                      <pic:pic xmlns:pic="http://schemas.openxmlformats.org/drawingml/2006/picture">
                        <pic:nvPicPr>
                          <pic:cNvPr id="1831" name="Picture_1_SpCnt_23"/>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52" name="Picture_10_SpCnt_23"/>
                  <wp:cNvGraphicFramePr/>
                  <a:graphic xmlns:a="http://schemas.openxmlformats.org/drawingml/2006/main">
                    <a:graphicData uri="http://schemas.openxmlformats.org/drawingml/2006/picture">
                      <pic:pic xmlns:pic="http://schemas.openxmlformats.org/drawingml/2006/picture">
                        <pic:nvPicPr>
                          <pic:cNvPr id="1852" name="Picture_10_SpCnt_23"/>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21" name="Picture_1_SpCnt_24"/>
                  <wp:cNvGraphicFramePr/>
                  <a:graphic xmlns:a="http://schemas.openxmlformats.org/drawingml/2006/main">
                    <a:graphicData uri="http://schemas.openxmlformats.org/drawingml/2006/picture">
                      <pic:pic xmlns:pic="http://schemas.openxmlformats.org/drawingml/2006/picture">
                        <pic:nvPicPr>
                          <pic:cNvPr id="1821" name="Picture_1_SpCnt_24"/>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822" name="Picture_2_SpCnt_17"/>
                  <wp:cNvGraphicFramePr/>
                  <a:graphic xmlns:a="http://schemas.openxmlformats.org/drawingml/2006/main">
                    <a:graphicData uri="http://schemas.openxmlformats.org/drawingml/2006/picture">
                      <pic:pic xmlns:pic="http://schemas.openxmlformats.org/drawingml/2006/picture">
                        <pic:nvPicPr>
                          <pic:cNvPr id="1822" name="Picture_2_SpCnt_17"/>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46" name="Picture_13_SpCnt_90"/>
                  <wp:cNvGraphicFramePr/>
                  <a:graphic xmlns:a="http://schemas.openxmlformats.org/drawingml/2006/main">
                    <a:graphicData uri="http://schemas.openxmlformats.org/drawingml/2006/picture">
                      <pic:pic xmlns:pic="http://schemas.openxmlformats.org/drawingml/2006/picture">
                        <pic:nvPicPr>
                          <pic:cNvPr id="1846" name="Picture_13_SpCnt_90"/>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1839" name="Picture_12_SpCnt_49"/>
                  <wp:cNvGraphicFramePr/>
                  <a:graphic xmlns:a="http://schemas.openxmlformats.org/drawingml/2006/main">
                    <a:graphicData uri="http://schemas.openxmlformats.org/drawingml/2006/picture">
                      <pic:pic xmlns:pic="http://schemas.openxmlformats.org/drawingml/2006/picture">
                        <pic:nvPicPr>
                          <pic:cNvPr id="1839" name="Picture_12_SpCnt_49"/>
                          <pic:cNvPicPr/>
                        </pic:nvPicPr>
                        <pic:blipFill>
                          <a:blip r:embed="rId33"/>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45" name="Picture_13_SpCnt_91"/>
                  <wp:cNvGraphicFramePr/>
                  <a:graphic xmlns:a="http://schemas.openxmlformats.org/drawingml/2006/main">
                    <a:graphicData uri="http://schemas.openxmlformats.org/drawingml/2006/picture">
                      <pic:pic xmlns:pic="http://schemas.openxmlformats.org/drawingml/2006/picture">
                        <pic:nvPicPr>
                          <pic:cNvPr id="1845" name="Picture_13_SpCnt_91"/>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9685"/>
                  <wp:effectExtent l="0" t="0" r="18415" b="8890"/>
                  <wp:wrapNone/>
                  <wp:docPr id="1836" name="Picture_11_SpCnt_24"/>
                  <wp:cNvGraphicFramePr/>
                  <a:graphic xmlns:a="http://schemas.openxmlformats.org/drawingml/2006/main">
                    <a:graphicData uri="http://schemas.openxmlformats.org/drawingml/2006/picture">
                      <pic:pic xmlns:pic="http://schemas.openxmlformats.org/drawingml/2006/picture">
                        <pic:nvPicPr>
                          <pic:cNvPr id="1836" name="Picture_11_SpCnt_24"/>
                          <pic:cNvPicPr/>
                        </pic:nvPicPr>
                        <pic:blipFill>
                          <a:blip r:embed="rId33"/>
                          <a:stretch>
                            <a:fillRect/>
                          </a:stretch>
                        </pic:blipFill>
                        <pic:spPr>
                          <a:xfrm>
                            <a:off x="0" y="0"/>
                            <a:ext cx="19685" cy="1968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30" name="Picture_10_SpCnt_24"/>
                  <wp:cNvGraphicFramePr/>
                  <a:graphic xmlns:a="http://schemas.openxmlformats.org/drawingml/2006/main">
                    <a:graphicData uri="http://schemas.openxmlformats.org/drawingml/2006/picture">
                      <pic:pic xmlns:pic="http://schemas.openxmlformats.org/drawingml/2006/picture">
                        <pic:nvPicPr>
                          <pic:cNvPr id="1830" name="Picture_10_SpCnt_24"/>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832" name="Picture_11_SpCnt_25"/>
                  <wp:cNvGraphicFramePr/>
                  <a:graphic xmlns:a="http://schemas.openxmlformats.org/drawingml/2006/main">
                    <a:graphicData uri="http://schemas.openxmlformats.org/drawingml/2006/picture">
                      <pic:pic xmlns:pic="http://schemas.openxmlformats.org/drawingml/2006/picture">
                        <pic:nvPicPr>
                          <pic:cNvPr id="1832" name="Picture_11_SpCnt_25"/>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47" name="Picture_12_SpCnt_50"/>
                  <wp:cNvGraphicFramePr/>
                  <a:graphic xmlns:a="http://schemas.openxmlformats.org/drawingml/2006/main">
                    <a:graphicData uri="http://schemas.openxmlformats.org/drawingml/2006/picture">
                      <pic:pic xmlns:pic="http://schemas.openxmlformats.org/drawingml/2006/picture">
                        <pic:nvPicPr>
                          <pic:cNvPr id="1847" name="Picture_12_SpCnt_50"/>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824" name="Picture_2_SpCnt_18"/>
                  <wp:cNvGraphicFramePr/>
                  <a:graphic xmlns:a="http://schemas.openxmlformats.org/drawingml/2006/main">
                    <a:graphicData uri="http://schemas.openxmlformats.org/drawingml/2006/picture">
                      <pic:pic xmlns:pic="http://schemas.openxmlformats.org/drawingml/2006/picture">
                        <pic:nvPicPr>
                          <pic:cNvPr id="1824" name="Picture_2_SpCnt_18"/>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826" name="Picture_11_SpCnt_26"/>
                  <wp:cNvGraphicFramePr/>
                  <a:graphic xmlns:a="http://schemas.openxmlformats.org/drawingml/2006/main">
                    <a:graphicData uri="http://schemas.openxmlformats.org/drawingml/2006/picture">
                      <pic:pic xmlns:pic="http://schemas.openxmlformats.org/drawingml/2006/picture">
                        <pic:nvPicPr>
                          <pic:cNvPr id="1826" name="Picture_11_SpCnt_26"/>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29" name="Picture_13_SpCnt_92"/>
                  <wp:cNvGraphicFramePr/>
                  <a:graphic xmlns:a="http://schemas.openxmlformats.org/drawingml/2006/main">
                    <a:graphicData uri="http://schemas.openxmlformats.org/drawingml/2006/picture">
                      <pic:pic xmlns:pic="http://schemas.openxmlformats.org/drawingml/2006/picture">
                        <pic:nvPicPr>
                          <pic:cNvPr id="1829" name="Picture_13_SpCnt_9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37" name="Picture_1_SpCnt_25"/>
                  <wp:cNvGraphicFramePr/>
                  <a:graphic xmlns:a="http://schemas.openxmlformats.org/drawingml/2006/main">
                    <a:graphicData uri="http://schemas.openxmlformats.org/drawingml/2006/picture">
                      <pic:pic xmlns:pic="http://schemas.openxmlformats.org/drawingml/2006/picture">
                        <pic:nvPicPr>
                          <pic:cNvPr id="1837" name="Picture_1_SpCnt_25"/>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27" name="Picture_12_SpCnt_51"/>
                  <wp:cNvGraphicFramePr/>
                  <a:graphic xmlns:a="http://schemas.openxmlformats.org/drawingml/2006/main">
                    <a:graphicData uri="http://schemas.openxmlformats.org/drawingml/2006/picture">
                      <pic:pic xmlns:pic="http://schemas.openxmlformats.org/drawingml/2006/picture">
                        <pic:nvPicPr>
                          <pic:cNvPr id="1827" name="Picture_12_SpCnt_51"/>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38" name="Picture_10_SpCnt_25"/>
                  <wp:cNvGraphicFramePr/>
                  <a:graphic xmlns:a="http://schemas.openxmlformats.org/drawingml/2006/main">
                    <a:graphicData uri="http://schemas.openxmlformats.org/drawingml/2006/picture">
                      <pic:pic xmlns:pic="http://schemas.openxmlformats.org/drawingml/2006/picture">
                        <pic:nvPicPr>
                          <pic:cNvPr id="1838" name="Picture_10_SpCnt_25"/>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78" name="Picture_1_SpCnt_26"/>
                  <wp:cNvGraphicFramePr/>
                  <a:graphic xmlns:a="http://schemas.openxmlformats.org/drawingml/2006/main">
                    <a:graphicData uri="http://schemas.openxmlformats.org/drawingml/2006/picture">
                      <pic:pic xmlns:pic="http://schemas.openxmlformats.org/drawingml/2006/picture">
                        <pic:nvPicPr>
                          <pic:cNvPr id="1878" name="Picture_1_SpCnt_26"/>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81" name="Picture_13_SpCnt_93"/>
                  <wp:cNvGraphicFramePr/>
                  <a:graphic xmlns:a="http://schemas.openxmlformats.org/drawingml/2006/main">
                    <a:graphicData uri="http://schemas.openxmlformats.org/drawingml/2006/picture">
                      <pic:pic xmlns:pic="http://schemas.openxmlformats.org/drawingml/2006/picture">
                        <pic:nvPicPr>
                          <pic:cNvPr id="1881" name="Picture_13_SpCnt_93"/>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872" name="Picture_11_SpCnt_27"/>
                  <wp:cNvGraphicFramePr/>
                  <a:graphic xmlns:a="http://schemas.openxmlformats.org/drawingml/2006/main">
                    <a:graphicData uri="http://schemas.openxmlformats.org/drawingml/2006/picture">
                      <pic:pic xmlns:pic="http://schemas.openxmlformats.org/drawingml/2006/picture">
                        <pic:nvPicPr>
                          <pic:cNvPr id="1872" name="Picture_11_SpCnt_27"/>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856" name="Picture_2_SpCnt_19"/>
                  <wp:cNvGraphicFramePr/>
                  <a:graphic xmlns:a="http://schemas.openxmlformats.org/drawingml/2006/main">
                    <a:graphicData uri="http://schemas.openxmlformats.org/drawingml/2006/picture">
                      <pic:pic xmlns:pic="http://schemas.openxmlformats.org/drawingml/2006/picture">
                        <pic:nvPicPr>
                          <pic:cNvPr id="1856" name="Picture_2_SpCnt_19"/>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876" name="Picture_11_SpCnt_28"/>
                  <wp:cNvGraphicFramePr/>
                  <a:graphic xmlns:a="http://schemas.openxmlformats.org/drawingml/2006/main">
                    <a:graphicData uri="http://schemas.openxmlformats.org/drawingml/2006/picture">
                      <pic:pic xmlns:pic="http://schemas.openxmlformats.org/drawingml/2006/picture">
                        <pic:nvPicPr>
                          <pic:cNvPr id="1876" name="Picture_11_SpCnt_28"/>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82" name="Picture_12_SpCnt_52"/>
                  <wp:cNvGraphicFramePr/>
                  <a:graphic xmlns:a="http://schemas.openxmlformats.org/drawingml/2006/main">
                    <a:graphicData uri="http://schemas.openxmlformats.org/drawingml/2006/picture">
                      <pic:pic xmlns:pic="http://schemas.openxmlformats.org/drawingml/2006/picture">
                        <pic:nvPicPr>
                          <pic:cNvPr id="1882" name="Picture_12_SpCnt_5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73" name="Picture_10_SpCnt_26"/>
                  <wp:cNvGraphicFramePr/>
                  <a:graphic xmlns:a="http://schemas.openxmlformats.org/drawingml/2006/main">
                    <a:graphicData uri="http://schemas.openxmlformats.org/drawingml/2006/picture">
                      <pic:pic xmlns:pic="http://schemas.openxmlformats.org/drawingml/2006/picture">
                        <pic:nvPicPr>
                          <pic:cNvPr id="1873" name="Picture_10_SpCnt_26"/>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83" name="Picture_12_SpCnt_53"/>
                  <wp:cNvGraphicFramePr/>
                  <a:graphic xmlns:a="http://schemas.openxmlformats.org/drawingml/2006/main">
                    <a:graphicData uri="http://schemas.openxmlformats.org/drawingml/2006/picture">
                      <pic:pic xmlns:pic="http://schemas.openxmlformats.org/drawingml/2006/picture">
                        <pic:nvPicPr>
                          <pic:cNvPr id="1883" name="Picture_12_SpCnt_53"/>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84" name="Picture_13_SpCnt_94"/>
                  <wp:cNvGraphicFramePr/>
                  <a:graphic xmlns:a="http://schemas.openxmlformats.org/drawingml/2006/main">
                    <a:graphicData uri="http://schemas.openxmlformats.org/drawingml/2006/picture">
                      <pic:pic xmlns:pic="http://schemas.openxmlformats.org/drawingml/2006/picture">
                        <pic:nvPicPr>
                          <pic:cNvPr id="1884" name="Picture_13_SpCnt_94"/>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57" name="Picture_1_SpCnt_27"/>
                  <wp:cNvGraphicFramePr/>
                  <a:graphic xmlns:a="http://schemas.openxmlformats.org/drawingml/2006/main">
                    <a:graphicData uri="http://schemas.openxmlformats.org/drawingml/2006/picture">
                      <pic:pic xmlns:pic="http://schemas.openxmlformats.org/drawingml/2006/picture">
                        <pic:nvPicPr>
                          <pic:cNvPr id="1857" name="Picture_1_SpCnt_27"/>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58" name="Picture_1_SpCnt_28"/>
                  <wp:cNvGraphicFramePr/>
                  <a:graphic xmlns:a="http://schemas.openxmlformats.org/drawingml/2006/main">
                    <a:graphicData uri="http://schemas.openxmlformats.org/drawingml/2006/picture">
                      <pic:pic xmlns:pic="http://schemas.openxmlformats.org/drawingml/2006/picture">
                        <pic:nvPicPr>
                          <pic:cNvPr id="1858" name="Picture_1_SpCnt_28"/>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54" name="Picture_13_SpCnt_95"/>
                  <wp:cNvGraphicFramePr/>
                  <a:graphic xmlns:a="http://schemas.openxmlformats.org/drawingml/2006/main">
                    <a:graphicData uri="http://schemas.openxmlformats.org/drawingml/2006/picture">
                      <pic:pic xmlns:pic="http://schemas.openxmlformats.org/drawingml/2006/picture">
                        <pic:nvPicPr>
                          <pic:cNvPr id="1854" name="Picture_13_SpCnt_95"/>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861" name="Picture_2_SpCnt_20"/>
                  <wp:cNvGraphicFramePr/>
                  <a:graphic xmlns:a="http://schemas.openxmlformats.org/drawingml/2006/main">
                    <a:graphicData uri="http://schemas.openxmlformats.org/drawingml/2006/picture">
                      <pic:pic xmlns:pic="http://schemas.openxmlformats.org/drawingml/2006/picture">
                        <pic:nvPicPr>
                          <pic:cNvPr id="1861" name="Picture_2_SpCnt_20"/>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64" name="Picture_10_SpCnt_27"/>
                  <wp:cNvGraphicFramePr/>
                  <a:graphic xmlns:a="http://schemas.openxmlformats.org/drawingml/2006/main">
                    <a:graphicData uri="http://schemas.openxmlformats.org/drawingml/2006/picture">
                      <pic:pic xmlns:pic="http://schemas.openxmlformats.org/drawingml/2006/picture">
                        <pic:nvPicPr>
                          <pic:cNvPr id="1864" name="Picture_10_SpCnt_27"/>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71" name="Picture_1_SpCnt_29"/>
                  <wp:cNvGraphicFramePr/>
                  <a:graphic xmlns:a="http://schemas.openxmlformats.org/drawingml/2006/main">
                    <a:graphicData uri="http://schemas.openxmlformats.org/drawingml/2006/picture">
                      <pic:pic xmlns:pic="http://schemas.openxmlformats.org/drawingml/2006/picture">
                        <pic:nvPicPr>
                          <pic:cNvPr id="1871" name="Picture_1_SpCnt_29"/>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53" name="Picture_10_SpCnt_28"/>
                  <wp:cNvGraphicFramePr/>
                  <a:graphic xmlns:a="http://schemas.openxmlformats.org/drawingml/2006/main">
                    <a:graphicData uri="http://schemas.openxmlformats.org/drawingml/2006/picture">
                      <pic:pic xmlns:pic="http://schemas.openxmlformats.org/drawingml/2006/picture">
                        <pic:nvPicPr>
                          <pic:cNvPr id="1853" name="Picture_10_SpCnt_28"/>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74" name="Picture_12_SpCnt_54"/>
                  <wp:cNvGraphicFramePr/>
                  <a:graphic xmlns:a="http://schemas.openxmlformats.org/drawingml/2006/main">
                    <a:graphicData uri="http://schemas.openxmlformats.org/drawingml/2006/picture">
                      <pic:pic xmlns:pic="http://schemas.openxmlformats.org/drawingml/2006/picture">
                        <pic:nvPicPr>
                          <pic:cNvPr id="1874" name="Picture_12_SpCnt_54"/>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877" name="Picture_2_SpCnt_21"/>
                  <wp:cNvGraphicFramePr/>
                  <a:graphic xmlns:a="http://schemas.openxmlformats.org/drawingml/2006/main">
                    <a:graphicData uri="http://schemas.openxmlformats.org/drawingml/2006/picture">
                      <pic:pic xmlns:pic="http://schemas.openxmlformats.org/drawingml/2006/picture">
                        <pic:nvPicPr>
                          <pic:cNvPr id="1877" name="Picture_2_SpCnt_21"/>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862" name="Picture_2_SpCnt_22"/>
                  <wp:cNvGraphicFramePr/>
                  <a:graphic xmlns:a="http://schemas.openxmlformats.org/drawingml/2006/main">
                    <a:graphicData uri="http://schemas.openxmlformats.org/drawingml/2006/picture">
                      <pic:pic xmlns:pic="http://schemas.openxmlformats.org/drawingml/2006/picture">
                        <pic:nvPicPr>
                          <pic:cNvPr id="1862" name="Picture_2_SpCnt_22"/>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80" name="Picture_13_SpCnt_96"/>
                  <wp:cNvGraphicFramePr/>
                  <a:graphic xmlns:a="http://schemas.openxmlformats.org/drawingml/2006/main">
                    <a:graphicData uri="http://schemas.openxmlformats.org/drawingml/2006/picture">
                      <pic:pic xmlns:pic="http://schemas.openxmlformats.org/drawingml/2006/picture">
                        <pic:nvPicPr>
                          <pic:cNvPr id="1880" name="Picture_13_SpCnt_96"/>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63" name="Picture_10_SpCnt_29"/>
                  <wp:cNvGraphicFramePr/>
                  <a:graphic xmlns:a="http://schemas.openxmlformats.org/drawingml/2006/main">
                    <a:graphicData uri="http://schemas.openxmlformats.org/drawingml/2006/picture">
                      <pic:pic xmlns:pic="http://schemas.openxmlformats.org/drawingml/2006/picture">
                        <pic:nvPicPr>
                          <pic:cNvPr id="1863" name="Picture_10_SpCnt_29"/>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59" name="Picture_12_SpCnt_55"/>
                  <wp:cNvGraphicFramePr/>
                  <a:graphic xmlns:a="http://schemas.openxmlformats.org/drawingml/2006/main">
                    <a:graphicData uri="http://schemas.openxmlformats.org/drawingml/2006/picture">
                      <pic:pic xmlns:pic="http://schemas.openxmlformats.org/drawingml/2006/picture">
                        <pic:nvPicPr>
                          <pic:cNvPr id="1859" name="Picture_12_SpCnt_55"/>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79" name="Picture_1_SpCnt_30"/>
                  <wp:cNvGraphicFramePr/>
                  <a:graphic xmlns:a="http://schemas.openxmlformats.org/drawingml/2006/main">
                    <a:graphicData uri="http://schemas.openxmlformats.org/drawingml/2006/picture">
                      <pic:pic xmlns:pic="http://schemas.openxmlformats.org/drawingml/2006/picture">
                        <pic:nvPicPr>
                          <pic:cNvPr id="1879" name="Picture_1_SpCnt_30"/>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75" name="Picture_10_SpCnt_30"/>
                  <wp:cNvGraphicFramePr/>
                  <a:graphic xmlns:a="http://schemas.openxmlformats.org/drawingml/2006/main">
                    <a:graphicData uri="http://schemas.openxmlformats.org/drawingml/2006/picture">
                      <pic:pic xmlns:pic="http://schemas.openxmlformats.org/drawingml/2006/picture">
                        <pic:nvPicPr>
                          <pic:cNvPr id="1875" name="Picture_10_SpCnt_30"/>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868" name="Picture_11_SpCnt_29"/>
                  <wp:cNvGraphicFramePr/>
                  <a:graphic xmlns:a="http://schemas.openxmlformats.org/drawingml/2006/main">
                    <a:graphicData uri="http://schemas.openxmlformats.org/drawingml/2006/picture">
                      <pic:pic xmlns:pic="http://schemas.openxmlformats.org/drawingml/2006/picture">
                        <pic:nvPicPr>
                          <pic:cNvPr id="1868" name="Picture_11_SpCnt_29"/>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55" name="Picture_12_SpCnt_56"/>
                  <wp:cNvGraphicFramePr/>
                  <a:graphic xmlns:a="http://schemas.openxmlformats.org/drawingml/2006/main">
                    <a:graphicData uri="http://schemas.openxmlformats.org/drawingml/2006/picture">
                      <pic:pic xmlns:pic="http://schemas.openxmlformats.org/drawingml/2006/picture">
                        <pic:nvPicPr>
                          <pic:cNvPr id="1855" name="Picture_12_SpCnt_56"/>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66" name="Picture_10_SpCnt_31"/>
                  <wp:cNvGraphicFramePr/>
                  <a:graphic xmlns:a="http://schemas.openxmlformats.org/drawingml/2006/main">
                    <a:graphicData uri="http://schemas.openxmlformats.org/drawingml/2006/picture">
                      <pic:pic xmlns:pic="http://schemas.openxmlformats.org/drawingml/2006/picture">
                        <pic:nvPicPr>
                          <pic:cNvPr id="1866" name="Picture_10_SpCnt_31"/>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860" name="Picture_11_SpCnt_30"/>
                  <wp:cNvGraphicFramePr/>
                  <a:graphic xmlns:a="http://schemas.openxmlformats.org/drawingml/2006/main">
                    <a:graphicData uri="http://schemas.openxmlformats.org/drawingml/2006/picture">
                      <pic:pic xmlns:pic="http://schemas.openxmlformats.org/drawingml/2006/picture">
                        <pic:nvPicPr>
                          <pic:cNvPr id="1860" name="Picture_11_SpCnt_30"/>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70" name="Picture_13_SpCnt_97"/>
                  <wp:cNvGraphicFramePr/>
                  <a:graphic xmlns:a="http://schemas.openxmlformats.org/drawingml/2006/main">
                    <a:graphicData uri="http://schemas.openxmlformats.org/drawingml/2006/picture">
                      <pic:pic xmlns:pic="http://schemas.openxmlformats.org/drawingml/2006/picture">
                        <pic:nvPicPr>
                          <pic:cNvPr id="1870" name="Picture_13_SpCnt_97"/>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65" name="Picture_1_SpCnt_31"/>
                  <wp:cNvGraphicFramePr/>
                  <a:graphic xmlns:a="http://schemas.openxmlformats.org/drawingml/2006/main">
                    <a:graphicData uri="http://schemas.openxmlformats.org/drawingml/2006/picture">
                      <pic:pic xmlns:pic="http://schemas.openxmlformats.org/drawingml/2006/picture">
                        <pic:nvPicPr>
                          <pic:cNvPr id="1865" name="Picture_1_SpCnt_31"/>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67" name="Picture_12_SpCnt_57"/>
                  <wp:cNvGraphicFramePr/>
                  <a:graphic xmlns:a="http://schemas.openxmlformats.org/drawingml/2006/main">
                    <a:graphicData uri="http://schemas.openxmlformats.org/drawingml/2006/picture">
                      <pic:pic xmlns:pic="http://schemas.openxmlformats.org/drawingml/2006/picture">
                        <pic:nvPicPr>
                          <pic:cNvPr id="1867" name="Picture_12_SpCnt_57"/>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869" name="Picture_11_SpCnt_31"/>
                  <wp:cNvGraphicFramePr/>
                  <a:graphic xmlns:a="http://schemas.openxmlformats.org/drawingml/2006/main">
                    <a:graphicData uri="http://schemas.openxmlformats.org/drawingml/2006/picture">
                      <pic:pic xmlns:pic="http://schemas.openxmlformats.org/drawingml/2006/picture">
                        <pic:nvPicPr>
                          <pic:cNvPr id="1869" name="Picture_11_SpCnt_31"/>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93" name="Picture_12_SpCnt_58"/>
                  <wp:cNvGraphicFramePr/>
                  <a:graphic xmlns:a="http://schemas.openxmlformats.org/drawingml/2006/main">
                    <a:graphicData uri="http://schemas.openxmlformats.org/drawingml/2006/picture">
                      <pic:pic xmlns:pic="http://schemas.openxmlformats.org/drawingml/2006/picture">
                        <pic:nvPicPr>
                          <pic:cNvPr id="1893" name="Picture_12_SpCnt_58"/>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910" name="Picture_13_SpCnt_98"/>
                  <wp:cNvGraphicFramePr/>
                  <a:graphic xmlns:a="http://schemas.openxmlformats.org/drawingml/2006/main">
                    <a:graphicData uri="http://schemas.openxmlformats.org/drawingml/2006/picture">
                      <pic:pic xmlns:pic="http://schemas.openxmlformats.org/drawingml/2006/picture">
                        <pic:nvPicPr>
                          <pic:cNvPr id="1910" name="Picture_13_SpCnt_98"/>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906" name="Picture_1_SpCnt_32"/>
                  <wp:cNvGraphicFramePr/>
                  <a:graphic xmlns:a="http://schemas.openxmlformats.org/drawingml/2006/main">
                    <a:graphicData uri="http://schemas.openxmlformats.org/drawingml/2006/picture">
                      <pic:pic xmlns:pic="http://schemas.openxmlformats.org/drawingml/2006/picture">
                        <pic:nvPicPr>
                          <pic:cNvPr id="1906" name="Picture_1_SpCnt_3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903" name="Picture_2_SpCnt_23"/>
                  <wp:cNvGraphicFramePr/>
                  <a:graphic xmlns:a="http://schemas.openxmlformats.org/drawingml/2006/main">
                    <a:graphicData uri="http://schemas.openxmlformats.org/drawingml/2006/picture">
                      <pic:pic xmlns:pic="http://schemas.openxmlformats.org/drawingml/2006/picture">
                        <pic:nvPicPr>
                          <pic:cNvPr id="1903" name="Picture_2_SpCnt_23"/>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335" cy="15875"/>
                  <wp:effectExtent l="0" t="0" r="0" b="0"/>
                  <wp:wrapNone/>
                  <wp:docPr id="1912" name="Picture_11_SpCnt_32"/>
                  <wp:cNvGraphicFramePr/>
                  <a:graphic xmlns:a="http://schemas.openxmlformats.org/drawingml/2006/main">
                    <a:graphicData uri="http://schemas.openxmlformats.org/drawingml/2006/picture">
                      <pic:pic xmlns:pic="http://schemas.openxmlformats.org/drawingml/2006/picture">
                        <pic:nvPicPr>
                          <pic:cNvPr id="1912" name="Picture_11_SpCnt_32"/>
                          <pic:cNvPicPr/>
                        </pic:nvPicPr>
                        <pic:blipFill>
                          <a:blip r:embed="rId32"/>
                          <a:stretch>
                            <a:fillRect/>
                          </a:stretch>
                        </pic:blipFill>
                        <pic:spPr>
                          <a:xfrm>
                            <a:off x="0" y="0"/>
                            <a:ext cx="1333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86" name="Picture_12_SpCnt_59"/>
                  <wp:cNvGraphicFramePr/>
                  <a:graphic xmlns:a="http://schemas.openxmlformats.org/drawingml/2006/main">
                    <a:graphicData uri="http://schemas.openxmlformats.org/drawingml/2006/picture">
                      <pic:pic xmlns:pic="http://schemas.openxmlformats.org/drawingml/2006/picture">
                        <pic:nvPicPr>
                          <pic:cNvPr id="1886" name="Picture_12_SpCnt_59"/>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685" cy="15875"/>
                  <wp:effectExtent l="0" t="0" r="0" b="0"/>
                  <wp:wrapNone/>
                  <wp:docPr id="1899" name="Picture_10_SpCnt_32"/>
                  <wp:cNvGraphicFramePr/>
                  <a:graphic xmlns:a="http://schemas.openxmlformats.org/drawingml/2006/main">
                    <a:graphicData uri="http://schemas.openxmlformats.org/drawingml/2006/picture">
                      <pic:pic xmlns:pic="http://schemas.openxmlformats.org/drawingml/2006/picture">
                        <pic:nvPicPr>
                          <pic:cNvPr id="1899" name="Picture_10_SpCnt_32"/>
                          <pic:cNvPicPr/>
                        </pic:nvPicPr>
                        <pic:blipFill>
                          <a:blip r:embed="rId31"/>
                          <a:stretch>
                            <a:fillRect/>
                          </a:stretch>
                        </pic:blipFill>
                        <pic:spPr>
                          <a:xfrm>
                            <a:off x="0" y="0"/>
                            <a:ext cx="19685" cy="158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lang w:val="en-US" w:eastAsia="zh-CN" w:bidi="ar"/>
              </w:rPr>
              <w:t>无线手持话筒</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1.超宽频段UHF668MHz~698MHz，适宜复杂环境下的会议场合；</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2.智能天线分集接收；采用一拖二真分集天线设计，不少于1台接收主机和2只手持麦克风；</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3.采用自主研发的数字编码技术、DQPSK调制技术，优秀频响特性、相位偏移特性、抗干扰、抗窜频等；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4.采用高精度锁相环频率合成PLL技术；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5.具备[IR]红外线自动对频功能，发射接收一键即可自动匹配；</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6.在20~20KHz频率范围的频率响应衰减＜2dB，可为用户提供接近无损的音频无线传输；</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889" name="Picture_1_SpCnt_33"/>
                  <wp:cNvGraphicFramePr/>
                  <a:graphic xmlns:a="http://schemas.openxmlformats.org/drawingml/2006/main">
                    <a:graphicData uri="http://schemas.openxmlformats.org/drawingml/2006/picture">
                      <pic:pic xmlns:pic="http://schemas.openxmlformats.org/drawingml/2006/picture">
                        <pic:nvPicPr>
                          <pic:cNvPr id="1889" name="Picture_1_SpCnt_3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888" name="Picture_10_SpCnt_33"/>
                  <wp:cNvGraphicFramePr/>
                  <a:graphic xmlns:a="http://schemas.openxmlformats.org/drawingml/2006/main">
                    <a:graphicData uri="http://schemas.openxmlformats.org/drawingml/2006/picture">
                      <pic:pic xmlns:pic="http://schemas.openxmlformats.org/drawingml/2006/picture">
                        <pic:nvPicPr>
                          <pic:cNvPr id="1888" name="Picture_10_SpCnt_3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11" name="Picture_12_SpCnt_60"/>
                  <wp:cNvGraphicFramePr/>
                  <a:graphic xmlns:a="http://schemas.openxmlformats.org/drawingml/2006/main">
                    <a:graphicData uri="http://schemas.openxmlformats.org/drawingml/2006/picture">
                      <pic:pic xmlns:pic="http://schemas.openxmlformats.org/drawingml/2006/picture">
                        <pic:nvPicPr>
                          <pic:cNvPr id="1911" name="Picture_12_SpCnt_6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04" name="Picture_10_SpCnt_34"/>
                  <wp:cNvGraphicFramePr/>
                  <a:graphic xmlns:a="http://schemas.openxmlformats.org/drawingml/2006/main">
                    <a:graphicData uri="http://schemas.openxmlformats.org/drawingml/2006/picture">
                      <pic:pic xmlns:pic="http://schemas.openxmlformats.org/drawingml/2006/picture">
                        <pic:nvPicPr>
                          <pic:cNvPr id="1904" name="Picture_10_SpCnt_3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898" name="Picture_1_SpCnt_34"/>
                  <wp:cNvGraphicFramePr/>
                  <a:graphic xmlns:a="http://schemas.openxmlformats.org/drawingml/2006/main">
                    <a:graphicData uri="http://schemas.openxmlformats.org/drawingml/2006/picture">
                      <pic:pic xmlns:pic="http://schemas.openxmlformats.org/drawingml/2006/picture">
                        <pic:nvPicPr>
                          <pic:cNvPr id="1898" name="Picture_1_SpCnt_3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08" name="Picture_13_SpCnt_99"/>
                  <wp:cNvGraphicFramePr/>
                  <a:graphic xmlns:a="http://schemas.openxmlformats.org/drawingml/2006/main">
                    <a:graphicData uri="http://schemas.openxmlformats.org/drawingml/2006/picture">
                      <pic:pic xmlns:pic="http://schemas.openxmlformats.org/drawingml/2006/picture">
                        <pic:nvPicPr>
                          <pic:cNvPr id="1908" name="Picture_13_SpCnt_9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15" name="Picture_13_SpCnt_100"/>
                  <wp:cNvGraphicFramePr/>
                  <a:graphic xmlns:a="http://schemas.openxmlformats.org/drawingml/2006/main">
                    <a:graphicData uri="http://schemas.openxmlformats.org/drawingml/2006/picture">
                      <pic:pic xmlns:pic="http://schemas.openxmlformats.org/drawingml/2006/picture">
                        <pic:nvPicPr>
                          <pic:cNvPr id="1915" name="Picture_13_SpCnt_10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16" name="Picture_13_SpCnt_101"/>
                  <wp:cNvGraphicFramePr/>
                  <a:graphic xmlns:a="http://schemas.openxmlformats.org/drawingml/2006/main">
                    <a:graphicData uri="http://schemas.openxmlformats.org/drawingml/2006/picture">
                      <pic:pic xmlns:pic="http://schemas.openxmlformats.org/drawingml/2006/picture">
                        <pic:nvPicPr>
                          <pic:cNvPr id="1916" name="Picture_13_SpCnt_10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07" name="Picture_13_SpCnt_102"/>
                  <wp:cNvGraphicFramePr/>
                  <a:graphic xmlns:a="http://schemas.openxmlformats.org/drawingml/2006/main">
                    <a:graphicData uri="http://schemas.openxmlformats.org/drawingml/2006/picture">
                      <pic:pic xmlns:pic="http://schemas.openxmlformats.org/drawingml/2006/picture">
                        <pic:nvPicPr>
                          <pic:cNvPr id="1907" name="Picture_13_SpCnt_10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895" name="Picture_13_SpCnt_103"/>
                  <wp:cNvGraphicFramePr/>
                  <a:graphic xmlns:a="http://schemas.openxmlformats.org/drawingml/2006/main">
                    <a:graphicData uri="http://schemas.openxmlformats.org/drawingml/2006/picture">
                      <pic:pic xmlns:pic="http://schemas.openxmlformats.org/drawingml/2006/picture">
                        <pic:nvPicPr>
                          <pic:cNvPr id="1895" name="Picture_13_SpCnt_10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890" name="Picture_12_SpCnt_61"/>
                  <wp:cNvGraphicFramePr/>
                  <a:graphic xmlns:a="http://schemas.openxmlformats.org/drawingml/2006/main">
                    <a:graphicData uri="http://schemas.openxmlformats.org/drawingml/2006/picture">
                      <pic:pic xmlns:pic="http://schemas.openxmlformats.org/drawingml/2006/picture">
                        <pic:nvPicPr>
                          <pic:cNvPr id="1890" name="Picture_12_SpCnt_6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891" name="Picture_1_SpCnt_35"/>
                  <wp:cNvGraphicFramePr/>
                  <a:graphic xmlns:a="http://schemas.openxmlformats.org/drawingml/2006/main">
                    <a:graphicData uri="http://schemas.openxmlformats.org/drawingml/2006/picture">
                      <pic:pic xmlns:pic="http://schemas.openxmlformats.org/drawingml/2006/picture">
                        <pic:nvPicPr>
                          <pic:cNvPr id="1891" name="Picture_1_SpCnt_3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00" name="Picture_12_SpCnt_62"/>
                  <wp:cNvGraphicFramePr/>
                  <a:graphic xmlns:a="http://schemas.openxmlformats.org/drawingml/2006/main">
                    <a:graphicData uri="http://schemas.openxmlformats.org/drawingml/2006/picture">
                      <pic:pic xmlns:pic="http://schemas.openxmlformats.org/drawingml/2006/picture">
                        <pic:nvPicPr>
                          <pic:cNvPr id="1900" name="Picture_12_SpCnt_6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892" name="Picture_10_SpCnt_35"/>
                  <wp:cNvGraphicFramePr/>
                  <a:graphic xmlns:a="http://schemas.openxmlformats.org/drawingml/2006/main">
                    <a:graphicData uri="http://schemas.openxmlformats.org/drawingml/2006/picture">
                      <pic:pic xmlns:pic="http://schemas.openxmlformats.org/drawingml/2006/picture">
                        <pic:nvPicPr>
                          <pic:cNvPr id="1892" name="Picture_10_SpCnt_3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05" name="Picture_1_SpCnt_36"/>
                  <wp:cNvGraphicFramePr/>
                  <a:graphic xmlns:a="http://schemas.openxmlformats.org/drawingml/2006/main">
                    <a:graphicData uri="http://schemas.openxmlformats.org/drawingml/2006/picture">
                      <pic:pic xmlns:pic="http://schemas.openxmlformats.org/drawingml/2006/picture">
                        <pic:nvPicPr>
                          <pic:cNvPr id="1905" name="Picture_1_SpCnt_3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894" name="Picture_10_SpCnt_36"/>
                  <wp:cNvGraphicFramePr/>
                  <a:graphic xmlns:a="http://schemas.openxmlformats.org/drawingml/2006/main">
                    <a:graphicData uri="http://schemas.openxmlformats.org/drawingml/2006/picture">
                      <pic:pic xmlns:pic="http://schemas.openxmlformats.org/drawingml/2006/picture">
                        <pic:nvPicPr>
                          <pic:cNvPr id="1894" name="Picture_10_SpCnt_3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02" name="Picture_13_SpCnt_104"/>
                  <wp:cNvGraphicFramePr/>
                  <a:graphic xmlns:a="http://schemas.openxmlformats.org/drawingml/2006/main">
                    <a:graphicData uri="http://schemas.openxmlformats.org/drawingml/2006/picture">
                      <pic:pic xmlns:pic="http://schemas.openxmlformats.org/drawingml/2006/picture">
                        <pic:nvPicPr>
                          <pic:cNvPr id="1902" name="Picture_13_SpCnt_10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01" name="Picture_12_SpCnt_63"/>
                  <wp:cNvGraphicFramePr/>
                  <a:graphic xmlns:a="http://schemas.openxmlformats.org/drawingml/2006/main">
                    <a:graphicData uri="http://schemas.openxmlformats.org/drawingml/2006/picture">
                      <pic:pic xmlns:pic="http://schemas.openxmlformats.org/drawingml/2006/picture">
                        <pic:nvPicPr>
                          <pic:cNvPr id="1901" name="Picture_12_SpCnt_6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896" name="Picture_10_SpCnt_37"/>
                  <wp:cNvGraphicFramePr/>
                  <a:graphic xmlns:a="http://schemas.openxmlformats.org/drawingml/2006/main">
                    <a:graphicData uri="http://schemas.openxmlformats.org/drawingml/2006/picture">
                      <pic:pic xmlns:pic="http://schemas.openxmlformats.org/drawingml/2006/picture">
                        <pic:nvPicPr>
                          <pic:cNvPr id="1896" name="Picture_10_SpCnt_3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09" name="Picture_13_SpCnt_105"/>
                  <wp:cNvGraphicFramePr/>
                  <a:graphic xmlns:a="http://schemas.openxmlformats.org/drawingml/2006/main">
                    <a:graphicData uri="http://schemas.openxmlformats.org/drawingml/2006/picture">
                      <pic:pic xmlns:pic="http://schemas.openxmlformats.org/drawingml/2006/picture">
                        <pic:nvPicPr>
                          <pic:cNvPr id="1909" name="Picture_13_SpCnt_10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897" name="Picture_1_SpCnt_37"/>
                  <wp:cNvGraphicFramePr/>
                  <a:graphic xmlns:a="http://schemas.openxmlformats.org/drawingml/2006/main">
                    <a:graphicData uri="http://schemas.openxmlformats.org/drawingml/2006/picture">
                      <pic:pic xmlns:pic="http://schemas.openxmlformats.org/drawingml/2006/picture">
                        <pic:nvPicPr>
                          <pic:cNvPr id="1897" name="Picture_1_SpCnt_3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13" name="Picture_13_SpCnt_106"/>
                  <wp:cNvGraphicFramePr/>
                  <a:graphic xmlns:a="http://schemas.openxmlformats.org/drawingml/2006/main">
                    <a:graphicData uri="http://schemas.openxmlformats.org/drawingml/2006/picture">
                      <pic:pic xmlns:pic="http://schemas.openxmlformats.org/drawingml/2006/picture">
                        <pic:nvPicPr>
                          <pic:cNvPr id="1913" name="Picture_13_SpCnt_10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14" name="Picture_12_SpCnt_64"/>
                  <wp:cNvGraphicFramePr/>
                  <a:graphic xmlns:a="http://schemas.openxmlformats.org/drawingml/2006/main">
                    <a:graphicData uri="http://schemas.openxmlformats.org/drawingml/2006/picture">
                      <pic:pic xmlns:pic="http://schemas.openxmlformats.org/drawingml/2006/picture">
                        <pic:nvPicPr>
                          <pic:cNvPr id="1914" name="Picture_12_SpCnt_64"/>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885" name="Picture_13_SpCnt_107"/>
                  <wp:cNvGraphicFramePr/>
                  <a:graphic xmlns:a="http://schemas.openxmlformats.org/drawingml/2006/main">
                    <a:graphicData uri="http://schemas.openxmlformats.org/drawingml/2006/picture">
                      <pic:pic xmlns:pic="http://schemas.openxmlformats.org/drawingml/2006/picture">
                        <pic:nvPicPr>
                          <pic:cNvPr id="1885" name="Picture_13_SpCnt_10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887" name="Picture_11_SpCnt_33"/>
                  <wp:cNvGraphicFramePr/>
                  <a:graphic xmlns:a="http://schemas.openxmlformats.org/drawingml/2006/main">
                    <a:graphicData uri="http://schemas.openxmlformats.org/drawingml/2006/picture">
                      <pic:pic xmlns:pic="http://schemas.openxmlformats.org/drawingml/2006/picture">
                        <pic:nvPicPr>
                          <pic:cNvPr id="1887" name="Picture_11_SpCnt_33"/>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32" name="Picture_13_SpCnt_108"/>
                  <wp:cNvGraphicFramePr/>
                  <a:graphic xmlns:a="http://schemas.openxmlformats.org/drawingml/2006/main">
                    <a:graphicData uri="http://schemas.openxmlformats.org/drawingml/2006/picture">
                      <pic:pic xmlns:pic="http://schemas.openxmlformats.org/drawingml/2006/picture">
                        <pic:nvPicPr>
                          <pic:cNvPr id="1932" name="Picture_13_SpCnt_10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44" name="Picture_12_SpCnt_65"/>
                  <wp:cNvGraphicFramePr/>
                  <a:graphic xmlns:a="http://schemas.openxmlformats.org/drawingml/2006/main">
                    <a:graphicData uri="http://schemas.openxmlformats.org/drawingml/2006/picture">
                      <pic:pic xmlns:pic="http://schemas.openxmlformats.org/drawingml/2006/picture">
                        <pic:nvPicPr>
                          <pic:cNvPr id="1944" name="Picture_12_SpCnt_6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28" name="Picture_12_SpCnt_66"/>
                  <wp:cNvGraphicFramePr/>
                  <a:graphic xmlns:a="http://schemas.openxmlformats.org/drawingml/2006/main">
                    <a:graphicData uri="http://schemas.openxmlformats.org/drawingml/2006/picture">
                      <pic:pic xmlns:pic="http://schemas.openxmlformats.org/drawingml/2006/picture">
                        <pic:nvPicPr>
                          <pic:cNvPr id="1928" name="Picture_12_SpCnt_6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48" name="Picture_12_SpCnt_67"/>
                  <wp:cNvGraphicFramePr/>
                  <a:graphic xmlns:a="http://schemas.openxmlformats.org/drawingml/2006/main">
                    <a:graphicData uri="http://schemas.openxmlformats.org/drawingml/2006/picture">
                      <pic:pic xmlns:pic="http://schemas.openxmlformats.org/drawingml/2006/picture">
                        <pic:nvPicPr>
                          <pic:cNvPr id="1948" name="Picture_12_SpCnt_6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936" name="Picture_11_SpCnt_34"/>
                  <wp:cNvGraphicFramePr/>
                  <a:graphic xmlns:a="http://schemas.openxmlformats.org/drawingml/2006/main">
                    <a:graphicData uri="http://schemas.openxmlformats.org/drawingml/2006/picture">
                      <pic:pic xmlns:pic="http://schemas.openxmlformats.org/drawingml/2006/picture">
                        <pic:nvPicPr>
                          <pic:cNvPr id="1936" name="Picture_11_SpCnt_34"/>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20" name="Picture_10_SpCnt_38"/>
                  <wp:cNvGraphicFramePr/>
                  <a:graphic xmlns:a="http://schemas.openxmlformats.org/drawingml/2006/main">
                    <a:graphicData uri="http://schemas.openxmlformats.org/drawingml/2006/picture">
                      <pic:pic xmlns:pic="http://schemas.openxmlformats.org/drawingml/2006/picture">
                        <pic:nvPicPr>
                          <pic:cNvPr id="1920" name="Picture_10_SpCnt_3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19" name="Picture_10_SpCnt_39"/>
                  <wp:cNvGraphicFramePr/>
                  <a:graphic xmlns:a="http://schemas.openxmlformats.org/drawingml/2006/main">
                    <a:graphicData uri="http://schemas.openxmlformats.org/drawingml/2006/picture">
                      <pic:pic xmlns:pic="http://schemas.openxmlformats.org/drawingml/2006/picture">
                        <pic:nvPicPr>
                          <pic:cNvPr id="1919" name="Picture_10_SpCnt_3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942" name="Picture_2_SpCnt_24"/>
                  <wp:cNvGraphicFramePr/>
                  <a:graphic xmlns:a="http://schemas.openxmlformats.org/drawingml/2006/main">
                    <a:graphicData uri="http://schemas.openxmlformats.org/drawingml/2006/picture">
                      <pic:pic xmlns:pic="http://schemas.openxmlformats.org/drawingml/2006/picture">
                        <pic:nvPicPr>
                          <pic:cNvPr id="1942" name="Picture_2_SpCnt_24"/>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926" name="Picture_2_SpCnt_25"/>
                  <wp:cNvGraphicFramePr/>
                  <a:graphic xmlns:a="http://schemas.openxmlformats.org/drawingml/2006/main">
                    <a:graphicData uri="http://schemas.openxmlformats.org/drawingml/2006/picture">
                      <pic:pic xmlns:pic="http://schemas.openxmlformats.org/drawingml/2006/picture">
                        <pic:nvPicPr>
                          <pic:cNvPr id="1926" name="Picture_2_SpCnt_25"/>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24" name="Picture_1_SpCnt_38"/>
                  <wp:cNvGraphicFramePr/>
                  <a:graphic xmlns:a="http://schemas.openxmlformats.org/drawingml/2006/main">
                    <a:graphicData uri="http://schemas.openxmlformats.org/drawingml/2006/picture">
                      <pic:pic xmlns:pic="http://schemas.openxmlformats.org/drawingml/2006/picture">
                        <pic:nvPicPr>
                          <pic:cNvPr id="1924" name="Picture_1_SpCnt_3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43" name="Picture_13_SpCnt_109"/>
                  <wp:cNvGraphicFramePr/>
                  <a:graphic xmlns:a="http://schemas.openxmlformats.org/drawingml/2006/main">
                    <a:graphicData uri="http://schemas.openxmlformats.org/drawingml/2006/picture">
                      <pic:pic xmlns:pic="http://schemas.openxmlformats.org/drawingml/2006/picture">
                        <pic:nvPicPr>
                          <pic:cNvPr id="1943" name="Picture_13_SpCnt_10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21" name="Picture_1_SpCnt_39"/>
                  <wp:cNvGraphicFramePr/>
                  <a:graphic xmlns:a="http://schemas.openxmlformats.org/drawingml/2006/main">
                    <a:graphicData uri="http://schemas.openxmlformats.org/drawingml/2006/picture">
                      <pic:pic xmlns:pic="http://schemas.openxmlformats.org/drawingml/2006/picture">
                        <pic:nvPicPr>
                          <pic:cNvPr id="1921" name="Picture_1_SpCnt_3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31" name="Picture_1_SpCnt_40"/>
                  <wp:cNvGraphicFramePr/>
                  <a:graphic xmlns:a="http://schemas.openxmlformats.org/drawingml/2006/main">
                    <a:graphicData uri="http://schemas.openxmlformats.org/drawingml/2006/picture">
                      <pic:pic xmlns:pic="http://schemas.openxmlformats.org/drawingml/2006/picture">
                        <pic:nvPicPr>
                          <pic:cNvPr id="1931" name="Picture_1_SpCnt_4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27" name="Picture_13_SpCnt_110"/>
                  <wp:cNvGraphicFramePr/>
                  <a:graphic xmlns:a="http://schemas.openxmlformats.org/drawingml/2006/main">
                    <a:graphicData uri="http://schemas.openxmlformats.org/drawingml/2006/picture">
                      <pic:pic xmlns:pic="http://schemas.openxmlformats.org/drawingml/2006/picture">
                        <pic:nvPicPr>
                          <pic:cNvPr id="1927" name="Picture_13_SpCnt_11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25" name="Picture_13_SpCnt_111"/>
                  <wp:cNvGraphicFramePr/>
                  <a:graphic xmlns:a="http://schemas.openxmlformats.org/drawingml/2006/main">
                    <a:graphicData uri="http://schemas.openxmlformats.org/drawingml/2006/picture">
                      <pic:pic xmlns:pic="http://schemas.openxmlformats.org/drawingml/2006/picture">
                        <pic:nvPicPr>
                          <pic:cNvPr id="1925" name="Picture_13_SpCnt_11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45" name="Picture_12_SpCnt_68"/>
                  <wp:cNvGraphicFramePr/>
                  <a:graphic xmlns:a="http://schemas.openxmlformats.org/drawingml/2006/main">
                    <a:graphicData uri="http://schemas.openxmlformats.org/drawingml/2006/picture">
                      <pic:pic xmlns:pic="http://schemas.openxmlformats.org/drawingml/2006/picture">
                        <pic:nvPicPr>
                          <pic:cNvPr id="1945" name="Picture_12_SpCnt_6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937" name="Picture_11_SpCnt_35"/>
                  <wp:cNvGraphicFramePr/>
                  <a:graphic xmlns:a="http://schemas.openxmlformats.org/drawingml/2006/main">
                    <a:graphicData uri="http://schemas.openxmlformats.org/drawingml/2006/picture">
                      <pic:pic xmlns:pic="http://schemas.openxmlformats.org/drawingml/2006/picture">
                        <pic:nvPicPr>
                          <pic:cNvPr id="1937" name="Picture_11_SpCnt_35"/>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22" name="Picture_12_SpCnt_69"/>
                  <wp:cNvGraphicFramePr/>
                  <a:graphic xmlns:a="http://schemas.openxmlformats.org/drawingml/2006/main">
                    <a:graphicData uri="http://schemas.openxmlformats.org/drawingml/2006/picture">
                      <pic:pic xmlns:pic="http://schemas.openxmlformats.org/drawingml/2006/picture">
                        <pic:nvPicPr>
                          <pic:cNvPr id="1922" name="Picture_12_SpCnt_69"/>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38" name="Picture_12_SpCnt_70"/>
                  <wp:cNvGraphicFramePr/>
                  <a:graphic xmlns:a="http://schemas.openxmlformats.org/drawingml/2006/main">
                    <a:graphicData uri="http://schemas.openxmlformats.org/drawingml/2006/picture">
                      <pic:pic xmlns:pic="http://schemas.openxmlformats.org/drawingml/2006/picture">
                        <pic:nvPicPr>
                          <pic:cNvPr id="1938" name="Picture_12_SpCnt_7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46" name="Picture_10_SpCnt_40"/>
                  <wp:cNvGraphicFramePr/>
                  <a:graphic xmlns:a="http://schemas.openxmlformats.org/drawingml/2006/main">
                    <a:graphicData uri="http://schemas.openxmlformats.org/drawingml/2006/picture">
                      <pic:pic xmlns:pic="http://schemas.openxmlformats.org/drawingml/2006/picture">
                        <pic:nvPicPr>
                          <pic:cNvPr id="1946" name="Picture_10_SpCnt_4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918" name="Picture_2_SpCnt_26"/>
                  <wp:cNvGraphicFramePr/>
                  <a:graphic xmlns:a="http://schemas.openxmlformats.org/drawingml/2006/main">
                    <a:graphicData uri="http://schemas.openxmlformats.org/drawingml/2006/picture">
                      <pic:pic xmlns:pic="http://schemas.openxmlformats.org/drawingml/2006/picture">
                        <pic:nvPicPr>
                          <pic:cNvPr id="1918" name="Picture_2_SpCnt_26"/>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923" name="Picture_11_SpCnt_36"/>
                  <wp:cNvGraphicFramePr/>
                  <a:graphic xmlns:a="http://schemas.openxmlformats.org/drawingml/2006/main">
                    <a:graphicData uri="http://schemas.openxmlformats.org/drawingml/2006/picture">
                      <pic:pic xmlns:pic="http://schemas.openxmlformats.org/drawingml/2006/picture">
                        <pic:nvPicPr>
                          <pic:cNvPr id="1923" name="Picture_11_SpCnt_36"/>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29" name="Picture_1_SpCnt_41"/>
                  <wp:cNvGraphicFramePr/>
                  <a:graphic xmlns:a="http://schemas.openxmlformats.org/drawingml/2006/main">
                    <a:graphicData uri="http://schemas.openxmlformats.org/drawingml/2006/picture">
                      <pic:pic xmlns:pic="http://schemas.openxmlformats.org/drawingml/2006/picture">
                        <pic:nvPicPr>
                          <pic:cNvPr id="1929" name="Picture_1_SpCnt_4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40" name="Picture_13_SpCnt_112"/>
                  <wp:cNvGraphicFramePr/>
                  <a:graphic xmlns:a="http://schemas.openxmlformats.org/drawingml/2006/main">
                    <a:graphicData uri="http://schemas.openxmlformats.org/drawingml/2006/picture">
                      <pic:pic xmlns:pic="http://schemas.openxmlformats.org/drawingml/2006/picture">
                        <pic:nvPicPr>
                          <pic:cNvPr id="1940" name="Picture_13_SpCnt_11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33" name="Picture_13_SpCnt_113"/>
                  <wp:cNvGraphicFramePr/>
                  <a:graphic xmlns:a="http://schemas.openxmlformats.org/drawingml/2006/main">
                    <a:graphicData uri="http://schemas.openxmlformats.org/drawingml/2006/picture">
                      <pic:pic xmlns:pic="http://schemas.openxmlformats.org/drawingml/2006/picture">
                        <pic:nvPicPr>
                          <pic:cNvPr id="1933" name="Picture_13_SpCnt_11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947" name="Picture_11_SpCnt_37"/>
                  <wp:cNvGraphicFramePr/>
                  <a:graphic xmlns:a="http://schemas.openxmlformats.org/drawingml/2006/main">
                    <a:graphicData uri="http://schemas.openxmlformats.org/drawingml/2006/picture">
                      <pic:pic xmlns:pic="http://schemas.openxmlformats.org/drawingml/2006/picture">
                        <pic:nvPicPr>
                          <pic:cNvPr id="1947" name="Picture_11_SpCnt_37"/>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17" name="Picture_10_SpCnt_41"/>
                  <wp:cNvGraphicFramePr/>
                  <a:graphic xmlns:a="http://schemas.openxmlformats.org/drawingml/2006/main">
                    <a:graphicData uri="http://schemas.openxmlformats.org/drawingml/2006/picture">
                      <pic:pic xmlns:pic="http://schemas.openxmlformats.org/drawingml/2006/picture">
                        <pic:nvPicPr>
                          <pic:cNvPr id="1917" name="Picture_10_SpCnt_4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30" name="Picture_12_SpCnt_71"/>
                  <wp:cNvGraphicFramePr/>
                  <a:graphic xmlns:a="http://schemas.openxmlformats.org/drawingml/2006/main">
                    <a:graphicData uri="http://schemas.openxmlformats.org/drawingml/2006/picture">
                      <pic:pic xmlns:pic="http://schemas.openxmlformats.org/drawingml/2006/picture">
                        <pic:nvPicPr>
                          <pic:cNvPr id="1930" name="Picture_12_SpCnt_7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934" name="Picture_11_SpCnt_38"/>
                  <wp:cNvGraphicFramePr/>
                  <a:graphic xmlns:a="http://schemas.openxmlformats.org/drawingml/2006/main">
                    <a:graphicData uri="http://schemas.openxmlformats.org/drawingml/2006/picture">
                      <pic:pic xmlns:pic="http://schemas.openxmlformats.org/drawingml/2006/picture">
                        <pic:nvPicPr>
                          <pic:cNvPr id="1934" name="Picture_11_SpCnt_38"/>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935" name="Picture_2_SpCnt_27"/>
                  <wp:cNvGraphicFramePr/>
                  <a:graphic xmlns:a="http://schemas.openxmlformats.org/drawingml/2006/main">
                    <a:graphicData uri="http://schemas.openxmlformats.org/drawingml/2006/picture">
                      <pic:pic xmlns:pic="http://schemas.openxmlformats.org/drawingml/2006/picture">
                        <pic:nvPicPr>
                          <pic:cNvPr id="1935" name="Picture_2_SpCnt_27"/>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39" name="Picture_10_SpCnt_42"/>
                  <wp:cNvGraphicFramePr/>
                  <a:graphic xmlns:a="http://schemas.openxmlformats.org/drawingml/2006/main">
                    <a:graphicData uri="http://schemas.openxmlformats.org/drawingml/2006/picture">
                      <pic:pic xmlns:pic="http://schemas.openxmlformats.org/drawingml/2006/picture">
                        <pic:nvPicPr>
                          <pic:cNvPr id="1939" name="Picture_10_SpCnt_4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941" name="Picture_2_SpCnt_28"/>
                  <wp:cNvGraphicFramePr/>
                  <a:graphic xmlns:a="http://schemas.openxmlformats.org/drawingml/2006/main">
                    <a:graphicData uri="http://schemas.openxmlformats.org/drawingml/2006/picture">
                      <pic:pic xmlns:pic="http://schemas.openxmlformats.org/drawingml/2006/picture">
                        <pic:nvPicPr>
                          <pic:cNvPr id="1941" name="Picture_2_SpCnt_28"/>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79" name="Picture_13_SpCnt_114"/>
                  <wp:cNvGraphicFramePr/>
                  <a:graphic xmlns:a="http://schemas.openxmlformats.org/drawingml/2006/main">
                    <a:graphicData uri="http://schemas.openxmlformats.org/drawingml/2006/picture">
                      <pic:pic xmlns:pic="http://schemas.openxmlformats.org/drawingml/2006/picture">
                        <pic:nvPicPr>
                          <pic:cNvPr id="1979" name="Picture_13_SpCnt_11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61" name="Picture_1_SpCnt_42"/>
                  <wp:cNvGraphicFramePr/>
                  <a:graphic xmlns:a="http://schemas.openxmlformats.org/drawingml/2006/main">
                    <a:graphicData uri="http://schemas.openxmlformats.org/drawingml/2006/picture">
                      <pic:pic xmlns:pic="http://schemas.openxmlformats.org/drawingml/2006/picture">
                        <pic:nvPicPr>
                          <pic:cNvPr id="1961" name="Picture_1_SpCnt_4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70" name="Picture_1_SpCnt_43"/>
                  <wp:cNvGraphicFramePr/>
                  <a:graphic xmlns:a="http://schemas.openxmlformats.org/drawingml/2006/main">
                    <a:graphicData uri="http://schemas.openxmlformats.org/drawingml/2006/picture">
                      <pic:pic xmlns:pic="http://schemas.openxmlformats.org/drawingml/2006/picture">
                        <pic:nvPicPr>
                          <pic:cNvPr id="1970" name="Picture_1_SpCnt_4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80" name="Picture_13_SpCnt_115"/>
                  <wp:cNvGraphicFramePr/>
                  <a:graphic xmlns:a="http://schemas.openxmlformats.org/drawingml/2006/main">
                    <a:graphicData uri="http://schemas.openxmlformats.org/drawingml/2006/picture">
                      <pic:pic xmlns:pic="http://schemas.openxmlformats.org/drawingml/2006/picture">
                        <pic:nvPicPr>
                          <pic:cNvPr id="1980" name="Picture_13_SpCnt_11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49" name="Picture_13_SpCnt_116"/>
                  <wp:cNvGraphicFramePr/>
                  <a:graphic xmlns:a="http://schemas.openxmlformats.org/drawingml/2006/main">
                    <a:graphicData uri="http://schemas.openxmlformats.org/drawingml/2006/picture">
                      <pic:pic xmlns:pic="http://schemas.openxmlformats.org/drawingml/2006/picture">
                        <pic:nvPicPr>
                          <pic:cNvPr id="1949" name="Picture_13_SpCnt_11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63" name="Picture_12_SpCnt_72"/>
                  <wp:cNvGraphicFramePr/>
                  <a:graphic xmlns:a="http://schemas.openxmlformats.org/drawingml/2006/main">
                    <a:graphicData uri="http://schemas.openxmlformats.org/drawingml/2006/picture">
                      <pic:pic xmlns:pic="http://schemas.openxmlformats.org/drawingml/2006/picture">
                        <pic:nvPicPr>
                          <pic:cNvPr id="1963" name="Picture_12_SpCnt_7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967" name="Picture_11_SpCnt_39"/>
                  <wp:cNvGraphicFramePr/>
                  <a:graphic xmlns:a="http://schemas.openxmlformats.org/drawingml/2006/main">
                    <a:graphicData uri="http://schemas.openxmlformats.org/drawingml/2006/picture">
                      <pic:pic xmlns:pic="http://schemas.openxmlformats.org/drawingml/2006/picture">
                        <pic:nvPicPr>
                          <pic:cNvPr id="1967" name="Picture_11_SpCnt_39"/>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57" name="Picture_12_SpCnt_73"/>
                  <wp:cNvGraphicFramePr/>
                  <a:graphic xmlns:a="http://schemas.openxmlformats.org/drawingml/2006/main">
                    <a:graphicData uri="http://schemas.openxmlformats.org/drawingml/2006/picture">
                      <pic:pic xmlns:pic="http://schemas.openxmlformats.org/drawingml/2006/picture">
                        <pic:nvPicPr>
                          <pic:cNvPr id="1957" name="Picture_12_SpCnt_7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64" name="Picture_12_SpCnt_74"/>
                  <wp:cNvGraphicFramePr/>
                  <a:graphic xmlns:a="http://schemas.openxmlformats.org/drawingml/2006/main">
                    <a:graphicData uri="http://schemas.openxmlformats.org/drawingml/2006/picture">
                      <pic:pic xmlns:pic="http://schemas.openxmlformats.org/drawingml/2006/picture">
                        <pic:nvPicPr>
                          <pic:cNvPr id="1964" name="Picture_12_SpCnt_7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58" name="Picture_12_SpCnt_75"/>
                  <wp:cNvGraphicFramePr/>
                  <a:graphic xmlns:a="http://schemas.openxmlformats.org/drawingml/2006/main">
                    <a:graphicData uri="http://schemas.openxmlformats.org/drawingml/2006/picture">
                      <pic:pic xmlns:pic="http://schemas.openxmlformats.org/drawingml/2006/picture">
                        <pic:nvPicPr>
                          <pic:cNvPr id="1958" name="Picture_12_SpCnt_7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55" name="Picture_10_SpCnt_43"/>
                  <wp:cNvGraphicFramePr/>
                  <a:graphic xmlns:a="http://schemas.openxmlformats.org/drawingml/2006/main">
                    <a:graphicData uri="http://schemas.openxmlformats.org/drawingml/2006/picture">
                      <pic:pic xmlns:pic="http://schemas.openxmlformats.org/drawingml/2006/picture">
                        <pic:nvPicPr>
                          <pic:cNvPr id="1955" name="Picture_10_SpCnt_4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974" name="Picture_2_SpCnt_29"/>
                  <wp:cNvGraphicFramePr/>
                  <a:graphic xmlns:a="http://schemas.openxmlformats.org/drawingml/2006/main">
                    <a:graphicData uri="http://schemas.openxmlformats.org/drawingml/2006/picture">
                      <pic:pic xmlns:pic="http://schemas.openxmlformats.org/drawingml/2006/picture">
                        <pic:nvPicPr>
                          <pic:cNvPr id="1974" name="Picture_2_SpCnt_29"/>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971" name="Picture_11_SpCnt_40"/>
                  <wp:cNvGraphicFramePr/>
                  <a:graphic xmlns:a="http://schemas.openxmlformats.org/drawingml/2006/main">
                    <a:graphicData uri="http://schemas.openxmlformats.org/drawingml/2006/picture">
                      <pic:pic xmlns:pic="http://schemas.openxmlformats.org/drawingml/2006/picture">
                        <pic:nvPicPr>
                          <pic:cNvPr id="1971" name="Picture_11_SpCnt_40"/>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978" name="Picture_11_SpCnt_41"/>
                  <wp:cNvGraphicFramePr/>
                  <a:graphic xmlns:a="http://schemas.openxmlformats.org/drawingml/2006/main">
                    <a:graphicData uri="http://schemas.openxmlformats.org/drawingml/2006/picture">
                      <pic:pic xmlns:pic="http://schemas.openxmlformats.org/drawingml/2006/picture">
                        <pic:nvPicPr>
                          <pic:cNvPr id="1978" name="Picture_11_SpCnt_41"/>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65" name="Picture_1_SpCnt_44"/>
                  <wp:cNvGraphicFramePr/>
                  <a:graphic xmlns:a="http://schemas.openxmlformats.org/drawingml/2006/main">
                    <a:graphicData uri="http://schemas.openxmlformats.org/drawingml/2006/picture">
                      <pic:pic xmlns:pic="http://schemas.openxmlformats.org/drawingml/2006/picture">
                        <pic:nvPicPr>
                          <pic:cNvPr id="1965" name="Picture_1_SpCnt_4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50" name="Picture_13_SpCnt_117"/>
                  <wp:cNvGraphicFramePr/>
                  <a:graphic xmlns:a="http://schemas.openxmlformats.org/drawingml/2006/main">
                    <a:graphicData uri="http://schemas.openxmlformats.org/drawingml/2006/picture">
                      <pic:pic xmlns:pic="http://schemas.openxmlformats.org/drawingml/2006/picture">
                        <pic:nvPicPr>
                          <pic:cNvPr id="1950" name="Picture_13_SpCnt_11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951" name="Picture_11_SpCnt_42"/>
                  <wp:cNvGraphicFramePr/>
                  <a:graphic xmlns:a="http://schemas.openxmlformats.org/drawingml/2006/main">
                    <a:graphicData uri="http://schemas.openxmlformats.org/drawingml/2006/picture">
                      <pic:pic xmlns:pic="http://schemas.openxmlformats.org/drawingml/2006/picture">
                        <pic:nvPicPr>
                          <pic:cNvPr id="1951" name="Picture_11_SpCnt_42"/>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72" name="Picture_10_SpCnt_44"/>
                  <wp:cNvGraphicFramePr/>
                  <a:graphic xmlns:a="http://schemas.openxmlformats.org/drawingml/2006/main">
                    <a:graphicData uri="http://schemas.openxmlformats.org/drawingml/2006/picture">
                      <pic:pic xmlns:pic="http://schemas.openxmlformats.org/drawingml/2006/picture">
                        <pic:nvPicPr>
                          <pic:cNvPr id="1972" name="Picture_10_SpCnt_4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69" name="Picture_12_SpCnt_76"/>
                  <wp:cNvGraphicFramePr/>
                  <a:graphic xmlns:a="http://schemas.openxmlformats.org/drawingml/2006/main">
                    <a:graphicData uri="http://schemas.openxmlformats.org/drawingml/2006/picture">
                      <pic:pic xmlns:pic="http://schemas.openxmlformats.org/drawingml/2006/picture">
                        <pic:nvPicPr>
                          <pic:cNvPr id="1969" name="Picture_12_SpCnt_7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68" name="Picture_10_SpCnt_45"/>
                  <wp:cNvGraphicFramePr/>
                  <a:graphic xmlns:a="http://schemas.openxmlformats.org/drawingml/2006/main">
                    <a:graphicData uri="http://schemas.openxmlformats.org/drawingml/2006/picture">
                      <pic:pic xmlns:pic="http://schemas.openxmlformats.org/drawingml/2006/picture">
                        <pic:nvPicPr>
                          <pic:cNvPr id="1968" name="Picture_10_SpCnt_4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975" name="Picture_2_SpCnt_30"/>
                  <wp:cNvGraphicFramePr/>
                  <a:graphic xmlns:a="http://schemas.openxmlformats.org/drawingml/2006/main">
                    <a:graphicData uri="http://schemas.openxmlformats.org/drawingml/2006/picture">
                      <pic:pic xmlns:pic="http://schemas.openxmlformats.org/drawingml/2006/picture">
                        <pic:nvPicPr>
                          <pic:cNvPr id="1975" name="Picture_2_SpCnt_30"/>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76" name="Picture_1_SpCnt_45"/>
                  <wp:cNvGraphicFramePr/>
                  <a:graphic xmlns:a="http://schemas.openxmlformats.org/drawingml/2006/main">
                    <a:graphicData uri="http://schemas.openxmlformats.org/drawingml/2006/picture">
                      <pic:pic xmlns:pic="http://schemas.openxmlformats.org/drawingml/2006/picture">
                        <pic:nvPicPr>
                          <pic:cNvPr id="1976" name="Picture_1_SpCnt_4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52" name="Picture_13_SpCnt_118"/>
                  <wp:cNvGraphicFramePr/>
                  <a:graphic xmlns:a="http://schemas.openxmlformats.org/drawingml/2006/main">
                    <a:graphicData uri="http://schemas.openxmlformats.org/drawingml/2006/picture">
                      <pic:pic xmlns:pic="http://schemas.openxmlformats.org/drawingml/2006/picture">
                        <pic:nvPicPr>
                          <pic:cNvPr id="1952" name="Picture_13_SpCnt_11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77" name="Picture_10_SpCnt_46"/>
                  <wp:cNvGraphicFramePr/>
                  <a:graphic xmlns:a="http://schemas.openxmlformats.org/drawingml/2006/main">
                    <a:graphicData uri="http://schemas.openxmlformats.org/drawingml/2006/picture">
                      <pic:pic xmlns:pic="http://schemas.openxmlformats.org/drawingml/2006/picture">
                        <pic:nvPicPr>
                          <pic:cNvPr id="1977" name="Picture_10_SpCnt_4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53" name="Picture_1_SpCnt_46"/>
                  <wp:cNvGraphicFramePr/>
                  <a:graphic xmlns:a="http://schemas.openxmlformats.org/drawingml/2006/main">
                    <a:graphicData uri="http://schemas.openxmlformats.org/drawingml/2006/picture">
                      <pic:pic xmlns:pic="http://schemas.openxmlformats.org/drawingml/2006/picture">
                        <pic:nvPicPr>
                          <pic:cNvPr id="1953" name="Picture_1_SpCnt_4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54" name="Picture_12_SpCnt_77"/>
                  <wp:cNvGraphicFramePr/>
                  <a:graphic xmlns:a="http://schemas.openxmlformats.org/drawingml/2006/main">
                    <a:graphicData uri="http://schemas.openxmlformats.org/drawingml/2006/picture">
                      <pic:pic xmlns:pic="http://schemas.openxmlformats.org/drawingml/2006/picture">
                        <pic:nvPicPr>
                          <pic:cNvPr id="1954" name="Picture_12_SpCnt_7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973" name="Picture_2_SpCnt_31"/>
                  <wp:cNvGraphicFramePr/>
                  <a:graphic xmlns:a="http://schemas.openxmlformats.org/drawingml/2006/main">
                    <a:graphicData uri="http://schemas.openxmlformats.org/drawingml/2006/picture">
                      <pic:pic xmlns:pic="http://schemas.openxmlformats.org/drawingml/2006/picture">
                        <pic:nvPicPr>
                          <pic:cNvPr id="1973" name="Picture_2_SpCnt_31"/>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56" name="Picture_10_SpCnt_47"/>
                  <wp:cNvGraphicFramePr/>
                  <a:graphic xmlns:a="http://schemas.openxmlformats.org/drawingml/2006/main">
                    <a:graphicData uri="http://schemas.openxmlformats.org/drawingml/2006/picture">
                      <pic:pic xmlns:pic="http://schemas.openxmlformats.org/drawingml/2006/picture">
                        <pic:nvPicPr>
                          <pic:cNvPr id="1956" name="Picture_10_SpCnt_4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60" name="Picture_13_SpCnt_119"/>
                  <wp:cNvGraphicFramePr/>
                  <a:graphic xmlns:a="http://schemas.openxmlformats.org/drawingml/2006/main">
                    <a:graphicData uri="http://schemas.openxmlformats.org/drawingml/2006/picture">
                      <pic:pic xmlns:pic="http://schemas.openxmlformats.org/drawingml/2006/picture">
                        <pic:nvPicPr>
                          <pic:cNvPr id="1960" name="Picture_13_SpCnt_11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59" name="Picture_1_SpCnt_47"/>
                  <wp:cNvGraphicFramePr/>
                  <a:graphic xmlns:a="http://schemas.openxmlformats.org/drawingml/2006/main">
                    <a:graphicData uri="http://schemas.openxmlformats.org/drawingml/2006/picture">
                      <pic:pic xmlns:pic="http://schemas.openxmlformats.org/drawingml/2006/picture">
                        <pic:nvPicPr>
                          <pic:cNvPr id="1959" name="Picture_1_SpCnt_4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62" name="Picture_13_SpCnt_120"/>
                  <wp:cNvGraphicFramePr/>
                  <a:graphic xmlns:a="http://schemas.openxmlformats.org/drawingml/2006/main">
                    <a:graphicData uri="http://schemas.openxmlformats.org/drawingml/2006/picture">
                      <pic:pic xmlns:pic="http://schemas.openxmlformats.org/drawingml/2006/picture">
                        <pic:nvPicPr>
                          <pic:cNvPr id="1962" name="Picture_13_SpCnt_12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66" name="Picture_12_SpCnt_78"/>
                  <wp:cNvGraphicFramePr/>
                  <a:graphic xmlns:a="http://schemas.openxmlformats.org/drawingml/2006/main">
                    <a:graphicData uri="http://schemas.openxmlformats.org/drawingml/2006/picture">
                      <pic:pic xmlns:pic="http://schemas.openxmlformats.org/drawingml/2006/picture">
                        <pic:nvPicPr>
                          <pic:cNvPr id="1966" name="Picture_12_SpCnt_7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87" name="Picture_12_SpCnt_79"/>
                  <wp:cNvGraphicFramePr/>
                  <a:graphic xmlns:a="http://schemas.openxmlformats.org/drawingml/2006/main">
                    <a:graphicData uri="http://schemas.openxmlformats.org/drawingml/2006/picture">
                      <pic:pic xmlns:pic="http://schemas.openxmlformats.org/drawingml/2006/picture">
                        <pic:nvPicPr>
                          <pic:cNvPr id="1987" name="Picture_12_SpCnt_7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006" name="Picture_11_SpCnt_43"/>
                  <wp:cNvGraphicFramePr/>
                  <a:graphic xmlns:a="http://schemas.openxmlformats.org/drawingml/2006/main">
                    <a:graphicData uri="http://schemas.openxmlformats.org/drawingml/2006/picture">
                      <pic:pic xmlns:pic="http://schemas.openxmlformats.org/drawingml/2006/picture">
                        <pic:nvPicPr>
                          <pic:cNvPr id="2006" name="Picture_11_SpCnt_43"/>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93" name="Picture_10_SpCnt_48"/>
                  <wp:cNvGraphicFramePr/>
                  <a:graphic xmlns:a="http://schemas.openxmlformats.org/drawingml/2006/main">
                    <a:graphicData uri="http://schemas.openxmlformats.org/drawingml/2006/picture">
                      <pic:pic xmlns:pic="http://schemas.openxmlformats.org/drawingml/2006/picture">
                        <pic:nvPicPr>
                          <pic:cNvPr id="1993" name="Picture_10_SpCnt_4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005" name="Picture_2_SpCnt_32"/>
                  <wp:cNvGraphicFramePr/>
                  <a:graphic xmlns:a="http://schemas.openxmlformats.org/drawingml/2006/main">
                    <a:graphicData uri="http://schemas.openxmlformats.org/drawingml/2006/picture">
                      <pic:pic xmlns:pic="http://schemas.openxmlformats.org/drawingml/2006/picture">
                        <pic:nvPicPr>
                          <pic:cNvPr id="2005" name="Picture_2_SpCnt_32"/>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01" name="Picture_1_SpCnt_48"/>
                  <wp:cNvGraphicFramePr/>
                  <a:graphic xmlns:a="http://schemas.openxmlformats.org/drawingml/2006/main">
                    <a:graphicData uri="http://schemas.openxmlformats.org/drawingml/2006/picture">
                      <pic:pic xmlns:pic="http://schemas.openxmlformats.org/drawingml/2006/picture">
                        <pic:nvPicPr>
                          <pic:cNvPr id="2001" name="Picture_1_SpCnt_4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07" name="Picture_10_SpCnt_49"/>
                  <wp:cNvGraphicFramePr/>
                  <a:graphic xmlns:a="http://schemas.openxmlformats.org/drawingml/2006/main">
                    <a:graphicData uri="http://schemas.openxmlformats.org/drawingml/2006/picture">
                      <pic:pic xmlns:pic="http://schemas.openxmlformats.org/drawingml/2006/picture">
                        <pic:nvPicPr>
                          <pic:cNvPr id="2007" name="Picture_10_SpCnt_4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999" name="Picture_11_SpCnt_44"/>
                  <wp:cNvGraphicFramePr/>
                  <a:graphic xmlns:a="http://schemas.openxmlformats.org/drawingml/2006/main">
                    <a:graphicData uri="http://schemas.openxmlformats.org/drawingml/2006/picture">
                      <pic:pic xmlns:pic="http://schemas.openxmlformats.org/drawingml/2006/picture">
                        <pic:nvPicPr>
                          <pic:cNvPr id="1999" name="Picture_11_SpCnt_44"/>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08" name="Picture_1_SpCnt_49"/>
                  <wp:cNvGraphicFramePr/>
                  <a:graphic xmlns:a="http://schemas.openxmlformats.org/drawingml/2006/main">
                    <a:graphicData uri="http://schemas.openxmlformats.org/drawingml/2006/picture">
                      <pic:pic xmlns:pic="http://schemas.openxmlformats.org/drawingml/2006/picture">
                        <pic:nvPicPr>
                          <pic:cNvPr id="2008" name="Picture_1_SpCnt_4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02" name="Picture_10_SpCnt_50"/>
                  <wp:cNvGraphicFramePr/>
                  <a:graphic xmlns:a="http://schemas.openxmlformats.org/drawingml/2006/main">
                    <a:graphicData uri="http://schemas.openxmlformats.org/drawingml/2006/picture">
                      <pic:pic xmlns:pic="http://schemas.openxmlformats.org/drawingml/2006/picture">
                        <pic:nvPicPr>
                          <pic:cNvPr id="2002" name="Picture_10_SpCnt_5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96" name="Picture_13_SpCnt_121"/>
                  <wp:cNvGraphicFramePr/>
                  <a:graphic xmlns:a="http://schemas.openxmlformats.org/drawingml/2006/main">
                    <a:graphicData uri="http://schemas.openxmlformats.org/drawingml/2006/picture">
                      <pic:pic xmlns:pic="http://schemas.openxmlformats.org/drawingml/2006/picture">
                        <pic:nvPicPr>
                          <pic:cNvPr id="1996" name="Picture_13_SpCnt_12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91" name="Picture_12_SpCnt_80"/>
                  <wp:cNvGraphicFramePr/>
                  <a:graphic xmlns:a="http://schemas.openxmlformats.org/drawingml/2006/main">
                    <a:graphicData uri="http://schemas.openxmlformats.org/drawingml/2006/picture">
                      <pic:pic xmlns:pic="http://schemas.openxmlformats.org/drawingml/2006/picture">
                        <pic:nvPicPr>
                          <pic:cNvPr id="1991" name="Picture_12_SpCnt_8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003" name="Picture_11_SpCnt_45"/>
                  <wp:cNvGraphicFramePr/>
                  <a:graphic xmlns:a="http://schemas.openxmlformats.org/drawingml/2006/main">
                    <a:graphicData uri="http://schemas.openxmlformats.org/drawingml/2006/picture">
                      <pic:pic xmlns:pic="http://schemas.openxmlformats.org/drawingml/2006/picture">
                        <pic:nvPicPr>
                          <pic:cNvPr id="2003" name="Picture_11_SpCnt_45"/>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92" name="Picture_1_SpCnt_50"/>
                  <wp:cNvGraphicFramePr/>
                  <a:graphic xmlns:a="http://schemas.openxmlformats.org/drawingml/2006/main">
                    <a:graphicData uri="http://schemas.openxmlformats.org/drawingml/2006/picture">
                      <pic:pic xmlns:pic="http://schemas.openxmlformats.org/drawingml/2006/picture">
                        <pic:nvPicPr>
                          <pic:cNvPr id="1992" name="Picture_1_SpCnt_5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004" name="Picture_2_SpCnt_33"/>
                  <wp:cNvGraphicFramePr/>
                  <a:graphic xmlns:a="http://schemas.openxmlformats.org/drawingml/2006/main">
                    <a:graphicData uri="http://schemas.openxmlformats.org/drawingml/2006/picture">
                      <pic:pic xmlns:pic="http://schemas.openxmlformats.org/drawingml/2006/picture">
                        <pic:nvPicPr>
                          <pic:cNvPr id="2004" name="Picture_2_SpCnt_33"/>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85" name="Picture_10_SpCnt_51"/>
                  <wp:cNvGraphicFramePr/>
                  <a:graphic xmlns:a="http://schemas.openxmlformats.org/drawingml/2006/main">
                    <a:graphicData uri="http://schemas.openxmlformats.org/drawingml/2006/picture">
                      <pic:pic xmlns:pic="http://schemas.openxmlformats.org/drawingml/2006/picture">
                        <pic:nvPicPr>
                          <pic:cNvPr id="1985" name="Picture_10_SpCnt_5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84" name="Picture_1_SpCnt_51"/>
                  <wp:cNvGraphicFramePr/>
                  <a:graphic xmlns:a="http://schemas.openxmlformats.org/drawingml/2006/main">
                    <a:graphicData uri="http://schemas.openxmlformats.org/drawingml/2006/picture">
                      <pic:pic xmlns:pic="http://schemas.openxmlformats.org/drawingml/2006/picture">
                        <pic:nvPicPr>
                          <pic:cNvPr id="1984" name="Picture_1_SpCnt_5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009" name="Picture_2_SpCnt_34"/>
                  <wp:cNvGraphicFramePr/>
                  <a:graphic xmlns:a="http://schemas.openxmlformats.org/drawingml/2006/main">
                    <a:graphicData uri="http://schemas.openxmlformats.org/drawingml/2006/picture">
                      <pic:pic xmlns:pic="http://schemas.openxmlformats.org/drawingml/2006/picture">
                        <pic:nvPicPr>
                          <pic:cNvPr id="2009" name="Picture_2_SpCnt_34"/>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83" name="Picture_13_SpCnt_122"/>
                  <wp:cNvGraphicFramePr/>
                  <a:graphic xmlns:a="http://schemas.openxmlformats.org/drawingml/2006/main">
                    <a:graphicData uri="http://schemas.openxmlformats.org/drawingml/2006/picture">
                      <pic:pic xmlns:pic="http://schemas.openxmlformats.org/drawingml/2006/picture">
                        <pic:nvPicPr>
                          <pic:cNvPr id="1983" name="Picture_13_SpCnt_12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94" name="Picture_1_SpCnt_52"/>
                  <wp:cNvGraphicFramePr/>
                  <a:graphic xmlns:a="http://schemas.openxmlformats.org/drawingml/2006/main">
                    <a:graphicData uri="http://schemas.openxmlformats.org/drawingml/2006/picture">
                      <pic:pic xmlns:pic="http://schemas.openxmlformats.org/drawingml/2006/picture">
                        <pic:nvPicPr>
                          <pic:cNvPr id="1994" name="Picture_1_SpCnt_5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10" name="Picture_1_SpCnt_53"/>
                  <wp:cNvGraphicFramePr/>
                  <a:graphic xmlns:a="http://schemas.openxmlformats.org/drawingml/2006/main">
                    <a:graphicData uri="http://schemas.openxmlformats.org/drawingml/2006/picture">
                      <pic:pic xmlns:pic="http://schemas.openxmlformats.org/drawingml/2006/picture">
                        <pic:nvPicPr>
                          <pic:cNvPr id="2010" name="Picture_1_SpCnt_5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11" name="Picture_13_SpCnt_123"/>
                  <wp:cNvGraphicFramePr/>
                  <a:graphic xmlns:a="http://schemas.openxmlformats.org/drawingml/2006/main">
                    <a:graphicData uri="http://schemas.openxmlformats.org/drawingml/2006/picture">
                      <pic:pic xmlns:pic="http://schemas.openxmlformats.org/drawingml/2006/picture">
                        <pic:nvPicPr>
                          <pic:cNvPr id="2011" name="Picture_13_SpCnt_12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88" name="Picture_13_SpCnt_124"/>
                  <wp:cNvGraphicFramePr/>
                  <a:graphic xmlns:a="http://schemas.openxmlformats.org/drawingml/2006/main">
                    <a:graphicData uri="http://schemas.openxmlformats.org/drawingml/2006/picture">
                      <pic:pic xmlns:pic="http://schemas.openxmlformats.org/drawingml/2006/picture">
                        <pic:nvPicPr>
                          <pic:cNvPr id="1988" name="Picture_13_SpCnt_12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12" name="Picture_12_SpCnt_81"/>
                  <wp:cNvGraphicFramePr/>
                  <a:graphic xmlns:a="http://schemas.openxmlformats.org/drawingml/2006/main">
                    <a:graphicData uri="http://schemas.openxmlformats.org/drawingml/2006/picture">
                      <pic:pic xmlns:pic="http://schemas.openxmlformats.org/drawingml/2006/picture">
                        <pic:nvPicPr>
                          <pic:cNvPr id="2012" name="Picture_12_SpCnt_8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81" name="Picture_12_SpCnt_82"/>
                  <wp:cNvGraphicFramePr/>
                  <a:graphic xmlns:a="http://schemas.openxmlformats.org/drawingml/2006/main">
                    <a:graphicData uri="http://schemas.openxmlformats.org/drawingml/2006/picture">
                      <pic:pic xmlns:pic="http://schemas.openxmlformats.org/drawingml/2006/picture">
                        <pic:nvPicPr>
                          <pic:cNvPr id="1981" name="Picture_12_SpCnt_8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982" name="Picture_11_SpCnt_46"/>
                  <wp:cNvGraphicFramePr/>
                  <a:graphic xmlns:a="http://schemas.openxmlformats.org/drawingml/2006/main">
                    <a:graphicData uri="http://schemas.openxmlformats.org/drawingml/2006/picture">
                      <pic:pic xmlns:pic="http://schemas.openxmlformats.org/drawingml/2006/picture">
                        <pic:nvPicPr>
                          <pic:cNvPr id="1982" name="Picture_11_SpCnt_46"/>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997" name="Picture_11_SpCnt_47"/>
                  <wp:cNvGraphicFramePr/>
                  <a:graphic xmlns:a="http://schemas.openxmlformats.org/drawingml/2006/main">
                    <a:graphicData uri="http://schemas.openxmlformats.org/drawingml/2006/picture">
                      <pic:pic xmlns:pic="http://schemas.openxmlformats.org/drawingml/2006/picture">
                        <pic:nvPicPr>
                          <pic:cNvPr id="1997" name="Picture_11_SpCnt_47"/>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89" name="Picture_10_SpCnt_52"/>
                  <wp:cNvGraphicFramePr/>
                  <a:graphic xmlns:a="http://schemas.openxmlformats.org/drawingml/2006/main">
                    <a:graphicData uri="http://schemas.openxmlformats.org/drawingml/2006/picture">
                      <pic:pic xmlns:pic="http://schemas.openxmlformats.org/drawingml/2006/picture">
                        <pic:nvPicPr>
                          <pic:cNvPr id="1989" name="Picture_10_SpCnt_5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986" name="Picture_2_SpCnt_35"/>
                  <wp:cNvGraphicFramePr/>
                  <a:graphic xmlns:a="http://schemas.openxmlformats.org/drawingml/2006/main">
                    <a:graphicData uri="http://schemas.openxmlformats.org/drawingml/2006/picture">
                      <pic:pic xmlns:pic="http://schemas.openxmlformats.org/drawingml/2006/picture">
                        <pic:nvPicPr>
                          <pic:cNvPr id="1986" name="Picture_2_SpCnt_35"/>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90" name="Picture_12_SpCnt_83"/>
                  <wp:cNvGraphicFramePr/>
                  <a:graphic xmlns:a="http://schemas.openxmlformats.org/drawingml/2006/main">
                    <a:graphicData uri="http://schemas.openxmlformats.org/drawingml/2006/picture">
                      <pic:pic xmlns:pic="http://schemas.openxmlformats.org/drawingml/2006/picture">
                        <pic:nvPicPr>
                          <pic:cNvPr id="1990" name="Picture_12_SpCnt_8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998" name="Picture_11_SpCnt_48"/>
                  <wp:cNvGraphicFramePr/>
                  <a:graphic xmlns:a="http://schemas.openxmlformats.org/drawingml/2006/main">
                    <a:graphicData uri="http://schemas.openxmlformats.org/drawingml/2006/picture">
                      <pic:pic xmlns:pic="http://schemas.openxmlformats.org/drawingml/2006/picture">
                        <pic:nvPicPr>
                          <pic:cNvPr id="1998" name="Picture_11_SpCnt_48"/>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1995" name="Picture_1_SpCnt_54"/>
                  <wp:cNvGraphicFramePr/>
                  <a:graphic xmlns:a="http://schemas.openxmlformats.org/drawingml/2006/main">
                    <a:graphicData uri="http://schemas.openxmlformats.org/drawingml/2006/picture">
                      <pic:pic xmlns:pic="http://schemas.openxmlformats.org/drawingml/2006/picture">
                        <pic:nvPicPr>
                          <pic:cNvPr id="1995" name="Picture_1_SpCnt_5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00" name="Picture_10_SpCnt_53"/>
                  <wp:cNvGraphicFramePr/>
                  <a:graphic xmlns:a="http://schemas.openxmlformats.org/drawingml/2006/main">
                    <a:graphicData uri="http://schemas.openxmlformats.org/drawingml/2006/picture">
                      <pic:pic xmlns:pic="http://schemas.openxmlformats.org/drawingml/2006/picture">
                        <pic:nvPicPr>
                          <pic:cNvPr id="2000" name="Picture_10_SpCnt_5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18" name="Picture_13_SpCnt_125"/>
                  <wp:cNvGraphicFramePr/>
                  <a:graphic xmlns:a="http://schemas.openxmlformats.org/drawingml/2006/main">
                    <a:graphicData uri="http://schemas.openxmlformats.org/drawingml/2006/picture">
                      <pic:pic xmlns:pic="http://schemas.openxmlformats.org/drawingml/2006/picture">
                        <pic:nvPicPr>
                          <pic:cNvPr id="2018" name="Picture_13_SpCnt_12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22" name="Picture_10_SpCnt_54"/>
                  <wp:cNvGraphicFramePr/>
                  <a:graphic xmlns:a="http://schemas.openxmlformats.org/drawingml/2006/main">
                    <a:graphicData uri="http://schemas.openxmlformats.org/drawingml/2006/picture">
                      <pic:pic xmlns:pic="http://schemas.openxmlformats.org/drawingml/2006/picture">
                        <pic:nvPicPr>
                          <pic:cNvPr id="2022" name="Picture_10_SpCnt_5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20" name="Picture_13_SpCnt_126"/>
                  <wp:cNvGraphicFramePr/>
                  <a:graphic xmlns:a="http://schemas.openxmlformats.org/drawingml/2006/main">
                    <a:graphicData uri="http://schemas.openxmlformats.org/drawingml/2006/picture">
                      <pic:pic xmlns:pic="http://schemas.openxmlformats.org/drawingml/2006/picture">
                        <pic:nvPicPr>
                          <pic:cNvPr id="2020" name="Picture_13_SpCnt_12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21" name="Picture_12_SpCnt_84"/>
                  <wp:cNvGraphicFramePr/>
                  <a:graphic xmlns:a="http://schemas.openxmlformats.org/drawingml/2006/main">
                    <a:graphicData uri="http://schemas.openxmlformats.org/drawingml/2006/picture">
                      <pic:pic xmlns:pic="http://schemas.openxmlformats.org/drawingml/2006/picture">
                        <pic:nvPicPr>
                          <pic:cNvPr id="2021" name="Picture_12_SpCnt_8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23" name="Picture_13_SpCnt_127"/>
                  <wp:cNvGraphicFramePr/>
                  <a:graphic xmlns:a="http://schemas.openxmlformats.org/drawingml/2006/main">
                    <a:graphicData uri="http://schemas.openxmlformats.org/drawingml/2006/picture">
                      <pic:pic xmlns:pic="http://schemas.openxmlformats.org/drawingml/2006/picture">
                        <pic:nvPicPr>
                          <pic:cNvPr id="2023" name="Picture_13_SpCnt_12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34" name="Picture_13_SpCnt_128"/>
                  <wp:cNvGraphicFramePr/>
                  <a:graphic xmlns:a="http://schemas.openxmlformats.org/drawingml/2006/main">
                    <a:graphicData uri="http://schemas.openxmlformats.org/drawingml/2006/picture">
                      <pic:pic xmlns:pic="http://schemas.openxmlformats.org/drawingml/2006/picture">
                        <pic:nvPicPr>
                          <pic:cNvPr id="2034" name="Picture_13_SpCnt_12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028" name="Picture_2_SpCnt_36"/>
                  <wp:cNvGraphicFramePr/>
                  <a:graphic xmlns:a="http://schemas.openxmlformats.org/drawingml/2006/main">
                    <a:graphicData uri="http://schemas.openxmlformats.org/drawingml/2006/picture">
                      <pic:pic xmlns:pic="http://schemas.openxmlformats.org/drawingml/2006/picture">
                        <pic:nvPicPr>
                          <pic:cNvPr id="2028" name="Picture_2_SpCnt_36"/>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33" name="Picture_10_SpCnt_55"/>
                  <wp:cNvGraphicFramePr/>
                  <a:graphic xmlns:a="http://schemas.openxmlformats.org/drawingml/2006/main">
                    <a:graphicData uri="http://schemas.openxmlformats.org/drawingml/2006/picture">
                      <pic:pic xmlns:pic="http://schemas.openxmlformats.org/drawingml/2006/picture">
                        <pic:nvPicPr>
                          <pic:cNvPr id="2033" name="Picture_10_SpCnt_5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19" name="Picture_1_SpCnt_55"/>
                  <wp:cNvGraphicFramePr/>
                  <a:graphic xmlns:a="http://schemas.openxmlformats.org/drawingml/2006/main">
                    <a:graphicData uri="http://schemas.openxmlformats.org/drawingml/2006/picture">
                      <pic:pic xmlns:pic="http://schemas.openxmlformats.org/drawingml/2006/picture">
                        <pic:nvPicPr>
                          <pic:cNvPr id="2019" name="Picture_1_SpCnt_5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024" name="Picture_2_SpCnt_37"/>
                  <wp:cNvGraphicFramePr/>
                  <a:graphic xmlns:a="http://schemas.openxmlformats.org/drawingml/2006/main">
                    <a:graphicData uri="http://schemas.openxmlformats.org/drawingml/2006/picture">
                      <pic:pic xmlns:pic="http://schemas.openxmlformats.org/drawingml/2006/picture">
                        <pic:nvPicPr>
                          <pic:cNvPr id="2024" name="Picture_2_SpCnt_37"/>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15" name="Picture_1_SpCnt_56"/>
                  <wp:cNvGraphicFramePr/>
                  <a:graphic xmlns:a="http://schemas.openxmlformats.org/drawingml/2006/main">
                    <a:graphicData uri="http://schemas.openxmlformats.org/drawingml/2006/picture">
                      <pic:pic xmlns:pic="http://schemas.openxmlformats.org/drawingml/2006/picture">
                        <pic:nvPicPr>
                          <pic:cNvPr id="2015" name="Picture_1_SpCnt_5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36" name="Picture_13_SpCnt_129"/>
                  <wp:cNvGraphicFramePr/>
                  <a:graphic xmlns:a="http://schemas.openxmlformats.org/drawingml/2006/main">
                    <a:graphicData uri="http://schemas.openxmlformats.org/drawingml/2006/picture">
                      <pic:pic xmlns:pic="http://schemas.openxmlformats.org/drawingml/2006/picture">
                        <pic:nvPicPr>
                          <pic:cNvPr id="2036" name="Picture_13_SpCnt_12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25" name="Picture_10_SpCnt_56"/>
                  <wp:cNvGraphicFramePr/>
                  <a:graphic xmlns:a="http://schemas.openxmlformats.org/drawingml/2006/main">
                    <a:graphicData uri="http://schemas.openxmlformats.org/drawingml/2006/picture">
                      <pic:pic xmlns:pic="http://schemas.openxmlformats.org/drawingml/2006/picture">
                        <pic:nvPicPr>
                          <pic:cNvPr id="2025" name="Picture_10_SpCnt_5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31" name="Picture_13_SpCnt_130"/>
                  <wp:cNvGraphicFramePr/>
                  <a:graphic xmlns:a="http://schemas.openxmlformats.org/drawingml/2006/main">
                    <a:graphicData uri="http://schemas.openxmlformats.org/drawingml/2006/picture">
                      <pic:pic xmlns:pic="http://schemas.openxmlformats.org/drawingml/2006/picture">
                        <pic:nvPicPr>
                          <pic:cNvPr id="2031" name="Picture_13_SpCnt_13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39" name="Picture_12_SpCnt_85"/>
                  <wp:cNvGraphicFramePr/>
                  <a:graphic xmlns:a="http://schemas.openxmlformats.org/drawingml/2006/main">
                    <a:graphicData uri="http://schemas.openxmlformats.org/drawingml/2006/picture">
                      <pic:pic xmlns:pic="http://schemas.openxmlformats.org/drawingml/2006/picture">
                        <pic:nvPicPr>
                          <pic:cNvPr id="2039" name="Picture_12_SpCnt_8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26" name="Picture_12_SpCnt_86"/>
                  <wp:cNvGraphicFramePr/>
                  <a:graphic xmlns:a="http://schemas.openxmlformats.org/drawingml/2006/main">
                    <a:graphicData uri="http://schemas.openxmlformats.org/drawingml/2006/picture">
                      <pic:pic xmlns:pic="http://schemas.openxmlformats.org/drawingml/2006/picture">
                        <pic:nvPicPr>
                          <pic:cNvPr id="2026" name="Picture_12_SpCnt_8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27" name="Picture_13_SpCnt_131"/>
                  <wp:cNvGraphicFramePr/>
                  <a:graphic xmlns:a="http://schemas.openxmlformats.org/drawingml/2006/main">
                    <a:graphicData uri="http://schemas.openxmlformats.org/drawingml/2006/picture">
                      <pic:pic xmlns:pic="http://schemas.openxmlformats.org/drawingml/2006/picture">
                        <pic:nvPicPr>
                          <pic:cNvPr id="2027" name="Picture_13_SpCnt_13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16" name="Picture_13_SpCnt_132"/>
                  <wp:cNvGraphicFramePr/>
                  <a:graphic xmlns:a="http://schemas.openxmlformats.org/drawingml/2006/main">
                    <a:graphicData uri="http://schemas.openxmlformats.org/drawingml/2006/picture">
                      <pic:pic xmlns:pic="http://schemas.openxmlformats.org/drawingml/2006/picture">
                        <pic:nvPicPr>
                          <pic:cNvPr id="2016" name="Picture_13_SpCnt_13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40" name="Picture_12_SpCnt_87"/>
                  <wp:cNvGraphicFramePr/>
                  <a:graphic xmlns:a="http://schemas.openxmlformats.org/drawingml/2006/main">
                    <a:graphicData uri="http://schemas.openxmlformats.org/drawingml/2006/picture">
                      <pic:pic xmlns:pic="http://schemas.openxmlformats.org/drawingml/2006/picture">
                        <pic:nvPicPr>
                          <pic:cNvPr id="2040" name="Picture_12_SpCnt_8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29" name="Picture_12_SpCnt_88"/>
                  <wp:cNvGraphicFramePr/>
                  <a:graphic xmlns:a="http://schemas.openxmlformats.org/drawingml/2006/main">
                    <a:graphicData uri="http://schemas.openxmlformats.org/drawingml/2006/picture">
                      <pic:pic xmlns:pic="http://schemas.openxmlformats.org/drawingml/2006/picture">
                        <pic:nvPicPr>
                          <pic:cNvPr id="2029" name="Picture_12_SpCnt_8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044" name="Picture_2_SpCnt_38"/>
                  <wp:cNvGraphicFramePr/>
                  <a:graphic xmlns:a="http://schemas.openxmlformats.org/drawingml/2006/main">
                    <a:graphicData uri="http://schemas.openxmlformats.org/drawingml/2006/picture">
                      <pic:pic xmlns:pic="http://schemas.openxmlformats.org/drawingml/2006/picture">
                        <pic:nvPicPr>
                          <pic:cNvPr id="2044" name="Picture_2_SpCnt_38"/>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17" name="Picture_13_SpCnt_133"/>
                  <wp:cNvGraphicFramePr/>
                  <a:graphic xmlns:a="http://schemas.openxmlformats.org/drawingml/2006/main">
                    <a:graphicData uri="http://schemas.openxmlformats.org/drawingml/2006/picture">
                      <pic:pic xmlns:pic="http://schemas.openxmlformats.org/drawingml/2006/picture">
                        <pic:nvPicPr>
                          <pic:cNvPr id="2017" name="Picture_13_SpCnt_13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38" name="Picture_12_SpCnt_89"/>
                  <wp:cNvGraphicFramePr/>
                  <a:graphic xmlns:a="http://schemas.openxmlformats.org/drawingml/2006/main">
                    <a:graphicData uri="http://schemas.openxmlformats.org/drawingml/2006/picture">
                      <pic:pic xmlns:pic="http://schemas.openxmlformats.org/drawingml/2006/picture">
                        <pic:nvPicPr>
                          <pic:cNvPr id="2038" name="Picture_12_SpCnt_8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32" name="Picture_12_SpCnt_90"/>
                  <wp:cNvGraphicFramePr/>
                  <a:graphic xmlns:a="http://schemas.openxmlformats.org/drawingml/2006/main">
                    <a:graphicData uri="http://schemas.openxmlformats.org/drawingml/2006/picture">
                      <pic:pic xmlns:pic="http://schemas.openxmlformats.org/drawingml/2006/picture">
                        <pic:nvPicPr>
                          <pic:cNvPr id="2032" name="Picture_12_SpCnt_9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30" name="Picture_13_SpCnt_134"/>
                  <wp:cNvGraphicFramePr/>
                  <a:graphic xmlns:a="http://schemas.openxmlformats.org/drawingml/2006/main">
                    <a:graphicData uri="http://schemas.openxmlformats.org/drawingml/2006/picture">
                      <pic:pic xmlns:pic="http://schemas.openxmlformats.org/drawingml/2006/picture">
                        <pic:nvPicPr>
                          <pic:cNvPr id="2030" name="Picture_13_SpCnt_13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35" name="Picture_12_SpCnt_91"/>
                  <wp:cNvGraphicFramePr/>
                  <a:graphic xmlns:a="http://schemas.openxmlformats.org/drawingml/2006/main">
                    <a:graphicData uri="http://schemas.openxmlformats.org/drawingml/2006/picture">
                      <pic:pic xmlns:pic="http://schemas.openxmlformats.org/drawingml/2006/picture">
                        <pic:nvPicPr>
                          <pic:cNvPr id="2035" name="Picture_12_SpCnt_91"/>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13" name="Picture_12_SpCnt_92"/>
                  <wp:cNvGraphicFramePr/>
                  <a:graphic xmlns:a="http://schemas.openxmlformats.org/drawingml/2006/main">
                    <a:graphicData uri="http://schemas.openxmlformats.org/drawingml/2006/picture">
                      <pic:pic xmlns:pic="http://schemas.openxmlformats.org/drawingml/2006/picture">
                        <pic:nvPicPr>
                          <pic:cNvPr id="2013" name="Picture_12_SpCnt_9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37" name="Picture_13_SpCnt_135"/>
                  <wp:cNvGraphicFramePr/>
                  <a:graphic xmlns:a="http://schemas.openxmlformats.org/drawingml/2006/main">
                    <a:graphicData uri="http://schemas.openxmlformats.org/drawingml/2006/picture">
                      <pic:pic xmlns:pic="http://schemas.openxmlformats.org/drawingml/2006/picture">
                        <pic:nvPicPr>
                          <pic:cNvPr id="2037" name="Picture_13_SpCnt_13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14" name="Picture_1_SpCnt_57"/>
                  <wp:cNvGraphicFramePr/>
                  <a:graphic xmlns:a="http://schemas.openxmlformats.org/drawingml/2006/main">
                    <a:graphicData uri="http://schemas.openxmlformats.org/drawingml/2006/picture">
                      <pic:pic xmlns:pic="http://schemas.openxmlformats.org/drawingml/2006/picture">
                        <pic:nvPicPr>
                          <pic:cNvPr id="2014" name="Picture_1_SpCnt_5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41" name="Picture_13_SpCnt_136"/>
                  <wp:cNvGraphicFramePr/>
                  <a:graphic xmlns:a="http://schemas.openxmlformats.org/drawingml/2006/main">
                    <a:graphicData uri="http://schemas.openxmlformats.org/drawingml/2006/picture">
                      <pic:pic xmlns:pic="http://schemas.openxmlformats.org/drawingml/2006/picture">
                        <pic:nvPicPr>
                          <pic:cNvPr id="2041" name="Picture_13_SpCnt_13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42" name="Picture_12_SpCnt_93"/>
                  <wp:cNvGraphicFramePr/>
                  <a:graphic xmlns:a="http://schemas.openxmlformats.org/drawingml/2006/main">
                    <a:graphicData uri="http://schemas.openxmlformats.org/drawingml/2006/picture">
                      <pic:pic xmlns:pic="http://schemas.openxmlformats.org/drawingml/2006/picture">
                        <pic:nvPicPr>
                          <pic:cNvPr id="2042" name="Picture_12_SpCnt_9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43" name="Picture_12_SpCnt_94"/>
                  <wp:cNvGraphicFramePr/>
                  <a:graphic xmlns:a="http://schemas.openxmlformats.org/drawingml/2006/main">
                    <a:graphicData uri="http://schemas.openxmlformats.org/drawingml/2006/picture">
                      <pic:pic xmlns:pic="http://schemas.openxmlformats.org/drawingml/2006/picture">
                        <pic:nvPicPr>
                          <pic:cNvPr id="2043" name="Picture_12_SpCnt_9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51" name="Picture_12_SpCnt_95"/>
                  <wp:cNvGraphicFramePr/>
                  <a:graphic xmlns:a="http://schemas.openxmlformats.org/drawingml/2006/main">
                    <a:graphicData uri="http://schemas.openxmlformats.org/drawingml/2006/picture">
                      <pic:pic xmlns:pic="http://schemas.openxmlformats.org/drawingml/2006/picture">
                        <pic:nvPicPr>
                          <pic:cNvPr id="2051" name="Picture_12_SpCnt_95"/>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68" name="Picture_11_SpCnt_49"/>
                  <wp:cNvGraphicFramePr/>
                  <a:graphic xmlns:a="http://schemas.openxmlformats.org/drawingml/2006/main">
                    <a:graphicData uri="http://schemas.openxmlformats.org/drawingml/2006/picture">
                      <pic:pic xmlns:pic="http://schemas.openxmlformats.org/drawingml/2006/picture">
                        <pic:nvPicPr>
                          <pic:cNvPr id="2068" name="Picture_11_SpCnt_49"/>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52" name="Picture_13_SpCnt_137"/>
                  <wp:cNvGraphicFramePr/>
                  <a:graphic xmlns:a="http://schemas.openxmlformats.org/drawingml/2006/main">
                    <a:graphicData uri="http://schemas.openxmlformats.org/drawingml/2006/picture">
                      <pic:pic xmlns:pic="http://schemas.openxmlformats.org/drawingml/2006/picture">
                        <pic:nvPicPr>
                          <pic:cNvPr id="2052" name="Picture_13_SpCnt_13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60" name="Picture_12_SpCnt_96"/>
                  <wp:cNvGraphicFramePr/>
                  <a:graphic xmlns:a="http://schemas.openxmlformats.org/drawingml/2006/main">
                    <a:graphicData uri="http://schemas.openxmlformats.org/drawingml/2006/picture">
                      <pic:pic xmlns:pic="http://schemas.openxmlformats.org/drawingml/2006/picture">
                        <pic:nvPicPr>
                          <pic:cNvPr id="2060" name="Picture_12_SpCnt_9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075" name="Picture_11_SpCnt_50"/>
                  <wp:cNvGraphicFramePr/>
                  <a:graphic xmlns:a="http://schemas.openxmlformats.org/drawingml/2006/main">
                    <a:graphicData uri="http://schemas.openxmlformats.org/drawingml/2006/picture">
                      <pic:pic xmlns:pic="http://schemas.openxmlformats.org/drawingml/2006/picture">
                        <pic:nvPicPr>
                          <pic:cNvPr id="2075" name="Picture_11_SpCnt_50"/>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76" name="Picture_13_SpCnt_138"/>
                  <wp:cNvGraphicFramePr/>
                  <a:graphic xmlns:a="http://schemas.openxmlformats.org/drawingml/2006/main">
                    <a:graphicData uri="http://schemas.openxmlformats.org/drawingml/2006/picture">
                      <pic:pic xmlns:pic="http://schemas.openxmlformats.org/drawingml/2006/picture">
                        <pic:nvPicPr>
                          <pic:cNvPr id="2076" name="Picture_13_SpCnt_13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66" name="Picture_11_SpCnt_51"/>
                  <wp:cNvGraphicFramePr/>
                  <a:graphic xmlns:a="http://schemas.openxmlformats.org/drawingml/2006/main">
                    <a:graphicData uri="http://schemas.openxmlformats.org/drawingml/2006/picture">
                      <pic:pic xmlns:pic="http://schemas.openxmlformats.org/drawingml/2006/picture">
                        <pic:nvPicPr>
                          <pic:cNvPr id="2066" name="Picture_11_SpCnt_51"/>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61" name="Picture_12_SpCnt_97"/>
                  <wp:cNvGraphicFramePr/>
                  <a:graphic xmlns:a="http://schemas.openxmlformats.org/drawingml/2006/main">
                    <a:graphicData uri="http://schemas.openxmlformats.org/drawingml/2006/picture">
                      <pic:pic xmlns:pic="http://schemas.openxmlformats.org/drawingml/2006/picture">
                        <pic:nvPicPr>
                          <pic:cNvPr id="2061" name="Picture_12_SpCnt_9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74" name="Picture_13_SpCnt_139"/>
                  <wp:cNvGraphicFramePr/>
                  <a:graphic xmlns:a="http://schemas.openxmlformats.org/drawingml/2006/main">
                    <a:graphicData uri="http://schemas.openxmlformats.org/drawingml/2006/picture">
                      <pic:pic xmlns:pic="http://schemas.openxmlformats.org/drawingml/2006/picture">
                        <pic:nvPicPr>
                          <pic:cNvPr id="2074" name="Picture_13_SpCnt_13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59" name="Picture_13_SpCnt_140"/>
                  <wp:cNvGraphicFramePr/>
                  <a:graphic xmlns:a="http://schemas.openxmlformats.org/drawingml/2006/main">
                    <a:graphicData uri="http://schemas.openxmlformats.org/drawingml/2006/picture">
                      <pic:pic xmlns:pic="http://schemas.openxmlformats.org/drawingml/2006/picture">
                        <pic:nvPicPr>
                          <pic:cNvPr id="2059" name="Picture_13_SpCnt_14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45" name="Picture_13_SpCnt_141"/>
                  <wp:cNvGraphicFramePr/>
                  <a:graphic xmlns:a="http://schemas.openxmlformats.org/drawingml/2006/main">
                    <a:graphicData uri="http://schemas.openxmlformats.org/drawingml/2006/picture">
                      <pic:pic xmlns:pic="http://schemas.openxmlformats.org/drawingml/2006/picture">
                        <pic:nvPicPr>
                          <pic:cNvPr id="2045" name="Picture_13_SpCnt_14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46" name="Picture_13_SpCnt_142"/>
                  <wp:cNvGraphicFramePr/>
                  <a:graphic xmlns:a="http://schemas.openxmlformats.org/drawingml/2006/main">
                    <a:graphicData uri="http://schemas.openxmlformats.org/drawingml/2006/picture">
                      <pic:pic xmlns:pic="http://schemas.openxmlformats.org/drawingml/2006/picture">
                        <pic:nvPicPr>
                          <pic:cNvPr id="2046" name="Picture_13_SpCnt_14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73" name="Picture_12_SpCnt_98"/>
                  <wp:cNvGraphicFramePr/>
                  <a:graphic xmlns:a="http://schemas.openxmlformats.org/drawingml/2006/main">
                    <a:graphicData uri="http://schemas.openxmlformats.org/drawingml/2006/picture">
                      <pic:pic xmlns:pic="http://schemas.openxmlformats.org/drawingml/2006/picture">
                        <pic:nvPicPr>
                          <pic:cNvPr id="2073" name="Picture_12_SpCnt_9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65" name="Picture_13_SpCnt_143"/>
                  <wp:cNvGraphicFramePr/>
                  <a:graphic xmlns:a="http://schemas.openxmlformats.org/drawingml/2006/main">
                    <a:graphicData uri="http://schemas.openxmlformats.org/drawingml/2006/picture">
                      <pic:pic xmlns:pic="http://schemas.openxmlformats.org/drawingml/2006/picture">
                        <pic:nvPicPr>
                          <pic:cNvPr id="2065" name="Picture_13_SpCnt_14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48" name="Picture_13_SpCnt_144"/>
                  <wp:cNvGraphicFramePr/>
                  <a:graphic xmlns:a="http://schemas.openxmlformats.org/drawingml/2006/main">
                    <a:graphicData uri="http://schemas.openxmlformats.org/drawingml/2006/picture">
                      <pic:pic xmlns:pic="http://schemas.openxmlformats.org/drawingml/2006/picture">
                        <pic:nvPicPr>
                          <pic:cNvPr id="2048" name="Picture_13_SpCnt_144"/>
                          <pic:cNvPicPr/>
                        </pic:nvPicPr>
                        <pic:blipFill>
                          <a:blip r:embed="rId39"/>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49" name="Picture_12_SpCnt_99"/>
                  <wp:cNvGraphicFramePr/>
                  <a:graphic xmlns:a="http://schemas.openxmlformats.org/drawingml/2006/main">
                    <a:graphicData uri="http://schemas.openxmlformats.org/drawingml/2006/picture">
                      <pic:pic xmlns:pic="http://schemas.openxmlformats.org/drawingml/2006/picture">
                        <pic:nvPicPr>
                          <pic:cNvPr id="2049" name="Picture_12_SpCnt_9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47" name="Picture_13_SpCnt_145"/>
                  <wp:cNvGraphicFramePr/>
                  <a:graphic xmlns:a="http://schemas.openxmlformats.org/drawingml/2006/main">
                    <a:graphicData uri="http://schemas.openxmlformats.org/drawingml/2006/picture">
                      <pic:pic xmlns:pic="http://schemas.openxmlformats.org/drawingml/2006/picture">
                        <pic:nvPicPr>
                          <pic:cNvPr id="2047" name="Picture_13_SpCnt_14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53" name="Picture_13_SpCnt_146"/>
                  <wp:cNvGraphicFramePr/>
                  <a:graphic xmlns:a="http://schemas.openxmlformats.org/drawingml/2006/main">
                    <a:graphicData uri="http://schemas.openxmlformats.org/drawingml/2006/picture">
                      <pic:pic xmlns:pic="http://schemas.openxmlformats.org/drawingml/2006/picture">
                        <pic:nvPicPr>
                          <pic:cNvPr id="2053" name="Picture_13_SpCnt_146"/>
                          <pic:cNvPicPr/>
                        </pic:nvPicPr>
                        <pic:blipFill>
                          <a:blip r:embed="rId40"/>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50" name="Picture_13_SpCnt_147"/>
                  <wp:cNvGraphicFramePr/>
                  <a:graphic xmlns:a="http://schemas.openxmlformats.org/drawingml/2006/main">
                    <a:graphicData uri="http://schemas.openxmlformats.org/drawingml/2006/picture">
                      <pic:pic xmlns:pic="http://schemas.openxmlformats.org/drawingml/2006/picture">
                        <pic:nvPicPr>
                          <pic:cNvPr id="2050" name="Picture_13_SpCnt_147"/>
                          <pic:cNvPicPr/>
                        </pic:nvPicPr>
                        <pic:blipFill>
                          <a:blip r:embed="rId40"/>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63" name="Picture_10_SpCnt_57"/>
                  <wp:cNvGraphicFramePr/>
                  <a:graphic xmlns:a="http://schemas.openxmlformats.org/drawingml/2006/main">
                    <a:graphicData uri="http://schemas.openxmlformats.org/drawingml/2006/picture">
                      <pic:pic xmlns:pic="http://schemas.openxmlformats.org/drawingml/2006/picture">
                        <pic:nvPicPr>
                          <pic:cNvPr id="2063" name="Picture_10_SpCnt_5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067" name="Picture_11_SpCnt_52"/>
                  <wp:cNvGraphicFramePr/>
                  <a:graphic xmlns:a="http://schemas.openxmlformats.org/drawingml/2006/main">
                    <a:graphicData uri="http://schemas.openxmlformats.org/drawingml/2006/picture">
                      <pic:pic xmlns:pic="http://schemas.openxmlformats.org/drawingml/2006/picture">
                        <pic:nvPicPr>
                          <pic:cNvPr id="2067" name="Picture_11_SpCnt_52"/>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62" name="Picture_12_SpCnt_100"/>
                  <wp:cNvGraphicFramePr/>
                  <a:graphic xmlns:a="http://schemas.openxmlformats.org/drawingml/2006/main">
                    <a:graphicData uri="http://schemas.openxmlformats.org/drawingml/2006/picture">
                      <pic:pic xmlns:pic="http://schemas.openxmlformats.org/drawingml/2006/picture">
                        <pic:nvPicPr>
                          <pic:cNvPr id="2062" name="Picture_12_SpCnt_100"/>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58" name="Picture_13_SpCnt_148"/>
                  <wp:cNvGraphicFramePr/>
                  <a:graphic xmlns:a="http://schemas.openxmlformats.org/drawingml/2006/main">
                    <a:graphicData uri="http://schemas.openxmlformats.org/drawingml/2006/picture">
                      <pic:pic xmlns:pic="http://schemas.openxmlformats.org/drawingml/2006/picture">
                        <pic:nvPicPr>
                          <pic:cNvPr id="2058" name="Picture_13_SpCnt_14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70" name="Picture_11_SpCnt_53"/>
                  <wp:cNvGraphicFramePr/>
                  <a:graphic xmlns:a="http://schemas.openxmlformats.org/drawingml/2006/main">
                    <a:graphicData uri="http://schemas.openxmlformats.org/drawingml/2006/picture">
                      <pic:pic xmlns:pic="http://schemas.openxmlformats.org/drawingml/2006/picture">
                        <pic:nvPicPr>
                          <pic:cNvPr id="2070" name="Picture_11_SpCnt_53"/>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69" name="Picture_13_SpCnt_149"/>
                  <wp:cNvGraphicFramePr/>
                  <a:graphic xmlns:a="http://schemas.openxmlformats.org/drawingml/2006/main">
                    <a:graphicData uri="http://schemas.openxmlformats.org/drawingml/2006/picture">
                      <pic:pic xmlns:pic="http://schemas.openxmlformats.org/drawingml/2006/picture">
                        <pic:nvPicPr>
                          <pic:cNvPr id="2069" name="Picture_13_SpCnt_14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54" name="Picture_13_SpCnt_150"/>
                  <wp:cNvGraphicFramePr/>
                  <a:graphic xmlns:a="http://schemas.openxmlformats.org/drawingml/2006/main">
                    <a:graphicData uri="http://schemas.openxmlformats.org/drawingml/2006/picture">
                      <pic:pic xmlns:pic="http://schemas.openxmlformats.org/drawingml/2006/picture">
                        <pic:nvPicPr>
                          <pic:cNvPr id="2054" name="Picture_13_SpCnt_15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55" name="Picture_13_SpCnt_151"/>
                  <wp:cNvGraphicFramePr/>
                  <a:graphic xmlns:a="http://schemas.openxmlformats.org/drawingml/2006/main">
                    <a:graphicData uri="http://schemas.openxmlformats.org/drawingml/2006/picture">
                      <pic:pic xmlns:pic="http://schemas.openxmlformats.org/drawingml/2006/picture">
                        <pic:nvPicPr>
                          <pic:cNvPr id="2055" name="Picture_13_SpCnt_15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57" name="Picture_10_SpCnt_58"/>
                  <wp:cNvGraphicFramePr/>
                  <a:graphic xmlns:a="http://schemas.openxmlformats.org/drawingml/2006/main">
                    <a:graphicData uri="http://schemas.openxmlformats.org/drawingml/2006/picture">
                      <pic:pic xmlns:pic="http://schemas.openxmlformats.org/drawingml/2006/picture">
                        <pic:nvPicPr>
                          <pic:cNvPr id="2057" name="Picture_10_SpCnt_5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56" name="Picture_12_SpCnt_101"/>
                  <wp:cNvGraphicFramePr/>
                  <a:graphic xmlns:a="http://schemas.openxmlformats.org/drawingml/2006/main">
                    <a:graphicData uri="http://schemas.openxmlformats.org/drawingml/2006/picture">
                      <pic:pic xmlns:pic="http://schemas.openxmlformats.org/drawingml/2006/picture">
                        <pic:nvPicPr>
                          <pic:cNvPr id="2056" name="Picture_12_SpCnt_101"/>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64" name="Picture_13_SpCnt_152"/>
                  <wp:cNvGraphicFramePr/>
                  <a:graphic xmlns:a="http://schemas.openxmlformats.org/drawingml/2006/main">
                    <a:graphicData uri="http://schemas.openxmlformats.org/drawingml/2006/picture">
                      <pic:pic xmlns:pic="http://schemas.openxmlformats.org/drawingml/2006/picture">
                        <pic:nvPicPr>
                          <pic:cNvPr id="2064" name="Picture_13_SpCnt_15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71" name="Picture_11_SpCnt_54"/>
                  <wp:cNvGraphicFramePr/>
                  <a:graphic xmlns:a="http://schemas.openxmlformats.org/drawingml/2006/main">
                    <a:graphicData uri="http://schemas.openxmlformats.org/drawingml/2006/picture">
                      <pic:pic xmlns:pic="http://schemas.openxmlformats.org/drawingml/2006/picture">
                        <pic:nvPicPr>
                          <pic:cNvPr id="2071" name="Picture_11_SpCnt_54"/>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72" name="Picture_13_SpCnt_153"/>
                  <wp:cNvGraphicFramePr/>
                  <a:graphic xmlns:a="http://schemas.openxmlformats.org/drawingml/2006/main">
                    <a:graphicData uri="http://schemas.openxmlformats.org/drawingml/2006/picture">
                      <pic:pic xmlns:pic="http://schemas.openxmlformats.org/drawingml/2006/picture">
                        <pic:nvPicPr>
                          <pic:cNvPr id="2072" name="Picture_13_SpCnt_15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097" name="Picture_2_SpCnt_39"/>
                  <wp:cNvGraphicFramePr/>
                  <a:graphic xmlns:a="http://schemas.openxmlformats.org/drawingml/2006/main">
                    <a:graphicData uri="http://schemas.openxmlformats.org/drawingml/2006/picture">
                      <pic:pic xmlns:pic="http://schemas.openxmlformats.org/drawingml/2006/picture">
                        <pic:nvPicPr>
                          <pic:cNvPr id="2097" name="Picture_2_SpCnt_39"/>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83" name="Picture_12_SpCnt_102"/>
                  <wp:cNvGraphicFramePr/>
                  <a:graphic xmlns:a="http://schemas.openxmlformats.org/drawingml/2006/main">
                    <a:graphicData uri="http://schemas.openxmlformats.org/drawingml/2006/picture">
                      <pic:pic xmlns:pic="http://schemas.openxmlformats.org/drawingml/2006/picture">
                        <pic:nvPicPr>
                          <pic:cNvPr id="2083" name="Picture_12_SpCnt_10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87" name="Picture_13_SpCnt_154"/>
                  <wp:cNvGraphicFramePr/>
                  <a:graphic xmlns:a="http://schemas.openxmlformats.org/drawingml/2006/main">
                    <a:graphicData uri="http://schemas.openxmlformats.org/drawingml/2006/picture">
                      <pic:pic xmlns:pic="http://schemas.openxmlformats.org/drawingml/2006/picture">
                        <pic:nvPicPr>
                          <pic:cNvPr id="2087" name="Picture_13_SpCnt_15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085" name="Picture_11_SpCnt_55"/>
                  <wp:cNvGraphicFramePr/>
                  <a:graphic xmlns:a="http://schemas.openxmlformats.org/drawingml/2006/main">
                    <a:graphicData uri="http://schemas.openxmlformats.org/drawingml/2006/picture">
                      <pic:pic xmlns:pic="http://schemas.openxmlformats.org/drawingml/2006/picture">
                        <pic:nvPicPr>
                          <pic:cNvPr id="2085" name="Picture_11_SpCnt_55"/>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102" name="Picture_2_SpCnt_40"/>
                  <wp:cNvGraphicFramePr/>
                  <a:graphic xmlns:a="http://schemas.openxmlformats.org/drawingml/2006/main">
                    <a:graphicData uri="http://schemas.openxmlformats.org/drawingml/2006/picture">
                      <pic:pic xmlns:pic="http://schemas.openxmlformats.org/drawingml/2006/picture">
                        <pic:nvPicPr>
                          <pic:cNvPr id="2102" name="Picture_2_SpCnt_40"/>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77" name="Picture_13_SpCnt_155"/>
                  <wp:cNvGraphicFramePr/>
                  <a:graphic xmlns:a="http://schemas.openxmlformats.org/drawingml/2006/main">
                    <a:graphicData uri="http://schemas.openxmlformats.org/drawingml/2006/picture">
                      <pic:pic xmlns:pic="http://schemas.openxmlformats.org/drawingml/2006/picture">
                        <pic:nvPicPr>
                          <pic:cNvPr id="2077" name="Picture_13_SpCnt_15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96" name="Picture_13_SpCnt_156"/>
                  <wp:cNvGraphicFramePr/>
                  <a:graphic xmlns:a="http://schemas.openxmlformats.org/drawingml/2006/main">
                    <a:graphicData uri="http://schemas.openxmlformats.org/drawingml/2006/picture">
                      <pic:pic xmlns:pic="http://schemas.openxmlformats.org/drawingml/2006/picture">
                        <pic:nvPicPr>
                          <pic:cNvPr id="2096" name="Picture_13_SpCnt_15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91" name="Picture_13_SpCnt_157"/>
                  <wp:cNvGraphicFramePr/>
                  <a:graphic xmlns:a="http://schemas.openxmlformats.org/drawingml/2006/main">
                    <a:graphicData uri="http://schemas.openxmlformats.org/drawingml/2006/picture">
                      <pic:pic xmlns:pic="http://schemas.openxmlformats.org/drawingml/2006/picture">
                        <pic:nvPicPr>
                          <pic:cNvPr id="2091" name="Picture_13_SpCnt_15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92" name="Picture_12_SpCnt_103"/>
                  <wp:cNvGraphicFramePr/>
                  <a:graphic xmlns:a="http://schemas.openxmlformats.org/drawingml/2006/main">
                    <a:graphicData uri="http://schemas.openxmlformats.org/drawingml/2006/picture">
                      <pic:pic xmlns:pic="http://schemas.openxmlformats.org/drawingml/2006/picture">
                        <pic:nvPicPr>
                          <pic:cNvPr id="2092" name="Picture_12_SpCnt_10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79" name="Picture_10_SpCnt_59"/>
                  <wp:cNvGraphicFramePr/>
                  <a:graphic xmlns:a="http://schemas.openxmlformats.org/drawingml/2006/main">
                    <a:graphicData uri="http://schemas.openxmlformats.org/drawingml/2006/picture">
                      <pic:pic xmlns:pic="http://schemas.openxmlformats.org/drawingml/2006/picture">
                        <pic:nvPicPr>
                          <pic:cNvPr id="2079" name="Picture_10_SpCnt_5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98" name="Picture_1_SpCnt_58"/>
                  <wp:cNvGraphicFramePr/>
                  <a:graphic xmlns:a="http://schemas.openxmlformats.org/drawingml/2006/main">
                    <a:graphicData uri="http://schemas.openxmlformats.org/drawingml/2006/picture">
                      <pic:pic xmlns:pic="http://schemas.openxmlformats.org/drawingml/2006/picture">
                        <pic:nvPicPr>
                          <pic:cNvPr id="2098" name="Picture_1_SpCnt_5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04" name="Picture_13_SpCnt_158"/>
                  <wp:cNvGraphicFramePr/>
                  <a:graphic xmlns:a="http://schemas.openxmlformats.org/drawingml/2006/main">
                    <a:graphicData uri="http://schemas.openxmlformats.org/drawingml/2006/picture">
                      <pic:pic xmlns:pic="http://schemas.openxmlformats.org/drawingml/2006/picture">
                        <pic:nvPicPr>
                          <pic:cNvPr id="2104" name="Picture_13_SpCnt_15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78" name="Picture_1_SpCnt_59"/>
                  <wp:cNvGraphicFramePr/>
                  <a:graphic xmlns:a="http://schemas.openxmlformats.org/drawingml/2006/main">
                    <a:graphicData uri="http://schemas.openxmlformats.org/drawingml/2006/picture">
                      <pic:pic xmlns:pic="http://schemas.openxmlformats.org/drawingml/2006/picture">
                        <pic:nvPicPr>
                          <pic:cNvPr id="2078" name="Picture_1_SpCnt_5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03" name="Picture_13_SpCnt_159"/>
                  <wp:cNvGraphicFramePr/>
                  <a:graphic xmlns:a="http://schemas.openxmlformats.org/drawingml/2006/main">
                    <a:graphicData uri="http://schemas.openxmlformats.org/drawingml/2006/picture">
                      <pic:pic xmlns:pic="http://schemas.openxmlformats.org/drawingml/2006/picture">
                        <pic:nvPicPr>
                          <pic:cNvPr id="2103" name="Picture_13_SpCnt_15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01" name="Picture_13_SpCnt_160"/>
                  <wp:cNvGraphicFramePr/>
                  <a:graphic xmlns:a="http://schemas.openxmlformats.org/drawingml/2006/main">
                    <a:graphicData uri="http://schemas.openxmlformats.org/drawingml/2006/picture">
                      <pic:pic xmlns:pic="http://schemas.openxmlformats.org/drawingml/2006/picture">
                        <pic:nvPicPr>
                          <pic:cNvPr id="2101" name="Picture_13_SpCnt_16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99" name="Picture_13_SpCnt_161"/>
                  <wp:cNvGraphicFramePr/>
                  <a:graphic xmlns:a="http://schemas.openxmlformats.org/drawingml/2006/main">
                    <a:graphicData uri="http://schemas.openxmlformats.org/drawingml/2006/picture">
                      <pic:pic xmlns:pic="http://schemas.openxmlformats.org/drawingml/2006/picture">
                        <pic:nvPicPr>
                          <pic:cNvPr id="2099" name="Picture_13_SpCnt_161"/>
                          <pic:cNvPicPr/>
                        </pic:nvPicPr>
                        <pic:blipFill>
                          <a:blip r:embed="rId39"/>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00" name="Picture_12_SpCnt_104"/>
                  <wp:cNvGraphicFramePr/>
                  <a:graphic xmlns:a="http://schemas.openxmlformats.org/drawingml/2006/main">
                    <a:graphicData uri="http://schemas.openxmlformats.org/drawingml/2006/picture">
                      <pic:pic xmlns:pic="http://schemas.openxmlformats.org/drawingml/2006/picture">
                        <pic:nvPicPr>
                          <pic:cNvPr id="2100" name="Picture_12_SpCnt_10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86" name="Picture_12_SpCnt_105"/>
                  <wp:cNvGraphicFramePr/>
                  <a:graphic xmlns:a="http://schemas.openxmlformats.org/drawingml/2006/main">
                    <a:graphicData uri="http://schemas.openxmlformats.org/drawingml/2006/picture">
                      <pic:pic xmlns:pic="http://schemas.openxmlformats.org/drawingml/2006/picture">
                        <pic:nvPicPr>
                          <pic:cNvPr id="2086" name="Picture_12_SpCnt_105"/>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05" name="Picture_13_SpCnt_162"/>
                  <wp:cNvGraphicFramePr/>
                  <a:graphic xmlns:a="http://schemas.openxmlformats.org/drawingml/2006/main">
                    <a:graphicData uri="http://schemas.openxmlformats.org/drawingml/2006/picture">
                      <pic:pic xmlns:pic="http://schemas.openxmlformats.org/drawingml/2006/picture">
                        <pic:nvPicPr>
                          <pic:cNvPr id="2105" name="Picture_13_SpCnt_16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93" name="Picture_1_SpCnt_60"/>
                  <wp:cNvGraphicFramePr/>
                  <a:graphic xmlns:a="http://schemas.openxmlformats.org/drawingml/2006/main">
                    <a:graphicData uri="http://schemas.openxmlformats.org/drawingml/2006/picture">
                      <pic:pic xmlns:pic="http://schemas.openxmlformats.org/drawingml/2006/picture">
                        <pic:nvPicPr>
                          <pic:cNvPr id="2093" name="Picture_1_SpCnt_6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88" name="Picture_13_SpCnt_163"/>
                  <wp:cNvGraphicFramePr/>
                  <a:graphic xmlns:a="http://schemas.openxmlformats.org/drawingml/2006/main">
                    <a:graphicData uri="http://schemas.openxmlformats.org/drawingml/2006/picture">
                      <pic:pic xmlns:pic="http://schemas.openxmlformats.org/drawingml/2006/picture">
                        <pic:nvPicPr>
                          <pic:cNvPr id="2088" name="Picture_13_SpCnt_16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94" name="Picture_13_SpCnt_164"/>
                  <wp:cNvGraphicFramePr/>
                  <a:graphic xmlns:a="http://schemas.openxmlformats.org/drawingml/2006/main">
                    <a:graphicData uri="http://schemas.openxmlformats.org/drawingml/2006/picture">
                      <pic:pic xmlns:pic="http://schemas.openxmlformats.org/drawingml/2006/picture">
                        <pic:nvPicPr>
                          <pic:cNvPr id="2094" name="Picture_13_SpCnt_16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95" name="Picture_11_SpCnt_56"/>
                  <wp:cNvGraphicFramePr/>
                  <a:graphic xmlns:a="http://schemas.openxmlformats.org/drawingml/2006/main">
                    <a:graphicData uri="http://schemas.openxmlformats.org/drawingml/2006/picture">
                      <pic:pic xmlns:pic="http://schemas.openxmlformats.org/drawingml/2006/picture">
                        <pic:nvPicPr>
                          <pic:cNvPr id="2095" name="Picture_11_SpCnt_56"/>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06" name="Picture_13_SpCnt_165"/>
                  <wp:cNvGraphicFramePr/>
                  <a:graphic xmlns:a="http://schemas.openxmlformats.org/drawingml/2006/main">
                    <a:graphicData uri="http://schemas.openxmlformats.org/drawingml/2006/picture">
                      <pic:pic xmlns:pic="http://schemas.openxmlformats.org/drawingml/2006/picture">
                        <pic:nvPicPr>
                          <pic:cNvPr id="2106" name="Picture_13_SpCnt_165"/>
                          <pic:cNvPicPr/>
                        </pic:nvPicPr>
                        <pic:blipFill>
                          <a:blip r:embed="rId40"/>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07" name="Picture_13_SpCnt_166"/>
                  <wp:cNvGraphicFramePr/>
                  <a:graphic xmlns:a="http://schemas.openxmlformats.org/drawingml/2006/main">
                    <a:graphicData uri="http://schemas.openxmlformats.org/drawingml/2006/picture">
                      <pic:pic xmlns:pic="http://schemas.openxmlformats.org/drawingml/2006/picture">
                        <pic:nvPicPr>
                          <pic:cNvPr id="2107" name="Picture_13_SpCnt_16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08" name="Picture_13_SpCnt_167"/>
                  <wp:cNvGraphicFramePr/>
                  <a:graphic xmlns:a="http://schemas.openxmlformats.org/drawingml/2006/main">
                    <a:graphicData uri="http://schemas.openxmlformats.org/drawingml/2006/picture">
                      <pic:pic xmlns:pic="http://schemas.openxmlformats.org/drawingml/2006/picture">
                        <pic:nvPicPr>
                          <pic:cNvPr id="2108" name="Picture_13_SpCnt_16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80" name="Picture_12_SpCnt_106"/>
                  <wp:cNvGraphicFramePr/>
                  <a:graphic xmlns:a="http://schemas.openxmlformats.org/drawingml/2006/main">
                    <a:graphicData uri="http://schemas.openxmlformats.org/drawingml/2006/picture">
                      <pic:pic xmlns:pic="http://schemas.openxmlformats.org/drawingml/2006/picture">
                        <pic:nvPicPr>
                          <pic:cNvPr id="2080" name="Picture_12_SpCnt_10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081" name="Picture_11_SpCnt_57"/>
                  <wp:cNvGraphicFramePr/>
                  <a:graphic xmlns:a="http://schemas.openxmlformats.org/drawingml/2006/main">
                    <a:graphicData uri="http://schemas.openxmlformats.org/drawingml/2006/picture">
                      <pic:pic xmlns:pic="http://schemas.openxmlformats.org/drawingml/2006/picture">
                        <pic:nvPicPr>
                          <pic:cNvPr id="2081" name="Picture_11_SpCnt_57"/>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82" name="Picture_12_SpCnt_107"/>
                  <wp:cNvGraphicFramePr/>
                  <a:graphic xmlns:a="http://schemas.openxmlformats.org/drawingml/2006/main">
                    <a:graphicData uri="http://schemas.openxmlformats.org/drawingml/2006/picture">
                      <pic:pic xmlns:pic="http://schemas.openxmlformats.org/drawingml/2006/picture">
                        <pic:nvPicPr>
                          <pic:cNvPr id="2082" name="Picture_12_SpCnt_10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084" name="Picture_13_SpCnt_168"/>
                  <wp:cNvGraphicFramePr/>
                  <a:graphic xmlns:a="http://schemas.openxmlformats.org/drawingml/2006/main">
                    <a:graphicData uri="http://schemas.openxmlformats.org/drawingml/2006/picture">
                      <pic:pic xmlns:pic="http://schemas.openxmlformats.org/drawingml/2006/picture">
                        <pic:nvPicPr>
                          <pic:cNvPr id="2084" name="Picture_13_SpCnt_168"/>
                          <pic:cNvPicPr/>
                        </pic:nvPicPr>
                        <pic:blipFill>
                          <a:blip r:embed="rId40"/>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89" name="Picture_10_SpCnt_60"/>
                  <wp:cNvGraphicFramePr/>
                  <a:graphic xmlns:a="http://schemas.openxmlformats.org/drawingml/2006/main">
                    <a:graphicData uri="http://schemas.openxmlformats.org/drawingml/2006/picture">
                      <pic:pic xmlns:pic="http://schemas.openxmlformats.org/drawingml/2006/picture">
                        <pic:nvPicPr>
                          <pic:cNvPr id="2089" name="Picture_10_SpCnt_6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090" name="Picture_13_SpCnt_169"/>
                  <wp:cNvGraphicFramePr/>
                  <a:graphic xmlns:a="http://schemas.openxmlformats.org/drawingml/2006/main">
                    <a:graphicData uri="http://schemas.openxmlformats.org/drawingml/2006/picture">
                      <pic:pic xmlns:pic="http://schemas.openxmlformats.org/drawingml/2006/picture">
                        <pic:nvPicPr>
                          <pic:cNvPr id="2090" name="Picture_13_SpCnt_16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135" name="Picture_2_SpCnt_41"/>
                  <wp:cNvGraphicFramePr/>
                  <a:graphic xmlns:a="http://schemas.openxmlformats.org/drawingml/2006/main">
                    <a:graphicData uri="http://schemas.openxmlformats.org/drawingml/2006/picture">
                      <pic:pic xmlns:pic="http://schemas.openxmlformats.org/drawingml/2006/picture">
                        <pic:nvPicPr>
                          <pic:cNvPr id="2135" name="Picture_2_SpCnt_41"/>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23" name="Picture_1_SpCnt_61"/>
                  <wp:cNvGraphicFramePr/>
                  <a:graphic xmlns:a="http://schemas.openxmlformats.org/drawingml/2006/main">
                    <a:graphicData uri="http://schemas.openxmlformats.org/drawingml/2006/picture">
                      <pic:pic xmlns:pic="http://schemas.openxmlformats.org/drawingml/2006/picture">
                        <pic:nvPicPr>
                          <pic:cNvPr id="2123" name="Picture_1_SpCnt_6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117" name="Picture_11_SpCnt_58"/>
                  <wp:cNvGraphicFramePr/>
                  <a:graphic xmlns:a="http://schemas.openxmlformats.org/drawingml/2006/main">
                    <a:graphicData uri="http://schemas.openxmlformats.org/drawingml/2006/picture">
                      <pic:pic xmlns:pic="http://schemas.openxmlformats.org/drawingml/2006/picture">
                        <pic:nvPicPr>
                          <pic:cNvPr id="2117" name="Picture_11_SpCnt_58"/>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27" name="Picture_10_SpCnt_61"/>
                  <wp:cNvGraphicFramePr/>
                  <a:graphic xmlns:a="http://schemas.openxmlformats.org/drawingml/2006/main">
                    <a:graphicData uri="http://schemas.openxmlformats.org/drawingml/2006/picture">
                      <pic:pic xmlns:pic="http://schemas.openxmlformats.org/drawingml/2006/picture">
                        <pic:nvPicPr>
                          <pic:cNvPr id="2127" name="Picture_10_SpCnt_6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20" name="Picture_13_SpCnt_170"/>
                  <wp:cNvGraphicFramePr/>
                  <a:graphic xmlns:a="http://schemas.openxmlformats.org/drawingml/2006/main">
                    <a:graphicData uri="http://schemas.openxmlformats.org/drawingml/2006/picture">
                      <pic:pic xmlns:pic="http://schemas.openxmlformats.org/drawingml/2006/picture">
                        <pic:nvPicPr>
                          <pic:cNvPr id="2120" name="Picture_13_SpCnt_17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28" name="Picture_13_SpCnt_171"/>
                  <wp:cNvGraphicFramePr/>
                  <a:graphic xmlns:a="http://schemas.openxmlformats.org/drawingml/2006/main">
                    <a:graphicData uri="http://schemas.openxmlformats.org/drawingml/2006/picture">
                      <pic:pic xmlns:pic="http://schemas.openxmlformats.org/drawingml/2006/picture">
                        <pic:nvPicPr>
                          <pic:cNvPr id="2128" name="Picture_13_SpCnt_17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24" name="Picture_12_SpCnt_108"/>
                  <wp:cNvGraphicFramePr/>
                  <a:graphic xmlns:a="http://schemas.openxmlformats.org/drawingml/2006/main">
                    <a:graphicData uri="http://schemas.openxmlformats.org/drawingml/2006/picture">
                      <pic:pic xmlns:pic="http://schemas.openxmlformats.org/drawingml/2006/picture">
                        <pic:nvPicPr>
                          <pic:cNvPr id="2124" name="Picture_12_SpCnt_10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118" name="Picture_11_SpCnt_59"/>
                  <wp:cNvGraphicFramePr/>
                  <a:graphic xmlns:a="http://schemas.openxmlformats.org/drawingml/2006/main">
                    <a:graphicData uri="http://schemas.openxmlformats.org/drawingml/2006/picture">
                      <pic:pic xmlns:pic="http://schemas.openxmlformats.org/drawingml/2006/picture">
                        <pic:nvPicPr>
                          <pic:cNvPr id="2118" name="Picture_11_SpCnt_59"/>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29" name="Picture_1_SpCnt_62"/>
                  <wp:cNvGraphicFramePr/>
                  <a:graphic xmlns:a="http://schemas.openxmlformats.org/drawingml/2006/main">
                    <a:graphicData uri="http://schemas.openxmlformats.org/drawingml/2006/picture">
                      <pic:pic xmlns:pic="http://schemas.openxmlformats.org/drawingml/2006/picture">
                        <pic:nvPicPr>
                          <pic:cNvPr id="2129" name="Picture_1_SpCnt_6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130" name="Picture_2_SpCnt_42"/>
                  <wp:cNvGraphicFramePr/>
                  <a:graphic xmlns:a="http://schemas.openxmlformats.org/drawingml/2006/main">
                    <a:graphicData uri="http://schemas.openxmlformats.org/drawingml/2006/picture">
                      <pic:pic xmlns:pic="http://schemas.openxmlformats.org/drawingml/2006/picture">
                        <pic:nvPicPr>
                          <pic:cNvPr id="2130" name="Picture_2_SpCnt_42"/>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121" name="Picture_11_SpCnt_60"/>
                  <wp:cNvGraphicFramePr/>
                  <a:graphic xmlns:a="http://schemas.openxmlformats.org/drawingml/2006/main">
                    <a:graphicData uri="http://schemas.openxmlformats.org/drawingml/2006/picture">
                      <pic:pic xmlns:pic="http://schemas.openxmlformats.org/drawingml/2006/picture">
                        <pic:nvPicPr>
                          <pic:cNvPr id="2121" name="Picture_11_SpCnt_60"/>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31" name="Picture_13_SpCnt_172"/>
                  <wp:cNvGraphicFramePr/>
                  <a:graphic xmlns:a="http://schemas.openxmlformats.org/drawingml/2006/main">
                    <a:graphicData uri="http://schemas.openxmlformats.org/drawingml/2006/picture">
                      <pic:pic xmlns:pic="http://schemas.openxmlformats.org/drawingml/2006/picture">
                        <pic:nvPicPr>
                          <pic:cNvPr id="2131" name="Picture_13_SpCnt_17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125" name="Picture_2_SpCnt_43"/>
                  <wp:cNvGraphicFramePr/>
                  <a:graphic xmlns:a="http://schemas.openxmlformats.org/drawingml/2006/main">
                    <a:graphicData uri="http://schemas.openxmlformats.org/drawingml/2006/picture">
                      <pic:pic xmlns:pic="http://schemas.openxmlformats.org/drawingml/2006/picture">
                        <pic:nvPicPr>
                          <pic:cNvPr id="2125" name="Picture_2_SpCnt_43"/>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15" name="Picture_12_SpCnt_109"/>
                  <wp:cNvGraphicFramePr/>
                  <a:graphic xmlns:a="http://schemas.openxmlformats.org/drawingml/2006/main">
                    <a:graphicData uri="http://schemas.openxmlformats.org/drawingml/2006/picture">
                      <pic:pic xmlns:pic="http://schemas.openxmlformats.org/drawingml/2006/picture">
                        <pic:nvPicPr>
                          <pic:cNvPr id="2115" name="Picture_12_SpCnt_10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40" name="Picture_10_SpCnt_62"/>
                  <wp:cNvGraphicFramePr/>
                  <a:graphic xmlns:a="http://schemas.openxmlformats.org/drawingml/2006/main">
                    <a:graphicData uri="http://schemas.openxmlformats.org/drawingml/2006/picture">
                      <pic:pic xmlns:pic="http://schemas.openxmlformats.org/drawingml/2006/picture">
                        <pic:nvPicPr>
                          <pic:cNvPr id="2140" name="Picture_10_SpCnt_6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26" name="Picture_10_SpCnt_63"/>
                  <wp:cNvGraphicFramePr/>
                  <a:graphic xmlns:a="http://schemas.openxmlformats.org/drawingml/2006/main">
                    <a:graphicData uri="http://schemas.openxmlformats.org/drawingml/2006/picture">
                      <pic:pic xmlns:pic="http://schemas.openxmlformats.org/drawingml/2006/picture">
                        <pic:nvPicPr>
                          <pic:cNvPr id="2126" name="Picture_10_SpCnt_6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136" name="Picture_2_SpCnt_44"/>
                  <wp:cNvGraphicFramePr/>
                  <a:graphic xmlns:a="http://schemas.openxmlformats.org/drawingml/2006/main">
                    <a:graphicData uri="http://schemas.openxmlformats.org/drawingml/2006/picture">
                      <pic:pic xmlns:pic="http://schemas.openxmlformats.org/drawingml/2006/picture">
                        <pic:nvPicPr>
                          <pic:cNvPr id="2136" name="Picture_2_SpCnt_44"/>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13" name="Picture_12_SpCnt_110"/>
                  <wp:cNvGraphicFramePr/>
                  <a:graphic xmlns:a="http://schemas.openxmlformats.org/drawingml/2006/main">
                    <a:graphicData uri="http://schemas.openxmlformats.org/drawingml/2006/picture">
                      <pic:pic xmlns:pic="http://schemas.openxmlformats.org/drawingml/2006/picture">
                        <pic:nvPicPr>
                          <pic:cNvPr id="2113" name="Picture_12_SpCnt_11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32" name="Picture_13_SpCnt_173"/>
                  <wp:cNvGraphicFramePr/>
                  <a:graphic xmlns:a="http://schemas.openxmlformats.org/drawingml/2006/main">
                    <a:graphicData uri="http://schemas.openxmlformats.org/drawingml/2006/picture">
                      <pic:pic xmlns:pic="http://schemas.openxmlformats.org/drawingml/2006/picture">
                        <pic:nvPicPr>
                          <pic:cNvPr id="2132" name="Picture_13_SpCnt_17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122" name="Picture_2_SpCnt_45"/>
                  <wp:cNvGraphicFramePr/>
                  <a:graphic xmlns:a="http://schemas.openxmlformats.org/drawingml/2006/main">
                    <a:graphicData uri="http://schemas.openxmlformats.org/drawingml/2006/picture">
                      <pic:pic xmlns:pic="http://schemas.openxmlformats.org/drawingml/2006/picture">
                        <pic:nvPicPr>
                          <pic:cNvPr id="2122" name="Picture_2_SpCnt_45"/>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33" name="Picture_13_SpCnt_174"/>
                  <wp:cNvGraphicFramePr/>
                  <a:graphic xmlns:a="http://schemas.openxmlformats.org/drawingml/2006/main">
                    <a:graphicData uri="http://schemas.openxmlformats.org/drawingml/2006/picture">
                      <pic:pic xmlns:pic="http://schemas.openxmlformats.org/drawingml/2006/picture">
                        <pic:nvPicPr>
                          <pic:cNvPr id="2133" name="Picture_13_SpCnt_17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38" name="Picture_1_SpCnt_63"/>
                  <wp:cNvGraphicFramePr/>
                  <a:graphic xmlns:a="http://schemas.openxmlformats.org/drawingml/2006/main">
                    <a:graphicData uri="http://schemas.openxmlformats.org/drawingml/2006/picture">
                      <pic:pic xmlns:pic="http://schemas.openxmlformats.org/drawingml/2006/picture">
                        <pic:nvPicPr>
                          <pic:cNvPr id="2138" name="Picture_1_SpCnt_6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11" name="Picture_12_SpCnt_111"/>
                  <wp:cNvGraphicFramePr/>
                  <a:graphic xmlns:a="http://schemas.openxmlformats.org/drawingml/2006/main">
                    <a:graphicData uri="http://schemas.openxmlformats.org/drawingml/2006/picture">
                      <pic:pic xmlns:pic="http://schemas.openxmlformats.org/drawingml/2006/picture">
                        <pic:nvPicPr>
                          <pic:cNvPr id="2111" name="Picture_12_SpCnt_11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34" name="Picture_13_SpCnt_175"/>
                  <wp:cNvGraphicFramePr/>
                  <a:graphic xmlns:a="http://schemas.openxmlformats.org/drawingml/2006/main">
                    <a:graphicData uri="http://schemas.openxmlformats.org/drawingml/2006/picture">
                      <pic:pic xmlns:pic="http://schemas.openxmlformats.org/drawingml/2006/picture">
                        <pic:nvPicPr>
                          <pic:cNvPr id="2134" name="Picture_13_SpCnt_17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09" name="Picture_13_SpCnt_176"/>
                  <wp:cNvGraphicFramePr/>
                  <a:graphic xmlns:a="http://schemas.openxmlformats.org/drawingml/2006/main">
                    <a:graphicData uri="http://schemas.openxmlformats.org/drawingml/2006/picture">
                      <pic:pic xmlns:pic="http://schemas.openxmlformats.org/drawingml/2006/picture">
                        <pic:nvPicPr>
                          <pic:cNvPr id="2109" name="Picture_13_SpCnt_17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12" name="Picture_12_SpCnt_112"/>
                  <wp:cNvGraphicFramePr/>
                  <a:graphic xmlns:a="http://schemas.openxmlformats.org/drawingml/2006/main">
                    <a:graphicData uri="http://schemas.openxmlformats.org/drawingml/2006/picture">
                      <pic:pic xmlns:pic="http://schemas.openxmlformats.org/drawingml/2006/picture">
                        <pic:nvPicPr>
                          <pic:cNvPr id="2112" name="Picture_12_SpCnt_11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37" name="Picture_13_SpCnt_177"/>
                  <wp:cNvGraphicFramePr/>
                  <a:graphic xmlns:a="http://schemas.openxmlformats.org/drawingml/2006/main">
                    <a:graphicData uri="http://schemas.openxmlformats.org/drawingml/2006/picture">
                      <pic:pic xmlns:pic="http://schemas.openxmlformats.org/drawingml/2006/picture">
                        <pic:nvPicPr>
                          <pic:cNvPr id="2137" name="Picture_13_SpCnt_17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14" name="Picture_13_SpCnt_178"/>
                  <wp:cNvGraphicFramePr/>
                  <a:graphic xmlns:a="http://schemas.openxmlformats.org/drawingml/2006/main">
                    <a:graphicData uri="http://schemas.openxmlformats.org/drawingml/2006/picture">
                      <pic:pic xmlns:pic="http://schemas.openxmlformats.org/drawingml/2006/picture">
                        <pic:nvPicPr>
                          <pic:cNvPr id="2114" name="Picture_13_SpCnt_17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39" name="Picture_12_SpCnt_113"/>
                  <wp:cNvGraphicFramePr/>
                  <a:graphic xmlns:a="http://schemas.openxmlformats.org/drawingml/2006/main">
                    <a:graphicData uri="http://schemas.openxmlformats.org/drawingml/2006/picture">
                      <pic:pic xmlns:pic="http://schemas.openxmlformats.org/drawingml/2006/picture">
                        <pic:nvPicPr>
                          <pic:cNvPr id="2139" name="Picture_12_SpCnt_11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10" name="Picture_12_SpCnt_114"/>
                  <wp:cNvGraphicFramePr/>
                  <a:graphic xmlns:a="http://schemas.openxmlformats.org/drawingml/2006/main">
                    <a:graphicData uri="http://schemas.openxmlformats.org/drawingml/2006/picture">
                      <pic:pic xmlns:pic="http://schemas.openxmlformats.org/drawingml/2006/picture">
                        <pic:nvPicPr>
                          <pic:cNvPr id="2110" name="Picture_12_SpCnt_11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19" name="Picture_13_SpCnt_179"/>
                  <wp:cNvGraphicFramePr/>
                  <a:graphic xmlns:a="http://schemas.openxmlformats.org/drawingml/2006/main">
                    <a:graphicData uri="http://schemas.openxmlformats.org/drawingml/2006/picture">
                      <pic:pic xmlns:pic="http://schemas.openxmlformats.org/drawingml/2006/picture">
                        <pic:nvPicPr>
                          <pic:cNvPr id="2119" name="Picture_13_SpCnt_17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116" name="Picture_11_SpCnt_61"/>
                  <wp:cNvGraphicFramePr/>
                  <a:graphic xmlns:a="http://schemas.openxmlformats.org/drawingml/2006/main">
                    <a:graphicData uri="http://schemas.openxmlformats.org/drawingml/2006/picture">
                      <pic:pic xmlns:pic="http://schemas.openxmlformats.org/drawingml/2006/picture">
                        <pic:nvPicPr>
                          <pic:cNvPr id="2116" name="Picture_11_SpCnt_61"/>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66" name="Picture_12_SpCnt_115"/>
                  <wp:cNvGraphicFramePr/>
                  <a:graphic xmlns:a="http://schemas.openxmlformats.org/drawingml/2006/main">
                    <a:graphicData uri="http://schemas.openxmlformats.org/drawingml/2006/picture">
                      <pic:pic xmlns:pic="http://schemas.openxmlformats.org/drawingml/2006/picture">
                        <pic:nvPicPr>
                          <pic:cNvPr id="2166" name="Picture_12_SpCnt_11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67" name="Picture_12_SpCnt_116"/>
                  <wp:cNvGraphicFramePr/>
                  <a:graphic xmlns:a="http://schemas.openxmlformats.org/drawingml/2006/main">
                    <a:graphicData uri="http://schemas.openxmlformats.org/drawingml/2006/picture">
                      <pic:pic xmlns:pic="http://schemas.openxmlformats.org/drawingml/2006/picture">
                        <pic:nvPicPr>
                          <pic:cNvPr id="2167" name="Picture_12_SpCnt_116"/>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168" name="Picture_11_SpCnt_62"/>
                  <wp:cNvGraphicFramePr/>
                  <a:graphic xmlns:a="http://schemas.openxmlformats.org/drawingml/2006/main">
                    <a:graphicData uri="http://schemas.openxmlformats.org/drawingml/2006/picture">
                      <pic:pic xmlns:pic="http://schemas.openxmlformats.org/drawingml/2006/picture">
                        <pic:nvPicPr>
                          <pic:cNvPr id="2168" name="Picture_11_SpCnt_62"/>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52" name="Picture_1_SpCnt_64"/>
                  <wp:cNvGraphicFramePr/>
                  <a:graphic xmlns:a="http://schemas.openxmlformats.org/drawingml/2006/main">
                    <a:graphicData uri="http://schemas.openxmlformats.org/drawingml/2006/picture">
                      <pic:pic xmlns:pic="http://schemas.openxmlformats.org/drawingml/2006/picture">
                        <pic:nvPicPr>
                          <pic:cNvPr id="2152" name="Picture_1_SpCnt_6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65" name="Picture_13_SpCnt_180"/>
                  <wp:cNvGraphicFramePr/>
                  <a:graphic xmlns:a="http://schemas.openxmlformats.org/drawingml/2006/main">
                    <a:graphicData uri="http://schemas.openxmlformats.org/drawingml/2006/picture">
                      <pic:pic xmlns:pic="http://schemas.openxmlformats.org/drawingml/2006/picture">
                        <pic:nvPicPr>
                          <pic:cNvPr id="2165" name="Picture_13_SpCnt_18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56" name="Picture_10_SpCnt_64"/>
                  <wp:cNvGraphicFramePr/>
                  <a:graphic xmlns:a="http://schemas.openxmlformats.org/drawingml/2006/main">
                    <a:graphicData uri="http://schemas.openxmlformats.org/drawingml/2006/picture">
                      <pic:pic xmlns:pic="http://schemas.openxmlformats.org/drawingml/2006/picture">
                        <pic:nvPicPr>
                          <pic:cNvPr id="2156" name="Picture_10_SpCnt_6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53" name="Picture_11_SpCnt_63"/>
                  <wp:cNvGraphicFramePr/>
                  <a:graphic xmlns:a="http://schemas.openxmlformats.org/drawingml/2006/main">
                    <a:graphicData uri="http://schemas.openxmlformats.org/drawingml/2006/picture">
                      <pic:pic xmlns:pic="http://schemas.openxmlformats.org/drawingml/2006/picture">
                        <pic:nvPicPr>
                          <pic:cNvPr id="2153" name="Picture_11_SpCnt_63"/>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72" name="Picture_12_SpCnt_117"/>
                  <wp:cNvGraphicFramePr/>
                  <a:graphic xmlns:a="http://schemas.openxmlformats.org/drawingml/2006/main">
                    <a:graphicData uri="http://schemas.openxmlformats.org/drawingml/2006/picture">
                      <pic:pic xmlns:pic="http://schemas.openxmlformats.org/drawingml/2006/picture">
                        <pic:nvPicPr>
                          <pic:cNvPr id="2172" name="Picture_12_SpCnt_117"/>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148" name="Picture_2_SpCnt_46"/>
                  <wp:cNvGraphicFramePr/>
                  <a:graphic xmlns:a="http://schemas.openxmlformats.org/drawingml/2006/main">
                    <a:graphicData uri="http://schemas.openxmlformats.org/drawingml/2006/picture">
                      <pic:pic xmlns:pic="http://schemas.openxmlformats.org/drawingml/2006/picture">
                        <pic:nvPicPr>
                          <pic:cNvPr id="2148" name="Picture_2_SpCnt_46"/>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54" name="Picture_11_SpCnt_64"/>
                  <wp:cNvGraphicFramePr/>
                  <a:graphic xmlns:a="http://schemas.openxmlformats.org/drawingml/2006/main">
                    <a:graphicData uri="http://schemas.openxmlformats.org/drawingml/2006/picture">
                      <pic:pic xmlns:pic="http://schemas.openxmlformats.org/drawingml/2006/picture">
                        <pic:nvPicPr>
                          <pic:cNvPr id="2154" name="Picture_11_SpCnt_64"/>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59" name="Picture_13_SpCnt_181"/>
                  <wp:cNvGraphicFramePr/>
                  <a:graphic xmlns:a="http://schemas.openxmlformats.org/drawingml/2006/main">
                    <a:graphicData uri="http://schemas.openxmlformats.org/drawingml/2006/picture">
                      <pic:pic xmlns:pic="http://schemas.openxmlformats.org/drawingml/2006/picture">
                        <pic:nvPicPr>
                          <pic:cNvPr id="2159" name="Picture_13_SpCnt_18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69" name="Picture_13_SpCnt_182"/>
                  <wp:cNvGraphicFramePr/>
                  <a:graphic xmlns:a="http://schemas.openxmlformats.org/drawingml/2006/main">
                    <a:graphicData uri="http://schemas.openxmlformats.org/drawingml/2006/picture">
                      <pic:pic xmlns:pic="http://schemas.openxmlformats.org/drawingml/2006/picture">
                        <pic:nvPicPr>
                          <pic:cNvPr id="2169" name="Picture_13_SpCnt_18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45" name="Picture_1_SpCnt_65"/>
                  <wp:cNvGraphicFramePr/>
                  <a:graphic xmlns:a="http://schemas.openxmlformats.org/drawingml/2006/main">
                    <a:graphicData uri="http://schemas.openxmlformats.org/drawingml/2006/picture">
                      <pic:pic xmlns:pic="http://schemas.openxmlformats.org/drawingml/2006/picture">
                        <pic:nvPicPr>
                          <pic:cNvPr id="2145" name="Picture_1_SpCnt_6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57" name="Picture_13_SpCnt_183"/>
                  <wp:cNvGraphicFramePr/>
                  <a:graphic xmlns:a="http://schemas.openxmlformats.org/drawingml/2006/main">
                    <a:graphicData uri="http://schemas.openxmlformats.org/drawingml/2006/picture">
                      <pic:pic xmlns:pic="http://schemas.openxmlformats.org/drawingml/2006/picture">
                        <pic:nvPicPr>
                          <pic:cNvPr id="2157" name="Picture_13_SpCnt_18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46" name="Picture_13_SpCnt_184"/>
                  <wp:cNvGraphicFramePr/>
                  <a:graphic xmlns:a="http://schemas.openxmlformats.org/drawingml/2006/main">
                    <a:graphicData uri="http://schemas.openxmlformats.org/drawingml/2006/picture">
                      <pic:pic xmlns:pic="http://schemas.openxmlformats.org/drawingml/2006/picture">
                        <pic:nvPicPr>
                          <pic:cNvPr id="2146" name="Picture_13_SpCnt_18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62" name="Picture_13_SpCnt_185"/>
                  <wp:cNvGraphicFramePr/>
                  <a:graphic xmlns:a="http://schemas.openxmlformats.org/drawingml/2006/main">
                    <a:graphicData uri="http://schemas.openxmlformats.org/drawingml/2006/picture">
                      <pic:pic xmlns:pic="http://schemas.openxmlformats.org/drawingml/2006/picture">
                        <pic:nvPicPr>
                          <pic:cNvPr id="2162" name="Picture_13_SpCnt_18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55" name="Picture_13_SpCnt_186"/>
                  <wp:cNvGraphicFramePr/>
                  <a:graphic xmlns:a="http://schemas.openxmlformats.org/drawingml/2006/main">
                    <a:graphicData uri="http://schemas.openxmlformats.org/drawingml/2006/picture">
                      <pic:pic xmlns:pic="http://schemas.openxmlformats.org/drawingml/2006/picture">
                        <pic:nvPicPr>
                          <pic:cNvPr id="2155" name="Picture_13_SpCnt_186"/>
                          <pic:cNvPicPr/>
                        </pic:nvPicPr>
                        <pic:blipFill>
                          <a:blip r:embed="rId39"/>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51" name="Picture_13_SpCnt_187"/>
                  <wp:cNvGraphicFramePr/>
                  <a:graphic xmlns:a="http://schemas.openxmlformats.org/drawingml/2006/main">
                    <a:graphicData uri="http://schemas.openxmlformats.org/drawingml/2006/picture">
                      <pic:pic xmlns:pic="http://schemas.openxmlformats.org/drawingml/2006/picture">
                        <pic:nvPicPr>
                          <pic:cNvPr id="2151" name="Picture_13_SpCnt_18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58" name="Picture_13_SpCnt_188"/>
                  <wp:cNvGraphicFramePr/>
                  <a:graphic xmlns:a="http://schemas.openxmlformats.org/drawingml/2006/main">
                    <a:graphicData uri="http://schemas.openxmlformats.org/drawingml/2006/picture">
                      <pic:pic xmlns:pic="http://schemas.openxmlformats.org/drawingml/2006/picture">
                        <pic:nvPicPr>
                          <pic:cNvPr id="2158" name="Picture_13_SpCnt_18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70" name="Picture_13_SpCnt_189"/>
                  <wp:cNvGraphicFramePr/>
                  <a:graphic xmlns:a="http://schemas.openxmlformats.org/drawingml/2006/main">
                    <a:graphicData uri="http://schemas.openxmlformats.org/drawingml/2006/picture">
                      <pic:pic xmlns:pic="http://schemas.openxmlformats.org/drawingml/2006/picture">
                        <pic:nvPicPr>
                          <pic:cNvPr id="2170" name="Picture_13_SpCnt_18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60" name="Picture_12_SpCnt_118"/>
                  <wp:cNvGraphicFramePr/>
                  <a:graphic xmlns:a="http://schemas.openxmlformats.org/drawingml/2006/main">
                    <a:graphicData uri="http://schemas.openxmlformats.org/drawingml/2006/picture">
                      <pic:pic xmlns:pic="http://schemas.openxmlformats.org/drawingml/2006/picture">
                        <pic:nvPicPr>
                          <pic:cNvPr id="2160" name="Picture_12_SpCnt_11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44" name="Picture_13_SpCnt_190"/>
                  <wp:cNvGraphicFramePr/>
                  <a:graphic xmlns:a="http://schemas.openxmlformats.org/drawingml/2006/main">
                    <a:graphicData uri="http://schemas.openxmlformats.org/drawingml/2006/picture">
                      <pic:pic xmlns:pic="http://schemas.openxmlformats.org/drawingml/2006/picture">
                        <pic:nvPicPr>
                          <pic:cNvPr id="2144" name="Picture_13_SpCnt_190"/>
                          <pic:cNvPicPr/>
                        </pic:nvPicPr>
                        <pic:blipFill>
                          <a:blip r:embed="rId40"/>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171" name="Picture_13_SpCnt_191"/>
                  <wp:cNvGraphicFramePr/>
                  <a:graphic xmlns:a="http://schemas.openxmlformats.org/drawingml/2006/main">
                    <a:graphicData uri="http://schemas.openxmlformats.org/drawingml/2006/picture">
                      <pic:pic xmlns:pic="http://schemas.openxmlformats.org/drawingml/2006/picture">
                        <pic:nvPicPr>
                          <pic:cNvPr id="2171" name="Picture_13_SpCnt_191"/>
                          <pic:cNvPicPr/>
                        </pic:nvPicPr>
                        <pic:blipFill>
                          <a:blip r:embed="rId40"/>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147" name="Picture_11_SpCnt_65"/>
                  <wp:cNvGraphicFramePr/>
                  <a:graphic xmlns:a="http://schemas.openxmlformats.org/drawingml/2006/main">
                    <a:graphicData uri="http://schemas.openxmlformats.org/drawingml/2006/picture">
                      <pic:pic xmlns:pic="http://schemas.openxmlformats.org/drawingml/2006/picture">
                        <pic:nvPicPr>
                          <pic:cNvPr id="2147" name="Picture_11_SpCnt_65"/>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61" name="Picture_13_SpCnt_192"/>
                  <wp:cNvGraphicFramePr/>
                  <a:graphic xmlns:a="http://schemas.openxmlformats.org/drawingml/2006/main">
                    <a:graphicData uri="http://schemas.openxmlformats.org/drawingml/2006/picture">
                      <pic:pic xmlns:pic="http://schemas.openxmlformats.org/drawingml/2006/picture">
                        <pic:nvPicPr>
                          <pic:cNvPr id="2161" name="Picture_13_SpCnt_19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63" name="Picture_13_SpCnt_193"/>
                  <wp:cNvGraphicFramePr/>
                  <a:graphic xmlns:a="http://schemas.openxmlformats.org/drawingml/2006/main">
                    <a:graphicData uri="http://schemas.openxmlformats.org/drawingml/2006/picture">
                      <pic:pic xmlns:pic="http://schemas.openxmlformats.org/drawingml/2006/picture">
                        <pic:nvPicPr>
                          <pic:cNvPr id="2163" name="Picture_13_SpCnt_19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41" name="Picture_12_SpCnt_119"/>
                  <wp:cNvGraphicFramePr/>
                  <a:graphic xmlns:a="http://schemas.openxmlformats.org/drawingml/2006/main">
                    <a:graphicData uri="http://schemas.openxmlformats.org/drawingml/2006/picture">
                      <pic:pic xmlns:pic="http://schemas.openxmlformats.org/drawingml/2006/picture">
                        <pic:nvPicPr>
                          <pic:cNvPr id="2141" name="Picture_12_SpCnt_11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64" name="Picture_10_SpCnt_65"/>
                  <wp:cNvGraphicFramePr/>
                  <a:graphic xmlns:a="http://schemas.openxmlformats.org/drawingml/2006/main">
                    <a:graphicData uri="http://schemas.openxmlformats.org/drawingml/2006/picture">
                      <pic:pic xmlns:pic="http://schemas.openxmlformats.org/drawingml/2006/picture">
                        <pic:nvPicPr>
                          <pic:cNvPr id="2164" name="Picture_10_SpCnt_6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49" name="Picture_13_SpCnt_194"/>
                  <wp:cNvGraphicFramePr/>
                  <a:graphic xmlns:a="http://schemas.openxmlformats.org/drawingml/2006/main">
                    <a:graphicData uri="http://schemas.openxmlformats.org/drawingml/2006/picture">
                      <pic:pic xmlns:pic="http://schemas.openxmlformats.org/drawingml/2006/picture">
                        <pic:nvPicPr>
                          <pic:cNvPr id="2149" name="Picture_13_SpCnt_19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42" name="Picture_13_SpCnt_195"/>
                  <wp:cNvGraphicFramePr/>
                  <a:graphic xmlns:a="http://schemas.openxmlformats.org/drawingml/2006/main">
                    <a:graphicData uri="http://schemas.openxmlformats.org/drawingml/2006/picture">
                      <pic:pic xmlns:pic="http://schemas.openxmlformats.org/drawingml/2006/picture">
                        <pic:nvPicPr>
                          <pic:cNvPr id="2142" name="Picture_13_SpCnt_19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143" name="Picture_2_SpCnt_47"/>
                  <wp:cNvGraphicFramePr/>
                  <a:graphic xmlns:a="http://schemas.openxmlformats.org/drawingml/2006/main">
                    <a:graphicData uri="http://schemas.openxmlformats.org/drawingml/2006/picture">
                      <pic:pic xmlns:pic="http://schemas.openxmlformats.org/drawingml/2006/picture">
                        <pic:nvPicPr>
                          <pic:cNvPr id="2143" name="Picture_2_SpCnt_47"/>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50" name="Picture_13_SpCnt_196"/>
                  <wp:cNvGraphicFramePr/>
                  <a:graphic xmlns:a="http://schemas.openxmlformats.org/drawingml/2006/main">
                    <a:graphicData uri="http://schemas.openxmlformats.org/drawingml/2006/picture">
                      <pic:pic xmlns:pic="http://schemas.openxmlformats.org/drawingml/2006/picture">
                        <pic:nvPicPr>
                          <pic:cNvPr id="2150" name="Picture_13_SpCnt_19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2700"/>
                  <wp:effectExtent l="0" t="0" r="0" b="0"/>
                  <wp:wrapNone/>
                  <wp:docPr id="2175" name="Picture_13_SpCnt_197"/>
                  <wp:cNvGraphicFramePr/>
                  <a:graphic xmlns:a="http://schemas.openxmlformats.org/drawingml/2006/main">
                    <a:graphicData uri="http://schemas.openxmlformats.org/drawingml/2006/picture">
                      <pic:pic xmlns:pic="http://schemas.openxmlformats.org/drawingml/2006/picture">
                        <pic:nvPicPr>
                          <pic:cNvPr id="2175" name="Picture_13_SpCnt_19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6"/>
                <w:szCs w:val="16"/>
                <w:u w:val="none"/>
                <w:lang w:val="en-US" w:eastAsia="zh-CN" w:bidi="ar"/>
              </w:rPr>
              <w:t>天线放大器</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1.低失真、低噪声、高三阶交调截取点的双路1分4天线分配系统。</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2.全面适用于UHF频带的无线系统，支持2-4台无线系统的应用，同时可为无线设备提供供电。</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3.天线为单指向对称周期天线，工作频带宽，高增益，驻波比低。适用于无线系统增强信号的稳定性。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4.频率范围：480MHz--950MHz。</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5.具有≥8个BNC母头连接器端口、≥4路直流输出供电口。</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59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1.6扩声系统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8寸吸顶音箱</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1.频响范围：不劣于50-20KHZ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2.8寸吸顶音箱</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3.标准阻抗：8Ω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4.灵敏度不低于90dB</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5.额定功率不小于100W</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功率放大器</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1.立体声模式额定功率：≥8Ω350W*2，≥4Ω500W*2，≥桥接8Ω700W</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2.信噪比不低于98DB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3.失真度THD&lt;0.5%</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4.输入阻抗不低于20KΩ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5.频率响应：20HZ-20KHZ@1w</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6.阻尼系数：&gt;200</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7.具有输出短路,过热,自动限幅,长期输出功率,直流/交流保护装置</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16路调音台（四编组）</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1.支持≥12路XLR平衡单声道输入，支持≥4路立体声输入；</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2.需内置效果器，≥24种DSP数字效果器；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3.输入通道应支持≥3段均衡调节；</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4.输出通道支持≥7段图示均衡器；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5.≥4编组输出；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6.≥4组AUX输出；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7.每路输入支持独立的48V幻象电源；</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8.需支持USB音频播放MP3，USB录音，也可连电脑播放音乐；</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9.需内置蓝牙5.0接收播放；</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10.推子≥100MM；</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网络音频处理器</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1.开放式架构可编程处理器，软件采用拖拽式界面可以进行自由灵活设计；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2.支持中文版编程控制软件；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3.除编程控制软件外，还需支持UCI界面（用户控制界面），可根据用户需求自定义界面内容，方便终端用户的使用；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4.支持≥48*48路网络音频通道，兼容AES67标准，可与其它品牌网络音频协议互联互通；</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5.支持≥16路模拟音频输入，均可以配置成麦克风\线路电平模拟通道，≥16路模拟音频输出；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6.支持≥4个千兆太网端口，用于网络音频级连方式、网络备份连接、软件控制连接；</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7.支持≥1路SPDIF数字音频接口音频输入\输出；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8.支持≥1个USB接口作为预留接口，可在软件中自定义功能；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9.支持RS232、RS485控制接口用于第三方中控控制；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10.支持移频啸叫抑制模块，支持陷波啸叫抑制模块；</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11.支持AEC回声消除模块；</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12.支持前面板≥3寸显示屏，可输入、输出电平，查看IP地址等信息；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13.支持外部控制面板控制，控制面板可选择多种类型；</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14.支持自动增益器、压缩器、限制器、噪声门、扩展器、限制器、自动混音器等功能；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15.支持不低于64*64混音模块，并能调节输入、输出端口的端口增益与静音开关；</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16.动态范围：≥104dB；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17.信噪比 ≥105dB；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18.频率响应：宽于或等于20Hz~20kHz</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19.支持宽电压，电压范围：宽于或等于88-265V；</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32路大型音频处理矩阵拖拽式控制软件</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1.设计模式：采用拖拽式，模块化设计方式，将设备之间和音频处理模块之间进行，模块化设计；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2.调试模式：即联机模式，此模式支持联机调试；</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3.支持第三方外设控制：支持RS232、RS485和网络（UDP），使用第三方软件进行控制；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4.用户控制界面：为用户提供常见的接口状态信息显示、调节方式，并且提供了全面的混音矩阵显示模式，为满足客户的特殊需求；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5.支持用户权限管理：可以自定义为管理员、用户和访客模式，并进行命名和密码设置，满足客户对不同用户之间的需求；</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6.支持预设场景预设模式：支持对整体设计文件的预设场景，并且支持对单个模块预设场景的保存模式；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7.支持双语（中英界面）：全软件支持中文界面和英文界面；</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8.支持常用快捷键操作：例如“Ctrl+C复制”，“Ctrl+A全选”，“Ctrl+V粘贴”，“Ctrl+S保存”等等；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9.支持选用模块自动排序：例如选择模块居中、上对齐、下对齐等等；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10.支持锁定用户功能：在在调试过程中临时离开，可以使用此功能，锁定当前状态；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11.支持自动保存状态：在设计模式或者调试模式，后台进行自动保存，5分钟进行自动保存，放置设备或者电脑突然掉电，设备参数未保存；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12.支持颜色自由选配：支持设计模式下，模块颜色自定义，背景颜色自定义；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13.支持工作界面缩放功能：工作界面缩放可以通过，鼠标滚轮、工具栏图标进行缩放；</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14.支持工作界面缩放功能：工作界面区域可以通过工具栏“手”型图标进行界面移动。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反馈抑制器</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1.≥5路卡侬和大二芯复合插头信号输入；</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2.具有自适应反馈算法、陷波器算法、低音补偿算法、自动混音算法功能；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3.每路信号独立的音量调节，独立的48V供电;</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4.具备全自动检测啸叫点功能，实现全自动反馈消除;</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5.具备声场校正，一键粉红噪声测试功能；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6.具有显示屏，显示输入信号电平;</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7.支持不低于2路XLR卡侬输出接口；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8.支持不低于2路RCA输入，不低于2路RCA输出，带独立增益调节功能；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9.在声学反馈发生之前，可以获得≥12dB的增益；</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10.频率响应：不低于20Hz~20KHz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11.THD：≤0.1%@1KHz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12.信噪比：≥90dB；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13.信噪比：≥110dB；</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14.采样率：≥48KHz24Bit；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电源控制器</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1.输出万能插座；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2.≥12路电源时序控制，每路延时≥1秒，可通过软件设置延时≥10分钟关闭；</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3.整机容量≥63A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4.后板≥6路输出带电源净化功能；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5.具备级联接口；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6.具备标准RS232串口控制功能，可设置≥255个ID地址，可支持≥255台同时使用，适合于大规模集中控制；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7.具备外部电平(5V-24V)控制接口；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8.可以显示当前电压、每路开关状态；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9.具备面板LOCK锁定功能；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10.每路输出均可单独控制开关，亦可将单独控制的开关进行锁定，以免误操作；</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11.具备定时器，可设置定时关机；</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1.5米 卡侬公头卡农母头</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1.5米 卡侬公转卡农母线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5米 两根莲花头一根3.5头</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5米3.5mm——双莲花成品线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RCA转6.5插头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RCA转6.5插头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音频隔离器</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专业隔离变压器，消除音响电流声噪声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机柜</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22U标准机柜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音箱线</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RVV双芯1.5平方护套线，100米/卷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二、会议室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2.1无纸化办公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高清会议终端</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  高清视频会议终端与市交警支队MCU实现无缝数字对接。不得采用模拟背靠背的方式对接。</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   采用硬件分体式结构,嵌入式操作系统，非PC架构、非工控机架构。</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   会议速率支持128Kbps—8Mbps。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 支持ITU-T H.323和IETF SIP通信标准。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  支持H.263、H.264、H.264 High Profile、MPEG4等视频编解码协议。</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  支持G.711、G.722、G.728、G.722.1AnnexC、G.719、MPEG4-AAC LC/LD等音频协议，可达到20KHz以上的宽频效果。</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   支持H.239标准双流协议。</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  支持1080p30、720p60、720p30高清视频编解码，并向下兼容4CIF、CIF标清图像格式。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   支持动态图像双流和PC图像双流两种功能，在保证主流视频1080p 30fps前提下，第二路视频流不低于1080p30fps。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 提供不少于3路独立的高清视频输入接口、2路高清输出接口，其中需包含1路3G-SDI高清输入接口满足高清摄像机图像到终端的长距离无损传输；提供1路独立的标清视频输入/输出接口，不得采用私有非标接口或转接线缆实现。</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 提供不少于4路音频输入接口，4路音频输出接口，支持模拟卡侬麦克风、数字麦克风音频输入接口。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 支持1个RJ11电话接口，支持空闲或会议中电话接入。</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 系统具有字幕叠加功能，可通过终端控制系统在本地图像上不同位置设置叠加中文会场名、横幅、滚动字幕。</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  主席终端支持广播发言会场、主席选看、主席轮询、邀请终端入会、强制终端退会、结束会议等功能。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15.  支持在终端控制软件对本地和远端会场图像进行实时监控及预览。</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16.  PC安装双流软件后，可以通过无线网络将PC桌面图像发送至终端作为辅流图像源传至远端，图像清晰流畅。</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17.  终端在空闲状态下，与外置的数字录像点播服务器配合，支持终端点播功能。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18.  具有基本的系统检测诊断功能，包括呼叫状态显示、网络信息统计、本端音视频自环测试、日志、远程升级维护等功能。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19.  提供不少于2个10/100/1000M以太网接口，支持网口热备份。</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  具备较强的网络抗丢包能力，在IP网络达到12%丢包时声音清晰、图像流畅、无马赛克，25%的丢包率情况下会议仍可进行。</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会议摄像机</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  会议摄像机需与高清会议终端同一品牌。</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  支持壁装、三脚架安装或吊顶安装等多种安装方式，可按用户需求进行安装。</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  镜头图像传感器采用不小于1/2.8" 传感器，支持1080p30、1080p25、720p60、720p50等高清信号输出。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  支持不小于12倍光学变焦。</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  支持广角镜头，水平视角不小于72°。</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  视频输出接口具备SDI、DVI、HDBaseT接口。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  支持供电、显示、控制多线合一，只连接一根超五类网线实现供电、图像显示、摄像机控制，支持信号传输100米。</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   支持RS422控制接口，支持标准VISCA协议，支持摄像机通过控制口RS422实现菊花链控制，菊花链控制摄像机不小于7个。</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   支持中文OSD菜单，可在OSD中对摄像机进行设置。</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  水平转动范围：≥ ±160°，垂直转动范围：≥ -90°～50°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  支持自带显示屏，可方便显示视频输出分辨率。</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  支持根据安装方向自动翻转图像。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  支持保存不少于255个预置位。</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  支持ZigBee控制，支持360°控制、有遮挡物时也能正常控制。</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 支持终端遥控器通过摄像机反向控制会议终端。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会议接入授权</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会议接入授权，实现与支队现有的视频会议系统无缝衔接。</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无纸化管理服务器-2U（带复位电路）</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1.支持网络通讯对接协议，与第三方中控对接；</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2.操作系统支持：支持安装windows、linux、VMware esxi等主流操作系统的各个版本；</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3.采用易于管理的机架式服务器，支持高速串行总线数据的吞吐量16GT/s的传输速率；</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4.支持Wake-on-LAN、Wake-on-Wireless-LAN唤醒技术，定制BIOS固件提升数据密集型应用程序性能；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5.具有内存、CPU、网卡、存储器模块化替换设计；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6.系统整体性能监控功能,对资源池中CPU、网络、磁盘使用率等指标进行实时的数据统计,并能反映现阶段物理资源瓶颈报警；</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7.支持不低于I5、8G 内存 256G固态硬盘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8.支持不低于一路HDMI信号输入、支持一路HDMI、一路VGA信号输出。支持HDMI2.0输出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9.支持与会场同步信号跟踪功能，当会场无同步信号时，输出接口输出画面为会议欢迎标语；</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10.不低于4个标准的 7Pin SATA 接口，支持 SATA3.0、SATA2.0 和 SATA1.0；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11.不低于2个标准 RJ45 千兆网口接口，支持 110/100/1000Mbpss；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12.不低于4个USB3.0、4个USB2.0；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13.不低于2路RS232，支持RS422、RS485模式，最大可拓展6路；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14.支持不低于1路Line out, 1路MIC_ in、1路Line_ IN；</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15.服务器支持FPGA同步、异步复位功能，保证系统进入统一协调工作环境，保证实现更高的性能；</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16.支持GPIO8位可编程数字I/0接口，自定义输入输出设备接入或功能；</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多媒体会议智能呼叫互动服务软件</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1.会务人员处理完后可以通过服务记录查询；</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2.支持跨操作平台组网、无线有线混合组网；</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数据信息双备份机制，数据本地服务器同步存储、服务器数据库核对后执行存储数据归档入库，映射触发事件建表后，对比本地存储数据与数据库主从信息表是否一致，保证终端断网、断电会议资料不会丢失；</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4.支持参会人员的服务功能，会议服务人员响应参会人的茶、水、纸笔、卫生清理、自定义服务等。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5.支持通过网络发送服务请求，会议服务人员可以快速定位参会人员位置、需求，从而快速提供服务，不影响会议的正常进行。</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6.实时显示会议室呼叫服务信息，包括会议室信息，呼叫人名，呼叫内容，服务人员需手动消除服务；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多媒体会议平台综合管理软件</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1.支持会议资料整理，会议结束后一键打包会前、会中、会后所有资料，包括签到信息、投票结果、会议纪要、批注资料等，可以对会议资料一键销毁；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2.支持跨操作平台组网、无线有线混合组网；</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3.服务后台可同时处理不少于500台客户端无纸化；</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4.支持管理、控制、数据交互、服务等功能，支持远程登录web管理；支持对服务器进行统一配置管理，包括会议服务器、流媒体服务器。配置其名称、ID、网络地址、备注等详细信息；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5.无纸化软件双备份事件信息通讯架构，客户端终端软件采用分布通讯模式设计，任意一台客户端程序均能唤出后台授权账户验证窗口进行系统设置、上会会议流程开始；</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数据信息双备份机制，数据本地服务器同步存储、服务器数据库核对后执行存储数据归档入库，映射触发事件建表后，对比本地存储数据与数据库主从信息表是否一致，保证终端断网、断电会议资料不会丢失；</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7.软件支持数据流兼容性验证设置菜单，解决码流带宽、网络通讯、编解码适用性问题，保证用户使用便捷性；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8.软件支持三种以上的背屏硬件及通讯方式（TCP为独立IP背屏、USB可拓展无线、扩展为VGA输出）；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9.软件对在线离线设备实时监控显示，并通过参数配置对异常设备做故障判断；</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10.软件具备多种签到模式，如免签、访客、密码、签名、人脸识别（定制版本）；</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11.支持多个设备可以被多个会议室同步添加，实现主会场、分会场、合并会场场景应用；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12.软件支持多会议室的（1对多、多对1、1对1）流媒体投影管理，实现互联互通最后一步；</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13.软件支持数据重复调用功能，记录每次参会人员信息，下次上会时可快速编辑参会人员信息；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支持使用可视化设计工具对会议室真实布局进行绘制，可根据真实会议室场景平面图作为底图，按照真实布局对固定资产摆放、无纸化终端摆放及终端绑定，在会议室布局图上可以进行参会人员模拟排位，会议终端显示人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15.支持参会人员会议模拟排位，在会议室实际可视化图形布局上通过拖拽的方式设置参会人员排位，每个议题都可以设置不同的人员排位；</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16.软件电子桌牌支持图片、图片加文字显示，字段对象自定义设计。电子桌牌的底图可以根据要求定制并上传，支持格式JPG，分辨率768*1080；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17.会议议程不少于3种方式，导入议程文件、在线编辑议程、时间轴议程，有效提示会议组织者会议节奏的控制；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18.支持标签技术为多播推送大数据流时，提高效率寻址、标签的提高效率和保证稳定性；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19.控制客户端软件的应用软件模块，不少于8种会议功能，可快速叠加卸载应用。包括：会议功能、会议资料、签到信息、会议议程、批注查看、电子白板、视频直播、互动交流、业务导航；</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20.支持一个会议创建多个会议议题，支持每个议题上传关联多个会议资料，会议资料支持常用版本的Office文档类、PDF类、图片类、视频类文件资源，支持会议中每个议题都可以设置不同的参会人员、会议秘书和会议主席，会议终端能够根据设置自动切换参会人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21.支持在组织架构中直接添加参会人员，也支持单独添加参会人员时选择所在部门；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22.支持配置多个会议管理员，并且不同的会议管理员创建的会议信息独立保密；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23.支持灵活配置系统用户角色，并设置角色用户在管理系统中的操作功能、操作权限；</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24.支持会议终端使用角色的设置，包括参会人员、会议秘书、会议主席；</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25.支持通过管理后台对会议室终端管理，支持全部开关机和升降控制，支持分组开关机和升降控制；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26.网络KVM仿真技术，实现对同屏过程中信号源屏幕的预览和远程控制；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27.公告广播强切控制技术，有效控制会议进程；</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28.会议归档信息采用转码打包，起到第一层加密措施，在归档前点加密，为第二次加密算法保密，多重加密技术应用；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29.支持通过管理后台创建投票表决项，支持赞成/反对、分值、优良中差等投票模式；</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30.支持视频点播服务，支持添加视频文件，可在管理后台网页预览，支持设置参会人员观看权限，具备权限的参会人员在客户端可自由点播查看。支持视频直播服务，支持添加rtmp/rtsp格式直播流，可在管理后台网页预览，支持设置参会人员观看权限，具备权限的参会人员在客户端可选择查看；</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多媒体会议客户端可视化应用控制软件</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1.支持U盘支持断点续传及自动弹窗事件触发功能，快速稳定浏览文件；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2.支持跨操作平台组网、无线有线混合组网；</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3.支持会议终端的多角色设定，可以灵活指定会议主席、会议秘书席位；</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4.支持会议前的欢迎界面自动根据会议自定义设置更新显示，显示内容可自定义包括但不限于本次会议主题、本次会议时间；</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5.支持电子桌牌显示参会人员信息；显示内容可自定义包括但不限于参会人员中英文姓名、职务、单位；</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6.支持设置信息化签到方式，不少于5种签到方式，会议签到方式通过服务器端进行设置；</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7.支持文件点对点推送解码技术，降低带宽、帧率稳定；</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8.支持通过会议议题分组查看会议资料，支持常用版本的Word、PPT、PDF、Excel、图片、视频等会议资料的查阅；</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9.支持会议资料查阅的过程中进行批注、标记功能，批注内容自动保存；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支持数据信息双备份机制，数据本地服务器同步存储、服务器数据库核对后执行存储数据归档入库，映射触发事件建表后，对比本地存储数据与数据库主从信息表是否一致，保证终端断网、断电会议资料不会丢失；</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11.支持参会人员同屏申请指定无纸化终端跟随自己的屏幕查看会议资料，同屏支持普通跟随和强制跟随；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12.异地开会会后签字，打开签字功能直接在文件上签字；</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13.支持参会人员屏幕投放大屏幕显示，大屏幕支持全屏、四分屏的模式；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14.电子白板可以自定义参会人员同屏交互，实现分组讨论；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15.支持会议交流，参会人员可一对一或者一对多互发消息进行交流；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16.支持会中对会议交流的控制功能，会中可随时禁止交流、启用交流；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17.支持启动已经创建好的投票表决项，也可以临时创建投票表决；支持实名、匿名两种表决方式，支持投票表决结果实时统计，会议主席和秘书可以选择是否公布表决结果；</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18.支持多路外部信号接入，能够预览外部信号图像和全屏显示，外部信号支持同屏和投屏；</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无纸化多媒体终端控制主机-I5</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1.可选无线WIFI，采用标准IEEE802.11b/g/n协议无线网卡；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2.支持Window7、10、Linux操作系统；</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3.支持Wake-on-LAN、Wake-on-Wireless-LAN唤醒技术，定制BIOS固件提升数据密集型应用程序性能；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4.具有内存、CPU、网卡、存储器模块化替换设计；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5.系统整体性能监控功能,对资源池中CPU、网络、磁盘使用率等指标进行实时的数据统计,并能反映现阶段物理资源瓶颈报警；</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6.配置不低于i5、8G内存、128G固态硬盘；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7.支持不低于一路HDMI、一路VGA信号输入/输出；</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8.≥RJ45*1，≥USB2.0*4，≥USB3.0*4；</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无纸化双屏触摸升降终端-15.6寸</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1.★采用双屏设计，前屏触摸电容液晶屏显示尺寸≥15.6英寸，分辨率为1920*1080dpi，屏幕比例16：9（宽屏），背面搭载10.1英寸副屏，可显示会议需要背景图，参会人名称等信息；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2.设备面板厚度≤3mm，宽度≤70mm，显示屏厚度≤10mm；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3.支持≥1路HDMI、≥1路VGA视频信号输入，当只有一路信号输入时，屏幕会自动识别信号，当两路信号同时输入时，可通过面板按键手动切换，当无信号输入时，屏幕自动进入省电模式；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4.升降器具有≥2组232/485输入输出接口，≥3路USB接口，实现开/关机、数据传输功能；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5.设备可通过中控软件进行集中控制，支持通过主机进行控制，一键可让室内所有的设备都上升或下降；</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6.升降器具备≥1路环通输出电源插座，给终端供电减少终端电源插座布线；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7.桌面面板具备≥1路USB接口，支持连接U盘可进行浏览文件或上传文件等操作；</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8.屏体控制方式：上、下、停三种模式，多媒体会议终端开关、USB接口等；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9.升降器控制接口RJ45,不少于1路进，1路出；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10.支持直线滑轨加齿轮咬合多点平衡升降技术，具备高刚度，高负荷运动；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11.升降器支持红外遥控对码，实现无线一键升降控制；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12.升降器支持不少于32分组独立控制；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13.升降器具备≥1路环通输出电源插座，给终端供电减少终端电源插座布线。阵列话筒、升降器独立供电；</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14.升降器面板具备上、下、停动作按钮，多媒体会议终端电源开、关按钮、具备≥1路USB接口，支持连接U盘可进行浏览文件或上传文件等操作；</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15.升降屏可控制后仰角度0～30度可调节，可定制30~60度后仰角度；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智能一体式流媒体服务器</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1.具有GPU并行多线程执行单元，支持多会议室拆分组合应用；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2.操作系统支持：支持安装windows、linux、VMware esxi等主流操作系统的各个版本；</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3.采用2U高度易于管理的机架式服务器，支持高速串行总线数据的吞吐量16GT/s的传输速率；</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4.支持Wake-on-LAN、Wake-on-Wireless-LAN唤醒技术，定制BIOS固件提升数据密集型应用程序性能；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5.具有内存、CPU、网卡、存储器模块化替换设计；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6.系统整体性能监控功能,对资源池中CPU、网络、磁盘使用率等指标进行实时的数据统计,并能反映现阶段物理资源瓶颈报警；</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7.配置不低于i5、8G内存、128G固态硬盘；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HDMI最大分辨率为4096X2160@60Hz，将会场终端信号、会议标语投屏广播显示，支持将投票结果和签到结果投屏广播显示，与会场同步信号跟踪功能，当会场无同步信号时，输出接口输出画面为会议欢迎标语，会议欢迎标语背景颜色与字体字号可根据会议要求自行设置，满足会场的实际需求，避免大屏幕或投影机待机状态或无信号输入状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9.支持信号格式自动转换功能，网络数据信号转换成数字信号，数字信号自动转换成网络信号传输。系统提供外部音视频信号和内部音视频信号互联互通的流媒体平台；</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10.支持将4组不同的无纸化系统屏幕广播画面以4分屏画面投屏输出显示；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11.支持第三方录制软件使用，可以适用于各种直播场景；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12.支持软件直接调取采集卡驱动，可以实现预览、抓图、共享等功能；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13.具有录音USB接口，可录制和输出现场音频信号；</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14.具备≥1路HDMI视频、≥1路VGA视频输出接口、≥1路3.5mm音频输入接口和≥1路3.5mm音频输出接口，实现音视频同步输入输出；具备≥6个串口、≥8个USB接口、≥2个SATA3.0、≥SATA2.0；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15.服务器支持硬件看门狗，保证系统进入统一协调工作环境，保证实现更高的性能；</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16.支持GPIO8位可编程数字I/0接口，自定义输入输出设备接入或功能；</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多媒体会议智能交互同屏服务软件</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1.大屏显示时当会场无同步信号时，输出接口始终显示会议标语；</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2.多台客户端信号源的音视频信号编解码转换管理；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3.支持跨操作平台组网、无线有线混合组网；</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4.支持无纸化会议的多点传送组控传输控制及管理；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数据信息双备份机制，数据本地服务器同步存储、服务器数据库核对后执行存储数据归档入库，映射触发事件建表后，对比本地存储数据与数据库主从信息表是否一致，保证终端断网、断电会议资料不会丢失；</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6.同屏PPT文件，视频动态播放，保证源文件播放；</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7.会议终端一键同屏，或者单一同屏到大屏幕显示；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8.支持选择广播信号源、强制同屏、结束同屏、结束会议等功能；</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9.支持外置U盘内任何文件一键同屏到其他会议终端与大屏幕；</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千兆交换机</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24口，组播，千兆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网线</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六类网线</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2.2发言系统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无线智能会议中心</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1.采用UHF数字无线通信频段，650MHz~700MHz数据通信,结合数字会议系统架构，采用无线抗干扰音频通信技术，保证了系统的稳定性。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2.配备≥2.7英寸LCD显示屏，显示系统菜单和主机状态等信息。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3.具备不低于5组通信频段可选，互不干扰。</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4.支持会前、会中、会后对会议现场无线信号进行实时检测。</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5.系统自动为单元分配发言通道，屏蔽较差的通信频率，保证了系统的稳定性。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6.多多样化的软件模块，可实现三种工作模式、自定义主席、会务管理、摄像跟踪、中控控制等功能。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7.主机具备1路RJ45接口、1路RS-232接口，支持与控制电脑/中控之间连接实现会议系统的后台控制。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8.天线信号传输距离半径可达0-20m。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9.具有音频输入≥1路XLR；具有音频输出≥2路XLR,≥2路phoenix；具有≥1路RS485/RS232 接口，支持连接中控，可实现集控会议系统。</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10.频率响应：20Hz-20KHz，信噪比 &gt;102dB，动态范围 &gt;106dB，总谐波失真 ≤0.05%。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无线会议话筒单元</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1.内置不小于1个14毫米直径镀金电容式收音头，超心型指向性收音角度。</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2.采用UHF650MHz~700MHz数字无线通信频段（650MHz~700MHz），具备5组通信频段可选，互不干扰。</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3.内置6000mAh锂聚合物电池，持续发言时间可达8小时，超长待机，1A充电电流可快速充电。</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4.自定义主席机配置功能，可根据现场需要，临时定义任意单元为主席单元，主席单元无数量限制。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5.系统自动为单元分配发言通道，屏蔽较差的通信频率，保证了系统的稳定性。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6.音频无线传输延时不大于5ms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7.话筒面板应支持自定义企业LOGO丝印或激光镭射雕刻工艺，支持不小于10cm*10cm丝网印刷或激光镭射面积。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8.最大声压级不低于 130dB(THD&lt;3%)</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9.灵敏度不低于 -28dB </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10.频率响应不劣于30Hz-18KHz</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无线专用天线</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1.无线用于无线单元与无线会议主机之间的数据通讯。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2.采用UHF数字无线通信频段，650MHz~700MHz数据通信，抗干扰音频通信技术，保证了系统的稳定性。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3.具备不低于5组通信频段可选，互不干扰。</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4.天线信号传输距离半径最大≥20M；</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5.采用AES高级加密标准。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会议系统公－公20米主缆</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会议系统20米主线，用于会议系统主机与话筒之间的连接</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无线话筒通用充电箱</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1.话筒充电箱可同时为8台无线单元充电。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2.具有充电保护和指示功能。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3.功率≥30 W</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4.单位最大充电电流 500 mA</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5.充电时间4-5小时</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2.3扩声系统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6寸吸顶音箱</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1.频响范围：不劣于70Hz-20KHz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2.驱动单元：不小于1个6英寸同轴单元</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3.标准阻抗：8Ω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4.最大声压级不小于108dB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5.★额定功率不小于60W</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6.采用吸顶安装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功率放大器</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1.立体声模式额定功率：≥8Ω350W*2，≥4Ω500W*2，≥桥接8Ω700W</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2.信噪比不低于98DB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3.失真度THD&lt;0.5%</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4.输入阻抗不低于20KΩ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5.频率响应：20HZ-20KHZ@1w</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6.阻尼系数：&gt;200</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7.具有输出短路,过热,自动限幅,长期输出功率,直流/交流保护装置</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数字音频处理器</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1.模拟输入通道数量：≥8路；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2.模拟输出通道数量：≥8路；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3.输入通道不低于8段PEQ ，且提供不低于五种滤波器类型选择；</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4.需支持自动混音；</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5.需支持自动增益；</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6.每个通道应不低于8个点的自适应反馈抑制；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7.需支持噪声抑制；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8.需支持回声消除；</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9.输出通道具备不低于8段PEQ,分频器、延时器、限幅器；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10.动态范围：≥110dB；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11.频率响应范围：不低于20～20kHz；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12.总谐波失真(THD+N)：≤-100dB；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13.≥4个GPIO接口可独立配置输入输出；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14.需支持ISO、安卓、window端操作界面，支持自定义用户操作界面，可根据用户需求编辑界面样式内容，支持不少于30台设备在同一个界面管理；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15.需支持USB接口，支持音乐播放、录制和软视频会议；</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16.支持RS485、RS232、网口，具有中央控制功能，可通过本机的UDP、RS232、RS485控制第三方设备，可对系统中的电源、信号切换、环境控制、音频等整体控制，并实现一键开启系统所需要的功能；</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17.可选配≥2种类型墙面板，可使用软件编程；</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控制面板（OLED屏）</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1.具有：≥1.3"OLED显示屏；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2.支持≥32个菜单且支持用户自定义功能；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3.具有≥1个物理控制旋钮；</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4.采用UDP通讯协议，TCP/IP地址设定方式；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5.支持网络连接，具有≥1路R45网口；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6.支持PoE供电；</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7.与音频处理器兼容使用；</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时序电源</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1.输出万能插座；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2.≥8路电源时序控制，每路延时1秒。可通过软件设置延时5分钟关闭，给投影机提供更好保护；</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3.整机容量：≥50A；</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4.需提供8+1个插座输出，其中面板一路常通；</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5.需支持多台机器级联；</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6.应具有标准RS232串口控制功能；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7.具有外部电平(5V-24V)控制接口和级联控口；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8.需带数码LED电压指示；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9.设备应具备旁通功能，防止万一内部故障时的应急使用；</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10.支持通过电脑软件控制；</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191" name="Picture_10_SpCnt_66"/>
                  <wp:cNvGraphicFramePr/>
                  <a:graphic xmlns:a="http://schemas.openxmlformats.org/drawingml/2006/main">
                    <a:graphicData uri="http://schemas.openxmlformats.org/drawingml/2006/picture">
                      <pic:pic xmlns:pic="http://schemas.openxmlformats.org/drawingml/2006/picture">
                        <pic:nvPicPr>
                          <pic:cNvPr id="2191" name="Picture_10_SpCnt_6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204" name="Picture_2_SpCnt_48"/>
                  <wp:cNvGraphicFramePr/>
                  <a:graphic xmlns:a="http://schemas.openxmlformats.org/drawingml/2006/main">
                    <a:graphicData uri="http://schemas.openxmlformats.org/drawingml/2006/picture">
                      <pic:pic xmlns:pic="http://schemas.openxmlformats.org/drawingml/2006/picture">
                        <pic:nvPicPr>
                          <pic:cNvPr id="2204" name="Picture_2_SpCnt_48"/>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183" name="Picture_12_SpCnt_120"/>
                  <wp:cNvGraphicFramePr/>
                  <a:graphic xmlns:a="http://schemas.openxmlformats.org/drawingml/2006/main">
                    <a:graphicData uri="http://schemas.openxmlformats.org/drawingml/2006/picture">
                      <pic:pic xmlns:pic="http://schemas.openxmlformats.org/drawingml/2006/picture">
                        <pic:nvPicPr>
                          <pic:cNvPr id="2183" name="Picture_12_SpCnt_12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184" name="Picture_12_SpCnt_121"/>
                  <wp:cNvGraphicFramePr/>
                  <a:graphic xmlns:a="http://schemas.openxmlformats.org/drawingml/2006/main">
                    <a:graphicData uri="http://schemas.openxmlformats.org/drawingml/2006/picture">
                      <pic:pic xmlns:pic="http://schemas.openxmlformats.org/drawingml/2006/picture">
                        <pic:nvPicPr>
                          <pic:cNvPr id="2184" name="Picture_12_SpCnt_12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2187" name="Picture_11_SpCnt_66"/>
                  <wp:cNvGraphicFramePr/>
                  <a:graphic xmlns:a="http://schemas.openxmlformats.org/drawingml/2006/main">
                    <a:graphicData uri="http://schemas.openxmlformats.org/drawingml/2006/picture">
                      <pic:pic xmlns:pic="http://schemas.openxmlformats.org/drawingml/2006/picture">
                        <pic:nvPicPr>
                          <pic:cNvPr id="2187" name="Picture_11_SpCnt_66"/>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2188" name="Picture_12_SpCnt_122"/>
                  <wp:cNvGraphicFramePr/>
                  <a:graphic xmlns:a="http://schemas.openxmlformats.org/drawingml/2006/main">
                    <a:graphicData uri="http://schemas.openxmlformats.org/drawingml/2006/picture">
                      <pic:pic xmlns:pic="http://schemas.openxmlformats.org/drawingml/2006/picture">
                        <pic:nvPicPr>
                          <pic:cNvPr id="2188" name="Picture_12_SpCnt_122"/>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03" name="Picture_1_SpCnt_66"/>
                  <wp:cNvGraphicFramePr/>
                  <a:graphic xmlns:a="http://schemas.openxmlformats.org/drawingml/2006/main">
                    <a:graphicData uri="http://schemas.openxmlformats.org/drawingml/2006/picture">
                      <pic:pic xmlns:pic="http://schemas.openxmlformats.org/drawingml/2006/picture">
                        <pic:nvPicPr>
                          <pic:cNvPr id="2203" name="Picture_1_SpCnt_6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181" name="Picture_2_SpCnt_49"/>
                  <wp:cNvGraphicFramePr/>
                  <a:graphic xmlns:a="http://schemas.openxmlformats.org/drawingml/2006/main">
                    <a:graphicData uri="http://schemas.openxmlformats.org/drawingml/2006/picture">
                      <pic:pic xmlns:pic="http://schemas.openxmlformats.org/drawingml/2006/picture">
                        <pic:nvPicPr>
                          <pic:cNvPr id="2181" name="Picture_2_SpCnt_49"/>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185" name="Picture_10_SpCnt_67"/>
                  <wp:cNvGraphicFramePr/>
                  <a:graphic xmlns:a="http://schemas.openxmlformats.org/drawingml/2006/main">
                    <a:graphicData uri="http://schemas.openxmlformats.org/drawingml/2006/picture">
                      <pic:pic xmlns:pic="http://schemas.openxmlformats.org/drawingml/2006/picture">
                        <pic:nvPicPr>
                          <pic:cNvPr id="2185" name="Picture_10_SpCnt_6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193" name="Picture_11_SpCnt_67"/>
                  <wp:cNvGraphicFramePr/>
                  <a:graphic xmlns:a="http://schemas.openxmlformats.org/drawingml/2006/main">
                    <a:graphicData uri="http://schemas.openxmlformats.org/drawingml/2006/picture">
                      <pic:pic xmlns:pic="http://schemas.openxmlformats.org/drawingml/2006/picture">
                        <pic:nvPicPr>
                          <pic:cNvPr id="2193" name="Picture_11_SpCnt_67"/>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176" name="Picture_1_SpCnt_67"/>
                  <wp:cNvGraphicFramePr/>
                  <a:graphic xmlns:a="http://schemas.openxmlformats.org/drawingml/2006/main">
                    <a:graphicData uri="http://schemas.openxmlformats.org/drawingml/2006/picture">
                      <pic:pic xmlns:pic="http://schemas.openxmlformats.org/drawingml/2006/picture">
                        <pic:nvPicPr>
                          <pic:cNvPr id="2176" name="Picture_1_SpCnt_6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198" name="Picture_10_SpCnt_68"/>
                  <wp:cNvGraphicFramePr/>
                  <a:graphic xmlns:a="http://schemas.openxmlformats.org/drawingml/2006/main">
                    <a:graphicData uri="http://schemas.openxmlformats.org/drawingml/2006/picture">
                      <pic:pic xmlns:pic="http://schemas.openxmlformats.org/drawingml/2006/picture">
                        <pic:nvPicPr>
                          <pic:cNvPr id="2198" name="Picture_10_SpCnt_6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199" name="Picture_2_SpCnt_50"/>
                  <wp:cNvGraphicFramePr/>
                  <a:graphic xmlns:a="http://schemas.openxmlformats.org/drawingml/2006/main">
                    <a:graphicData uri="http://schemas.openxmlformats.org/drawingml/2006/picture">
                      <pic:pic xmlns:pic="http://schemas.openxmlformats.org/drawingml/2006/picture">
                        <pic:nvPicPr>
                          <pic:cNvPr id="2199" name="Picture_2_SpCnt_50"/>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177" name="Picture_13_SpCnt_198"/>
                  <wp:cNvGraphicFramePr/>
                  <a:graphic xmlns:a="http://schemas.openxmlformats.org/drawingml/2006/main">
                    <a:graphicData uri="http://schemas.openxmlformats.org/drawingml/2006/picture">
                      <pic:pic xmlns:pic="http://schemas.openxmlformats.org/drawingml/2006/picture">
                        <pic:nvPicPr>
                          <pic:cNvPr id="2177" name="Picture_13_SpCnt_19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189" name="Picture_2_SpCnt_51"/>
                  <wp:cNvGraphicFramePr/>
                  <a:graphic xmlns:a="http://schemas.openxmlformats.org/drawingml/2006/main">
                    <a:graphicData uri="http://schemas.openxmlformats.org/drawingml/2006/picture">
                      <pic:pic xmlns:pic="http://schemas.openxmlformats.org/drawingml/2006/picture">
                        <pic:nvPicPr>
                          <pic:cNvPr id="2189" name="Picture_2_SpCnt_51"/>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182" name="Picture_13_SpCnt_199"/>
                  <wp:cNvGraphicFramePr/>
                  <a:graphic xmlns:a="http://schemas.openxmlformats.org/drawingml/2006/main">
                    <a:graphicData uri="http://schemas.openxmlformats.org/drawingml/2006/picture">
                      <pic:pic xmlns:pic="http://schemas.openxmlformats.org/drawingml/2006/picture">
                        <pic:nvPicPr>
                          <pic:cNvPr id="2182" name="Picture_13_SpCnt_19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186" name="Picture_13_SpCnt_200"/>
                  <wp:cNvGraphicFramePr/>
                  <a:graphic xmlns:a="http://schemas.openxmlformats.org/drawingml/2006/main">
                    <a:graphicData uri="http://schemas.openxmlformats.org/drawingml/2006/picture">
                      <pic:pic xmlns:pic="http://schemas.openxmlformats.org/drawingml/2006/picture">
                        <pic:nvPicPr>
                          <pic:cNvPr id="2186" name="Picture_13_SpCnt_20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190" name="Picture_13_SpCnt_201"/>
                  <wp:cNvGraphicFramePr/>
                  <a:graphic xmlns:a="http://schemas.openxmlformats.org/drawingml/2006/main">
                    <a:graphicData uri="http://schemas.openxmlformats.org/drawingml/2006/picture">
                      <pic:pic xmlns:pic="http://schemas.openxmlformats.org/drawingml/2006/picture">
                        <pic:nvPicPr>
                          <pic:cNvPr id="2190" name="Picture_13_SpCnt_20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195" name="Picture_2_SpCnt_52"/>
                  <wp:cNvGraphicFramePr/>
                  <a:graphic xmlns:a="http://schemas.openxmlformats.org/drawingml/2006/main">
                    <a:graphicData uri="http://schemas.openxmlformats.org/drawingml/2006/picture">
                      <pic:pic xmlns:pic="http://schemas.openxmlformats.org/drawingml/2006/picture">
                        <pic:nvPicPr>
                          <pic:cNvPr id="2195" name="Picture_2_SpCnt_52"/>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200" name="Picture_11_SpCnt_68"/>
                  <wp:cNvGraphicFramePr/>
                  <a:graphic xmlns:a="http://schemas.openxmlformats.org/drawingml/2006/main">
                    <a:graphicData uri="http://schemas.openxmlformats.org/drawingml/2006/picture">
                      <pic:pic xmlns:pic="http://schemas.openxmlformats.org/drawingml/2006/picture">
                        <pic:nvPicPr>
                          <pic:cNvPr id="2200" name="Picture_11_SpCnt_68"/>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01" name="Picture_10_SpCnt_69"/>
                  <wp:cNvGraphicFramePr/>
                  <a:graphic xmlns:a="http://schemas.openxmlformats.org/drawingml/2006/main">
                    <a:graphicData uri="http://schemas.openxmlformats.org/drawingml/2006/picture">
                      <pic:pic xmlns:pic="http://schemas.openxmlformats.org/drawingml/2006/picture">
                        <pic:nvPicPr>
                          <pic:cNvPr id="2201" name="Picture_10_SpCnt_6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02" name="Picture_13_SpCnt_202"/>
                  <wp:cNvGraphicFramePr/>
                  <a:graphic xmlns:a="http://schemas.openxmlformats.org/drawingml/2006/main">
                    <a:graphicData uri="http://schemas.openxmlformats.org/drawingml/2006/picture">
                      <pic:pic xmlns:pic="http://schemas.openxmlformats.org/drawingml/2006/picture">
                        <pic:nvPicPr>
                          <pic:cNvPr id="2202" name="Picture_13_SpCnt_20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192" name="Picture_11_SpCnt_69"/>
                  <wp:cNvGraphicFramePr/>
                  <a:graphic xmlns:a="http://schemas.openxmlformats.org/drawingml/2006/main">
                    <a:graphicData uri="http://schemas.openxmlformats.org/drawingml/2006/picture">
                      <pic:pic xmlns:pic="http://schemas.openxmlformats.org/drawingml/2006/picture">
                        <pic:nvPicPr>
                          <pic:cNvPr id="2192" name="Picture_11_SpCnt_69"/>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2194" name="Picture_12_SpCnt_123"/>
                  <wp:cNvGraphicFramePr/>
                  <a:graphic xmlns:a="http://schemas.openxmlformats.org/drawingml/2006/main">
                    <a:graphicData uri="http://schemas.openxmlformats.org/drawingml/2006/picture">
                      <pic:pic xmlns:pic="http://schemas.openxmlformats.org/drawingml/2006/picture">
                        <pic:nvPicPr>
                          <pic:cNvPr id="2194" name="Picture_12_SpCnt_123"/>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196" name="Picture_13_SpCnt_203"/>
                  <wp:cNvGraphicFramePr/>
                  <a:graphic xmlns:a="http://schemas.openxmlformats.org/drawingml/2006/main">
                    <a:graphicData uri="http://schemas.openxmlformats.org/drawingml/2006/picture">
                      <pic:pic xmlns:pic="http://schemas.openxmlformats.org/drawingml/2006/picture">
                        <pic:nvPicPr>
                          <pic:cNvPr id="2196" name="Picture_13_SpCnt_20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173" name="Picture_2_SpCnt_53"/>
                  <wp:cNvGraphicFramePr/>
                  <a:graphic xmlns:a="http://schemas.openxmlformats.org/drawingml/2006/main">
                    <a:graphicData uri="http://schemas.openxmlformats.org/drawingml/2006/picture">
                      <pic:pic xmlns:pic="http://schemas.openxmlformats.org/drawingml/2006/picture">
                        <pic:nvPicPr>
                          <pic:cNvPr id="2173" name="Picture_2_SpCnt_53"/>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197" name="Picture_13_SpCnt_204"/>
                  <wp:cNvGraphicFramePr/>
                  <a:graphic xmlns:a="http://schemas.openxmlformats.org/drawingml/2006/main">
                    <a:graphicData uri="http://schemas.openxmlformats.org/drawingml/2006/picture">
                      <pic:pic xmlns:pic="http://schemas.openxmlformats.org/drawingml/2006/picture">
                        <pic:nvPicPr>
                          <pic:cNvPr id="2197" name="Picture_13_SpCnt_20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174" name="Picture_13_SpCnt_205"/>
                  <wp:cNvGraphicFramePr/>
                  <a:graphic xmlns:a="http://schemas.openxmlformats.org/drawingml/2006/main">
                    <a:graphicData uri="http://schemas.openxmlformats.org/drawingml/2006/picture">
                      <pic:pic xmlns:pic="http://schemas.openxmlformats.org/drawingml/2006/picture">
                        <pic:nvPicPr>
                          <pic:cNvPr id="2174" name="Picture_13_SpCnt_20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178" name="Picture_13_SpCnt_206"/>
                  <wp:cNvGraphicFramePr/>
                  <a:graphic xmlns:a="http://schemas.openxmlformats.org/drawingml/2006/main">
                    <a:graphicData uri="http://schemas.openxmlformats.org/drawingml/2006/picture">
                      <pic:pic xmlns:pic="http://schemas.openxmlformats.org/drawingml/2006/picture">
                        <pic:nvPicPr>
                          <pic:cNvPr id="2178" name="Picture_13_SpCnt_20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179" name="Picture_11_SpCnt_70"/>
                  <wp:cNvGraphicFramePr/>
                  <a:graphic xmlns:a="http://schemas.openxmlformats.org/drawingml/2006/main">
                    <a:graphicData uri="http://schemas.openxmlformats.org/drawingml/2006/picture">
                      <pic:pic xmlns:pic="http://schemas.openxmlformats.org/drawingml/2006/picture">
                        <pic:nvPicPr>
                          <pic:cNvPr id="2179" name="Picture_11_SpCnt_70"/>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180" name="Picture_11_SpCnt_71"/>
                  <wp:cNvGraphicFramePr/>
                  <a:graphic xmlns:a="http://schemas.openxmlformats.org/drawingml/2006/main">
                    <a:graphicData uri="http://schemas.openxmlformats.org/drawingml/2006/picture">
                      <pic:pic xmlns:pic="http://schemas.openxmlformats.org/drawingml/2006/picture">
                        <pic:nvPicPr>
                          <pic:cNvPr id="2180" name="Picture_11_SpCnt_71"/>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206" name="Picture_11_SpCnt_72"/>
                  <wp:cNvGraphicFramePr/>
                  <a:graphic xmlns:a="http://schemas.openxmlformats.org/drawingml/2006/main">
                    <a:graphicData uri="http://schemas.openxmlformats.org/drawingml/2006/picture">
                      <pic:pic xmlns:pic="http://schemas.openxmlformats.org/drawingml/2006/picture">
                        <pic:nvPicPr>
                          <pic:cNvPr id="2206" name="Picture_11_SpCnt_72"/>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24" name="Picture_13_SpCnt_207"/>
                  <wp:cNvGraphicFramePr/>
                  <a:graphic xmlns:a="http://schemas.openxmlformats.org/drawingml/2006/main">
                    <a:graphicData uri="http://schemas.openxmlformats.org/drawingml/2006/picture">
                      <pic:pic xmlns:pic="http://schemas.openxmlformats.org/drawingml/2006/picture">
                        <pic:nvPicPr>
                          <pic:cNvPr id="2224" name="Picture_13_SpCnt_20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213" name="Picture_2_SpCnt_54"/>
                  <wp:cNvGraphicFramePr/>
                  <a:graphic xmlns:a="http://schemas.openxmlformats.org/drawingml/2006/main">
                    <a:graphicData uri="http://schemas.openxmlformats.org/drawingml/2006/picture">
                      <pic:pic xmlns:pic="http://schemas.openxmlformats.org/drawingml/2006/picture">
                        <pic:nvPicPr>
                          <pic:cNvPr id="2213" name="Picture_2_SpCnt_54"/>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14" name="Picture_1_SpCnt_68"/>
                  <wp:cNvGraphicFramePr/>
                  <a:graphic xmlns:a="http://schemas.openxmlformats.org/drawingml/2006/main">
                    <a:graphicData uri="http://schemas.openxmlformats.org/drawingml/2006/picture">
                      <pic:pic xmlns:pic="http://schemas.openxmlformats.org/drawingml/2006/picture">
                        <pic:nvPicPr>
                          <pic:cNvPr id="2214" name="Picture_1_SpCnt_6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23" name="Picture_1_SpCnt_69"/>
                  <wp:cNvGraphicFramePr/>
                  <a:graphic xmlns:a="http://schemas.openxmlformats.org/drawingml/2006/main">
                    <a:graphicData uri="http://schemas.openxmlformats.org/drawingml/2006/picture">
                      <pic:pic xmlns:pic="http://schemas.openxmlformats.org/drawingml/2006/picture">
                        <pic:nvPicPr>
                          <pic:cNvPr id="2223" name="Picture_1_SpCnt_6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18" name="Picture_13_SpCnt_208"/>
                  <wp:cNvGraphicFramePr/>
                  <a:graphic xmlns:a="http://schemas.openxmlformats.org/drawingml/2006/main">
                    <a:graphicData uri="http://schemas.openxmlformats.org/drawingml/2006/picture">
                      <pic:pic xmlns:pic="http://schemas.openxmlformats.org/drawingml/2006/picture">
                        <pic:nvPicPr>
                          <pic:cNvPr id="2218" name="Picture_13_SpCnt_20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33" name="Picture_10_SpCnt_70"/>
                  <wp:cNvGraphicFramePr/>
                  <a:graphic xmlns:a="http://schemas.openxmlformats.org/drawingml/2006/main">
                    <a:graphicData uri="http://schemas.openxmlformats.org/drawingml/2006/picture">
                      <pic:pic xmlns:pic="http://schemas.openxmlformats.org/drawingml/2006/picture">
                        <pic:nvPicPr>
                          <pic:cNvPr id="2233" name="Picture_10_SpCnt_7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25" name="Picture_13_SpCnt_209"/>
                  <wp:cNvGraphicFramePr/>
                  <a:graphic xmlns:a="http://schemas.openxmlformats.org/drawingml/2006/main">
                    <a:graphicData uri="http://schemas.openxmlformats.org/drawingml/2006/picture">
                      <pic:pic xmlns:pic="http://schemas.openxmlformats.org/drawingml/2006/picture">
                        <pic:nvPicPr>
                          <pic:cNvPr id="2225" name="Picture_13_SpCnt_20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07" name="Picture_12_SpCnt_124"/>
                  <wp:cNvGraphicFramePr/>
                  <a:graphic xmlns:a="http://schemas.openxmlformats.org/drawingml/2006/main">
                    <a:graphicData uri="http://schemas.openxmlformats.org/drawingml/2006/picture">
                      <pic:pic xmlns:pic="http://schemas.openxmlformats.org/drawingml/2006/picture">
                        <pic:nvPicPr>
                          <pic:cNvPr id="2207" name="Picture_12_SpCnt_12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05" name="Picture_12_SpCnt_125"/>
                  <wp:cNvGraphicFramePr/>
                  <a:graphic xmlns:a="http://schemas.openxmlformats.org/drawingml/2006/main">
                    <a:graphicData uri="http://schemas.openxmlformats.org/drawingml/2006/picture">
                      <pic:pic xmlns:pic="http://schemas.openxmlformats.org/drawingml/2006/picture">
                        <pic:nvPicPr>
                          <pic:cNvPr id="2205" name="Picture_12_SpCnt_12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08" name="Picture_12_SpCnt_126"/>
                  <wp:cNvGraphicFramePr/>
                  <a:graphic xmlns:a="http://schemas.openxmlformats.org/drawingml/2006/main">
                    <a:graphicData uri="http://schemas.openxmlformats.org/drawingml/2006/picture">
                      <pic:pic xmlns:pic="http://schemas.openxmlformats.org/drawingml/2006/picture">
                        <pic:nvPicPr>
                          <pic:cNvPr id="2208" name="Picture_12_SpCnt_12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2220" name="Picture_13_SpCnt_210"/>
                  <wp:cNvGraphicFramePr/>
                  <a:graphic xmlns:a="http://schemas.openxmlformats.org/drawingml/2006/main">
                    <a:graphicData uri="http://schemas.openxmlformats.org/drawingml/2006/picture">
                      <pic:pic xmlns:pic="http://schemas.openxmlformats.org/drawingml/2006/picture">
                        <pic:nvPicPr>
                          <pic:cNvPr id="2220" name="Picture_13_SpCnt_210"/>
                          <pic:cNvPicPr/>
                        </pic:nvPicPr>
                        <pic:blipFill>
                          <a:blip r:embed="rId40"/>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26" name="Picture_12_SpCnt_127"/>
                  <wp:cNvGraphicFramePr/>
                  <a:graphic xmlns:a="http://schemas.openxmlformats.org/drawingml/2006/main">
                    <a:graphicData uri="http://schemas.openxmlformats.org/drawingml/2006/picture">
                      <pic:pic xmlns:pic="http://schemas.openxmlformats.org/drawingml/2006/picture">
                        <pic:nvPicPr>
                          <pic:cNvPr id="2226" name="Picture_12_SpCnt_12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34" name="Picture_13_SpCnt_211"/>
                  <wp:cNvGraphicFramePr/>
                  <a:graphic xmlns:a="http://schemas.openxmlformats.org/drawingml/2006/main">
                    <a:graphicData uri="http://schemas.openxmlformats.org/drawingml/2006/picture">
                      <pic:pic xmlns:pic="http://schemas.openxmlformats.org/drawingml/2006/picture">
                        <pic:nvPicPr>
                          <pic:cNvPr id="2234" name="Picture_13_SpCnt_211"/>
                          <pic:cNvPicPr/>
                        </pic:nvPicPr>
                        <pic:blipFill>
                          <a:blip r:embed="rId39"/>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27" name="Picture_1_SpCnt_70"/>
                  <wp:cNvGraphicFramePr/>
                  <a:graphic xmlns:a="http://schemas.openxmlformats.org/drawingml/2006/main">
                    <a:graphicData uri="http://schemas.openxmlformats.org/drawingml/2006/picture">
                      <pic:pic xmlns:pic="http://schemas.openxmlformats.org/drawingml/2006/picture">
                        <pic:nvPicPr>
                          <pic:cNvPr id="2227" name="Picture_1_SpCnt_7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15" name="Picture_13_SpCnt_212"/>
                  <wp:cNvGraphicFramePr/>
                  <a:graphic xmlns:a="http://schemas.openxmlformats.org/drawingml/2006/main">
                    <a:graphicData uri="http://schemas.openxmlformats.org/drawingml/2006/picture">
                      <pic:pic xmlns:pic="http://schemas.openxmlformats.org/drawingml/2006/picture">
                        <pic:nvPicPr>
                          <pic:cNvPr id="2215" name="Picture_13_SpCnt_21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32" name="Picture_10_SpCnt_71"/>
                  <wp:cNvGraphicFramePr/>
                  <a:graphic xmlns:a="http://schemas.openxmlformats.org/drawingml/2006/main">
                    <a:graphicData uri="http://schemas.openxmlformats.org/drawingml/2006/picture">
                      <pic:pic xmlns:pic="http://schemas.openxmlformats.org/drawingml/2006/picture">
                        <pic:nvPicPr>
                          <pic:cNvPr id="2232" name="Picture_10_SpCnt_7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16" name="Picture_13_SpCnt_213"/>
                  <wp:cNvGraphicFramePr/>
                  <a:graphic xmlns:a="http://schemas.openxmlformats.org/drawingml/2006/main">
                    <a:graphicData uri="http://schemas.openxmlformats.org/drawingml/2006/picture">
                      <pic:pic xmlns:pic="http://schemas.openxmlformats.org/drawingml/2006/picture">
                        <pic:nvPicPr>
                          <pic:cNvPr id="2216" name="Picture_13_SpCnt_21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28" name="Picture_12_SpCnt_128"/>
                  <wp:cNvGraphicFramePr/>
                  <a:graphic xmlns:a="http://schemas.openxmlformats.org/drawingml/2006/main">
                    <a:graphicData uri="http://schemas.openxmlformats.org/drawingml/2006/picture">
                      <pic:pic xmlns:pic="http://schemas.openxmlformats.org/drawingml/2006/picture">
                        <pic:nvPicPr>
                          <pic:cNvPr id="2228" name="Picture_12_SpCnt_12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35" name="Picture_13_SpCnt_214"/>
                  <wp:cNvGraphicFramePr/>
                  <a:graphic xmlns:a="http://schemas.openxmlformats.org/drawingml/2006/main">
                    <a:graphicData uri="http://schemas.openxmlformats.org/drawingml/2006/picture">
                      <pic:pic xmlns:pic="http://schemas.openxmlformats.org/drawingml/2006/picture">
                        <pic:nvPicPr>
                          <pic:cNvPr id="2235" name="Picture_13_SpCnt_21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17" name="Picture_1_SpCnt_71"/>
                  <wp:cNvGraphicFramePr/>
                  <a:graphic xmlns:a="http://schemas.openxmlformats.org/drawingml/2006/main">
                    <a:graphicData uri="http://schemas.openxmlformats.org/drawingml/2006/picture">
                      <pic:pic xmlns:pic="http://schemas.openxmlformats.org/drawingml/2006/picture">
                        <pic:nvPicPr>
                          <pic:cNvPr id="2217" name="Picture_1_SpCnt_7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19" name="Picture_13_SpCnt_215"/>
                  <wp:cNvGraphicFramePr/>
                  <a:graphic xmlns:a="http://schemas.openxmlformats.org/drawingml/2006/main">
                    <a:graphicData uri="http://schemas.openxmlformats.org/drawingml/2006/picture">
                      <pic:pic xmlns:pic="http://schemas.openxmlformats.org/drawingml/2006/picture">
                        <pic:nvPicPr>
                          <pic:cNvPr id="2219" name="Picture_13_SpCnt_21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21" name="Picture_10_SpCnt_72"/>
                  <wp:cNvGraphicFramePr/>
                  <a:graphic xmlns:a="http://schemas.openxmlformats.org/drawingml/2006/main">
                    <a:graphicData uri="http://schemas.openxmlformats.org/drawingml/2006/picture">
                      <pic:pic xmlns:pic="http://schemas.openxmlformats.org/drawingml/2006/picture">
                        <pic:nvPicPr>
                          <pic:cNvPr id="2221" name="Picture_10_SpCnt_7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29" name="Picture_12_SpCnt_129"/>
                  <wp:cNvGraphicFramePr/>
                  <a:graphic xmlns:a="http://schemas.openxmlformats.org/drawingml/2006/main">
                    <a:graphicData uri="http://schemas.openxmlformats.org/drawingml/2006/picture">
                      <pic:pic xmlns:pic="http://schemas.openxmlformats.org/drawingml/2006/picture">
                        <pic:nvPicPr>
                          <pic:cNvPr id="2229" name="Picture_12_SpCnt_12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31" name="Picture_12_SpCnt_130"/>
                  <wp:cNvGraphicFramePr/>
                  <a:graphic xmlns:a="http://schemas.openxmlformats.org/drawingml/2006/main">
                    <a:graphicData uri="http://schemas.openxmlformats.org/drawingml/2006/picture">
                      <pic:pic xmlns:pic="http://schemas.openxmlformats.org/drawingml/2006/picture">
                        <pic:nvPicPr>
                          <pic:cNvPr id="2231" name="Picture_12_SpCnt_13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230" name="Picture_11_SpCnt_73"/>
                  <wp:cNvGraphicFramePr/>
                  <a:graphic xmlns:a="http://schemas.openxmlformats.org/drawingml/2006/main">
                    <a:graphicData uri="http://schemas.openxmlformats.org/drawingml/2006/picture">
                      <pic:pic xmlns:pic="http://schemas.openxmlformats.org/drawingml/2006/picture">
                        <pic:nvPicPr>
                          <pic:cNvPr id="2230" name="Picture_11_SpCnt_73"/>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36" name="Picture_12_SpCnt_131"/>
                  <wp:cNvGraphicFramePr/>
                  <a:graphic xmlns:a="http://schemas.openxmlformats.org/drawingml/2006/main">
                    <a:graphicData uri="http://schemas.openxmlformats.org/drawingml/2006/picture">
                      <pic:pic xmlns:pic="http://schemas.openxmlformats.org/drawingml/2006/picture">
                        <pic:nvPicPr>
                          <pic:cNvPr id="2236" name="Picture_12_SpCnt_13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10" name="Picture_12_SpCnt_132"/>
                  <wp:cNvGraphicFramePr/>
                  <a:graphic xmlns:a="http://schemas.openxmlformats.org/drawingml/2006/main">
                    <a:graphicData uri="http://schemas.openxmlformats.org/drawingml/2006/picture">
                      <pic:pic xmlns:pic="http://schemas.openxmlformats.org/drawingml/2006/picture">
                        <pic:nvPicPr>
                          <pic:cNvPr id="2210" name="Picture_12_SpCnt_13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09" name="Picture_12_SpCnt_133"/>
                  <wp:cNvGraphicFramePr/>
                  <a:graphic xmlns:a="http://schemas.openxmlformats.org/drawingml/2006/main">
                    <a:graphicData uri="http://schemas.openxmlformats.org/drawingml/2006/picture">
                      <pic:pic xmlns:pic="http://schemas.openxmlformats.org/drawingml/2006/picture">
                        <pic:nvPicPr>
                          <pic:cNvPr id="2209" name="Picture_12_SpCnt_13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211" name="Picture_2_SpCnt_55"/>
                  <wp:cNvGraphicFramePr/>
                  <a:graphic xmlns:a="http://schemas.openxmlformats.org/drawingml/2006/main">
                    <a:graphicData uri="http://schemas.openxmlformats.org/drawingml/2006/picture">
                      <pic:pic xmlns:pic="http://schemas.openxmlformats.org/drawingml/2006/picture">
                        <pic:nvPicPr>
                          <pic:cNvPr id="2211" name="Picture_2_SpCnt_55"/>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2222" name="Picture_11_SpCnt_74"/>
                  <wp:cNvGraphicFramePr/>
                  <a:graphic xmlns:a="http://schemas.openxmlformats.org/drawingml/2006/main">
                    <a:graphicData uri="http://schemas.openxmlformats.org/drawingml/2006/picture">
                      <pic:pic xmlns:pic="http://schemas.openxmlformats.org/drawingml/2006/picture">
                        <pic:nvPicPr>
                          <pic:cNvPr id="2222" name="Picture_11_SpCnt_74"/>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212" name="Picture_2_SpCnt_56"/>
                  <wp:cNvGraphicFramePr/>
                  <a:graphic xmlns:a="http://schemas.openxmlformats.org/drawingml/2006/main">
                    <a:graphicData uri="http://schemas.openxmlformats.org/drawingml/2006/picture">
                      <pic:pic xmlns:pic="http://schemas.openxmlformats.org/drawingml/2006/picture">
                        <pic:nvPicPr>
                          <pic:cNvPr id="2212" name="Picture_2_SpCnt_56"/>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47" name="Picture_13_SpCnt_216"/>
                  <wp:cNvGraphicFramePr/>
                  <a:graphic xmlns:a="http://schemas.openxmlformats.org/drawingml/2006/main">
                    <a:graphicData uri="http://schemas.openxmlformats.org/drawingml/2006/picture">
                      <pic:pic xmlns:pic="http://schemas.openxmlformats.org/drawingml/2006/picture">
                        <pic:nvPicPr>
                          <pic:cNvPr id="2247" name="Picture_13_SpCnt_216"/>
                          <pic:cNvPicPr/>
                        </pic:nvPicPr>
                        <pic:blipFill>
                          <a:blip r:embed="rId39"/>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57" name="Picture_13_SpCnt_217"/>
                  <wp:cNvGraphicFramePr/>
                  <a:graphic xmlns:a="http://schemas.openxmlformats.org/drawingml/2006/main">
                    <a:graphicData uri="http://schemas.openxmlformats.org/drawingml/2006/picture">
                      <pic:pic xmlns:pic="http://schemas.openxmlformats.org/drawingml/2006/picture">
                        <pic:nvPicPr>
                          <pic:cNvPr id="2257" name="Picture_13_SpCnt_21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61" name="Picture_13_SpCnt_218"/>
                  <wp:cNvGraphicFramePr/>
                  <a:graphic xmlns:a="http://schemas.openxmlformats.org/drawingml/2006/main">
                    <a:graphicData uri="http://schemas.openxmlformats.org/drawingml/2006/picture">
                      <pic:pic xmlns:pic="http://schemas.openxmlformats.org/drawingml/2006/picture">
                        <pic:nvPicPr>
                          <pic:cNvPr id="2261" name="Picture_13_SpCnt_21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266" name="Picture_2_SpCnt_57"/>
                  <wp:cNvGraphicFramePr/>
                  <a:graphic xmlns:a="http://schemas.openxmlformats.org/drawingml/2006/main">
                    <a:graphicData uri="http://schemas.openxmlformats.org/drawingml/2006/picture">
                      <pic:pic xmlns:pic="http://schemas.openxmlformats.org/drawingml/2006/picture">
                        <pic:nvPicPr>
                          <pic:cNvPr id="2266" name="Picture_2_SpCnt_57"/>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58" name="Picture_13_SpCnt_219"/>
                  <wp:cNvGraphicFramePr/>
                  <a:graphic xmlns:a="http://schemas.openxmlformats.org/drawingml/2006/main">
                    <a:graphicData uri="http://schemas.openxmlformats.org/drawingml/2006/picture">
                      <pic:pic xmlns:pic="http://schemas.openxmlformats.org/drawingml/2006/picture">
                        <pic:nvPicPr>
                          <pic:cNvPr id="2258" name="Picture_13_SpCnt_21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52" name="Picture_10_SpCnt_73"/>
                  <wp:cNvGraphicFramePr/>
                  <a:graphic xmlns:a="http://schemas.openxmlformats.org/drawingml/2006/main">
                    <a:graphicData uri="http://schemas.openxmlformats.org/drawingml/2006/picture">
                      <pic:pic xmlns:pic="http://schemas.openxmlformats.org/drawingml/2006/picture">
                        <pic:nvPicPr>
                          <pic:cNvPr id="2252" name="Picture_10_SpCnt_7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67" name="Picture_13_SpCnt_220"/>
                  <wp:cNvGraphicFramePr/>
                  <a:graphic xmlns:a="http://schemas.openxmlformats.org/drawingml/2006/main">
                    <a:graphicData uri="http://schemas.openxmlformats.org/drawingml/2006/picture">
                      <pic:pic xmlns:pic="http://schemas.openxmlformats.org/drawingml/2006/picture">
                        <pic:nvPicPr>
                          <pic:cNvPr id="2267" name="Picture_13_SpCnt_22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59" name="Picture_13_SpCnt_221"/>
                  <wp:cNvGraphicFramePr/>
                  <a:graphic xmlns:a="http://schemas.openxmlformats.org/drawingml/2006/main">
                    <a:graphicData uri="http://schemas.openxmlformats.org/drawingml/2006/picture">
                      <pic:pic xmlns:pic="http://schemas.openxmlformats.org/drawingml/2006/picture">
                        <pic:nvPicPr>
                          <pic:cNvPr id="2259" name="Picture_13_SpCnt_22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62" name="Picture_13_SpCnt_222"/>
                  <wp:cNvGraphicFramePr/>
                  <a:graphic xmlns:a="http://schemas.openxmlformats.org/drawingml/2006/main">
                    <a:graphicData uri="http://schemas.openxmlformats.org/drawingml/2006/picture">
                      <pic:pic xmlns:pic="http://schemas.openxmlformats.org/drawingml/2006/picture">
                        <pic:nvPicPr>
                          <pic:cNvPr id="2262" name="Picture_13_SpCnt_22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48" name="Picture_13_SpCnt_223"/>
                  <wp:cNvGraphicFramePr/>
                  <a:graphic xmlns:a="http://schemas.openxmlformats.org/drawingml/2006/main">
                    <a:graphicData uri="http://schemas.openxmlformats.org/drawingml/2006/picture">
                      <pic:pic xmlns:pic="http://schemas.openxmlformats.org/drawingml/2006/picture">
                        <pic:nvPicPr>
                          <pic:cNvPr id="2248" name="Picture_13_SpCnt_22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2253" name="Picture_11_SpCnt_75"/>
                  <wp:cNvGraphicFramePr/>
                  <a:graphic xmlns:a="http://schemas.openxmlformats.org/drawingml/2006/main">
                    <a:graphicData uri="http://schemas.openxmlformats.org/drawingml/2006/picture">
                      <pic:pic xmlns:pic="http://schemas.openxmlformats.org/drawingml/2006/picture">
                        <pic:nvPicPr>
                          <pic:cNvPr id="2253" name="Picture_11_SpCnt_75"/>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49" name="Picture_13_SpCnt_224"/>
                  <wp:cNvGraphicFramePr/>
                  <a:graphic xmlns:a="http://schemas.openxmlformats.org/drawingml/2006/main">
                    <a:graphicData uri="http://schemas.openxmlformats.org/drawingml/2006/picture">
                      <pic:pic xmlns:pic="http://schemas.openxmlformats.org/drawingml/2006/picture">
                        <pic:nvPicPr>
                          <pic:cNvPr id="2249" name="Picture_13_SpCnt_22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50" name="Picture_10_SpCnt_74"/>
                  <wp:cNvGraphicFramePr/>
                  <a:graphic xmlns:a="http://schemas.openxmlformats.org/drawingml/2006/main">
                    <a:graphicData uri="http://schemas.openxmlformats.org/drawingml/2006/picture">
                      <pic:pic xmlns:pic="http://schemas.openxmlformats.org/drawingml/2006/picture">
                        <pic:nvPicPr>
                          <pic:cNvPr id="2250" name="Picture_10_SpCnt_7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51" name="Picture_13_SpCnt_225"/>
                  <wp:cNvGraphicFramePr/>
                  <a:graphic xmlns:a="http://schemas.openxmlformats.org/drawingml/2006/main">
                    <a:graphicData uri="http://schemas.openxmlformats.org/drawingml/2006/picture">
                      <pic:pic xmlns:pic="http://schemas.openxmlformats.org/drawingml/2006/picture">
                        <pic:nvPicPr>
                          <pic:cNvPr id="2251" name="Picture_13_SpCnt_22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54" name="Picture_12_SpCnt_134"/>
                  <wp:cNvGraphicFramePr/>
                  <a:graphic xmlns:a="http://schemas.openxmlformats.org/drawingml/2006/main">
                    <a:graphicData uri="http://schemas.openxmlformats.org/drawingml/2006/picture">
                      <pic:pic xmlns:pic="http://schemas.openxmlformats.org/drawingml/2006/picture">
                        <pic:nvPicPr>
                          <pic:cNvPr id="2254" name="Picture_12_SpCnt_13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268" name="Picture_11_SpCnt_76"/>
                  <wp:cNvGraphicFramePr/>
                  <a:graphic xmlns:a="http://schemas.openxmlformats.org/drawingml/2006/main">
                    <a:graphicData uri="http://schemas.openxmlformats.org/drawingml/2006/picture">
                      <pic:pic xmlns:pic="http://schemas.openxmlformats.org/drawingml/2006/picture">
                        <pic:nvPicPr>
                          <pic:cNvPr id="2268" name="Picture_11_SpCnt_76"/>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55" name="Picture_1_SpCnt_72"/>
                  <wp:cNvGraphicFramePr/>
                  <a:graphic xmlns:a="http://schemas.openxmlformats.org/drawingml/2006/main">
                    <a:graphicData uri="http://schemas.openxmlformats.org/drawingml/2006/picture">
                      <pic:pic xmlns:pic="http://schemas.openxmlformats.org/drawingml/2006/picture">
                        <pic:nvPicPr>
                          <pic:cNvPr id="2255" name="Picture_1_SpCnt_7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256" name="Picture_2_SpCnt_58"/>
                  <wp:cNvGraphicFramePr/>
                  <a:graphic xmlns:a="http://schemas.openxmlformats.org/drawingml/2006/main">
                    <a:graphicData uri="http://schemas.openxmlformats.org/drawingml/2006/picture">
                      <pic:pic xmlns:pic="http://schemas.openxmlformats.org/drawingml/2006/picture">
                        <pic:nvPicPr>
                          <pic:cNvPr id="2256" name="Picture_2_SpCnt_58"/>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237" name="Picture_2_SpCnt_59"/>
                  <wp:cNvGraphicFramePr/>
                  <a:graphic xmlns:a="http://schemas.openxmlformats.org/drawingml/2006/main">
                    <a:graphicData uri="http://schemas.openxmlformats.org/drawingml/2006/picture">
                      <pic:pic xmlns:pic="http://schemas.openxmlformats.org/drawingml/2006/picture">
                        <pic:nvPicPr>
                          <pic:cNvPr id="2237" name="Picture_2_SpCnt_59"/>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2243" name="Picture_12_SpCnt_135"/>
                  <wp:cNvGraphicFramePr/>
                  <a:graphic xmlns:a="http://schemas.openxmlformats.org/drawingml/2006/main">
                    <a:graphicData uri="http://schemas.openxmlformats.org/drawingml/2006/picture">
                      <pic:pic xmlns:pic="http://schemas.openxmlformats.org/drawingml/2006/picture">
                        <pic:nvPicPr>
                          <pic:cNvPr id="2243" name="Picture_12_SpCnt_135"/>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60" name="Picture_12_SpCnt_136"/>
                  <wp:cNvGraphicFramePr/>
                  <a:graphic xmlns:a="http://schemas.openxmlformats.org/drawingml/2006/main">
                    <a:graphicData uri="http://schemas.openxmlformats.org/drawingml/2006/picture">
                      <pic:pic xmlns:pic="http://schemas.openxmlformats.org/drawingml/2006/picture">
                        <pic:nvPicPr>
                          <pic:cNvPr id="2260" name="Picture_12_SpCnt_13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63" name="Picture_1_SpCnt_73"/>
                  <wp:cNvGraphicFramePr/>
                  <a:graphic xmlns:a="http://schemas.openxmlformats.org/drawingml/2006/main">
                    <a:graphicData uri="http://schemas.openxmlformats.org/drawingml/2006/picture">
                      <pic:pic xmlns:pic="http://schemas.openxmlformats.org/drawingml/2006/picture">
                        <pic:nvPicPr>
                          <pic:cNvPr id="2263" name="Picture_1_SpCnt_7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39" name="Picture_1_SpCnt_74"/>
                  <wp:cNvGraphicFramePr/>
                  <a:graphic xmlns:a="http://schemas.openxmlformats.org/drawingml/2006/main">
                    <a:graphicData uri="http://schemas.openxmlformats.org/drawingml/2006/picture">
                      <pic:pic xmlns:pic="http://schemas.openxmlformats.org/drawingml/2006/picture">
                        <pic:nvPicPr>
                          <pic:cNvPr id="2239" name="Picture_1_SpCnt_7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46" name="Picture_13_SpCnt_226"/>
                  <wp:cNvGraphicFramePr/>
                  <a:graphic xmlns:a="http://schemas.openxmlformats.org/drawingml/2006/main">
                    <a:graphicData uri="http://schemas.openxmlformats.org/drawingml/2006/picture">
                      <pic:pic xmlns:pic="http://schemas.openxmlformats.org/drawingml/2006/picture">
                        <pic:nvPicPr>
                          <pic:cNvPr id="2246" name="Picture_13_SpCnt_22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45" name="Picture_1_SpCnt_75"/>
                  <wp:cNvGraphicFramePr/>
                  <a:graphic xmlns:a="http://schemas.openxmlformats.org/drawingml/2006/main">
                    <a:graphicData uri="http://schemas.openxmlformats.org/drawingml/2006/picture">
                      <pic:pic xmlns:pic="http://schemas.openxmlformats.org/drawingml/2006/picture">
                        <pic:nvPicPr>
                          <pic:cNvPr id="2245" name="Picture_1_SpCnt_7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44" name="Picture_1_SpCnt_76"/>
                  <wp:cNvGraphicFramePr/>
                  <a:graphic xmlns:a="http://schemas.openxmlformats.org/drawingml/2006/main">
                    <a:graphicData uri="http://schemas.openxmlformats.org/drawingml/2006/picture">
                      <pic:pic xmlns:pic="http://schemas.openxmlformats.org/drawingml/2006/picture">
                        <pic:nvPicPr>
                          <pic:cNvPr id="2244" name="Picture_1_SpCnt_7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64" name="Picture_12_SpCnt_137"/>
                  <wp:cNvGraphicFramePr/>
                  <a:graphic xmlns:a="http://schemas.openxmlformats.org/drawingml/2006/main">
                    <a:graphicData uri="http://schemas.openxmlformats.org/drawingml/2006/picture">
                      <pic:pic xmlns:pic="http://schemas.openxmlformats.org/drawingml/2006/picture">
                        <pic:nvPicPr>
                          <pic:cNvPr id="2264" name="Picture_12_SpCnt_13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65" name="Picture_13_SpCnt_227"/>
                  <wp:cNvGraphicFramePr/>
                  <a:graphic xmlns:a="http://schemas.openxmlformats.org/drawingml/2006/main">
                    <a:graphicData uri="http://schemas.openxmlformats.org/drawingml/2006/picture">
                      <pic:pic xmlns:pic="http://schemas.openxmlformats.org/drawingml/2006/picture">
                        <pic:nvPicPr>
                          <pic:cNvPr id="2265" name="Picture_13_SpCnt_22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38" name="Picture_10_SpCnt_75"/>
                  <wp:cNvGraphicFramePr/>
                  <a:graphic xmlns:a="http://schemas.openxmlformats.org/drawingml/2006/main">
                    <a:graphicData uri="http://schemas.openxmlformats.org/drawingml/2006/picture">
                      <pic:pic xmlns:pic="http://schemas.openxmlformats.org/drawingml/2006/picture">
                        <pic:nvPicPr>
                          <pic:cNvPr id="2238" name="Picture_10_SpCnt_7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240" name="Picture_11_SpCnt_77"/>
                  <wp:cNvGraphicFramePr/>
                  <a:graphic xmlns:a="http://schemas.openxmlformats.org/drawingml/2006/main">
                    <a:graphicData uri="http://schemas.openxmlformats.org/drawingml/2006/picture">
                      <pic:pic xmlns:pic="http://schemas.openxmlformats.org/drawingml/2006/picture">
                        <pic:nvPicPr>
                          <pic:cNvPr id="2240" name="Picture_11_SpCnt_77"/>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41" name="Picture_12_SpCnt_138"/>
                  <wp:cNvGraphicFramePr/>
                  <a:graphic xmlns:a="http://schemas.openxmlformats.org/drawingml/2006/main">
                    <a:graphicData uri="http://schemas.openxmlformats.org/drawingml/2006/picture">
                      <pic:pic xmlns:pic="http://schemas.openxmlformats.org/drawingml/2006/picture">
                        <pic:nvPicPr>
                          <pic:cNvPr id="2241" name="Picture_12_SpCnt_13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42" name="Picture_13_SpCnt_228"/>
                  <wp:cNvGraphicFramePr/>
                  <a:graphic xmlns:a="http://schemas.openxmlformats.org/drawingml/2006/main">
                    <a:graphicData uri="http://schemas.openxmlformats.org/drawingml/2006/picture">
                      <pic:pic xmlns:pic="http://schemas.openxmlformats.org/drawingml/2006/picture">
                        <pic:nvPicPr>
                          <pic:cNvPr id="2242" name="Picture_13_SpCnt_22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95" name="Picture_1_SpCnt_77"/>
                  <wp:cNvGraphicFramePr/>
                  <a:graphic xmlns:a="http://schemas.openxmlformats.org/drawingml/2006/main">
                    <a:graphicData uri="http://schemas.openxmlformats.org/drawingml/2006/picture">
                      <pic:pic xmlns:pic="http://schemas.openxmlformats.org/drawingml/2006/picture">
                        <pic:nvPicPr>
                          <pic:cNvPr id="2295" name="Picture_1_SpCnt_7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291" name="Picture_2_SpCnt_60"/>
                  <wp:cNvGraphicFramePr/>
                  <a:graphic xmlns:a="http://schemas.openxmlformats.org/drawingml/2006/main">
                    <a:graphicData uri="http://schemas.openxmlformats.org/drawingml/2006/picture">
                      <pic:pic xmlns:pic="http://schemas.openxmlformats.org/drawingml/2006/picture">
                        <pic:nvPicPr>
                          <pic:cNvPr id="2291" name="Picture_2_SpCnt_60"/>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83" name="Picture_13_SpCnt_229"/>
                  <wp:cNvGraphicFramePr/>
                  <a:graphic xmlns:a="http://schemas.openxmlformats.org/drawingml/2006/main">
                    <a:graphicData uri="http://schemas.openxmlformats.org/drawingml/2006/picture">
                      <pic:pic xmlns:pic="http://schemas.openxmlformats.org/drawingml/2006/picture">
                        <pic:nvPicPr>
                          <pic:cNvPr id="2283" name="Picture_13_SpCnt_22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77" name="Picture_10_SpCnt_76"/>
                  <wp:cNvGraphicFramePr/>
                  <a:graphic xmlns:a="http://schemas.openxmlformats.org/drawingml/2006/main">
                    <a:graphicData uri="http://schemas.openxmlformats.org/drawingml/2006/picture">
                      <pic:pic xmlns:pic="http://schemas.openxmlformats.org/drawingml/2006/picture">
                        <pic:nvPicPr>
                          <pic:cNvPr id="2277" name="Picture_10_SpCnt_7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74" name="Picture_12_SpCnt_139"/>
                  <wp:cNvGraphicFramePr/>
                  <a:graphic xmlns:a="http://schemas.openxmlformats.org/drawingml/2006/main">
                    <a:graphicData uri="http://schemas.openxmlformats.org/drawingml/2006/picture">
                      <pic:pic xmlns:pic="http://schemas.openxmlformats.org/drawingml/2006/picture">
                        <pic:nvPicPr>
                          <pic:cNvPr id="2274" name="Picture_12_SpCnt_13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89" name="Picture_13_SpCnt_230"/>
                  <wp:cNvGraphicFramePr/>
                  <a:graphic xmlns:a="http://schemas.openxmlformats.org/drawingml/2006/main">
                    <a:graphicData uri="http://schemas.openxmlformats.org/drawingml/2006/picture">
                      <pic:pic xmlns:pic="http://schemas.openxmlformats.org/drawingml/2006/picture">
                        <pic:nvPicPr>
                          <pic:cNvPr id="2289" name="Picture_13_SpCnt_23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90" name="Picture_1_SpCnt_78"/>
                  <wp:cNvGraphicFramePr/>
                  <a:graphic xmlns:a="http://schemas.openxmlformats.org/drawingml/2006/main">
                    <a:graphicData uri="http://schemas.openxmlformats.org/drawingml/2006/picture">
                      <pic:pic xmlns:pic="http://schemas.openxmlformats.org/drawingml/2006/picture">
                        <pic:nvPicPr>
                          <pic:cNvPr id="2290" name="Picture_1_SpCnt_7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79" name="Picture_13_SpCnt_231"/>
                  <wp:cNvGraphicFramePr/>
                  <a:graphic xmlns:a="http://schemas.openxmlformats.org/drawingml/2006/main">
                    <a:graphicData uri="http://schemas.openxmlformats.org/drawingml/2006/picture">
                      <pic:pic xmlns:pic="http://schemas.openxmlformats.org/drawingml/2006/picture">
                        <pic:nvPicPr>
                          <pic:cNvPr id="2279" name="Picture_13_SpCnt_23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70" name="Picture_12_SpCnt_140"/>
                  <wp:cNvGraphicFramePr/>
                  <a:graphic xmlns:a="http://schemas.openxmlformats.org/drawingml/2006/main">
                    <a:graphicData uri="http://schemas.openxmlformats.org/drawingml/2006/picture">
                      <pic:pic xmlns:pic="http://schemas.openxmlformats.org/drawingml/2006/picture">
                        <pic:nvPicPr>
                          <pic:cNvPr id="2270" name="Picture_12_SpCnt_14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84" name="Picture_12_SpCnt_141"/>
                  <wp:cNvGraphicFramePr/>
                  <a:graphic xmlns:a="http://schemas.openxmlformats.org/drawingml/2006/main">
                    <a:graphicData uri="http://schemas.openxmlformats.org/drawingml/2006/picture">
                      <pic:pic xmlns:pic="http://schemas.openxmlformats.org/drawingml/2006/picture">
                        <pic:nvPicPr>
                          <pic:cNvPr id="2284" name="Picture_12_SpCnt_14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98" name="Picture_12_SpCnt_142"/>
                  <wp:cNvGraphicFramePr/>
                  <a:graphic xmlns:a="http://schemas.openxmlformats.org/drawingml/2006/main">
                    <a:graphicData uri="http://schemas.openxmlformats.org/drawingml/2006/picture">
                      <pic:pic xmlns:pic="http://schemas.openxmlformats.org/drawingml/2006/picture">
                        <pic:nvPicPr>
                          <pic:cNvPr id="2298" name="Picture_12_SpCnt_14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99" name="Picture_13_SpCnt_232"/>
                  <wp:cNvGraphicFramePr/>
                  <a:graphic xmlns:a="http://schemas.openxmlformats.org/drawingml/2006/main">
                    <a:graphicData uri="http://schemas.openxmlformats.org/drawingml/2006/picture">
                      <pic:pic xmlns:pic="http://schemas.openxmlformats.org/drawingml/2006/picture">
                        <pic:nvPicPr>
                          <pic:cNvPr id="2299" name="Picture_13_SpCnt_23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2271" name="Picture_11_SpCnt_78"/>
                  <wp:cNvGraphicFramePr/>
                  <a:graphic xmlns:a="http://schemas.openxmlformats.org/drawingml/2006/main">
                    <a:graphicData uri="http://schemas.openxmlformats.org/drawingml/2006/picture">
                      <pic:pic xmlns:pic="http://schemas.openxmlformats.org/drawingml/2006/picture">
                        <pic:nvPicPr>
                          <pic:cNvPr id="2271" name="Picture_11_SpCnt_78"/>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294" name="Picture_11_SpCnt_79"/>
                  <wp:cNvGraphicFramePr/>
                  <a:graphic xmlns:a="http://schemas.openxmlformats.org/drawingml/2006/main">
                    <a:graphicData uri="http://schemas.openxmlformats.org/drawingml/2006/picture">
                      <pic:pic xmlns:pic="http://schemas.openxmlformats.org/drawingml/2006/picture">
                        <pic:nvPicPr>
                          <pic:cNvPr id="2294" name="Picture_11_SpCnt_79"/>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75" name="Picture_13_SpCnt_233"/>
                  <wp:cNvGraphicFramePr/>
                  <a:graphic xmlns:a="http://schemas.openxmlformats.org/drawingml/2006/main">
                    <a:graphicData uri="http://schemas.openxmlformats.org/drawingml/2006/picture">
                      <pic:pic xmlns:pic="http://schemas.openxmlformats.org/drawingml/2006/picture">
                        <pic:nvPicPr>
                          <pic:cNvPr id="2275" name="Picture_13_SpCnt_23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82" name="Picture_13_SpCnt_234"/>
                  <wp:cNvGraphicFramePr/>
                  <a:graphic xmlns:a="http://schemas.openxmlformats.org/drawingml/2006/main">
                    <a:graphicData uri="http://schemas.openxmlformats.org/drawingml/2006/picture">
                      <pic:pic xmlns:pic="http://schemas.openxmlformats.org/drawingml/2006/picture">
                        <pic:nvPicPr>
                          <pic:cNvPr id="2282" name="Picture_13_SpCnt_23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2300" name="Picture_13_SpCnt_235"/>
                  <wp:cNvGraphicFramePr/>
                  <a:graphic xmlns:a="http://schemas.openxmlformats.org/drawingml/2006/main">
                    <a:graphicData uri="http://schemas.openxmlformats.org/drawingml/2006/picture">
                      <pic:pic xmlns:pic="http://schemas.openxmlformats.org/drawingml/2006/picture">
                        <pic:nvPicPr>
                          <pic:cNvPr id="2300" name="Picture_13_SpCnt_235"/>
                          <pic:cNvPicPr/>
                        </pic:nvPicPr>
                        <pic:blipFill>
                          <a:blip r:embed="rId40"/>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69" name="Picture_10_SpCnt_77"/>
                  <wp:cNvGraphicFramePr/>
                  <a:graphic xmlns:a="http://schemas.openxmlformats.org/drawingml/2006/main">
                    <a:graphicData uri="http://schemas.openxmlformats.org/drawingml/2006/picture">
                      <pic:pic xmlns:pic="http://schemas.openxmlformats.org/drawingml/2006/picture">
                        <pic:nvPicPr>
                          <pic:cNvPr id="2269" name="Picture_10_SpCnt_7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93" name="Picture_12_SpCnt_143"/>
                  <wp:cNvGraphicFramePr/>
                  <a:graphic xmlns:a="http://schemas.openxmlformats.org/drawingml/2006/main">
                    <a:graphicData uri="http://schemas.openxmlformats.org/drawingml/2006/picture">
                      <pic:pic xmlns:pic="http://schemas.openxmlformats.org/drawingml/2006/picture">
                        <pic:nvPicPr>
                          <pic:cNvPr id="2293" name="Picture_12_SpCnt_14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78" name="Picture_13_SpCnt_236"/>
                  <wp:cNvGraphicFramePr/>
                  <a:graphic xmlns:a="http://schemas.openxmlformats.org/drawingml/2006/main">
                    <a:graphicData uri="http://schemas.openxmlformats.org/drawingml/2006/picture">
                      <pic:pic xmlns:pic="http://schemas.openxmlformats.org/drawingml/2006/picture">
                        <pic:nvPicPr>
                          <pic:cNvPr id="2278" name="Picture_13_SpCnt_23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76" name="Picture_13_SpCnt_237"/>
                  <wp:cNvGraphicFramePr/>
                  <a:graphic xmlns:a="http://schemas.openxmlformats.org/drawingml/2006/main">
                    <a:graphicData uri="http://schemas.openxmlformats.org/drawingml/2006/picture">
                      <pic:pic xmlns:pic="http://schemas.openxmlformats.org/drawingml/2006/picture">
                        <pic:nvPicPr>
                          <pic:cNvPr id="2276" name="Picture_13_SpCnt_23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80" name="Picture_13_SpCnt_238"/>
                  <wp:cNvGraphicFramePr/>
                  <a:graphic xmlns:a="http://schemas.openxmlformats.org/drawingml/2006/main">
                    <a:graphicData uri="http://schemas.openxmlformats.org/drawingml/2006/picture">
                      <pic:pic xmlns:pic="http://schemas.openxmlformats.org/drawingml/2006/picture">
                        <pic:nvPicPr>
                          <pic:cNvPr id="2280" name="Picture_13_SpCnt_23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86" name="Picture_10_SpCnt_78"/>
                  <wp:cNvGraphicFramePr/>
                  <a:graphic xmlns:a="http://schemas.openxmlformats.org/drawingml/2006/main">
                    <a:graphicData uri="http://schemas.openxmlformats.org/drawingml/2006/picture">
                      <pic:pic xmlns:pic="http://schemas.openxmlformats.org/drawingml/2006/picture">
                        <pic:nvPicPr>
                          <pic:cNvPr id="2286" name="Picture_10_SpCnt_7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81" name="Picture_13_SpCnt_239"/>
                  <wp:cNvGraphicFramePr/>
                  <a:graphic xmlns:a="http://schemas.openxmlformats.org/drawingml/2006/main">
                    <a:graphicData uri="http://schemas.openxmlformats.org/drawingml/2006/picture">
                      <pic:pic xmlns:pic="http://schemas.openxmlformats.org/drawingml/2006/picture">
                        <pic:nvPicPr>
                          <pic:cNvPr id="2281" name="Picture_13_SpCnt_23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97" name="Picture_13_SpCnt_240"/>
                  <wp:cNvGraphicFramePr/>
                  <a:graphic xmlns:a="http://schemas.openxmlformats.org/drawingml/2006/main">
                    <a:graphicData uri="http://schemas.openxmlformats.org/drawingml/2006/picture">
                      <pic:pic xmlns:pic="http://schemas.openxmlformats.org/drawingml/2006/picture">
                        <pic:nvPicPr>
                          <pic:cNvPr id="2297" name="Picture_13_SpCnt_24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87" name="Picture_12_SpCnt_144"/>
                  <wp:cNvGraphicFramePr/>
                  <a:graphic xmlns:a="http://schemas.openxmlformats.org/drawingml/2006/main">
                    <a:graphicData uri="http://schemas.openxmlformats.org/drawingml/2006/picture">
                      <pic:pic xmlns:pic="http://schemas.openxmlformats.org/drawingml/2006/picture">
                        <pic:nvPicPr>
                          <pic:cNvPr id="2287" name="Picture_12_SpCnt_14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2272" name="Picture_11_SpCnt_80"/>
                  <wp:cNvGraphicFramePr/>
                  <a:graphic xmlns:a="http://schemas.openxmlformats.org/drawingml/2006/main">
                    <a:graphicData uri="http://schemas.openxmlformats.org/drawingml/2006/picture">
                      <pic:pic xmlns:pic="http://schemas.openxmlformats.org/drawingml/2006/picture">
                        <pic:nvPicPr>
                          <pic:cNvPr id="2272" name="Picture_11_SpCnt_80"/>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273" name="Picture_11_SpCnt_81"/>
                  <wp:cNvGraphicFramePr/>
                  <a:graphic xmlns:a="http://schemas.openxmlformats.org/drawingml/2006/main">
                    <a:graphicData uri="http://schemas.openxmlformats.org/drawingml/2006/picture">
                      <pic:pic xmlns:pic="http://schemas.openxmlformats.org/drawingml/2006/picture">
                        <pic:nvPicPr>
                          <pic:cNvPr id="2273" name="Picture_11_SpCnt_81"/>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85" name="Picture_1_SpCnt_79"/>
                  <wp:cNvGraphicFramePr/>
                  <a:graphic xmlns:a="http://schemas.openxmlformats.org/drawingml/2006/main">
                    <a:graphicData uri="http://schemas.openxmlformats.org/drawingml/2006/picture">
                      <pic:pic xmlns:pic="http://schemas.openxmlformats.org/drawingml/2006/picture">
                        <pic:nvPicPr>
                          <pic:cNvPr id="2285" name="Picture_1_SpCnt_7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88" name="Picture_13_SpCnt_241"/>
                  <wp:cNvGraphicFramePr/>
                  <a:graphic xmlns:a="http://schemas.openxmlformats.org/drawingml/2006/main">
                    <a:graphicData uri="http://schemas.openxmlformats.org/drawingml/2006/picture">
                      <pic:pic xmlns:pic="http://schemas.openxmlformats.org/drawingml/2006/picture">
                        <pic:nvPicPr>
                          <pic:cNvPr id="2288" name="Picture_13_SpCnt_24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92" name="Picture_10_SpCnt_79"/>
                  <wp:cNvGraphicFramePr/>
                  <a:graphic xmlns:a="http://schemas.openxmlformats.org/drawingml/2006/main">
                    <a:graphicData uri="http://schemas.openxmlformats.org/drawingml/2006/picture">
                      <pic:pic xmlns:pic="http://schemas.openxmlformats.org/drawingml/2006/picture">
                        <pic:nvPicPr>
                          <pic:cNvPr id="2292" name="Picture_10_SpCnt_7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296" name="Picture_13_SpCnt_242"/>
                  <wp:cNvGraphicFramePr/>
                  <a:graphic xmlns:a="http://schemas.openxmlformats.org/drawingml/2006/main">
                    <a:graphicData uri="http://schemas.openxmlformats.org/drawingml/2006/picture">
                      <pic:pic xmlns:pic="http://schemas.openxmlformats.org/drawingml/2006/picture">
                        <pic:nvPicPr>
                          <pic:cNvPr id="2296" name="Picture_13_SpCnt_24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21" name="Picture_12_SpCnt_145"/>
                  <wp:cNvGraphicFramePr/>
                  <a:graphic xmlns:a="http://schemas.openxmlformats.org/drawingml/2006/main">
                    <a:graphicData uri="http://schemas.openxmlformats.org/drawingml/2006/picture">
                      <pic:pic xmlns:pic="http://schemas.openxmlformats.org/drawingml/2006/picture">
                        <pic:nvPicPr>
                          <pic:cNvPr id="2321" name="Picture_12_SpCnt_14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07" name="Picture_13_SpCnt_243"/>
                  <wp:cNvGraphicFramePr/>
                  <a:graphic xmlns:a="http://schemas.openxmlformats.org/drawingml/2006/main">
                    <a:graphicData uri="http://schemas.openxmlformats.org/drawingml/2006/picture">
                      <pic:pic xmlns:pic="http://schemas.openxmlformats.org/drawingml/2006/picture">
                        <pic:nvPicPr>
                          <pic:cNvPr id="2307" name="Picture_13_SpCnt_24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29" name="Picture_13_SpCnt_244"/>
                  <wp:cNvGraphicFramePr/>
                  <a:graphic xmlns:a="http://schemas.openxmlformats.org/drawingml/2006/main">
                    <a:graphicData uri="http://schemas.openxmlformats.org/drawingml/2006/picture">
                      <pic:pic xmlns:pic="http://schemas.openxmlformats.org/drawingml/2006/picture">
                        <pic:nvPicPr>
                          <pic:cNvPr id="2329" name="Picture_13_SpCnt_24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13" name="Picture_13_SpCnt_245"/>
                  <wp:cNvGraphicFramePr/>
                  <a:graphic xmlns:a="http://schemas.openxmlformats.org/drawingml/2006/main">
                    <a:graphicData uri="http://schemas.openxmlformats.org/drawingml/2006/picture">
                      <pic:pic xmlns:pic="http://schemas.openxmlformats.org/drawingml/2006/picture">
                        <pic:nvPicPr>
                          <pic:cNvPr id="2313" name="Picture_13_SpCnt_24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11" name="Picture_10_SpCnt_80"/>
                  <wp:cNvGraphicFramePr/>
                  <a:graphic xmlns:a="http://schemas.openxmlformats.org/drawingml/2006/main">
                    <a:graphicData uri="http://schemas.openxmlformats.org/drawingml/2006/picture">
                      <pic:pic xmlns:pic="http://schemas.openxmlformats.org/drawingml/2006/picture">
                        <pic:nvPicPr>
                          <pic:cNvPr id="2311" name="Picture_10_SpCnt_8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12" name="Picture_13_SpCnt_246"/>
                  <wp:cNvGraphicFramePr/>
                  <a:graphic xmlns:a="http://schemas.openxmlformats.org/drawingml/2006/main">
                    <a:graphicData uri="http://schemas.openxmlformats.org/drawingml/2006/picture">
                      <pic:pic xmlns:pic="http://schemas.openxmlformats.org/drawingml/2006/picture">
                        <pic:nvPicPr>
                          <pic:cNvPr id="2312" name="Picture_13_SpCnt_24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30" name="Picture_12_SpCnt_146"/>
                  <wp:cNvGraphicFramePr/>
                  <a:graphic xmlns:a="http://schemas.openxmlformats.org/drawingml/2006/main">
                    <a:graphicData uri="http://schemas.openxmlformats.org/drawingml/2006/picture">
                      <pic:pic xmlns:pic="http://schemas.openxmlformats.org/drawingml/2006/picture">
                        <pic:nvPicPr>
                          <pic:cNvPr id="2330" name="Picture_12_SpCnt_14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316" name="Picture_11_SpCnt_82"/>
                  <wp:cNvGraphicFramePr/>
                  <a:graphic xmlns:a="http://schemas.openxmlformats.org/drawingml/2006/main">
                    <a:graphicData uri="http://schemas.openxmlformats.org/drawingml/2006/picture">
                      <pic:pic xmlns:pic="http://schemas.openxmlformats.org/drawingml/2006/picture">
                        <pic:nvPicPr>
                          <pic:cNvPr id="2316" name="Picture_11_SpCnt_82"/>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19" name="Picture_12_SpCnt_147"/>
                  <wp:cNvGraphicFramePr/>
                  <a:graphic xmlns:a="http://schemas.openxmlformats.org/drawingml/2006/main">
                    <a:graphicData uri="http://schemas.openxmlformats.org/drawingml/2006/picture">
                      <pic:pic xmlns:pic="http://schemas.openxmlformats.org/drawingml/2006/picture">
                        <pic:nvPicPr>
                          <pic:cNvPr id="2319" name="Picture_12_SpCnt_14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05" name="Picture_12_SpCnt_148"/>
                  <wp:cNvGraphicFramePr/>
                  <a:graphic xmlns:a="http://schemas.openxmlformats.org/drawingml/2006/main">
                    <a:graphicData uri="http://schemas.openxmlformats.org/drawingml/2006/picture">
                      <pic:pic xmlns:pic="http://schemas.openxmlformats.org/drawingml/2006/picture">
                        <pic:nvPicPr>
                          <pic:cNvPr id="2305" name="Picture_12_SpCnt_14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317" name="Picture_2_SpCnt_61"/>
                  <wp:cNvGraphicFramePr/>
                  <a:graphic xmlns:a="http://schemas.openxmlformats.org/drawingml/2006/main">
                    <a:graphicData uri="http://schemas.openxmlformats.org/drawingml/2006/picture">
                      <pic:pic xmlns:pic="http://schemas.openxmlformats.org/drawingml/2006/picture">
                        <pic:nvPicPr>
                          <pic:cNvPr id="2317" name="Picture_2_SpCnt_61"/>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20" name="Picture_13_SpCnt_247"/>
                  <wp:cNvGraphicFramePr/>
                  <a:graphic xmlns:a="http://schemas.openxmlformats.org/drawingml/2006/main">
                    <a:graphicData uri="http://schemas.openxmlformats.org/drawingml/2006/picture">
                      <pic:pic xmlns:pic="http://schemas.openxmlformats.org/drawingml/2006/picture">
                        <pic:nvPicPr>
                          <pic:cNvPr id="2320" name="Picture_13_SpCnt_24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03" name="Picture_1_SpCnt_80"/>
                  <wp:cNvGraphicFramePr/>
                  <a:graphic xmlns:a="http://schemas.openxmlformats.org/drawingml/2006/main">
                    <a:graphicData uri="http://schemas.openxmlformats.org/drawingml/2006/picture">
                      <pic:pic xmlns:pic="http://schemas.openxmlformats.org/drawingml/2006/picture">
                        <pic:nvPicPr>
                          <pic:cNvPr id="2303" name="Picture_1_SpCnt_8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25" name="Picture_13_SpCnt_248"/>
                  <wp:cNvGraphicFramePr/>
                  <a:graphic xmlns:a="http://schemas.openxmlformats.org/drawingml/2006/main">
                    <a:graphicData uri="http://schemas.openxmlformats.org/drawingml/2006/picture">
                      <pic:pic xmlns:pic="http://schemas.openxmlformats.org/drawingml/2006/picture">
                        <pic:nvPicPr>
                          <pic:cNvPr id="2325" name="Picture_13_SpCnt_24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24" name="Picture_10_SpCnt_81"/>
                  <wp:cNvGraphicFramePr/>
                  <a:graphic xmlns:a="http://schemas.openxmlformats.org/drawingml/2006/main">
                    <a:graphicData uri="http://schemas.openxmlformats.org/drawingml/2006/picture">
                      <pic:pic xmlns:pic="http://schemas.openxmlformats.org/drawingml/2006/picture">
                        <pic:nvPicPr>
                          <pic:cNvPr id="2324" name="Picture_10_SpCnt_8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31" name="Picture_13_SpCnt_249"/>
                  <wp:cNvGraphicFramePr/>
                  <a:graphic xmlns:a="http://schemas.openxmlformats.org/drawingml/2006/main">
                    <a:graphicData uri="http://schemas.openxmlformats.org/drawingml/2006/picture">
                      <pic:pic xmlns:pic="http://schemas.openxmlformats.org/drawingml/2006/picture">
                        <pic:nvPicPr>
                          <pic:cNvPr id="2331" name="Picture_13_SpCnt_24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22" name="Picture_12_SpCnt_149"/>
                  <wp:cNvGraphicFramePr/>
                  <a:graphic xmlns:a="http://schemas.openxmlformats.org/drawingml/2006/main">
                    <a:graphicData uri="http://schemas.openxmlformats.org/drawingml/2006/picture">
                      <pic:pic xmlns:pic="http://schemas.openxmlformats.org/drawingml/2006/picture">
                        <pic:nvPicPr>
                          <pic:cNvPr id="2322" name="Picture_12_SpCnt_14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09" name="Picture_13_SpCnt_250"/>
                  <wp:cNvGraphicFramePr/>
                  <a:graphic xmlns:a="http://schemas.openxmlformats.org/drawingml/2006/main">
                    <a:graphicData uri="http://schemas.openxmlformats.org/drawingml/2006/picture">
                      <pic:pic xmlns:pic="http://schemas.openxmlformats.org/drawingml/2006/picture">
                        <pic:nvPicPr>
                          <pic:cNvPr id="2309" name="Picture_13_SpCnt_25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08" name="Picture_13_SpCnt_251"/>
                  <wp:cNvGraphicFramePr/>
                  <a:graphic xmlns:a="http://schemas.openxmlformats.org/drawingml/2006/main">
                    <a:graphicData uri="http://schemas.openxmlformats.org/drawingml/2006/picture">
                      <pic:pic xmlns:pic="http://schemas.openxmlformats.org/drawingml/2006/picture">
                        <pic:nvPicPr>
                          <pic:cNvPr id="2308" name="Picture_13_SpCnt_25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318" name="Picture_11_SpCnt_83"/>
                  <wp:cNvGraphicFramePr/>
                  <a:graphic xmlns:a="http://schemas.openxmlformats.org/drawingml/2006/main">
                    <a:graphicData uri="http://schemas.openxmlformats.org/drawingml/2006/picture">
                      <pic:pic xmlns:pic="http://schemas.openxmlformats.org/drawingml/2006/picture">
                        <pic:nvPicPr>
                          <pic:cNvPr id="2318" name="Picture_11_SpCnt_83"/>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332" name="Picture_2_SpCnt_62"/>
                  <wp:cNvGraphicFramePr/>
                  <a:graphic xmlns:a="http://schemas.openxmlformats.org/drawingml/2006/main">
                    <a:graphicData uri="http://schemas.openxmlformats.org/drawingml/2006/picture">
                      <pic:pic xmlns:pic="http://schemas.openxmlformats.org/drawingml/2006/picture">
                        <pic:nvPicPr>
                          <pic:cNvPr id="2332" name="Picture_2_SpCnt_62"/>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306" name="Picture_11_SpCnt_84"/>
                  <wp:cNvGraphicFramePr/>
                  <a:graphic xmlns:a="http://schemas.openxmlformats.org/drawingml/2006/main">
                    <a:graphicData uri="http://schemas.openxmlformats.org/drawingml/2006/picture">
                      <pic:pic xmlns:pic="http://schemas.openxmlformats.org/drawingml/2006/picture">
                        <pic:nvPicPr>
                          <pic:cNvPr id="2306" name="Picture_11_SpCnt_84"/>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10" name="Picture_13_SpCnt_252"/>
                  <wp:cNvGraphicFramePr/>
                  <a:graphic xmlns:a="http://schemas.openxmlformats.org/drawingml/2006/main">
                    <a:graphicData uri="http://schemas.openxmlformats.org/drawingml/2006/picture">
                      <pic:pic xmlns:pic="http://schemas.openxmlformats.org/drawingml/2006/picture">
                        <pic:nvPicPr>
                          <pic:cNvPr id="2310" name="Picture_13_SpCnt_25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23" name="Picture_12_SpCnt_150"/>
                  <wp:cNvGraphicFramePr/>
                  <a:graphic xmlns:a="http://schemas.openxmlformats.org/drawingml/2006/main">
                    <a:graphicData uri="http://schemas.openxmlformats.org/drawingml/2006/picture">
                      <pic:pic xmlns:pic="http://schemas.openxmlformats.org/drawingml/2006/picture">
                        <pic:nvPicPr>
                          <pic:cNvPr id="2323" name="Picture_12_SpCnt_15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326" name="Picture_11_SpCnt_85"/>
                  <wp:cNvGraphicFramePr/>
                  <a:graphic xmlns:a="http://schemas.openxmlformats.org/drawingml/2006/main">
                    <a:graphicData uri="http://schemas.openxmlformats.org/drawingml/2006/picture">
                      <pic:pic xmlns:pic="http://schemas.openxmlformats.org/drawingml/2006/picture">
                        <pic:nvPicPr>
                          <pic:cNvPr id="2326" name="Picture_11_SpCnt_85"/>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27" name="Picture_13_SpCnt_253"/>
                  <wp:cNvGraphicFramePr/>
                  <a:graphic xmlns:a="http://schemas.openxmlformats.org/drawingml/2006/main">
                    <a:graphicData uri="http://schemas.openxmlformats.org/drawingml/2006/picture">
                      <pic:pic xmlns:pic="http://schemas.openxmlformats.org/drawingml/2006/picture">
                        <pic:nvPicPr>
                          <pic:cNvPr id="2327" name="Picture_13_SpCnt_25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28" name="Picture_13_SpCnt_254"/>
                  <wp:cNvGraphicFramePr/>
                  <a:graphic xmlns:a="http://schemas.openxmlformats.org/drawingml/2006/main">
                    <a:graphicData uri="http://schemas.openxmlformats.org/drawingml/2006/picture">
                      <pic:pic xmlns:pic="http://schemas.openxmlformats.org/drawingml/2006/picture">
                        <pic:nvPicPr>
                          <pic:cNvPr id="2328" name="Picture_13_SpCnt_25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14" name="Picture_12_SpCnt_151"/>
                  <wp:cNvGraphicFramePr/>
                  <a:graphic xmlns:a="http://schemas.openxmlformats.org/drawingml/2006/main">
                    <a:graphicData uri="http://schemas.openxmlformats.org/drawingml/2006/picture">
                      <pic:pic xmlns:pic="http://schemas.openxmlformats.org/drawingml/2006/picture">
                        <pic:nvPicPr>
                          <pic:cNvPr id="2314" name="Picture_12_SpCnt_15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01" name="Picture_13_SpCnt_255"/>
                  <wp:cNvGraphicFramePr/>
                  <a:graphic xmlns:a="http://schemas.openxmlformats.org/drawingml/2006/main">
                    <a:graphicData uri="http://schemas.openxmlformats.org/drawingml/2006/picture">
                      <pic:pic xmlns:pic="http://schemas.openxmlformats.org/drawingml/2006/picture">
                        <pic:nvPicPr>
                          <pic:cNvPr id="2301" name="Picture_13_SpCnt_25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15" name="Picture_13_SpCnt_256"/>
                  <wp:cNvGraphicFramePr/>
                  <a:graphic xmlns:a="http://schemas.openxmlformats.org/drawingml/2006/main">
                    <a:graphicData uri="http://schemas.openxmlformats.org/drawingml/2006/picture">
                      <pic:pic xmlns:pic="http://schemas.openxmlformats.org/drawingml/2006/picture">
                        <pic:nvPicPr>
                          <pic:cNvPr id="2315" name="Picture_13_SpCnt_25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02" name="Picture_13_SpCnt_257"/>
                  <wp:cNvGraphicFramePr/>
                  <a:graphic xmlns:a="http://schemas.openxmlformats.org/drawingml/2006/main">
                    <a:graphicData uri="http://schemas.openxmlformats.org/drawingml/2006/picture">
                      <pic:pic xmlns:pic="http://schemas.openxmlformats.org/drawingml/2006/picture">
                        <pic:nvPicPr>
                          <pic:cNvPr id="2302" name="Picture_13_SpCnt_25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04" name="Picture_13_SpCnt_258"/>
                  <wp:cNvGraphicFramePr/>
                  <a:graphic xmlns:a="http://schemas.openxmlformats.org/drawingml/2006/main">
                    <a:graphicData uri="http://schemas.openxmlformats.org/drawingml/2006/picture">
                      <pic:pic xmlns:pic="http://schemas.openxmlformats.org/drawingml/2006/picture">
                        <pic:nvPicPr>
                          <pic:cNvPr id="2304" name="Picture_13_SpCnt_25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33" name="Picture_13_SpCnt_259"/>
                  <wp:cNvGraphicFramePr/>
                  <a:graphic xmlns:a="http://schemas.openxmlformats.org/drawingml/2006/main">
                    <a:graphicData uri="http://schemas.openxmlformats.org/drawingml/2006/picture">
                      <pic:pic xmlns:pic="http://schemas.openxmlformats.org/drawingml/2006/picture">
                        <pic:nvPicPr>
                          <pic:cNvPr id="2333" name="Picture_13_SpCnt_25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37" name="Picture_13_SpCnt_260"/>
                  <wp:cNvGraphicFramePr/>
                  <a:graphic xmlns:a="http://schemas.openxmlformats.org/drawingml/2006/main">
                    <a:graphicData uri="http://schemas.openxmlformats.org/drawingml/2006/picture">
                      <pic:pic xmlns:pic="http://schemas.openxmlformats.org/drawingml/2006/picture">
                        <pic:nvPicPr>
                          <pic:cNvPr id="2337" name="Picture_13_SpCnt_26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40" name="Picture_12_SpCnt_152"/>
                  <wp:cNvGraphicFramePr/>
                  <a:graphic xmlns:a="http://schemas.openxmlformats.org/drawingml/2006/main">
                    <a:graphicData uri="http://schemas.openxmlformats.org/drawingml/2006/picture">
                      <pic:pic xmlns:pic="http://schemas.openxmlformats.org/drawingml/2006/picture">
                        <pic:nvPicPr>
                          <pic:cNvPr id="2340" name="Picture_12_SpCnt_15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41" name="Picture_1_SpCnt_81"/>
                  <wp:cNvGraphicFramePr/>
                  <a:graphic xmlns:a="http://schemas.openxmlformats.org/drawingml/2006/main">
                    <a:graphicData uri="http://schemas.openxmlformats.org/drawingml/2006/picture">
                      <pic:pic xmlns:pic="http://schemas.openxmlformats.org/drawingml/2006/picture">
                        <pic:nvPicPr>
                          <pic:cNvPr id="2341" name="Picture_1_SpCnt_8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38" name="Picture_13_SpCnt_261"/>
                  <wp:cNvGraphicFramePr/>
                  <a:graphic xmlns:a="http://schemas.openxmlformats.org/drawingml/2006/main">
                    <a:graphicData uri="http://schemas.openxmlformats.org/drawingml/2006/picture">
                      <pic:pic xmlns:pic="http://schemas.openxmlformats.org/drawingml/2006/picture">
                        <pic:nvPicPr>
                          <pic:cNvPr id="2338" name="Picture_13_SpCnt_26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34" name="Picture_1_SpCnt_82"/>
                  <wp:cNvGraphicFramePr/>
                  <a:graphic xmlns:a="http://schemas.openxmlformats.org/drawingml/2006/main">
                    <a:graphicData uri="http://schemas.openxmlformats.org/drawingml/2006/picture">
                      <pic:pic xmlns:pic="http://schemas.openxmlformats.org/drawingml/2006/picture">
                        <pic:nvPicPr>
                          <pic:cNvPr id="2334" name="Picture_1_SpCnt_8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39" name="Picture_13_SpCnt_262"/>
                  <wp:cNvGraphicFramePr/>
                  <a:graphic xmlns:a="http://schemas.openxmlformats.org/drawingml/2006/main">
                    <a:graphicData uri="http://schemas.openxmlformats.org/drawingml/2006/picture">
                      <pic:pic xmlns:pic="http://schemas.openxmlformats.org/drawingml/2006/picture">
                        <pic:nvPicPr>
                          <pic:cNvPr id="2339" name="Picture_13_SpCnt_26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42" name="Picture_10_SpCnt_82"/>
                  <wp:cNvGraphicFramePr/>
                  <a:graphic xmlns:a="http://schemas.openxmlformats.org/drawingml/2006/main">
                    <a:graphicData uri="http://schemas.openxmlformats.org/drawingml/2006/picture">
                      <pic:pic xmlns:pic="http://schemas.openxmlformats.org/drawingml/2006/picture">
                        <pic:nvPicPr>
                          <pic:cNvPr id="2342" name="Picture_10_SpCnt_8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44" name="Picture_13_SpCnt_263"/>
                  <wp:cNvGraphicFramePr/>
                  <a:graphic xmlns:a="http://schemas.openxmlformats.org/drawingml/2006/main">
                    <a:graphicData uri="http://schemas.openxmlformats.org/drawingml/2006/picture">
                      <pic:pic xmlns:pic="http://schemas.openxmlformats.org/drawingml/2006/picture">
                        <pic:nvPicPr>
                          <pic:cNvPr id="2344" name="Picture_13_SpCnt_26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43" name="Picture_1_SpCnt_83"/>
                  <wp:cNvGraphicFramePr/>
                  <a:graphic xmlns:a="http://schemas.openxmlformats.org/drawingml/2006/main">
                    <a:graphicData uri="http://schemas.openxmlformats.org/drawingml/2006/picture">
                      <pic:pic xmlns:pic="http://schemas.openxmlformats.org/drawingml/2006/picture">
                        <pic:nvPicPr>
                          <pic:cNvPr id="2343" name="Picture_1_SpCnt_8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2345" name="Picture_12_SpCnt_153"/>
                  <wp:cNvGraphicFramePr/>
                  <a:graphic xmlns:a="http://schemas.openxmlformats.org/drawingml/2006/main">
                    <a:graphicData uri="http://schemas.openxmlformats.org/drawingml/2006/picture">
                      <pic:pic xmlns:pic="http://schemas.openxmlformats.org/drawingml/2006/picture">
                        <pic:nvPicPr>
                          <pic:cNvPr id="2345" name="Picture_12_SpCnt_153"/>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46" name="Picture_12_SpCnt_154"/>
                  <wp:cNvGraphicFramePr/>
                  <a:graphic xmlns:a="http://schemas.openxmlformats.org/drawingml/2006/main">
                    <a:graphicData uri="http://schemas.openxmlformats.org/drawingml/2006/picture">
                      <pic:pic xmlns:pic="http://schemas.openxmlformats.org/drawingml/2006/picture">
                        <pic:nvPicPr>
                          <pic:cNvPr id="2346" name="Picture_12_SpCnt_15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2335" name="Picture_11_SpCnt_86"/>
                  <wp:cNvGraphicFramePr/>
                  <a:graphic xmlns:a="http://schemas.openxmlformats.org/drawingml/2006/main">
                    <a:graphicData uri="http://schemas.openxmlformats.org/drawingml/2006/picture">
                      <pic:pic xmlns:pic="http://schemas.openxmlformats.org/drawingml/2006/picture">
                        <pic:nvPicPr>
                          <pic:cNvPr id="2335" name="Picture_11_SpCnt_86"/>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336" name="Picture_12_SpCnt_155"/>
                  <wp:cNvGraphicFramePr/>
                  <a:graphic xmlns:a="http://schemas.openxmlformats.org/drawingml/2006/main">
                    <a:graphicData uri="http://schemas.openxmlformats.org/drawingml/2006/picture">
                      <pic:pic xmlns:pic="http://schemas.openxmlformats.org/drawingml/2006/picture">
                        <pic:nvPicPr>
                          <pic:cNvPr id="2336" name="Picture_12_SpCnt_15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13" name="Picture_10_SpCnt_83"/>
                  <wp:cNvGraphicFramePr/>
                  <a:graphic xmlns:a="http://schemas.openxmlformats.org/drawingml/2006/main">
                    <a:graphicData uri="http://schemas.openxmlformats.org/drawingml/2006/picture">
                      <pic:pic xmlns:pic="http://schemas.openxmlformats.org/drawingml/2006/picture">
                        <pic:nvPicPr>
                          <pic:cNvPr id="1713" name="Picture_10_SpCnt_8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1704" name="Picture_11_SpCnt_87"/>
                  <wp:cNvGraphicFramePr/>
                  <a:graphic xmlns:a="http://schemas.openxmlformats.org/drawingml/2006/main">
                    <a:graphicData uri="http://schemas.openxmlformats.org/drawingml/2006/picture">
                      <pic:pic xmlns:pic="http://schemas.openxmlformats.org/drawingml/2006/picture">
                        <pic:nvPicPr>
                          <pic:cNvPr id="1704" name="Picture_11_SpCnt_87"/>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1702" name="Picture_11_SpCnt_88"/>
                  <wp:cNvGraphicFramePr/>
                  <a:graphic xmlns:a="http://schemas.openxmlformats.org/drawingml/2006/main">
                    <a:graphicData uri="http://schemas.openxmlformats.org/drawingml/2006/picture">
                      <pic:pic xmlns:pic="http://schemas.openxmlformats.org/drawingml/2006/picture">
                        <pic:nvPicPr>
                          <pic:cNvPr id="1702" name="Picture_11_SpCnt_88"/>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1714" name="Picture_13_SpCnt_264"/>
                  <wp:cNvGraphicFramePr/>
                  <a:graphic xmlns:a="http://schemas.openxmlformats.org/drawingml/2006/main">
                    <a:graphicData uri="http://schemas.openxmlformats.org/drawingml/2006/picture">
                      <pic:pic xmlns:pic="http://schemas.openxmlformats.org/drawingml/2006/picture">
                        <pic:nvPicPr>
                          <pic:cNvPr id="1714" name="Picture_13_SpCnt_264"/>
                          <pic:cNvPicPr/>
                        </pic:nvPicPr>
                        <pic:blipFill>
                          <a:blip r:embed="rId40"/>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07" name="Picture_13_SpCnt_265"/>
                  <wp:cNvGraphicFramePr/>
                  <a:graphic xmlns:a="http://schemas.openxmlformats.org/drawingml/2006/main">
                    <a:graphicData uri="http://schemas.openxmlformats.org/drawingml/2006/picture">
                      <pic:pic xmlns:pic="http://schemas.openxmlformats.org/drawingml/2006/picture">
                        <pic:nvPicPr>
                          <pic:cNvPr id="1707" name="Picture_13_SpCnt_26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694" name="Picture_13_SpCnt_266"/>
                  <wp:cNvGraphicFramePr/>
                  <a:graphic xmlns:a="http://schemas.openxmlformats.org/drawingml/2006/main">
                    <a:graphicData uri="http://schemas.openxmlformats.org/drawingml/2006/picture">
                      <pic:pic xmlns:pic="http://schemas.openxmlformats.org/drawingml/2006/picture">
                        <pic:nvPicPr>
                          <pic:cNvPr id="1694" name="Picture_13_SpCnt_26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696" name="Picture_10_SpCnt_84"/>
                  <wp:cNvGraphicFramePr/>
                  <a:graphic xmlns:a="http://schemas.openxmlformats.org/drawingml/2006/main">
                    <a:graphicData uri="http://schemas.openxmlformats.org/drawingml/2006/picture">
                      <pic:pic xmlns:pic="http://schemas.openxmlformats.org/drawingml/2006/picture">
                        <pic:nvPicPr>
                          <pic:cNvPr id="1696" name="Picture_10_SpCnt_8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21" name="Picture_13_SpCnt_267"/>
                  <wp:cNvGraphicFramePr/>
                  <a:graphic xmlns:a="http://schemas.openxmlformats.org/drawingml/2006/main">
                    <a:graphicData uri="http://schemas.openxmlformats.org/drawingml/2006/picture">
                      <pic:pic xmlns:pic="http://schemas.openxmlformats.org/drawingml/2006/picture">
                        <pic:nvPicPr>
                          <pic:cNvPr id="1721" name="Picture_13_SpCnt_26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1716" name="Picture_11_SpCnt_89"/>
                  <wp:cNvGraphicFramePr/>
                  <a:graphic xmlns:a="http://schemas.openxmlformats.org/drawingml/2006/main">
                    <a:graphicData uri="http://schemas.openxmlformats.org/drawingml/2006/picture">
                      <pic:pic xmlns:pic="http://schemas.openxmlformats.org/drawingml/2006/picture">
                        <pic:nvPicPr>
                          <pic:cNvPr id="1716" name="Picture_11_SpCnt_89"/>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03" name="Picture_1_SpCnt_84"/>
                  <wp:cNvGraphicFramePr/>
                  <a:graphic xmlns:a="http://schemas.openxmlformats.org/drawingml/2006/main">
                    <a:graphicData uri="http://schemas.openxmlformats.org/drawingml/2006/picture">
                      <pic:pic xmlns:pic="http://schemas.openxmlformats.org/drawingml/2006/picture">
                        <pic:nvPicPr>
                          <pic:cNvPr id="1703" name="Picture_1_SpCnt_8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10" name="Picture_13_SpCnt_268"/>
                  <wp:cNvGraphicFramePr/>
                  <a:graphic xmlns:a="http://schemas.openxmlformats.org/drawingml/2006/main">
                    <a:graphicData uri="http://schemas.openxmlformats.org/drawingml/2006/picture">
                      <pic:pic xmlns:pic="http://schemas.openxmlformats.org/drawingml/2006/picture">
                        <pic:nvPicPr>
                          <pic:cNvPr id="1710" name="Picture_13_SpCnt_26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18" name="Picture_12_SpCnt_156"/>
                  <wp:cNvGraphicFramePr/>
                  <a:graphic xmlns:a="http://schemas.openxmlformats.org/drawingml/2006/main">
                    <a:graphicData uri="http://schemas.openxmlformats.org/drawingml/2006/picture">
                      <pic:pic xmlns:pic="http://schemas.openxmlformats.org/drawingml/2006/picture">
                        <pic:nvPicPr>
                          <pic:cNvPr id="1718" name="Picture_12_SpCnt_15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1705" name="Picture_2_SpCnt_63"/>
                  <wp:cNvGraphicFramePr/>
                  <a:graphic xmlns:a="http://schemas.openxmlformats.org/drawingml/2006/main">
                    <a:graphicData uri="http://schemas.openxmlformats.org/drawingml/2006/picture">
                      <pic:pic xmlns:pic="http://schemas.openxmlformats.org/drawingml/2006/picture">
                        <pic:nvPicPr>
                          <pic:cNvPr id="1705" name="Picture_2_SpCnt_63"/>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22" name="Picture_10_SpCnt_85"/>
                  <wp:cNvGraphicFramePr/>
                  <a:graphic xmlns:a="http://schemas.openxmlformats.org/drawingml/2006/main">
                    <a:graphicData uri="http://schemas.openxmlformats.org/drawingml/2006/picture">
                      <pic:pic xmlns:pic="http://schemas.openxmlformats.org/drawingml/2006/picture">
                        <pic:nvPicPr>
                          <pic:cNvPr id="1722" name="Picture_10_SpCnt_8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698" name="Picture_13_SpCnt_269"/>
                  <wp:cNvGraphicFramePr/>
                  <a:graphic xmlns:a="http://schemas.openxmlformats.org/drawingml/2006/main">
                    <a:graphicData uri="http://schemas.openxmlformats.org/drawingml/2006/picture">
                      <pic:pic xmlns:pic="http://schemas.openxmlformats.org/drawingml/2006/picture">
                        <pic:nvPicPr>
                          <pic:cNvPr id="1698" name="Picture_13_SpCnt_26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08" name="Picture_12_SpCnt_157"/>
                  <wp:cNvGraphicFramePr/>
                  <a:graphic xmlns:a="http://schemas.openxmlformats.org/drawingml/2006/main">
                    <a:graphicData uri="http://schemas.openxmlformats.org/drawingml/2006/picture">
                      <pic:pic xmlns:pic="http://schemas.openxmlformats.org/drawingml/2006/picture">
                        <pic:nvPicPr>
                          <pic:cNvPr id="1708" name="Picture_12_SpCnt_15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695" name="Picture_13_SpCnt_270"/>
                  <wp:cNvGraphicFramePr/>
                  <a:graphic xmlns:a="http://schemas.openxmlformats.org/drawingml/2006/main">
                    <a:graphicData uri="http://schemas.openxmlformats.org/drawingml/2006/picture">
                      <pic:pic xmlns:pic="http://schemas.openxmlformats.org/drawingml/2006/picture">
                        <pic:nvPicPr>
                          <pic:cNvPr id="1695" name="Picture_13_SpCnt_27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24" name="Picture_1_SpCnt_85"/>
                  <wp:cNvGraphicFramePr/>
                  <a:graphic xmlns:a="http://schemas.openxmlformats.org/drawingml/2006/main">
                    <a:graphicData uri="http://schemas.openxmlformats.org/drawingml/2006/picture">
                      <pic:pic xmlns:pic="http://schemas.openxmlformats.org/drawingml/2006/picture">
                        <pic:nvPicPr>
                          <pic:cNvPr id="1724" name="Picture_1_SpCnt_8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23" name="Picture_13_SpCnt_271"/>
                  <wp:cNvGraphicFramePr/>
                  <a:graphic xmlns:a="http://schemas.openxmlformats.org/drawingml/2006/main">
                    <a:graphicData uri="http://schemas.openxmlformats.org/drawingml/2006/picture">
                      <pic:pic xmlns:pic="http://schemas.openxmlformats.org/drawingml/2006/picture">
                        <pic:nvPicPr>
                          <pic:cNvPr id="1723" name="Picture_13_SpCnt_27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01" name="Picture_12_SpCnt_158"/>
                  <wp:cNvGraphicFramePr/>
                  <a:graphic xmlns:a="http://schemas.openxmlformats.org/drawingml/2006/main">
                    <a:graphicData uri="http://schemas.openxmlformats.org/drawingml/2006/picture">
                      <pic:pic xmlns:pic="http://schemas.openxmlformats.org/drawingml/2006/picture">
                        <pic:nvPicPr>
                          <pic:cNvPr id="1701" name="Picture_12_SpCnt_15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06" name="Picture_1_SpCnt_86"/>
                  <wp:cNvGraphicFramePr/>
                  <a:graphic xmlns:a="http://schemas.openxmlformats.org/drawingml/2006/main">
                    <a:graphicData uri="http://schemas.openxmlformats.org/drawingml/2006/picture">
                      <pic:pic xmlns:pic="http://schemas.openxmlformats.org/drawingml/2006/picture">
                        <pic:nvPicPr>
                          <pic:cNvPr id="1706" name="Picture_1_SpCnt_8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693" name="Picture_10_SpCnt_86"/>
                  <wp:cNvGraphicFramePr/>
                  <a:graphic xmlns:a="http://schemas.openxmlformats.org/drawingml/2006/main">
                    <a:graphicData uri="http://schemas.openxmlformats.org/drawingml/2006/picture">
                      <pic:pic xmlns:pic="http://schemas.openxmlformats.org/drawingml/2006/picture">
                        <pic:nvPicPr>
                          <pic:cNvPr id="1693" name="Picture_10_SpCnt_8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17" name="Picture_13_SpCnt_272"/>
                  <wp:cNvGraphicFramePr/>
                  <a:graphic xmlns:a="http://schemas.openxmlformats.org/drawingml/2006/main">
                    <a:graphicData uri="http://schemas.openxmlformats.org/drawingml/2006/picture">
                      <pic:pic xmlns:pic="http://schemas.openxmlformats.org/drawingml/2006/picture">
                        <pic:nvPicPr>
                          <pic:cNvPr id="1717" name="Picture_13_SpCnt_27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11" name="Picture_12_SpCnt_159"/>
                  <wp:cNvGraphicFramePr/>
                  <a:graphic xmlns:a="http://schemas.openxmlformats.org/drawingml/2006/main">
                    <a:graphicData uri="http://schemas.openxmlformats.org/drawingml/2006/picture">
                      <pic:pic xmlns:pic="http://schemas.openxmlformats.org/drawingml/2006/picture">
                        <pic:nvPicPr>
                          <pic:cNvPr id="1711" name="Picture_12_SpCnt_15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1709" name="Picture_11_SpCnt_90"/>
                  <wp:cNvGraphicFramePr/>
                  <a:graphic xmlns:a="http://schemas.openxmlformats.org/drawingml/2006/main">
                    <a:graphicData uri="http://schemas.openxmlformats.org/drawingml/2006/picture">
                      <pic:pic xmlns:pic="http://schemas.openxmlformats.org/drawingml/2006/picture">
                        <pic:nvPicPr>
                          <pic:cNvPr id="1709" name="Picture_11_SpCnt_90"/>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1719" name="Picture_11_SpCnt_91"/>
                  <wp:cNvGraphicFramePr/>
                  <a:graphic xmlns:a="http://schemas.openxmlformats.org/drawingml/2006/main">
                    <a:graphicData uri="http://schemas.openxmlformats.org/drawingml/2006/picture">
                      <pic:pic xmlns:pic="http://schemas.openxmlformats.org/drawingml/2006/picture">
                        <pic:nvPicPr>
                          <pic:cNvPr id="1719" name="Picture_11_SpCnt_91"/>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1715" name="Picture_13_SpCnt_273"/>
                  <wp:cNvGraphicFramePr/>
                  <a:graphic xmlns:a="http://schemas.openxmlformats.org/drawingml/2006/main">
                    <a:graphicData uri="http://schemas.openxmlformats.org/drawingml/2006/picture">
                      <pic:pic xmlns:pic="http://schemas.openxmlformats.org/drawingml/2006/picture">
                        <pic:nvPicPr>
                          <pic:cNvPr id="1715" name="Picture_13_SpCnt_273"/>
                          <pic:cNvPicPr/>
                        </pic:nvPicPr>
                        <pic:blipFill>
                          <a:blip r:embed="rId40"/>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697" name="Picture_13_SpCnt_274"/>
                  <wp:cNvGraphicFramePr/>
                  <a:graphic xmlns:a="http://schemas.openxmlformats.org/drawingml/2006/main">
                    <a:graphicData uri="http://schemas.openxmlformats.org/drawingml/2006/picture">
                      <pic:pic xmlns:pic="http://schemas.openxmlformats.org/drawingml/2006/picture">
                        <pic:nvPicPr>
                          <pic:cNvPr id="1697" name="Picture_13_SpCnt_27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1699" name="Picture_12_SpCnt_160"/>
                  <wp:cNvGraphicFramePr/>
                  <a:graphic xmlns:a="http://schemas.openxmlformats.org/drawingml/2006/main">
                    <a:graphicData uri="http://schemas.openxmlformats.org/drawingml/2006/picture">
                      <pic:pic xmlns:pic="http://schemas.openxmlformats.org/drawingml/2006/picture">
                        <pic:nvPicPr>
                          <pic:cNvPr id="1699" name="Picture_12_SpCnt_160"/>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12" name="Picture_13_SpCnt_275"/>
                  <wp:cNvGraphicFramePr/>
                  <a:graphic xmlns:a="http://schemas.openxmlformats.org/drawingml/2006/main">
                    <a:graphicData uri="http://schemas.openxmlformats.org/drawingml/2006/picture">
                      <pic:pic xmlns:pic="http://schemas.openxmlformats.org/drawingml/2006/picture">
                        <pic:nvPicPr>
                          <pic:cNvPr id="1712" name="Picture_13_SpCnt_27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1700" name="Picture_12_SpCnt_161"/>
                  <wp:cNvGraphicFramePr/>
                  <a:graphic xmlns:a="http://schemas.openxmlformats.org/drawingml/2006/main">
                    <a:graphicData uri="http://schemas.openxmlformats.org/drawingml/2006/picture">
                      <pic:pic xmlns:pic="http://schemas.openxmlformats.org/drawingml/2006/picture">
                        <pic:nvPicPr>
                          <pic:cNvPr id="1700" name="Picture_12_SpCnt_161"/>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1720" name="Picture_11_SpCnt_92"/>
                  <wp:cNvGraphicFramePr/>
                  <a:graphic xmlns:a="http://schemas.openxmlformats.org/drawingml/2006/main">
                    <a:graphicData uri="http://schemas.openxmlformats.org/drawingml/2006/picture">
                      <pic:pic xmlns:pic="http://schemas.openxmlformats.org/drawingml/2006/picture">
                        <pic:nvPicPr>
                          <pic:cNvPr id="1720" name="Picture_11_SpCnt_92"/>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34" name="Picture_13_SpCnt_276"/>
                  <wp:cNvGraphicFramePr/>
                  <a:graphic xmlns:a="http://schemas.openxmlformats.org/drawingml/2006/main">
                    <a:graphicData uri="http://schemas.openxmlformats.org/drawingml/2006/picture">
                      <pic:pic xmlns:pic="http://schemas.openxmlformats.org/drawingml/2006/picture">
                        <pic:nvPicPr>
                          <pic:cNvPr id="1734" name="Picture_13_SpCnt_27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53" name="Picture_12_SpCnt_162"/>
                  <wp:cNvGraphicFramePr/>
                  <a:graphic xmlns:a="http://schemas.openxmlformats.org/drawingml/2006/main">
                    <a:graphicData uri="http://schemas.openxmlformats.org/drawingml/2006/picture">
                      <pic:pic xmlns:pic="http://schemas.openxmlformats.org/drawingml/2006/picture">
                        <pic:nvPicPr>
                          <pic:cNvPr id="1753" name="Picture_12_SpCnt_16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1731" name="Picture_11_SpCnt_93"/>
                  <wp:cNvGraphicFramePr/>
                  <a:graphic xmlns:a="http://schemas.openxmlformats.org/drawingml/2006/main">
                    <a:graphicData uri="http://schemas.openxmlformats.org/drawingml/2006/picture">
                      <pic:pic xmlns:pic="http://schemas.openxmlformats.org/drawingml/2006/picture">
                        <pic:nvPicPr>
                          <pic:cNvPr id="1731" name="Picture_11_SpCnt_93"/>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26" name="Picture_10_SpCnt_87"/>
                  <wp:cNvGraphicFramePr/>
                  <a:graphic xmlns:a="http://schemas.openxmlformats.org/drawingml/2006/main">
                    <a:graphicData uri="http://schemas.openxmlformats.org/drawingml/2006/picture">
                      <pic:pic xmlns:pic="http://schemas.openxmlformats.org/drawingml/2006/picture">
                        <pic:nvPicPr>
                          <pic:cNvPr id="1726" name="Picture_10_SpCnt_8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29" name="Picture_13_SpCnt_277"/>
                  <wp:cNvGraphicFramePr/>
                  <a:graphic xmlns:a="http://schemas.openxmlformats.org/drawingml/2006/main">
                    <a:graphicData uri="http://schemas.openxmlformats.org/drawingml/2006/picture">
                      <pic:pic xmlns:pic="http://schemas.openxmlformats.org/drawingml/2006/picture">
                        <pic:nvPicPr>
                          <pic:cNvPr id="1729" name="Picture_13_SpCnt_27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35" name="Picture_1_SpCnt_87"/>
                  <wp:cNvGraphicFramePr/>
                  <a:graphic xmlns:a="http://schemas.openxmlformats.org/drawingml/2006/main">
                    <a:graphicData uri="http://schemas.openxmlformats.org/drawingml/2006/picture">
                      <pic:pic xmlns:pic="http://schemas.openxmlformats.org/drawingml/2006/picture">
                        <pic:nvPicPr>
                          <pic:cNvPr id="1735" name="Picture_1_SpCnt_8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39" name="Picture_10_SpCnt_88"/>
                  <wp:cNvGraphicFramePr/>
                  <a:graphic xmlns:a="http://schemas.openxmlformats.org/drawingml/2006/main">
                    <a:graphicData uri="http://schemas.openxmlformats.org/drawingml/2006/picture">
                      <pic:pic xmlns:pic="http://schemas.openxmlformats.org/drawingml/2006/picture">
                        <pic:nvPicPr>
                          <pic:cNvPr id="1739" name="Picture_10_SpCnt_8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43" name="Picture_1_SpCnt_88"/>
                  <wp:cNvGraphicFramePr/>
                  <a:graphic xmlns:a="http://schemas.openxmlformats.org/drawingml/2006/main">
                    <a:graphicData uri="http://schemas.openxmlformats.org/drawingml/2006/picture">
                      <pic:pic xmlns:pic="http://schemas.openxmlformats.org/drawingml/2006/picture">
                        <pic:nvPicPr>
                          <pic:cNvPr id="1743" name="Picture_1_SpCnt_8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1725" name="Picture_2_SpCnt_64"/>
                  <wp:cNvGraphicFramePr/>
                  <a:graphic xmlns:a="http://schemas.openxmlformats.org/drawingml/2006/main">
                    <a:graphicData uri="http://schemas.openxmlformats.org/drawingml/2006/picture">
                      <pic:pic xmlns:pic="http://schemas.openxmlformats.org/drawingml/2006/picture">
                        <pic:nvPicPr>
                          <pic:cNvPr id="1725" name="Picture_2_SpCnt_64"/>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40" name="Picture_12_SpCnt_163"/>
                  <wp:cNvGraphicFramePr/>
                  <a:graphic xmlns:a="http://schemas.openxmlformats.org/drawingml/2006/main">
                    <a:graphicData uri="http://schemas.openxmlformats.org/drawingml/2006/picture">
                      <pic:pic xmlns:pic="http://schemas.openxmlformats.org/drawingml/2006/picture">
                        <pic:nvPicPr>
                          <pic:cNvPr id="1740" name="Picture_12_SpCnt_16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1730" name="Picture_11_SpCnt_94"/>
                  <wp:cNvGraphicFramePr/>
                  <a:graphic xmlns:a="http://schemas.openxmlformats.org/drawingml/2006/main">
                    <a:graphicData uri="http://schemas.openxmlformats.org/drawingml/2006/picture">
                      <pic:pic xmlns:pic="http://schemas.openxmlformats.org/drawingml/2006/picture">
                        <pic:nvPicPr>
                          <pic:cNvPr id="1730" name="Picture_11_SpCnt_94"/>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33" name="Picture_10_SpCnt_89"/>
                  <wp:cNvGraphicFramePr/>
                  <a:graphic xmlns:a="http://schemas.openxmlformats.org/drawingml/2006/main">
                    <a:graphicData uri="http://schemas.openxmlformats.org/drawingml/2006/picture">
                      <pic:pic xmlns:pic="http://schemas.openxmlformats.org/drawingml/2006/picture">
                        <pic:nvPicPr>
                          <pic:cNvPr id="1733" name="Picture_10_SpCnt_8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1741" name="Picture_2_SpCnt_65"/>
                  <wp:cNvGraphicFramePr/>
                  <a:graphic xmlns:a="http://schemas.openxmlformats.org/drawingml/2006/main">
                    <a:graphicData uri="http://schemas.openxmlformats.org/drawingml/2006/picture">
                      <pic:pic xmlns:pic="http://schemas.openxmlformats.org/drawingml/2006/picture">
                        <pic:nvPicPr>
                          <pic:cNvPr id="1741" name="Picture_2_SpCnt_65"/>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1744" name="Picture_11_SpCnt_95"/>
                  <wp:cNvGraphicFramePr/>
                  <a:graphic xmlns:a="http://schemas.openxmlformats.org/drawingml/2006/main">
                    <a:graphicData uri="http://schemas.openxmlformats.org/drawingml/2006/picture">
                      <pic:pic xmlns:pic="http://schemas.openxmlformats.org/drawingml/2006/picture">
                        <pic:nvPicPr>
                          <pic:cNvPr id="1744" name="Picture_11_SpCnt_95"/>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1748" name="Picture_13_SpCnt_278"/>
                  <wp:cNvGraphicFramePr/>
                  <a:graphic xmlns:a="http://schemas.openxmlformats.org/drawingml/2006/main">
                    <a:graphicData uri="http://schemas.openxmlformats.org/drawingml/2006/picture">
                      <pic:pic xmlns:pic="http://schemas.openxmlformats.org/drawingml/2006/picture">
                        <pic:nvPicPr>
                          <pic:cNvPr id="1748" name="Picture_13_SpCnt_278"/>
                          <pic:cNvPicPr/>
                        </pic:nvPicPr>
                        <pic:blipFill>
                          <a:blip r:embed="rId40"/>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38" name="Picture_13_SpCnt_279"/>
                  <wp:cNvGraphicFramePr/>
                  <a:graphic xmlns:a="http://schemas.openxmlformats.org/drawingml/2006/main">
                    <a:graphicData uri="http://schemas.openxmlformats.org/drawingml/2006/picture">
                      <pic:pic xmlns:pic="http://schemas.openxmlformats.org/drawingml/2006/picture">
                        <pic:nvPicPr>
                          <pic:cNvPr id="1738" name="Picture_13_SpCnt_27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36" name="Picture_10_SpCnt_90"/>
                  <wp:cNvGraphicFramePr/>
                  <a:graphic xmlns:a="http://schemas.openxmlformats.org/drawingml/2006/main">
                    <a:graphicData uri="http://schemas.openxmlformats.org/drawingml/2006/picture">
                      <pic:pic xmlns:pic="http://schemas.openxmlformats.org/drawingml/2006/picture">
                        <pic:nvPicPr>
                          <pic:cNvPr id="1736" name="Picture_10_SpCnt_9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42" name="Picture_13_SpCnt_280"/>
                  <wp:cNvGraphicFramePr/>
                  <a:graphic xmlns:a="http://schemas.openxmlformats.org/drawingml/2006/main">
                    <a:graphicData uri="http://schemas.openxmlformats.org/drawingml/2006/picture">
                      <pic:pic xmlns:pic="http://schemas.openxmlformats.org/drawingml/2006/picture">
                        <pic:nvPicPr>
                          <pic:cNvPr id="1742" name="Picture_13_SpCnt_28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1752" name="Picture_2_SpCnt_66"/>
                  <wp:cNvGraphicFramePr/>
                  <a:graphic xmlns:a="http://schemas.openxmlformats.org/drawingml/2006/main">
                    <a:graphicData uri="http://schemas.openxmlformats.org/drawingml/2006/picture">
                      <pic:pic xmlns:pic="http://schemas.openxmlformats.org/drawingml/2006/picture">
                        <pic:nvPicPr>
                          <pic:cNvPr id="1752" name="Picture_2_SpCnt_66"/>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37" name="Picture_1_SpCnt_89"/>
                  <wp:cNvGraphicFramePr/>
                  <a:graphic xmlns:a="http://schemas.openxmlformats.org/drawingml/2006/main">
                    <a:graphicData uri="http://schemas.openxmlformats.org/drawingml/2006/picture">
                      <pic:pic xmlns:pic="http://schemas.openxmlformats.org/drawingml/2006/picture">
                        <pic:nvPicPr>
                          <pic:cNvPr id="1737" name="Picture_1_SpCnt_8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45" name="Picture_13_SpCnt_281"/>
                  <wp:cNvGraphicFramePr/>
                  <a:graphic xmlns:a="http://schemas.openxmlformats.org/drawingml/2006/main">
                    <a:graphicData uri="http://schemas.openxmlformats.org/drawingml/2006/picture">
                      <pic:pic xmlns:pic="http://schemas.openxmlformats.org/drawingml/2006/picture">
                        <pic:nvPicPr>
                          <pic:cNvPr id="1745" name="Picture_13_SpCnt_28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54" name="Picture_13_SpCnt_282"/>
                  <wp:cNvGraphicFramePr/>
                  <a:graphic xmlns:a="http://schemas.openxmlformats.org/drawingml/2006/main">
                    <a:graphicData uri="http://schemas.openxmlformats.org/drawingml/2006/picture">
                      <pic:pic xmlns:pic="http://schemas.openxmlformats.org/drawingml/2006/picture">
                        <pic:nvPicPr>
                          <pic:cNvPr id="1754" name="Picture_13_SpCnt_28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50" name="Picture_12_SpCnt_164"/>
                  <wp:cNvGraphicFramePr/>
                  <a:graphic xmlns:a="http://schemas.openxmlformats.org/drawingml/2006/main">
                    <a:graphicData uri="http://schemas.openxmlformats.org/drawingml/2006/picture">
                      <pic:pic xmlns:pic="http://schemas.openxmlformats.org/drawingml/2006/picture">
                        <pic:nvPicPr>
                          <pic:cNvPr id="1750" name="Picture_12_SpCnt_16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55" name="Picture_1_SpCnt_90"/>
                  <wp:cNvGraphicFramePr/>
                  <a:graphic xmlns:a="http://schemas.openxmlformats.org/drawingml/2006/main">
                    <a:graphicData uri="http://schemas.openxmlformats.org/drawingml/2006/picture">
                      <pic:pic xmlns:pic="http://schemas.openxmlformats.org/drawingml/2006/picture">
                        <pic:nvPicPr>
                          <pic:cNvPr id="1755" name="Picture_1_SpCnt_9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46" name="Picture_1_SpCnt_91"/>
                  <wp:cNvGraphicFramePr/>
                  <a:graphic xmlns:a="http://schemas.openxmlformats.org/drawingml/2006/main">
                    <a:graphicData uri="http://schemas.openxmlformats.org/drawingml/2006/picture">
                      <pic:pic xmlns:pic="http://schemas.openxmlformats.org/drawingml/2006/picture">
                        <pic:nvPicPr>
                          <pic:cNvPr id="1746" name="Picture_1_SpCnt_9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47" name="Picture_12_SpCnt_165"/>
                  <wp:cNvGraphicFramePr/>
                  <a:graphic xmlns:a="http://schemas.openxmlformats.org/drawingml/2006/main">
                    <a:graphicData uri="http://schemas.openxmlformats.org/drawingml/2006/picture">
                      <pic:pic xmlns:pic="http://schemas.openxmlformats.org/drawingml/2006/picture">
                        <pic:nvPicPr>
                          <pic:cNvPr id="1747" name="Picture_12_SpCnt_16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49" name="Picture_13_SpCnt_283"/>
                  <wp:cNvGraphicFramePr/>
                  <a:graphic xmlns:a="http://schemas.openxmlformats.org/drawingml/2006/main">
                    <a:graphicData uri="http://schemas.openxmlformats.org/drawingml/2006/picture">
                      <pic:pic xmlns:pic="http://schemas.openxmlformats.org/drawingml/2006/picture">
                        <pic:nvPicPr>
                          <pic:cNvPr id="1749" name="Picture_13_SpCnt_28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1751" name="Picture_12_SpCnt_166"/>
                  <wp:cNvGraphicFramePr/>
                  <a:graphic xmlns:a="http://schemas.openxmlformats.org/drawingml/2006/main">
                    <a:graphicData uri="http://schemas.openxmlformats.org/drawingml/2006/picture">
                      <pic:pic xmlns:pic="http://schemas.openxmlformats.org/drawingml/2006/picture">
                        <pic:nvPicPr>
                          <pic:cNvPr id="1751" name="Picture_12_SpCnt_166"/>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56" name="Picture_10_SpCnt_91"/>
                  <wp:cNvGraphicFramePr/>
                  <a:graphic xmlns:a="http://schemas.openxmlformats.org/drawingml/2006/main">
                    <a:graphicData uri="http://schemas.openxmlformats.org/drawingml/2006/picture">
                      <pic:pic xmlns:pic="http://schemas.openxmlformats.org/drawingml/2006/picture">
                        <pic:nvPicPr>
                          <pic:cNvPr id="1756" name="Picture_10_SpCnt_91"/>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27" name="Picture_13_SpCnt_284"/>
                  <wp:cNvGraphicFramePr/>
                  <a:graphic xmlns:a="http://schemas.openxmlformats.org/drawingml/2006/main">
                    <a:graphicData uri="http://schemas.openxmlformats.org/drawingml/2006/picture">
                      <pic:pic xmlns:pic="http://schemas.openxmlformats.org/drawingml/2006/picture">
                        <pic:nvPicPr>
                          <pic:cNvPr id="1727" name="Picture_13_SpCnt_28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28" name="Picture_10_SpCnt_92"/>
                  <wp:cNvGraphicFramePr/>
                  <a:graphic xmlns:a="http://schemas.openxmlformats.org/drawingml/2006/main">
                    <a:graphicData uri="http://schemas.openxmlformats.org/drawingml/2006/picture">
                      <pic:pic xmlns:pic="http://schemas.openxmlformats.org/drawingml/2006/picture">
                        <pic:nvPicPr>
                          <pic:cNvPr id="1728" name="Picture_10_SpCnt_9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1732" name="Picture_10_SpCnt_93"/>
                  <wp:cNvGraphicFramePr/>
                  <a:graphic xmlns:a="http://schemas.openxmlformats.org/drawingml/2006/main">
                    <a:graphicData uri="http://schemas.openxmlformats.org/drawingml/2006/picture">
                      <pic:pic xmlns:pic="http://schemas.openxmlformats.org/drawingml/2006/picture">
                        <pic:nvPicPr>
                          <pic:cNvPr id="1732" name="Picture_10_SpCnt_9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499" name="Picture_12_SpCnt_167"/>
                  <wp:cNvGraphicFramePr/>
                  <a:graphic xmlns:a="http://schemas.openxmlformats.org/drawingml/2006/main">
                    <a:graphicData uri="http://schemas.openxmlformats.org/drawingml/2006/picture">
                      <pic:pic xmlns:pic="http://schemas.openxmlformats.org/drawingml/2006/picture">
                        <pic:nvPicPr>
                          <pic:cNvPr id="2499" name="Picture_12_SpCnt_16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522" name="Picture_2_SpCnt_67"/>
                  <wp:cNvGraphicFramePr/>
                  <a:graphic xmlns:a="http://schemas.openxmlformats.org/drawingml/2006/main">
                    <a:graphicData uri="http://schemas.openxmlformats.org/drawingml/2006/picture">
                      <pic:pic xmlns:pic="http://schemas.openxmlformats.org/drawingml/2006/picture">
                        <pic:nvPicPr>
                          <pic:cNvPr id="2522" name="Picture_2_SpCnt_67"/>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496" name="Picture_10_SpCnt_94"/>
                  <wp:cNvGraphicFramePr/>
                  <a:graphic xmlns:a="http://schemas.openxmlformats.org/drawingml/2006/main">
                    <a:graphicData uri="http://schemas.openxmlformats.org/drawingml/2006/picture">
                      <pic:pic xmlns:pic="http://schemas.openxmlformats.org/drawingml/2006/picture">
                        <pic:nvPicPr>
                          <pic:cNvPr id="2496" name="Picture_10_SpCnt_9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23" name="Picture_13_SpCnt_285"/>
                  <wp:cNvGraphicFramePr/>
                  <a:graphic xmlns:a="http://schemas.openxmlformats.org/drawingml/2006/main">
                    <a:graphicData uri="http://schemas.openxmlformats.org/drawingml/2006/picture">
                      <pic:pic xmlns:pic="http://schemas.openxmlformats.org/drawingml/2006/picture">
                        <pic:nvPicPr>
                          <pic:cNvPr id="2523" name="Picture_13_SpCnt_28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05" name="Picture_12_SpCnt_168"/>
                  <wp:cNvGraphicFramePr/>
                  <a:graphic xmlns:a="http://schemas.openxmlformats.org/drawingml/2006/main">
                    <a:graphicData uri="http://schemas.openxmlformats.org/drawingml/2006/picture">
                      <pic:pic xmlns:pic="http://schemas.openxmlformats.org/drawingml/2006/picture">
                        <pic:nvPicPr>
                          <pic:cNvPr id="2505" name="Picture_12_SpCnt_16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2525" name="Picture_12_SpCnt_169"/>
                  <wp:cNvGraphicFramePr/>
                  <a:graphic xmlns:a="http://schemas.openxmlformats.org/drawingml/2006/main">
                    <a:graphicData uri="http://schemas.openxmlformats.org/drawingml/2006/picture">
                      <pic:pic xmlns:pic="http://schemas.openxmlformats.org/drawingml/2006/picture">
                        <pic:nvPicPr>
                          <pic:cNvPr id="2525" name="Picture_12_SpCnt_169"/>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00" name="Picture_13_SpCnt_286"/>
                  <wp:cNvGraphicFramePr/>
                  <a:graphic xmlns:a="http://schemas.openxmlformats.org/drawingml/2006/main">
                    <a:graphicData uri="http://schemas.openxmlformats.org/drawingml/2006/picture">
                      <pic:pic xmlns:pic="http://schemas.openxmlformats.org/drawingml/2006/picture">
                        <pic:nvPicPr>
                          <pic:cNvPr id="2500" name="Picture_13_SpCnt_286"/>
                          <pic:cNvPicPr/>
                        </pic:nvPicPr>
                        <pic:blipFill>
                          <a:blip r:embed="rId39"/>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24" name="Picture_13_SpCnt_287"/>
                  <wp:cNvGraphicFramePr/>
                  <a:graphic xmlns:a="http://schemas.openxmlformats.org/drawingml/2006/main">
                    <a:graphicData uri="http://schemas.openxmlformats.org/drawingml/2006/picture">
                      <pic:pic xmlns:pic="http://schemas.openxmlformats.org/drawingml/2006/picture">
                        <pic:nvPicPr>
                          <pic:cNvPr id="2524" name="Picture_13_SpCnt_28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01" name="Picture_13_SpCnt_288"/>
                  <wp:cNvGraphicFramePr/>
                  <a:graphic xmlns:a="http://schemas.openxmlformats.org/drawingml/2006/main">
                    <a:graphicData uri="http://schemas.openxmlformats.org/drawingml/2006/picture">
                      <pic:pic xmlns:pic="http://schemas.openxmlformats.org/drawingml/2006/picture">
                        <pic:nvPicPr>
                          <pic:cNvPr id="2501" name="Picture_13_SpCnt_28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497" name="Picture_13_SpCnt_289"/>
                  <wp:cNvGraphicFramePr/>
                  <a:graphic xmlns:a="http://schemas.openxmlformats.org/drawingml/2006/main">
                    <a:graphicData uri="http://schemas.openxmlformats.org/drawingml/2006/picture">
                      <pic:pic xmlns:pic="http://schemas.openxmlformats.org/drawingml/2006/picture">
                        <pic:nvPicPr>
                          <pic:cNvPr id="2497" name="Picture_13_SpCnt_28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02" name="Picture_1_SpCnt_92"/>
                  <wp:cNvGraphicFramePr/>
                  <a:graphic xmlns:a="http://schemas.openxmlformats.org/drawingml/2006/main">
                    <a:graphicData uri="http://schemas.openxmlformats.org/drawingml/2006/picture">
                      <pic:pic xmlns:pic="http://schemas.openxmlformats.org/drawingml/2006/picture">
                        <pic:nvPicPr>
                          <pic:cNvPr id="2502" name="Picture_1_SpCnt_9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503" name="Picture_2_SpCnt_68"/>
                  <wp:cNvGraphicFramePr/>
                  <a:graphic xmlns:a="http://schemas.openxmlformats.org/drawingml/2006/main">
                    <a:graphicData uri="http://schemas.openxmlformats.org/drawingml/2006/picture">
                      <pic:pic xmlns:pic="http://schemas.openxmlformats.org/drawingml/2006/picture">
                        <pic:nvPicPr>
                          <pic:cNvPr id="2503" name="Picture_2_SpCnt_68"/>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21" name="Picture_1_SpCnt_93"/>
                  <wp:cNvGraphicFramePr/>
                  <a:graphic xmlns:a="http://schemas.openxmlformats.org/drawingml/2006/main">
                    <a:graphicData uri="http://schemas.openxmlformats.org/drawingml/2006/picture">
                      <pic:pic xmlns:pic="http://schemas.openxmlformats.org/drawingml/2006/picture">
                        <pic:nvPicPr>
                          <pic:cNvPr id="2521" name="Picture_1_SpCnt_9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10" name="Picture_13_SpCnt_290"/>
                  <wp:cNvGraphicFramePr/>
                  <a:graphic xmlns:a="http://schemas.openxmlformats.org/drawingml/2006/main">
                    <a:graphicData uri="http://schemas.openxmlformats.org/drawingml/2006/picture">
                      <pic:pic xmlns:pic="http://schemas.openxmlformats.org/drawingml/2006/picture">
                        <pic:nvPicPr>
                          <pic:cNvPr id="2510" name="Picture_13_SpCnt_29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06" name="Picture_1_SpCnt_94"/>
                  <wp:cNvGraphicFramePr/>
                  <a:graphic xmlns:a="http://schemas.openxmlformats.org/drawingml/2006/main">
                    <a:graphicData uri="http://schemas.openxmlformats.org/drawingml/2006/picture">
                      <pic:pic xmlns:pic="http://schemas.openxmlformats.org/drawingml/2006/picture">
                        <pic:nvPicPr>
                          <pic:cNvPr id="2506" name="Picture_1_SpCnt_9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07" name="Picture_12_SpCnt_170"/>
                  <wp:cNvGraphicFramePr/>
                  <a:graphic xmlns:a="http://schemas.openxmlformats.org/drawingml/2006/main">
                    <a:graphicData uri="http://schemas.openxmlformats.org/drawingml/2006/picture">
                      <pic:pic xmlns:pic="http://schemas.openxmlformats.org/drawingml/2006/picture">
                        <pic:nvPicPr>
                          <pic:cNvPr id="2507" name="Picture_12_SpCnt_170"/>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04" name="Picture_1_SpCnt_95"/>
                  <wp:cNvGraphicFramePr/>
                  <a:graphic xmlns:a="http://schemas.openxmlformats.org/drawingml/2006/main">
                    <a:graphicData uri="http://schemas.openxmlformats.org/drawingml/2006/picture">
                      <pic:pic xmlns:pic="http://schemas.openxmlformats.org/drawingml/2006/picture">
                        <pic:nvPicPr>
                          <pic:cNvPr id="2504" name="Picture_1_SpCnt_9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2494" name="Picture_12_SpCnt_171"/>
                  <wp:cNvGraphicFramePr/>
                  <a:graphic xmlns:a="http://schemas.openxmlformats.org/drawingml/2006/main">
                    <a:graphicData uri="http://schemas.openxmlformats.org/drawingml/2006/picture">
                      <pic:pic xmlns:pic="http://schemas.openxmlformats.org/drawingml/2006/picture">
                        <pic:nvPicPr>
                          <pic:cNvPr id="2494" name="Picture_12_SpCnt_171"/>
                          <pic:cNvPicPr/>
                        </pic:nvPicPr>
                        <pic:blipFill>
                          <a:blip r:embed="rId37"/>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495" name="Picture_1_SpCnt_96"/>
                  <wp:cNvGraphicFramePr/>
                  <a:graphic xmlns:a="http://schemas.openxmlformats.org/drawingml/2006/main">
                    <a:graphicData uri="http://schemas.openxmlformats.org/drawingml/2006/picture">
                      <pic:pic xmlns:pic="http://schemas.openxmlformats.org/drawingml/2006/picture">
                        <pic:nvPicPr>
                          <pic:cNvPr id="2495" name="Picture_1_SpCnt_9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509" name="Picture_2_SpCnt_69"/>
                  <wp:cNvGraphicFramePr/>
                  <a:graphic xmlns:a="http://schemas.openxmlformats.org/drawingml/2006/main">
                    <a:graphicData uri="http://schemas.openxmlformats.org/drawingml/2006/picture">
                      <pic:pic xmlns:pic="http://schemas.openxmlformats.org/drawingml/2006/picture">
                        <pic:nvPicPr>
                          <pic:cNvPr id="2509" name="Picture_2_SpCnt_69"/>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12" name="Picture_12_SpCnt_172"/>
                  <wp:cNvGraphicFramePr/>
                  <a:graphic xmlns:a="http://schemas.openxmlformats.org/drawingml/2006/main">
                    <a:graphicData uri="http://schemas.openxmlformats.org/drawingml/2006/picture">
                      <pic:pic xmlns:pic="http://schemas.openxmlformats.org/drawingml/2006/picture">
                        <pic:nvPicPr>
                          <pic:cNvPr id="2512" name="Picture_12_SpCnt_17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498" name="Picture_12_SpCnt_173"/>
                  <wp:cNvGraphicFramePr/>
                  <a:graphic xmlns:a="http://schemas.openxmlformats.org/drawingml/2006/main">
                    <a:graphicData uri="http://schemas.openxmlformats.org/drawingml/2006/picture">
                      <pic:pic xmlns:pic="http://schemas.openxmlformats.org/drawingml/2006/picture">
                        <pic:nvPicPr>
                          <pic:cNvPr id="2498" name="Picture_12_SpCnt_17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19" name="Picture_12_SpCnt_174"/>
                  <wp:cNvGraphicFramePr/>
                  <a:graphic xmlns:a="http://schemas.openxmlformats.org/drawingml/2006/main">
                    <a:graphicData uri="http://schemas.openxmlformats.org/drawingml/2006/picture">
                      <pic:pic xmlns:pic="http://schemas.openxmlformats.org/drawingml/2006/picture">
                        <pic:nvPicPr>
                          <pic:cNvPr id="2519" name="Picture_12_SpCnt_17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08" name="Picture_12_SpCnt_175"/>
                  <wp:cNvGraphicFramePr/>
                  <a:graphic xmlns:a="http://schemas.openxmlformats.org/drawingml/2006/main">
                    <a:graphicData uri="http://schemas.openxmlformats.org/drawingml/2006/picture">
                      <pic:pic xmlns:pic="http://schemas.openxmlformats.org/drawingml/2006/picture">
                        <pic:nvPicPr>
                          <pic:cNvPr id="2508" name="Picture_12_SpCnt_17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515" name="Picture_11_SpCnt_96"/>
                  <wp:cNvGraphicFramePr/>
                  <a:graphic xmlns:a="http://schemas.openxmlformats.org/drawingml/2006/main">
                    <a:graphicData uri="http://schemas.openxmlformats.org/drawingml/2006/picture">
                      <pic:pic xmlns:pic="http://schemas.openxmlformats.org/drawingml/2006/picture">
                        <pic:nvPicPr>
                          <pic:cNvPr id="2515" name="Picture_11_SpCnt_96"/>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11" name="Picture_12_SpCnt_176"/>
                  <wp:cNvGraphicFramePr/>
                  <a:graphic xmlns:a="http://schemas.openxmlformats.org/drawingml/2006/main">
                    <a:graphicData uri="http://schemas.openxmlformats.org/drawingml/2006/picture">
                      <pic:pic xmlns:pic="http://schemas.openxmlformats.org/drawingml/2006/picture">
                        <pic:nvPicPr>
                          <pic:cNvPr id="2511" name="Picture_12_SpCnt_17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9050"/>
                  <wp:effectExtent l="0" t="0" r="0" b="0"/>
                  <wp:wrapNone/>
                  <wp:docPr id="2513" name="Picture_13_SpCnt_291"/>
                  <wp:cNvGraphicFramePr/>
                  <a:graphic xmlns:a="http://schemas.openxmlformats.org/drawingml/2006/main">
                    <a:graphicData uri="http://schemas.openxmlformats.org/drawingml/2006/picture">
                      <pic:pic xmlns:pic="http://schemas.openxmlformats.org/drawingml/2006/picture">
                        <pic:nvPicPr>
                          <pic:cNvPr id="2513" name="Picture_13_SpCnt_291"/>
                          <pic:cNvPicPr/>
                        </pic:nvPicPr>
                        <pic:blipFill>
                          <a:blip r:embed="rId40"/>
                          <a:stretch>
                            <a:fillRect/>
                          </a:stretch>
                        </pic:blipFill>
                        <pic:spPr>
                          <a:xfrm>
                            <a:off x="0" y="0"/>
                            <a:ext cx="19050" cy="1905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14" name="Picture_12_SpCnt_177"/>
                  <wp:cNvGraphicFramePr/>
                  <a:graphic xmlns:a="http://schemas.openxmlformats.org/drawingml/2006/main">
                    <a:graphicData uri="http://schemas.openxmlformats.org/drawingml/2006/picture">
                      <pic:pic xmlns:pic="http://schemas.openxmlformats.org/drawingml/2006/picture">
                        <pic:nvPicPr>
                          <pic:cNvPr id="2514" name="Picture_12_SpCnt_17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16" name="Picture_13_SpCnt_292"/>
                  <wp:cNvGraphicFramePr/>
                  <a:graphic xmlns:a="http://schemas.openxmlformats.org/drawingml/2006/main">
                    <a:graphicData uri="http://schemas.openxmlformats.org/drawingml/2006/picture">
                      <pic:pic xmlns:pic="http://schemas.openxmlformats.org/drawingml/2006/picture">
                        <pic:nvPicPr>
                          <pic:cNvPr id="2516" name="Picture_13_SpCnt_292"/>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17" name="Picture_10_SpCnt_95"/>
                  <wp:cNvGraphicFramePr/>
                  <a:graphic xmlns:a="http://schemas.openxmlformats.org/drawingml/2006/main">
                    <a:graphicData uri="http://schemas.openxmlformats.org/drawingml/2006/picture">
                      <pic:pic xmlns:pic="http://schemas.openxmlformats.org/drawingml/2006/picture">
                        <pic:nvPicPr>
                          <pic:cNvPr id="2517" name="Picture_10_SpCnt_9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18" name="Picture_13_SpCnt_293"/>
                  <wp:cNvGraphicFramePr/>
                  <a:graphic xmlns:a="http://schemas.openxmlformats.org/drawingml/2006/main">
                    <a:graphicData uri="http://schemas.openxmlformats.org/drawingml/2006/picture">
                      <pic:pic xmlns:pic="http://schemas.openxmlformats.org/drawingml/2006/picture">
                        <pic:nvPicPr>
                          <pic:cNvPr id="2518" name="Picture_13_SpCnt_293"/>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20" name="Picture_10_SpCnt_96"/>
                  <wp:cNvGraphicFramePr/>
                  <a:graphic xmlns:a="http://schemas.openxmlformats.org/drawingml/2006/main">
                    <a:graphicData uri="http://schemas.openxmlformats.org/drawingml/2006/picture">
                      <pic:pic xmlns:pic="http://schemas.openxmlformats.org/drawingml/2006/picture">
                        <pic:nvPicPr>
                          <pic:cNvPr id="2520" name="Picture_10_SpCnt_9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31" name="Picture_10_SpCnt_97"/>
                  <wp:cNvGraphicFramePr/>
                  <a:graphic xmlns:a="http://schemas.openxmlformats.org/drawingml/2006/main">
                    <a:graphicData uri="http://schemas.openxmlformats.org/drawingml/2006/picture">
                      <pic:pic xmlns:pic="http://schemas.openxmlformats.org/drawingml/2006/picture">
                        <pic:nvPicPr>
                          <pic:cNvPr id="2531" name="Picture_10_SpCnt_9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35" name="Picture_10_SpCnt_98"/>
                  <wp:cNvGraphicFramePr/>
                  <a:graphic xmlns:a="http://schemas.openxmlformats.org/drawingml/2006/main">
                    <a:graphicData uri="http://schemas.openxmlformats.org/drawingml/2006/picture">
                      <pic:pic xmlns:pic="http://schemas.openxmlformats.org/drawingml/2006/picture">
                        <pic:nvPicPr>
                          <pic:cNvPr id="2535" name="Picture_10_SpCnt_9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533" name="Picture_11_SpCnt_97"/>
                  <wp:cNvGraphicFramePr/>
                  <a:graphic xmlns:a="http://schemas.openxmlformats.org/drawingml/2006/main">
                    <a:graphicData uri="http://schemas.openxmlformats.org/drawingml/2006/picture">
                      <pic:pic xmlns:pic="http://schemas.openxmlformats.org/drawingml/2006/picture">
                        <pic:nvPicPr>
                          <pic:cNvPr id="2533" name="Picture_11_SpCnt_97"/>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527" name="Picture_2_SpCnt_70"/>
                  <wp:cNvGraphicFramePr/>
                  <a:graphic xmlns:a="http://schemas.openxmlformats.org/drawingml/2006/main">
                    <a:graphicData uri="http://schemas.openxmlformats.org/drawingml/2006/picture">
                      <pic:pic xmlns:pic="http://schemas.openxmlformats.org/drawingml/2006/picture">
                        <pic:nvPicPr>
                          <pic:cNvPr id="2527" name="Picture_2_SpCnt_70"/>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26" name="Picture_1_SpCnt_97"/>
                  <wp:cNvGraphicFramePr/>
                  <a:graphic xmlns:a="http://schemas.openxmlformats.org/drawingml/2006/main">
                    <a:graphicData uri="http://schemas.openxmlformats.org/drawingml/2006/picture">
                      <pic:pic xmlns:pic="http://schemas.openxmlformats.org/drawingml/2006/picture">
                        <pic:nvPicPr>
                          <pic:cNvPr id="2526" name="Picture_1_SpCnt_97"/>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34" name="Picture_13_SpCnt_294"/>
                  <wp:cNvGraphicFramePr/>
                  <a:graphic xmlns:a="http://schemas.openxmlformats.org/drawingml/2006/main">
                    <a:graphicData uri="http://schemas.openxmlformats.org/drawingml/2006/picture">
                      <pic:pic xmlns:pic="http://schemas.openxmlformats.org/drawingml/2006/picture">
                        <pic:nvPicPr>
                          <pic:cNvPr id="2534" name="Picture_13_SpCnt_294"/>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37" name="Picture_13_SpCnt_295"/>
                  <wp:cNvGraphicFramePr/>
                  <a:graphic xmlns:a="http://schemas.openxmlformats.org/drawingml/2006/main">
                    <a:graphicData uri="http://schemas.openxmlformats.org/drawingml/2006/picture">
                      <pic:pic xmlns:pic="http://schemas.openxmlformats.org/drawingml/2006/picture">
                        <pic:nvPicPr>
                          <pic:cNvPr id="2537" name="Picture_13_SpCnt_295"/>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530" name="Picture_2_SpCnt_71"/>
                  <wp:cNvGraphicFramePr/>
                  <a:graphic xmlns:a="http://schemas.openxmlformats.org/drawingml/2006/main">
                    <a:graphicData uri="http://schemas.openxmlformats.org/drawingml/2006/picture">
                      <pic:pic xmlns:pic="http://schemas.openxmlformats.org/drawingml/2006/picture">
                        <pic:nvPicPr>
                          <pic:cNvPr id="2530" name="Picture_2_SpCnt_71"/>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28" name="Picture_13_SpCnt_296"/>
                  <wp:cNvGraphicFramePr/>
                  <a:graphic xmlns:a="http://schemas.openxmlformats.org/drawingml/2006/main">
                    <a:graphicData uri="http://schemas.openxmlformats.org/drawingml/2006/picture">
                      <pic:pic xmlns:pic="http://schemas.openxmlformats.org/drawingml/2006/picture">
                        <pic:nvPicPr>
                          <pic:cNvPr id="2528" name="Picture_13_SpCnt_296"/>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29" name="Picture_12_SpCnt_178"/>
                  <wp:cNvGraphicFramePr/>
                  <a:graphic xmlns:a="http://schemas.openxmlformats.org/drawingml/2006/main">
                    <a:graphicData uri="http://schemas.openxmlformats.org/drawingml/2006/picture">
                      <pic:pic xmlns:pic="http://schemas.openxmlformats.org/drawingml/2006/picture">
                        <pic:nvPicPr>
                          <pic:cNvPr id="2529" name="Picture_12_SpCnt_17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2700" cy="12700"/>
                  <wp:effectExtent l="0" t="0" r="0" b="0"/>
                  <wp:wrapNone/>
                  <wp:docPr id="2532" name="Picture_11_SpCnt_98"/>
                  <wp:cNvGraphicFramePr/>
                  <a:graphic xmlns:a="http://schemas.openxmlformats.org/drawingml/2006/main">
                    <a:graphicData uri="http://schemas.openxmlformats.org/drawingml/2006/picture">
                      <pic:pic xmlns:pic="http://schemas.openxmlformats.org/drawingml/2006/picture">
                        <pic:nvPicPr>
                          <pic:cNvPr id="2532" name="Picture_11_SpCnt_98"/>
                          <pic:cNvPicPr/>
                        </pic:nvPicPr>
                        <pic:blipFill>
                          <a:blip r:embed="rId38"/>
                          <a:stretch>
                            <a:fillRect/>
                          </a:stretch>
                        </pic:blipFill>
                        <pic:spPr>
                          <a:xfrm>
                            <a:off x="0" y="0"/>
                            <a:ext cx="1270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38" name="Picture_1_SpCnt_98"/>
                  <wp:cNvGraphicFramePr/>
                  <a:graphic xmlns:a="http://schemas.openxmlformats.org/drawingml/2006/main">
                    <a:graphicData uri="http://schemas.openxmlformats.org/drawingml/2006/picture">
                      <pic:pic xmlns:pic="http://schemas.openxmlformats.org/drawingml/2006/picture">
                        <pic:nvPicPr>
                          <pic:cNvPr id="2538" name="Picture_1_SpCnt_98"/>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401320</wp:posOffset>
                  </wp:positionH>
                  <wp:positionV relativeFrom="paragraph">
                    <wp:posOffset>0</wp:posOffset>
                  </wp:positionV>
                  <wp:extent cx="19050" cy="12700"/>
                  <wp:effectExtent l="0" t="0" r="0" b="0"/>
                  <wp:wrapNone/>
                  <wp:docPr id="2536" name="Picture_12_SpCnt_179"/>
                  <wp:cNvGraphicFramePr/>
                  <a:graphic xmlns:a="http://schemas.openxmlformats.org/drawingml/2006/main">
                    <a:graphicData uri="http://schemas.openxmlformats.org/drawingml/2006/picture">
                      <pic:pic xmlns:pic="http://schemas.openxmlformats.org/drawingml/2006/picture">
                        <pic:nvPicPr>
                          <pic:cNvPr id="2536" name="Picture_12_SpCnt_179"/>
                          <pic:cNvPicPr/>
                        </pic:nvPicPr>
                        <pic:blipFill>
                          <a:blip r:embed="rId36"/>
                          <a:stretch>
                            <a:fillRect/>
                          </a:stretch>
                        </pic:blipFill>
                        <pic:spPr>
                          <a:xfrm>
                            <a:off x="0" y="0"/>
                            <a:ext cx="19050" cy="12700"/>
                          </a:xfrm>
                          <a:prstGeom prst="rect">
                            <a:avLst/>
                          </a:prstGeom>
                          <a:noFill/>
                          <a:ln>
                            <a:noFill/>
                          </a:ln>
                        </pic:spPr>
                      </pic:pic>
                    </a:graphicData>
                  </a:graphic>
                </wp:anchor>
              </w:drawing>
            </w:r>
            <w:r>
              <w:rPr>
                <w:rFonts w:hint="eastAsia" w:ascii="微软雅黑" w:hAnsi="微软雅黑" w:eastAsia="微软雅黑" w:cs="微软雅黑"/>
                <w:b/>
                <w:bCs/>
                <w:i w:val="0"/>
                <w:iCs w:val="0"/>
                <w:color w:val="000000"/>
                <w:kern w:val="0"/>
                <w:sz w:val="32"/>
                <w:szCs w:val="32"/>
                <w:u w:val="none"/>
                <w:lang w:val="en-US" w:eastAsia="zh-CN" w:bidi="ar"/>
              </w:rPr>
              <w:t>三、桌椅配套家具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单席位办公桌</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单人办公席位。台面板:采用优质实木多层板，双面0.6mm三聚氰胺饰面，具有防火、防刮、耐磨等特点的防火板，厚度25mm，其它板材厚度为18mm，所有板材四周采用PVC封边条，厚度为0.15mm，木材含水量低于9%，甲醛释放量小于0.2mg/L,所有材料经过防虫，防腐处理，不易变形，表面光滑，耐磨，各项指标达到目前适用国家环境保护标准。5*5方钢为支撑脚架，五金件使用优质品牌带阻尼功能。</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16席位会议桌</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席位办公桌，基材选用优等实木多层板，表面采用0.6mm三聚氰胺面板，面板厚度为25mm，所有板材四周采用优质品牌封边条，厚度为0.15mm，木材含水量低于9%，甲醛释放量小于0.2mg/L,所有材料经过防虫，防腐处理，不易变形，表面光滑，耐磨，各项指标达到目前适用国家环境保护标准。底架采用2.0厚钢管再套管做为支撑，钢架完整焊接，结实耐用，不轻易变形，可承重≥150kg。</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四席位对坐</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人工位办公席位。台面板:采用优质实木多层板，双面0.6mm三聚氰胺饰面，具有防火、防刮、耐磨等特点的防火板，厚度25mm，其它板材厚度为18mm，所有板材四周采用PVC封边条，厚度为0.15mm，木材含水量低于9%，甲醛释放量小于0.2mg/L,所有材料经过防虫，防腐处理，不易变形，表面光滑，耐磨，各项指标达到目前适用国家环境保护标准。5*5方钢为支撑脚架，五金件使用优质品牌带阻尼功能。</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控制台配套人体工学椅</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网孔麻绒座椅，椅架：一次成型尼龙支架，尼龙五星脚，尼龙纤维万向轮，可升降PP扶手</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沙发组件</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沙发组件（三人位沙发+两个单人沙发+一个茶几）</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三人沙发组合</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三人沙发组合（三个单人沙发+桌子）</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单人吧椅</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1、高级可升降吧椅，下面搭配圆盘可用于支撑脚部；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2、优质水性皮饰面，高密度加高回弹海绵；</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3、两种颜色组合搭配时尚大气。</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冰箱</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218升三级直冷保鲜/软冷冻</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饮水机</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下置式冰热两用旋钮出水自动保温 立式饮水机</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单人床</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1、尺寸：1200mm*2000mm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2、主材框架（床靠、床侧、床尾）白橡实木，经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过耐酸碱、防虫、防腐特殊处理，不变形</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3、床铺板松木板，打磨平整光滑，无毛刺。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4、油漆：环保型E1级油漆，油漆有害物含量低</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于国家标准。可视涂层面平整光滑、清晰，可触</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面手感光滑，无毛刺。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5、五金配件：优质五金配件，产品达到国家性能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检测标准</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6、含高档床垫</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床头柜</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600mm*450mm</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电视机柜</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1500mm*300mm</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四、前端及网络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警械智能匹配感知前端</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RFID频段 860-960MHz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RFID协议标准 ISO18000-6C(EPC Class1 Gen2)/ISO18000-6B</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RFID天线 圆极化，5dBi，读取标签最大距离7米（跟标签环境相关），4天线阵列</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RFID 最大功率：33dBm，最大接收灵敏度：-85dBm，读标签最快速度：500张/秒</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4G TDD LTE: B34/B38/B39/B40/B41;  FDD LTE: B1/B3/B5/B7/B8/B20，最大上行速率：5Mbps，最大下行速率：10Mbps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蓝牙 支持BT v4.2</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定位 支持BDS/GPS频段，水平定位精度小于3米，冷启动时间小于&lt;35s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指示灯 电源、读标签、4G网络、蓝牙、BDS/GPS等功能指示灯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开关按钮 电源开关</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蜂鸣器 支持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SIM卡座 支持，热插拔，支持物联网卡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外部接口 TYPEC接口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尺寸 11cm*11cm*12cm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材质 塑胶加铝合金底座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供电 12V/3A</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重量 &lt;1.5KG，以实物为准</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工作温度 -20~55度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存储管理节点专用设备</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总体要求：▲非OEM产品，适用于通用机房环境，支持标准机柜</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处理器要求：配置2颗 Xeon 4310(12C,2.1GHz) 系列处理器，最大2颗处理器，支持处理器功耗≤270W</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内存要求：最大支持16个内存插槽；支持高级内存纠错（ECC）、内存镜像、内存等级保护等高级功能，最大支持2TB内存容量，支持3200MT/s工作频率；配置128G(4条32GB内存)；内存类型：支持RDIMM、LRDIMM、BPS内存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本地存储要求：最大可支持29个2.5寸硬盘（含4个后置LFF）或12个3.5寸硬盘，支持SAS/SATA/NVMe接口，支持2个后置基于SATA总线的M.2 SSD硬盘或2个后置短RSSD存储模块 ；前置：12*3.5”或25*2.5”；后置：4*2.5”加2SATA M.2/E1.s；本次配置硬盘容量： 6块600G 10K 硬盘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标准接口：4个USB接口，2个VGA接口；1个管理口，1个UART串口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RAID支持：RAID卡，2G缓存，支持RAID0/1/5等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网络接口：配置双口千兆网卡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I/O扩展槽：支持5个标准PCIE插槽+1个OCP3.0卡；支持4个GPU卡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散热：4个热插拔N+1冗余8056风扇，支持免工具热插拔维护</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管理功能：板载BMC管理模块，支持带外和带内远程管理控制，如IPMI2.0、KVM Over IP、SOL、SNMP等，使技术人员可以通过Web管理界面实现与操作系统无关的远程对服务器的完全控制，包括远程的开机、关机、重启、虚拟软驱、虚拟光驱等操作。可通过故障诊断LED等指引设备，快速找到已经发生故障（或者正在发生 故障）的组件。支持简体中文版服务器管理软件。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安全可信：支持TPM，TCM安全可信模块</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系统安全保护：支持系统安全加固模块，支持主机操作系统安全加固功能模块扩展，从系统内核层对服务器进行安全加固规则配置。具体功能包括：支持注册表强制访问控制，★进程强制访问控制，服务强制访问控制，文件完整性检测，服务完整性检测，支持系统自我保护，防止文件不被恶意修改和删除，实现分权管理模式，日志管理等;具有windows的兼容性认证证书。（提供相关证明文件扫描件并加盖公章）</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系统安全防御性：符合公安部等级保护三级技术要求。提升操，作系统的安全等级，免除因操作系统漏洞带来的安全问题，操作系统可免疫已知、未知病毒及黑客的攻击。支持Windows、linux、AIX、Solaris等主流操作系统平台。</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产品资质：中国环境标志产品认证证书   中国节能产品认证证书。（提供证书扫描件并加盖公章）</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服务：3年年免费整机硬件保修；必须提供工程师免费上架服务。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应用服务专用设备</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总体要求：▲非OEM产品，适用于通用机房环境，支持标准机柜</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处理器要求：配置2颗 Xeon 4310(12C,2.1GHz) 系列处理器，最大2颗处理器，支持铂金、金牌、银牌、铜牌全系列级别，支持处理器功耗≤270W</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内存要求：最大支持16个内存插槽；支持高级内存纠错（ECC）、内存镜像、内存等级保护等高级功能，最大支持2TB内存容量，支持3200MT/s工作频率;配置128G(4条32GB内存)；内存类型：支持RDIMM、LRDIMM、BPS内存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本地存储 总体要求：最大可支持29个2.5寸硬盘（含4个后置LFF）或12个3.5寸硬盘，支持SAS/SATA/NVMe接口，支持2个后置基于SATA总线的M.2 SSD硬盘或2个后置短RSSD存储模块 ;前置：12*3.5”或25*2.5”;后置：4*2.5”加2SATA M.2/E1.s;本次配置硬盘容量： 2块600G 10K 硬盘+4块6T SATA硬盘</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标准接口：4个USB接口，2个VGA接口；1个管理口，1个UART串口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RAID支持：RAID卡，2G缓存，支持RAID0/1/5等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网络接口：配置双口千兆网卡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I/O扩展槽：支持5个标准PCIE插槽+1个OCP3.0卡;支持4个GP</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散热：4个热插拔N+1冗余8056风扇，支持免工具热插拔维护</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管理功能：板载BMC管理模块，支持带外和带内远程管理控制，如IPMI2.0、KVM Over IP、SOL、SNMP等，使技术人员可以通过Web管理界面实现与操作系统无关的远程对服务器的完全控制，包括远程的开机、关机、重启、虚拟软驱、虚拟光驱等操作。可通过故障诊断LED等指引设备，快速找到已经发生故障（或者正在发生 故障）的组件。支持简体中文版服务器管理软件。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安全可信：支持TPM，TCM安全可信模块</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系统安全保护：支持系统安全加固模块，支持主机操作系统安全加固功能模块扩展，从系统内核层对服务器进行安全加固规则配置。具体功能包括：支持注册表强制访问控制，进程强制访问控制，服务强制访问控制，文件完整性检测，服务完整性检测，支持系统自我保护，防止文件不被恶意修改和删除，实现分权管理模式，日志管理等;具有windows的兼容性认证证书。</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系统安全防御性：符合公安部等级保护三级技术要求。提升操作系统的安全等级，免除因操作系统漏洞带来的安全问题，操作系统可免疫已知、未知病毒及黑客的攻击。支持Windows、linux、AIX、Solaris等主流操作系统平台。（提供相关证明文件扫描件并加盖公章）</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产品资质：中国环境标志产品认证证书   中国节能产品认证证书。（提供证书扫描件并加盖公章）</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服务：3年年免费整机硬件保修；必须提供工程师免费上架服务；为保机器所有组件保修。</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政务云服务器租用</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配置要求（不低于）：</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CPU：10核*2；</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内存：128G；</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硬盘：4*600G；</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带宽：100MB；</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租用期：12个月</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警用摩托车智能移动取证系统</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设备由前端采集单元（含2个有效像素不低于600万像素高清摄像头）、数据中控单元、显示终端和应用软件等组成，适用于各种型号警用摩托车，可实现同时对摩托车行驶方向前方不少于4个车道的图像采集、车牌识别及实时视频回传；</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2、★高清摄像头有效像素不低于600万像素，图片分辨率不低于3072×2048。（提供公安部检测报告扫描件并加盖公章）</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3、★设备集成锂电池供电模块，可独立供电，也可通过摩托车车载电瓶供电；</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3、设备在警用摩托车巡逻过程中，车载智能采集终端全自动工作，无需民警手动调节摄像机设备；</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4、每个高清摄像头均采用独立的处理器对图像进行处理，能自适应各种复杂的外部环境，保证图像清晰与识别率。</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5、摄像头集成补光灯，夜间环境自动补光。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6、外观设计防水、防尘、防晒，防护等级至少为IP65。</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7、系统能拍摄不少于2幅不同时间的机动车全景特征图片。</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8、叠加在每幅图片上的信息应包含日期、时间、设备编号、地理位置信息等。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9、可识别符合“GA36-1992”、“GA36.1-2001”、“GA36-2007”标准的民用车牌照和“2012式”军车牌照、“2012式”武警车牌照、新能源车牌照的汉字、字母、数字、颜色等信息。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10、设备具备无线传输功能，可通过内置无线传输模块以文件或流的形式传输数据，支持联通、移动、电信4G网络制式，在4G信号无法覆盖区域可自行转换2G、3G模式。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11、★支持北斗/GPS卫星定位，可接收卫星数据并提供定位信息，定位位置偏差不超过15米，位置更新频率不超过1Hz。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12、车辆捕获率：白天≥95%；夜间≥90%，车牌识别率：≥90%。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13、存储容量不低于64GB，视频录像存储时间不低于8小时，超过最大容量能循环覆盖，多路视频可按通道分别存储。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14、图像取证时间与北京时间误差不超过1s。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15、视频传输支持国标GB/T28181，视频最大分辨率不小于1080P，视频帧率不低于25 fps。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16、在70℃±2℃的环境下连续通电8小时，系统功能正常，数据不丢失。</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17、在-20℃±2℃的环境下连续通电8小时，系统功能正常，数据不丢失。</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流量卡</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支持4G或5G无线网络；</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每月数据流量≥100GB；</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使用期限：≥12月；</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堡垒机</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1、▲1U标准机架式设备,配置≥6个千兆电口,标配单电源,配置≥50个主机/设备许可；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2、采用物理旁路部署，不改变现有网络结构；</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3、支持自建集群部署：支持无缝横向扩展，轻松应对高并发需求；</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4、分布式部署：分担堡垒机主服务器性能压力，便于提高整体性能；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5、产品具备能力成熟度CS-CMMI5认证；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6、支持用户的增删改查、锁定、激活，进行用户全生命周期管理，支持用户批量导入和导出；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7、支持本地认证和三方认证服务器接入认证，如AD、LDAP、Radius服务器；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8、支持密码认证、证书认证、USBKEY认证等双因素认证方式；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9、内置人脸识别功能，无需与第三方人脸识别系统对接开发；</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10、支持混合云资源的管理，即公有云及局域网资源，支持主机、服务器、网络设备、安全设备、数据库等的资产管理；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11、满足公有云、云资源池、数据中心多种运维场景；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支持首页动态展现资源总量、活动用户、实时会话、待审批工单、当日运维记录、资产运行状态、今日运维总数、今日运维时长TOP10、今日告警总数、今日运维指令TOP10等信息，方便管理员实时查看系统运行情况掌握资产会话连接情况。</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13、自动对Windows、Linux等设备进行账号改密，改密支持手动和定期任务，密码配置支持全局策略和手工指定，密码复杂度支持按策略随机生成；</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14、支持改密结果自动发送到制定改密计划的管理员邮箱；密码采用密码信封加密保存，以保证安全性；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15、支持访问SSH、RDP、Telnet、FTP、SFTP、VNC、数据库等资产；支持无须记忆多个设备账号和密码，实现账号密码代填功能；支持自动、半自动、手动三种登录方式；支持进行协议/工具扩展；</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16、设备访问支持最新的html5技术，在同一WEB窗口页签中，无需JAVA应用插件或调用本地应用客户端，即可实现对目标设备的快速运维；</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17、图像审计采用OCR图像识别技术，通过加载训练过的运维图片集合，可以识别图形操作中的程序标题、快捷方式标题、窗口内容中的文本信息；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18、支持RDP、VNC图形操作过程中键盘输入操作记录、剪贴板和鼠标点击行为记录；</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19、支持全文审计检索。可以对操作行为中的用户信息、资产信息、管理地址信息、管理方式信息、操作命令信息、操作结果信息进行全文检索、过滤，极大提高查询效率，更方便的进行用户关联追溯；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20、操作过程的录像回放时，支持暂停，支持设置播放速度，支持过滤静止，方便录像的查看；WEB在线视频回放方式重现维护人员对服务器的所有操作过程。离线回放重现维护人员对服务器的所有操作过程（回放文件下载到本地播放）；</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21、系统内置丰富报表统计模板：协议运维排名、资产运维次数top10、资产运维趋势top10、用户运维趋势top10、协议运维趋势、用户运维次数top10、指令分布top10、top10指令资产分布、指令用户分布top10、指令资产账号分布、指22、令排名、指令趋势、风险指令次数、风险指令top10等多种类型报表模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22、自动对Windows、Linux等设备进行账号改密，可设定周期性改密；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23、支持多节点发布、远程任务执行，无需在被管理节点上安装附加软件；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24、支持资产信息获取、自动探测、命令执行、脚本任务、文件分发等，灵活方便的运用于DevOps的开发、测试、实施、监控、分析工作中；</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25、支持对堡垒机虚拟为多台逻辑堡垒机，虚拟堡垒机之间实现独立配置、独立数据。实现IT资源的动态分配、灵活调度、跨域共享，提高IT资源利用率。</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26、支持将本机日志、告警日志通过SYSLOG、邮箱等进行外发和告警；</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27、支持配置数据和审计数据的备份、自动清理，支持备份数据通过FTP方式远程备份；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28、产品具有中国信息安全认证中心颁发的IT产品信息安全认证证书；</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29、▲提供3年硬件质保，在产品的质保期内提供远程、上门技术服务。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防火墙</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1、▲下一代防火墙，非UTM或其他产品，产品采用X86多核及自主知识产权的多核并行安全操作系统构成；标准1U机架式设备,配置≥6个千兆电口,单电源,防火墙吞吐≥5G，并发连接≥150万，每秒新建连接≥3万，IPSEC VPN吞吐≥100M，含IPSEC VPN模；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2、支持ISL与802.1Q的TRUNK链路封装和解封，并支持VLAN-VPN功能；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3、支持静态路由、PBR与多播路由，并支持ECMP、WCMP等路由均衡方式，能够根据预设探测条件实现动态的链路切换；支持RIPv1/2、OSPF、BGP等多种动态路由协议；</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4、支持链路聚合，支持至少10种以上的聚合负载算法；</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5、支持入站智能DNS功能，并至少具有10种以上服务器负载均衡算法；</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6、支持网络应用自学习并且能够根据自学习结果生成相关安全策略；</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7、支持免客户端方式实现跨越路由（或其他三层设备）进行IP/MAC绑定功能；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8、能够基于访问控制策略进行最大并发连接数限制，支持策略冲突检查功能；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9、要求具有防止共享上网；</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10、要求系统管理员能够通过“用户名＋口令”方式认证进行登录管理；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11、要求具有配置文件自动定时上传到指定外部服务器功能；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12、规则库包括溢出攻击类、 RPC攻击类、WEBCGI攻击类、拒绝服务类、木马类、其它类、蠕虫类、扫描类、网络访问类、HTTP攻击类、系统漏洞类11大类攻击类型，规则数量大于5500条，并支持自定义攻击检测规则；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13、为适应不同网络及应用环境，引擎检测模式可选择智能检测或深度检测，数据处理模式可选择应用优先或安全优先，并能够在丢弃报文时发送tcp reset命令；</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14、采用基于访问控制策略的一体化带宽管理模式，能够针对用户、用户组、IP、MAC、时间、应用等进行带宽管理，并且支持共享策略、独享策略、访问控制独享策略等多种带宽策略类型；</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15、支持SMTP、POP3、IMAP协议的收件人、发件人、标题、正文、邮件附件类型进行过滤，并且对不符合规则的邮件转发到指定邮箱进行审查，对邮件服务器信息可以隐藏和替换；</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16、支持P2P（下载、音频、视频）、即时通讯、语音电话、网上银行、电子商务、财经软件、网络游戏、社交网络、网页应用（视频、音频、网盘、web邮箱等等）、远程控制、数据库等多种类型主流应用识别和控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17、支持加密流量识别，如HTTPS流量、BT加密流量、迅雷加密流量、网络视频加密流量、Skype加密流量等等；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18、支持基于邮件地址黑白名单、实时黑名单、反向DNS、灰名单方式的反垃圾邮件功能；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19、支持本地CA和第三方CA，可为其他设备或移动用户签发证书，可生成、吊销、删除证书；支持本地CA和第三方CA根证书、根私钥的更新；支持证书链管理；本地CA支持SM2算法；</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20、支持证书废弃，支持生成标准CRL列表，可以同时导入多个第三方CRL列表，对不同CA证书用户进行身份认证，支持通过HTTP协议定时下载CRL列表；支持证书请求的生成，由第三方CA进行签名；支持通过OCSP/LDAP等协议在线认证证书；</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21、★产品由专用的国产化硬件平台、国产化安全操作系统及功能软件构成；</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22、支持IPSEC VPN、PPTP、L2TP、GRE和SSL VPN多种隧道接入技术；支持DES/3DES/AES等标准加密算法及MD5/SHA1等标准HASH算法；支持DH GROUP1/2/5，RSA 1024/2048非对称算法；多条隧道负载均衡、备份与自动切换；GRE over IPsec；支持集中认证、制定并下发隧道策略、隧道状态监控等集中管理方案；</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23、▲提供3年硬件质保，在产品的质保期内提供远程、上门技术服务。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核心交换设备</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支持48个10/100/1000BASE-T端口,支持4个10G/1G BASE-X SFP+端口；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支持2个40G QSFP+端口,(AC/DC)交换容量 598Gbps/5.98Tbps 转发性能 252Mpps MAC地址表&gt;=64K 路由表容量&gt;=32K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ARP：32K 48个GE端口；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4个万兆SFP+口；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2个40G QSFP+口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最大堆叠台数9台 最大堆叠带宽80G 支持最多8个GE口或4个10 GE端口聚合；</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支持最多128个聚合组（IRF2）；</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支持LACP 支持IGMP v1/v2/v3，MLD v1/v2 支持IPv6静态路由、RIPng、OSPFv3、BGP4+ 整机提供ACl条目数不小于4K条；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支持OAM(802.1AG， 802.3AH)以太网运行、维护和管理标准；</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配置光模块-SFP+-10G-单模模块(1310nm,10km,LC)4块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汇聚交换设备</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支持24个10/100/1000BASE-T电口,支持4个1000BASE-X SFP端口,支持AC 交换容量 336Gbps/3.36Tbps 转发性能108Mpps MAC地址表&gt;=16K 路由表容量&gt;=8k（支持OSPF ACL：3K 最大堆叠台数9台支持黑洞MAC地址）；</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支持设置端口MAC地址学习最大个数；</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支持基于端口的VLAN；</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支持QinQ；</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支持Voice VLAN；</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支持协议VLAN；</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支持MAC VLA 支持IPv4静态路由、RIP V1/V2、OSPF V1/V2/V3整机提供ACl条目数不小于512条 支持802.1x认证，支持集中式MAC地址认证</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配置光模块千兆单模SFP-GE-LX-SM1310 (1310nm,10km,LC)8块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8口千兆交换设备</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8口千兆交换机，8个10/100/1000M自适应电口，铁壳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POE交换设备</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二层网管交换机，交换容量36Gbps,包转发率26.7Mpps,16个10/100/1000Mbps自适应电口交换机(支持POE/POE+, POE功率240W)，固化2个SFP千兆光口，支持VLAN、环路保护、端口镜像、线缆检测，DHCPSnooping等功能，支持MACC云平台统一管理。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无线AP</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1167M双频千兆吸顶AP，1000Mbps网口上联，内置天线，支持2.4GHz/5GHz双频通信，支持802.11a/b/g/n/ac Wave1/Wave2协议。整机最大接入速率1167Mbps。支持AP与路由两种工作模式，支持睿易一体化组网，支持“睿易”APP管理。支持POE供电和本地供电</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AC管理器</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口全千兆，19寸标准机架铁壳设计。终端待机量200台，最大支持1000Mbps带宽。整机带10个千兆以太网卡，其中固化2个WAN口，2个LAN/WAN可切换口，固化6个LAN口，最大支持4个WAN口。集成统一网络控制器功能，最大可管理150台智能组网特性的EAP、RAP或网管交换机，以及128台以内的智能交换机。支持应用识别、流量控制、VPN、PPPOE、认证、行为管理等丰富功能，支持MACC云平台统一管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五、二号会议室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5.1指挥中心LED屏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室内SMD显示屏</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1）小间距LED全彩显示屏；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2）像素间距：1.25mm；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3）封装品牌：国星金线；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投标LED的灯珠采用SMD金线封装，品牌为：亿光、宏齐或国星。（要求提供管芯封装厂商的项目授权书）中标供货后，业主有权将箱体样品送交管芯封装厂商检测，如有作假，追究责任。</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4）箱体比例：16:9，全封闭压铸铝材质；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5）像素结构：LED表贴三合一；</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6）箱体分辨率：480×270，箱体尺寸（mm）：600（W）×337.5（H）×50.9（D）；</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7）像素密度：640000点/㎡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8）光学参数：显示屏亮度≥600cd/㎡，色温3000K—10000K可调，水平、垂直视角160°，亮度均匀性≥97%，色度均匀性±0.003Cx,Cy之内，最大对比度≥3000:1；刷新率：3840Hz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9）电气参数：峰值功耗600W/㎡，平均功耗200W/㎡，供电要求110~220VAC±15%；</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10）工作温度范围0—40℃，存储温度范围-10—50℃，工作湿度范围（RH）无结露10-60%，存储湿度范围（RH）无结露10-70%。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11）功能特性：支持任意方向、任意尺寸、任意造型拼接，画面均匀一致，无黑线，实现真正无缝拼接。</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12）维护方式：完全前维护，灯板电源和接收卡前维护。</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13）冗余备份：标配单电源，可定制双电源，支持信号备份，但需要发送卡翻倍</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★投标产品可通过遥控器的操作，对图像的对比度、清晰度、饱和度、色温以及图像模式进行调节设置。（提供第三方检测报告扫描件并加盖公章）</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投标产品的客户端、遥控器更改设置时，屏幕出现OSD 提示菜单。</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符合GB/T15115-2009；压铸铝箱体，抗腐蚀性，冲击韧性和屈服强度，符合要求。</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PCB符合GB 4588.3-2002，环氧玻璃布层压板，机械性能、电性能、耐高湿性能以及耐焊接性能，符合要求，使用温度130℃。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支持色温一致性调节，解决灰阶过渡偏色问题，提高低灰显示效果。</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支持图像算法处理细节无损（低损），能扩展4倍灰度信息，动态处理每一帧图像，提升暗画面细节及整体色彩效果。</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支持通过实时智能分析算法，识别高亮画面，自动调整高亮亮度，解决刺眼问题，提高人眼观看舒适度，并实现功耗降低20%。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6"/>
                <w:szCs w:val="16"/>
                <w:u w:val="none"/>
                <w:lang w:val="en-US"/>
              </w:rPr>
            </w:pPr>
            <w:r>
              <w:rPr>
                <w:rFonts w:hint="eastAsia" w:ascii="微软雅黑" w:hAnsi="微软雅黑" w:eastAsia="微软雅黑" w:cs="微软雅黑"/>
                <w:i w:val="0"/>
                <w:iCs w:val="0"/>
                <w:color w:val="000000"/>
                <w:kern w:val="0"/>
                <w:sz w:val="16"/>
                <w:szCs w:val="16"/>
                <w:u w:val="none"/>
                <w:lang w:val="en-US" w:eastAsia="zh-CN" w:bidi="ar"/>
              </w:rPr>
              <w:t>18.43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LED发送卡</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LED全彩显示屏控制器，配合全彩LED显示屏使用，可实现任意尺寸大屏无缝拼接显示，适用于会议室、演播厅、体育场、机场车站、银行、广告、家庭影院等多种场合。</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4个千兆网口输出，单个网口最大带载65万个像素点；</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带载分辨率：2048×1152@60Hz或1920×1200@60Hz；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DVI、DP、HDMI多信号输入，支持信源自动检测，无需手动切换信源；</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16bit处理深度，低亮高灰，真实还原图像色彩；</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3840Hz高刷新率，纳秒级响应时间，视频画面更细腻流畅；</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支持屏幕亮度自动调整,自适应环境光亮度（配合多功能卡使用）；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图像色温调节，标准、冷、暖三色可调；</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投标产品支持屏体各通道逐个延时上电，可通过遥控器进行操作。</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★投标产品可通过物理按键、遥控器、客户端方式对屏幕红、绿、蓝、白、条纹逐行扫描进行自检操作。（提供第三方检测机构出具的检测报告复印件并加盖厂家公章）</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投标产品可通过遥控器的便捷式操作，对图像的对比度、清晰度、饱和度、色温以及图像模式进行调节设置。</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落地式支架</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 一般用于箱体产品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2）落地安装</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3）屏表面离后墙70cm</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4）地面需考虑承重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sz w:val="16"/>
                <w:szCs w:val="16"/>
                <w:u w:val="none"/>
              </w:rPr>
              <w:t>23.1075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智能大屏管理平台</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轻量版大屏显控软件，支持8Gwindows系统部署，包含大屏显控、平板操控、内容切换、中控管理的功能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★1系统具备 C/S 和 B/S 结构，可通过客户端软件、平板和浏览器对大屏系统进行统一管理，包括大屏门户、 场景配置、预案切换、远程操控、 信号控制、 一键上墙、内容切换、多屏互动、窗口叠加/拼接/漫游/放大/缩小/移动/关闭等操作；支持查看信号源实时画面，实时查看大屏中正在播放的内容等功能（提供公安部检测报告扫描件并加盖公章）</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★2.支持拼控器、播控主机、PC主机、中控主机设备增删改查的统一管理；支持查看播控主机、 PC 主机、中控主机设备的在线/离线状态；支持通过平台远程重启、更新播控主机的程序；支持场景关联播控主机的开关量模式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3.支持查看指定屏幕场景的播放状态，可添加、修改、删除、切换场景，并且可将场景关联中控模式，使场景与灯光、空调、投影等设备开关量模式联动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支持按照当前选定的显示屏建立相同分辨率的场景，以图形化编辑方式对窗口的开窗参数、窗口比例、窗口位置、窗口大小、窗口层级等参数进行设置，以鼠标拖动方式将信号、视频文件、字幕、图片、程序包等加载至场景中指定播放窗口；支持将网页、程序包、图片、视频、 PPT、Word 文档、 Excel、 PDF、文本等内容窗口拖动到大屏中，每种类型窗口可添加多个文件，可设置内容文件播放时长，内容播放顺序等属性；支持实时查看大屏显示的内容，可远程操控数据可视化面板、AR 客户端、VR 网页端、第三方业务系统等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5.大屏上支持显示配置好的门户，作为统一的门户入口，可控制单块或多块屏幕一起切换；支持自定义设置门户标题、背景图片、菜单名称、菜单图片、菜单链接内容，包含页面、场景、二级门户等</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6.可控制大屏的智能控制功能，包括广告、会议、监控、护眼模式的开启屏保，以及对具有除湿功能的大屏进行除湿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7.支持可视化展示播控主机、屏幕、拼控器、中控主机、 PC 主机等设备的在离线统计信息以及播控主机的页面数量、分辨率、温度、稳定运行时长、设备告警等信息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8.支持屏幕、网页、窗口等类型投屏，不需要外接物理线缆；通过电脑/平板远程控制播控主机，并可实时显示画面，支持设置抓屏区域的分辨率，可设置为7680×2160、 3840×2160、 2736×1824、 1920×1080、 1280×720；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9.软件平台采用模块化设计，实现实时浏览、录像回放、大屏管理、字幕管理、中控管理、音频配置、信息发布等系统互联互通，在同一平台下可对不同功能模块进行操作，实现统一管理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10.提供操作提示，每一步操作成功或失败都会有弹框提醒，并有日志记录</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11.支持可编程中控功能，通过对系统的编程配合周边的功能扩展模块，可实现灯光、音箱、投影、幕布、空调、窗帘、大屏等统一控制，支持模式切换；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视频综合管理平台</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3U机箱+4路DVI输入（支持转VGA或HDMI）+8路DVI输出+单主控板+单电源；整机支持解码4路2400W@25fps、或8路1200W@25fps、或16路800W@25fps、或32路400W@25fps、或 64路200W@30fps，128路720P@30fps，或128路4CIF@30fps以下分辨率</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投标产品支持视频输入通道参数设置功能，可对单个视频输入通道进行分辨率、帧率、码率、亮度、对比度、饱和度、色调、去噪等参数设置，图像显示模式可设定标准、室内、室外、弱光等显示模式进行设置。</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投标产品具备视频遮挡报警、视频丢失报警、非法访问报警、IP冲突报警等功能。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投标产品具备三码流编码功能：样机支持主码流、子码流、第三码流编码输出功能。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 投标产品解码显示视频无卡顿，编码预览视频无卡顿。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投标产品支持虚拟云台控制功能，具备虚拟云台控制按键，可调整球机和云台的运行速度和方向，并且支持多用户云台抢占、云台控制锁定功能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★投标产品支持1、2、4、6、8、9、12、16、32、36、48、64画面分割显示。（提供公安部型式检测报告扫描件并加盖公章）</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投标产品支持走廊模式显示功能。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采用嵌入式非X86架构，主控板不具备X86架构特征元件（CPU、内存条、硬盘、VGA接口；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投标产品的信号源采集后经过高速背板总线到输出显示所用平均时间应≤35ms；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投标产品的图像切换时间＜20ms。</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投标产品支持解码中断时保留最后一帧的功能，解码板不同输出口以及跨解码板的输出口之间输出色彩无色差。</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6"/>
                <w:szCs w:val="16"/>
                <w:u w:val="none"/>
                <w:lang w:val="en-US"/>
              </w:rPr>
            </w:pPr>
            <w:r>
              <w:rPr>
                <w:rFonts w:hint="eastAsia" w:ascii="微软雅黑" w:hAnsi="微软雅黑" w:eastAsia="微软雅黑" w:cs="微软雅黑"/>
                <w:i w:val="0"/>
                <w:iCs w:val="0"/>
                <w:color w:val="000000"/>
                <w:kern w:val="0"/>
                <w:sz w:val="16"/>
                <w:szCs w:val="16"/>
                <w:u w:val="none"/>
                <w:lang w:val="en-US" w:eastAsia="zh-CN" w:bidi="ar"/>
              </w:rPr>
              <w:t>配电柜</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 类型：30KW配电柜</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 控制：欧姆龙PLC控制器，网络远程控制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3）元器件：德力西断路器，施耐德接触器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 输入电压：380V，三相五线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5）输出电压：220V</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6）输出回路：9个单相回路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视频线</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DVI-D电缆,单通道,28AWG,4.5m,黑色</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端子镀金，耐氧化，阻抗小，信号传输更稳定。</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双磁环设计，抗干扰，信号高效传输。</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即插即用，无需驱动程序。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环保加厚外被，耐磨抗弯折，不易断裂，经久耐用。</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内置均衡器，信号传输距离更长，满足长距离使用场景。</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对于穿管场景，采用航空头设计，施工更方便。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产品经过多项专业测试，有品质保证。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自带螺柱，可以固定在设备上，使用稳定可靠。</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产品特性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接口类型：DVI</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视频版本：DVI</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支持最大分辨率：1080P 60Hz</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线缆类型（音视频线）：铜缆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5.2LCD屏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LCD显示单元</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尺寸：55英寸；</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分辨率：1920 × 1080@60 Hz（向下兼容）；</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视角：178°(水平)/ 178°(垂直)；</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响应时间：8 ms (G to G)；</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对比度：1200:1；</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亮度：500cd/㎡；</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物理拼缝：3.5mm；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输入接口：HDMI × 1, DVI × 1, VGA × 1, CVBS × 1, USB × 1</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输出接口：HDMI × 1, VGA × 1, CVBS × 1</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控制接口：RS232 IN × 1, RS232 OUT × 1</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功耗：≤ 210 W；</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电源要求：100～240 VAC, 50/60 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寿命：≥60000 小时；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工作温度和湿度：0℃～40℃，10%～80% RH（无冷凝水）；</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边框宽度：2.3mm（左/上）,1.2mm（右/下）；</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 LCD显示单元通过CCC、CE、CB、FCC检测认证。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液晶显示单元内置图像处理芯片，能够实时分析显示内容资料，实现在影片、汇报和监控三种场景模式下智能切换</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拼接屏具有解析总数据量不超过3840 x 2160的任意分辨率信源的功能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液晶拼接屏菜单中可自定义划分0-255灰阶为10、20或50段，针对不同屏幕不同灰阶色差做精细化调节</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液晶拼接屏支持画面同步开关功能，打开同步开关后能够解决不同行屏幕间播放快速运动画面撕裂问题</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液晶拼接屏支持实时检测输入信号的刷新频率，动态调节背光PWM波频率，确保输入信号源和背光PWM波频率同频，解决摩尔纹问题</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4路解码器</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高清视音频解码器，采用Linux操作系统，运行稳定可靠</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输入接口：1路HDMI, 1路DVI</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输出接口：4路HDMI，2路BNC</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输入分辨率：4K: 3840 × 2160@30Hz, WSXGA: 1680 × 1050/60 Hz, WXGA: 1440 × 900/60 Hz, WXGA: 1280 × 800/60 Hz, 1366 × 768/60 Hz, 1080p: 1920 × 1080@50/60 Hz, UXGA: 1600 × 1200@ 60Hz, XVGA: 1280 × 960@60 Hz, 720p: 1280 × 720@50 Hz/60 Hz, SXGA: 1280 × 1024@60 Hz, XGA: 1024 × 768@60 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输出分辨率：</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HDMI：4K: 3840 × 2160@30 Hz(仅奇数口), 1080p: 1920 × 1080@50/60 Hz, WSXGA: 1680×1050/60Hz, UXGA: 1600 × 1200@60 Hz (仅奇数口), 720p: 1280 × 720@50 Hz/60 Hz, SXGA: 1280 × 1024@60 Hz, XGA: 1024 × 768@60 Hz</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BNC：支持PAL、NTSC制式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编码格式：支持H.265、H.264、MPEG4、MJPEG等主流的编码格式；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封装格式：支持PS、RTP、TS、ES等主流的封装格式；</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音频解码：支持G.722、G.711A、G.726、G.711U、MPEG2-L2、AAC音频格式的解码；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解码能力：2路2400W，或4路1200W，或8路800W，或12路500W，或20路300W，或36路1080P，或72路720P及以下分辨率同时实时解码</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画面分割：支持1、2、4、6、8、9、10、12、16画面分割显示。(基线16路，最大支持定制到32画面)</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接口参数：</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网口：1个 RJ45  10M/100M/1000Mbps 自适应以太网接口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1个光口 100base-FX/1000base-X</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支持光电自适应</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串行接口：1个RS-232接口（RJ45）, 1个RS-485/RS232复用接口（RJ45）</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音频输出接口：4个3.5mm接口独立音频输出</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支架-55寸2X2</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定制</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5.3电视电话会议系统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高清会议终端</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高清视频会议终端(8M,1080p,2个10/100/1000M,DVI输入/输出,19英寸1U)</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摄像机</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PTZ摄像机,1080P30,12倍光学变焦,最低照度0.1Lx,F1.6,支持HDBaseT输出,支持正装或倒装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云多点控制单元</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19英寸2U，支持H.264编解码，提供画面合成、智能混音等多方视频会议服务，10/100/1000M以太网接口，支持网口备份好（12路接入授权）</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麦克风</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单路卡农输出麦克风</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电视墙服务器</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用于电视墙单路输出 和电视墙轮询</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辅材费用</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线材、管材、接头等</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施工费</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安装调试及联网服务</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5.4装饰及多功能控制台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指挥中心大厅        4人操作席</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共1组，4工位。 单组尺寸≥5200*900*760mm；主框架为优质碳素结构钢板侧板艺术造型，采用钢木结构、抗倍特板与碳素结构钢板经连接件连接/前后门板为带网孔优质碳素结构钢板/专业强弱电理线槽/拉铝型材背墙板。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控制台台板采用具有高强度、耐腐蚀、耐冲击、阻燃、抗变形的抗培特板材制作，板材厚度≥18mm。台面部分具备耐摩擦、耐火，光电感应功能（不需鼠标垫）。台面在恒定温度下耐干热性无变化，在15种常用试剂下具备耐污染性，在500g的力下对台板磨损无破坏达到基本的耐磨性。台板在半正弦冲击波型，加速到500G，持续时间3MS，冲击次数5次/轴的情况下，表面无变型。根据不同行业使用人的坏境、天气等原因控制台遇水浸泡24小时后，台板重量、颜色、光泽度不产生变化，不出现分层、起鼓现象，满足高强度、耐腐蚀、耐冲击、阻燃、抗变形条件要求。（提供控制台耐冲击、承重、防浸泡、阻燃测试检测报告扫描件并加盖公章）</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控制台主体采用组合式设计，拆装便捷并满足未来扩展改造需求；内部结构具有可调整性，辅有专业的各式设备承托架及内配件，安装与调整方便。每个长度1000MM的底柜承重500KG时，各零部件无割裂和断裂，外观视觉上无变形、倾斜现象。操作台设置前门转门，打开角度≥110度，设备承托件配置专业托盆，方便维修设备和维护工作的灵活性。满足底柜承重500KG时，各零部件无割裂和断裂，外观视觉上无变形、倾斜现象。（提供操作台承重检测报告扫描件并加盖公章）</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3、承重框架使用不低于3mm厚的一级冷轧钢板加工。一般受力件采用2.0mm厚优质冷轧钢板，外表面静电塑粉喷涂。支撑框架采用专用挤压铝合金型材。</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控制台前后门板采用厚度不低于1.2mm的冷轧钢板制作。操作台前后门板采用压筋散气孔工艺，散气孔长形孔设计，孔宽度尺寸不大于4.7mm，长度尺寸不大于40mm。散气孔具备平面立体效果，立体凸起均匀分布，凸起高度不超过3mm，通风率≥60%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5、在控制台系统的后屏风上，可配置变化红、绿、蓝三种颜色灯光的导光板。灯光可以用按钮网络等方式控制，多个席位的灯光也可以实现集中控制功能，也可以与中控系统相融合、联动显示警示信号。</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由于应用系统中的电子通信信号会以电磁辐射的形式向外界传播(即TEMPEST现象)，外界利用监测设备即可进行截获还原。为了防止电子通信设备信息泄漏，确保信息安全，抵御外界电磁干扰或攻击能力，操作控制台的射频电磁场辐射抗扰度频率范围在80-1000MHZ范围内，严酷等级不少于2级。射频磁场感应的传导骚扰抗扰度频率范围在0.15-80MHZ范围内，严酷等级不少于2级，静电放电抗扰度不少于3KV，空气放电不少于5KV，浪涌冲击不少于1KV，电快速瞬变脉冲群抗扰度在2KV，5/100KHZ，严酷等级不少于2级。浪涌冲击不少于1KV，电快速瞬变脉冲群抗扰度在2KV，5/100KHZ，严酷等级不少于3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为避免静电敏感元器件以及工作人员遭受静电损伤而设置的防静电接地处理，根据现场操作席位的实际使用环境进行灵活设置，并与人员操作席位形成贯通。控制台台面表面电阻及金属部件对地电阻在100V-500V电压测试区间，具备防静电功能，防静电接地铜钉在表面喷涂之前完成冲压式链接在框架上，喷涂过程中对铜钉进行保护，预留接地连接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8、控制台整体未检出产品涂层和覆盖面层有害物质铅、铬、镉、汞等物质，木质件甲醛释放含量为0.013mg/m³。（提供以《金属家具通用技术条件》为检测依据的安全性能检测报告扫描件并加盖公章）</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、控制台发光部件要求降低波长450mm蓝光辐射损伤及反射眩光的风险。</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延米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6席位操作席</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共1组，6工位。与“ 指挥中心大厅4人操作席”同一品牌；单组尺寸≥11400*900*760mm；主框架为优质碳素结构钢板侧板艺术造型，采用钢木结构、抗倍特板与碳素结构钢板经连接件连接/前后门板为带网孔优质碳素结构钢板/专业强弱电理线槽/拉铝型材背墙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控制台台板采用具有高强度、耐腐蚀、耐冲击、阻燃、抗变形的抗培特板材制作，板材厚度≥18mm。台面部分具备耐摩擦、耐火，光电感应功能（不需鼠标垫）。台面在恒定温度下耐干热性无变化，在15种常用试剂下具备耐污染性，在500g的力下对台板磨损无破坏达到基本的耐磨性。台板在半正弦冲击波型，加速到500G，持续时间3MS，冲击次数5次/轴的情况下，表面无变型。根据不同行业使用人的坏境、天气等原因控制台遇水浸泡24小时后，台板重量、颜色、光泽度不产生变化，不出现分层、起鼓现象，满足高强度、耐腐蚀、耐冲击、阻燃、抗变形条件要求。</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控制台主体采用组合式设计，拆装便捷并满足未来扩展改造需求；内部结构具有可调整性，辅有专业的各式设备承托架及内配件，安装与调整方便。每个长度1000MM的底柜承重500KG时，各零部件无割裂和断裂，外观视觉上无变形、倾斜现象。操作台设置前门转门，打开角度≥110度，设备承托件配置专业托盆，方便维修设备和维护工作的灵活性。满足底柜承重500KG时，各零部件无割裂和断裂，外观视觉上无变形、倾斜现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3、承重框架使用不低于3mm厚的一级冷轧钢板加工。一般受力件采用2.0mm厚优质冷轧钢板，外表面静电塑粉喷涂。支撑框架采用专用挤压铝合金型材。</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控制台前后门板采用厚度不低于1.2mm的冷轧钢板制作。操作台前后门板采用压筋散气孔工艺，散气孔长形孔设计，孔宽度尺寸不大于4.7mm，长度尺寸不大于40mm。散气孔具备平面立体效果，立体凸起均匀分布，凸起高度不超过3mm，通风率≥60%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5、在控制台系统的后屏风上，可配置变化红、绿、蓝三种颜色灯光的导光板。灯光可以用按钮网络等方式控制，多个席位的灯光也可以实现集中控制功能，也可以与中控系统相融合、联动显示警示信号。</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由于应用系统中的电子通信信号会以电磁辐射的形式向外界传播(即TEMPEST现象)，外界利用监测设备即可进行截获还原。为了防止电子通信设备信息泄漏，确保信息安全，抵御外界电磁干扰或攻击能力，操作控制台的射频电磁场辐射抗扰度频率范围在80-1000MHZ范围内，严酷等级不少于2级。射频磁场感应的传导骚扰抗扰度频率范围在0.15-80MHZ范围内，严酷等级不少于2级，静电放电抗扰度不少于3KV，空气放电不少于5KV，浪涌冲击不少于1KV，电快速瞬变脉冲群抗扰度在2KV，5/100KHZ，严酷等级不少于2级。浪涌冲击不少于1KV，电快速瞬变脉冲群抗扰度在2KV，5/100KHZ，严酷等级不少于3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为避免静电敏感元器件以及工作人员遭受静电损伤而设置的防静电接地处理，根据现场操作席位的实际使用环境进行灵活设置，并与人员操作席位形成贯通。控制台台面表面电阻及金属部件对地电阻在100V-500V电压测试区间，具备防静电功能，防静电接地铜钉在表面喷涂之前完成冲压式链接在框架上，喷涂过程中对铜钉进行保护，预留接地连接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8、控制台整体未检出产品涂层和覆盖面层有害物质铅、铬、镉、汞等物质，木质件甲醛释放含量为0.013mg/m³。</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、控制台发光部件要求降低波长450mm蓝光辐射损伤及反射眩光的风险。</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延米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12人观摩席</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共1组，12工位。与“ 指挥中心大厅4人操作席”同一品牌；单组尺寸≥12800*900*760mm；主框架为优质碳素结构钢板侧板艺术造型，采用钢木结构、抗倍特板与碳素结构钢板经连接件连接/前后门板为带网孔优质碳素结构钢板/专业强弱电理线槽/拉铝型材背墙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控制台台板采用具有高强度、耐腐蚀、耐冲击、阻燃、抗变形的抗培特板材制作，板材厚度≥18mm。台面部分具备耐摩擦、耐火，光电感应功能（不需鼠标垫）。台面在恒定温度下耐干热性无变化，在15种常用试剂下具备耐污染性，在500g的力下对台板磨损无破坏达到基本的耐磨性。台板在半正弦冲击波型，加速到500G，持续时间3MS，冲击次数5次/轴的情况下，表面无变型。根据不同行业使用人的坏境、天气等原因控制台遇水浸泡24小时后，台板重量、颜色、光泽度不产生变化，不出现分层、起鼓现象，满足高强度、耐腐蚀、耐冲击、阻燃、抗变形条件要求。</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控制台主体采用组合式设计，拆装便捷并满足未来扩展改造需求；内部结构具有可调整性，辅有专业的各式设备承托架及内配件，安装与调整方便。每个长度1000MM的底柜承重500KG时，各零部件无割裂和断裂，外观视觉上无变形、倾斜现象。操作台设置前门转门，打开角度≥110度，设备承托件配置专业托盆，方便维修设备和维护工作的灵活性。满足底柜承重500KG时，各零部件无割裂和断裂，外观视觉上无变形、倾斜现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3、承重框架使用不低于3mm厚的一级冷轧钢板加工。一般受力件采用2.0mm厚优质冷轧钢板，外表面静电塑粉喷涂。支撑框架采用专用挤压铝合金型材。</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控制台前后门板采用厚度不低于1.2mm的冷轧钢板制作。操作台前后门板采用压筋散气孔工艺，散气孔长形孔设计，孔宽度尺寸不大于4.7mm，长度尺寸不大于40mm。散气孔具备平面立体效果，立体凸起均匀分布，凸起高度不超过3mm，通风率≥60%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5、在控制台系统的后屏风上，可配置变化红、绿、蓝三种颜色灯光的导光板。灯光可以用按钮网络等方式控制，多个席位的灯光也可以实现集中控制功能，也可以与中控系统相融合、联动显示警示信号。</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由于应用系统中的电子通信信号会以电磁辐射的形式向外界传播(即TEMPEST现象)，外界利用监测设备即可进行截获还原。为了防止电子通信设备信息泄漏，确保信息安全，抵御外界电磁干扰或攻击能力，操作控制台的射频电磁场辐射抗扰度频率范围在80-1000MHZ范围内，严酷等级不少于2级。射频磁场感应的传导骚扰抗扰度频率范围在0.15-80MHZ范围内，严酷等级不少于2级，静电放电抗扰度不少于3KV，空气放电不少于5KV，浪涌冲击不少于1KV，电快速瞬变脉冲群抗扰度在2KV，5/100KHZ，严酷等级不少于2级。浪涌冲击不少于1KV，电快速瞬变脉冲群抗扰度在2KV，5/100KHZ，严酷等级不少于3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为避免静电敏感元器件以及工作人员遭受静电损伤而设置的防静电接地处理，根据现场操作席位的实际使用环境进行灵活设置，并与人员操作席位形成贯通。控制台台面表面电阻及金属部件对地电阻在100V-500V电压测试区间，具备防静电功能，防静电接地铜钉在表面喷涂之前完成冲压式链接在框架上，喷涂过程中对铜钉进行保护，预留接地连接线。</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8、控制台整体未检出产品涂层和覆盖面层有害物质铅、铬、镉、汞等物质，木质件甲醛释放含量为0.013mg/m³。</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延米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接警区</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共1组。与“ 指挥中心大厅4人操作席”同一品牌；单组尺寸≥7800*900*760mm；主框架为优质碳素结构钢板侧板艺术造型，采用钢木结构、抗倍特板与碳素结构钢板经连接件连接/前后门板为带网孔优质碳素结构钢板/专业强弱电理线槽/拉铝型材背墙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控制台台板采用具有高强度、耐腐蚀、耐冲击、阻燃、抗变形的抗培特板材制作，板材厚度≥18mm。台面部分具备耐摩擦、耐火，光电感应功能（不需鼠标垫）。台面在恒定温度下耐干热性无变化，在15种常用试剂下具备耐污染性，在500g的力下对台板磨损无破坏达到基本的耐磨性。台板在半正弦冲击波型，加速到500G，持续时间3MS，冲击次数5次/轴的情况下，表面无变型。根据不同行业使用人的坏境、天气等原因控制台遇水浸泡24小时后，台板重量、颜色、光泽度不产生变化，不出现分层、起鼓现象，满足高强度、耐腐蚀、耐冲击、阻燃、抗变形条件要求。</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控制台主体采用组合式设计，拆装便捷并满足未来扩展改造需求；内部结构具有可调整性，辅有专业的各式设备承托架及内配件，安装与调整方便。每个长度1000MM的底柜承重500KG时，各零部件无割裂和断裂，外观视觉上无变形、倾斜现象。操作台设置前门转门，打开角度≥110度，设备承托件配置专业托盆，方便维修设备和维护工作的灵活性。满足底柜承重500KG时，各零部件无割裂和断裂，外观视觉上无变形、倾斜现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3、承重框架使用不低于3mm厚的一级冷轧钢板加工。一般受力件采用2.0mm厚优质冷轧钢板，外表面静电塑粉喷涂。支撑框架采用专用挤压铝合金型材。</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控制台前后门板采用厚度不低于1.2mm的冷轧钢板制作。操作台前后门板采用压筋散气孔工艺，散气孔长形孔设计，孔宽度尺寸不大于4.7mm，长度尺寸不大于40mm。散气孔具备平面立体效果，立体凸起均匀分布，凸起高度不超过3mm，通风率≥60%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5、在控制台系统的后屏风上，可配置变化红、绿、蓝三种颜色灯光的导光板。灯光可以用按钮网络等方式控制，多个席位的灯光也可以实现集中控制功能，也可以与中控系统相融合、联动显示警示信号。</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由于应用系统中的电子通信信号会以电磁辐射的形式向外界传播(即TEMPEST现象)，外界利用监测设备即可进行截获还原。为了防止电子通信设备信息泄漏，确保信息安全，抵御外界电磁干扰或攻击能力，操作控制台的射频电磁场辐射抗扰度频率范围在80-1000MHZ范围内，严酷等级不少于2级。射频磁场感应的传导骚扰抗扰度频率范围在0.15-80MHZ范围内，严酷等级不少于2级，静电放电抗扰度不少于3KV，空气放电不少于5KV，浪涌冲击不少于1KV，电快速瞬变脉冲群抗扰度在2KV，5/100KHZ，严酷等级不少于2级。浪涌冲击不少于1KV，电快速瞬变脉冲群抗扰度在2KV，5/100KHZ，严酷等级不少于3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为避免静电敏感元器件以及工作人员遭受静电损伤而设置的防静电接地处理，根据现场操作席位的实际使用环境进行灵活设置，并与人员操作席位形成贯通。控制台台面表面电阻及金属部件对地电阻在100V-500V电压测试区间，具备防静电功能，防静电接地铜钉在表面喷涂之前完成冲压式链接在框架上，喷涂过程中对铜钉进行保护，预留接地连接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8、控制台整体未检出产品涂层和覆盖面层有害物质铅、铬、镉、汞等物质，木质件甲醛释放含量为0.013mg/m³。</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、控制台发光部件要求降低波长450mm蓝光辐射损伤及反射眩光的风险。</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延米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会议席</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共1组。与“ 指挥中心大厅4人操作席”同一品牌；单组尺寸≥7200*900*760mm；主框架为优质碳素结构钢板侧板艺术造型，采用钢木结构、抗倍特板与碳素结构钢板经连接件连接/前后门板为带网孔优质碳素结构钢板/专业强弱电理线槽/拉铝型材背墙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控制台台板采用具有高强度、耐腐蚀、耐冲击、阻燃、抗变形的抗培特板材制作，板材厚度≥18mm。台面部分具备耐摩擦、耐火，光电感应功能（不需鼠标垫）。台面在恒定温度下耐干热性无变化，在15种常用试剂下具备耐污染性，在500g的力下对台板磨损无破坏达到基本的耐磨性。台板在半正弦冲击波型，加速到500G，持续时间3MS，冲击次数5次/轴的情况下，表面无变型。根据不同行业使用人的坏境、天气等原因控制台遇水浸泡24小时后，台板重量、颜色、光泽度不产生变化，不出现分层、起鼓现象，满足高强度、耐腐蚀、耐冲击、阻燃、抗变形条件要求。</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控制台主体采用组合式设计，拆装便捷并满足未来扩展改造需求；内部结构具有可调整性，辅有专业的各式设备承托架及内配件，安装与调整方便。每个长度1000MM的底柜承重500KG时，各零部件无割裂和断裂，外观视觉上无变形、倾斜现象。操作台设置前门转门，打开角度≥110度，设备承托件配置专业托盆，方便维修设备和维护工作的灵活性。满足底柜承重500KG时，各零部件无割裂和断裂，外观视觉上无变形、倾斜现象。</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3、承重框架使用不低于3mm厚的一级冷轧钢板加工。一般受力件采用2.0mm厚优质冷轧钢板，外表面静电塑粉喷涂。支撑框架采用专用挤压铝合金型材。</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控制台前后门板采用厚度不低于1.2mm的冷轧钢板制作。操作台前后门板采用压筋散气孔工艺，散气孔长形孔设计，孔宽度尺寸不大于4.7mm，长度尺寸不大于40mm。散气孔具备平面立体效果，立体凸起均匀分布，凸起高度不超过3mm，通风率≥60%。</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5、在控制台系统的后屏风上，可配置变化红、绿、蓝三种颜色灯光的导光板。灯光可以用按钮网络等方式控制，多个席位的灯光也可以实现集中控制功能，也可以与中控系统相融合、联动显示警示信号。</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由于应用系统中的电子通信信号会以电磁辐射的形式向外界传播(即TEMPEST现象)，外界利用监测设备即可进行截获还原。为了防止电子通信设备信息泄漏，确保信息安全，抵御外界电磁干扰或攻击能力，操作控制台的射频电磁场辐射抗扰度频率范围在80-1000MHZ范围内，严酷等级不少于2级。射频磁场感应的传导骚扰抗扰度频率范围在0.15-80MHZ范围内，严酷等级不少于2级，静电放电抗扰度不少于3KV，空气放电不少于5KV，浪涌冲击不少于1KV，电快速瞬变脉冲群抗扰度在2KV，5/100KHZ，严酷等级不少于2级。浪涌冲击不少于1KV，电快速瞬变脉冲群抗扰度在2KV，5/100KHZ，严酷等级不少于3级。</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为避免静电敏感元器件以及工作人员遭受静电损伤而设置的防静电接地处理，根据现场操作席位的实际使用环境进行灵活设置，并与人员操作席位形成贯通。控制台台面表面电阻及金属部件对地电阻在100V-500V电压测试区间，具备防静电功能，防静电接地铜钉在表面喷涂之前完成冲压式链接在框架上，喷涂过程中对铜钉进行保护，预留接地连接线。</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8、控制台整体未检出产品涂层和覆盖面层有害物质铅、铬、镉、汞等物质，木质件甲醛释放含量为0.013mg/m³。</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、控制台发光部件要求降低波长450mm蓝光辐射损伤及反射眩光的风险。</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延米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多媒体信息盒</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固定于桌面，标准款，安装方式为嵌入式。也可根据要求，将各种所需的接口（比如网络、电话、USB、HDMI、DVI-D、VGA、音频、视频、卡侬姆等接口）以及电源插座等按照客户要求组合在一起。</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显示器液压支臂</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钢制滑轨，抽拉式，外置配置扶手，对手腕有一个自然的托举，符合人体工程学，满足支臂单臂不少于20kg承重。</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键盘托盘</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钢制滑轨，抽拉式，外置配置扶手，对手腕有一个自然的托举，符合人体工程学</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PDU</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采用行业防雷等级较高的克莱沃知名品牌，6位五孔，结构精准，插孔牢固不弹不脱，耐插拔1000次以上接触优良。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亚克力灯带</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蓝色、白色，也可根据用户实际使用需求定制，起到了应急响应提示及提升作战效率功能。整体调度台发光设备电源要求在电压及额定频率下正常开启，电源电流需达到35 mA±2mA，同时对波长450mm蓝光辐射及反射眩光无损伤。</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延米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主机托盘</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1、直接摆放于框架固定位置上</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2、托盘上方放置主机处理器</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3、托盘上设散热孔，便于设备散热通风</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指挥中心装饰工程</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顶面、地面、墙面等装饰工程</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六、交通事故处理大厅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LED小间距</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1、▲点间距≤1.86mm；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2、.屏体尺寸：宽度≥4.48米，高度≥2.4米；</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3.单屏分辨率宽≥2408点，高≥1290点；</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4.▲像素密度：≥280000点/平方,采用SMD表贴三合一封装;压铸铝合金材质，一次性压铸成型无风扇、无孔、防尘、静音设计;                                                                                                                                       5、白平衡最大亮度：≥ 600cd/㎡；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6、视角：≥160°；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7、灰度等级：≥14bit；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8、色温：1000K－12000K可调；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9、换帧频率：50Hz＆60Hz；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10、最高对比度：10000：1；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11、色域≥120%NTSC；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12、平整度：≤0.1mm；刷新频率：3840Hz；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13、亮度均匀性：≥97%；像素失控率：≤1*10-6，无连续失控点；</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14、模块表面处理采用电喷技术，黑色哑光处理，可有效防止反光和静电，无面罩设计，反光率≤1.5%；屏幕表面采用无塑胶类结构件；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15、.安装方式：支持前后安装；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16、维护方式：支持模块、电源、接收卡完全前拆前维护，支持热插拔；                                                                                                                                                                                                                                   17、LED显示屏长时间（5天及以上）未使用，或者某段时间内LED显示屏处于潮湿的环境中，屏体自动切入除湿模式，在使用前需要进行6小时的亮度从10%逐步递增到100%的点亮老化；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18、LED显示屏白平衡具备自动调节装置，光采集系统与控制系统电连接，模拟电阻调节系统与控制系统电连接，光采集系统用于采集显示屏光数据,控制系统用于响应光数据并输出控制信号,模拟电阻调节系统用于接收控制信号并自动调节电阻阻值，自动精准实现显示屏白平衡调节；                                                                                                                                                                                                                        19、通讯接口点点连接,双向一对一设备校验身份鉴别,无组网设计，采用国家密码管理局审批的密码算法对建立的链路进行安全的加密,拒绝 RSA、AES 等国际通用算法和 MD5、SHA-1、RC4等不安全密码算法接入；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20、支持LED面焊盘部局部损坏时，剪切与焊盘部对应的FPC通用线路板替换,通过底部多点焊盘实现电连接,对损坏的模块局部进行修复；                                                                                                                         21、LED显示屏亮度具备自动调节系统及方法、消除亮暗线控制系统、消除毛毛虫现象；                                                                                                                                                                                                  22、显示屏支持安全性加密及LED显示屏故障自诊断及排查功能；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23、显示屏具有像素失控监测及定位功能；                                                                                                                                                                                                                                                            </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 xml:space="preserve">24、显示屏具有视频图像稳定性监测与控制软件功能；                                                                                                                                                                                                                                              </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25、显示屏具有画质处理、任意倍频调试、描点和模块显示位置调整、智能温度调节等功能；                                                                                                                                                                                  26、显示屏具有综合（电源及多点温度、显示坏点）检测控制系统；       </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≥10.75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视频拼接服务器</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  采用纯硬件架构，系统的核心为大规模的FPGA阵列，其内部无任何CPU和操作系统，安全稳定；</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  采用模块化结构设计，一台拼接处理器由多个模块结构组成，包括输入模块、输出模块、控制模块、数据模块、电源模块等，支持各种模块的任意插板处理，输入板卡热插拔恢复时间＜2s，输出板卡热插拔恢复时间＜8s，具有系统故障的快速检测和及时恢复；</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  不小于6路高清输出，不小于8路高清输入接口；</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  信号处理带宽：机箱背板为每路信号单独提供20Gbps带宽，单张板卡提供80Gbps带宽，背板总带宽不小于12800Gbps；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5.  带电热插拔功能：所有输入、输出板卡支持带电热插拔功能，可在系统正常供电的情况下对输出输入板卡进行带电插拔更换，且系统能快速恢复，针对某些特殊环境可在系统不断电的状态下迅速恢复，恢复时间&lt;3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6.  开机时间：&lt;10S；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7.  输入信号源：支持DVI、HDMI、VGA、RGB、3G/HD/SD-SDI、Dual-Link、IP解码、YPbPr、S-Video、CVBS、HDBaseT、Optical Fiber、4K等信号，同时具有音频同步切换功能；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8.  任意输出自定义：根据显示屏幕相应的点数及显示面积任意制定输出分辨率，通过软件内部界面设置及相应的点数划分制定功能，并将自定义的分辨率添加到系统默认列表中；</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9.  支持多用户分级管理及操控：允许多台工作站同时对大屏幕进行操作，互不影响。每个用户单独设置不同管理权限，不同的用户需要登录认证，具有不同的设备管理功能、不同的业务访问分配功能；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10. 工作持续性：可7x24持续工作；</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11. 控制方式：支持RS232串口、网络、遥控器、中控、面板按键等多种方式对设备进行控制；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12. 图像快速切换：采用图像处理芯片，配合先进的技术，通过对软件界面及面板按键的操作，可快速切换调用当前场景及信号窗口。输入信号切换实时、无缝，确保单个或多个信号进行切换时无花屏、无蓝屏、无黑场现象，任意信号切换时间≦20ms；</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13. 窗口任意组合缩放显示：支持输出通道图像窗口任意摆放显示，接入处理器的多种视频信号可根据需求在显示端进行任意位置开窗、叠加、拉伸、漫游、跨屏、缩放或画中画显示功能，也可将接入系统的信号源在单屏及组合屏幕上显示，将前端多个输入信号源以窗口的形式在1、2、4、6、8、9、12、16多画面进行任意组合摆放显示；</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14. 支持多个场景预案功能，可将输入信号组合编辑为模式场景，可保存多达256种场景模式，支持自动轮巡，可自定义设置轮巡时间；</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15. 故障检测及在线升级功能：支持输入信号丢失检测，支持在线升级维护；</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综合播控系统软件</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1、软件支持集成中控功能；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2、软件支持故障检测功能；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3、软件支持麒麟操作系统；</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4、所投软件与LED显示屏制造厂商为同一厂家：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海量图像演示和多媒体控制功能；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有图像细节优化处理功能；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智能除湿功能；</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LED显示屏色彩校正软件；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显示屏伽马校正软件；</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LED显示屏远距离视频监控系统软件；</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屏体自带逐点校正及智能亮度调节软件</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结构支撑</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落地式设计，底座高度大于等于65cm；</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采用镀锌方管焊接，符合国家标准要求；</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包含屏体相关的结构设计、埋件构造、支撑焊接、焊点喷漆及吊装安装；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≥10.75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装饰包边</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1、安装结构能满足LED高清显示屏的整体均匀平滑要求，采用环保型材，结构应便于安装和调试；</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2、采用国标材料制作，定制装置，拆装方便；具备间距调节装置，可实现精确调节，显示模组之间的缝隙均匀，显示效果清晰；钢结构框架，所有材料采用国家标准材料施工制作，防锈防氧化处理；</w:t>
            </w:r>
          </w:p>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3、LED显示屏选用环保型铝型材框架安装,其框架材料经过严格环保、无毒测试；</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4、整屏体（含底座）铝塑板装饰全包；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配电系统</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30KW配电系统采用三相五线制供电，配电系统保证三相平衡，尽量减少对电网的冲击影响；</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同时还应配备过流、短路、断路、过压、欠压、温度过高等保护措施，以及相应的故障指示装置，具有PLC远程控制功能；</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专用线缆</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屏体部分专用的网线、排线、5V电源线。备注：不包含主供电缆及可能产生的远距离传输光纤。</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七、应用软件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江山市交通事故“一键快响”应用软件</w:t>
            </w:r>
          </w:p>
        </w:tc>
        <w:tc>
          <w:tcPr>
            <w:tcW w:w="12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详见详细技术参数（江山市交通事故“一键快响”应用软件详细清单）</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w:t>
            </w:r>
          </w:p>
        </w:tc>
      </w:tr>
    </w:tbl>
    <w:p>
      <w:pPr>
        <w:pStyle w:val="514"/>
        <w:ind w:firstLine="480"/>
        <w:rPr>
          <w:szCs w:val="24"/>
          <w:lang w:val="zh-CN"/>
        </w:rPr>
      </w:pPr>
    </w:p>
    <w:p>
      <w:pPr>
        <w:widowControl/>
        <w:spacing w:line="300" w:lineRule="exact"/>
        <w:jc w:val="left"/>
        <w:textAlignment w:val="center"/>
        <w:rPr>
          <w:rFonts w:ascii="仿宋" w:hAnsi="仿宋" w:eastAsia="仿宋" w:cs="仿宋"/>
          <w:kern w:val="0"/>
          <w:sz w:val="28"/>
          <w:szCs w:val="28"/>
        </w:rPr>
      </w:pPr>
    </w:p>
    <w:p>
      <w:pPr>
        <w:pStyle w:val="2"/>
        <w:rPr>
          <w:rFonts w:hint="eastAsia" w:cs="仿宋_GB2312"/>
          <w:szCs w:val="24"/>
        </w:rPr>
      </w:pPr>
      <w:r>
        <w:rPr>
          <w:rFonts w:hint="eastAsia" w:cs="仿宋_GB2312"/>
          <w:szCs w:val="24"/>
        </w:rPr>
        <w:t>注：</w:t>
      </w:r>
    </w:p>
    <w:p>
      <w:pPr>
        <w:pStyle w:val="2"/>
        <w:rPr>
          <w:rFonts w:cs="仿宋_GB2312"/>
          <w:szCs w:val="24"/>
        </w:rPr>
      </w:pPr>
      <w:r>
        <w:rPr>
          <w:rFonts w:hint="eastAsia" w:cs="仿宋_GB2312"/>
          <w:szCs w:val="24"/>
        </w:rPr>
        <w:t>1、</w:t>
      </w:r>
      <w:r>
        <w:rPr>
          <w:rFonts w:hint="eastAsia" w:hAnsi="宋体" w:cs="宋体"/>
          <w:szCs w:val="28"/>
        </w:rPr>
        <w:t>▲</w:t>
      </w:r>
      <w:r>
        <w:rPr>
          <w:rFonts w:hint="eastAsia" w:cs="仿宋_GB2312"/>
          <w:szCs w:val="24"/>
        </w:rPr>
        <w:t>工期要求：项目整体施工建设需于202</w:t>
      </w:r>
      <w:r>
        <w:rPr>
          <w:rFonts w:hint="eastAsia" w:cs="仿宋_GB2312"/>
          <w:szCs w:val="24"/>
          <w:lang w:val="en-US" w:eastAsia="zh-CN"/>
        </w:rPr>
        <w:t>3</w:t>
      </w:r>
      <w:r>
        <w:rPr>
          <w:rFonts w:hint="eastAsia" w:cs="仿宋_GB2312"/>
          <w:szCs w:val="24"/>
        </w:rPr>
        <w:t>年</w:t>
      </w:r>
      <w:r>
        <w:rPr>
          <w:rFonts w:hint="eastAsia" w:cs="仿宋_GB2312"/>
          <w:szCs w:val="24"/>
          <w:lang w:val="en-US" w:eastAsia="zh-CN"/>
        </w:rPr>
        <w:t>4</w:t>
      </w:r>
      <w:r>
        <w:rPr>
          <w:rFonts w:hint="eastAsia" w:cs="仿宋_GB2312"/>
          <w:szCs w:val="24"/>
        </w:rPr>
        <w:t>月1日前完成初验，于202</w:t>
      </w:r>
      <w:r>
        <w:rPr>
          <w:rFonts w:hint="eastAsia" w:cs="仿宋_GB2312"/>
          <w:szCs w:val="24"/>
          <w:lang w:val="en-US"/>
        </w:rPr>
        <w:t>3</w:t>
      </w:r>
      <w:r>
        <w:rPr>
          <w:rFonts w:hint="eastAsia" w:cs="仿宋_GB2312"/>
          <w:szCs w:val="24"/>
        </w:rPr>
        <w:t>年</w:t>
      </w:r>
      <w:r>
        <w:rPr>
          <w:rFonts w:hint="eastAsia" w:cs="仿宋_GB2312"/>
          <w:szCs w:val="24"/>
          <w:lang w:val="en-US" w:eastAsia="zh-CN"/>
        </w:rPr>
        <w:t>5</w:t>
      </w:r>
      <w:r>
        <w:rPr>
          <w:rFonts w:hint="eastAsia" w:cs="仿宋_GB2312"/>
          <w:szCs w:val="24"/>
        </w:rPr>
        <w:t>月1日前完成终验。</w:t>
      </w:r>
    </w:p>
    <w:p>
      <w:pPr>
        <w:pStyle w:val="2"/>
        <w:rPr>
          <w:rFonts w:hint="default" w:eastAsia="宋体" w:cs="仿宋_GB2312"/>
          <w:szCs w:val="24"/>
          <w:lang w:val="en-US" w:eastAsia="zh-CN"/>
        </w:rPr>
      </w:pPr>
      <w:r>
        <w:rPr>
          <w:rFonts w:hint="eastAsia" w:cs="仿宋_GB2312"/>
          <w:szCs w:val="24"/>
          <w:lang w:val="en-US" w:eastAsia="zh-CN"/>
        </w:rPr>
        <w:t>2、设备要求：</w:t>
      </w:r>
      <w:r>
        <w:rPr>
          <w:rFonts w:hint="eastAsia" w:cs="仿宋_GB2312"/>
          <w:szCs w:val="24"/>
        </w:rPr>
        <w:t>中标人在项目</w:t>
      </w:r>
      <w:r>
        <w:rPr>
          <w:rFonts w:hint="eastAsia" w:cs="仿宋_GB2312"/>
          <w:szCs w:val="24"/>
          <w:lang w:val="en-US" w:eastAsia="zh-CN"/>
        </w:rPr>
        <w:t>合同签订</w:t>
      </w:r>
      <w:r>
        <w:rPr>
          <w:rFonts w:hint="eastAsia" w:cs="仿宋_GB2312"/>
          <w:szCs w:val="24"/>
        </w:rPr>
        <w:t>前须提供所投产品</w:t>
      </w:r>
      <w:r>
        <w:rPr>
          <w:rFonts w:hint="eastAsia" w:cs="仿宋_GB2312"/>
          <w:szCs w:val="24"/>
          <w:lang w:val="en-US" w:eastAsia="zh-CN"/>
        </w:rPr>
        <w:t>重要参数</w:t>
      </w:r>
      <w:r>
        <w:rPr>
          <w:rFonts w:hint="eastAsia" w:cs="仿宋_GB2312"/>
          <w:szCs w:val="24"/>
        </w:rPr>
        <w:t>的</w:t>
      </w:r>
      <w:r>
        <w:rPr>
          <w:rFonts w:hint="eastAsia" w:cs="仿宋_GB2312"/>
          <w:szCs w:val="24"/>
          <w:lang w:val="en-US" w:eastAsia="zh-CN"/>
        </w:rPr>
        <w:t>检测报告</w:t>
      </w:r>
      <w:r>
        <w:rPr>
          <w:rFonts w:hint="eastAsia" w:cs="仿宋_GB2312"/>
          <w:szCs w:val="24"/>
        </w:rPr>
        <w:t>。</w:t>
      </w:r>
    </w:p>
    <w:p>
      <w:pPr>
        <w:pStyle w:val="2"/>
        <w:rPr>
          <w:rFonts w:cs="仿宋_GB2312"/>
          <w:szCs w:val="24"/>
        </w:rPr>
      </w:pPr>
      <w:r>
        <w:rPr>
          <w:rFonts w:hint="eastAsia" w:cs="仿宋_GB2312"/>
          <w:szCs w:val="24"/>
          <w:lang w:val="en-US"/>
        </w:rPr>
        <w:t>2</w:t>
      </w:r>
      <w:r>
        <w:rPr>
          <w:rFonts w:hint="eastAsia" w:cs="仿宋_GB2312"/>
          <w:szCs w:val="24"/>
        </w:rPr>
        <w:t>、</w:t>
      </w:r>
      <w:r>
        <w:rPr>
          <w:rFonts w:cs="仿宋_GB2312"/>
          <w:szCs w:val="24"/>
        </w:rPr>
        <w:t>质保与</w:t>
      </w:r>
      <w:r>
        <w:rPr>
          <w:rFonts w:hint="eastAsia" w:cs="仿宋_GB2312"/>
          <w:szCs w:val="24"/>
        </w:rPr>
        <w:t>升级服务：为了确保本项目所建系统安全、正常、可靠地运行，本项目的维保期为</w:t>
      </w:r>
      <w:r>
        <w:rPr>
          <w:rFonts w:hint="eastAsia" w:cs="仿宋_GB2312"/>
          <w:szCs w:val="24"/>
          <w:lang w:val="en-US" w:eastAsia="zh-CN"/>
        </w:rPr>
        <w:t>叁</w:t>
      </w:r>
      <w:r>
        <w:rPr>
          <w:rFonts w:hint="eastAsia" w:cs="仿宋_GB2312"/>
          <w:szCs w:val="24"/>
        </w:rPr>
        <w:t>年。从验收通过双方签字之日开始计算，对相关设备、系统进行为期</w:t>
      </w:r>
      <w:r>
        <w:rPr>
          <w:rFonts w:hint="eastAsia" w:cs="仿宋_GB2312"/>
          <w:szCs w:val="24"/>
          <w:lang w:val="en-US" w:eastAsia="zh-CN"/>
        </w:rPr>
        <w:t>叁</w:t>
      </w:r>
      <w:r>
        <w:rPr>
          <w:rFonts w:hint="eastAsia" w:cs="仿宋_GB2312"/>
          <w:szCs w:val="24"/>
        </w:rPr>
        <w:t>年的日常运行维护、故障处理和业务调整等服务。在质保期内，如果系统发生故障，中标方将在承诺的时间内完成调查故障原因并实施更换、修复等工作直至满足要求。中标人在项目验收前须提供所投产品的质保函。</w:t>
      </w:r>
    </w:p>
    <w:p>
      <w:pPr>
        <w:pStyle w:val="2"/>
        <w:rPr>
          <w:rFonts w:cs="仿宋_GB2312"/>
          <w:szCs w:val="24"/>
        </w:rPr>
      </w:pPr>
      <w:r>
        <w:rPr>
          <w:rFonts w:hint="eastAsia" w:cs="仿宋_GB2312"/>
          <w:szCs w:val="24"/>
          <w:lang w:val="en-US"/>
        </w:rPr>
        <w:t>3、</w:t>
      </w:r>
      <w:r>
        <w:rPr>
          <w:rFonts w:hint="eastAsia" w:cs="仿宋_GB2312"/>
          <w:szCs w:val="24"/>
        </w:rPr>
        <w:t xml:space="preserve"> 验收要求：</w:t>
      </w:r>
      <w:r>
        <w:rPr>
          <w:rFonts w:cs="仿宋_GB2312"/>
          <w:szCs w:val="24"/>
        </w:rPr>
        <w:t>中标方必须响应并提出单项模块验收和整体验收方案，系统安装完成后，中标方首先提出一个验收计划经用户方讨论</w:t>
      </w:r>
    </w:p>
    <w:p>
      <w:pPr>
        <w:pStyle w:val="2"/>
        <w:rPr>
          <w:rFonts w:cs="仿宋_GB2312"/>
          <w:szCs w:val="24"/>
        </w:rPr>
      </w:pPr>
      <w:r>
        <w:rPr>
          <w:rFonts w:cs="仿宋_GB2312"/>
          <w:szCs w:val="24"/>
        </w:rPr>
        <w:t>通过后，方可按计划进行验收。验收费用由中标方承担</w:t>
      </w:r>
      <w:r>
        <w:rPr>
          <w:rFonts w:hint="eastAsia" w:cs="仿宋_GB2312"/>
          <w:szCs w:val="24"/>
        </w:rPr>
        <w:t>。</w:t>
      </w:r>
    </w:p>
    <w:p>
      <w:pPr>
        <w:pStyle w:val="2"/>
        <w:rPr>
          <w:rFonts w:cs="仿宋_GB2312"/>
          <w:szCs w:val="24"/>
        </w:rPr>
      </w:pPr>
      <w:r>
        <w:rPr>
          <w:rFonts w:hint="eastAsia" w:hAnsi="宋体" w:cs="宋体"/>
          <w:szCs w:val="28"/>
          <w:lang w:val="en-US"/>
        </w:rPr>
        <w:t>4</w:t>
      </w:r>
      <w:r>
        <w:rPr>
          <w:rFonts w:hint="eastAsia" w:cs="仿宋_GB2312"/>
          <w:szCs w:val="24"/>
        </w:rPr>
        <w:t>、</w:t>
      </w:r>
      <w:r>
        <w:rPr>
          <w:rFonts w:hint="eastAsia" w:hAnsi="宋体" w:cs="宋体"/>
          <w:szCs w:val="28"/>
        </w:rPr>
        <w:t>▲</w:t>
      </w:r>
      <w:r>
        <w:rPr>
          <w:rFonts w:hint="eastAsia" w:cs="仿宋_GB2312"/>
          <w:szCs w:val="24"/>
        </w:rPr>
        <w:t>本项目为“交钥匙”工程，中标方需承诺招标清单中未列明但实际为项目实施所必需的软件、硬件、辅材及相关配套施工、服务。均由中标方统一提供，费用不再另行支付。</w:t>
      </w:r>
    </w:p>
    <w:p>
      <w:pPr>
        <w:pStyle w:val="3"/>
        <w:ind w:firstLine="0"/>
        <w:rPr>
          <w:rFonts w:ascii="仿宋" w:hAnsi="仿宋" w:eastAsia="仿宋" w:cs="仿宋"/>
        </w:rPr>
        <w:sectPr>
          <w:pgSz w:w="16840" w:h="11907" w:orient="landscape"/>
          <w:pgMar w:top="1814" w:right="1474" w:bottom="1814" w:left="1474" w:header="851" w:footer="851" w:gutter="0"/>
          <w:cols w:space="720" w:num="1"/>
        </w:sectPr>
      </w:pPr>
    </w:p>
    <w:p>
      <w:pPr>
        <w:pStyle w:val="938"/>
        <w:spacing w:before="120" w:after="120"/>
        <w:ind w:left="525"/>
        <w:rPr>
          <w:rFonts w:hint="eastAsia"/>
          <w:lang w:val="en-US" w:eastAsia="zh-CN"/>
        </w:rPr>
      </w:pPr>
      <w:r>
        <w:rPr>
          <w:rFonts w:hint="eastAsia"/>
          <w:lang w:val="en-US" w:eastAsia="zh-CN"/>
        </w:rPr>
        <w:t>六 、详细技术参数</w:t>
      </w:r>
    </w:p>
    <w:tbl>
      <w:tblPr>
        <w:tblStyle w:val="72"/>
        <w:tblW w:w="9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080"/>
        <w:gridCol w:w="930"/>
        <w:gridCol w:w="780"/>
        <w:gridCol w:w="795"/>
        <w:gridCol w:w="5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9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32"/>
                <w:szCs w:val="32"/>
                <w:u w:val="none"/>
              </w:rPr>
            </w:pPr>
            <w:r>
              <w:rPr>
                <w:rFonts w:hint="eastAsia" w:ascii="微软雅黑" w:hAnsi="微软雅黑" w:eastAsia="微软雅黑" w:cs="微软雅黑"/>
                <w:b/>
                <w:bCs/>
                <w:i w:val="0"/>
                <w:iCs w:val="0"/>
                <w:color w:val="auto"/>
                <w:kern w:val="0"/>
                <w:sz w:val="32"/>
                <w:szCs w:val="32"/>
                <w:u w:val="none"/>
                <w:lang w:val="en-US" w:eastAsia="zh-CN" w:bidi="ar"/>
              </w:rPr>
              <w:t>江山市交通事故“一键快响”应用软件详细清单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序号</w:t>
            </w:r>
          </w:p>
        </w:tc>
        <w:tc>
          <w:tcPr>
            <w:tcW w:w="108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功能模块</w:t>
            </w:r>
          </w:p>
        </w:tc>
        <w:tc>
          <w:tcPr>
            <w:tcW w:w="93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二级模块</w:t>
            </w:r>
          </w:p>
        </w:tc>
        <w:tc>
          <w:tcPr>
            <w:tcW w:w="78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三级模块</w:t>
            </w:r>
          </w:p>
        </w:tc>
        <w:tc>
          <w:tcPr>
            <w:tcW w:w="795"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四级模块</w:t>
            </w:r>
          </w:p>
        </w:tc>
        <w:tc>
          <w:tcPr>
            <w:tcW w:w="5715"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详细功能描述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108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93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78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79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571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综合门户</w:t>
            </w:r>
          </w:p>
        </w:tc>
        <w:tc>
          <w:tcPr>
            <w:tcW w:w="8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具有兼容性和可扩展性，能够兼容江山交警大队现有应用系统接入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8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具备将来新应用的接入，综合展示各应用的图形界面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8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对驾驶舱整体UI、交互进行标准设计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驾驶舱应用</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业务应用图形展示及设计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定义单点登入接口，对接系统实现免登入跳转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数据基座应用</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业务应用图形展示及设计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定义单点登入接口，对接系统实现免登入跳转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110接处警应用</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业务应用图形展示及设计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定义单点登入接口，对接系统实现免登入跳转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电动车违法查处应用</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业务应用图形展示及设计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定义单点登入接口，对接系统实现免登入跳转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渣土车应用</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业务应用图形展示及设计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定义单点登入接口，对接系统实现免登入跳转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两客一危应用</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业务应用图形展示及设计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定义单点登入接口，对接系统实现免登入跳转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交通事故写入平台</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业务应用图形展示及设计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定义单点登入接口，对接系统实现免登入跳转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多媒体调处应用</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业务应用图形展示及设计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定义单点登入接口，对接系统实现免登入跳转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远程执法应用</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业务应用图形展示及设计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定义单点登入接口，对接系统实现免登入跳转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领导驾驶舱</w:t>
            </w: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交通综合态势</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由主屏、副屏、滚动屏三个部分组成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地图上综合展示区域内的警力、警情、拥堵、重点关注区域，警戒区域等交通要素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以曲线图方式展示近12h的拥堵、警情、警力数量的变化趋势及匹配关系。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对接违法最新数据，实时监测分析统计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对接警力数据，实时监测分析统计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对接机动车最新数据，实时监测分析统计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对接警情最新数据，实时监测分析统计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交通违法数据</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对接交警六合一平台，按照机动车违法数据进行分类展示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对接交警六合一平台，按照非机动车违法数据进行分类展示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分析违法数据的态势,以图形方式展示相关车辆的违法数据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展示近一周、近一月的违法数据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勤务数据展示</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统计分析各中队警力报备数据及分布数据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通过警力报备情况，警力数据实时更新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通过警员值班、调休、休假的动态数据，实现勤务管理可视化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民情数据展示</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对接网络舆情数据，实时分析统计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对接12345平台投诉数据，实时分析统计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对接群众电话投诉数据，实时分析统计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按照投诉类型、投诉时间、投诉事项进行分类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展示各类民情数据，以不同图形方式进行分类展示。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系统运维数据</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对接电警设备数据，实时统计分析使用率、在线率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对接信号灯数据，实时统计分析使用率、在线率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对接设备运行故障数据，实时统计分析设备运维状态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按照各类数据总览和分项统计展示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隐患排查数据</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将交警现有的工作业务、流程、执法规范等，进行隐患排查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将排查出来的隐患按照不同类型进行分类展示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宣教活动数据</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对接宣教活动数据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按照时间、地点、类型等维度，以不同图形方式分类展示。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重点车辆数据</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展示当前时间的重点车辆总数，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展示当前时间不同类型的重点车辆数据总数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车检数据</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对接车管系统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将各类车辆检测数据进行分类展示。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27</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数据基座应用</w:t>
            </w: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警用数据管理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对驾驶舱整体UI、交互进行标准设计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具有兼容性和可扩展性，能够兼容江山交警大队应用系统数据接入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将接处警警情、六合一事故警情、警用汽车、警用摩托车、对讲机、**通、执法仪、处罚设备、酒精仪、枪支、破胎器、检查站数据进行统一管理。各装备所属单位可管理所属装备（设备）的状态，以及所属装备（设备）的入库、出库操作的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基座数据调用接口标准化，数据调用记录可追溯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110接处警警情库</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110接处警系统对接，开发实时数据接口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根据警情数据规范，定制接处警警情数据、勤务数据库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实现与接处警警情数据为警情调度、警情辅助决策做数据支撑。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六合一事故警情库</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六合一事故警情库对接，开发实时数据接口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根据警情数据规范，定制交通事故警情数据库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系统在平台提供统一接入的接口实现与六合一事故警情数据信息接入做数据支撑。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警用汽车管理库</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警用汽车管理平台对接，开发实时数据接口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根据警用汽车设备信息、定位信息，定制警用汽车数据库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系统在平台提供统一接入的接口实现与警用汽车数据信息接入做数据支撑。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警用摩托车管理库</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警用摩托车管理平台对接，开发实时数据接口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根据摩托车设备信息、定位信息，定制警用摩托车数据库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系统在平台提供统一接入的接口实现与警用摩托车数据信息接入做数据支撑。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对讲机管理库</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对讲机管理平台对接，开发实时数据接口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根据对讲机设备信息、定位信息，定制对讲机数据库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系统在平台提供统一接入的接口实现对讲机数据信息接入做数据支撑。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**通库管理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对接**通管理平台，开发实时数据接口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根据**通设备信息、人员、定位信息，定制**通数据库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系统在平台提供统一接入的接口实现与**通数据信息接入做数据支撑。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执法记录仪管理库</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对接执法记录仪管理平台，开发实时数据接口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根据执法记录仪设备信息、视频调用接口、定位信息，定制执法记录仪数据库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系统在平台提供统一接入的接口实现与执法仪数据信息接入做数据支撑。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处罚设备管理库</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处罚设备管理平台对接，开发实时数据接口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40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根据处罚设备信息，定制处罚设备数据库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系统在平台提供统一接入的接口实现与处罚设备数据信息接入做数据支撑。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41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酒精仪设备管理库</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酒精仪设备管理平台对接，开发实时数据接口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根据酒精仪设备信息，定制酒精仪设备数据库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42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系统在平台提供统一接入的接口实现与酒精仪数据信息接入做数据支撑。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枪支管理库</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枪支管理平台对接，开发实时数据接口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43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根据枪支设备信息、出入库记录，定制枪支管理数据库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系统在平台提供统一接入的接口实现与枪支数据信息接入做数据支撑。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44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破胎器设备管理库</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破胎器管理平台对接，开发实时数据接口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根据破胎器设备信息、管辖单位，定制开发破胎器数据库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45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系统在平台提供统一接入的接口实现与破胎器数据信息接入做数据支撑。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检查站管理库</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检查站管理平台对接，开发实时数据接口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46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根据检查站管理信息、所属大队，定制检查站管理数据库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系统在平台提供统一接入的接口实现与检查站数据信息接入做数据支撑。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47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数据服务接口</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提供数据服务申请入口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数据服务审批流程，从发起人、发起单位、审批人，全流程管理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48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设备信息等数据需要向平台发起申请，审核通过以后平台提供统一的对接接口。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数据检索查询</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通过设备名称、类型条件检索设备信息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49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通过管辖单位条件检索设备使用情况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通过警用设备与当日处警人员进行绑定，精确掌握警情处置中各类装备、武器等，为警情处置提供支撑，为系统提供警情数据支撑。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权限管理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用户管理,对自己所在单位民警进行添加、删除、修改、查询功能，并实现对民警角色及权限进行配置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角色管理，实现系统角色配置功能，管理员可建立相关角色，并对角色进行权限设置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50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字典管理，对系统涉及的的字典编码进行统一维护和管理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接处警子系统</w:t>
            </w: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接处警基本功能</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登陆管理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接警台同时具备接警、处警、反馈和查询的功能。指挥中心各自所辖的接警台互为备份，接警台属于哪个指挥中心取决于其登陆的帐号。登录管理模块的主要功能如下所列：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自动更新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软件自动更新、手动更新、配置自动更新。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登陆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同一工号、同一时间可以在任意地点的终端进行登录操作。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限制重复登陆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同一工号、同一时间内只能登陆一台接警终端进行操作，已登陆的终端上的用户将被踢下线。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离线登陆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当由于网络原因导致数据库中断，但报警电话还可以分配进来时，接警信息保存在本地，当网络恢复后，后台自动将接警信息同步至数据库，保证数据的完整性、准确性。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异地登陆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当发生不可控因素导致的指挥中心全体断网时，接警员可以在异地指挥中心登录系统。登录后的座席视为接警员帐号所属的指挥中心下辖的座席。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状态栏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服务器连接状态、服务器时间、登录的用户信息。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注销与休眠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注销：隐藏当前系统主窗口，显示登录页面，用户可以在此重新登录。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坐席休眠：接警员需要暂时离席时，可使用此功能，锁定操作界面并防止报警电话呼入。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解除休眠：坐席从休眠状态中退出，系统再次进行正常的分配。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60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自动重连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用户登录后，客户端与任何服务器丢失连接时后台自动重连。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61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权限要求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用户在登录接警台、班长台、监控台时，指挥中心用户显示报警信息和处警单位信息，处警单位用户能显示该处警单位相关的信息。根据各地需要，能相应的定义在查询分析系统中各级用户能查询到数据的权限与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62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可以自行规定指挥中心和处警单位最少开启的接警台数量，当上岗接警台数等于最少开启数时，已经上岗的接警台不允许下岗。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来电显示</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来电基本信息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63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基本信息包括：主叫号码、被叫号码、呼入时间、等待时间、姓名、地址。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来电呼叫历史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64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显示来电历史呼叫。历史呼叫信息：被叫号码、呼入时间、报警内容。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黑名单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65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接处警系统提供黑名单屏蔽功能，以便惩处、屏蔽那些恶意骚扰的电话。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红名单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66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受理台可识别一些预先维护好的特殊人员（如局领导等）的电话呼入，可在呼入窗口上显示特殊人员信息。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接听方式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67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支持软接听和硬接听，接听电话的方式为硬接听，点击按钮的方式为软接听。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接警单信息</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接警单基本信息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68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接警单基本信息从CTI或者运营商处获取。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基本信息包含的字段如下：三字段（报警人电话、姓名、地址）、报警单编号、报警时间、报警方式、报警类型、保密、重点单位、重复报警。电话报警接入受理台可受理122等报警电话呼入。自动填写的信息：基本信息在接电话并生成接警单时自动填写，包含报警人性别、地址、报警单编号、报警时间、报警电话、报警方式、报警类型、重点单位（或者重点人员）、重复报警。呼入信息展示：当报警电话呼入，坐席电话振铃时，受理台界面自动显示呼叫相关信息，如电话三字段、多报次数、重点单位提示、红名单信息等。一次定位：受理台查号成功以后，自动将获得的地址信息发送到地图台，以发起一次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69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地址二次定位：在接警过程中，接警员可根据报警人描述的实际报警地址，向地图台发起二次地图定位。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手机二次定位：接处警员可根据报警人的报警手机电话号码，向移动、联动等运营商发起手机二次定位，从而获得报警人的最新位置。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70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报警人信息保密：如果接警员设置接警单为保密，则下发处警单，或者在警情卷宗中，报警人的电话，姓名，地址都不显示。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保密仅针对处警单位，指挥中心的操作人员不受影响。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71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显示重复报警提示：按照设定重复报警时间间隔，该时间间隔内重复呼入，接警台显示以红色文本信息提示重复报警。搜索专家预案库：用户可以在专家库中输入需要查询的关键字，预案名字或者专家姓名，快速地在数据库中搜索处警提示信息。紧急/危急警情处理：接警员在接警时预判警情为暴恐警情，要快速录入地址、警情类别、类型、管辖单位。点击危急警情，提示确认。确认后：系统自动将短信发送到管辖单位、警情周边一定距离的警力、相关单位负责人（具体发送对象各地可以自己配置）；推送警情信息到***值班室和管辖单位及周边的PDA；系统自动将当前操作的界面推送到班长台，并有告警音，同时将现场视频、警力信息展示在可视化地图上，同步在接警席和班长席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在可视化地图上警力列表上展示由近到远的最近警力；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72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在接警席和班长席上展示接警员和指挥长的接警和调度提醒，同时推送处置提醒信息和装备携带等（各地可自己配置）到上述人员的手机或PDA上；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系统弹出危急警情的采录数据项，接警员补充询问录入后，点保存后再次通过短信和网络推送到上述有关人员的手机或PDA终端上，对后续补充的内容点击保存按钮可不断更新并发送信息到有关人员的手机或PDA上。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73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报警人回复功能点击报警单页面中的“报警电话”字段旁边的回拨按钮，自动拨号到报警人电话号码。点击短信回复按钮，输入回复短信内容，确认后该内容将被发到报警人手机。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无效警情一键处置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74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对于一些无需处理的警情，如咨询、骚扰等，受理台提供快捷操作按钮，可一键保存。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处警指令下发</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本项目适用于不同的工作模式，可由接警台完成处警功能，接警和处警在同一界面完成。也可以设立处警台，专门负责处警。接警台可通过计算机网络、无线对讲机、有线电话、短信、传真等方式下达处警指令。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75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支持各种处警单派单方式；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同一处警单的多次派单功能；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76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处警单短信告知报警人的功能；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自动选择处警单位功能；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77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处警力量状态显示；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处警单位登录状态显示；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78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处警意见的录入和描述；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同一出警单位针对同一接警单的处警单归并功能；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79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处警单直达处警台或者民警、巡逻车辆、单警移动手持终端的全方位处警功能；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处警单退单功能；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80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指令接收反馈</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反馈包括四种：派警单接收反馈、到达现场反馈、处警完毕反馈和处警情况反馈。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处警单指令应采用推送的方式实时下达给处警单位，允许一个处警单位多点同时接收处警单，允许民警通过B/S方式反馈处警单；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81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出警反馈通过客户端、web、app等多种形式实现；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出警时间和到达现场时间自动记录；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82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反馈单在处警单位第一次反馈后不允许修改，但可多次反馈，反馈时之前的反馈信息自动填入；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反馈自动获取案件的经纬度信息；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83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反馈时民警输入的简化，根据不同处理结果填写不同的反馈项；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班长台管理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班长台除了具备接处警台的全部功能外，还具备实时管理接处警业务的功能，实现对各个接处警席位的监督、控制，保证接处警业务可以有序的、正确的完成。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84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实时显示接警台的工作状态监控；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监听、插入和接管接警台的接警；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85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出警现场信息跟踪，如警力到达现场时间，现场情况，处置措施及结果等；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数据报表维护统计和警情分析报告；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86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当日接警基础信息显示，如接警信息小时变化图、当班各接警员接警量、当日接警信息汇总等信息；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实时的当日值班力量显示；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87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110、119、122、120等呼入优先设置；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对于不在线处警单位的简单系统异常状态检测；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88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警情列表</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包含警情列表显示，受理台界面提供警情列表展示，包含警单信息、状态展示。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快速查询栏，受理台界面提供快速查询工具栏，以方面接警员查询警情。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89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用户自定义查询。用户可通过自定义的组合查询条件对警情进行查询。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重/特大警情展示，受理台界面提供重/特大警情列表展示。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90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警情信息打印，受理台提供格式化的警情打印功能，并可针对不同类型的警情提供不同的打印格式。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接警单与处警单根据当前登录的用户所属的组织机构的行政级别，显示不同范围的信息。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91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报警电话回拨；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报警录音回放；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92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领导批示，页面包含批示内容和批示人；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接警单再指令，对该接警单下的所有处警单位下发一张处警指令；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93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接警单打印；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接警单归并；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94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派警；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出警确认；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95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到达现场确认；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处警完毕确认；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96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处警单收回；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处警单内容反馈；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97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处警单领导批示；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处警单再指令；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98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警情卷宗</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以直观的方式显示当前接警单相关的各个其它接警单、处警单。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主接警单或者主处警单以粗体显示，从接警单或者从处警单正常字体显示，内容反馈单所关联的接警单以斜体显示。如果既是主单又是内容反馈单所关联的接警单，则以粗体显示。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99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相关联的接警单有：主单与各个从单、主单与各个从单的内容反馈单中关联的接警单。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警单信息：显示接警单详细信息，显示的字段包括：接警单编号、报警时间、报警电话、接警时长、报警方式、接警类型、保密、重点单位、报警录音，接警单位、接警员姓名、警单状态、处理类型、报警人姓名、身份证、性别、联系电话、联系住址、警情地址、警情类别、警情类型、管辖单位、报警内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100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处警单信息：显示属于该接警单的所有处警单和处警指令列表、巡处力量列表、处警反馈内容；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如有领导批示，展示批示内容；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101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警情流水账；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102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如果接警单有关联打防控，则显示接警单在打防控系统中的相关信息；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证据列表：显示警员在现场反馈和最终反馈时上传的证据文件；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103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录音列表；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综合调度子模块</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调度台功能</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一键快速呼叫单位和个人功能；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104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调度台之间呼入转接和代答功能；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班长台监听、插话功能；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105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调度台能实现短信的人工或者自动的单发或群发功能及通过软拨号或话机拨号呼出功能；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电话会议功能；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106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报警用户的用户关怀功能；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二级指挥调度台和处警单位调度台除无110语音呼入功能外，其他所需功能与接警调度台的功能相类似，但其使用权限只限于本单位及所属辖区。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107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调度台设置</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调度台相每一次开启调度台都需与数据库同步，同步完毕以后，再调用本机的文本数据；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通讯录维护；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108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当有线调度呼出时，不同县市的呼出应显示当地电信局的号码。本地呼出根据需要可以设置为客户报警被叫号码；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来电者身份信息显示；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109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历史呼叫信息的话务查询；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视频调度功能</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视频定位；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向处警单位的处警终端、单兵移动处警终端或手机的数据发送；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证据管理子模块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证据上传</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在接处警系统中反馈时可直接将处警的图片、声音、录像等证据资料在接处警系统的反馈界面进行上传。对反馈单中附件上传情况和是否现场取证选择框值做逻辑判断。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111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证据管理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提供证据上传、重新上传（当证据上传不充足时）、数据维护等证据管理类功能。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证件对接</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区县证据管理系统从地市数据库抽取110接处警系统接处警警单数据，通过原有证据管理系统进行绑定操作。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112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原证据管理系统开放证据系统证据绑定关系数据库表，110接处警系统进行定时抽取，抽取后存入110接处警系统证据绑定表。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完成后可通过警情卷宗查看已绑定的证据。如果证据下载地址为http连接的可直接点击下载按钮或者连接进行证据下载。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113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证据查询</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提供证据查询功能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数据管理分析子模块</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数据管理维护</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基本代码维护；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114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基础信息维护；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日志和备忘录功能；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115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通讯录功能；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信息发布、签收功能；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116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数据的导出需求；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数据查询统计</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查询功能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117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可以根据各自的权限查询统计权限范围的接处警信息。查询系统向全警开放，应根据不同的查询内容设置合理的权限等级，非授权用户不能下载录音和现场取证信息，非授权用户不能查看举报投诉类的报警电话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提供各种查询手段；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118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在线查询、下载、播放相关证据资料；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模糊查询功能：可根据案件性质、所辖区域、报警内容、报警电话、报警地点等要素进行模糊查询。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119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统计分析功能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系统可根据一种或多种组合条件查询统计当前及以往三台合一指挥系统的各种信息，根据选定的时空、单位、处所等条件统计各种数据。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120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提供各种统计的方式；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统计结果转换成各类图表；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121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自动生成公安部十局要求的三类报表。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二级处警台的本单位查询统计功能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122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数据的分析预警</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接警警情统计分析一览表；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最终反馈警情统计一览表；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123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常见警情统计一览表；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接处警速度情况统计表；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124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警力报备子模块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值班信息的报备</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今日值班：指挥中心可查看本指挥中心以及下属处警单位警力报备情况，点击下级可以显示下级和下下级，处警单位可查看到上级及所有同级单位的警力报备情况。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警力报备</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警员上班可报备是否值班、是否备勤、是否带班领导，根据权限可分为可报备他人或仅能报备自己。指挥中心可报备本级指挥中心警力和本级公安局警力。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125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巡处力量</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由警员和警车组合组成巡处力量，可供处警单位直接调度。指挥中心可以看到下级所有单位的巡处力量信息。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录入警力信息</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各级组织机构可录入本单位或下级单位下的警员信息、车辆信息、GPS设备信息等。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126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配置子模块</w:t>
            </w: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操作员人员维护；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角色维护；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127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权限维护；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多级管理员维护方案；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128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重点号码维护；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黑名单维护；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129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报警牌字典配置；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报警内容关键词配置；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130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警情关键字配置；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快速输入配置；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131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专家预案库维护；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接警席配置；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132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基本配置：包含重复报警时限配置、处警超时配置、处警单接收超时配置、到达现场反馈超时配置、处警完毕反馈超时配置、内容反馈超时配置、接警单可编辑时限配置、退回处警单时限配置、移交处警单时限配置、报警电话挂断后是否空闲配置、通话超时时间配置、处警单位默认接收处警单方式配置、接警单列表时间范围配置、非报警/求助类显示时限配置、置忙超时时限配置、早释列表时间范围配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电话呼入子模块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单呼/回呼</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受理台提供单呼/回呼功能，接警员可以方便地与报警人（或各级警力单位、人员）电话联系沟通。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133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三方通话</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如有必要，可以在有报警呼入时，发起三方通话。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通话保持/解除保持</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接警员在接警过程中，可临时将报警电话保持而执行其他事务。临时事务处理完成后，可解除保持，重新与报警人恢复电话沟通。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134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挂起/解除挂起</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用户可以选择将座席“挂起”，以便不受理新的报警电话，而专心处理尚未处理完的警情。直到解除挂起。解除挂起时，坐席话机需要处于空闲状态。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接警自动休眠/置闲</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受理台可提供自动休眠功能，以保证接警员在接警过程中不受其他报警电话的干扰。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135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坐席状态展示</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受理台上可展示当前坐席的状态和话机状态。以便接警员及时了解当前受理台的工作状态。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排队状态监视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受理台上可实时展示当前的警情排队情况。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136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录音播放</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可在线播放录音。如需下载需要有权限控制。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报警人信息分析子系统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人员查询对接</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对接本地可辅助前端出警民警的人员信息接口。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137</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重点（报警）人员识别</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通过报警号码匹配，识别重点单位和重点人员。重点单位及重点人员包括各级政府单位、单位领导，或 逃犯、嫌疑犯等。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报警人信息展示</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根据人员基本信息弹窗中的人档信息按钮查询报警人详细信息并展示在地图端上。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138</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人员信息下发</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警民警可在110接处警客户端，指挥调度平台查看根据报警电话的自动人员提醒；前端民警可以在**通上查看到重点人员的基本信息并进行比对。基本信息包括重点人员的姓名、证件号码、籍贯、维稳情况描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接处警APP子系统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手机地图</w:t>
            </w: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对接**云图，使用**云图作为 APP 搭载地图。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139</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与浙警云端消息对接</w:t>
            </w: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在向接处警 APP 推送警单时，同步向浙警云端推送消息，消息内容为“您有 一条警情消息”。签收仍在接处警 APP 中完成，接处警 APP 签收以后，该消息视 为已读，能返回“某某人已读”消息到接处警系统中。在向接处警 APP 推送公告 信息时，同步向浙警云端推送消息，消息内容为“公告的具体内容”，民警查看该消息后即视为已读，并返回“某某人已读”消息到接处警系统中。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上传证据存储</w:t>
            </w: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集中建设移动接处警平台证据存储库，与 110 警单关联。证据的查询、 统计、播放、下载功能在接处警系统中实现。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140</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上传定位</w:t>
            </w: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接处警 APP 可上传**通位置到云上地图，能支持 10 秒钟上传一次位置。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用户同时在线数量</w:t>
            </w: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至少支持 10000 个用户同时在线。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141</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接处警功能</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上班备勤状态显示</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民警在 APP 中可以选择上班或备勤状态，选择后在地图上能看到该警力的状态显示。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警力状态颜色显示</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绿色表示备勤（点击选择备勤后）。蓝色表示巡逻中（点击选择值班后）——黄色表示赶赴现场途中（签收警情后）——橙色表示处警中（到达现场后）——提交反馈后重新进入巡逻状态（蓝色）。警力状态根据警情处置进程在云上地图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142</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签收警单</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110 报警台给处警单位派单后，**通上能同步有语音播报警情内容，提示 签收警情。提示签收警情的界面上有警情地址、内容显示。签收警情后，接处警 系统中的警情状态为已签收，该警员的状态为赶赴现场中，返回签收时间到接处警系统中的出警时间。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警单详情</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签收警情展示警单详情，内容包括：报警电话、报警人姓名、警情地址、警情内容、报警录音。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143</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指令意见、处警提示</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能推送指令意见、处警提示到 APP 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报警人信息查询</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民警在 APP 上可以查看报警人相关身份信息。其本信息包括（姓名、性别、 民族、住址、身份证号码）。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144</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警情路线规划</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 110 报警台推送的警情经纬度信息，在**云图上显示警情位置，并能 实现路线规划。本期建设实现省厅情指中心和一个县级报警台 APP 上功能。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录音播放</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当地可以自己设置是否允许处警民警在**通上听取报警录音。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145</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到达现场</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民警到达现场后，可在 APP 上直接点击确认到达现场，同时返回到达现场时间和经纬度地址到接处警系统中。该警员状态变更为处警中。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现场取证</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可直接调用手机相关功能进行录音、拍照取证，采集当事人信息，证据信息可直接在拍照、录音后上传，也可在反馈时选择上传，上传成功后自动清除手机上的证据。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146</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身份证信息提取</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可拍取身份证照片后提取身份证上的信息，具体包括姓名、性别、身份证号码、家庭住址信息，并能回传到接处警系统当事人信息一栏中。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人员核查</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在新增当事人信息时，通过NFC 读取或手工录入或拍照识别的当事人身份证 号码，根据权限可进一步核查该人员的背景信息。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147</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现场反馈</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匹配接处警系统中的现场反馈字段（有、无现场、简要内容、警情类别、类型）简要填写内容反馈。在录入简要内容时可调用手机录音转文字功能，也可直接录音反馈。在提交现场反馈时增加选择项：现场初步反馈，现场处置完毕反馈，选择现场处置完毕反馈的，同步返回现场处置完毕时间到接处警系统中。现场反馈可以多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处置情况反馈</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匹配接处警系统中的处置情况反馈字段，民警也可以在手机上进行处置情况反馈。处置情况反馈字段，不填默认为零。反馈人默认为登录 APP 的民警。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148</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最终反馈</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匹配接处警系统中的最终反馈字段，民警也可以在手机上进行最终反馈。反馈人默认为登录 APP 的民警。在警情卷宗流水帐上可以查看历次反馈的内容。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签名功能</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对群众现场处结无异议的，可以现场进行电子签名，电子签名可回传到接处警系统中。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149</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SOS 功能</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民警在紧急情况下，可以使用 SOS 功能，在地图上醒目展示该民警的位置， 并跟踪该民警的 GPS 定位信息。长按 3 秒确认启动 S0S，再次长按 3 秒确认取消 S0S。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再次指令提醒</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110 报警台对同一警情再次下达处警指令的，能推送声音消息到客户端和 APP 端，同时客户端和 APP 端警单闪烁，提醒民警查看，民警查看后能返回查看 时间到接处警系统流水帐中（便于监督检查）。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150</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本地接警</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在 APP 上可以新建警情，新建警情的接警人、派警人、处警人均为自己，系 统自动生成，无需再操作派警流程，新建警情后可心直接开展取证、反馈工作。 新建的警情需实时同步到接处警系统中。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历史警情信息的查看</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在 APP 上可以查看自身的历史处警记录。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151</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报警人信息的查看</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通过报警号码或报警人身份证号码查看报警人身份信息。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报警人历史报警情况的查看</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通过报警号码或报警人身份证号码查看报警人近 1 年来的历史报警记录。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152</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保密警单接处警</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系统中保密的警情，不推送报警电话、录音到 APP 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紧急、危急警情提醒</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 110 报警服务台推送的紧急、危急警情，有紧急、危险声音播报提醒，并在警单上有紧急、危急标志。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153</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警情签收个性化配置</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可以由各地自由选择抢单模式或是点对点到人模式。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抢单模式：110 报警台下发警单到处警单位后，在该处警单位下所有值班备 警的人员均可看到和签收该警情。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154</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点对点模式</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110 报警台下发警单到处警单位后，在该处警单位下所有值班 备警的人员均可看到该警情，但不能签收该警情，只有在情指中心或处警单位综 合指挥室派警给该民警时，该民警才能签收该警情进行后续处理。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短视频、照片推送</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110 报警服务台、处警单位值班室能推送短视频、照片到接处警 APP 上。在APP 上可以查看。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155</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反馈经纬度提取</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处警民警可以在接处警 APP 上获取警情现场的经纬度坐标返回到 110 接处警 系统中。点击到达现场时自动返回当前坐标到现场反馈栏中，在最终反馈界面可 手动或自动提取当前坐标到最终反馈栏中。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警情公告模块</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可接收 110 报警服务台、处警单位综合指挥室发布的通知消息，并有语音提 醒。该消息所有人都可查看，查看后有“某某人已读的消息”返回接处警系统中。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156</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走失人员协查模块</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建设走失人员库。支持录入（文档及照片）、查询、撤销功能。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可在 APP 上录入走失人员信息，提请发布协查。可在 APP 上通过查询他人发布的走失人员信息。走失人员协查可撤销、可修改。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157</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统计功能</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签收率</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通过 APP 签收的警情与所有派单处置警情的比率。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现场反馈率</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通过 APP 现场反馈的警情与所有现场反馈警情的比率。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158</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最终反馈率</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通过 APP 最终反馈的警情与所有最终反馈警情的比率。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证据采集率</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通过 APP 上传证据数据与所有证据数的比率。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159</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当事人信息采集率</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通过 APP 上传当事人信息与所有当事人信息数的比率。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可视化指挥调度子系统</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统计</w:t>
            </w: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与110接处警信息数据打通，全量实时接入警情相关数据，采用统计算法，在指挥调度系统中体现接入的警情数量、警情处置情况等相关数据，方便用户直观的查看当前时间的警情体量。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160</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统计辖区内今日的所有警情数量，展示当前时间内的所有接入的警情总数。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统计辖区内今日的所有处置情况，主要包括：已接警、已派警、已处警、已完结状态。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161</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交通安全事件上图</w:t>
            </w: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基于地图模式，将所有接入的交通安全事件在系统及地图上展示，接入的交通安全事件通过实时滚动更新列表展示，包括交通安全事件状态、交通安全事件状态信息、交通安全事件状态等内容，同时，用户可通过点击某条警情直接在地图上查看该警情所在的具体位置，便于民警指挥派警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警情上图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警情推送</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客户端将警情推送至平台，并按时间倒序排序。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162</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警单状态</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根据警单状态统计，警单的状态包含待接收、已接收、已出警、已到达、已处置、已反馈。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警情查看</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警情列表展示，根据案发时间倒序排列，列表内容包含警情状态、案发时间、案件类型、警情地址、警情内容。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163</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警情签收</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通过点击警情图标完成签收操作。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警情标注</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实现将警情在地图中作为中心，点击可查看警情简要信息。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164</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警情辖区标注</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鼠标移动至地图警情散点位置上，自动弹窗警情辖区信息或辖区单位信息。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警情详情</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报警人信息查看</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查看报警人的基本信息，包含报警人、联系电话、性别、身份证号、联系地址。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165</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历史警情查看</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查看历史警情，根据报警人信息显示历史警情，内容包含案发时间、案件类型、警情地址、警情内容，以及警情卷宗查看按钮。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出警信息查看</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显示出警信息，派警后显示处警信息列表，表头包含处警单位、处警力量、派警时间和状态。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166</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警力上图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警力标注</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以案发位置经纬度为中心，规划一定半径的三个区域，并在这三个区域中显示范围内的警力。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警力备注</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可添加警力名称备注，可进行颜色调整。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167</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对接警力设备</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显示**通、PDT对讲机、4G执法记录仪、4G车载实时警力，根据设备情况设定刷新频率，轨迹信息可回溯查询展示。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警力设备绑定</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处警力量为接处警民警通过移动接处警APP和PDT对讲机、车辆，4G执法仪进行关联绑定，在调度地图上显示为一个点，查看**通警力时能看到关联的车载、4G执法仪信息。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168</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警力分级展示</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可分级、分类显示需要查看的警力，分为市、县、所队三级。交警、特警、***、PTU和其他警力。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轨迹查询</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根据时间区间查询警力轨迹。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169</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警械智能匹配</w:t>
            </w: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根据省厅要求使用北斗定位系统，实现警力的精准定位、装备的智能匹配、根据事件级别提出相关的配备建议，规范执法。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基于RFID射频技术，通过多天线阵列、对多角度、多标签的高速数据采集，通过北斗、GPS双模定位信息的采集，实现设备与警员自动绑定、自动解绑，标签数据、定位信息通过4G网络传输到云端后台或通过车载的蓝牙通道传输到警械智能匹配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170</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警情调度</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警力调派</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单个警力调派，根据警力散点选择单个警力派警。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圈选警力调派，在地图上鼠标操作全选警力派警。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171</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勾选警力调派，在处警信息中进行派警操作，弹框显示警力信息，包含人员姓名和状态，以及复选框勾选。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框选警力调派，在地图上圈选警力，进行批量派警。可实现对重大警情的批量派警调度。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172</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线路规划</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路线预览，对指派的警力显示路线规划图。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监控视频资源调用展示</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为了提高警情现场的真实性和有效性，该系统与视频监控平台对接，结合警情上图能力提供的位置服务，用户可实现在中心即可对现场的掌握能力。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173</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视频监控列表</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支持按照监控类型、监控所属单位等条件展示监控列表。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视频监控查询及定位</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可以在地图上查询监控点位，在PGIS地图上显示警情点位后，会默认展示当前警情点位900米范围内的所有视频监控点位信息。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174</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处警指引</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预案库</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通过纯文本形式，录入预案的基本信息（如预案名称、预案步骤等），以此构建预案库；支持按警情类型进行设置相关预案的触发条件。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预案提示</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根据预案库中预设好的条件，当具体警情满足相应预案预设条件时，自动进行预案提示，引导相关人员按照预案流程开展接处警工作。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175</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警情态势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警情散点</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对接110接处警系统统计查询模块，支持警情撒点功能，可以查询指定时间、指定类别、类型、单位查询警情数据，警情数据，查询结果可通过撒点的方式在地图上进行批量打点。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警情筛选</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基予警情散点的功能的基础上，实现警情全选全取消操作。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176</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警情热力图</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根据各辖区所发生警情数量，在地图上展示所管辖区域内不同时间段下的总体警情热力图及各分类警情（刑事、治安、纠纷、求助、交通等）的热力图。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地图工具栏</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工具</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图层清除、拖动、框选放大和缩小、地图复位、地图全屏、图层显示控制；地址查询。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177</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自定义标注</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地图自定义标注，地图标注，对点增加标注信息，内容包含标注名称、标注人、标注时间和描述。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图层显示</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可在地图上显示警情、警力、设备资源和图层配置等功能，勾选复选框可显示对应信息。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178</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图层配置</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配置警员图标显示。可以合并警员图标，并选择GPS优先顺序。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框选/圈选</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支持点选、线选、圈选、框选、多边形选择以及测距、测面积等地图基本操作功能。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179</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网格化布警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网格绘制</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支持不规则多边形在地图上进行绘制，绘制完成后对网格元进行命名以及配置该网格元具体属于那个机构。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网格元显示</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按照行政区划为单位，在地图上显示登录帐号所在行政区划下所有的网格元，不同的网格元之间使用不同的名称和颜色做区分。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180</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网格元警力配置</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网格元关联警力，警力显示配置范围为当前用户所在的行政区划所有的组织机构（所队、巡警、交警），支持网格元关联警力的新增警力、解除关联警力、查询警力。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网格元警力统计</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网格元警力统计分析包括网格区域内预计投入警力、网格绑定巡组、在线警力、该网格机构共计警情（其中治安刑事警情、交通类警情、纠纷类警情）。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181</w:t>
            </w:r>
          </w:p>
        </w:tc>
        <w:tc>
          <w:tcPr>
            <w:tcW w:w="20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预警分析处置子系统</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预警配置模块</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高频号码配置</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对同个号码报警次数、报警时间范围（支持自定义，最长12个月）、警情类型、警情类别进行配置，支持以列表方式展示警情。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支持选择是否启用。预警配置时，需要能够选择处理类型，比如是派单处置、口头答复等。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182</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高频地址配置</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对同个地址报警次数、报警时间范围（支持自定义，最长12个月）、警情类型、警情类别进行配置，支持以列表方式展示警情。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支持选择是否启用。预警配置时，需要能够选择处理类型，比如是派单处置、口头答复等。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183</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关键字预警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支持添加关键字预警，配置警情类别，警情类型，预警起始时间，通过匹配报警内容关键字，自动进行预警提示，以列表展示，支持对关键字搜索查询显示对应预警警情。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184</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支持选择是否启用。预警配置时，需要能够选择处理类型，比如是派单处置、口头答复等。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高频同组人员预警配置</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根据一定时间内、同一组人（1人或2人）出现在多起警情中自动生成预警，支持高频同组人员预警规则自定义配置，同时支持预警规则增加、删除、修改和查询功能。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185</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三色预警</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选择预警单位（***、交警，可以多选）、选择警情类别或类型、配置上升幅度以及预警周期（支持月(21号-20号)、自然月(1号-当月最后一天、季度(21号-20号)、自然季度(1号—季度最后一天)、年(12月21号-12月20号)、自然年(1月1号-12月31号)）进行配置，并且三色预警配置，增加预警来源[按接警]+[按反馈],如果显示按照反馈，配置增加乡镇街道和所属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预警用户权限管理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对接110接处警系统用户体系。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186</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预警配置以及预警立即执行进行赋予用户权限，仅有权限才可以进行配置等操作。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智能预警模型模块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预警感知推送</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预警感知，通过历史数据、其他部分数据综合分析，在指挥中心预警事故研判结果，同时推送大数据和大联动中心，实现警情预警和事故全流程档案。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187</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本月警情</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支持当月各类型预警警情按照预警时间进行排列展示，支持一键切换显示查看上月警情数量。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高频号码智能预警</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高频号码预警警情按照预警时间进行排列展示，支持状态显示，支持根据一定时间、统计单位进行预警，支持以Excel形式一键导出；导出内容包含预警分析及相关联的接警单和钉警情的反馈信息；设置高频号码和地址的白名单，不会出现在预警中，同时白名单是针对某些警情类型和处理类型的，其他情况正常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188</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高频地址智能预警</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高频地址预警警情按照预警时间进行排列展示，支持状态显示，支持根据一定时间、统计单位进行预警，支持以Excel形式一键导出；导出内容包含预警分析及相关联的接警单和钉警情的反馈信息；设置高频号码和地址的白名单，不会出现在预警中，同时白名单是针对某些警情类型和处理类型的，其他情况正常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关键字智能预警</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支持单个或多个关键字进行预警，关键字预警警情按照预警时间进行排列展示，支持状态显示，支持根据一定时间、统计单位进行统计查询，支持以Excel形式一键导出。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189</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高频同组人员智能预警</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高频同组人员预警警情按照预警时间进行排列展示，支持状态显示，支持根据一定时间、统计单位进行预警，支持以Excel形式一键导出。导出内容包含预警分析及相关联的接警单和钉警情的反馈信息。基于图数据库，将全省数据上图数据库，实现高频同组人预警分析，预警出来的相关同组人员，可以查看人员档案；支持导出预警的详细警情列表，同时要能够直接点击预警里的接警单号就看到详细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同一事件智能预警</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支持同一事件预警，将高频号码预警、高频地址预警、高频同组人员预警进行交集预警自动处理，将同一事件的警情预警出来，预警出来警情可以追踪来自的预警配置、预警信息。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190</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智能三色预警</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支持三色预警按照预警时间进行排列展示，支持根据一定时间、统计单位、乡镇街道、村居社区进行预警，支持以Excel形式一键导出。导出内容包含预警分析及相关联的接警单和钉警情的反馈信息。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智能预警审核模块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自动审核</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支持预警数据审核功能，高频报警电话、高频地址、高频同组预警为自动审核。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191</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人工审核</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关键字预警为人工审核，在审核过程中需要填写责任单位（默认管辖单位）、办理要求。人工审核通过后，可选择转为钉警情，支持在钉警情-钉警情列表进行查看，可点击查看警情详情。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智能预警处置模块</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反馈</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责任单位接收到办理要求后，对该预警数据进行反馈，支持多次反馈。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192</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在看板预警分析模块，支持对每条预警警情进行反馈，可以多次反馈，在看板上每条警情后面增加反馈入口，点击反馈，弹窗反馈页面，反馈保存后关闭窗口。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反馈信息支持上传附件。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193</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支持转为钉警情后，办理单位进行反馈以及回复，支持上传附件操作。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警情关系人</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支持关系人档案查看，支持根据高频报警电话、同组人员预警警情查看警情的关系人。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194</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预警立即执行</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支持人工选择预警配置，进行立即生成预警数据。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同一事件（预警）归并或取消</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归并同一事件，需要复制被归并的预警编号，点击需归并的预警编号，弹出归并页面，填写被归并的预警编号进行确认归并，归并成功后预警列表中选择的预警为主单，打开的填写的预警编号为从单。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195</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多个预警可以归并成在一起，同时指定其中的某一起预警为主预警编号。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如果被归并的预警已经是一起主，或者被归并的接警单已经有一张关联的主单，则新归并过程只能在所有相关联的主单和未归并的预警中选择一张为主单，即之前归并的并且设置为从单的预警不允许在下一次归并中设置为主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196</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取消指定的主预警与所有归并的从预警的关联，如果被指定取消的是主预警，则所有预警的关联全部取消，如果被指定取消的是从预警，则仅该从预警与其主预警取消关联。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重复预警</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三个月内预警出现过，本月再次预警时，如无新的警情增加，不再预警。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197</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预警快速入口</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支持人工选择预警配置，进行立即上升预警数据。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预警警情关联库</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支持每条警情预警后，自动识别历史预警是否预警过相同的高频报警电话、地址、同组人员，并且支持预警能跳转查看相关警单详情。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198</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预警列表展示模块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智能预警统计</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将经过不同预警规则生成的预警信息进行统计归类，并且可以快速查看同类预警列表。通过交通散点、热力图、事故圈、高频地址分析、风险感知、一事一档综合展示。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预警列表展示</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将自动产生的预警，进行预警列表展示，显示预警详情信息。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199</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预警信息导出Excel</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支持单个预警警情信息导出，同时支持全部查询出来的预警信息导出Excel，导出信息包含：预警信息、接警信息、反馈信息、钉警情信息、钉警情反馈信息等。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预警列表头排序</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责任单位接收到办理要求后，对该预警数据进行反馈，支持多次反馈。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200</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在看板预警分析模块，支持对每条预警警情进行反馈，可以多次反馈，在看板上每条警情后面增加反馈入口，点击反馈，弹窗反馈页面，反馈保存后关闭窗口。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反馈信息支持上传附件。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201</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支持转为钉警情后，办理单位进行反馈以及回复，支持上传附件操作。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预警大屏展示</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态势预警分析，通过交通散点、热力图、事故圈、高频地址分析、风险感知、一事一档综合展示。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202</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审核通过、预警列表可以在大屏上展示，展示预警类型、预警内容、预警时间等。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标化接口</w:t>
            </w:r>
          </w:p>
        </w:tc>
        <w:tc>
          <w:tcPr>
            <w:tcW w:w="6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系统预留相关的接口，支持与公安、其他系统的对接，实现数据和系统的互联互通。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203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手机报警定位子系统</w:t>
            </w:r>
          </w:p>
        </w:tc>
        <w:tc>
          <w:tcPr>
            <w:tcW w:w="8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全省的移动手机、联通手机和电信手机的报警定位系统已经建成。接处警与指挥调度综合业务系统与手机定位系统采用TCP/IP SOCKET通信方式对接，实现定位信息在PGIS系统上显示。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8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Socket接口服务器数据编码为UTF-8，使用短连接，客户端请求定位时连接服务器，收到服务器返回的数据后应主动断开连接。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204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8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定位请求要在电话呼入设定的时间之内完成，超过设定时间的定位请求视为鉴权失败。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82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要区分语音报警定位请求和短信报警定位请求，在接警单流转后各单位的定位请求要通过流出地的相关信息进行鉴权和发送定位信息。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205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标签管理子系统</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民情标签</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接警民情标签</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110接处警客户端改造</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110接处警客户端获取已经构建完成的接警民情标签项，包含警情类别、警情类型、标签信息。当接警时警情要素中的警情类别或者警情类别/警情类型匹配上预设定的接警标签库，客户端自动进行弹窗接警提示，引导接警员按照接警流程开展接警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当接警员按照预设的标签引导进行勾选标签完成时，可以将接警民情标签提取到报警内容中，可以用于后期警情分析使用。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206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构建接警民情标签库</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将接警员勾选的接警民情标签入库，形成接警民情标签库。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反馈民情标签</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移动110接处警APP改造</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移动接处警APP获取已经构建完成的反馈民情标签项，包含反馈类别、反馈大类及关联的反馈标签信息。当现场反馈要素中反馈类别或者反馈类别/反馈大类匹配上预设定的反馈民情标签库，移动接处警app引导页面联动显示反馈民情步骤，引导出警民警按照出警流程开展出警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207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当出警民警按照预设的反馈标签进行选择完成时，可以将反馈民情标签项提取到现场反馈内容中，进行规范化流程反馈，同时用于后期警情分析使用。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构建反馈民情标签库</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将出警民警勾选的反馈民情标签入库，形成反馈民情标签库，供日后警情标签分析使用。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208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标签民情标签管理</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接警民情标签配置</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支持根据警情类别、警情类型预设不同的引导标签步骤。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支持接警民情增加空白标签、增加模版标签、启用及停用标签、查看接警民情标签详情。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209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同一类别/类型只能支持启用一个接警民情。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接警民情配置需支持文本框、单选框、复选框、横线填空等格式。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210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反馈民情标签配置</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支持根据反馈类别、反馈类型预设不同的反馈民情标签步骤。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支持反馈民情增加空白标签、增加模版标签、启用及停用标签、查看反馈民情标签详情。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211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同一反馈类别/类型只能支持启用一个反馈民情。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反馈民情配置需支持文本框、单选框、复选框、横线填空等格式。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212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警情标签</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接警警情标签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构建接警警情标签库</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将接警员勾选的接警警情标签入库，形成接警警情标签库。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反馈警情标签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构建反馈警情标签库</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将出警民警勾选的反馈警情标签入库，形成反馈警情标签库，供日后警情标签分析使用。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213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标签警情标签管理</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接警警情标签配置</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支持根据警情类别、警情类型预设不同的引导标签步骤。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支持接警警情增加空白标签、增加模版标签、启用及停用标签、查看接警警情标签详情。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214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同一类别/类型只能支持启用一个接警警情。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接警警情配置需支持文本框、单选框、复选框、横线填空等格式。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215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反馈警情标签配置</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支持根据反馈类别、反馈类型预设不同的反馈警情标签步骤。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支持反馈警情增加空白标签、增加模版标签、启用及停用标签、查看反馈警情标签详情。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216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同一反馈类别/类型只能支持启用一个反馈警情。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反馈警情配置需支持文本框、单选框、复选框、横线填空等格式。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217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地址标签</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接警地址标签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构建接警警情标签库</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将接警员勾选的接警地址标签入库，形成接警地址标签库。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反馈地址标签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构建反馈地址标签库</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将出警民警勾选的反馈地址标签入库，形成反馈地址标签库，供日后地址标签分析使用。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218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标签地址标签管理</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接警地址标签配置</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支持根据地址类别、地址类型预设不同的引导标签步骤。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支持接警地址增加空白标签、增加模版标签、启用及停用标签、查看接警地址标签详情。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219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同一类别/类型只能支持启用一个接警地址。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接警地址配置需支持文本框、单选框、复选框、横线填空等格式。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220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反馈地址标签配置</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支持根据反馈类别、反馈类型预设不同的反馈地址标签步骤。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支持反馈地址增加空白标签、增加模版标签、启用及停用标签、查看反馈地址标签详情。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221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同一反馈类别/类型只能支持启用一个反馈地址。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反馈地址配置需支持文本框、单选框、复选框、横线填空等格式。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222</w:t>
            </w:r>
          </w:p>
        </w:tc>
        <w:tc>
          <w:tcPr>
            <w:tcW w:w="27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渣土车、两客一危一货、重点违法人管理应用</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交警端中心平台登录</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浏览器版本检测</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用户打开平台服务地址后进入登录功能页面，此时平台会自动检测用户当前使用的PC操作系统和当前的浏览器版本，如不符合平台最佳体验推荐版本则会提示用户更新浏览器版本并提供下载链接。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下载中心</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登录功能页面提供下载中心入口地址用户可以从该地址进入平台下载中心下载操作手册、推荐浏览器。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223</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用户登录</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用户输入账号密码选择登录后调用接口校验用户信息校验通过后进入平台功能页面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工作台</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快捷入口</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每个用户登录平台后可以在快捷入口添加常用、删除常用的功能，添加完成后可以在快捷入口打开对应的功能。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224</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我的待办</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我的待办模块集中接收、展示平台推送给当前登录用户需要完成的任务，包括：待处置的预警、日常任务（例如：预警处置任务）等，用户选择任务项后直接跳转到对应任务界面。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消息中心</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消息中心模块接收显示平台发送给当前的用户的消息。消息内容包括：系统消息、临时发布消息、预警通知消息、预警处置任务逾期通知消息等。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225</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订阅配置模块</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对订阅的异常模型进行配置调整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预警订阅</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预警订阅模块展示当前登录平台的用户后订阅的监管模型实时产生的异常预警信息，点击预警信息将打开该预警的详细页面；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226</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警企云图</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重点对象保有量概览</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根据用户权限的不同，展示用户监管辖区及名下各个监管部门的重点车辆、重点驾驶人、重点企业动态保有量数据概览。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车辆类型分布</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展示管辖区域内已备案内重点车辆的总体分布情况以及各管辖单位的分布情况，可按照车辆类型或使用性质进行区分展示。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227</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辖区信息展示</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通过可视化全市缩略地图方式展示各中队辖区的地图样貌，以及各中队的重点对象相关监管信息。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车辆“三率”概览</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根据车辆类型的不同展示各个车辆类型的检验率、报废率、违法处理率情况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228</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驾驶人“两率”概览</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展示管辖区域内重点驾驶人的换证率、审验率情况。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预警云图</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可视化地图集成展示</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应用可视化地图监管模式，集成卡口、重点对象基础库等数据，可视化展示预警图层。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229</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处置措施下发</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通过实时预警台实时报道重点车辆预警信息，可通过人工判断该条预警信息是否有效，有效预警根据处置流程的配置，自动下发处置措施。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动态预警模型概览</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显示现有的动态预警模型的实时预警量及闭环处置量。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230</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静态预警模型概览</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显示现有的静态预警模型的实时预警量及闭环处置量。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管理部门/重点企业预警概览</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显示当前用户权限下管辖部门、监管重点企业的预警量。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231</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重点企业备案管理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重点企业信息管理获取</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系统自动获取六合一平台中重点企业基础数据，以及企业名下绑定的重点车辆和重点驾驶人数据。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企业备案管理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可查看企业内部维护的信息，并筛选数据，也可查询统计所有重点企业车辆数。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232</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六合一异常备案管理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对于在六合一平台，重点企业数据发生异常时，如组织机构代码与社会信用代码重复时，会自动显示出来，供交警参考，到六合一平台进行修正。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重点驾驶人备案管理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维护重点驾驶人数据，交警可以对管六合一驾驶人补充没有的字段，对辖区域内已备案的重点驾驶人进行管控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233</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查询系统内所有已备案的重点驾驶人信息。可以根据姓名、证件号码等条件查询指定驾驶人的基本信息。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重点车辆备案管理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自建库车辆备案</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交警自主备案外地登记重点车辆信息，支持通过人工录入涉嫌外地重点车辆信息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234</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园林绿化车备案</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 xml:space="preserve"> 对管辖区域内所有的园林绿化车进行登记，补充车辆备案信息，支持导入的功能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工程车信息维护</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对货运企业名下的车辆进行进行工程车车辆的标记和维护。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235</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牵引车挂车备案</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企业负责对辖区内名下的牵引车、挂车进行绑定，交警可以在平台上查看企业维护牵引车、挂车数据。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人车企备案管理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人车绑定</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支持将重点车辆与其所对应的驾驶人进行绑定/解绑操作；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236</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人车绑定信息查询</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可通过驾驶人及机动车对人车绑定信息进行查询。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人企绑定</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对于公交等企业，支持将重点驾驶人与其所属企业进行绑定/解绑操作，绑定后自动生成驾驶人与企业下所有车辆建立人车关系；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237</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人企绑定信息查询</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可通过人员和企业对人企绑定信息进行查询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牵引车与挂车绑定</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支持针对牵引车与挂车进行绑定管理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238</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牵引车与挂车查询</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支持针对牵引车与挂车绑定情况进行查询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绑定情况统计</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统计展示机动车的绑定情况，并可显示对应的列表明细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239</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智能预警</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预警量首页展示</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展示当前登录用户所在部门的今日预警量、历史预警量、今日预警中各类型业务预警量；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实施预警首页展现</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同时以时间轴形式展现当前登录用户所在部门发生的实时预警；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240</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预警数据下钻查询</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首页可以对各个区域的预警数据下钻查看详细信息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预警概览</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支持按部门、按模型对当前登录用户所在部门的当日预警进行分组聚合展示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241</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预警确认</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当前用户查看异常预警详细信息、预警回溯信息，对动态预警模型可进行判断是否为误报，如果确认属实则对异常预警进行确认操作。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异常预警处置流程创建</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预警信息确认后系统会自动根据产生预警信息的监管模型配置的处置流程创建一个异常预警处置流程。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242</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预警统计分析</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支持大队监管人员、各责任部门按指定的条件统计异常预警发生情况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模型配置</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模型的预警阈值、预警事件等级、事件严重程度分级指标进行配置，对模型的启停进行管理、对模型产生的预警是否需要确认进行开启关闭管理，为模型分配预警处置流程，对模型的摘要内容、模型描述内容进行修改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243</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静态模型分析</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重点车年检异常状态预警</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定时核查重点车辆年检状态，在发现重点车辆即将到期年检或已逾期未年检的状态时，进行预警。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重点车报废异常状态预警</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定时核查重点车辆报废状态，在发现重点车辆即将到期报废或已逾期未报废的状态时，进行预警。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244</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重点车违法处理状态预警</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定时核查重点车辆违法处理状态，在发现重点车辆存在长时间违法未处理的状态时，进行预警。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重点驾驶人换证异常状态预警</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定时核查重点驾驶人换证状态，在发现重点驾驶人即将到期换证或已逾期未换证的状态时，进行预警。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245</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重点驾驶人审验异常状态预警</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定时核查重点驾驶人审验状态，在发现重点驾驶人即将到期审验或已逾期未审验的状态时，进行预警。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驾驶人属地监管策略管理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核查企业名下车辆定的驾驶员如果是外地驾驶人，将在报警管理中进行预警。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246</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驾驶人属地数据接入</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从外部系统接入车辆档案数据信息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符合驾驶人属地预警驾驶人数据信息库</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根据驾驶人属地预警规则，建立预警驾驶人信息库。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247</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动态模型分析</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报废车辆上路预警</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对于逾期未报废的重点车上路后进行预警，支持对车辆的地图轨迹跟踪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逾期未检验车辆上路预警</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对于逾期未年检的重点车上路后进行预警，支持对车辆的地图轨迹跟踪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248</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处置管理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用户组管理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对用户组进行增删改操作，可以新建用户组并为用户组分配用户将这些用户组成一个虚拟小组，用户组与处置流程关联后有预警产生时用户组中的用户将会接收到处置流程要求完成的处置任务。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处置流程管理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用于对预警处置流程进行配置修改、启停操作，用户可以对指定的处置流程修改每个处置环节的名称，为每个处置环节分配用户组，设置每个处置环节的操作限时。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249</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预警处置任务生成</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平台根据监管模型配置的预警处置流程可自动生成预警处置任务，并将处置任务推送给指定的用户。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预警处置策略配置</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可定制预警处置策略，包括系统消息提醒、重点驾驶人重点企业短信提醒、重点企业的内部处置反馈、联动第三方系统进行车辆的处置跟踪。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250</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预警处置操作</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用户登录平台后查看需要本人处置的预警信息以及该环节需要本人完成的处置操作，用户可以使用上传附件功能上传相应的附件对处置任务进行辅助说明。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预警处置统计</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根据指定的时间条件统计当前平台中各业务种类、各部门的预警处置情况，包括预警总量、已处置量、待处置量。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251</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警企互动</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通知通告信息推送及签收</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针对交警部门需要下发给重点车企业的通知公告信息，可在本模块中对需要发送的信息进行编辑，选定需要发送的企业对象后进行统一发送。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信息上报</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下级别的交警用户可以通过信息上报功能向上级交警部门上传信息。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252</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重点监管信息推送</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交警部门可根据监管策略管理，在特定重点车辆、重点驾驶人出现异常状态、安全风险隐患时，及时将相关的预警级通报信息推送给所属的重点车企业。督促责任民警对相关企业进行走访、加强安全宣传教育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重点企业监管反馈</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责任民警可对企业走访、教育结果进行反馈上报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253</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辖区管理台账信息录入</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交警走访企业之后，通过填写走访信息以及上传相应照片形成管理台账记录。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辖区管理台账信息共享</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本地管理部门及上级管理部门均能调看台账信息。支持将台账设为企业可见，允许企业查看。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254</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辖区管理台账信息查询</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支持通过管辖单位、监管对象、监管时间、录入时间等条件查询台账记录。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宣传教育课件管理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新增宣教课件管理功能，民警可以上传课件供企业下载后供驾驶人学习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255</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数据研判</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重点对象动态违法预警分析</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系统对重点人车监管和重点车辆动态违法预警情况进行同比环比分析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重点对象“三率”态势分析</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系统对重点人车监管和重点车辆“三率”等态势情况分析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256</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重点车辆检验情况分析</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针对重点车辆的检验情况进行统计，分析筛选出逾期未检验的车辆信息。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重点车辆检验情况异常推送</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逾期未检验的车辆信息可推送给对应的重点车企业落实整改。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257</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重点车辆报废情况分析</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针对重点车辆的报废情况进行统计，分析筛选出逾期未报废的车辆信息。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重点车辆报废异常情况推送</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逾期未报废的车辆信息可推送给对应的重点车企业落实整改。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258</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重点车辆违法情况分析</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针对重点车辆的多次违法情况进行统计，分析筛选出多次违法未处理的车辆信息，</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整合全部重点车辆类型的违法情况分析。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重点车辆违法异常情况推送</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多次违法未处理的车辆信息可推送给对的重点车企业落实整改。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259</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重点驾驶人情况分析</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按驾驶证的准驾车型统计重点驾驶人的审验、换证情况。</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支持各个部门管辖辖区内持有A\B证驾驶人的保有量，逾期未审验、逾期未换证、满分未学习的情况分析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重点驾驶人异常情况推送</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重点驾驶人审验、换证异常情况可推送给对应的重点车企业落实整改。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260</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重点车企业推送反馈情况分析</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按辖区、企业类型等条件统计重点车企业接收交警推送信息签收及反馈情况。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重点对象管理工作分析报告</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重点对象数据统计分析结果、结合重点对象积分管理模型的计算结果，定期生成重点对象管控工作报告，展现重点车管理工作情况，包括整体工作情况、、存在重大安全隐患的企业名单、存在安全隐患的企业整改的内容等信息。系统可自动生成一份固定格式的报告文档，并支持将报告文档信息进行导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261</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重点车辆违法季度报告</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按季度生成汽车交通违法报表，包括客运、危化品运输、货物运输车辆、面包车交通违法情况等。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重点车辆事故季度报告</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按季度生成重点车辆事故基本情况，重点车辆如货运车辆、危化品运输车辆、公路客运、旅游客运、小型客车等事故发生情况。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262</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重点车辆交通管理工作数据分析报告</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按季度生成重点车辆和重点驾驶人安全隐患情况，如重点车辆检验报废总体情况等。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消息发布管理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对象模板管理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用于创建消息发布接收对象的目标，支持对对象模板进行新建、编辑、删除、启停用操作管理。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263</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消息模板管理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用于管理消息发布使用到的消息模板，支持对消息模板进行新建、编辑、删除、启停用操作管理。创建消息模板时需要录入模板名称、使用场景、用途说明同时录入需发布的消息内容，录入发布消息内容时可跟进需要添加相关的变量参数并对参数名称进行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创建消息临时发布任务</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临时发布功能用于创建消息临时发布任务并执行。创建发布任务时需要确定发布主题名称、消息发布渠道、发布前是否需要审核、选择任务执行频次、消息接收对象、消息内容。如选择发布前需要审核则定时发布任务执行生成消息后会进入待发布列表中，待有权限的用户进行发布审核后发布给对应的消息渠道的接收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264</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消息临时发布任务删除</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删除消息临时发布任务相关数据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消息临时发布任务编辑</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提供消息临时发布任务相关数据编辑功能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265</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消息临时发布历史任务查询</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支持查看每个发布任务发布的历史消息。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创建消息定时发布任务</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定时发布功能用于管理定时消息发布任务。创建发布任务时需要确定任务名称、任务用途、消息发布渠道、发布前是否需要审核、选择任务执行频次、消息接收对象、消息内容。如选择发布前需要审核则定时发布任务执行生成消息后会进入待发布列表中，待有权限的用户进行发布审核后发布给对应的消息渠道的接收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266</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消息定时发布任务删除</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删除消息定时发布任务相关数据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消息定时发布任务编辑</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提供消息定时发布任务相关数据编辑功能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267</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消息定时发布历史任务查询</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支持查看每个定时发布任务发布的历史消息。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消息发布审核</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发布审核功能用于对进入待发布列表的消息进行审核确认。审核通过则消息发布组件会按相应的渠道将消息发布给对应的接收人，如审核不通过则消息不会被发送并记录相关信息。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268</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基础管理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重点车类型管理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将不同使用性质、车辆类型的重点车进行定义，并统一划分至已定义的重点车大类下进行统一管理,方便查询与统计。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策略管理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该功能主要是对不同的重点对象配置各类不同管理策略，通过对重点对象策略管理的维护，实现对重点对象的统一配置和动静态监管。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269</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系统管理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用户管理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用于管理系统用户，新建系统用户并对系统用户进行授权、维护用户信息。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权限管理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对用户的权限分配进行分配和维护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270</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部门/机构管理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用于管理部门、机构信息，包括新增，删除，修改，查询。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参数管理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实现系统参数配置管理，提供查询、新增、删除参数。并可检索当前系统中的参数信息。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271</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日志管理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实现检索当前系统中的日志信息。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企业平台功能</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企业用户体系</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为每个重点企业开通独立用户体系，在用户管理中心进行创建，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272</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用户登录认证</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重点企业用户录入用户名、密码登录后，进行身份校验以及用户鉴权。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企业监管门户</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为企业用户提供内部的重点驾驶人、重点车辆的各类动静态监管数据、异常预警信息，方便企业能够快速掌握内部重点人、车的安全评分风险态势，直观的了解内部人、车的异常状态。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273</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消息接收</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对企业用户推送上级管辖单位下发的预警处置、通知通告等信息。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重点企业信息备案</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企业自主维护企业内部数据，除企业基础信息之外，还包括企业实际营运地址、企业名下停车场数量、停车场总面积、企业内部安全设施管理团队等信息。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274</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重点驾驶人备案管理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支持企业通过系统管理名下重点驾驶人，管理并查看驾驶人的基础信息。企业用户可自主录入已招聘的重点驾驶人，含本地或外地驾驶人的信息，通过上传招聘合同，验证重点驾驶人与企业之间的备案关系。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重点车辆备案管理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支持企业通过系统管理名下重点车辆，维护企业名下的挂靠车辆。企业用户可自主录入名下挂靠重点车辆，通过上传的数据，维护重点车辆与企业之间的备案关系。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275</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人车备案管理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支持企业用户通过系统，将名下的车辆及招聘的重点驾驶人进行绑定和解绑操作，维护人车之间的备案关系。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预警信息共享</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一旦企业名下的人、车发生异常情况预警，预警信息将同步到企业端，供企业及时了解内部人、车在路面上的异常通行情况，能够及时采取内部的处置措施，预防下次异常事件的发生。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276</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预警处置反馈</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对于需要内部处置，并反馈到交警管辖单位的预警，企业在内部进行处罚之后，可以在平台的预警处置反馈模块上，录入处置结果，完成预警-处置的闭环管理。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通知通告信息签收</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当交警给企业发送通知公告信息后，企业用户可在互联网端的系统上进行签收及查看通知。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277</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重点监管信息推送及反馈</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企业用户可接收并查看交警推送的各类重点监管对象的预警及通报信息，并可将处置结果反馈给交警部门。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辖区管理台账信息共享</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企业用户可以查看交警走访企业后上传的走访管理台账记录。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278</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驾驶人身份信息核查</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为企业用户提供驾驶人身份信息核查的服务功能。</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企业可将驾驶人的基本身份信息提交给系统，系统通过对接公安交通管理综合应用平台查询驾驶人的驾驶证信息、相关的违法/数据信息等，或是否有犯罪记录等结果数据，然后将查询信息返回给企业用户。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宣传教育课件管理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企业用户可以下载民警上传到平台的宣教课件，下载后供企业名下驾驶人学习。可以查看历史下载记录。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279</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重点对象管理工作分析报告</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结合平台内该企业名下车辆、驾驶人的预警信息等数据，定时生成企业内部的管理工作分析报告，供重点企业进行内部核查。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密码修改</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企业用户通过此功能可以修改企业Web端的平台登录密码。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280</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消息管理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企业端接收平台发送的各类消息，用户通过此功能可以监管平台发送给用户的各类消息包括预警通知消息、系统消息等。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交通事故写入平台应用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事故信息接入</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系统需实现与相关的事故系统对接，获取详细的事故基础数据，作为事故数据可视化分析的基础支撑。</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本次项目建设针对不同处理程序的事故，需实现与两个基础平台的数据对接。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281</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事故信息查询</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根据数据来源及事故处理程序的不同，提供不同的事故信息查询展示页面，包括便捷通事故信息和六合一事故信息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事故信息写入</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对接公安综合应用服务平台，从综合应用服务平台中获取驾驶人身份信息，机动车相关的信息，发生事故后可以通过接口将简易事故信息写入综合应用服务平台。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282</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接口检测费用</w:t>
            </w:r>
          </w:p>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（包含4年）</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公安交管综合应用平台事故数据接口全国统一检测费用（2年1次）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检测检测支持服务</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公安部交管局数据接口检测支持服务，包括材料费、交通费、人员技术支持等费用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283</w:t>
            </w:r>
          </w:p>
        </w:tc>
        <w:tc>
          <w:tcPr>
            <w:tcW w:w="27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事故处理相关业务部门数据互通流转应用模块</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数据对接</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保险公司数据共享接口</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为保险公司提供社保或公积金缴纳记录、交警事故认定书、驾驶证、行驶证等数据共享接口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保险公司数据获取</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从保险获取事故报案信息、查勘信息、定损信息、保单信息、交强险垫付情况数据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284</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残联数据数据查询</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为残联提供交通事故信息（状态）、报警时间、警情类型、报警电话等数据提供查询功能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残联数据获取</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从残联获取办理流程信息、因事故导致残疾人员数据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285</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人民法院数据查询</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为人民法院提供社保信息、交强险、商业险信息等数据查询功能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人民法院数据获取</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 xml:space="preserve">从法院获取法院的具体地址以及相关联系方式等情况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286</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司法局数据获取</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从司法局获取用户须知信息情况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市卫健委数据共享</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获取事故伤者个人身份信息资料、衢州市道路交通事故社会救助基金垫付通知书、事故说明数据，通过数据共享平台提供数据共享接口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287</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人社局数据共享</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从公安端、市卫健委获取事故医疗信息、人员身份信息、事故认定书数据，通过数据共享平台提供数据共享接口。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人社局数据获取</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从大数据局获取事故当事人社保、“工伤一件事”流程情况给到当事人。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288</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事故一站处理子系统</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登录用户选择</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针对已在事故共享后台绑定委托人的用户，支持被委托人通过选择委托人作为登录用户进行事故一站处理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事故信息查询</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系统根据获取到的浙里办实名信息通过列表的形式展现出来，包括事故形态、事故处理进度、事故时间和事故地点等信息。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289</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事故基本信息查看</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事故当事人可查看事故的基本信息，包括事故编号、事故日期、事故地点和当事人数等。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事故详细信息查看</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事故当事人可查看事故的详细信息，包括事故编号、事故时间、事故天气和事故地点等。在责任认定完成，当事人可通过浙里办查看认定书相关信息。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290</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事故处置流程评价</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事故当事人可事故处理的过程及结果进行满意度评价。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申请保险理赔</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提供事故保险理赔申请的功能，当事人填写理赔信息、上传理赔材料和理赔信息确认后，将相应的信息提交至保险公司。</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同时在当事人进行申请前，可查看相应的办理须知。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291</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申请垫付</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可根据事故的具体情况进行垫付信息的填写，填写完成后可立即提交至保险公司，进入垫付申请的流程。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理赔记录查询</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事故当事人可查询自己的理赔申请记录和垫付申请记录，包括申请填写的信息和上传的照片。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292</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垫付快速申请</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针对需要进行交通事故社会救助基金申请的用户，支持进入“浙里垫付”服务，进行垫付基金的一键申请和进度查询。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申请诉讼调解</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针对需要进行诉讼调解的用户，支持引导用户跳转至人民法院在线服务小程序，进行诉讼调解的申请。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293</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法律援助</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提供调解机构导航和在线咨询的功能，为事故当事人提供相应的法律援助。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司法鉴定</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提供防黄牛诈骗宣传提示的功能，可查看司法局面向群众提供的温馨提示。</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提供司法鉴定机构导航和在线咨询的功能，为当事人定位线下司法鉴定中心提供相应的服务。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294</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残疾证申请</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针对需要进行残疾证申请的用户，支持跳转至浙里办“南孔助残”服务，进行残疾证的快速申请和办理进度查询。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工伤信息查看</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支持通过浙里办查看“工伤一件事”流程信息。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295</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数据共享平台</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事故信息汇聚</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 xml:space="preserve">     对事故当事人的事故基础信息和相关业务的申请信息进行汇聚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事故信息查询</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 xml:space="preserve">    支持对事故当事人的事故基础信息和相关业务的申请信息的查询和查看。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296</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 xml:space="preserve">事故委托关系管理 </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 xml:space="preserve">支持管理员对当事人的委托关系进行管理，即实现当事人的所属委托人的绑定和解绑。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法院和司法局线下网点管理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 xml:space="preserve">支持管理员对法院和司法局的线下网点信息进行维护，包括网点名称、网点地址和网点电话。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297</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 xml:space="preserve">司法局宣传提示信息维护 </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支持管理员对司法局的防黄牛诈骗宣传温馨提示信息进行维护。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保险理赔申请须知信息维护</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支持管理员对保险理赔的申请须知等信息进行维护。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298</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保险理赔数据查询</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 xml:space="preserve">       支持保险公司进行理赔数据的查询，包括当事人的事故基础信息和提交的保险理赔申请信息。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保险公司机构信息维护</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支持各保险公司对自己的机构信息进行维护修改。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299</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道交中心数据共享平台</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 xml:space="preserve">     道交中心的相应负责人可通过后台配置的账号进行基础信息的查看，针对道交中心可以查看的数据进行展示。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数据共享服务支撑服务</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接口管理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提供接口配置模块，支持对可视化配置，配置完成后将作为向外部系统提供数据共享接口。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300</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接口的导入、导出</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支持通过文件方式导入和导出接口配置数据。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支持数据库查询接口</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支持数据库查询，选择数据源，自定义该数据源下的表查询，生成http接口。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301</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支持数据库写入接口</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支持数据库写入，选择数据源，自定义该数据源下的单表数据插入，生成http接口。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支持六合一接口</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支持六合一接口的接入，生成http接口。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302</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支持http中转接口</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支持其他http中转接口，生成http接口。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接口的分组</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支持对接口进行分组，可以根据分组查看接口列表。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303</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数据过滤</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对接口返回的数据进行过滤，对敏感数据进行脱敏。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接口调用测试</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对生成的接口进行调用测试，返回调用测试结果。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304</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接口调用统计以及调用详情查看</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统计当前接口所有的调用情况以及调用详情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外部访问应用管理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对调用接口的应用进行配置，可进行新增、删除、修改和查询，新增接口时系统生成应用鉴权的密钥。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305</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应用接口验证</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对调研数据接口调用进行安全验证，包括接口密钥、有效期、IP地址和调用次数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数据源管理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提供数据库配置模块，支持对多种类型数据库（Oracle、MySQL）的可视化配置接入，配置完成后将作为向外部系统提供数据共享服务的数据源。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306</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数据源连接测试</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对已有的数据源进行连接测试。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默认数据源切换</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对接口所对应的数据源进行切换。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307</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同步节点管理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对数据服务同步接口进行管理，可进行新增、删除、修改、查询，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查看接口调用日志以及调用详情</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查看接口调用日志以及该接口的调用详情，包括：调用的sql语句、外部接口或url、结果类型、输入参数、返回结果。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308</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日志查询</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提供日志查询功能，可通过查询条件对查询结果进行过滤。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数据字典类别管理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对数据字典进行新增、修改、删除、查询，可对字典类型详情进行查询。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309</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数据字典管理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对数据字典进行新增、修改、删除、查询，可对数据字典详情进行查询。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数据共享总体情况统计</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提供系统总体运行情况统计，包括数据源总数和有效数据总数、应用总数和启用应用总数、接口总数和启用接口总数和节点总数和有效节点总数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310</w:t>
            </w: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接口访问总体情况统计</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提供接口访问总体情况统计，包括按照刷新频率实时查看时间点接口的调用总数</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、通过时间拖动轴选择查看时间范围的接口调用情况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7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各接口访问情况统计</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根据各个接口查看当日被调用次数、失败次数、调用应用数和平均响应时间。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311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云裁决</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云处罚</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多端覆盖</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当事人：小程序、App</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前端交警/辅警：App</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后端交警：windows桌面客户端、App</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管理后台：公安内网PC浏览器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统一入口</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云处罚、云快办统一从微信小程序入口进入，被处罚人所有操作都在同一个小程序内完成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312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平台化架构</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底层数据、通信接口等面向平台化架构设计，方便后续功能扩展、升级和互通，实现多跨联动</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交警数据、辅警数据、违法人数据等由基础服务统一对各个具体应用提供，统一管理</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接口调用统一鉴权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系统组织划分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以区县大队为部署单位，各区县的系统相互独立</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支队可查看各个大队的各类数据，根据实际情况可设置大队相应权限</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中队账号由大队管理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313</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一对多视频呼叫</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前端位置地图实时显示</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后端交警可同时接听多个前端交警（当事人）视频呼叫</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前端呼叫既可以由当事人从小程序发起，也可以由现场交警从App发起（考虑当事人操作难度情况）</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每一路视频相互独立：视频画面、语音、视频录制等相互隔离</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后端交警可单独开关前端语音功能（默认静音）</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前端交警或当事人也可以开关语音功能</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前端交警或当事人可一键请求语音通话（连麦）</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连接成功，自动视频录制（视频画面、通话语音相互隔离）</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呼叫队列：后端交警实时查看呼叫队列，点击接听，也可以拒绝接听</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后端交警可主动结束视频通话</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前端也可以主动挂断</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通话结束后，自动保存视频</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可设置最多同时通话数量，达到最大数量后提示队列等待</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智能呼叫提醒功能</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状态标志：每路视频通话有丰富的各种状态标志，一目了然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现场执法人员信息绑定</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交警一人一码</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被处罚人小程序扫描交警二维码进行相关信息绑定</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自动连接交警所属大队监控中心</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只有成功绑定执法人员信息后才可以进行视频呼叫</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每次呼叫必须重新扫描绑定，一次扫描一次使用</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二维码防泄漏功能，通过截屏、拍照无法使用</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二维码防篡改功能</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可多个被处罚人同时扫描同一个二维码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314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智能化快捷信息录入</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基础信息自动输入</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自动定位违法低点</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图片、视频上传</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身份证信息OCR识别</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处罚决议书OCR识别（OCR服务均为本地化部署）</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支持一般程序处罚信息采集（滞留信息）</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动态更新：根据服务端配置动态更新</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快速开单：通过类型选择，省略基础信息输入</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不同类型显示不同的输入界面</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类型分组：便于查找</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便捷搜索：关键词搜索处罚类型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自适应环境匹配、角色选择</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以区县大队为一个系统环境，各个环境相互独立</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一个App，可以给多个环境、多个角色使用</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基于定位信息的自动环境匹配功能，免除手动设置环境</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环境手动切换：定位失败或特殊情况，可手动切换环境</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切换账号类型：辅警、交警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315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数据安全</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非必需，不使用外网资源</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所有数据实时同步到公安内网进行保存，外网只做少量数据的临时保存</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所有数据通信、存储都是使用加密</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本地化部署：对于第三方服务优先使用本地化部署方案</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内网数据保存180天，根据存储数据量进行安全删除</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重要数据多重异地备份</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数据脱敏</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完善的XSS防范及脚本过滤，彻底杜绝XSS攻击</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多层网络防护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一对一远程开罚单</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一键呼叫后端值班交警，请求视频连线，确认处罚事项</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前端交警位置实时地图显示</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通话视频全程多视角自动录制</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警官证显示</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法律条文自动宣读</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交警端可以视频呼叫辅警端App</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视频呼叫唤起功能：App进入后台后或锁屏时，收到视频呼叫时也可以被拉起</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可用于执法指挥系统</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配对后，App自动连接便携式蓝牙打印机</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收到后端交警开具的罚单数据后，App驱动蓝牙打印机，自动打印罚单的处罚人联和存档联</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可以按照六合一罚单样式一比一打印</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可打印执法交警的电子签名</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可打印罚单二维码</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前端辅警也可手动触发打印罚单</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打印结果自动实时反馈给后端交警</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罚单列表</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罚单详情：高仿真显示</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可通过不同条件搜索罚单记录</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具备消息推送功能</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未读信息标记</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已读状态发送者可见</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设备管理：蓝牙打印机管理</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一对一视频连线</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自动法律宣读</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违法信息展示：后端交警可可修改</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全程多视角视频自动录制</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罚单模板自动选择：根据违法信息，自动选择对应的罚单模板</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处罚结果输入</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罚单预览</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一键远程罚单打印：罚单数据发送至前端交警或辅警App，并驱动随时携带的蓝牙打印机打印罚单</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视频通话静音、挂断等常规操作</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一键发起视频呼叫（类似微信视频通话）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316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数据可视化</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前端交警/辅警实时位置地图显示</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呼叫列表：点击接听</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呼叫提示音智能播放</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地图辅警图标与最新呼叫联动闪烁：地图也会把中心移到当前呼叫人位置</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实时罚单记录</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近30天罚单数量统计图</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近12小时罚单数量统计图</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按罚单类型数量统计图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管理后台</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公安内网使用，数据通过网闸自动从外网同步到内网</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交警列表：可根据不同条件筛选</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人员信息：姓名、警号、手机号等</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根据当事人信息、执法人员信息、处罚决议书编号等信息快速调取案件相关信息，包括视频通话视频。</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增删改查操作</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最新位置</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历史轨迹：地图显示、可选择时间范围筛选</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账号禁用、开启</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人员列表：可根据不同条件筛选</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人员基本信息：姓名、警号、手机号等</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警官证：设置视频通过中展示的警官证</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电子签名：远程罚单打印时自动打印民警签名</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增删改查操作</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罚单列表：可根据不同条件筛选</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查询记录导出Excel</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增删改查操作</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可关联自动宣读录音</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完善的罚单打印样式标记系统：通过使用预定义的样式标记可以高度还原**通开具的原版罚单</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罚单模板管理：增删改查，支持拍照辅助录入</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系统用户管理；系统角色管理；角色权限管理</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部门管理：自定义部门及部门权限</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其它基础系统设置</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案件位置聚点图：根据地理位置，在地图上展示聚点图，对事故聚集地一目了然（可根据违法类型分类展示）</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按月、日的罚单数量统计图</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按类型划分的罚单数量统计图</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其他统计数据</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参数管理：对系统动态配置常用参数</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操作日志：重要操作日志记录</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登录日志：记录每次登录时间和IP地址</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字典管理：对系统中经常使用的一些较为固定的数据进行维护</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通知公告：系统通知公告信息发布维护</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系统设置：站点信息、缓存更新、个人信息管理等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317</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远程开罚单辅助功能</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主要是用于把**通开出的罚单的信息（如处罚决定书编号等）以数据形式同步到“云处罚”系统，在此基础可以实现罚单远程打印、统计等处理</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只需要拍照片即可实现，操作简单</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自动罚单模板匹配</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支持罚单二维码同步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常规视频通话功能</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可用于指挥平台</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基本功能类似微信视频通话功能</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警员通讯录</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一键呼叫前端交警或辅警</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呼叫记录</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来电唤起功能：App进入后台或熄屏状态下，有呼叫请求进来可以拉起App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318</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其他</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我的签名：可查看、修改电子签名</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设置：常规信息设置</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内嵌到指挥平台：需要技术对接</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独立的系统环境：服务器、数据库、中间件、视频服务</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个人信息设置</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自动检查版本更新</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自动更新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16"/>
                <w:szCs w:val="16"/>
                <w:u w:val="none"/>
                <w:lang w:val="en-US" w:eastAsia="zh-CN" w:bidi="ar"/>
              </w:rPr>
              <w:t>云快办</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身份认证</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首次使用需要进行身份验证，绑定身份证号码</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人脸识别身份认证：对接公安部数据</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人脸识别具备活体检测、防二次翻拍功能</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正常情况，只需第一次认证，以后进入不需要</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更换手机或使用环境发生改变，系统将强制再次进行人脸识别身份验证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319</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一般程序处罚自助处理申请</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微信小程序上操作，除身份认证外，无需其他特殊要求</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根据驾驶证号获取当事人未处理强制措施、违法通知书列表</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送达方式确认</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快速办理行政案件告知书确认</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自述材料录入</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证件上传：身份证、驾驶证、行驶证、保单等</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行政处罚告知书确认</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电子签名</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视频录制确认当前行为及信息</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可根据当事人不同选择，展示不同的信息表单</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一键提交</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在未进入“审核中”前，当事人可以修改提交的材料</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看在线查看处理进度及处理结果</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审核不通过，可查看驳回原因，修改后重新提交</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处罚裁决后，可在线查看处罚决议书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审核管理后台</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公安内网使用，外网申请数据自动同步到内网</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自助处理申请列表</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可根据不同条件进行筛选</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待处理列表</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申请详情页：当事人上传的所有材料</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驾驶证及车辆登记信息对比：根据驾驶证号和车牌号获取相关信息，方便审核人员核对提交的相关信息</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审核操作：通过、驳回，驳回后系统自动推送消息通知申请人进行修改重新提交</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处罚决议书自动同步：材料审核通过后，办案人员进入六合一系统对该案件进行裁决，云快办系统自动获取决议书，并推送给当事人。</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案件材料一键推送至省监管平台</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各类数据统计：案件总数、每月、每年统计，待处理案件数，案件分类统计，人员违法次数等</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案件位置聚点图：根据地理位置，在地图上展示聚点图，对事故聚集地一目了然（可根据违法类型分类展示）</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根据当事人信息、交警信息、处罚决议书编号等案件相关信息，快速调取案件数据。</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权限管理：定义权限组</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用户管理</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组织管理：可自定义各类部门（角色），分配不同权限</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反馈管理：查看处理小程序用户的各种反馈和问题</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个人信息管理：密码、个人信息等</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操作日志：重要操作日志记录</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登录日志：记录每次登录时间和IP地址</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字典管理：对系统中经常使用的一些较为固定的数据进行维护</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参数管理：对系统动态配置常用参数</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通知公告：系统通知公告信息发布维护</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系统设置：站点信息、缓存更新、皮肤、主题等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320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监管平台对接</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强制措施信息获取</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驾驶证及车辆信息获取</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把案件材料推送到监管平台</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获取案件处罚决议书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数据安全</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公安内网与外网通过公安网闸实现数据互通</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非必需，不使用外网资源</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所有数据实时同步到公安内网进行保存，外网只做少量数据的临时保存</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所有数据通信、存储都是使用加密</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本地化部署：对于第三方服务优先使用本地化部署方案</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重要数据多重异地备份</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内网数据保存180天，根据存储数据量进行安全删除</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数据脱敏</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完善的XSS防范及脚本过滤，彻底杜绝XSS攻击</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多层网络防护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321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消息列表</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各类消息：审核消息、通知消息</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消息详情；可从消息直接跳转只处理页面</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可设置已读标记；消息标题关键字搜索；可提交反馈和疑问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个人信息管理</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身份信息重新认证绑定</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查看当前绑定的身份信息</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头像等个人信息修改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322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技术服务维护</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技术服务维护内容：服务于江山市技术维护工作。质保时间3年。系统运维主要包含以下内容：</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1. 系统使用培训：为每个大队提供至少一次全面的使用培训服务，后期常规问题先通过电话、即时通讯工具等远程方式进行解答，确实有必要，则安排人员现场指导；</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2. 保障系统正常运行，定期检查系统运行状况，如接口响应时间、硬件资源占用情况、网络状况等；</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3. 问题及时响应：系统出现故障，第一时间响应，安排技术排查；</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4. 定期数据清理：系统日志、运行数据、业务数据等，超过设定时间后进行清理；</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5. 定期数据备份：根据不同安全等级，对数据进行1天、3天、7天的隔离备份；</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6. 网络安全：实时监控网络安全告警事件，对告警事件进行分级处理；</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7. 第三方服务用量及续费管理：避免因欠费或过期而影响系统正常运行；</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8. 小功能修改：维护期内，提供系统小范围功能（不超过5个工作日）的修改或新增服务；</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9. 技术咨询：为甲方提供云裁决相关的技术问题的咨询服务；</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10. 配合甲方完成人力、物力等承担能力范围内的其他工作。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5G视频接警系统</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融合话务系统</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支持对接原有底层呼叫中心系统，实现音视频分流，并支持2套系统混排能力；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323</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融合业务系统</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支持无缝割接，要求提供方支持适配原有业务系统电话条接口和管理系统的方案，不能使用供应方自有电话条系统，确保系统无缝割接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5G/VoLTE接入</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支持基于5G/VoLTE，不用安装任何客户端以及关注公众号等，即可一键接入，实现视频客服的功能；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324</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音视频起呼视频</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用户手机终端支持VoLTE/5G的时候，不管是语音接入的还是视频接入的，系统支持视频接入。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视频录制</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在坐席和客户的视频通话过程中，双方沟通的视频可以完整地录制下来，并且可以分为双方单独的录像以及合成之后的录像三个文件，来满足不同场景下的不同功能需求。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325</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视频下载/回放</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坐席和管理人员可以在页面进行视频的下载和回放。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IVVR交互系统</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将传统的语音IVR替换为视频IVR，让用户可以直观地看到能获取的服务信息，减少了繁琐的听完语音播放之后才知道要怎么做的过程。</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1.业务菜单交互</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支持数字按键方式，点击手机的数字键盘以选择对应业务类型或具体业务</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支持语音交互方式，用户说出对应的菜单数字或名称，系统自动识别并进入对应的业务。</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2.菜单层级</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根据实际业务要求，需至少支持三级菜单的交互。</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3.常见问题自动语音应答</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用户选择进入对应业务，系统根据用户说出的问题进行语音识别，从管理后台已配置的常见问题检索出对应答案，进行语音回答。</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4.客服评价</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提供主动评价入口，由用户选择对应的评价等级，系统记录评价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326</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人工视频交互系统</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客户如果在IVVR中不能获取需要的信息，也可以接入人工客服，与人工客服之间通过视频交互，实现真正的交互体验，更加快速直观地获取自己需要的服务。</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在人工视频的过程中，还可以实现：</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1. 同屏：在坐席和客户的沟通过程中，如果需要客户确认一些信息的话，坐席可以把桌面上让客户确认的区域同步推送给客户手机上，客户在手机上可以实时看到坐席的操作，从而提高交互效率和准确性。</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2. 文件/图片传输：在坐席和客户的沟通过程中，可以进行图片/文件的收发。</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3. 静音/取消静音：在坐席和客户的沟通过程中，如果不想让客户听到视频声音，可以选择只看视频不听声音，即静音；如果不需要静音的话，则“取消静音”即可。</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4. 多方视频：在坐席和客户交流过程中，如果坐席需要咨询第三方，则可以直接把第三方拉到视频会议中，形成三方或者多方视频，进行直接的沟通和交流。</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5. IM交互：在坐席和客户交流过程中，如果语音或者视频说不清楚，则可以直接嵌入IM，实现文字的直观展示。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四分屏会议系统</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提供多方会议功能，并支持四分屏能力，会议中所有人都可通过当前设备同时看到会议中的每个人，使业务办理支持动态视频展示能力，提高办事效率。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327</w:t>
            </w: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音视频混排能力</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可实现音频、视频和文本的混排能力，同一客服可服务三个渠道的用户咨询。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20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系统性能</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要求性能测试高并发情况下呼损率低于万分之一时的最大并发量，要求不小于4000并发；</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随机选取CTI集群某台服务器测评性能，呼损率小于万分之一时并发要达到2000及以上；</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随机选取IVR集群某台服务器测评性能，呼损率小于万分之一时并发要达到1500及以上；</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并发4000下，系统稳定运行24小时，呼损率不高于万分之一；</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系统内所有模块集群部署；</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两套环境A-A部署，可进行灾备切换演练；</w:t>
            </w:r>
          </w:p>
          <w:p>
            <w:pPr>
              <w:keepNext w:val="0"/>
              <w:keepLines w:val="0"/>
              <w:widowControl/>
              <w:suppressLineNumbers w:val="0"/>
              <w:jc w:val="left"/>
              <w:textAlignment w:val="center"/>
              <w:rPr>
                <w:rFonts w:hint="eastAsia" w:ascii="微软雅黑" w:hAnsi="微软雅黑" w:eastAsia="微软雅黑" w:cs="微软雅黑"/>
                <w:i w:val="0"/>
                <w:iCs w:val="0"/>
                <w:color w:val="auto"/>
                <w:kern w:val="0"/>
                <w:sz w:val="16"/>
                <w:szCs w:val="16"/>
                <w:u w:val="none"/>
                <w:lang w:val="en-US" w:eastAsia="zh-CN" w:bidi="ar"/>
              </w:rPr>
            </w:pPr>
            <w:r>
              <w:rPr>
                <w:rFonts w:hint="eastAsia" w:ascii="微软雅黑" w:hAnsi="微软雅黑" w:eastAsia="微软雅黑" w:cs="微软雅黑"/>
                <w:i w:val="0"/>
                <w:iCs w:val="0"/>
                <w:color w:val="auto"/>
                <w:kern w:val="0"/>
                <w:sz w:val="16"/>
                <w:szCs w:val="16"/>
                <w:u w:val="none"/>
                <w:lang w:val="en-US" w:eastAsia="zh-CN" w:bidi="ar"/>
              </w:rPr>
              <w:t>支持海光X86服务器、银河麒麟V10操作系统、TDSQL、适配统信、chrom内核浏览器；</w:t>
            </w:r>
          </w:p>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话务控件适配windows7、统信操作系统，UOS浏览器、Edge、chrome内核浏览器、IE11及以上版本；软电话适配windows7、统信操作系统；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328</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道路堵点预警</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对接互联网道路拥堵数据</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对接互联网地图道路拥堵数据，实时获取拥堵道路ID、道路名等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329</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安全服务</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等保测评</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三级等保测评服务</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公安网及视频专网应用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auto"/>
                <w:sz w:val="16"/>
                <w:szCs w:val="16"/>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二级等保测评服务</w:t>
            </w:r>
          </w:p>
        </w:tc>
        <w:tc>
          <w:tcPr>
            <w:tcW w:w="5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16"/>
                <w:szCs w:val="16"/>
                <w:u w:val="none"/>
              </w:rPr>
            </w:pPr>
            <w:r>
              <w:rPr>
                <w:rFonts w:hint="eastAsia" w:ascii="微软雅黑" w:hAnsi="微软雅黑" w:eastAsia="微软雅黑" w:cs="微软雅黑"/>
                <w:i w:val="0"/>
                <w:iCs w:val="0"/>
                <w:color w:val="auto"/>
                <w:kern w:val="0"/>
                <w:sz w:val="16"/>
                <w:szCs w:val="16"/>
                <w:u w:val="none"/>
                <w:lang w:val="en-US" w:eastAsia="zh-CN" w:bidi="ar"/>
              </w:rPr>
              <w:t>互联网应用</w:t>
            </w:r>
          </w:p>
        </w:tc>
      </w:tr>
    </w:tbl>
    <w:p>
      <w:pPr>
        <w:pStyle w:val="957"/>
        <w:numPr>
          <w:ilvl w:val="0"/>
          <w:numId w:val="0"/>
        </w:numPr>
        <w:bidi w:val="0"/>
        <w:ind w:leftChars="0"/>
        <w:rPr>
          <w:rFonts w:hint="eastAsia"/>
        </w:rPr>
      </w:pPr>
    </w:p>
    <w:p>
      <w:pPr>
        <w:rPr>
          <w:rFonts w:hint="eastAsia" w:ascii="仿宋" w:hAnsi="仿宋" w:eastAsia="仿宋" w:cs="仿宋"/>
          <w:b/>
          <w:sz w:val="36"/>
          <w:szCs w:val="20"/>
        </w:rPr>
      </w:pPr>
      <w:r>
        <w:rPr>
          <w:rFonts w:hint="eastAsia" w:ascii="仿宋" w:hAnsi="仿宋" w:eastAsia="仿宋" w:cs="仿宋"/>
          <w:b/>
          <w:sz w:val="36"/>
          <w:szCs w:val="20"/>
        </w:rPr>
        <w:br w:type="page"/>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 xml:space="preserve">第四部分 </w:t>
      </w:r>
      <w:bookmarkStart w:id="49" w:name="_Toc184308068"/>
      <w:bookmarkEnd w:id="49"/>
      <w:bookmarkStart w:id="50" w:name="_Toc184310335"/>
      <w:bookmarkEnd w:id="50"/>
      <w:bookmarkStart w:id="51" w:name="_Toc184312134"/>
      <w:bookmarkEnd w:id="51"/>
      <w:bookmarkStart w:id="52" w:name="_Toc184310312"/>
      <w:bookmarkEnd w:id="52"/>
      <w:bookmarkStart w:id="53" w:name="_Toc184312068"/>
      <w:bookmarkEnd w:id="53"/>
      <w:bookmarkStart w:id="54" w:name="_Toc184314424"/>
      <w:bookmarkEnd w:id="54"/>
      <w:bookmarkStart w:id="55" w:name="_Toc184312070"/>
      <w:bookmarkEnd w:id="55"/>
      <w:bookmarkStart w:id="56" w:name="_Toc184312103"/>
      <w:bookmarkEnd w:id="56"/>
      <w:bookmarkStart w:id="57" w:name="_Toc184308054"/>
      <w:bookmarkEnd w:id="57"/>
      <w:bookmarkStart w:id="58" w:name="_Toc184313273"/>
      <w:bookmarkEnd w:id="58"/>
      <w:bookmarkStart w:id="59" w:name="_Toc184308050"/>
      <w:bookmarkEnd w:id="59"/>
      <w:bookmarkStart w:id="60" w:name="_Toc184314448"/>
      <w:bookmarkEnd w:id="60"/>
      <w:bookmarkStart w:id="61" w:name="_Toc184310311"/>
      <w:bookmarkEnd w:id="61"/>
      <w:bookmarkStart w:id="62" w:name="_Toc184314479"/>
      <w:bookmarkEnd w:id="62"/>
      <w:bookmarkStart w:id="63" w:name="_Toc184308043"/>
      <w:bookmarkEnd w:id="63"/>
      <w:bookmarkStart w:id="64" w:name="_Toc184312084"/>
      <w:bookmarkEnd w:id="64"/>
      <w:bookmarkStart w:id="65" w:name="_Toc184312139"/>
      <w:bookmarkEnd w:id="65"/>
      <w:bookmarkStart w:id="66" w:name="_Toc184310310"/>
      <w:bookmarkEnd w:id="66"/>
      <w:bookmarkStart w:id="67" w:name="_Toc184312094"/>
      <w:bookmarkEnd w:id="67"/>
      <w:bookmarkStart w:id="68" w:name="_Toc184314419"/>
      <w:bookmarkEnd w:id="68"/>
      <w:bookmarkStart w:id="69" w:name="_Toc184312087"/>
      <w:bookmarkEnd w:id="69"/>
      <w:bookmarkStart w:id="70" w:name="_Toc184312119"/>
      <w:bookmarkEnd w:id="70"/>
      <w:bookmarkStart w:id="71" w:name="_Toc184308066"/>
      <w:bookmarkEnd w:id="71"/>
      <w:bookmarkStart w:id="72" w:name="_Toc184313292"/>
      <w:bookmarkEnd w:id="72"/>
      <w:bookmarkStart w:id="73" w:name="_Toc184310272"/>
      <w:bookmarkEnd w:id="73"/>
      <w:bookmarkStart w:id="74" w:name="_Toc184312122"/>
      <w:bookmarkEnd w:id="74"/>
      <w:bookmarkStart w:id="75" w:name="_Toc184310328"/>
      <w:bookmarkEnd w:id="75"/>
      <w:bookmarkStart w:id="76" w:name="_Toc184310292"/>
      <w:bookmarkEnd w:id="76"/>
      <w:bookmarkStart w:id="77" w:name="_Toc184313286"/>
      <w:bookmarkEnd w:id="77"/>
      <w:bookmarkStart w:id="78" w:name="_Toc184310287"/>
      <w:bookmarkEnd w:id="78"/>
      <w:bookmarkStart w:id="79" w:name="_Toc184308062"/>
      <w:bookmarkEnd w:id="79"/>
      <w:bookmarkStart w:id="80" w:name="_Toc184310299"/>
      <w:bookmarkEnd w:id="80"/>
      <w:bookmarkStart w:id="81" w:name="_Toc184312110"/>
      <w:bookmarkEnd w:id="81"/>
      <w:bookmarkStart w:id="82" w:name="_Toc184308075"/>
      <w:bookmarkEnd w:id="82"/>
      <w:bookmarkStart w:id="83" w:name="_Toc184314431"/>
      <w:bookmarkEnd w:id="83"/>
      <w:bookmarkStart w:id="84" w:name="_Toc184314472"/>
      <w:bookmarkEnd w:id="84"/>
      <w:bookmarkStart w:id="85" w:name="_Toc184314426"/>
      <w:bookmarkEnd w:id="85"/>
      <w:bookmarkStart w:id="86" w:name="_Toc184308064"/>
      <w:bookmarkEnd w:id="86"/>
      <w:bookmarkStart w:id="87" w:name="_Toc184308060"/>
      <w:bookmarkEnd w:id="87"/>
      <w:bookmarkStart w:id="88" w:name="_Toc184314423"/>
      <w:bookmarkEnd w:id="88"/>
      <w:bookmarkStart w:id="89" w:name="_Toc184314441"/>
      <w:bookmarkEnd w:id="89"/>
      <w:bookmarkStart w:id="90" w:name="_Toc184314437"/>
      <w:bookmarkEnd w:id="90"/>
      <w:bookmarkStart w:id="91" w:name="_Toc184313303"/>
      <w:bookmarkEnd w:id="91"/>
      <w:bookmarkStart w:id="92" w:name="_Toc184310333"/>
      <w:bookmarkEnd w:id="92"/>
      <w:bookmarkStart w:id="93" w:name="_Toc184312095"/>
      <w:bookmarkEnd w:id="93"/>
      <w:bookmarkStart w:id="94" w:name="_Toc184308042"/>
      <w:bookmarkEnd w:id="94"/>
      <w:bookmarkStart w:id="95" w:name="_Toc184308057"/>
      <w:bookmarkEnd w:id="95"/>
      <w:bookmarkStart w:id="96" w:name="_Toc184308045"/>
      <w:bookmarkEnd w:id="96"/>
      <w:bookmarkStart w:id="97" w:name="_Toc184313284"/>
      <w:bookmarkEnd w:id="97"/>
      <w:bookmarkStart w:id="98" w:name="_Toc184310308"/>
      <w:bookmarkEnd w:id="98"/>
      <w:bookmarkStart w:id="99" w:name="_Toc184312129"/>
      <w:bookmarkEnd w:id="99"/>
      <w:bookmarkStart w:id="100" w:name="_Toc184312076"/>
      <w:bookmarkEnd w:id="100"/>
      <w:bookmarkStart w:id="101" w:name="_Toc184314443"/>
      <w:bookmarkEnd w:id="101"/>
      <w:bookmarkStart w:id="102" w:name="_Toc184308040"/>
      <w:bookmarkEnd w:id="102"/>
      <w:bookmarkStart w:id="103" w:name="_Toc184313305"/>
      <w:bookmarkEnd w:id="103"/>
      <w:bookmarkStart w:id="104" w:name="_Toc184308061"/>
      <w:bookmarkEnd w:id="104"/>
      <w:bookmarkStart w:id="105" w:name="_Toc184310280"/>
      <w:bookmarkEnd w:id="105"/>
      <w:bookmarkStart w:id="106" w:name="_Toc184310293"/>
      <w:bookmarkEnd w:id="106"/>
      <w:bookmarkStart w:id="107" w:name="_Toc184312083"/>
      <w:bookmarkEnd w:id="107"/>
      <w:bookmarkStart w:id="108" w:name="_Toc184310313"/>
      <w:bookmarkEnd w:id="108"/>
      <w:bookmarkStart w:id="109" w:name="_Toc184313252"/>
      <w:bookmarkEnd w:id="109"/>
      <w:bookmarkStart w:id="110" w:name="_Toc184312073"/>
      <w:bookmarkEnd w:id="110"/>
      <w:bookmarkStart w:id="111" w:name="_Toc184312099"/>
      <w:bookmarkEnd w:id="111"/>
      <w:bookmarkStart w:id="112" w:name="_Toc184313265"/>
      <w:bookmarkEnd w:id="112"/>
      <w:bookmarkStart w:id="113" w:name="_Toc184312102"/>
      <w:bookmarkEnd w:id="113"/>
      <w:bookmarkStart w:id="114" w:name="_Toc184310290"/>
      <w:bookmarkEnd w:id="114"/>
      <w:bookmarkStart w:id="115" w:name="_Toc184308080"/>
      <w:bookmarkEnd w:id="115"/>
      <w:bookmarkStart w:id="116" w:name="_Toc184312125"/>
      <w:bookmarkEnd w:id="116"/>
      <w:bookmarkStart w:id="117" w:name="_Toc184313267"/>
      <w:bookmarkEnd w:id="117"/>
      <w:bookmarkStart w:id="118" w:name="_Toc184313253"/>
      <w:bookmarkEnd w:id="118"/>
      <w:bookmarkStart w:id="119" w:name="_Toc184308082"/>
      <w:bookmarkEnd w:id="119"/>
      <w:bookmarkStart w:id="120" w:name="_Toc184312097"/>
      <w:bookmarkEnd w:id="120"/>
      <w:bookmarkStart w:id="121" w:name="_Toc184314469"/>
      <w:bookmarkEnd w:id="121"/>
      <w:bookmarkStart w:id="122" w:name="_Toc184310309"/>
      <w:bookmarkEnd w:id="122"/>
      <w:bookmarkStart w:id="123" w:name="_Toc184308099"/>
      <w:bookmarkEnd w:id="123"/>
      <w:bookmarkStart w:id="124" w:name="_Toc184313278"/>
      <w:bookmarkEnd w:id="124"/>
      <w:bookmarkStart w:id="125" w:name="_Toc184313277"/>
      <w:bookmarkEnd w:id="125"/>
      <w:bookmarkStart w:id="126" w:name="_Toc184313276"/>
      <w:bookmarkEnd w:id="126"/>
      <w:bookmarkStart w:id="127" w:name="_Toc184313261"/>
      <w:bookmarkEnd w:id="127"/>
      <w:bookmarkStart w:id="128" w:name="_Toc184308108"/>
      <w:bookmarkEnd w:id="128"/>
      <w:bookmarkStart w:id="129" w:name="_Toc184314477"/>
      <w:bookmarkEnd w:id="129"/>
      <w:bookmarkStart w:id="130" w:name="_Toc184308088"/>
      <w:bookmarkEnd w:id="130"/>
      <w:bookmarkStart w:id="131" w:name="_Toc184313309"/>
      <w:bookmarkEnd w:id="131"/>
      <w:bookmarkStart w:id="132" w:name="_Toc184312086"/>
      <w:bookmarkEnd w:id="132"/>
      <w:bookmarkStart w:id="133" w:name="_Toc184312133"/>
      <w:bookmarkEnd w:id="133"/>
      <w:bookmarkStart w:id="134" w:name="_Toc184312101"/>
      <w:bookmarkEnd w:id="134"/>
      <w:bookmarkStart w:id="135" w:name="_Toc184312114"/>
      <w:bookmarkEnd w:id="135"/>
      <w:bookmarkStart w:id="136" w:name="_Toc184308081"/>
      <w:bookmarkEnd w:id="136"/>
      <w:bookmarkStart w:id="137" w:name="_Toc184310298"/>
      <w:bookmarkEnd w:id="137"/>
      <w:bookmarkStart w:id="138" w:name="_Toc184313285"/>
      <w:bookmarkEnd w:id="138"/>
      <w:bookmarkStart w:id="139" w:name="_Toc184313247"/>
      <w:bookmarkEnd w:id="139"/>
      <w:bookmarkStart w:id="140" w:name="_Toc184314457"/>
      <w:bookmarkEnd w:id="140"/>
      <w:bookmarkStart w:id="141" w:name="_Toc184310275"/>
      <w:bookmarkEnd w:id="141"/>
      <w:bookmarkStart w:id="142" w:name="_Toc184308036"/>
      <w:bookmarkEnd w:id="142"/>
      <w:bookmarkStart w:id="143" w:name="_Toc184314420"/>
      <w:bookmarkEnd w:id="143"/>
      <w:bookmarkStart w:id="144" w:name="_Toc184314442"/>
      <w:bookmarkEnd w:id="144"/>
      <w:bookmarkStart w:id="145" w:name="_Toc184310277"/>
      <w:bookmarkEnd w:id="145"/>
      <w:bookmarkStart w:id="146" w:name="_Toc184314411"/>
      <w:bookmarkEnd w:id="146"/>
      <w:bookmarkStart w:id="147" w:name="_Toc184313291"/>
      <w:bookmarkEnd w:id="147"/>
      <w:bookmarkStart w:id="148" w:name="_Toc184310282"/>
      <w:bookmarkEnd w:id="148"/>
      <w:bookmarkStart w:id="149" w:name="_Toc184310291"/>
      <w:bookmarkEnd w:id="149"/>
      <w:bookmarkStart w:id="150" w:name="_Toc184314435"/>
      <w:bookmarkEnd w:id="150"/>
      <w:bookmarkStart w:id="151" w:name="_Toc184312089"/>
      <w:bookmarkEnd w:id="151"/>
      <w:bookmarkStart w:id="152" w:name="_Toc184312109"/>
      <w:bookmarkEnd w:id="152"/>
      <w:bookmarkStart w:id="153" w:name="_Toc184312137"/>
      <w:bookmarkEnd w:id="153"/>
      <w:bookmarkStart w:id="154" w:name="_Toc184312113"/>
      <w:bookmarkEnd w:id="154"/>
      <w:bookmarkStart w:id="155" w:name="_Toc184314459"/>
      <w:bookmarkEnd w:id="155"/>
      <w:bookmarkStart w:id="156" w:name="_Toc184308096"/>
      <w:bookmarkEnd w:id="156"/>
      <w:bookmarkStart w:id="157" w:name="_Toc184310321"/>
      <w:bookmarkEnd w:id="157"/>
      <w:bookmarkStart w:id="158" w:name="_Toc184312106"/>
      <w:bookmarkEnd w:id="158"/>
      <w:bookmarkStart w:id="159" w:name="_Toc184313238"/>
      <w:bookmarkEnd w:id="159"/>
      <w:bookmarkStart w:id="160" w:name="_Toc184308095"/>
      <w:bookmarkEnd w:id="160"/>
      <w:bookmarkStart w:id="161" w:name="_Toc184313245"/>
      <w:bookmarkEnd w:id="161"/>
      <w:bookmarkStart w:id="162" w:name="_Toc184312079"/>
      <w:bookmarkEnd w:id="162"/>
      <w:bookmarkStart w:id="163" w:name="_Toc184308037"/>
      <w:bookmarkEnd w:id="163"/>
      <w:bookmarkStart w:id="164" w:name="_Toc184314427"/>
      <w:bookmarkEnd w:id="164"/>
      <w:bookmarkStart w:id="165" w:name="_Toc184312136"/>
      <w:bookmarkEnd w:id="165"/>
      <w:bookmarkStart w:id="166" w:name="_Toc184313282"/>
      <w:bookmarkEnd w:id="166"/>
      <w:bookmarkStart w:id="167" w:name="_Toc184313258"/>
      <w:bookmarkEnd w:id="167"/>
      <w:bookmarkStart w:id="168" w:name="_Toc184314456"/>
      <w:bookmarkEnd w:id="168"/>
      <w:bookmarkStart w:id="169" w:name="_Toc184314413"/>
      <w:bookmarkEnd w:id="169"/>
      <w:bookmarkStart w:id="170" w:name="_Toc184308097"/>
      <w:bookmarkEnd w:id="170"/>
      <w:bookmarkStart w:id="171" w:name="_Toc184310297"/>
      <w:bookmarkEnd w:id="171"/>
      <w:bookmarkStart w:id="172" w:name="_Toc184314481"/>
      <w:bookmarkEnd w:id="172"/>
      <w:bookmarkStart w:id="173" w:name="_Toc184314467"/>
      <w:bookmarkEnd w:id="173"/>
      <w:bookmarkStart w:id="174" w:name="_Toc184314422"/>
      <w:bookmarkEnd w:id="174"/>
      <w:bookmarkStart w:id="175" w:name="_Toc184310336"/>
      <w:bookmarkEnd w:id="175"/>
      <w:bookmarkStart w:id="176" w:name="_Toc184313304"/>
      <w:bookmarkEnd w:id="176"/>
      <w:bookmarkStart w:id="177" w:name="_Toc184313275"/>
      <w:bookmarkEnd w:id="177"/>
      <w:bookmarkStart w:id="178" w:name="_Toc184310283"/>
      <w:bookmarkEnd w:id="178"/>
      <w:bookmarkStart w:id="179" w:name="_Toc184308041"/>
      <w:bookmarkEnd w:id="179"/>
      <w:bookmarkStart w:id="180" w:name="_Toc184310320"/>
      <w:bookmarkEnd w:id="180"/>
      <w:bookmarkStart w:id="181" w:name="_Toc184308046"/>
      <w:bookmarkEnd w:id="181"/>
      <w:bookmarkStart w:id="182" w:name="_Toc184308101"/>
      <w:bookmarkEnd w:id="182"/>
      <w:bookmarkStart w:id="183" w:name="_Toc184308104"/>
      <w:bookmarkEnd w:id="183"/>
      <w:bookmarkStart w:id="184" w:name="_Toc184310314"/>
      <w:bookmarkEnd w:id="184"/>
      <w:bookmarkStart w:id="185" w:name="_Toc184312092"/>
      <w:bookmarkEnd w:id="185"/>
      <w:bookmarkStart w:id="186" w:name="_Toc184314429"/>
      <w:bookmarkEnd w:id="186"/>
      <w:bookmarkStart w:id="187" w:name="_Toc184310326"/>
      <w:bookmarkEnd w:id="187"/>
      <w:bookmarkStart w:id="188" w:name="_Toc184313301"/>
      <w:bookmarkEnd w:id="188"/>
      <w:bookmarkStart w:id="189" w:name="_Toc184308094"/>
      <w:bookmarkEnd w:id="189"/>
      <w:bookmarkStart w:id="190" w:name="_Toc184313293"/>
      <w:bookmarkEnd w:id="190"/>
      <w:bookmarkStart w:id="191" w:name="_Toc184313296"/>
      <w:bookmarkEnd w:id="191"/>
      <w:bookmarkStart w:id="192" w:name="_Toc184310342"/>
      <w:bookmarkEnd w:id="192"/>
      <w:bookmarkStart w:id="193" w:name="_Toc184314421"/>
      <w:bookmarkEnd w:id="193"/>
      <w:bookmarkStart w:id="194" w:name="_Toc184314460"/>
      <w:bookmarkEnd w:id="194"/>
      <w:bookmarkStart w:id="195" w:name="_Toc184308079"/>
      <w:bookmarkEnd w:id="195"/>
      <w:bookmarkStart w:id="196" w:name="_Toc184310340"/>
      <w:bookmarkEnd w:id="196"/>
      <w:bookmarkStart w:id="197" w:name="_Toc184314438"/>
      <w:bookmarkEnd w:id="197"/>
      <w:bookmarkStart w:id="198" w:name="_Toc184312132"/>
      <w:bookmarkEnd w:id="198"/>
      <w:bookmarkStart w:id="199" w:name="_Toc184308049"/>
      <w:bookmarkEnd w:id="199"/>
      <w:bookmarkStart w:id="200" w:name="_Toc184313262"/>
      <w:bookmarkEnd w:id="200"/>
      <w:bookmarkStart w:id="201" w:name="_Toc184312128"/>
      <w:bookmarkEnd w:id="201"/>
      <w:bookmarkStart w:id="202" w:name="_Toc184310327"/>
      <w:bookmarkEnd w:id="202"/>
      <w:bookmarkStart w:id="203" w:name="_Toc184310332"/>
      <w:bookmarkEnd w:id="203"/>
      <w:bookmarkStart w:id="204" w:name="_Toc184314468"/>
      <w:bookmarkEnd w:id="204"/>
      <w:bookmarkStart w:id="205" w:name="_Toc184312091"/>
      <w:bookmarkEnd w:id="205"/>
      <w:bookmarkStart w:id="206" w:name="_Toc184312093"/>
      <w:bookmarkEnd w:id="206"/>
      <w:bookmarkStart w:id="207" w:name="_Toc184314418"/>
      <w:bookmarkEnd w:id="207"/>
      <w:bookmarkStart w:id="208" w:name="_Toc184308098"/>
      <w:bookmarkEnd w:id="208"/>
      <w:bookmarkStart w:id="209" w:name="_Toc184310329"/>
      <w:bookmarkEnd w:id="209"/>
      <w:bookmarkStart w:id="210" w:name="_Toc184312126"/>
      <w:bookmarkEnd w:id="210"/>
      <w:bookmarkStart w:id="211" w:name="_Toc184313279"/>
      <w:bookmarkEnd w:id="211"/>
      <w:bookmarkStart w:id="212" w:name="_Toc184308107"/>
      <w:bookmarkEnd w:id="212"/>
      <w:bookmarkStart w:id="213" w:name="_Toc184313243"/>
      <w:bookmarkEnd w:id="213"/>
      <w:bookmarkStart w:id="214" w:name="_Toc184312067"/>
      <w:bookmarkEnd w:id="214"/>
      <w:bookmarkStart w:id="215" w:name="_Toc184313251"/>
      <w:bookmarkEnd w:id="215"/>
      <w:bookmarkStart w:id="216" w:name="_Toc184312124"/>
      <w:bookmarkEnd w:id="216"/>
      <w:bookmarkStart w:id="217" w:name="_Toc184308087"/>
      <w:bookmarkEnd w:id="217"/>
      <w:bookmarkStart w:id="218" w:name="_Toc184308103"/>
      <w:bookmarkEnd w:id="218"/>
      <w:bookmarkStart w:id="219" w:name="_Toc184314463"/>
      <w:bookmarkEnd w:id="219"/>
      <w:bookmarkStart w:id="220" w:name="_Toc184308058"/>
      <w:bookmarkEnd w:id="220"/>
      <w:bookmarkStart w:id="221" w:name="_Toc184313297"/>
      <w:bookmarkEnd w:id="221"/>
      <w:bookmarkStart w:id="222" w:name="_Toc184313288"/>
      <w:bookmarkEnd w:id="222"/>
      <w:bookmarkStart w:id="223" w:name="_Toc184310303"/>
      <w:bookmarkEnd w:id="223"/>
      <w:bookmarkStart w:id="224" w:name="_Toc184308069"/>
      <w:bookmarkEnd w:id="224"/>
      <w:bookmarkStart w:id="225" w:name="_Toc184312069"/>
      <w:bookmarkEnd w:id="225"/>
      <w:bookmarkStart w:id="226" w:name="_Toc184313241"/>
      <w:bookmarkEnd w:id="226"/>
      <w:bookmarkStart w:id="227" w:name="_Toc184312105"/>
      <w:bookmarkEnd w:id="227"/>
      <w:bookmarkStart w:id="228" w:name="_Toc184314434"/>
      <w:bookmarkEnd w:id="228"/>
      <w:bookmarkStart w:id="229" w:name="_Toc184312121"/>
      <w:bookmarkEnd w:id="229"/>
      <w:bookmarkStart w:id="230" w:name="_Toc184308072"/>
      <w:bookmarkEnd w:id="230"/>
      <w:bookmarkStart w:id="231" w:name="_Toc184314452"/>
      <w:bookmarkEnd w:id="231"/>
      <w:bookmarkStart w:id="232" w:name="_Toc184308089"/>
      <w:bookmarkEnd w:id="232"/>
      <w:bookmarkStart w:id="233" w:name="_Toc184313302"/>
      <w:bookmarkEnd w:id="233"/>
      <w:bookmarkStart w:id="234" w:name="_Toc184314464"/>
      <w:bookmarkEnd w:id="234"/>
      <w:bookmarkStart w:id="235" w:name="_Toc184313242"/>
      <w:bookmarkEnd w:id="235"/>
      <w:bookmarkStart w:id="236" w:name="_Toc184314445"/>
      <w:bookmarkEnd w:id="236"/>
      <w:bookmarkStart w:id="237" w:name="_Toc184310339"/>
      <w:bookmarkEnd w:id="237"/>
      <w:bookmarkStart w:id="238" w:name="_Toc184310294"/>
      <w:bookmarkEnd w:id="238"/>
      <w:bookmarkStart w:id="239" w:name="_Toc184312108"/>
      <w:bookmarkEnd w:id="239"/>
      <w:bookmarkStart w:id="240" w:name="_Toc184310288"/>
      <w:bookmarkEnd w:id="240"/>
      <w:bookmarkStart w:id="241" w:name="_Toc184310300"/>
      <w:bookmarkEnd w:id="241"/>
      <w:bookmarkStart w:id="242" w:name="_Toc184312080"/>
      <w:bookmarkEnd w:id="242"/>
      <w:bookmarkStart w:id="243" w:name="_Toc184308077"/>
      <w:bookmarkEnd w:id="243"/>
      <w:bookmarkStart w:id="244" w:name="_Toc184310284"/>
      <w:bookmarkEnd w:id="244"/>
      <w:bookmarkStart w:id="245" w:name="_Toc184312100"/>
      <w:bookmarkEnd w:id="245"/>
      <w:bookmarkStart w:id="246" w:name="_Toc184310304"/>
      <w:bookmarkEnd w:id="246"/>
      <w:bookmarkStart w:id="247" w:name="_Toc184310289"/>
      <w:bookmarkEnd w:id="247"/>
      <w:bookmarkStart w:id="248" w:name="_Toc184313257"/>
      <w:bookmarkEnd w:id="248"/>
      <w:bookmarkStart w:id="249" w:name="_Toc184308076"/>
      <w:bookmarkEnd w:id="249"/>
      <w:bookmarkStart w:id="250" w:name="_Toc184310273"/>
      <w:bookmarkEnd w:id="250"/>
      <w:bookmarkStart w:id="251" w:name="_Toc184308092"/>
      <w:bookmarkEnd w:id="251"/>
      <w:bookmarkStart w:id="252" w:name="_Toc184313290"/>
      <w:bookmarkEnd w:id="252"/>
      <w:bookmarkStart w:id="253" w:name="_Toc184310334"/>
      <w:bookmarkEnd w:id="253"/>
      <w:bookmarkStart w:id="254" w:name="_Toc184313307"/>
      <w:bookmarkEnd w:id="254"/>
      <w:bookmarkStart w:id="255" w:name="_Toc184314455"/>
      <w:bookmarkEnd w:id="255"/>
      <w:bookmarkStart w:id="256" w:name="_Toc184310330"/>
      <w:bookmarkEnd w:id="256"/>
      <w:bookmarkStart w:id="257" w:name="_Toc184314470"/>
      <w:bookmarkEnd w:id="257"/>
      <w:bookmarkStart w:id="258" w:name="_Toc184312071"/>
      <w:bookmarkEnd w:id="258"/>
      <w:bookmarkStart w:id="259" w:name="_Toc184312107"/>
      <w:bookmarkEnd w:id="259"/>
      <w:bookmarkStart w:id="260" w:name="_Toc184312138"/>
      <w:bookmarkEnd w:id="260"/>
      <w:bookmarkStart w:id="261" w:name="_Toc184314412"/>
      <w:bookmarkEnd w:id="261"/>
      <w:bookmarkStart w:id="262" w:name="_Toc184310318"/>
      <w:bookmarkEnd w:id="262"/>
      <w:bookmarkStart w:id="263" w:name="_Toc184308074"/>
      <w:bookmarkEnd w:id="263"/>
      <w:bookmarkStart w:id="264" w:name="_Toc184310331"/>
      <w:bookmarkEnd w:id="264"/>
      <w:bookmarkStart w:id="265" w:name="_Toc184310343"/>
      <w:bookmarkEnd w:id="265"/>
      <w:bookmarkStart w:id="266" w:name="_Toc184314480"/>
      <w:bookmarkEnd w:id="266"/>
      <w:bookmarkStart w:id="267" w:name="_Toc184314436"/>
      <w:bookmarkEnd w:id="267"/>
      <w:bookmarkStart w:id="268" w:name="_Toc184310302"/>
      <w:bookmarkEnd w:id="268"/>
      <w:bookmarkStart w:id="269" w:name="_Toc184308090"/>
      <w:bookmarkEnd w:id="269"/>
      <w:bookmarkStart w:id="270" w:name="_Toc184314473"/>
      <w:bookmarkEnd w:id="270"/>
      <w:bookmarkStart w:id="271" w:name="_Toc184314461"/>
      <w:bookmarkEnd w:id="271"/>
      <w:bookmarkStart w:id="272" w:name="_Toc184308053"/>
      <w:bookmarkEnd w:id="272"/>
      <w:bookmarkStart w:id="273" w:name="_Toc184314466"/>
      <w:bookmarkEnd w:id="273"/>
      <w:bookmarkStart w:id="274" w:name="_Toc184312117"/>
      <w:bookmarkEnd w:id="274"/>
      <w:bookmarkStart w:id="275" w:name="_Toc184308084"/>
      <w:bookmarkEnd w:id="275"/>
      <w:bookmarkStart w:id="276" w:name="_Toc184314465"/>
      <w:bookmarkEnd w:id="276"/>
      <w:bookmarkStart w:id="277" w:name="_Toc184312130"/>
      <w:bookmarkEnd w:id="277"/>
      <w:bookmarkStart w:id="278" w:name="_Toc184313294"/>
      <w:bookmarkEnd w:id="278"/>
      <w:bookmarkStart w:id="279" w:name="_Toc184312131"/>
      <w:bookmarkEnd w:id="279"/>
      <w:bookmarkStart w:id="280" w:name="_Toc184314430"/>
      <w:bookmarkEnd w:id="280"/>
      <w:bookmarkStart w:id="281" w:name="_Toc184308093"/>
      <w:bookmarkEnd w:id="281"/>
      <w:bookmarkStart w:id="282" w:name="_Toc184314447"/>
      <w:bookmarkEnd w:id="282"/>
      <w:bookmarkStart w:id="283" w:name="_Toc184310274"/>
      <w:bookmarkEnd w:id="283"/>
      <w:bookmarkStart w:id="284" w:name="_Toc184314417"/>
      <w:bookmarkEnd w:id="284"/>
      <w:bookmarkStart w:id="285" w:name="_Toc184313263"/>
      <w:bookmarkEnd w:id="285"/>
      <w:bookmarkStart w:id="286" w:name="_Toc184313298"/>
      <w:bookmarkEnd w:id="286"/>
      <w:bookmarkStart w:id="287" w:name="_Toc184310325"/>
      <w:bookmarkEnd w:id="287"/>
      <w:bookmarkStart w:id="288" w:name="_Toc184314428"/>
      <w:bookmarkEnd w:id="288"/>
      <w:bookmarkStart w:id="289" w:name="_Toc184310344"/>
      <w:bookmarkEnd w:id="289"/>
      <w:bookmarkStart w:id="290" w:name="_Toc184312116"/>
      <w:bookmarkEnd w:id="290"/>
      <w:bookmarkStart w:id="291" w:name="_Toc184310296"/>
      <w:bookmarkEnd w:id="291"/>
      <w:bookmarkStart w:id="292" w:name="_Toc184313310"/>
      <w:bookmarkEnd w:id="292"/>
      <w:bookmarkStart w:id="293" w:name="_Toc184314433"/>
      <w:bookmarkEnd w:id="293"/>
      <w:bookmarkStart w:id="294" w:name="_Toc184314474"/>
      <w:bookmarkEnd w:id="294"/>
      <w:bookmarkStart w:id="295" w:name="_Toc184310319"/>
      <w:bookmarkEnd w:id="295"/>
      <w:bookmarkStart w:id="296" w:name="_Toc184314454"/>
      <w:bookmarkEnd w:id="296"/>
      <w:bookmarkStart w:id="297" w:name="_Toc184314410"/>
      <w:bookmarkEnd w:id="297"/>
      <w:bookmarkStart w:id="298" w:name="_Toc184310295"/>
      <w:bookmarkEnd w:id="298"/>
      <w:bookmarkStart w:id="299" w:name="_Toc184308059"/>
      <w:bookmarkEnd w:id="299"/>
      <w:bookmarkStart w:id="300" w:name="_Toc184313274"/>
      <w:bookmarkEnd w:id="300"/>
      <w:bookmarkStart w:id="301" w:name="_Toc184308038"/>
      <w:bookmarkEnd w:id="301"/>
      <w:bookmarkStart w:id="302" w:name="_Toc184313271"/>
      <w:bookmarkEnd w:id="302"/>
      <w:bookmarkStart w:id="303" w:name="_Toc184313270"/>
      <w:bookmarkEnd w:id="303"/>
      <w:bookmarkStart w:id="304" w:name="_Toc184313249"/>
      <w:bookmarkEnd w:id="304"/>
      <w:bookmarkStart w:id="305" w:name="_Toc184314478"/>
      <w:bookmarkEnd w:id="305"/>
      <w:bookmarkStart w:id="306" w:name="_Toc184308106"/>
      <w:bookmarkEnd w:id="306"/>
      <w:bookmarkStart w:id="307" w:name="_Toc184313248"/>
      <w:bookmarkEnd w:id="307"/>
      <w:bookmarkStart w:id="308" w:name="_Toc184310341"/>
      <w:bookmarkEnd w:id="308"/>
      <w:bookmarkStart w:id="309" w:name="_Toc184310323"/>
      <w:bookmarkEnd w:id="309"/>
      <w:bookmarkStart w:id="310" w:name="_Toc184312072"/>
      <w:bookmarkEnd w:id="310"/>
      <w:bookmarkStart w:id="311" w:name="_Toc184308073"/>
      <w:bookmarkEnd w:id="311"/>
      <w:bookmarkStart w:id="312" w:name="_Toc184308063"/>
      <w:bookmarkEnd w:id="312"/>
      <w:bookmarkStart w:id="313" w:name="_Toc184312096"/>
      <w:bookmarkEnd w:id="313"/>
      <w:bookmarkStart w:id="314" w:name="_Toc184313268"/>
      <w:bookmarkEnd w:id="314"/>
      <w:bookmarkStart w:id="315" w:name="_Toc184314440"/>
      <w:bookmarkEnd w:id="315"/>
      <w:bookmarkStart w:id="316" w:name="_Toc184314482"/>
      <w:bookmarkEnd w:id="316"/>
      <w:bookmarkStart w:id="317" w:name="_Toc184308086"/>
      <w:bookmarkEnd w:id="317"/>
      <w:bookmarkStart w:id="318" w:name="_Toc184314462"/>
      <w:bookmarkEnd w:id="318"/>
      <w:bookmarkStart w:id="319" w:name="_Toc184312082"/>
      <w:bookmarkEnd w:id="319"/>
      <w:bookmarkStart w:id="320" w:name="_Toc184313280"/>
      <w:bookmarkEnd w:id="320"/>
      <w:bookmarkStart w:id="321" w:name="_Toc184308091"/>
      <w:bookmarkEnd w:id="321"/>
      <w:bookmarkStart w:id="322" w:name="_Toc184314432"/>
      <w:bookmarkEnd w:id="322"/>
      <w:bookmarkStart w:id="323" w:name="_Toc184308039"/>
      <w:bookmarkEnd w:id="323"/>
      <w:bookmarkStart w:id="324" w:name="_Toc184310278"/>
      <w:bookmarkEnd w:id="324"/>
      <w:bookmarkStart w:id="325" w:name="_Toc184312090"/>
      <w:bookmarkEnd w:id="325"/>
      <w:bookmarkStart w:id="326" w:name="_Toc184310316"/>
      <w:bookmarkEnd w:id="326"/>
      <w:bookmarkStart w:id="327" w:name="_Toc184314475"/>
      <w:bookmarkEnd w:id="327"/>
      <w:bookmarkStart w:id="328" w:name="_Toc184308083"/>
      <w:bookmarkEnd w:id="328"/>
      <w:bookmarkStart w:id="329" w:name="_Toc184308047"/>
      <w:bookmarkEnd w:id="329"/>
      <w:bookmarkStart w:id="330" w:name="_Toc184312127"/>
      <w:bookmarkEnd w:id="330"/>
      <w:bookmarkStart w:id="331" w:name="_Toc184310338"/>
      <w:bookmarkEnd w:id="331"/>
      <w:bookmarkStart w:id="332" w:name="_Toc184313244"/>
      <w:bookmarkEnd w:id="332"/>
      <w:bookmarkStart w:id="333" w:name="_Toc184313287"/>
      <w:bookmarkEnd w:id="333"/>
      <w:bookmarkStart w:id="334" w:name="_Toc184313256"/>
      <w:bookmarkEnd w:id="334"/>
      <w:bookmarkStart w:id="335" w:name="_Toc184312123"/>
      <w:bookmarkEnd w:id="335"/>
      <w:bookmarkStart w:id="336" w:name="_Toc184310286"/>
      <w:bookmarkEnd w:id="336"/>
      <w:bookmarkStart w:id="337" w:name="_Toc184312120"/>
      <w:bookmarkEnd w:id="337"/>
      <w:bookmarkStart w:id="338" w:name="_Toc184313239"/>
      <w:bookmarkEnd w:id="338"/>
      <w:bookmarkStart w:id="339" w:name="_Toc184312112"/>
      <w:bookmarkEnd w:id="339"/>
      <w:bookmarkStart w:id="340" w:name="_Toc184312077"/>
      <w:bookmarkEnd w:id="340"/>
      <w:bookmarkStart w:id="341" w:name="_Toc184313283"/>
      <w:bookmarkEnd w:id="341"/>
      <w:bookmarkStart w:id="342" w:name="_Toc184312115"/>
      <w:bookmarkEnd w:id="342"/>
      <w:bookmarkStart w:id="343" w:name="_Toc184314453"/>
      <w:bookmarkEnd w:id="343"/>
      <w:bookmarkStart w:id="344" w:name="_Toc184313299"/>
      <w:bookmarkEnd w:id="344"/>
      <w:bookmarkStart w:id="345" w:name="_Toc184314416"/>
      <w:bookmarkEnd w:id="345"/>
      <w:bookmarkStart w:id="346" w:name="_Toc184312111"/>
      <w:bookmarkEnd w:id="346"/>
      <w:bookmarkStart w:id="347" w:name="_Toc184308056"/>
      <w:bookmarkEnd w:id="347"/>
      <w:bookmarkStart w:id="348" w:name="_Toc184313254"/>
      <w:bookmarkEnd w:id="348"/>
      <w:bookmarkStart w:id="349" w:name="_Toc184308070"/>
      <w:bookmarkEnd w:id="349"/>
      <w:bookmarkStart w:id="350" w:name="_Toc184310285"/>
      <w:bookmarkEnd w:id="350"/>
      <w:bookmarkStart w:id="351" w:name="_Toc184310317"/>
      <w:bookmarkEnd w:id="351"/>
      <w:bookmarkStart w:id="352" w:name="_Toc184312118"/>
      <w:bookmarkEnd w:id="352"/>
      <w:bookmarkStart w:id="353" w:name="_Toc184313269"/>
      <w:bookmarkEnd w:id="353"/>
      <w:bookmarkStart w:id="354" w:name="_Toc184312135"/>
      <w:bookmarkEnd w:id="354"/>
      <w:bookmarkStart w:id="355" w:name="_Toc184310306"/>
      <w:bookmarkEnd w:id="355"/>
      <w:bookmarkStart w:id="356" w:name="_Toc184310301"/>
      <w:bookmarkEnd w:id="356"/>
      <w:bookmarkStart w:id="357" w:name="_Toc184314414"/>
      <w:bookmarkEnd w:id="357"/>
      <w:bookmarkStart w:id="358" w:name="_Toc184308048"/>
      <w:bookmarkEnd w:id="358"/>
      <w:bookmarkStart w:id="359" w:name="_Toc184313272"/>
      <w:bookmarkEnd w:id="359"/>
      <w:bookmarkStart w:id="360" w:name="_Toc184313246"/>
      <w:bookmarkEnd w:id="360"/>
      <w:bookmarkStart w:id="361" w:name="_Toc184308078"/>
      <w:bookmarkEnd w:id="361"/>
      <w:bookmarkStart w:id="362" w:name="_Toc184310315"/>
      <w:bookmarkEnd w:id="362"/>
      <w:bookmarkStart w:id="363" w:name="_Toc184313266"/>
      <w:bookmarkEnd w:id="363"/>
      <w:bookmarkStart w:id="364" w:name="_Toc184310281"/>
      <w:bookmarkEnd w:id="364"/>
      <w:bookmarkStart w:id="365" w:name="_Toc184313300"/>
      <w:bookmarkEnd w:id="365"/>
      <w:bookmarkStart w:id="366" w:name="_Toc184308105"/>
      <w:bookmarkEnd w:id="366"/>
      <w:bookmarkStart w:id="367" w:name="_Toc184308052"/>
      <w:bookmarkEnd w:id="367"/>
      <w:bookmarkStart w:id="368" w:name="_Toc184313306"/>
      <w:bookmarkEnd w:id="368"/>
      <w:bookmarkStart w:id="369" w:name="_Toc184310307"/>
      <w:bookmarkEnd w:id="369"/>
      <w:bookmarkStart w:id="370" w:name="_Toc184314444"/>
      <w:bookmarkEnd w:id="370"/>
      <w:bookmarkStart w:id="371" w:name="_Toc184314471"/>
      <w:bookmarkEnd w:id="371"/>
      <w:bookmarkStart w:id="372" w:name="_Toc184310305"/>
      <w:bookmarkEnd w:id="372"/>
      <w:bookmarkStart w:id="373" w:name="_Toc184308071"/>
      <w:bookmarkEnd w:id="373"/>
      <w:bookmarkStart w:id="374" w:name="_Toc184314425"/>
      <w:bookmarkEnd w:id="374"/>
      <w:bookmarkStart w:id="375" w:name="_Toc184313240"/>
      <w:bookmarkEnd w:id="375"/>
      <w:bookmarkStart w:id="376" w:name="_Toc184308051"/>
      <w:bookmarkEnd w:id="376"/>
      <w:bookmarkStart w:id="377" w:name="_Toc184312098"/>
      <w:bookmarkEnd w:id="377"/>
      <w:bookmarkStart w:id="378" w:name="_Toc184308102"/>
      <w:bookmarkEnd w:id="378"/>
      <w:bookmarkStart w:id="379" w:name="_Toc184314476"/>
      <w:bookmarkEnd w:id="379"/>
      <w:bookmarkStart w:id="380" w:name="_Toc184310276"/>
      <w:bookmarkEnd w:id="380"/>
      <w:bookmarkStart w:id="381" w:name="_Toc184313289"/>
      <w:bookmarkEnd w:id="381"/>
      <w:bookmarkStart w:id="382" w:name="_Toc184312104"/>
      <w:bookmarkEnd w:id="382"/>
      <w:bookmarkStart w:id="383" w:name="_Toc184314439"/>
      <w:bookmarkEnd w:id="383"/>
      <w:bookmarkStart w:id="384" w:name="_Toc184312074"/>
      <w:bookmarkEnd w:id="384"/>
      <w:bookmarkStart w:id="385" w:name="_Toc184314450"/>
      <w:bookmarkEnd w:id="385"/>
      <w:bookmarkStart w:id="386" w:name="_Toc184308067"/>
      <w:bookmarkEnd w:id="386"/>
      <w:bookmarkStart w:id="387" w:name="_Toc184313295"/>
      <w:bookmarkEnd w:id="387"/>
      <w:bookmarkStart w:id="388" w:name="_Toc184308055"/>
      <w:bookmarkEnd w:id="388"/>
      <w:bookmarkStart w:id="389" w:name="_Toc184308044"/>
      <w:bookmarkEnd w:id="389"/>
      <w:bookmarkStart w:id="390" w:name="_Toc184312085"/>
      <w:bookmarkEnd w:id="390"/>
      <w:bookmarkStart w:id="391" w:name="_Toc184312081"/>
      <w:bookmarkEnd w:id="391"/>
      <w:bookmarkStart w:id="392" w:name="_Toc184314415"/>
      <w:bookmarkEnd w:id="392"/>
      <w:bookmarkStart w:id="393" w:name="_Toc184313281"/>
      <w:bookmarkEnd w:id="393"/>
      <w:bookmarkStart w:id="394" w:name="_Toc184312075"/>
      <w:bookmarkEnd w:id="394"/>
      <w:bookmarkStart w:id="395" w:name="_Toc184310337"/>
      <w:bookmarkEnd w:id="395"/>
      <w:bookmarkStart w:id="396" w:name="_Toc184314449"/>
      <w:bookmarkEnd w:id="396"/>
      <w:bookmarkStart w:id="397" w:name="_Toc184313259"/>
      <w:bookmarkEnd w:id="397"/>
      <w:bookmarkStart w:id="398" w:name="_Toc184310324"/>
      <w:bookmarkEnd w:id="398"/>
      <w:bookmarkStart w:id="399" w:name="_Toc184314458"/>
      <w:bookmarkEnd w:id="399"/>
      <w:bookmarkStart w:id="400" w:name="_Toc184313308"/>
      <w:bookmarkEnd w:id="400"/>
      <w:bookmarkStart w:id="401" w:name="_Toc184308100"/>
      <w:bookmarkEnd w:id="401"/>
      <w:bookmarkStart w:id="402" w:name="_Toc184308085"/>
      <w:bookmarkEnd w:id="402"/>
      <w:bookmarkStart w:id="403" w:name="_Toc184308065"/>
      <w:bookmarkEnd w:id="403"/>
      <w:bookmarkStart w:id="404" w:name="_Toc184314446"/>
      <w:bookmarkEnd w:id="404"/>
      <w:bookmarkStart w:id="405" w:name="_Toc184313250"/>
      <w:bookmarkEnd w:id="405"/>
      <w:bookmarkStart w:id="406" w:name="_Toc184310322"/>
      <w:bookmarkEnd w:id="406"/>
      <w:bookmarkStart w:id="407" w:name="_Toc184312088"/>
      <w:bookmarkEnd w:id="407"/>
      <w:bookmarkStart w:id="408" w:name="_Toc184313260"/>
      <w:bookmarkEnd w:id="408"/>
      <w:bookmarkStart w:id="409" w:name="_Toc184313255"/>
      <w:bookmarkEnd w:id="409"/>
      <w:bookmarkStart w:id="410" w:name="_Toc184312078"/>
      <w:bookmarkEnd w:id="410"/>
      <w:bookmarkStart w:id="411" w:name="_Toc184313264"/>
      <w:bookmarkEnd w:id="411"/>
      <w:bookmarkStart w:id="412" w:name="_Toc184310279"/>
      <w:bookmarkEnd w:id="412"/>
      <w:bookmarkStart w:id="413" w:name="_Toc184314451"/>
      <w:bookmarkEnd w:id="413"/>
      <w:r>
        <w:rPr>
          <w:rFonts w:hint="eastAsia" w:ascii="仿宋" w:hAnsi="仿宋" w:eastAsia="仿宋" w:cs="仿宋"/>
          <w:b/>
          <w:sz w:val="36"/>
          <w:szCs w:val="20"/>
        </w:rPr>
        <w:t>评标办法</w:t>
      </w:r>
    </w:p>
    <w:p>
      <w:pPr>
        <w:snapToGrid w:val="0"/>
        <w:jc w:val="center"/>
        <w:rPr>
          <w:rFonts w:ascii="仿宋" w:hAnsi="仿宋" w:eastAsia="仿宋" w:cs="仿宋"/>
          <w:b/>
          <w:sz w:val="36"/>
          <w:szCs w:val="36"/>
        </w:rPr>
      </w:pPr>
    </w:p>
    <w:p>
      <w:pPr>
        <w:snapToGrid w:val="0"/>
        <w:jc w:val="center"/>
        <w:rPr>
          <w:rFonts w:ascii="仿宋" w:hAnsi="仿宋" w:eastAsia="仿宋" w:cs="仿宋"/>
          <w:b/>
          <w:sz w:val="36"/>
          <w:szCs w:val="36"/>
        </w:rPr>
      </w:pPr>
      <w:r>
        <w:rPr>
          <w:rFonts w:hint="eastAsia" w:ascii="仿宋" w:hAnsi="仿宋" w:eastAsia="仿宋" w:cs="仿宋"/>
          <w:b/>
          <w:sz w:val="36"/>
          <w:szCs w:val="36"/>
        </w:rPr>
        <w:t>评标办法前附表</w:t>
      </w:r>
    </w:p>
    <w:tbl>
      <w:tblPr>
        <w:tblStyle w:val="72"/>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176"/>
        <w:gridCol w:w="993"/>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20" w:rightChars="-57"/>
              <w:jc w:val="center"/>
              <w:rPr>
                <w:rFonts w:ascii="宋体" w:hAnsi="宋体"/>
                <w:b/>
                <w:sz w:val="18"/>
                <w:szCs w:val="18"/>
              </w:rPr>
            </w:pPr>
            <w:r>
              <w:rPr>
                <w:rFonts w:ascii="宋体" w:hAnsi="宋体"/>
                <w:b/>
                <w:sz w:val="18"/>
                <w:szCs w:val="18"/>
              </w:rPr>
              <w:t>序号</w:t>
            </w:r>
          </w:p>
        </w:tc>
        <w:tc>
          <w:tcPr>
            <w:tcW w:w="1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b/>
                <w:sz w:val="18"/>
                <w:szCs w:val="18"/>
              </w:rPr>
            </w:pPr>
            <w:r>
              <w:rPr>
                <w:rFonts w:ascii="宋体" w:hAnsi="宋体"/>
                <w:b/>
                <w:sz w:val="18"/>
                <w:szCs w:val="18"/>
              </w:rPr>
              <w:t>评分要素</w:t>
            </w:r>
          </w:p>
        </w:tc>
        <w:tc>
          <w:tcPr>
            <w:tcW w:w="99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b/>
                <w:sz w:val="18"/>
                <w:szCs w:val="18"/>
              </w:rPr>
            </w:pPr>
            <w:r>
              <w:rPr>
                <w:rFonts w:ascii="宋体" w:hAnsi="宋体"/>
                <w:b/>
                <w:sz w:val="18"/>
                <w:szCs w:val="18"/>
              </w:rPr>
              <w:t>分值</w:t>
            </w:r>
          </w:p>
        </w:tc>
        <w:tc>
          <w:tcPr>
            <w:tcW w:w="6124"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b/>
                <w:sz w:val="18"/>
                <w:szCs w:val="18"/>
              </w:rPr>
            </w:pPr>
            <w:r>
              <w:rPr>
                <w:rFonts w:ascii="宋体" w:hAnsi="宋体"/>
                <w:b/>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20" w:rightChars="-57"/>
              <w:jc w:val="center"/>
              <w:rPr>
                <w:rFonts w:ascii="宋体" w:hAnsi="宋体"/>
                <w:sz w:val="18"/>
                <w:szCs w:val="18"/>
              </w:rPr>
            </w:pPr>
            <w:r>
              <w:rPr>
                <w:rFonts w:ascii="宋体" w:hAnsi="宋体"/>
                <w:sz w:val="18"/>
                <w:szCs w:val="18"/>
              </w:rPr>
              <w:t>商务文件</w:t>
            </w:r>
          </w:p>
          <w:p>
            <w:pPr>
              <w:spacing w:after="120" w:line="360" w:lineRule="auto"/>
              <w:jc w:val="center"/>
              <w:rPr>
                <w:rFonts w:ascii="宋体" w:hAnsi="宋体"/>
                <w:sz w:val="18"/>
                <w:szCs w:val="18"/>
              </w:rPr>
            </w:pPr>
            <w:r>
              <w:rPr>
                <w:rFonts w:ascii="宋体" w:hAnsi="宋体"/>
                <w:sz w:val="18"/>
                <w:szCs w:val="18"/>
              </w:rPr>
              <w:t>（0-30分）</w:t>
            </w:r>
          </w:p>
        </w:tc>
        <w:tc>
          <w:tcPr>
            <w:tcW w:w="1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sz w:val="18"/>
                <w:szCs w:val="18"/>
              </w:rPr>
            </w:pPr>
            <w:r>
              <w:rPr>
                <w:rFonts w:ascii="宋体" w:hAnsi="宋体"/>
                <w:sz w:val="18"/>
                <w:szCs w:val="18"/>
              </w:rPr>
              <w:t>报价</w:t>
            </w:r>
          </w:p>
        </w:tc>
        <w:tc>
          <w:tcPr>
            <w:tcW w:w="993" w:type="dxa"/>
            <w:tcBorders>
              <w:top w:val="single" w:color="auto" w:sz="4" w:space="0"/>
              <w:left w:val="nil"/>
              <w:bottom w:val="single" w:color="auto" w:sz="4" w:space="0"/>
              <w:right w:val="single" w:color="auto" w:sz="4" w:space="0"/>
            </w:tcBorders>
            <w:noWrap w:val="0"/>
            <w:vAlign w:val="center"/>
          </w:tcPr>
          <w:p>
            <w:pPr>
              <w:spacing w:line="360" w:lineRule="auto"/>
              <w:ind w:right="-38" w:rightChars="-18"/>
              <w:jc w:val="center"/>
              <w:rPr>
                <w:rFonts w:ascii="宋体" w:hAnsi="宋体"/>
                <w:sz w:val="18"/>
                <w:szCs w:val="18"/>
              </w:rPr>
            </w:pPr>
            <w:r>
              <w:rPr>
                <w:rFonts w:ascii="宋体" w:hAnsi="宋体"/>
                <w:sz w:val="18"/>
                <w:szCs w:val="18"/>
              </w:rPr>
              <w:t>0-30分</w:t>
            </w:r>
          </w:p>
        </w:tc>
        <w:tc>
          <w:tcPr>
            <w:tcW w:w="6124" w:type="dxa"/>
            <w:tcBorders>
              <w:top w:val="single" w:color="auto" w:sz="4" w:space="0"/>
              <w:left w:val="nil"/>
              <w:bottom w:val="single" w:color="auto" w:sz="4" w:space="0"/>
              <w:right w:val="single" w:color="auto" w:sz="4" w:space="0"/>
            </w:tcBorders>
            <w:noWrap w:val="0"/>
            <w:vAlign w:val="center"/>
          </w:tcPr>
          <w:p>
            <w:pPr>
              <w:widowControl/>
              <w:snapToGrid w:val="0"/>
              <w:spacing w:line="360" w:lineRule="auto"/>
              <w:jc w:val="left"/>
              <w:rPr>
                <w:rFonts w:ascii="宋体" w:hAnsi="宋体"/>
                <w:kern w:val="0"/>
                <w:sz w:val="18"/>
                <w:szCs w:val="18"/>
              </w:rPr>
            </w:pPr>
            <w:r>
              <w:rPr>
                <w:rFonts w:ascii="宋体" w:hAnsi="宋体"/>
                <w:kern w:val="0"/>
                <w:sz w:val="18"/>
                <w:szCs w:val="18"/>
              </w:rPr>
              <w:t>基准价为满足评标要求且投标价格最低的报价，投标报价得分=(基准价／投标报价)×30，四舍五入，保留两位小数。报价高于预算价的，为无效投标文件。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Merge w:val="restart"/>
            <w:tcBorders>
              <w:left w:val="single" w:color="auto" w:sz="4" w:space="0"/>
              <w:right w:val="single" w:color="auto" w:sz="4" w:space="0"/>
            </w:tcBorders>
            <w:noWrap w:val="0"/>
            <w:vAlign w:val="center"/>
          </w:tcPr>
          <w:p>
            <w:pPr>
              <w:spacing w:line="360" w:lineRule="auto"/>
              <w:jc w:val="center"/>
              <w:rPr>
                <w:rFonts w:ascii="宋体" w:hAnsi="宋体"/>
                <w:sz w:val="18"/>
                <w:szCs w:val="18"/>
              </w:rPr>
            </w:pPr>
            <w:r>
              <w:rPr>
                <w:rFonts w:ascii="宋体" w:hAnsi="宋体"/>
                <w:sz w:val="18"/>
                <w:szCs w:val="18"/>
              </w:rPr>
              <w:t>技术文件</w:t>
            </w:r>
          </w:p>
          <w:p>
            <w:pPr>
              <w:spacing w:line="360" w:lineRule="auto"/>
              <w:jc w:val="center"/>
              <w:rPr>
                <w:rFonts w:ascii="宋体" w:hAnsi="宋体"/>
                <w:sz w:val="18"/>
                <w:szCs w:val="18"/>
              </w:rPr>
            </w:pPr>
            <w:r>
              <w:rPr>
                <w:rFonts w:ascii="宋体" w:hAnsi="宋体"/>
                <w:sz w:val="18"/>
                <w:szCs w:val="18"/>
              </w:rPr>
              <w:t>（70分）</w:t>
            </w:r>
          </w:p>
        </w:tc>
        <w:tc>
          <w:tcPr>
            <w:tcW w:w="1176" w:type="dxa"/>
            <w:vMerge w:val="restart"/>
            <w:tcBorders>
              <w:top w:val="nil"/>
              <w:left w:val="nil"/>
              <w:right w:val="single" w:color="auto" w:sz="4" w:space="0"/>
            </w:tcBorders>
            <w:noWrap w:val="0"/>
            <w:vAlign w:val="center"/>
          </w:tcPr>
          <w:p>
            <w:pPr>
              <w:spacing w:line="360" w:lineRule="auto"/>
              <w:jc w:val="center"/>
              <w:rPr>
                <w:rFonts w:hint="eastAsia" w:ascii="宋体" w:hAnsi="宋体" w:eastAsia="宋体" w:cs="Arial"/>
                <w:snapToGrid w:val="0"/>
                <w:kern w:val="2"/>
                <w:sz w:val="18"/>
                <w:szCs w:val="18"/>
                <w:lang w:val="en-US" w:eastAsia="zh-CN" w:bidi="ar-SA"/>
              </w:rPr>
            </w:pPr>
            <w:r>
              <w:rPr>
                <w:rFonts w:hint="eastAsia" w:ascii="宋体" w:hAnsi="宋体" w:eastAsia="宋体" w:cs="Arial"/>
                <w:snapToGrid w:val="0"/>
                <w:kern w:val="2"/>
                <w:sz w:val="18"/>
                <w:szCs w:val="18"/>
                <w:lang w:val="en-US" w:eastAsia="zh-CN" w:bidi="ar-SA"/>
              </w:rPr>
              <w:t>投标人</w:t>
            </w:r>
          </w:p>
          <w:p>
            <w:pPr>
              <w:spacing w:line="360" w:lineRule="auto"/>
              <w:jc w:val="center"/>
              <w:rPr>
                <w:rFonts w:hint="eastAsia" w:ascii="宋体" w:hAnsi="宋体" w:eastAsia="宋体" w:cs="Arial"/>
                <w:snapToGrid w:val="0"/>
                <w:kern w:val="2"/>
                <w:sz w:val="18"/>
                <w:szCs w:val="18"/>
                <w:lang w:val="en-US" w:eastAsia="zh-CN" w:bidi="ar-SA"/>
              </w:rPr>
            </w:pPr>
            <w:r>
              <w:rPr>
                <w:rFonts w:hint="eastAsia" w:ascii="宋体" w:hAnsi="宋体" w:eastAsia="宋体" w:cs="Arial"/>
                <w:snapToGrid w:val="0"/>
                <w:kern w:val="2"/>
                <w:sz w:val="18"/>
                <w:szCs w:val="18"/>
                <w:lang w:val="en-US" w:eastAsia="zh-CN" w:bidi="ar-SA"/>
              </w:rPr>
              <w:t>项目团队</w:t>
            </w:r>
          </w:p>
          <w:p>
            <w:pPr>
              <w:pStyle w:val="2"/>
              <w:jc w:val="center"/>
              <w:rPr>
                <w:rFonts w:hint="default" w:ascii="宋体" w:hAnsi="宋体" w:eastAsia="宋体" w:cs="Arial"/>
                <w:snapToGrid w:val="0"/>
                <w:kern w:val="2"/>
                <w:sz w:val="18"/>
                <w:szCs w:val="18"/>
                <w:lang w:val="en-US" w:eastAsia="zh-CN" w:bidi="ar-SA"/>
              </w:rPr>
            </w:pPr>
            <w:r>
              <w:rPr>
                <w:rFonts w:hint="eastAsia" w:ascii="宋体" w:hAnsi="宋体" w:eastAsia="宋体" w:cs="Arial"/>
                <w:snapToGrid w:val="0"/>
                <w:kern w:val="2"/>
                <w:sz w:val="18"/>
                <w:szCs w:val="18"/>
                <w:lang w:val="en-US" w:eastAsia="zh-CN" w:bidi="ar-SA"/>
              </w:rPr>
              <w:t>（3分）</w:t>
            </w:r>
          </w:p>
        </w:tc>
        <w:tc>
          <w:tcPr>
            <w:tcW w:w="993" w:type="dxa"/>
            <w:tcBorders>
              <w:top w:val="nil"/>
              <w:left w:val="nil"/>
              <w:bottom w:val="single" w:color="auto" w:sz="4" w:space="0"/>
              <w:right w:val="single" w:color="auto" w:sz="4" w:space="0"/>
            </w:tcBorders>
            <w:noWrap w:val="0"/>
            <w:vAlign w:val="center"/>
          </w:tcPr>
          <w:p>
            <w:pPr>
              <w:spacing w:line="360" w:lineRule="auto"/>
              <w:jc w:val="center"/>
              <w:rPr>
                <w:rFonts w:hint="default" w:ascii="宋体" w:hAnsi="宋体" w:cs="Times New Roman"/>
                <w:sz w:val="18"/>
                <w:szCs w:val="18"/>
                <w:lang w:val="en-US" w:eastAsia="zh-CN"/>
              </w:rPr>
            </w:pPr>
            <w:r>
              <w:rPr>
                <w:rFonts w:ascii="宋体" w:hAnsi="宋体" w:cs="Times New Roman"/>
                <w:sz w:val="18"/>
                <w:szCs w:val="18"/>
              </w:rPr>
              <w:t>0-</w:t>
            </w:r>
            <w:r>
              <w:rPr>
                <w:rFonts w:hint="eastAsia" w:ascii="宋体" w:hAnsi="宋体" w:cs="Times New Roman"/>
                <w:sz w:val="18"/>
                <w:szCs w:val="18"/>
                <w:lang w:val="en-US" w:eastAsia="zh-CN"/>
              </w:rPr>
              <w:t>1</w:t>
            </w:r>
            <w:r>
              <w:rPr>
                <w:rFonts w:ascii="宋体" w:hAnsi="宋体" w:cs="Times New Roman"/>
                <w:sz w:val="18"/>
                <w:szCs w:val="18"/>
              </w:rPr>
              <w:t>分</w:t>
            </w:r>
          </w:p>
        </w:tc>
        <w:tc>
          <w:tcPr>
            <w:tcW w:w="6124"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default" w:ascii="宋体" w:hAnsi="宋体" w:cs="Times New Roman"/>
                <w:sz w:val="18"/>
                <w:szCs w:val="18"/>
                <w:lang w:val="en-US" w:eastAsia="zh-CN"/>
              </w:rPr>
            </w:pPr>
            <w:r>
              <w:rPr>
                <w:rFonts w:hint="eastAsia" w:ascii="宋体" w:hAnsi="宋体" w:cs="Times New Roman"/>
                <w:sz w:val="18"/>
                <w:szCs w:val="18"/>
                <w:lang w:val="en-US" w:eastAsia="zh-CN"/>
              </w:rPr>
              <w:t>项目经理具备“人力资源和社会保</w:t>
            </w:r>
            <w:r>
              <w:rPr>
                <w:rFonts w:hint="eastAsia" w:ascii="宋体" w:hAnsi="宋体" w:cs="Times New Roman"/>
                <w:sz w:val="18"/>
                <w:szCs w:val="18"/>
                <w:shd w:val="clear" w:color="auto" w:fill="auto"/>
                <w:lang w:val="en-US" w:eastAsia="zh-CN"/>
              </w:rPr>
              <w:t>障厅部”颁发的信息系统或系统集成项目管理工程师证书（中级及以上）的得</w:t>
            </w:r>
            <w:r>
              <w:rPr>
                <w:rFonts w:hint="eastAsia" w:ascii="宋体" w:hAnsi="宋体" w:cs="Times New Roman"/>
                <w:sz w:val="18"/>
                <w:szCs w:val="18"/>
                <w:lang w:val="en-US" w:eastAsia="zh-CN"/>
              </w:rPr>
              <w:t>1分，</w:t>
            </w:r>
            <w:r>
              <w:rPr>
                <w:rFonts w:ascii="宋体" w:hAnsi="宋体"/>
                <w:sz w:val="18"/>
                <w:szCs w:val="18"/>
              </w:rPr>
              <w:t>该项总分</w:t>
            </w:r>
            <w:r>
              <w:rPr>
                <w:rFonts w:hint="eastAsia" w:ascii="宋体" w:hAnsi="宋体"/>
                <w:sz w:val="18"/>
                <w:szCs w:val="18"/>
                <w:lang w:val="en-US" w:eastAsia="zh-CN"/>
              </w:rPr>
              <w:t>1</w:t>
            </w:r>
            <w:r>
              <w:rPr>
                <w:rFonts w:ascii="宋体" w:hAnsi="宋体"/>
                <w:sz w:val="18"/>
                <w:szCs w:val="18"/>
              </w:rPr>
              <w:t>分</w:t>
            </w:r>
            <w:r>
              <w:rPr>
                <w:rFonts w:hint="eastAsia" w:ascii="宋体" w:hAnsi="宋体" w:cs="Times New Roman"/>
                <w:sz w:val="18"/>
                <w:szCs w:val="18"/>
                <w:lang w:val="en-US" w:eastAsia="zh-CN"/>
              </w:rPr>
              <w:t>。（提供证书、投标单位为其交纳的社保证明或公积金证明原件彩色扫描件并加盖公章，未提供不得分）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0" w:type="dxa"/>
            <w:vMerge w:val="continue"/>
            <w:tcBorders>
              <w:left w:val="single" w:color="auto" w:sz="4" w:space="0"/>
              <w:right w:val="single" w:color="auto" w:sz="4" w:space="0"/>
            </w:tcBorders>
            <w:noWrap w:val="0"/>
            <w:vAlign w:val="center"/>
          </w:tcPr>
          <w:p>
            <w:pPr>
              <w:spacing w:line="360" w:lineRule="auto"/>
              <w:jc w:val="center"/>
              <w:rPr>
                <w:rFonts w:ascii="宋体" w:hAnsi="宋体"/>
                <w:sz w:val="18"/>
                <w:szCs w:val="18"/>
              </w:rPr>
            </w:pPr>
          </w:p>
        </w:tc>
        <w:tc>
          <w:tcPr>
            <w:tcW w:w="1176" w:type="dxa"/>
            <w:vMerge w:val="continue"/>
            <w:tcBorders>
              <w:left w:val="nil"/>
              <w:bottom w:val="single" w:color="auto" w:sz="4" w:space="0"/>
              <w:right w:val="single" w:color="auto" w:sz="4" w:space="0"/>
            </w:tcBorders>
            <w:noWrap w:val="0"/>
            <w:vAlign w:val="center"/>
          </w:tcPr>
          <w:p>
            <w:pPr>
              <w:spacing w:line="360" w:lineRule="auto"/>
              <w:jc w:val="center"/>
              <w:rPr>
                <w:rFonts w:hint="eastAsia" w:ascii="宋体" w:hAnsi="宋体" w:eastAsia="宋体" w:cs="Arial"/>
                <w:snapToGrid w:val="0"/>
                <w:kern w:val="2"/>
                <w:sz w:val="18"/>
                <w:szCs w:val="18"/>
                <w:lang w:val="en-US" w:eastAsia="zh-CN" w:bidi="ar-SA"/>
              </w:rPr>
            </w:pPr>
          </w:p>
        </w:tc>
        <w:tc>
          <w:tcPr>
            <w:tcW w:w="993" w:type="dxa"/>
            <w:tcBorders>
              <w:top w:val="nil"/>
              <w:left w:val="nil"/>
              <w:bottom w:val="single" w:color="auto" w:sz="4" w:space="0"/>
              <w:right w:val="single" w:color="auto" w:sz="4" w:space="0"/>
            </w:tcBorders>
            <w:noWrap w:val="0"/>
            <w:vAlign w:val="center"/>
          </w:tcPr>
          <w:p>
            <w:pPr>
              <w:spacing w:line="360" w:lineRule="auto"/>
              <w:jc w:val="center"/>
              <w:rPr>
                <w:rFonts w:hint="default" w:ascii="宋体" w:hAnsi="宋体" w:eastAsia="宋体" w:cs="Times New Roman"/>
                <w:sz w:val="18"/>
                <w:szCs w:val="18"/>
                <w:lang w:val="en-US" w:eastAsia="zh-CN"/>
              </w:rPr>
            </w:pPr>
            <w:r>
              <w:rPr>
                <w:rFonts w:hint="eastAsia" w:ascii="宋体" w:hAnsi="宋体" w:cs="Times New Roman"/>
                <w:sz w:val="18"/>
                <w:szCs w:val="18"/>
                <w:lang w:val="en-US" w:eastAsia="zh-CN"/>
              </w:rPr>
              <w:t>0-2分</w:t>
            </w:r>
          </w:p>
        </w:tc>
        <w:tc>
          <w:tcPr>
            <w:tcW w:w="6124"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宋体" w:hAnsi="宋体" w:cs="Times New Roman"/>
                <w:sz w:val="18"/>
                <w:szCs w:val="18"/>
                <w:lang w:val="en-US" w:eastAsia="zh-CN"/>
              </w:rPr>
            </w:pPr>
            <w:r>
              <w:rPr>
                <w:rFonts w:hint="eastAsia" w:ascii="宋体" w:hAnsi="宋体" w:cs="Times New Roman"/>
                <w:sz w:val="18"/>
                <w:szCs w:val="18"/>
                <w:lang w:val="en-US" w:eastAsia="zh-CN"/>
              </w:rPr>
              <w:t>项目组成员（项目经理除外）具备“人力资源和社会保</w:t>
            </w:r>
            <w:r>
              <w:rPr>
                <w:rFonts w:hint="eastAsia" w:ascii="宋体" w:hAnsi="宋体" w:cs="Times New Roman"/>
                <w:sz w:val="18"/>
                <w:szCs w:val="18"/>
                <w:shd w:val="clear" w:color="auto" w:fill="auto"/>
                <w:lang w:val="en-US" w:eastAsia="zh-CN"/>
              </w:rPr>
              <w:t>障部”颁发的网络工程类或软件设计类或数据库系统类或项目管理类工程师证书</w:t>
            </w:r>
            <w:r>
              <w:rPr>
                <w:rFonts w:hint="eastAsia" w:ascii="宋体" w:hAnsi="宋体" w:cs="Times New Roman"/>
                <w:sz w:val="18"/>
                <w:szCs w:val="18"/>
                <w:lang w:val="en-US" w:eastAsia="zh-CN"/>
              </w:rPr>
              <w:t>，每本证书得0.5分，</w:t>
            </w:r>
            <w:r>
              <w:rPr>
                <w:rFonts w:ascii="宋体" w:hAnsi="宋体"/>
                <w:sz w:val="18"/>
                <w:szCs w:val="18"/>
              </w:rPr>
              <w:t>该项总分</w:t>
            </w:r>
            <w:r>
              <w:rPr>
                <w:rFonts w:hint="eastAsia" w:ascii="宋体" w:hAnsi="宋体"/>
                <w:sz w:val="18"/>
                <w:szCs w:val="18"/>
                <w:lang w:val="en-US" w:eastAsia="zh-CN"/>
              </w:rPr>
              <w:t>2</w:t>
            </w:r>
            <w:r>
              <w:rPr>
                <w:rFonts w:ascii="宋体" w:hAnsi="宋体"/>
                <w:sz w:val="18"/>
                <w:szCs w:val="18"/>
              </w:rPr>
              <w:t>分</w:t>
            </w:r>
            <w:r>
              <w:rPr>
                <w:rFonts w:hint="eastAsia" w:ascii="宋体" w:hAnsi="宋体" w:cs="Times New Roman"/>
                <w:sz w:val="18"/>
                <w:szCs w:val="18"/>
                <w:lang w:val="en-US" w:eastAsia="zh-CN"/>
              </w:rPr>
              <w:t>。（提供相关证书、投标单位为其交纳的社保证明或公积金证明原件彩色扫描件并加盖公章，一人多证情况按一本证算，未提供不得分）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200" w:type="dxa"/>
            <w:vMerge w:val="continue"/>
            <w:tcBorders>
              <w:left w:val="single" w:color="auto" w:sz="4" w:space="0"/>
              <w:right w:val="single" w:color="auto" w:sz="4" w:space="0"/>
            </w:tcBorders>
            <w:noWrap w:val="0"/>
            <w:vAlign w:val="center"/>
          </w:tcPr>
          <w:p>
            <w:pPr>
              <w:spacing w:line="360" w:lineRule="auto"/>
              <w:jc w:val="center"/>
              <w:rPr>
                <w:rFonts w:ascii="宋体" w:hAnsi="宋体"/>
                <w:sz w:val="18"/>
                <w:szCs w:val="18"/>
              </w:rPr>
            </w:pPr>
          </w:p>
        </w:tc>
        <w:tc>
          <w:tcPr>
            <w:tcW w:w="1176"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eastAsia="宋体" w:cs="Arial"/>
                <w:snapToGrid w:val="0"/>
                <w:kern w:val="2"/>
                <w:sz w:val="18"/>
                <w:szCs w:val="18"/>
                <w:lang w:val="en-US" w:eastAsia="zh-CN" w:bidi="ar-SA"/>
              </w:rPr>
            </w:pPr>
            <w:r>
              <w:rPr>
                <w:rFonts w:hint="eastAsia" w:ascii="宋体" w:hAnsi="宋体" w:eastAsia="宋体" w:cs="Arial"/>
                <w:snapToGrid w:val="0"/>
                <w:kern w:val="2"/>
                <w:sz w:val="18"/>
                <w:szCs w:val="18"/>
                <w:lang w:val="en-US" w:eastAsia="zh-CN" w:bidi="ar-SA"/>
              </w:rPr>
              <w:t>投标人</w:t>
            </w:r>
          </w:p>
          <w:p>
            <w:pPr>
              <w:spacing w:line="360" w:lineRule="auto"/>
              <w:jc w:val="center"/>
              <w:rPr>
                <w:rFonts w:hint="eastAsia" w:ascii="宋体" w:hAnsi="宋体" w:eastAsia="宋体" w:cs="Arial"/>
                <w:snapToGrid w:val="0"/>
                <w:kern w:val="2"/>
                <w:sz w:val="18"/>
                <w:szCs w:val="18"/>
                <w:lang w:val="en-US" w:eastAsia="zh-CN" w:bidi="ar-SA"/>
              </w:rPr>
            </w:pPr>
            <w:r>
              <w:rPr>
                <w:rFonts w:hint="eastAsia" w:ascii="宋体" w:hAnsi="宋体" w:eastAsia="宋体" w:cs="Arial"/>
                <w:snapToGrid w:val="0"/>
                <w:kern w:val="2"/>
                <w:sz w:val="18"/>
                <w:szCs w:val="18"/>
                <w:lang w:val="en-US" w:eastAsia="zh-CN" w:bidi="ar-SA"/>
              </w:rPr>
              <w:t>成功案例</w:t>
            </w:r>
          </w:p>
          <w:p>
            <w:pPr>
              <w:pStyle w:val="2"/>
              <w:jc w:val="center"/>
              <w:rPr>
                <w:rFonts w:hint="eastAsia" w:ascii="宋体" w:hAnsi="宋体" w:eastAsia="宋体" w:cs="Arial"/>
                <w:snapToGrid w:val="0"/>
                <w:kern w:val="2"/>
                <w:sz w:val="18"/>
                <w:szCs w:val="18"/>
                <w:lang w:val="en-US" w:eastAsia="zh-CN" w:bidi="ar-SA"/>
              </w:rPr>
            </w:pPr>
            <w:r>
              <w:rPr>
                <w:rFonts w:hint="eastAsia" w:ascii="宋体" w:hAnsi="宋体" w:eastAsia="宋体" w:cs="Arial"/>
                <w:snapToGrid w:val="0"/>
                <w:kern w:val="2"/>
                <w:sz w:val="18"/>
                <w:szCs w:val="18"/>
                <w:lang w:val="en-US" w:eastAsia="zh-CN" w:bidi="ar-SA"/>
              </w:rPr>
              <w:t>（3分）</w:t>
            </w:r>
          </w:p>
        </w:tc>
        <w:tc>
          <w:tcPr>
            <w:tcW w:w="993" w:type="dxa"/>
            <w:tcBorders>
              <w:top w:val="nil"/>
              <w:left w:val="nil"/>
              <w:bottom w:val="single" w:color="auto" w:sz="4" w:space="0"/>
              <w:right w:val="single" w:color="auto" w:sz="4" w:space="0"/>
            </w:tcBorders>
            <w:noWrap w:val="0"/>
            <w:vAlign w:val="center"/>
          </w:tcPr>
          <w:p>
            <w:pPr>
              <w:spacing w:line="360" w:lineRule="auto"/>
              <w:jc w:val="center"/>
              <w:rPr>
                <w:rFonts w:ascii="宋体" w:hAnsi="宋体"/>
                <w:sz w:val="18"/>
                <w:szCs w:val="18"/>
              </w:rPr>
            </w:pPr>
            <w:r>
              <w:rPr>
                <w:rFonts w:ascii="宋体" w:hAnsi="宋体"/>
                <w:sz w:val="18"/>
                <w:szCs w:val="18"/>
              </w:rPr>
              <w:t>0-</w:t>
            </w:r>
            <w:r>
              <w:rPr>
                <w:rFonts w:hint="eastAsia" w:ascii="宋体" w:hAnsi="宋体"/>
                <w:sz w:val="18"/>
                <w:szCs w:val="18"/>
                <w:lang w:val="en-US" w:eastAsia="zh-CN"/>
              </w:rPr>
              <w:t>3</w:t>
            </w:r>
            <w:r>
              <w:rPr>
                <w:rFonts w:ascii="宋体" w:hAnsi="宋体"/>
                <w:sz w:val="18"/>
                <w:szCs w:val="18"/>
              </w:rPr>
              <w:t>分</w:t>
            </w:r>
          </w:p>
        </w:tc>
        <w:tc>
          <w:tcPr>
            <w:tcW w:w="612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sz w:val="18"/>
                <w:szCs w:val="18"/>
              </w:rPr>
            </w:pPr>
            <w:r>
              <w:rPr>
                <w:rFonts w:hint="eastAsia" w:ascii="宋体" w:hAnsi="宋体" w:eastAsia="宋体" w:cs="宋体"/>
                <w:i w:val="0"/>
                <w:iCs w:val="0"/>
                <w:color w:val="000000"/>
                <w:kern w:val="0"/>
                <w:sz w:val="18"/>
                <w:szCs w:val="18"/>
                <w:u w:val="none"/>
                <w:lang w:val="en-US" w:eastAsia="zh-CN" w:bidi="ar"/>
              </w:rPr>
              <w:t>201</w:t>
            </w:r>
            <w:r>
              <w:rPr>
                <w:rFonts w:hint="eastAsia" w:ascii="宋体" w:hAnsi="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年12月（以合同签订时间为准）至今完成的同类</w:t>
            </w:r>
            <w:r>
              <w:rPr>
                <w:rFonts w:hint="eastAsia" w:ascii="宋体" w:hAnsi="宋体" w:cs="宋体"/>
                <w:i w:val="0"/>
                <w:iCs w:val="0"/>
                <w:color w:val="000000"/>
                <w:kern w:val="0"/>
                <w:sz w:val="18"/>
                <w:szCs w:val="18"/>
                <w:u w:val="none"/>
                <w:lang w:val="en-US" w:eastAsia="zh-CN" w:bidi="ar"/>
              </w:rPr>
              <w:t>政府采购</w:t>
            </w:r>
            <w:r>
              <w:rPr>
                <w:rFonts w:hint="eastAsia" w:ascii="宋体" w:hAnsi="宋体" w:eastAsia="宋体" w:cs="宋体"/>
                <w:i w:val="0"/>
                <w:iCs w:val="0"/>
                <w:color w:val="000000"/>
                <w:kern w:val="0"/>
                <w:sz w:val="18"/>
                <w:szCs w:val="18"/>
                <w:u w:val="none"/>
                <w:lang w:val="en-US" w:eastAsia="zh-CN" w:bidi="ar"/>
              </w:rPr>
              <w:t>项目业绩，</w:t>
            </w:r>
            <w:r>
              <w:rPr>
                <w:rFonts w:hint="eastAsia" w:ascii="宋体" w:hAnsi="宋体" w:cs="宋体"/>
                <w:i w:val="0"/>
                <w:iCs w:val="0"/>
                <w:color w:val="000000"/>
                <w:kern w:val="0"/>
                <w:sz w:val="18"/>
                <w:szCs w:val="18"/>
                <w:u w:val="none"/>
                <w:lang w:val="en-US" w:eastAsia="zh-CN" w:bidi="ar"/>
              </w:rPr>
              <w:t>每</w:t>
            </w:r>
            <w:r>
              <w:rPr>
                <w:rFonts w:hint="eastAsia" w:ascii="宋体" w:hAnsi="宋体" w:eastAsia="宋体" w:cs="宋体"/>
                <w:i w:val="0"/>
                <w:iCs w:val="0"/>
                <w:color w:val="000000"/>
                <w:kern w:val="0"/>
                <w:sz w:val="18"/>
                <w:szCs w:val="18"/>
                <w:u w:val="none"/>
                <w:lang w:val="en-US" w:eastAsia="zh-CN" w:bidi="ar"/>
              </w:rPr>
              <w:t>提供一份得</w:t>
            </w:r>
            <w:r>
              <w:rPr>
                <w:rFonts w:hint="eastAsia" w:ascii="宋体" w:hAnsi="宋体" w:cs="宋体"/>
                <w:i w:val="0"/>
                <w:iCs w:val="0"/>
                <w:color w:val="000000"/>
                <w:kern w:val="0"/>
                <w:sz w:val="18"/>
                <w:szCs w:val="18"/>
                <w:u w:val="none"/>
                <w:lang w:val="en-US" w:eastAsia="zh-CN" w:bidi="ar"/>
              </w:rPr>
              <w:t>0.5</w:t>
            </w:r>
            <w:r>
              <w:rPr>
                <w:rFonts w:hint="eastAsia" w:ascii="宋体" w:hAnsi="宋体" w:eastAsia="宋体" w:cs="宋体"/>
                <w:i w:val="0"/>
                <w:iCs w:val="0"/>
                <w:color w:val="000000"/>
                <w:kern w:val="0"/>
                <w:sz w:val="18"/>
                <w:szCs w:val="18"/>
                <w:u w:val="none"/>
                <w:lang w:val="en-US" w:eastAsia="zh-CN" w:bidi="ar"/>
              </w:rPr>
              <w:t>分，</w:t>
            </w:r>
            <w:r>
              <w:rPr>
                <w:rFonts w:hint="eastAsia" w:ascii="宋体" w:hAnsi="宋体" w:cs="Times New Roman"/>
                <w:sz w:val="18"/>
                <w:szCs w:val="18"/>
                <w:lang w:val="en-US" w:eastAsia="zh-CN"/>
              </w:rPr>
              <w:t>该项总分3分</w:t>
            </w:r>
            <w:r>
              <w:rPr>
                <w:rFonts w:hint="eastAsia" w:ascii="宋体" w:hAnsi="宋体" w:eastAsia="宋体" w:cs="宋体"/>
                <w:i w:val="0"/>
                <w:iCs w:val="0"/>
                <w:color w:val="000000"/>
                <w:kern w:val="0"/>
                <w:sz w:val="18"/>
                <w:szCs w:val="18"/>
                <w:u w:val="none"/>
                <w:lang w:val="en-US" w:eastAsia="zh-CN" w:bidi="ar"/>
              </w:rPr>
              <w:t>。（提供项目合同原件彩色扫描件</w:t>
            </w:r>
            <w:r>
              <w:rPr>
                <w:rFonts w:hint="eastAsia" w:ascii="宋体" w:hAnsi="宋体" w:cs="宋体"/>
                <w:i w:val="0"/>
                <w:iCs w:val="0"/>
                <w:color w:val="000000"/>
                <w:kern w:val="0"/>
                <w:sz w:val="18"/>
                <w:szCs w:val="18"/>
                <w:u w:val="none"/>
                <w:lang w:val="en-US" w:eastAsia="zh-CN" w:bidi="ar"/>
              </w:rPr>
              <w:t>并加盖公章</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未提供</w:t>
            </w:r>
            <w:r>
              <w:rPr>
                <w:rFonts w:hint="eastAsia" w:ascii="宋体" w:hAnsi="宋体" w:eastAsia="宋体" w:cs="宋体"/>
                <w:i w:val="0"/>
                <w:iCs w:val="0"/>
                <w:color w:val="000000"/>
                <w:kern w:val="0"/>
                <w:sz w:val="18"/>
                <w:szCs w:val="18"/>
                <w:u w:val="none"/>
                <w:lang w:val="en-US" w:eastAsia="zh-CN" w:bidi="ar"/>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200" w:type="dxa"/>
            <w:vMerge w:val="continue"/>
            <w:tcBorders>
              <w:left w:val="single" w:color="auto" w:sz="4" w:space="0"/>
              <w:right w:val="single" w:color="auto" w:sz="4" w:space="0"/>
            </w:tcBorders>
            <w:noWrap w:val="0"/>
            <w:vAlign w:val="center"/>
          </w:tcPr>
          <w:p>
            <w:pPr>
              <w:spacing w:line="360" w:lineRule="auto"/>
              <w:jc w:val="center"/>
              <w:rPr>
                <w:rFonts w:ascii="宋体" w:hAnsi="宋体"/>
                <w:sz w:val="18"/>
                <w:szCs w:val="18"/>
              </w:rPr>
            </w:pPr>
          </w:p>
        </w:tc>
        <w:tc>
          <w:tcPr>
            <w:tcW w:w="1176" w:type="dxa"/>
            <w:tcBorders>
              <w:top w:val="nil"/>
              <w:left w:val="nil"/>
              <w:bottom w:val="single" w:color="auto" w:sz="4" w:space="0"/>
              <w:right w:val="single" w:color="auto" w:sz="4" w:space="0"/>
            </w:tcBorders>
            <w:noWrap w:val="0"/>
            <w:vAlign w:val="center"/>
          </w:tcPr>
          <w:p>
            <w:pPr>
              <w:spacing w:line="360" w:lineRule="auto"/>
              <w:jc w:val="center"/>
              <w:rPr>
                <w:rFonts w:hint="eastAsia" w:ascii="宋体" w:hAnsi="宋体" w:eastAsia="宋体" w:cs="Arial"/>
                <w:snapToGrid w:val="0"/>
                <w:kern w:val="2"/>
                <w:sz w:val="18"/>
                <w:szCs w:val="18"/>
                <w:lang w:val="zh-CN" w:eastAsia="zh-CN" w:bidi="ar-SA"/>
              </w:rPr>
            </w:pPr>
            <w:r>
              <w:rPr>
                <w:rFonts w:hint="eastAsia" w:ascii="宋体" w:hAnsi="宋体" w:eastAsia="宋体" w:cs="Arial"/>
                <w:snapToGrid w:val="0"/>
                <w:kern w:val="2"/>
                <w:sz w:val="18"/>
                <w:szCs w:val="18"/>
                <w:lang w:val="zh-CN" w:eastAsia="zh-CN" w:bidi="ar-SA"/>
              </w:rPr>
              <w:t>设备性能指标</w:t>
            </w:r>
          </w:p>
          <w:p>
            <w:pPr>
              <w:pStyle w:val="2"/>
              <w:jc w:val="center"/>
              <w:rPr>
                <w:rFonts w:hint="eastAsia" w:ascii="宋体" w:hAnsi="宋体" w:eastAsia="宋体" w:cs="Arial"/>
                <w:snapToGrid w:val="0"/>
                <w:kern w:val="2"/>
                <w:sz w:val="18"/>
                <w:szCs w:val="18"/>
                <w:lang w:val="en-US" w:eastAsia="zh-CN" w:bidi="ar-SA"/>
              </w:rPr>
            </w:pPr>
            <w:r>
              <w:rPr>
                <w:rFonts w:hint="eastAsia" w:ascii="宋体" w:hAnsi="宋体" w:eastAsia="宋体" w:cs="Arial"/>
                <w:snapToGrid w:val="0"/>
                <w:kern w:val="2"/>
                <w:sz w:val="18"/>
                <w:szCs w:val="18"/>
                <w:lang w:val="zh-CN" w:eastAsia="zh-CN" w:bidi="ar-SA"/>
              </w:rPr>
              <w:t>（</w:t>
            </w:r>
            <w:r>
              <w:rPr>
                <w:rFonts w:hint="eastAsia" w:ascii="宋体" w:hAnsi="宋体" w:eastAsia="宋体" w:cs="Arial"/>
                <w:snapToGrid w:val="0"/>
                <w:kern w:val="2"/>
                <w:sz w:val="18"/>
                <w:szCs w:val="18"/>
                <w:lang w:val="en-US" w:eastAsia="zh-CN" w:bidi="ar-SA"/>
              </w:rPr>
              <w:t>40分</w:t>
            </w:r>
            <w:r>
              <w:rPr>
                <w:rFonts w:hint="eastAsia" w:ascii="宋体" w:hAnsi="宋体" w:eastAsia="宋体" w:cs="Arial"/>
                <w:snapToGrid w:val="0"/>
                <w:kern w:val="2"/>
                <w:sz w:val="18"/>
                <w:szCs w:val="18"/>
                <w:lang w:val="zh-CN" w:eastAsia="zh-CN" w:bidi="ar-SA"/>
              </w:rPr>
              <w:t>）</w:t>
            </w:r>
          </w:p>
        </w:tc>
        <w:tc>
          <w:tcPr>
            <w:tcW w:w="993" w:type="dxa"/>
            <w:tcBorders>
              <w:top w:val="nil"/>
              <w:left w:val="nil"/>
              <w:bottom w:val="single" w:color="auto" w:sz="4" w:space="0"/>
              <w:right w:val="single" w:color="auto" w:sz="4" w:space="0"/>
            </w:tcBorders>
            <w:noWrap w:val="0"/>
            <w:vAlign w:val="center"/>
          </w:tcPr>
          <w:p>
            <w:pPr>
              <w:spacing w:line="360" w:lineRule="auto"/>
              <w:jc w:val="center"/>
              <w:rPr>
                <w:rFonts w:ascii="宋体" w:hAnsi="宋体" w:eastAsia="宋体" w:cs="Times New Roman"/>
                <w:kern w:val="2"/>
                <w:sz w:val="18"/>
                <w:szCs w:val="18"/>
                <w:lang w:val="en-US" w:eastAsia="zh-CN" w:bidi="ar-SA"/>
              </w:rPr>
            </w:pPr>
            <w:r>
              <w:rPr>
                <w:rFonts w:ascii="宋体" w:hAnsi="宋体"/>
                <w:sz w:val="18"/>
                <w:szCs w:val="18"/>
              </w:rPr>
              <w:t>0-</w:t>
            </w:r>
            <w:r>
              <w:rPr>
                <w:rFonts w:hint="eastAsia" w:ascii="宋体" w:hAnsi="宋体"/>
                <w:sz w:val="18"/>
                <w:szCs w:val="18"/>
                <w:lang w:val="en-US" w:eastAsia="zh-CN"/>
              </w:rPr>
              <w:t>40</w:t>
            </w:r>
            <w:r>
              <w:rPr>
                <w:rFonts w:ascii="宋体" w:hAnsi="宋体"/>
                <w:sz w:val="18"/>
                <w:szCs w:val="18"/>
              </w:rPr>
              <w:t>分</w:t>
            </w:r>
          </w:p>
        </w:tc>
        <w:tc>
          <w:tcPr>
            <w:tcW w:w="612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eastAsia="宋体" w:cs="Times New Roman"/>
                <w:kern w:val="2"/>
                <w:sz w:val="18"/>
                <w:szCs w:val="18"/>
                <w:lang w:val="en-US" w:eastAsia="zh-CN" w:bidi="ar-SA"/>
              </w:rPr>
            </w:pPr>
            <w:r>
              <w:rPr>
                <w:rFonts w:ascii="宋体" w:hAnsi="宋体"/>
                <w:sz w:val="18"/>
                <w:szCs w:val="18"/>
              </w:rPr>
              <w:t>评委根据对投标人所投产品设备的功能及性能、配置等进行评比打分。打▲号指标为实质性要求，如有负偏离将作为无效投标；打★号为重要指标，有负偏离每项扣</w:t>
            </w:r>
            <w:r>
              <w:rPr>
                <w:rFonts w:hint="eastAsia" w:ascii="宋体" w:hAnsi="宋体"/>
                <w:sz w:val="18"/>
                <w:szCs w:val="18"/>
                <w:lang w:val="en-US" w:eastAsia="zh-CN"/>
              </w:rPr>
              <w:t>2</w:t>
            </w:r>
            <w:r>
              <w:rPr>
                <w:rFonts w:ascii="宋体" w:hAnsi="宋体"/>
                <w:sz w:val="18"/>
                <w:szCs w:val="18"/>
              </w:rPr>
              <w:t>分</w:t>
            </w:r>
            <w:r>
              <w:rPr>
                <w:rFonts w:hint="eastAsia" w:ascii="宋体" w:hAnsi="宋体"/>
                <w:sz w:val="18"/>
                <w:szCs w:val="18"/>
                <w:lang w:eastAsia="zh-CN"/>
              </w:rPr>
              <w:t>；</w:t>
            </w:r>
            <w:r>
              <w:rPr>
                <w:rFonts w:hint="eastAsia" w:ascii="宋体" w:hAnsi="宋体"/>
                <w:sz w:val="18"/>
                <w:szCs w:val="18"/>
                <w:lang w:val="en-US" w:eastAsia="zh-CN"/>
              </w:rPr>
              <w:t>其他参数指标有</w:t>
            </w:r>
            <w:r>
              <w:rPr>
                <w:rFonts w:ascii="宋体" w:hAnsi="宋体"/>
                <w:sz w:val="18"/>
                <w:szCs w:val="18"/>
              </w:rPr>
              <w:t>负偏离每项扣</w:t>
            </w:r>
            <w:r>
              <w:rPr>
                <w:rFonts w:hint="eastAsia" w:ascii="宋体" w:hAnsi="宋体"/>
                <w:sz w:val="18"/>
                <w:szCs w:val="18"/>
                <w:lang w:val="en-US" w:eastAsia="zh-CN"/>
              </w:rPr>
              <w:t>1</w:t>
            </w:r>
            <w:r>
              <w:rPr>
                <w:rFonts w:ascii="宋体" w:hAnsi="宋体"/>
                <w:sz w:val="18"/>
                <w:szCs w:val="18"/>
              </w:rPr>
              <w:t>分</w:t>
            </w:r>
            <w:r>
              <w:rPr>
                <w:rFonts w:hint="eastAsia" w:ascii="宋体" w:hAnsi="宋体"/>
                <w:sz w:val="18"/>
                <w:szCs w:val="18"/>
                <w:lang w:val="en-US" w:eastAsia="zh-CN"/>
              </w:rPr>
              <w:t>.</w:t>
            </w:r>
            <w:r>
              <w:rPr>
                <w:rFonts w:ascii="宋体" w:hAnsi="宋体"/>
                <w:sz w:val="18"/>
                <w:szCs w:val="18"/>
              </w:rPr>
              <w:t>扣完为止，该项总分</w:t>
            </w:r>
            <w:r>
              <w:rPr>
                <w:rFonts w:hint="eastAsia" w:ascii="宋体" w:hAnsi="宋体"/>
                <w:sz w:val="18"/>
                <w:szCs w:val="18"/>
                <w:lang w:val="en-US" w:eastAsia="zh-CN"/>
              </w:rPr>
              <w:t>40</w:t>
            </w:r>
            <w:r>
              <w:rPr>
                <w:rFonts w:ascii="宋体" w:hAnsi="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200" w:type="dxa"/>
            <w:vMerge w:val="continue"/>
            <w:tcBorders>
              <w:left w:val="single" w:color="auto" w:sz="4" w:space="0"/>
              <w:right w:val="single" w:color="auto" w:sz="4" w:space="0"/>
            </w:tcBorders>
            <w:noWrap w:val="0"/>
            <w:vAlign w:val="center"/>
          </w:tcPr>
          <w:p>
            <w:pPr>
              <w:spacing w:line="360" w:lineRule="auto"/>
              <w:jc w:val="center"/>
              <w:rPr>
                <w:rFonts w:ascii="宋体" w:hAnsi="宋体"/>
                <w:sz w:val="18"/>
                <w:szCs w:val="18"/>
              </w:rPr>
            </w:pPr>
          </w:p>
        </w:tc>
        <w:tc>
          <w:tcPr>
            <w:tcW w:w="1176" w:type="dxa"/>
            <w:tcBorders>
              <w:top w:val="nil"/>
              <w:left w:val="nil"/>
              <w:bottom w:val="single" w:color="auto" w:sz="4" w:space="0"/>
              <w:right w:val="single" w:color="auto" w:sz="4" w:space="0"/>
            </w:tcBorders>
            <w:noWrap w:val="0"/>
            <w:vAlign w:val="center"/>
          </w:tcPr>
          <w:p>
            <w:pPr>
              <w:spacing w:line="360" w:lineRule="auto"/>
              <w:jc w:val="center"/>
              <w:rPr>
                <w:rFonts w:hint="default" w:ascii="宋体" w:hAnsi="宋体" w:eastAsia="宋体"/>
                <w:sz w:val="18"/>
                <w:szCs w:val="18"/>
                <w:lang w:val="en-US" w:eastAsia="zh-CN"/>
              </w:rPr>
            </w:pPr>
            <w:r>
              <w:rPr>
                <w:rFonts w:hint="eastAsia" w:ascii="宋体" w:hAnsi="宋体"/>
                <w:sz w:val="18"/>
                <w:szCs w:val="18"/>
                <w:lang w:val="en-US" w:eastAsia="zh-CN"/>
              </w:rPr>
              <w:t>应用软件对接能力</w:t>
            </w:r>
            <w:r>
              <w:rPr>
                <w:rFonts w:hint="eastAsia" w:ascii="宋体" w:hAnsi="宋体"/>
                <w:sz w:val="18"/>
                <w:szCs w:val="18"/>
                <w:lang w:val="en-US" w:eastAsia="zh-CN"/>
              </w:rPr>
              <w:br w:type="textWrapping"/>
            </w:r>
            <w:r>
              <w:rPr>
                <w:rFonts w:hint="eastAsia" w:ascii="宋体" w:hAnsi="宋体"/>
                <w:sz w:val="18"/>
                <w:szCs w:val="18"/>
                <w:lang w:val="en-US" w:eastAsia="zh-CN"/>
              </w:rPr>
              <w:t>（6分）</w:t>
            </w:r>
          </w:p>
        </w:tc>
        <w:tc>
          <w:tcPr>
            <w:tcW w:w="993" w:type="dxa"/>
            <w:tcBorders>
              <w:top w:val="nil"/>
              <w:left w:val="nil"/>
              <w:bottom w:val="single" w:color="auto" w:sz="4" w:space="0"/>
              <w:right w:val="single" w:color="auto" w:sz="4" w:space="0"/>
            </w:tcBorders>
            <w:noWrap w:val="0"/>
            <w:vAlign w:val="center"/>
          </w:tcPr>
          <w:p>
            <w:pPr>
              <w:spacing w:line="360" w:lineRule="auto"/>
              <w:jc w:val="center"/>
              <w:rPr>
                <w:rFonts w:hint="default" w:ascii="宋体" w:hAnsi="宋体" w:eastAsia="宋体"/>
                <w:sz w:val="18"/>
                <w:szCs w:val="18"/>
                <w:lang w:val="en-US" w:eastAsia="zh-CN"/>
              </w:rPr>
            </w:pPr>
            <w:r>
              <w:rPr>
                <w:rFonts w:hint="eastAsia" w:ascii="宋体" w:hAnsi="宋体"/>
                <w:sz w:val="18"/>
                <w:szCs w:val="18"/>
                <w:lang w:val="en-US" w:eastAsia="zh-CN"/>
              </w:rPr>
              <w:t>0-6分</w:t>
            </w:r>
          </w:p>
        </w:tc>
        <w:tc>
          <w:tcPr>
            <w:tcW w:w="6124"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cs="Times New Roman"/>
                <w:sz w:val="18"/>
                <w:szCs w:val="18"/>
                <w:lang w:val="en-US" w:eastAsia="zh-CN"/>
              </w:rPr>
            </w:pPr>
            <w:r>
              <w:rPr>
                <w:rFonts w:hint="eastAsia" w:ascii="宋体" w:hAnsi="宋体" w:cs="Times New Roman"/>
                <w:sz w:val="18"/>
                <w:szCs w:val="18"/>
                <w:lang w:val="en-US" w:eastAsia="zh-CN"/>
              </w:rPr>
              <w:t>供应商所投【江山市交通事故“一键快响”应用软件】须与浙江公安110接处警系统、衢州市公安局交通警察支队交通事故处置防范集成应用平台、公安交通管理综合应用平台无缝对接；</w:t>
            </w:r>
          </w:p>
          <w:p>
            <w:pPr>
              <w:spacing w:line="360" w:lineRule="auto"/>
              <w:rPr>
                <w:rFonts w:hint="eastAsia" w:ascii="宋体" w:hAnsi="宋体" w:cs="Times New Roman"/>
                <w:sz w:val="18"/>
                <w:szCs w:val="18"/>
                <w:lang w:val="en-US" w:eastAsia="zh-CN"/>
              </w:rPr>
            </w:pPr>
            <w:r>
              <w:rPr>
                <w:rFonts w:hint="eastAsia" w:ascii="宋体" w:hAnsi="宋体" w:cs="Times New Roman"/>
                <w:sz w:val="18"/>
                <w:szCs w:val="18"/>
                <w:lang w:val="en-US" w:eastAsia="zh-CN"/>
              </w:rPr>
              <w:t>提供上述三个系统（平台）对接承诺函得1分；（提供承诺函扫描件并加盖投标人公章）</w:t>
            </w:r>
          </w:p>
          <w:p>
            <w:pPr>
              <w:spacing w:line="360" w:lineRule="auto"/>
              <w:rPr>
                <w:rFonts w:hint="eastAsia" w:ascii="宋体" w:hAnsi="宋体" w:cs="Times New Roman"/>
                <w:sz w:val="18"/>
                <w:szCs w:val="18"/>
                <w:lang w:val="en-US" w:eastAsia="zh-CN"/>
              </w:rPr>
            </w:pPr>
            <w:r>
              <w:rPr>
                <w:rFonts w:hint="eastAsia" w:ascii="宋体" w:hAnsi="宋体" w:cs="Times New Roman"/>
                <w:sz w:val="18"/>
                <w:szCs w:val="18"/>
                <w:lang w:val="en-US" w:eastAsia="zh-CN"/>
              </w:rPr>
              <w:t>提供上述三个系统（平台）对接证明文件，</w:t>
            </w:r>
            <w:r>
              <w:rPr>
                <w:rFonts w:hint="eastAsia" w:ascii="宋体" w:hAnsi="宋体" w:cs="宋体"/>
                <w:i w:val="0"/>
                <w:iCs w:val="0"/>
                <w:color w:val="000000"/>
                <w:kern w:val="0"/>
                <w:sz w:val="18"/>
                <w:szCs w:val="18"/>
                <w:u w:val="none"/>
                <w:lang w:val="en-US" w:eastAsia="zh-CN" w:bidi="ar"/>
              </w:rPr>
              <w:t>每</w:t>
            </w:r>
            <w:r>
              <w:rPr>
                <w:rFonts w:hint="eastAsia" w:ascii="宋体" w:hAnsi="宋体" w:eastAsia="宋体" w:cs="宋体"/>
                <w:i w:val="0"/>
                <w:iCs w:val="0"/>
                <w:color w:val="000000"/>
                <w:kern w:val="0"/>
                <w:sz w:val="18"/>
                <w:szCs w:val="18"/>
                <w:u w:val="none"/>
                <w:lang w:val="en-US" w:eastAsia="zh-CN" w:bidi="ar"/>
              </w:rPr>
              <w:t>提供一份得</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分</w:t>
            </w:r>
            <w:r>
              <w:rPr>
                <w:rFonts w:hint="eastAsia" w:ascii="宋体" w:hAnsi="宋体" w:cs="Times New Roman"/>
                <w:sz w:val="18"/>
                <w:szCs w:val="18"/>
                <w:lang w:val="en-US" w:eastAsia="zh-CN"/>
              </w:rPr>
              <w:t>；（提供对接证明文件扫描件并加盖“浙江公安110接处警系统、衢州市公安局交通警察支队交通事故处置防范集成应用平台、公安交通管理综合应用平台”开发运维单位公章）</w:t>
            </w:r>
          </w:p>
          <w:p>
            <w:pPr>
              <w:spacing w:line="360" w:lineRule="auto"/>
              <w:rPr>
                <w:rFonts w:hint="default"/>
                <w:lang w:val="en-US" w:eastAsia="zh-CN"/>
              </w:rPr>
            </w:pPr>
            <w:r>
              <w:rPr>
                <w:rFonts w:hint="eastAsia" w:ascii="宋体" w:hAnsi="宋体" w:cs="Times New Roman"/>
                <w:sz w:val="18"/>
                <w:szCs w:val="18"/>
                <w:lang w:val="en-US" w:eastAsia="zh-CN"/>
              </w:rPr>
              <w:t>该项总分6分。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200" w:type="dxa"/>
            <w:vMerge w:val="continue"/>
            <w:tcBorders>
              <w:top w:val="nil"/>
              <w:left w:val="single" w:color="auto" w:sz="4" w:space="0"/>
              <w:bottom w:val="single" w:color="auto" w:sz="4" w:space="0"/>
              <w:right w:val="single" w:color="auto" w:sz="4" w:space="0"/>
            </w:tcBorders>
            <w:noWrap w:val="0"/>
            <w:vAlign w:val="center"/>
          </w:tcPr>
          <w:p>
            <w:pPr>
              <w:jc w:val="center"/>
              <w:rPr>
                <w:sz w:val="18"/>
                <w:szCs w:val="20"/>
              </w:rPr>
            </w:pPr>
          </w:p>
        </w:tc>
        <w:tc>
          <w:tcPr>
            <w:tcW w:w="1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sz w:val="18"/>
                <w:szCs w:val="18"/>
                <w:lang w:eastAsia="zh-CN"/>
              </w:rPr>
            </w:pPr>
            <w:r>
              <w:rPr>
                <w:rFonts w:ascii="宋体" w:hAnsi="宋体"/>
                <w:sz w:val="18"/>
                <w:szCs w:val="18"/>
              </w:rPr>
              <w:t>系统</w:t>
            </w:r>
            <w:r>
              <w:rPr>
                <w:rFonts w:hint="eastAsia" w:ascii="宋体" w:hAnsi="宋体"/>
                <w:sz w:val="18"/>
                <w:szCs w:val="18"/>
                <w:lang w:val="en-US" w:eastAsia="zh-CN"/>
              </w:rPr>
              <w:t>集成</w:t>
            </w:r>
            <w:r>
              <w:rPr>
                <w:rFonts w:ascii="宋体" w:hAnsi="宋体"/>
                <w:sz w:val="18"/>
                <w:szCs w:val="18"/>
              </w:rPr>
              <w:t>建设方案</w:t>
            </w:r>
            <w:r>
              <w:rPr>
                <w:rFonts w:ascii="宋体" w:hAnsi="宋体"/>
                <w:sz w:val="18"/>
                <w:szCs w:val="18"/>
              </w:rPr>
              <w:br w:type="textWrapping"/>
            </w:r>
            <w:r>
              <w:rPr>
                <w:rFonts w:hint="eastAsia" w:ascii="宋体" w:hAnsi="宋体"/>
                <w:sz w:val="18"/>
                <w:szCs w:val="18"/>
                <w:lang w:eastAsia="zh-CN"/>
              </w:rPr>
              <w:t>（</w:t>
            </w:r>
            <w:r>
              <w:rPr>
                <w:rFonts w:hint="eastAsia" w:ascii="宋体" w:hAnsi="宋体"/>
                <w:sz w:val="18"/>
                <w:szCs w:val="18"/>
                <w:lang w:val="en-US" w:eastAsia="zh-CN"/>
              </w:rPr>
              <w:t>4分</w:t>
            </w:r>
            <w:r>
              <w:rPr>
                <w:rFonts w:hint="eastAsia" w:ascii="宋体" w:hAnsi="宋体"/>
                <w:sz w:val="18"/>
                <w:szCs w:val="18"/>
                <w:lang w:eastAsia="zh-CN"/>
              </w:rPr>
              <w:t>）</w:t>
            </w:r>
          </w:p>
        </w:tc>
        <w:tc>
          <w:tcPr>
            <w:tcW w:w="99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sz w:val="18"/>
                <w:szCs w:val="18"/>
              </w:rPr>
            </w:pPr>
            <w:r>
              <w:rPr>
                <w:rFonts w:ascii="宋体" w:hAnsi="宋体"/>
                <w:sz w:val="18"/>
                <w:szCs w:val="18"/>
              </w:rPr>
              <w:t>0-</w:t>
            </w:r>
            <w:r>
              <w:rPr>
                <w:rFonts w:hint="eastAsia" w:ascii="宋体" w:hAnsi="宋体"/>
                <w:sz w:val="18"/>
                <w:szCs w:val="18"/>
                <w:lang w:val="en-US" w:eastAsia="zh-CN"/>
              </w:rPr>
              <w:t>4</w:t>
            </w:r>
            <w:r>
              <w:rPr>
                <w:rFonts w:ascii="宋体" w:hAnsi="宋体"/>
                <w:sz w:val="18"/>
                <w:szCs w:val="18"/>
              </w:rPr>
              <w:t>分</w:t>
            </w:r>
          </w:p>
        </w:tc>
        <w:tc>
          <w:tcPr>
            <w:tcW w:w="612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sz w:val="18"/>
                <w:szCs w:val="18"/>
              </w:rPr>
            </w:pPr>
            <w:r>
              <w:rPr>
                <w:rFonts w:ascii="宋体" w:hAnsi="宋体"/>
                <w:sz w:val="18"/>
                <w:szCs w:val="18"/>
              </w:rPr>
              <w:t>项目</w:t>
            </w:r>
            <w:r>
              <w:rPr>
                <w:rFonts w:hint="eastAsia" w:ascii="宋体" w:hAnsi="宋体"/>
                <w:sz w:val="18"/>
                <w:szCs w:val="18"/>
                <w:lang w:val="en-US" w:eastAsia="zh-CN"/>
              </w:rPr>
              <w:t>系统</w:t>
            </w:r>
            <w:r>
              <w:rPr>
                <w:rFonts w:ascii="宋体" w:hAnsi="宋体"/>
                <w:sz w:val="18"/>
                <w:szCs w:val="18"/>
              </w:rPr>
              <w:t>集成技术方案，针对采购单位需求，所设计详细设计方案，包含项目背景理解、架构设计、</w:t>
            </w:r>
            <w:r>
              <w:rPr>
                <w:rFonts w:hint="eastAsia" w:ascii="宋体" w:hAnsi="宋体"/>
                <w:sz w:val="18"/>
                <w:szCs w:val="18"/>
                <w:lang w:val="en-US" w:eastAsia="zh-CN"/>
              </w:rPr>
              <w:t>大屏显示系统、移动取证系统、操作台</w:t>
            </w:r>
            <w:r>
              <w:rPr>
                <w:rFonts w:ascii="宋体" w:hAnsi="宋体"/>
                <w:sz w:val="18"/>
                <w:szCs w:val="18"/>
              </w:rPr>
              <w:t>、网络</w:t>
            </w:r>
            <w:r>
              <w:rPr>
                <w:rFonts w:hint="eastAsia" w:ascii="宋体" w:hAnsi="宋体"/>
                <w:sz w:val="18"/>
                <w:szCs w:val="18"/>
                <w:lang w:val="en-US" w:eastAsia="zh-CN"/>
              </w:rPr>
              <w:t>设备</w:t>
            </w:r>
            <w:r>
              <w:rPr>
                <w:rFonts w:ascii="宋体" w:hAnsi="宋体"/>
                <w:sz w:val="18"/>
                <w:szCs w:val="18"/>
              </w:rPr>
              <w:t>等按优劣情况综合评审，酌情打分</w:t>
            </w:r>
            <w:r>
              <w:rPr>
                <w:rFonts w:hint="eastAsia" w:ascii="宋体" w:hAnsi="宋体"/>
                <w:sz w:val="18"/>
                <w:szCs w:val="18"/>
              </w:rPr>
              <w:t>。</w:t>
            </w:r>
            <w:r>
              <w:rPr>
                <w:rFonts w:ascii="宋体" w:hAnsi="宋体"/>
                <w:sz w:val="18"/>
                <w:szCs w:val="18"/>
              </w:rPr>
              <w:t>（内容</w:t>
            </w:r>
            <w:r>
              <w:rPr>
                <w:rFonts w:hint="eastAsia" w:ascii="宋体" w:hAnsi="宋体"/>
                <w:sz w:val="18"/>
                <w:szCs w:val="18"/>
              </w:rPr>
              <w:t>基本合理</w:t>
            </w:r>
            <w:r>
              <w:rPr>
                <w:rFonts w:ascii="宋体" w:hAnsi="宋体"/>
                <w:sz w:val="18"/>
                <w:szCs w:val="18"/>
              </w:rPr>
              <w:t>得</w:t>
            </w:r>
            <w:r>
              <w:rPr>
                <w:rFonts w:hint="eastAsia" w:ascii="宋体" w:hAnsi="宋体"/>
                <w:sz w:val="18"/>
                <w:szCs w:val="18"/>
                <w:lang w:val="en-US" w:eastAsia="zh-CN"/>
              </w:rPr>
              <w:t>2.5</w:t>
            </w:r>
            <w:r>
              <w:rPr>
                <w:rFonts w:ascii="宋体" w:hAnsi="宋体"/>
                <w:sz w:val="18"/>
                <w:szCs w:val="18"/>
              </w:rPr>
              <w:t>分</w:t>
            </w:r>
            <w:r>
              <w:rPr>
                <w:rFonts w:hint="eastAsia" w:ascii="宋体" w:hAnsi="宋体"/>
                <w:sz w:val="18"/>
                <w:szCs w:val="18"/>
              </w:rPr>
              <w:t>;内容齐全合理且无差错的</w:t>
            </w:r>
            <w:r>
              <w:rPr>
                <w:rFonts w:hint="eastAsia" w:ascii="宋体" w:hAnsi="宋体"/>
                <w:sz w:val="18"/>
                <w:szCs w:val="18"/>
                <w:lang w:val="en-US" w:eastAsia="zh-CN"/>
              </w:rPr>
              <w:t>加1</w:t>
            </w:r>
            <w:r>
              <w:rPr>
                <w:rFonts w:hint="eastAsia" w:ascii="宋体" w:hAnsi="宋体"/>
                <w:sz w:val="18"/>
                <w:szCs w:val="18"/>
              </w:rPr>
              <w:t>分; 内容齐全合理无差错且</w:t>
            </w:r>
            <w:r>
              <w:rPr>
                <w:rFonts w:hint="eastAsia" w:ascii="宋体" w:hAnsi="宋体"/>
                <w:sz w:val="18"/>
                <w:szCs w:val="18"/>
                <w:lang w:val="en-US" w:eastAsia="zh-CN"/>
              </w:rPr>
              <w:t>方案优秀</w:t>
            </w:r>
            <w:r>
              <w:rPr>
                <w:rFonts w:hint="eastAsia" w:ascii="宋体" w:hAnsi="宋体"/>
                <w:sz w:val="18"/>
                <w:szCs w:val="18"/>
              </w:rPr>
              <w:t>的</w:t>
            </w:r>
            <w:r>
              <w:rPr>
                <w:rFonts w:hint="eastAsia" w:ascii="宋体" w:hAnsi="宋体"/>
                <w:sz w:val="18"/>
                <w:szCs w:val="18"/>
                <w:lang w:val="en-US" w:eastAsia="zh-CN"/>
              </w:rPr>
              <w:t>加1.5</w:t>
            </w:r>
            <w:r>
              <w:rPr>
                <w:rFonts w:hint="eastAsia" w:ascii="宋体" w:hAnsi="宋体"/>
                <w:sz w:val="18"/>
                <w:szCs w:val="18"/>
              </w:rPr>
              <w:t>分；</w:t>
            </w:r>
            <w:r>
              <w:rPr>
                <w:rFonts w:ascii="宋体" w:hAnsi="宋体"/>
                <w:sz w:val="18"/>
                <w:szCs w:val="18"/>
              </w:rPr>
              <w:t>不提供不得分，该项总分</w:t>
            </w:r>
            <w:r>
              <w:rPr>
                <w:rFonts w:hint="eastAsia" w:ascii="宋体" w:hAnsi="宋体"/>
                <w:sz w:val="18"/>
                <w:szCs w:val="18"/>
                <w:lang w:val="en-US" w:eastAsia="zh-CN"/>
              </w:rPr>
              <w:t>4</w:t>
            </w:r>
            <w:r>
              <w:rPr>
                <w:rFonts w:ascii="宋体" w:hAnsi="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200" w:type="dxa"/>
            <w:vMerge w:val="continue"/>
            <w:tcBorders>
              <w:top w:val="nil"/>
              <w:left w:val="single" w:color="auto" w:sz="4" w:space="0"/>
              <w:bottom w:val="single" w:color="auto" w:sz="4" w:space="0"/>
              <w:right w:val="single" w:color="auto" w:sz="4" w:space="0"/>
            </w:tcBorders>
            <w:noWrap w:val="0"/>
            <w:vAlign w:val="center"/>
          </w:tcPr>
          <w:p>
            <w:pPr>
              <w:jc w:val="center"/>
              <w:rPr>
                <w:sz w:val="18"/>
                <w:szCs w:val="20"/>
              </w:rPr>
            </w:pPr>
          </w:p>
        </w:tc>
        <w:tc>
          <w:tcPr>
            <w:tcW w:w="1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sz w:val="18"/>
                <w:szCs w:val="18"/>
                <w:lang w:eastAsia="zh-CN"/>
              </w:rPr>
            </w:pPr>
            <w:r>
              <w:rPr>
                <w:rFonts w:hint="eastAsia" w:ascii="宋体" w:hAnsi="宋体"/>
                <w:sz w:val="18"/>
                <w:szCs w:val="18"/>
                <w:lang w:val="en-US" w:eastAsia="zh-CN"/>
              </w:rPr>
              <w:t>应用软件建设</w:t>
            </w:r>
            <w:r>
              <w:rPr>
                <w:rFonts w:ascii="宋体" w:hAnsi="宋体"/>
                <w:sz w:val="18"/>
                <w:szCs w:val="18"/>
              </w:rPr>
              <w:t>方案</w:t>
            </w:r>
            <w:r>
              <w:rPr>
                <w:rFonts w:ascii="宋体" w:hAnsi="宋体"/>
                <w:sz w:val="18"/>
                <w:szCs w:val="18"/>
              </w:rPr>
              <w:br w:type="textWrapping"/>
            </w:r>
            <w:r>
              <w:rPr>
                <w:rFonts w:hint="eastAsia" w:ascii="宋体" w:hAnsi="宋体"/>
                <w:sz w:val="18"/>
                <w:szCs w:val="18"/>
                <w:lang w:eastAsia="zh-CN"/>
              </w:rPr>
              <w:t>（</w:t>
            </w:r>
            <w:r>
              <w:rPr>
                <w:rFonts w:hint="eastAsia" w:ascii="宋体" w:hAnsi="宋体"/>
                <w:sz w:val="18"/>
                <w:szCs w:val="18"/>
                <w:lang w:val="en-US" w:eastAsia="zh-CN"/>
              </w:rPr>
              <w:t>6分</w:t>
            </w:r>
            <w:r>
              <w:rPr>
                <w:rFonts w:hint="eastAsia" w:ascii="宋体" w:hAnsi="宋体"/>
                <w:sz w:val="18"/>
                <w:szCs w:val="18"/>
                <w:lang w:eastAsia="zh-CN"/>
              </w:rPr>
              <w:t>）</w:t>
            </w:r>
          </w:p>
        </w:tc>
        <w:tc>
          <w:tcPr>
            <w:tcW w:w="99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sz w:val="18"/>
                <w:szCs w:val="18"/>
                <w:highlight w:val="yellow"/>
              </w:rPr>
            </w:pPr>
            <w:r>
              <w:rPr>
                <w:rFonts w:ascii="宋体" w:hAnsi="宋体"/>
                <w:sz w:val="18"/>
                <w:szCs w:val="18"/>
              </w:rPr>
              <w:t>0-</w:t>
            </w:r>
            <w:r>
              <w:rPr>
                <w:rFonts w:hint="eastAsia" w:ascii="宋体" w:hAnsi="宋体"/>
                <w:sz w:val="18"/>
                <w:szCs w:val="18"/>
                <w:lang w:val="en-US" w:eastAsia="zh-CN"/>
              </w:rPr>
              <w:t>8</w:t>
            </w:r>
            <w:r>
              <w:rPr>
                <w:rFonts w:ascii="宋体" w:hAnsi="宋体"/>
                <w:sz w:val="18"/>
                <w:szCs w:val="18"/>
              </w:rPr>
              <w:t>分</w:t>
            </w:r>
          </w:p>
        </w:tc>
        <w:tc>
          <w:tcPr>
            <w:tcW w:w="612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sz w:val="18"/>
                <w:szCs w:val="18"/>
              </w:rPr>
            </w:pPr>
            <w:r>
              <w:rPr>
                <w:rFonts w:ascii="宋体" w:hAnsi="宋体"/>
                <w:sz w:val="18"/>
                <w:szCs w:val="18"/>
              </w:rPr>
              <w:t>项目</w:t>
            </w:r>
            <w:r>
              <w:rPr>
                <w:rFonts w:hint="eastAsia" w:ascii="宋体" w:hAnsi="宋体"/>
                <w:sz w:val="18"/>
                <w:szCs w:val="18"/>
                <w:lang w:val="en-US" w:eastAsia="zh-CN"/>
              </w:rPr>
              <w:t>软件应用技术</w:t>
            </w:r>
            <w:r>
              <w:rPr>
                <w:rFonts w:ascii="宋体" w:hAnsi="宋体"/>
                <w:sz w:val="18"/>
                <w:szCs w:val="18"/>
              </w:rPr>
              <w:t>方案，针对采购单位需求，所设计详细设计方案，包含项目背景理解、架构设计、</w:t>
            </w:r>
            <w:r>
              <w:rPr>
                <w:rFonts w:hint="eastAsia" w:ascii="宋体" w:hAnsi="宋体"/>
                <w:sz w:val="18"/>
                <w:szCs w:val="18"/>
                <w:lang w:val="en-US" w:eastAsia="zh-CN"/>
              </w:rPr>
              <w:t>软件功能、平台应用</w:t>
            </w:r>
            <w:r>
              <w:rPr>
                <w:rFonts w:ascii="宋体" w:hAnsi="宋体"/>
                <w:sz w:val="18"/>
                <w:szCs w:val="18"/>
              </w:rPr>
              <w:t>等按优劣情况综合评审，酌情打分</w:t>
            </w:r>
            <w:r>
              <w:rPr>
                <w:rFonts w:hint="eastAsia" w:ascii="宋体" w:hAnsi="宋体"/>
                <w:sz w:val="18"/>
                <w:szCs w:val="18"/>
              </w:rPr>
              <w:t>。</w:t>
            </w:r>
            <w:r>
              <w:rPr>
                <w:rFonts w:ascii="宋体" w:hAnsi="宋体"/>
                <w:sz w:val="18"/>
                <w:szCs w:val="18"/>
              </w:rPr>
              <w:t>（内容</w:t>
            </w:r>
            <w:r>
              <w:rPr>
                <w:rFonts w:hint="eastAsia" w:ascii="宋体" w:hAnsi="宋体"/>
                <w:sz w:val="18"/>
                <w:szCs w:val="18"/>
              </w:rPr>
              <w:t>基本合理</w:t>
            </w:r>
            <w:r>
              <w:rPr>
                <w:rFonts w:ascii="宋体" w:hAnsi="宋体"/>
                <w:sz w:val="18"/>
                <w:szCs w:val="18"/>
              </w:rPr>
              <w:t>得</w:t>
            </w:r>
            <w:r>
              <w:rPr>
                <w:rFonts w:hint="eastAsia" w:ascii="宋体" w:hAnsi="宋体"/>
                <w:sz w:val="18"/>
                <w:szCs w:val="18"/>
                <w:lang w:val="en-US" w:eastAsia="zh-CN"/>
              </w:rPr>
              <w:t>5</w:t>
            </w:r>
            <w:r>
              <w:rPr>
                <w:rFonts w:ascii="宋体" w:hAnsi="宋体"/>
                <w:sz w:val="18"/>
                <w:szCs w:val="18"/>
              </w:rPr>
              <w:t>分</w:t>
            </w:r>
            <w:r>
              <w:rPr>
                <w:rFonts w:hint="eastAsia" w:ascii="宋体" w:hAnsi="宋体"/>
                <w:sz w:val="18"/>
                <w:szCs w:val="18"/>
              </w:rPr>
              <w:t>;内容齐全合理且无差错的</w:t>
            </w:r>
            <w:r>
              <w:rPr>
                <w:rFonts w:hint="eastAsia" w:ascii="宋体" w:hAnsi="宋体"/>
                <w:sz w:val="18"/>
                <w:szCs w:val="18"/>
                <w:lang w:val="en-US" w:eastAsia="zh-CN"/>
              </w:rPr>
              <w:t>加1.5</w:t>
            </w:r>
            <w:r>
              <w:rPr>
                <w:rFonts w:hint="eastAsia" w:ascii="宋体" w:hAnsi="宋体"/>
                <w:sz w:val="18"/>
                <w:szCs w:val="18"/>
              </w:rPr>
              <w:t>分; 内容齐全合理无差错且</w:t>
            </w:r>
            <w:r>
              <w:rPr>
                <w:rFonts w:hint="eastAsia" w:ascii="宋体" w:hAnsi="宋体"/>
                <w:sz w:val="18"/>
                <w:szCs w:val="18"/>
                <w:lang w:val="en-US" w:eastAsia="zh-CN"/>
              </w:rPr>
              <w:t>方案优秀</w:t>
            </w:r>
            <w:r>
              <w:rPr>
                <w:rFonts w:hint="eastAsia" w:ascii="宋体" w:hAnsi="宋体"/>
                <w:sz w:val="18"/>
                <w:szCs w:val="18"/>
              </w:rPr>
              <w:t>的</w:t>
            </w:r>
            <w:r>
              <w:rPr>
                <w:rFonts w:hint="eastAsia" w:ascii="宋体" w:hAnsi="宋体"/>
                <w:sz w:val="18"/>
                <w:szCs w:val="18"/>
                <w:lang w:val="en-US" w:eastAsia="zh-CN"/>
              </w:rPr>
              <w:t>加3</w:t>
            </w:r>
            <w:r>
              <w:rPr>
                <w:rFonts w:hint="eastAsia" w:ascii="宋体" w:hAnsi="宋体"/>
                <w:sz w:val="18"/>
                <w:szCs w:val="18"/>
              </w:rPr>
              <w:t>分；</w:t>
            </w:r>
            <w:r>
              <w:rPr>
                <w:rFonts w:ascii="宋体" w:hAnsi="宋体"/>
                <w:sz w:val="18"/>
                <w:szCs w:val="18"/>
              </w:rPr>
              <w:t>不提供不得分，该项总分</w:t>
            </w:r>
            <w:r>
              <w:rPr>
                <w:rFonts w:hint="eastAsia" w:ascii="宋体" w:hAnsi="宋体"/>
                <w:sz w:val="18"/>
                <w:szCs w:val="18"/>
                <w:lang w:val="en-US" w:eastAsia="zh-CN"/>
              </w:rPr>
              <w:t>8</w:t>
            </w:r>
            <w:r>
              <w:rPr>
                <w:rFonts w:ascii="宋体" w:hAnsi="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200" w:type="dxa"/>
            <w:vMerge w:val="continue"/>
            <w:tcBorders>
              <w:top w:val="nil"/>
              <w:left w:val="single" w:color="auto" w:sz="4" w:space="0"/>
              <w:bottom w:val="single" w:color="auto" w:sz="4" w:space="0"/>
              <w:right w:val="single" w:color="auto" w:sz="4" w:space="0"/>
            </w:tcBorders>
            <w:noWrap w:val="0"/>
            <w:vAlign w:val="center"/>
          </w:tcPr>
          <w:p>
            <w:pPr>
              <w:jc w:val="center"/>
              <w:rPr>
                <w:sz w:val="18"/>
                <w:szCs w:val="20"/>
              </w:rPr>
            </w:pPr>
          </w:p>
        </w:tc>
        <w:tc>
          <w:tcPr>
            <w:tcW w:w="117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eastAsia="宋体"/>
                <w:sz w:val="18"/>
                <w:szCs w:val="18"/>
                <w:lang w:eastAsia="zh-CN"/>
              </w:rPr>
            </w:pPr>
            <w:r>
              <w:rPr>
                <w:rFonts w:ascii="宋体" w:hAnsi="宋体"/>
                <w:sz w:val="18"/>
                <w:szCs w:val="18"/>
              </w:rPr>
              <w:t>项目建设进度及施工组织方案</w:t>
            </w:r>
            <w:r>
              <w:rPr>
                <w:rFonts w:ascii="宋体" w:hAnsi="宋体"/>
                <w:sz w:val="18"/>
                <w:szCs w:val="18"/>
              </w:rPr>
              <w:br w:type="textWrapping"/>
            </w:r>
            <w:r>
              <w:rPr>
                <w:rFonts w:hint="eastAsia" w:ascii="宋体" w:hAnsi="宋体"/>
                <w:sz w:val="18"/>
                <w:szCs w:val="18"/>
                <w:lang w:eastAsia="zh-CN"/>
              </w:rPr>
              <w:t>（</w:t>
            </w:r>
            <w:r>
              <w:rPr>
                <w:rFonts w:hint="eastAsia" w:ascii="宋体" w:hAnsi="宋体"/>
                <w:sz w:val="18"/>
                <w:szCs w:val="18"/>
                <w:lang w:val="en-US" w:eastAsia="zh-CN"/>
              </w:rPr>
              <w:t>2分</w:t>
            </w:r>
            <w:r>
              <w:rPr>
                <w:rFonts w:hint="eastAsia" w:ascii="宋体" w:hAnsi="宋体"/>
                <w:sz w:val="18"/>
                <w:szCs w:val="18"/>
                <w:lang w:eastAsia="zh-CN"/>
              </w:rPr>
              <w:t>）</w:t>
            </w:r>
          </w:p>
        </w:tc>
        <w:tc>
          <w:tcPr>
            <w:tcW w:w="99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sz w:val="18"/>
                <w:szCs w:val="18"/>
              </w:rPr>
            </w:pPr>
            <w:r>
              <w:rPr>
                <w:rFonts w:ascii="宋体" w:hAnsi="宋体"/>
                <w:sz w:val="18"/>
                <w:szCs w:val="18"/>
              </w:rPr>
              <w:t>0-</w:t>
            </w:r>
            <w:r>
              <w:rPr>
                <w:rFonts w:hint="eastAsia" w:ascii="宋体" w:hAnsi="宋体"/>
                <w:sz w:val="18"/>
                <w:szCs w:val="18"/>
                <w:lang w:val="en-US" w:eastAsia="zh-CN"/>
              </w:rPr>
              <w:t>2</w:t>
            </w:r>
            <w:r>
              <w:rPr>
                <w:rFonts w:ascii="宋体" w:hAnsi="宋体"/>
                <w:sz w:val="18"/>
                <w:szCs w:val="18"/>
              </w:rPr>
              <w:t>分</w:t>
            </w:r>
          </w:p>
        </w:tc>
        <w:tc>
          <w:tcPr>
            <w:tcW w:w="612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sz w:val="18"/>
                <w:szCs w:val="18"/>
              </w:rPr>
            </w:pPr>
            <w:r>
              <w:rPr>
                <w:rFonts w:ascii="宋体" w:hAnsi="宋体"/>
                <w:sz w:val="18"/>
                <w:szCs w:val="18"/>
              </w:rPr>
              <w:t>针对在本项目是否具有详细的施工方案、符合项目要求，有相应的应急预案及措施进行酌情打分，</w:t>
            </w:r>
            <w:r>
              <w:rPr>
                <w:rFonts w:hint="eastAsia" w:ascii="宋体" w:hAnsi="宋体"/>
                <w:sz w:val="18"/>
                <w:szCs w:val="18"/>
              </w:rPr>
              <w:t>内容齐全得基本分</w:t>
            </w:r>
            <w:r>
              <w:rPr>
                <w:rFonts w:hint="eastAsia" w:ascii="宋体" w:hAnsi="宋体"/>
                <w:sz w:val="18"/>
                <w:szCs w:val="18"/>
                <w:lang w:val="en-US" w:eastAsia="zh-CN"/>
              </w:rPr>
              <w:t>0.6</w:t>
            </w:r>
            <w:r>
              <w:rPr>
                <w:rFonts w:hint="eastAsia" w:ascii="宋体" w:hAnsi="宋体"/>
                <w:sz w:val="18"/>
                <w:szCs w:val="18"/>
              </w:rPr>
              <w:t>分，方案合理性强加</w:t>
            </w:r>
            <w:r>
              <w:rPr>
                <w:rFonts w:hint="eastAsia" w:ascii="宋体" w:hAnsi="宋体"/>
                <w:sz w:val="18"/>
                <w:szCs w:val="18"/>
                <w:lang w:val="en-US" w:eastAsia="zh-CN"/>
              </w:rPr>
              <w:t>0.4</w:t>
            </w:r>
            <w:r>
              <w:rPr>
                <w:rFonts w:hint="eastAsia" w:ascii="宋体" w:hAnsi="宋体"/>
                <w:sz w:val="18"/>
                <w:szCs w:val="18"/>
              </w:rPr>
              <w:t>分，</w:t>
            </w:r>
            <w:r>
              <w:rPr>
                <w:rFonts w:ascii="宋体" w:hAnsi="宋体"/>
                <w:sz w:val="18"/>
                <w:szCs w:val="18"/>
              </w:rPr>
              <w:t>，</w:t>
            </w:r>
            <w:r>
              <w:rPr>
                <w:rFonts w:hint="eastAsia" w:ascii="宋体" w:hAnsi="宋体"/>
                <w:sz w:val="18"/>
                <w:szCs w:val="18"/>
              </w:rPr>
              <w:t>202</w:t>
            </w:r>
            <w:r>
              <w:rPr>
                <w:rFonts w:hint="eastAsia" w:ascii="宋体" w:hAnsi="宋体"/>
                <w:sz w:val="18"/>
                <w:szCs w:val="18"/>
                <w:lang w:val="en-US" w:eastAsia="zh-CN"/>
              </w:rPr>
              <w:t>3</w:t>
            </w:r>
            <w:r>
              <w:rPr>
                <w:rFonts w:hint="eastAsia" w:ascii="宋体" w:hAnsi="宋体"/>
                <w:sz w:val="18"/>
                <w:szCs w:val="18"/>
              </w:rPr>
              <w:t>年</w:t>
            </w:r>
            <w:r>
              <w:rPr>
                <w:rFonts w:hint="eastAsia" w:ascii="宋体" w:hAnsi="宋体"/>
                <w:sz w:val="18"/>
                <w:szCs w:val="18"/>
                <w:lang w:val="en-US" w:eastAsia="zh-CN"/>
              </w:rPr>
              <w:t>3</w:t>
            </w:r>
            <w:r>
              <w:rPr>
                <w:rFonts w:hint="eastAsia" w:ascii="宋体" w:hAnsi="宋体"/>
                <w:sz w:val="18"/>
                <w:szCs w:val="18"/>
              </w:rPr>
              <w:t>月</w:t>
            </w:r>
            <w:r>
              <w:rPr>
                <w:rFonts w:hint="eastAsia" w:ascii="宋体" w:hAnsi="宋体"/>
                <w:sz w:val="18"/>
                <w:szCs w:val="18"/>
                <w:lang w:val="en-US" w:eastAsia="zh-CN"/>
              </w:rPr>
              <w:t>15</w:t>
            </w:r>
            <w:r>
              <w:rPr>
                <w:rFonts w:hint="eastAsia" w:ascii="宋体" w:hAnsi="宋体"/>
                <w:sz w:val="18"/>
                <w:szCs w:val="18"/>
              </w:rPr>
              <w:t>日前承诺完成项目建设初验的</w:t>
            </w:r>
            <w:r>
              <w:rPr>
                <w:rFonts w:ascii="宋体" w:hAnsi="宋体"/>
                <w:sz w:val="18"/>
                <w:szCs w:val="18"/>
              </w:rPr>
              <w:t>加1分</w:t>
            </w:r>
            <w:r>
              <w:rPr>
                <w:rFonts w:hint="eastAsia" w:ascii="宋体" w:hAnsi="宋体"/>
                <w:sz w:val="18"/>
                <w:szCs w:val="18"/>
                <w:lang w:eastAsia="zh-CN"/>
              </w:rPr>
              <w:t>；</w:t>
            </w:r>
            <w:r>
              <w:rPr>
                <w:rFonts w:ascii="宋体" w:hAnsi="宋体"/>
                <w:sz w:val="18"/>
                <w:szCs w:val="18"/>
              </w:rPr>
              <w:t>不提供不得分，该项总分</w:t>
            </w:r>
            <w:r>
              <w:rPr>
                <w:rFonts w:hint="eastAsia" w:ascii="宋体" w:hAnsi="宋体"/>
                <w:sz w:val="18"/>
                <w:szCs w:val="18"/>
                <w:lang w:val="en-US" w:eastAsia="zh-CN"/>
              </w:rPr>
              <w:t>2</w:t>
            </w:r>
            <w:r>
              <w:rPr>
                <w:rFonts w:ascii="宋体" w:hAnsi="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00" w:type="dxa"/>
            <w:vMerge w:val="continue"/>
            <w:tcBorders>
              <w:top w:val="nil"/>
              <w:left w:val="single" w:color="auto" w:sz="4" w:space="0"/>
              <w:bottom w:val="nil"/>
              <w:right w:val="single" w:color="auto" w:sz="4" w:space="0"/>
            </w:tcBorders>
            <w:noWrap w:val="0"/>
            <w:vAlign w:val="center"/>
          </w:tcPr>
          <w:p>
            <w:pPr>
              <w:jc w:val="center"/>
              <w:rPr>
                <w:sz w:val="18"/>
                <w:szCs w:val="20"/>
              </w:rPr>
            </w:pPr>
          </w:p>
        </w:tc>
        <w:tc>
          <w:tcPr>
            <w:tcW w:w="1176" w:type="dxa"/>
            <w:vMerge w:val="restart"/>
            <w:tcBorders>
              <w:top w:val="single" w:color="auto" w:sz="4" w:space="0"/>
              <w:left w:val="nil"/>
              <w:right w:val="single" w:color="auto" w:sz="4" w:space="0"/>
            </w:tcBorders>
            <w:noWrap w:val="0"/>
            <w:vAlign w:val="center"/>
          </w:tcPr>
          <w:p>
            <w:pPr>
              <w:spacing w:line="360" w:lineRule="auto"/>
              <w:jc w:val="center"/>
              <w:rPr>
                <w:rFonts w:hint="default" w:ascii="宋体" w:hAnsi="宋体" w:eastAsia="宋体"/>
                <w:sz w:val="18"/>
                <w:szCs w:val="18"/>
                <w:lang w:val="en-US" w:eastAsia="zh-CN"/>
              </w:rPr>
            </w:pPr>
            <w:r>
              <w:rPr>
                <w:rFonts w:ascii="宋体" w:hAnsi="宋体"/>
                <w:sz w:val="18"/>
                <w:szCs w:val="18"/>
              </w:rPr>
              <w:t>售后服务</w:t>
            </w:r>
            <w:r>
              <w:rPr>
                <w:rFonts w:ascii="宋体" w:hAnsi="宋体"/>
                <w:sz w:val="18"/>
                <w:szCs w:val="18"/>
              </w:rPr>
              <w:br w:type="textWrapping"/>
            </w:r>
            <w:r>
              <w:rPr>
                <w:rFonts w:hint="eastAsia" w:ascii="宋体" w:hAnsi="宋体"/>
                <w:sz w:val="18"/>
                <w:szCs w:val="18"/>
                <w:lang w:val="en-US" w:eastAsia="zh-CN"/>
              </w:rPr>
              <w:t>（4分）</w:t>
            </w:r>
          </w:p>
        </w:tc>
        <w:tc>
          <w:tcPr>
            <w:tcW w:w="99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sz w:val="18"/>
                <w:szCs w:val="18"/>
              </w:rPr>
            </w:pPr>
            <w:r>
              <w:rPr>
                <w:rFonts w:ascii="宋体" w:hAnsi="宋体"/>
                <w:sz w:val="18"/>
                <w:szCs w:val="18"/>
              </w:rPr>
              <w:t>0-</w:t>
            </w:r>
            <w:r>
              <w:rPr>
                <w:rFonts w:hint="eastAsia" w:ascii="宋体" w:hAnsi="宋体"/>
                <w:sz w:val="18"/>
                <w:szCs w:val="18"/>
                <w:lang w:val="en-US" w:eastAsia="zh-CN"/>
              </w:rPr>
              <w:t>1</w:t>
            </w:r>
            <w:r>
              <w:rPr>
                <w:rFonts w:ascii="宋体" w:hAnsi="宋体"/>
                <w:sz w:val="18"/>
                <w:szCs w:val="18"/>
              </w:rPr>
              <w:t>分</w:t>
            </w:r>
          </w:p>
        </w:tc>
        <w:tc>
          <w:tcPr>
            <w:tcW w:w="6124" w:type="dxa"/>
            <w:tcBorders>
              <w:top w:val="single" w:color="auto" w:sz="4" w:space="0"/>
              <w:left w:val="nil"/>
              <w:bottom w:val="single" w:color="auto" w:sz="4" w:space="0"/>
              <w:right w:val="single" w:color="auto" w:sz="4" w:space="0"/>
            </w:tcBorders>
            <w:noWrap w:val="0"/>
            <w:vAlign w:val="center"/>
          </w:tcPr>
          <w:p>
            <w:pPr>
              <w:spacing w:line="360" w:lineRule="auto"/>
              <w:rPr>
                <w:rFonts w:ascii="宋体" w:hAnsi="宋体"/>
                <w:sz w:val="18"/>
                <w:szCs w:val="18"/>
              </w:rPr>
            </w:pPr>
            <w:r>
              <w:rPr>
                <w:rFonts w:ascii="宋体" w:hAnsi="宋体"/>
                <w:sz w:val="18"/>
                <w:szCs w:val="18"/>
              </w:rPr>
              <w:t>根据售后服务承诺的范围、售后服务期限和完善程度（包括服务承诺，保修部件范围，保修、服务标准，人员配备，故障响应修复时间方式及保障措施、培训）等进行打分</w:t>
            </w:r>
            <w:r>
              <w:rPr>
                <w:rFonts w:hint="eastAsia" w:ascii="宋体" w:hAnsi="宋体"/>
                <w:sz w:val="18"/>
                <w:szCs w:val="18"/>
                <w:lang w:eastAsia="zh-CN"/>
              </w:rPr>
              <w:t>。</w:t>
            </w:r>
            <w:r>
              <w:rPr>
                <w:rFonts w:ascii="宋体" w:hAnsi="宋体"/>
                <w:sz w:val="18"/>
                <w:szCs w:val="18"/>
              </w:rPr>
              <w:t>（</w:t>
            </w:r>
            <w:r>
              <w:rPr>
                <w:rFonts w:hint="eastAsia" w:ascii="宋体" w:hAnsi="宋体"/>
                <w:sz w:val="18"/>
                <w:szCs w:val="18"/>
              </w:rPr>
              <w:t>内容齐全得基本分</w:t>
            </w:r>
            <w:r>
              <w:rPr>
                <w:rFonts w:hint="eastAsia" w:ascii="宋体" w:hAnsi="宋体"/>
                <w:sz w:val="18"/>
                <w:szCs w:val="18"/>
                <w:lang w:val="en-US" w:eastAsia="zh-CN"/>
              </w:rPr>
              <w:t>0.6</w:t>
            </w:r>
            <w:r>
              <w:rPr>
                <w:rFonts w:hint="eastAsia" w:ascii="宋体" w:hAnsi="宋体"/>
                <w:sz w:val="18"/>
                <w:szCs w:val="18"/>
              </w:rPr>
              <w:t>分，方案合理性强加</w:t>
            </w:r>
            <w:r>
              <w:rPr>
                <w:rFonts w:hint="eastAsia" w:ascii="宋体" w:hAnsi="宋体"/>
                <w:sz w:val="18"/>
                <w:szCs w:val="18"/>
                <w:lang w:val="en-US" w:eastAsia="zh-CN"/>
              </w:rPr>
              <w:t>0.4</w:t>
            </w:r>
            <w:r>
              <w:rPr>
                <w:rFonts w:hint="eastAsia" w:ascii="宋体" w:hAnsi="宋体"/>
                <w:sz w:val="18"/>
                <w:szCs w:val="18"/>
              </w:rPr>
              <w:t>分，</w:t>
            </w:r>
            <w:r>
              <w:rPr>
                <w:rFonts w:ascii="宋体" w:hAnsi="宋体"/>
                <w:sz w:val="18"/>
                <w:szCs w:val="18"/>
              </w:rPr>
              <w:t>该项总分</w:t>
            </w:r>
            <w:r>
              <w:rPr>
                <w:rFonts w:hint="eastAsia" w:ascii="宋体" w:hAnsi="宋体"/>
                <w:sz w:val="18"/>
                <w:szCs w:val="18"/>
                <w:lang w:val="en-US" w:eastAsia="zh-CN"/>
              </w:rPr>
              <w:t>1</w:t>
            </w:r>
            <w:r>
              <w:rPr>
                <w:rFonts w:ascii="宋体" w:hAnsi="宋体"/>
                <w:sz w:val="18"/>
                <w:szCs w:val="18"/>
              </w:rPr>
              <w:t>分）</w:t>
            </w:r>
            <w:r>
              <w:rPr>
                <w:rFonts w:hint="eastAsia" w:ascii="宋体" w:hAnsi="宋体"/>
                <w:sz w:val="18"/>
                <w:szCs w:val="18"/>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00" w:type="dxa"/>
            <w:tcBorders>
              <w:top w:val="nil"/>
              <w:left w:val="single" w:color="auto" w:sz="4" w:space="0"/>
              <w:bottom w:val="single" w:color="auto" w:sz="4" w:space="0"/>
              <w:right w:val="single" w:color="auto" w:sz="4" w:space="0"/>
            </w:tcBorders>
            <w:noWrap w:val="0"/>
            <w:vAlign w:val="center"/>
          </w:tcPr>
          <w:p>
            <w:pPr>
              <w:jc w:val="center"/>
              <w:rPr>
                <w:sz w:val="18"/>
                <w:szCs w:val="20"/>
              </w:rPr>
            </w:pPr>
          </w:p>
        </w:tc>
        <w:tc>
          <w:tcPr>
            <w:tcW w:w="1176" w:type="dxa"/>
            <w:vMerge w:val="continue"/>
            <w:tcBorders>
              <w:left w:val="nil"/>
              <w:bottom w:val="single" w:color="auto" w:sz="4" w:space="0"/>
              <w:right w:val="single" w:color="auto" w:sz="4" w:space="0"/>
            </w:tcBorders>
            <w:noWrap w:val="0"/>
            <w:vAlign w:val="center"/>
          </w:tcPr>
          <w:p>
            <w:pPr>
              <w:spacing w:line="360" w:lineRule="auto"/>
              <w:jc w:val="center"/>
              <w:rPr>
                <w:rFonts w:ascii="宋体" w:hAnsi="宋体"/>
                <w:sz w:val="18"/>
                <w:szCs w:val="18"/>
              </w:rPr>
            </w:pPr>
          </w:p>
        </w:tc>
        <w:tc>
          <w:tcPr>
            <w:tcW w:w="99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体" w:hAnsi="宋体" w:eastAsia="宋体"/>
                <w:sz w:val="18"/>
                <w:szCs w:val="18"/>
                <w:lang w:val="en-US" w:eastAsia="zh-CN"/>
              </w:rPr>
            </w:pPr>
            <w:r>
              <w:rPr>
                <w:rFonts w:hint="eastAsia" w:ascii="宋体" w:hAnsi="宋体"/>
                <w:sz w:val="18"/>
                <w:szCs w:val="18"/>
                <w:lang w:val="en-US" w:eastAsia="zh-CN"/>
              </w:rPr>
              <w:t>0-3分</w:t>
            </w:r>
          </w:p>
        </w:tc>
        <w:tc>
          <w:tcPr>
            <w:tcW w:w="6124" w:type="dxa"/>
            <w:tcBorders>
              <w:top w:val="single" w:color="auto" w:sz="4" w:space="0"/>
              <w:left w:val="nil"/>
              <w:bottom w:val="single" w:color="auto" w:sz="4" w:space="0"/>
              <w:right w:val="single" w:color="auto" w:sz="4" w:space="0"/>
            </w:tcBorders>
            <w:noWrap w:val="0"/>
            <w:vAlign w:val="center"/>
          </w:tcPr>
          <w:p>
            <w:pPr>
              <w:spacing w:line="360" w:lineRule="auto"/>
              <w:rPr>
                <w:rFonts w:hint="eastAsia" w:ascii="宋体" w:hAnsi="宋体" w:eastAsia="宋体"/>
                <w:sz w:val="18"/>
                <w:szCs w:val="18"/>
                <w:lang w:val="en-US" w:eastAsia="zh-CN"/>
              </w:rPr>
            </w:pPr>
            <w:r>
              <w:rPr>
                <w:rFonts w:hint="eastAsia" w:ascii="宋体" w:hAnsi="宋体"/>
                <w:sz w:val="18"/>
                <w:szCs w:val="18"/>
                <w:lang w:val="zh-CN"/>
              </w:rPr>
              <w:t>在招标文件要求的3年质保期</w:t>
            </w:r>
            <w:r>
              <w:rPr>
                <w:rFonts w:hint="eastAsia" w:ascii="宋体" w:hAnsi="宋体"/>
                <w:sz w:val="18"/>
                <w:szCs w:val="18"/>
                <w:lang w:val="en-US" w:eastAsia="zh-CN"/>
              </w:rPr>
              <w:t>基础上</w:t>
            </w:r>
            <w:r>
              <w:rPr>
                <w:rFonts w:hint="eastAsia" w:ascii="宋体" w:hAnsi="宋体"/>
                <w:sz w:val="18"/>
                <w:szCs w:val="18"/>
                <w:lang w:val="zh-CN"/>
              </w:rPr>
              <w:t>，</w:t>
            </w:r>
            <w:r>
              <w:rPr>
                <w:rFonts w:hint="eastAsia" w:ascii="宋体" w:hAnsi="宋体"/>
                <w:sz w:val="18"/>
                <w:szCs w:val="18"/>
                <w:lang w:val="en-US" w:eastAsia="zh-CN"/>
              </w:rPr>
              <w:t>供应商承诺</w:t>
            </w:r>
            <w:r>
              <w:rPr>
                <w:rFonts w:hint="eastAsia" w:ascii="宋体" w:hAnsi="宋体"/>
                <w:sz w:val="18"/>
                <w:szCs w:val="18"/>
                <w:lang w:val="zh-CN"/>
              </w:rPr>
              <w:t>每增加1年质保加1</w:t>
            </w:r>
            <w:r>
              <w:rPr>
                <w:rFonts w:hint="eastAsia" w:ascii="宋体" w:hAnsi="宋体"/>
                <w:sz w:val="18"/>
                <w:szCs w:val="18"/>
                <w:lang w:val="en-US" w:eastAsia="zh-CN"/>
              </w:rPr>
              <w:t>.5</w:t>
            </w:r>
            <w:r>
              <w:rPr>
                <w:rFonts w:hint="eastAsia" w:ascii="宋体" w:hAnsi="宋体"/>
                <w:sz w:val="18"/>
                <w:szCs w:val="18"/>
                <w:lang w:val="zh-CN"/>
              </w:rPr>
              <w:t>分，</w:t>
            </w:r>
            <w:r>
              <w:rPr>
                <w:rFonts w:ascii="宋体" w:hAnsi="宋体"/>
                <w:sz w:val="18"/>
                <w:szCs w:val="18"/>
              </w:rPr>
              <w:t>该项总分</w:t>
            </w:r>
            <w:r>
              <w:rPr>
                <w:rFonts w:hint="eastAsia" w:ascii="宋体" w:hAnsi="宋体"/>
                <w:sz w:val="18"/>
                <w:szCs w:val="18"/>
                <w:lang w:val="en-US" w:eastAsia="zh-CN"/>
              </w:rPr>
              <w:t>3</w:t>
            </w:r>
            <w:r>
              <w:rPr>
                <w:rFonts w:ascii="宋体" w:hAnsi="宋体"/>
                <w:sz w:val="18"/>
                <w:szCs w:val="18"/>
              </w:rPr>
              <w:t>分</w:t>
            </w:r>
            <w:r>
              <w:rPr>
                <w:rFonts w:hint="eastAsia" w:ascii="宋体" w:hAnsi="宋体"/>
                <w:sz w:val="18"/>
                <w:szCs w:val="18"/>
                <w:lang w:val="zh-CN"/>
              </w:rPr>
              <w:t>。（</w:t>
            </w:r>
            <w:r>
              <w:rPr>
                <w:rFonts w:hint="eastAsia" w:ascii="宋体" w:hAnsi="宋体"/>
                <w:sz w:val="18"/>
                <w:szCs w:val="18"/>
                <w:lang w:val="en-US" w:eastAsia="zh-CN"/>
              </w:rPr>
              <w:t>提供承诺函并加盖公章</w:t>
            </w:r>
            <w:r>
              <w:rPr>
                <w:rFonts w:hint="eastAsia" w:ascii="宋体" w:hAnsi="宋体"/>
                <w:sz w:val="18"/>
                <w:szCs w:val="18"/>
                <w:lang w:val="zh-CN"/>
              </w:rPr>
              <w:t>）</w:t>
            </w:r>
            <w:r>
              <w:rPr>
                <w:rFonts w:ascii="宋体" w:hAnsi="宋体"/>
                <w:sz w:val="18"/>
                <w:szCs w:val="18"/>
              </w:rPr>
              <w:t>不提供不得分</w:t>
            </w:r>
            <w:r>
              <w:rPr>
                <w:rFonts w:hint="eastAsia" w:ascii="宋体" w:hAnsi="宋体"/>
                <w:sz w:val="18"/>
                <w:szCs w:val="18"/>
                <w:lang w:eastAsia="zh-CN"/>
              </w:rPr>
              <w:t>。</w:t>
            </w:r>
          </w:p>
        </w:tc>
      </w:tr>
    </w:tbl>
    <w:p>
      <w:pPr>
        <w:rPr>
          <w:b/>
          <w:bCs/>
        </w:rPr>
      </w:pP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备注：投标人编制投标文件（商务技术文件部分）时，建议按此目录（序号和内容）提供评标标准相应的商务技术资料。</w:t>
      </w:r>
    </w:p>
    <w:p>
      <w:pPr>
        <w:snapToGrid w:val="0"/>
        <w:spacing w:line="360" w:lineRule="auto"/>
        <w:rPr>
          <w:rFonts w:ascii="仿宋" w:hAnsi="仿宋" w:eastAsia="仿宋" w:cs="仿宋"/>
          <w:b/>
          <w:sz w:val="24"/>
        </w:rPr>
      </w:pPr>
      <w:r>
        <w:rPr>
          <w:rFonts w:hint="eastAsia" w:ascii="仿宋" w:hAnsi="仿宋" w:eastAsia="仿宋" w:cs="仿宋"/>
          <w:b/>
          <w:sz w:val="24"/>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24"/>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pPr>
        <w:rPr>
          <w:rFonts w:hint="eastAsia" w:ascii="仿宋" w:hAnsi="仿宋" w:eastAsia="仿宋" w:cs="仿宋"/>
          <w:b/>
          <w:sz w:val="36"/>
          <w:szCs w:val="20"/>
        </w:rPr>
      </w:pPr>
      <w:r>
        <w:rPr>
          <w:rFonts w:hint="eastAsia" w:ascii="仿宋" w:hAnsi="仿宋" w:eastAsia="仿宋" w:cs="仿宋"/>
          <w:b/>
          <w:sz w:val="36"/>
          <w:szCs w:val="20"/>
        </w:rPr>
        <w:br w:type="page"/>
      </w:r>
    </w:p>
    <w:p>
      <w:pPr>
        <w:spacing w:line="360" w:lineRule="auto"/>
        <w:ind w:firstLine="708" w:firstLineChars="196"/>
        <w:rPr>
          <w:rFonts w:ascii="仿宋" w:hAnsi="仿宋" w:eastAsia="仿宋" w:cs="仿宋"/>
          <w:b/>
          <w:sz w:val="36"/>
          <w:szCs w:val="20"/>
        </w:rPr>
      </w:pPr>
      <w:r>
        <w:rPr>
          <w:rFonts w:hint="eastAsia" w:ascii="仿宋" w:hAnsi="仿宋" w:eastAsia="仿宋" w:cs="仿宋"/>
          <w:b/>
          <w:sz w:val="36"/>
          <w:szCs w:val="20"/>
        </w:rPr>
        <w:t>第五部分 拟签订的合同文本</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212"/>
        <w:spacing w:before="0"/>
        <w:ind w:firstLine="508" w:firstLineChars="212"/>
        <w:rPr>
          <w:rFonts w:ascii="仿宋" w:hAnsi="仿宋" w:eastAsia="仿宋" w:cs="仿宋"/>
          <w:kern w:val="0"/>
          <w:szCs w:val="24"/>
        </w:rPr>
      </w:pPr>
      <w:r>
        <w:rPr>
          <w:rFonts w:hint="eastAsia" w:ascii="仿宋" w:hAnsi="仿宋" w:eastAsia="仿宋" w:cs="仿宋"/>
          <w:kern w:val="0"/>
          <w:szCs w:val="24"/>
        </w:rPr>
        <w:t>3.4.1投标文件报价出现前后不一致的，按照下列规定修正：</w:t>
      </w:r>
    </w:p>
    <w:p>
      <w:pPr>
        <w:pStyle w:val="212"/>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212"/>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212"/>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212"/>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212"/>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212"/>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212"/>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24"/>
        </w:rPr>
      </w:pPr>
      <w:r>
        <w:rPr>
          <w:rFonts w:hint="eastAsia" w:ascii="仿宋" w:hAnsi="仿宋" w:eastAsia="仿宋" w:cs="仿宋"/>
          <w:b/>
          <w:sz w:val="24"/>
        </w:rPr>
        <w:t>四、评标中的其他事项</w:t>
      </w:r>
    </w:p>
    <w:p>
      <w:pPr>
        <w:pStyle w:val="212"/>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1"/>
        <w:spacing w:line="360" w:lineRule="auto"/>
        <w:ind w:left="954" w:leftChars="226" w:hanging="479"/>
        <w:rPr>
          <w:rFonts w:ascii="仿宋" w:hAnsi="仿宋" w:eastAsia="仿宋" w:cs="仿宋"/>
        </w:rPr>
      </w:pPr>
      <w:r>
        <w:rPr>
          <w:rFonts w:hint="eastAsia" w:ascii="仿宋" w:hAnsi="仿宋" w:eastAsia="仿宋" w:cs="仿宋"/>
          <w:b/>
          <w:kern w:val="0"/>
        </w:rPr>
        <w:t>4.2投标无效。</w:t>
      </w:r>
      <w:r>
        <w:rPr>
          <w:rFonts w:hint="eastAsia" w:ascii="仿宋" w:hAnsi="仿宋" w:eastAsia="仿宋" w:cs="仿宋"/>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4.2.12投标人仅提交备份投标文件，没有在电子交易平台传输递交投标文件的，投标无效；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31"/>
        <w:snapToGrid w:val="0"/>
        <w:spacing w:line="360" w:lineRule="auto"/>
        <w:ind w:firstLine="413"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31"/>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31"/>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31"/>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31"/>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31"/>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31"/>
        <w:snapToGrid w:val="0"/>
        <w:spacing w:line="360" w:lineRule="auto"/>
        <w:ind w:firstLine="517"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1"/>
        <w:snapToGrid w:val="0"/>
        <w:spacing w:line="360" w:lineRule="auto"/>
        <w:ind w:firstLine="517"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31"/>
        <w:snapToGrid w:val="0"/>
        <w:spacing w:line="360" w:lineRule="auto"/>
        <w:ind w:firstLine="525" w:firstLineChars="250"/>
        <w:rPr>
          <w:rFonts w:ascii="仿宋" w:hAnsi="仿宋" w:eastAsia="仿宋" w:cs="仿宋"/>
        </w:rPr>
      </w:pPr>
      <w:r>
        <w:rPr>
          <w:rFonts w:hint="eastAsia" w:ascii="仿宋" w:hAnsi="仿宋" w:eastAsia="仿宋" w:cs="仿宋"/>
        </w:rPr>
        <w:t>7.1未确定中标或者中标人的，终止本次政府采购活动，重新开展政府采购活动。</w:t>
      </w:r>
    </w:p>
    <w:p>
      <w:pPr>
        <w:pStyle w:val="31"/>
        <w:snapToGrid w:val="0"/>
        <w:spacing w:line="360" w:lineRule="auto"/>
        <w:ind w:firstLine="525" w:firstLineChars="250"/>
        <w:rPr>
          <w:rFonts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1"/>
        <w:snapToGrid w:val="0"/>
        <w:spacing w:line="360" w:lineRule="auto"/>
        <w:ind w:firstLine="525"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31"/>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31"/>
        <w:snapToGrid w:val="0"/>
        <w:spacing w:line="360" w:lineRule="auto"/>
        <w:rPr>
          <w:rFonts w:ascii="仿宋" w:hAnsi="仿宋" w:eastAsia="仿宋" w:cs="仿宋"/>
        </w:r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bookmarkEnd w:id="26"/>
    <w:p>
      <w:pPr>
        <w:rPr>
          <w:rFonts w:ascii="仿宋" w:hAnsi="仿宋" w:eastAsia="仿宋" w:cs="仿宋"/>
        </w:rPr>
      </w:pPr>
      <w:bookmarkStart w:id="414" w:name="第五部分"/>
      <w:bookmarkStart w:id="415" w:name="_Toc86217003"/>
    </w:p>
    <w:p>
      <w:pPr>
        <w:adjustRightInd/>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br w:type="page"/>
      </w:r>
      <w:r>
        <w:rPr>
          <w:rFonts w:hint="eastAsia" w:ascii="仿宋" w:hAnsi="仿宋" w:eastAsia="仿宋" w:cs="仿宋"/>
          <w:b/>
          <w:sz w:val="36"/>
          <w:szCs w:val="20"/>
        </w:rPr>
        <w:t>第五部分 拟签订的合同文本</w:t>
      </w:r>
    </w:p>
    <w:p>
      <w:pPr>
        <w:rPr>
          <w:rFonts w:ascii="仿宋" w:hAnsi="仿宋" w:eastAsia="仿宋" w:cs="仿宋"/>
          <w:sz w:val="24"/>
          <w:u w:val="single"/>
        </w:rPr>
      </w:pPr>
      <w:r>
        <w:rPr>
          <w:rFonts w:hint="eastAsia" w:ascii="仿宋" w:hAnsi="仿宋" w:eastAsia="仿宋" w:cs="仿宋"/>
          <w:sz w:val="24"/>
        </w:rPr>
        <w:t>合同编号：</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ascii="仿宋" w:hAnsi="仿宋" w:eastAsia="仿宋" w:cs="仿宋"/>
          <w:b/>
          <w:sz w:val="36"/>
          <w:szCs w:val="36"/>
        </w:rPr>
      </w:pPr>
      <w:r>
        <w:rPr>
          <w:rFonts w:hint="eastAsia" w:ascii="仿宋" w:hAnsi="仿宋" w:eastAsia="仿宋" w:cs="仿宋"/>
          <w:b/>
          <w:sz w:val="36"/>
          <w:szCs w:val="36"/>
        </w:rPr>
        <w:t>（货物类）</w:t>
      </w:r>
    </w:p>
    <w:p>
      <w:pPr>
        <w:pStyle w:val="844"/>
        <w:rPr>
          <w:rFonts w:ascii="仿宋" w:hAnsi="仿宋" w:eastAsia="仿宋" w:cs="仿宋"/>
          <w:szCs w:val="24"/>
        </w:rPr>
      </w:pPr>
    </w:p>
    <w:p>
      <w:pPr>
        <w:pStyle w:val="844"/>
        <w:rPr>
          <w:rFonts w:ascii="仿宋" w:hAnsi="仿宋" w:eastAsia="仿宋" w:cs="仿宋"/>
          <w:szCs w:val="24"/>
        </w:rPr>
      </w:pPr>
    </w:p>
    <w:p>
      <w:pPr>
        <w:pStyle w:val="844"/>
        <w:ind w:left="0" w:leftChars="0" w:firstLine="0" w:firstLineChars="0"/>
        <w:jc w:val="center"/>
        <w:rPr>
          <w:rFonts w:ascii="仿宋" w:hAnsi="仿宋" w:eastAsia="仿宋" w:cs="仿宋"/>
          <w:b/>
          <w:szCs w:val="24"/>
        </w:rPr>
      </w:pPr>
      <w:r>
        <w:rPr>
          <w:rFonts w:hint="eastAsia" w:ascii="仿宋" w:hAnsi="仿宋" w:eastAsia="仿宋" w:cs="仿宋"/>
          <w:b/>
          <w:szCs w:val="24"/>
        </w:rPr>
        <w:t>第一部分 合同书</w:t>
      </w:r>
    </w:p>
    <w:p>
      <w:pPr>
        <w:pStyle w:val="844"/>
        <w:rPr>
          <w:rFonts w:ascii="仿宋" w:hAnsi="仿宋" w:eastAsia="仿宋" w:cs="仿宋"/>
          <w:szCs w:val="24"/>
        </w:rPr>
      </w:pP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p>
    <w:p>
      <w:pPr>
        <w:pStyle w:val="851"/>
        <w:spacing w:before="120" w:line="22" w:lineRule="atLeast"/>
        <w:rPr>
          <w:rFonts w:ascii="仿宋" w:hAnsi="仿宋" w:eastAsia="仿宋" w:cs="仿宋"/>
          <w:szCs w:val="24"/>
        </w:rPr>
      </w:pPr>
    </w:p>
    <w:p>
      <w:pPr>
        <w:pStyle w:val="851"/>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签订日期：年月日</w:t>
      </w:r>
    </w:p>
    <w:p>
      <w:pPr>
        <w:widowControl/>
        <w:jc w:val="left"/>
        <w:rPr>
          <w:rFonts w:ascii="仿宋" w:hAnsi="仿宋" w:eastAsia="仿宋" w:cs="仿宋"/>
          <w:kern w:val="0"/>
          <w:sz w:val="24"/>
        </w:rPr>
        <w:sectPr>
          <w:pgSz w:w="11907" w:h="16840"/>
          <w:pgMar w:top="1474" w:right="1814" w:bottom="1474" w:left="1814" w:header="851" w:footer="851" w:gutter="0"/>
          <w:cols w:space="720" w:num="1"/>
        </w:sectPr>
      </w:pP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年月日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pStyle w:val="938"/>
        <w:spacing w:before="120" w:after="120"/>
        <w:ind w:left="525"/>
      </w:pPr>
      <w:bookmarkStart w:id="416" w:name="_Toc24059"/>
      <w:bookmarkStart w:id="417" w:name="_Toc3029"/>
      <w:bookmarkStart w:id="418" w:name="_Toc2232"/>
      <w:r>
        <w:rPr>
          <w:rFonts w:hint="eastAsia"/>
        </w:rPr>
        <w:t>1.1 合同组成部分</w:t>
      </w:r>
      <w:bookmarkEnd w:id="416"/>
      <w:bookmarkEnd w:id="417"/>
      <w:bookmarkEnd w:id="418"/>
    </w:p>
    <w:p>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pPr>
        <w:pStyle w:val="938"/>
        <w:spacing w:before="120" w:after="120"/>
        <w:ind w:left="525"/>
      </w:pPr>
      <w:bookmarkStart w:id="419" w:name="_Toc27126"/>
      <w:bookmarkStart w:id="420" w:name="_Toc24300"/>
      <w:bookmarkStart w:id="421" w:name="_Toc21295"/>
      <w:r>
        <w:rPr>
          <w:rFonts w:hint="eastAsia"/>
        </w:rPr>
        <w:t>1.2 货物</w:t>
      </w:r>
      <w:bookmarkEnd w:id="419"/>
      <w:bookmarkEnd w:id="420"/>
      <w:bookmarkEnd w:id="421"/>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货物名称：；</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货物数量：；</w:t>
      </w:r>
    </w:p>
    <w:p>
      <w:pPr>
        <w:spacing w:line="560" w:lineRule="exact"/>
        <w:ind w:firstLine="480" w:firstLineChars="200"/>
        <w:rPr>
          <w:rFonts w:ascii="仿宋" w:hAnsi="仿宋" w:eastAsia="仿宋" w:cs="仿宋"/>
          <w:sz w:val="24"/>
        </w:rPr>
      </w:pPr>
      <w:r>
        <w:rPr>
          <w:rFonts w:hint="eastAsia" w:ascii="仿宋" w:hAnsi="仿宋" w:eastAsia="仿宋" w:cs="仿宋"/>
          <w:sz w:val="24"/>
        </w:rPr>
        <w:t>1.2.3 货物质量：</w:t>
      </w:r>
      <w:r>
        <w:rPr>
          <w:rFonts w:hint="eastAsia" w:ascii="仿宋" w:hAnsi="仿宋" w:eastAsia="仿宋" w:cs="仿宋"/>
          <w:sz w:val="24"/>
          <w:u w:val="single"/>
        </w:rPr>
        <w:t xml:space="preserve">　　　　　　　　　                      　      </w:t>
      </w:r>
      <w:r>
        <w:rPr>
          <w:rFonts w:hint="eastAsia" w:ascii="仿宋" w:hAnsi="仿宋" w:eastAsia="仿宋" w:cs="仿宋"/>
          <w:sz w:val="24"/>
        </w:rPr>
        <w:t>。</w:t>
      </w:r>
    </w:p>
    <w:p>
      <w:pPr>
        <w:pStyle w:val="938"/>
        <w:spacing w:before="120" w:after="120"/>
        <w:ind w:left="525"/>
      </w:pPr>
      <w:bookmarkStart w:id="422" w:name="_Toc23292"/>
      <w:bookmarkStart w:id="423" w:name="_Toc21551"/>
      <w:bookmarkStart w:id="424" w:name="_Toc21631"/>
      <w:r>
        <w:rPr>
          <w:rFonts w:hint="eastAsia"/>
        </w:rPr>
        <w:t>1.3 价款</w:t>
      </w:r>
      <w:bookmarkEnd w:id="422"/>
      <w:bookmarkEnd w:id="423"/>
      <w:bookmarkEnd w:id="424"/>
    </w:p>
    <w:p>
      <w:pPr>
        <w:spacing w:line="560" w:lineRule="exact"/>
        <w:ind w:firstLine="480" w:firstLineChars="200"/>
        <w:rPr>
          <w:rFonts w:ascii="仿宋" w:hAnsi="仿宋" w:eastAsia="仿宋" w:cs="仿宋"/>
          <w:sz w:val="24"/>
        </w:rPr>
      </w:pPr>
      <w:r>
        <w:rPr>
          <w:rFonts w:hint="eastAsia" w:ascii="仿宋" w:hAnsi="仿宋" w:eastAsia="仿宋" w:cs="仿宋"/>
          <w:sz w:val="24"/>
        </w:rPr>
        <w:t>本合同总价为：￥元（大写：元人民币）。</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68"/>
              <w:spacing w:line="560" w:lineRule="exact"/>
              <w:jc w:val="center"/>
              <w:rPr>
                <w:rFonts w:ascii="仿宋" w:hAnsi="仿宋" w:eastAsia="仿宋" w:cs="仿宋"/>
                <w:sz w:val="24"/>
                <w:szCs w:val="24"/>
              </w:rPr>
            </w:pPr>
            <w:r>
              <w:rPr>
                <w:rFonts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268"/>
              <w:spacing w:line="560" w:lineRule="exact"/>
              <w:ind w:firstLine="200"/>
              <w:jc w:val="center"/>
              <w:rPr>
                <w:rFonts w:ascii="仿宋" w:hAnsi="仿宋" w:eastAsia="仿宋" w:cs="仿宋"/>
                <w:sz w:val="24"/>
                <w:szCs w:val="24"/>
              </w:rPr>
            </w:pPr>
            <w:r>
              <w:rPr>
                <w:rFonts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268"/>
              <w:spacing w:line="560" w:lineRule="exact"/>
              <w:jc w:val="center"/>
              <w:rPr>
                <w:rFonts w:ascii="仿宋" w:hAnsi="仿宋" w:eastAsia="仿宋" w:cs="仿宋"/>
                <w:sz w:val="24"/>
                <w:szCs w:val="24"/>
              </w:rPr>
            </w:pPr>
            <w:r>
              <w:rPr>
                <w:rFonts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68"/>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68"/>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68"/>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68"/>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68"/>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68"/>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68"/>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68"/>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68"/>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268"/>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268"/>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268"/>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268"/>
              <w:spacing w:line="560" w:lineRule="exact"/>
              <w:ind w:firstLine="200"/>
              <w:jc w:val="center"/>
              <w:rPr>
                <w:rFonts w:ascii="仿宋" w:hAnsi="仿宋" w:eastAsia="仿宋" w:cs="仿宋"/>
                <w:sz w:val="24"/>
                <w:szCs w:val="24"/>
              </w:rPr>
            </w:pPr>
            <w:r>
              <w:rPr>
                <w:rFonts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268"/>
              <w:spacing w:line="560" w:lineRule="exact"/>
              <w:ind w:firstLine="200"/>
              <w:jc w:val="center"/>
              <w:rPr>
                <w:rFonts w:ascii="仿宋" w:hAnsi="仿宋" w:eastAsia="仿宋" w:cs="仿宋"/>
                <w:sz w:val="24"/>
                <w:szCs w:val="24"/>
              </w:rPr>
            </w:pPr>
          </w:p>
        </w:tc>
      </w:tr>
    </w:tbl>
    <w:p>
      <w:pPr>
        <w:pStyle w:val="938"/>
        <w:spacing w:before="120" w:after="120"/>
        <w:ind w:left="525"/>
      </w:pPr>
      <w:bookmarkStart w:id="425" w:name="_Toc1814"/>
      <w:bookmarkStart w:id="426" w:name="_Toc10340"/>
      <w:bookmarkStart w:id="427" w:name="_Toc22618"/>
      <w:r>
        <w:rPr>
          <w:rFonts w:hint="eastAsia"/>
        </w:rPr>
        <w:t>1.4 付款</w:t>
      </w:r>
      <w:bookmarkEnd w:id="425"/>
      <w:bookmarkEnd w:id="426"/>
      <w:bookmarkEnd w:id="427"/>
      <w:r>
        <w:rPr>
          <w:rFonts w:hint="eastAsia"/>
        </w:rPr>
        <w:t>方式、时间和条件</w:t>
      </w:r>
    </w:p>
    <w:p>
      <w:pPr>
        <w:pStyle w:val="791"/>
        <w:spacing w:before="0" w:beforeAutospacing="0" w:after="0" w:afterAutospacing="0" w:line="360" w:lineRule="auto"/>
        <w:ind w:firstLine="480"/>
        <w:rPr>
          <w:rFonts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仿宋" w:hAnsi="仿宋" w:eastAsia="仿宋" w:cs="仿宋"/>
          <w:sz w:val="24"/>
        </w:rPr>
      </w:pPr>
      <w:r>
        <w:rPr>
          <w:rFonts w:hint="eastAsia" w:ascii="仿宋" w:hAnsi="仿宋" w:eastAsia="仿宋" w:cs="仿宋"/>
          <w:sz w:val="24"/>
        </w:rPr>
        <w:t>1.4.2甲方在政府采购合同中约定预付款，预付款比例为合同金额的</w:t>
      </w:r>
      <w:r>
        <w:rPr>
          <w:rFonts w:hint="eastAsia" w:ascii="仿宋" w:hAnsi="仿宋" w:eastAsia="仿宋" w:cs="仿宋"/>
          <w:sz w:val="24"/>
          <w:lang w:val="en-US" w:eastAsia="zh-CN"/>
        </w:rPr>
        <w:t>4</w:t>
      </w:r>
      <w:r>
        <w:rPr>
          <w:rFonts w:hint="eastAsia" w:ascii="仿宋" w:hAnsi="仿宋" w:eastAsia="仿宋" w:cs="仿宋"/>
          <w:sz w:val="24"/>
        </w:rPr>
        <w:t>0％；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pStyle w:val="938"/>
        <w:spacing w:before="120" w:after="120"/>
        <w:ind w:left="525"/>
      </w:pPr>
      <w:r>
        <w:rPr>
          <w:rFonts w:hint="eastAsia"/>
        </w:rPr>
        <w:t>1.4.4资金支付的方式、时间和条件详见</w:t>
      </w:r>
      <w:r>
        <w:rPr>
          <w:rFonts w:hint="eastAsia"/>
          <w:i/>
          <w:u w:val="single"/>
        </w:rPr>
        <w:t>合同专用条款</w:t>
      </w:r>
      <w:r>
        <w:rPr>
          <w:rFonts w:hint="eastAsia"/>
        </w:rPr>
        <w:t>。</w:t>
      </w:r>
    </w:p>
    <w:p>
      <w:pPr>
        <w:pStyle w:val="938"/>
        <w:spacing w:before="120" w:after="120"/>
        <w:ind w:left="525"/>
      </w:pPr>
      <w:bookmarkStart w:id="428" w:name="_Toc2846"/>
      <w:bookmarkStart w:id="429" w:name="_Toc19304"/>
      <w:bookmarkStart w:id="430" w:name="_Toc32071"/>
      <w:r>
        <w:rPr>
          <w:rFonts w:hint="eastAsia"/>
        </w:rPr>
        <w:t>1.5 货物交付期限、地点和方式</w:t>
      </w:r>
      <w:bookmarkEnd w:id="428"/>
      <w:bookmarkEnd w:id="429"/>
      <w:bookmarkEnd w:id="430"/>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1.5.1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1.5.2 交付地点：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ascii="仿宋" w:hAnsi="仿宋" w:eastAsia="仿宋" w:cs="仿宋"/>
          <w:sz w:val="24"/>
        </w:rPr>
      </w:pPr>
      <w:r>
        <w:rPr>
          <w:rFonts w:hint="eastAsia" w:ascii="仿宋" w:hAnsi="仿宋" w:eastAsia="仿宋" w:cs="仿宋"/>
          <w:sz w:val="24"/>
        </w:rPr>
        <w:t>1.5.3 交付方式：</w:t>
      </w:r>
      <w:r>
        <w:rPr>
          <w:rFonts w:hint="eastAsia" w:ascii="仿宋" w:hAnsi="仿宋" w:eastAsia="仿宋" w:cs="仿宋"/>
          <w:b/>
          <w:i/>
          <w:sz w:val="24"/>
          <w:u w:val="single"/>
        </w:rPr>
        <w:t>合同专用条款</w:t>
      </w:r>
      <w:r>
        <w:rPr>
          <w:rFonts w:hint="eastAsia" w:ascii="仿宋" w:hAnsi="仿宋" w:eastAsia="仿宋" w:cs="仿宋"/>
          <w:sz w:val="24"/>
        </w:rPr>
        <w:t>。</w:t>
      </w:r>
    </w:p>
    <w:p>
      <w:pPr>
        <w:pStyle w:val="938"/>
        <w:spacing w:before="120" w:after="120"/>
        <w:ind w:left="525"/>
      </w:pPr>
      <w:bookmarkStart w:id="431" w:name="_Toc27250"/>
      <w:bookmarkStart w:id="432" w:name="_Toc19554"/>
      <w:bookmarkStart w:id="433" w:name="_Toc21423"/>
      <w:r>
        <w:rPr>
          <w:rFonts w:hint="eastAsia"/>
        </w:rPr>
        <w:t>1.6 违约责任</w:t>
      </w:r>
      <w:bookmarkEnd w:id="431"/>
      <w:bookmarkEnd w:id="432"/>
      <w:bookmarkEnd w:id="433"/>
    </w:p>
    <w:p>
      <w:pPr>
        <w:spacing w:line="560" w:lineRule="exact"/>
        <w:ind w:firstLine="480" w:firstLineChars="200"/>
        <w:rPr>
          <w:rFonts w:ascii="仿宋" w:hAnsi="仿宋" w:eastAsia="仿宋" w:cs="仿宋"/>
          <w:sz w:val="24"/>
        </w:rPr>
      </w:pPr>
      <w:r>
        <w:rPr>
          <w:rFonts w:hint="eastAsia" w:ascii="仿宋" w:hAnsi="仿宋" w:eastAsia="仿宋" w:cs="仿宋"/>
          <w:sz w:val="24"/>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pStyle w:val="938"/>
        <w:spacing w:before="120" w:after="120"/>
        <w:ind w:left="525"/>
      </w:pPr>
      <w:bookmarkStart w:id="434" w:name="_Toc16021"/>
      <w:bookmarkStart w:id="435" w:name="_Toc15583"/>
      <w:bookmarkStart w:id="436" w:name="_Toc28375"/>
      <w:r>
        <w:rPr>
          <w:rFonts w:hint="eastAsia"/>
        </w:rPr>
        <w:t>1.7 合同争议的解决</w:t>
      </w:r>
      <w:bookmarkEnd w:id="434"/>
      <w:bookmarkEnd w:id="435"/>
      <w:bookmarkEnd w:id="436"/>
    </w:p>
    <w:p>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pStyle w:val="938"/>
        <w:spacing w:before="120" w:after="120"/>
        <w:ind w:left="525"/>
      </w:pPr>
      <w:bookmarkStart w:id="437" w:name="_Toc7245"/>
      <w:bookmarkStart w:id="438" w:name="_Toc15322"/>
      <w:bookmarkStart w:id="439" w:name="_Toc11173"/>
      <w:r>
        <w:rPr>
          <w:rFonts w:hint="eastAsia"/>
        </w:rPr>
        <w:t>1.8 合同生效</w:t>
      </w:r>
      <w:bookmarkEnd w:id="437"/>
      <w:bookmarkEnd w:id="438"/>
      <w:bookmarkEnd w:id="439"/>
    </w:p>
    <w:p>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本合同自双方法定代表人（或负责人）或授权代表签字并加盖单位公章后生效。</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开户账号：开户账号：</w:t>
      </w:r>
    </w:p>
    <w:p>
      <w:pPr>
        <w:widowControl/>
        <w:spacing w:line="560" w:lineRule="exact"/>
        <w:jc w:val="left"/>
        <w:rPr>
          <w:rFonts w:ascii="仿宋" w:hAnsi="仿宋" w:eastAsia="仿宋" w:cs="仿宋"/>
          <w:b/>
          <w:sz w:val="24"/>
        </w:rPr>
      </w:pPr>
      <w:bookmarkStart w:id="440" w:name="_Toc331685783"/>
    </w:p>
    <w:p>
      <w:pPr>
        <w:pStyle w:val="844"/>
        <w:spacing w:line="560" w:lineRule="exact"/>
        <w:ind w:firstLine="0" w:firstLineChars="0"/>
        <w:jc w:val="center"/>
        <w:rPr>
          <w:rFonts w:ascii="仿宋" w:hAnsi="仿宋" w:eastAsia="仿宋" w:cs="仿宋"/>
          <w:b/>
          <w:szCs w:val="24"/>
        </w:rPr>
      </w:pPr>
      <w:r>
        <w:rPr>
          <w:rFonts w:hint="eastAsia" w:ascii="仿宋" w:hAnsi="仿宋" w:eastAsia="仿宋" w:cs="仿宋"/>
          <w:b/>
          <w:szCs w:val="24"/>
        </w:rPr>
        <w:t>第二部分 合同一般条款</w:t>
      </w:r>
      <w:bookmarkEnd w:id="440"/>
    </w:p>
    <w:p>
      <w:pPr>
        <w:pStyle w:val="938"/>
        <w:spacing w:before="120" w:after="120"/>
        <w:ind w:left="525"/>
      </w:pPr>
      <w:bookmarkStart w:id="441" w:name="_Toc259093669"/>
      <w:bookmarkStart w:id="442" w:name="_Ref467379101"/>
      <w:bookmarkStart w:id="443" w:name="_Toc487900349"/>
      <w:bookmarkStart w:id="444" w:name="_Toc279701240"/>
      <w:bookmarkStart w:id="445" w:name="_Ref467379214"/>
      <w:bookmarkStart w:id="446" w:name="_Ref467379225"/>
      <w:bookmarkStart w:id="447" w:name="_Ref467379094"/>
      <w:bookmarkStart w:id="448" w:name="_Ref467379205"/>
      <w:bookmarkStart w:id="449" w:name="_Ref467378499"/>
      <w:bookmarkStart w:id="450" w:name="_Ref467378463"/>
      <w:bookmarkStart w:id="451" w:name="_Toc16917"/>
      <w:bookmarkStart w:id="452" w:name="_Toc28763"/>
      <w:bookmarkStart w:id="453" w:name="_Ref467379109"/>
      <w:bookmarkStart w:id="454" w:name="_Toc19614"/>
      <w:bookmarkStart w:id="455" w:name="_Ref467378404"/>
      <w:bookmarkStart w:id="456" w:name="_Ref467379195"/>
      <w:r>
        <w:rPr>
          <w:rFonts w:hint="eastAsia"/>
        </w:rPr>
        <w:t>2.1 定义</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仿宋"/>
          <w:sz w:val="24"/>
        </w:rPr>
      </w:pPr>
      <w:r>
        <w:rPr>
          <w:rFonts w:hint="eastAsia" w:ascii="仿宋" w:hAnsi="仿宋" w:eastAsia="仿宋" w:cs="仿宋"/>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仿宋" w:hAnsi="仿宋" w:eastAsia="仿宋" w:cs="仿宋"/>
          <w:sz w:val="24"/>
        </w:rPr>
      </w:pPr>
      <w:bookmarkStart w:id="457" w:name="_Ref467378840"/>
      <w:r>
        <w:rPr>
          <w:rFonts w:hint="eastAsia" w:ascii="仿宋" w:hAnsi="仿宋" w:eastAsia="仿宋" w:cs="仿宋"/>
          <w:sz w:val="24"/>
        </w:rPr>
        <w:t>2.1.4 “甲方”系指与中标供应商签署合同的采购人</w:t>
      </w:r>
      <w:bookmarkEnd w:id="457"/>
      <w:r>
        <w:rPr>
          <w:rFonts w:hint="eastAsia" w:ascii="仿宋" w:hAnsi="仿宋" w:eastAsia="仿宋" w:cs="仿宋"/>
          <w:sz w:val="24"/>
        </w:rPr>
        <w:t>；采购人委托采购代理机构代表其与乙方签订合同的，采购人的授权委托书作为合同附件。</w:t>
      </w:r>
    </w:p>
    <w:p>
      <w:pPr>
        <w:spacing w:line="560" w:lineRule="exact"/>
        <w:ind w:firstLine="480" w:firstLineChars="200"/>
        <w:rPr>
          <w:rFonts w:ascii="仿宋" w:hAnsi="仿宋" w:eastAsia="仿宋" w:cs="仿宋"/>
          <w:sz w:val="24"/>
        </w:rPr>
      </w:pPr>
      <w:bookmarkStart w:id="458" w:name="_Ref467379400"/>
      <w:r>
        <w:rPr>
          <w:rFonts w:hint="eastAsia" w:ascii="仿宋" w:hAnsi="仿宋" w:eastAsia="仿宋" w:cs="仿宋"/>
          <w:sz w:val="24"/>
        </w:rPr>
        <w:t>2.1.5 “乙方”系指根据合同约定交付货物的中标供应商</w:t>
      </w:r>
      <w:bookmarkEnd w:id="458"/>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sz w:val="24"/>
        </w:rPr>
      </w:pPr>
      <w:bookmarkStart w:id="459" w:name="_Ref467379436"/>
      <w:r>
        <w:rPr>
          <w:rFonts w:hint="eastAsia" w:ascii="仿宋" w:hAnsi="仿宋" w:eastAsia="仿宋" w:cs="仿宋"/>
          <w:sz w:val="24"/>
        </w:rPr>
        <w:t>2.1.6 “现场”系指合同约定货物将要运至或者安装的地点。</w:t>
      </w:r>
      <w:bookmarkEnd w:id="459"/>
    </w:p>
    <w:p>
      <w:pPr>
        <w:pStyle w:val="938"/>
        <w:spacing w:before="120" w:after="120"/>
        <w:ind w:left="525"/>
      </w:pPr>
      <w:bookmarkStart w:id="460" w:name="_Toc13336"/>
      <w:bookmarkStart w:id="461" w:name="_Toc279701241"/>
      <w:bookmarkStart w:id="462" w:name="_Toc259093670"/>
      <w:bookmarkStart w:id="463" w:name="_Toc27635"/>
      <w:bookmarkStart w:id="464" w:name="_Toc32504"/>
      <w:bookmarkStart w:id="465" w:name="_Toc487900350"/>
      <w:r>
        <w:rPr>
          <w:rFonts w:hint="eastAsia"/>
        </w:rPr>
        <w:t>2.2 技术规范</w:t>
      </w:r>
      <w:bookmarkEnd w:id="460"/>
      <w:bookmarkEnd w:id="461"/>
      <w:bookmarkEnd w:id="462"/>
      <w:bookmarkEnd w:id="463"/>
      <w:bookmarkEnd w:id="464"/>
      <w:bookmarkEnd w:id="465"/>
    </w:p>
    <w:p>
      <w:pPr>
        <w:spacing w:line="560" w:lineRule="exact"/>
        <w:ind w:firstLine="480" w:firstLineChars="200"/>
        <w:rPr>
          <w:rFonts w:ascii="仿宋" w:hAnsi="仿宋" w:eastAsia="仿宋" w:cs="仿宋"/>
          <w:sz w:val="24"/>
        </w:rPr>
      </w:pPr>
      <w:r>
        <w:rPr>
          <w:rFonts w:hint="eastAsia" w:ascii="仿宋" w:hAnsi="仿宋" w:eastAsia="仿宋" w:cs="仿宋"/>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pStyle w:val="938"/>
        <w:spacing w:before="120" w:after="120"/>
        <w:ind w:left="525"/>
      </w:pPr>
      <w:bookmarkStart w:id="466" w:name="_Toc259093671"/>
      <w:bookmarkStart w:id="467" w:name="_Toc279701242"/>
      <w:bookmarkStart w:id="468" w:name="_Toc9829"/>
      <w:bookmarkStart w:id="469" w:name="_Toc487900351"/>
      <w:bookmarkStart w:id="470" w:name="_Toc27853"/>
      <w:bookmarkStart w:id="471" w:name="_Toc31634"/>
      <w:r>
        <w:rPr>
          <w:rFonts w:hint="eastAsia"/>
        </w:rPr>
        <w:t>2.3 知识产权</w:t>
      </w:r>
      <w:bookmarkEnd w:id="466"/>
      <w:bookmarkEnd w:id="467"/>
      <w:bookmarkEnd w:id="468"/>
      <w:bookmarkEnd w:id="469"/>
      <w:bookmarkEnd w:id="470"/>
      <w:bookmarkEnd w:id="471"/>
    </w:p>
    <w:p>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s="仿宋"/>
          <w:sz w:val="24"/>
        </w:rPr>
      </w:pPr>
      <w:r>
        <w:rPr>
          <w:rFonts w:hint="eastAsia" w:ascii="仿宋" w:hAnsi="仿宋" w:eastAsia="仿宋" w:cs="仿宋"/>
          <w:sz w:val="24"/>
        </w:rPr>
        <w:t>2.3.2具有知识产权的计算机软件等货物的知识产权归属，详见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pStyle w:val="938"/>
        <w:spacing w:before="120" w:after="120"/>
        <w:ind w:left="525"/>
      </w:pPr>
      <w:bookmarkStart w:id="472" w:name="_Toc4194"/>
      <w:bookmarkStart w:id="473" w:name="_Toc29149"/>
      <w:bookmarkStart w:id="474" w:name="_Toc11932"/>
      <w:r>
        <w:rPr>
          <w:rFonts w:hint="eastAsia"/>
        </w:rPr>
        <w:t>2.4 包装和装运</w:t>
      </w:r>
      <w:bookmarkEnd w:id="472"/>
      <w:bookmarkEnd w:id="473"/>
      <w:bookmarkEnd w:id="474"/>
    </w:p>
    <w:p>
      <w:pPr>
        <w:spacing w:line="560" w:lineRule="exact"/>
        <w:ind w:firstLine="480" w:firstLineChars="200"/>
        <w:rPr>
          <w:rFonts w:ascii="仿宋" w:hAnsi="仿宋" w:eastAsia="仿宋" w:cs="仿宋"/>
          <w:sz w:val="24"/>
        </w:rPr>
      </w:pPr>
      <w:r>
        <w:rPr>
          <w:rFonts w:hint="eastAsia" w:ascii="仿宋" w:hAnsi="仿宋" w:eastAsia="仿宋" w:cs="仿宋"/>
          <w:sz w:val="24"/>
        </w:rPr>
        <w:t>2.4.1除</w:t>
      </w:r>
      <w:r>
        <w:rPr>
          <w:rFonts w:hint="eastAsia" w:ascii="仿宋" w:hAnsi="仿宋" w:eastAsia="仿宋" w:cs="仿宋"/>
          <w:b/>
          <w:i/>
          <w:sz w:val="24"/>
          <w:u w:val="single"/>
        </w:rPr>
        <w:t>合同专用条款</w:t>
      </w:r>
      <w:r>
        <w:rPr>
          <w:rFonts w:hint="eastAsia" w:ascii="仿宋" w:hAnsi="仿宋" w:eastAsia="仿宋" w:cs="仿宋"/>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仿宋"/>
          <w:sz w:val="24"/>
        </w:rPr>
      </w:pPr>
      <w:r>
        <w:rPr>
          <w:rFonts w:hint="eastAsia" w:ascii="仿宋" w:hAnsi="仿宋" w:eastAsia="仿宋" w:cs="仿宋"/>
          <w:sz w:val="24"/>
        </w:rPr>
        <w:t>2.4.2 装运货物的要求和通知，详见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pPr>
        <w:pStyle w:val="938"/>
        <w:spacing w:before="120" w:after="120"/>
        <w:ind w:left="525"/>
      </w:pPr>
      <w:bookmarkStart w:id="475" w:name="_Ref467379536"/>
      <w:bookmarkStart w:id="476" w:name="_Toc259093674"/>
      <w:bookmarkStart w:id="477" w:name="_Toc487900354"/>
      <w:bookmarkStart w:id="478" w:name="_Ref467379542"/>
      <w:bookmarkStart w:id="479" w:name="_Ref467378541"/>
      <w:bookmarkStart w:id="480" w:name="_Ref467378591"/>
      <w:bookmarkStart w:id="481" w:name="_Ref467379527"/>
      <w:bookmarkStart w:id="482" w:name="_Toc279701245"/>
      <w:bookmarkStart w:id="483" w:name="_Toc30272"/>
      <w:bookmarkStart w:id="484" w:name="_Toc19074"/>
      <w:bookmarkStart w:id="485" w:name="_Toc26182"/>
      <w:r>
        <w:rPr>
          <w:rFonts w:hint="eastAsia"/>
        </w:rPr>
        <w:t>2.</w:t>
      </w:r>
      <w:bookmarkEnd w:id="475"/>
      <w:bookmarkEnd w:id="476"/>
      <w:bookmarkEnd w:id="477"/>
      <w:bookmarkEnd w:id="478"/>
      <w:bookmarkEnd w:id="479"/>
      <w:bookmarkEnd w:id="480"/>
      <w:bookmarkEnd w:id="481"/>
      <w:bookmarkEnd w:id="482"/>
      <w:r>
        <w:rPr>
          <w:rFonts w:hint="eastAsia"/>
        </w:rPr>
        <w:t>5 履约检查和问题反馈</w:t>
      </w:r>
      <w:bookmarkEnd w:id="483"/>
      <w:bookmarkEnd w:id="484"/>
      <w:bookmarkEnd w:id="485"/>
    </w:p>
    <w:p>
      <w:pPr>
        <w:spacing w:line="560" w:lineRule="exact"/>
        <w:ind w:firstLine="480" w:firstLineChars="200"/>
        <w:rPr>
          <w:rFonts w:ascii="仿宋" w:hAnsi="仿宋" w:eastAsia="仿宋" w:cs="仿宋"/>
          <w:sz w:val="24"/>
        </w:rPr>
      </w:pPr>
      <w:bookmarkStart w:id="486" w:name="_Ref467379657"/>
      <w:r>
        <w:rPr>
          <w:rFonts w:hint="eastAsia" w:ascii="仿宋" w:hAnsi="仿宋" w:eastAsia="仿宋" w:cs="仿宋"/>
          <w:sz w:val="24"/>
        </w:rPr>
        <w:t>2.5.1</w:t>
      </w:r>
      <w:bookmarkEnd w:id="486"/>
      <w:bookmarkStart w:id="487" w:name="_Toc186431854"/>
      <w:bookmarkStart w:id="488" w:name="_Toc487900357"/>
      <w:bookmarkStart w:id="489" w:name="_Toc279701247"/>
      <w:bookmarkStart w:id="490" w:name="_Ref467379807"/>
      <w:bookmarkStart w:id="491" w:name="_Toc259093676"/>
      <w:bookmarkStart w:id="492" w:name="_Ref467379793"/>
      <w:r>
        <w:rPr>
          <w:rFonts w:hint="eastAsia" w:ascii="仿宋" w:hAnsi="仿宋" w:eastAsia="仿宋" w:cs="仿宋"/>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487"/>
      <w:bookmarkStart w:id="493" w:name="_Toc186431855"/>
      <w:r>
        <w:rPr>
          <w:rFonts w:hint="eastAsia" w:ascii="仿宋" w:hAnsi="仿宋" w:eastAsia="仿宋" w:cs="仿宋"/>
          <w:sz w:val="24"/>
        </w:rPr>
        <w:t>。</w:t>
      </w:r>
    </w:p>
    <w:bookmarkEnd w:id="488"/>
    <w:bookmarkEnd w:id="489"/>
    <w:bookmarkEnd w:id="490"/>
    <w:bookmarkEnd w:id="491"/>
    <w:bookmarkEnd w:id="492"/>
    <w:bookmarkEnd w:id="493"/>
    <w:p>
      <w:pPr>
        <w:pStyle w:val="938"/>
        <w:spacing w:before="120" w:after="120"/>
        <w:ind w:left="525"/>
      </w:pPr>
      <w:bookmarkStart w:id="494" w:name="_Toc487900358"/>
      <w:bookmarkStart w:id="495" w:name="_Ref467379863"/>
      <w:bookmarkStart w:id="496" w:name="_Toc259093677"/>
      <w:bookmarkStart w:id="497" w:name="_Ref467379852"/>
      <w:bookmarkStart w:id="498" w:name="_Ref467379923"/>
      <w:bookmarkStart w:id="499" w:name="_Toc279701248"/>
      <w:bookmarkStart w:id="500" w:name="_Toc3225"/>
      <w:bookmarkStart w:id="501" w:name="_Toc774"/>
      <w:bookmarkStart w:id="502" w:name="_Toc16110"/>
      <w:r>
        <w:rPr>
          <w:rFonts w:hint="eastAsia"/>
        </w:rPr>
        <w:t>2.6 技术资料</w:t>
      </w:r>
      <w:bookmarkEnd w:id="494"/>
      <w:bookmarkEnd w:id="495"/>
      <w:bookmarkEnd w:id="496"/>
      <w:bookmarkEnd w:id="497"/>
      <w:bookmarkEnd w:id="498"/>
      <w:bookmarkEnd w:id="499"/>
      <w:r>
        <w:rPr>
          <w:rFonts w:hint="eastAsia"/>
        </w:rPr>
        <w:t>和保密义务</w:t>
      </w:r>
      <w:bookmarkEnd w:id="500"/>
      <w:bookmarkEnd w:id="501"/>
      <w:bookmarkEnd w:id="502"/>
    </w:p>
    <w:p>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938"/>
        <w:spacing w:before="120" w:after="120"/>
        <w:ind w:left="525"/>
      </w:pPr>
      <w:bookmarkStart w:id="503" w:name="_Toc7860"/>
      <w:r>
        <w:rPr>
          <w:rFonts w:hint="eastAsia"/>
        </w:rPr>
        <w:t>2.7 质量保证</w:t>
      </w:r>
      <w:bookmarkEnd w:id="503"/>
    </w:p>
    <w:p>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pStyle w:val="938"/>
        <w:spacing w:before="120" w:after="120"/>
        <w:ind w:left="525"/>
      </w:pPr>
      <w:bookmarkStart w:id="504" w:name="_Toc17244"/>
      <w:bookmarkStart w:id="505" w:name="_Toc487900362"/>
      <w:bookmarkStart w:id="506" w:name="_Toc279701252"/>
      <w:bookmarkStart w:id="507" w:name="_Toc259093681"/>
      <w:r>
        <w:rPr>
          <w:rFonts w:hint="eastAsia"/>
        </w:rPr>
        <w:t>2.8 货物的风险负担</w:t>
      </w:r>
      <w:bookmarkEnd w:id="504"/>
    </w:p>
    <w:p>
      <w:pPr>
        <w:spacing w:line="560" w:lineRule="exact"/>
        <w:ind w:firstLine="480" w:firstLineChars="200"/>
        <w:rPr>
          <w:rFonts w:ascii="仿宋" w:hAnsi="仿宋" w:eastAsia="仿宋" w:cs="仿宋"/>
          <w:b/>
          <w:sz w:val="24"/>
        </w:rPr>
      </w:pPr>
      <w:r>
        <w:rPr>
          <w:rFonts w:hint="eastAsia" w:ascii="仿宋" w:hAnsi="仿宋" w:eastAsia="仿宋" w:cs="仿宋"/>
          <w:sz w:val="24"/>
        </w:rPr>
        <w:t>货物或者在途货物或者交付给第一承运人后的货物毁损、灭失的风险负担详见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pPr>
        <w:pStyle w:val="938"/>
        <w:spacing w:before="120" w:after="120"/>
        <w:ind w:left="525"/>
      </w:pPr>
      <w:bookmarkStart w:id="508" w:name="_Toc14055"/>
      <w:r>
        <w:rPr>
          <w:rFonts w:hint="eastAsia"/>
        </w:rPr>
        <w:t>2.9 延迟交货</w:t>
      </w:r>
      <w:bookmarkEnd w:id="505"/>
      <w:bookmarkEnd w:id="506"/>
      <w:bookmarkEnd w:id="507"/>
      <w:bookmarkEnd w:id="508"/>
    </w:p>
    <w:p>
      <w:pPr>
        <w:spacing w:line="560" w:lineRule="exact"/>
        <w:ind w:firstLine="480" w:firstLineChars="200"/>
        <w:rPr>
          <w:rFonts w:ascii="仿宋" w:hAnsi="仿宋" w:eastAsia="仿宋" w:cs="仿宋"/>
          <w:sz w:val="24"/>
        </w:rPr>
      </w:pPr>
      <w:r>
        <w:rPr>
          <w:rFonts w:hint="eastAsia" w:ascii="仿宋" w:hAnsi="仿宋" w:eastAsia="仿宋" w:cs="仿宋"/>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938"/>
        <w:spacing w:before="120" w:after="120"/>
        <w:ind w:left="525"/>
      </w:pPr>
      <w:bookmarkStart w:id="509" w:name="_Toc7502"/>
      <w:bookmarkStart w:id="510" w:name="_Ref467378121"/>
      <w:bookmarkStart w:id="511" w:name="_Toc259093683"/>
      <w:bookmarkStart w:id="512" w:name="_Toc279701254"/>
      <w:bookmarkStart w:id="513" w:name="_Toc487900364"/>
      <w:r>
        <w:rPr>
          <w:rFonts w:hint="eastAsia"/>
        </w:rPr>
        <w:t>2.10 合同变更</w:t>
      </w:r>
      <w:bookmarkEnd w:id="509"/>
    </w:p>
    <w:p>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514" w:name="_Toc487900369"/>
      <w:bookmarkStart w:id="515" w:name="_Toc259093688"/>
      <w:bookmarkStart w:id="516" w:name="_Toc279701259"/>
    </w:p>
    <w:p>
      <w:pPr>
        <w:pStyle w:val="938"/>
        <w:spacing w:before="120" w:after="120"/>
        <w:ind w:left="525"/>
      </w:pPr>
      <w:bookmarkStart w:id="517" w:name="_Toc22955"/>
      <w:bookmarkStart w:id="518" w:name="_Toc15237"/>
      <w:bookmarkStart w:id="519" w:name="_Toc10366"/>
      <w:r>
        <w:rPr>
          <w:rFonts w:hint="eastAsia"/>
        </w:rPr>
        <w:t>2.11 合同转让</w:t>
      </w:r>
      <w:bookmarkEnd w:id="514"/>
      <w:bookmarkEnd w:id="515"/>
      <w:bookmarkEnd w:id="516"/>
      <w:r>
        <w:rPr>
          <w:rFonts w:hint="eastAsia"/>
        </w:rPr>
        <w:t>和分包</w:t>
      </w:r>
      <w:bookmarkEnd w:id="517"/>
      <w:bookmarkEnd w:id="518"/>
      <w:bookmarkEnd w:id="519"/>
    </w:p>
    <w:p>
      <w:pPr>
        <w:spacing w:line="560" w:lineRule="exact"/>
        <w:ind w:firstLine="480" w:firstLineChars="200"/>
        <w:rPr>
          <w:rFonts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2.11.2乙方采取分包方式履行合同的，甲方可直接向分包供应商支付款项。</w:t>
      </w:r>
    </w:p>
    <w:p>
      <w:pPr>
        <w:pStyle w:val="938"/>
        <w:spacing w:before="120" w:after="120"/>
        <w:ind w:left="525"/>
      </w:pPr>
      <w:bookmarkStart w:id="520" w:name="_Toc14066"/>
      <w:bookmarkStart w:id="521" w:name="_Toc16508"/>
      <w:bookmarkStart w:id="522" w:name="_Toc13566"/>
      <w:r>
        <w:rPr>
          <w:rFonts w:hint="eastAsia"/>
        </w:rPr>
        <w:t>2.12 不可抗力</w:t>
      </w:r>
      <w:bookmarkEnd w:id="520"/>
      <w:bookmarkEnd w:id="521"/>
      <w:bookmarkEnd w:id="522"/>
    </w:p>
    <w:p>
      <w:pPr>
        <w:spacing w:line="560" w:lineRule="exact"/>
        <w:ind w:firstLine="480" w:firstLineChars="200"/>
        <w:rPr>
          <w:rFonts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sz w:val="24"/>
        </w:rPr>
      </w:pPr>
      <w:r>
        <w:rPr>
          <w:rFonts w:hint="eastAsia" w:ascii="仿宋" w:hAnsi="仿宋" w:eastAsia="仿宋" w:cs="仿宋"/>
          <w:sz w:val="24"/>
        </w:rPr>
        <w:t>2.12.2 因不可抗力致使不能实现合同目的的，当事人可以解除合同；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pStyle w:val="938"/>
        <w:spacing w:before="120" w:after="120"/>
        <w:ind w:left="525"/>
      </w:pPr>
      <w:bookmarkStart w:id="523" w:name="_Toc279701255"/>
      <w:bookmarkStart w:id="524" w:name="_Toc30676"/>
      <w:bookmarkStart w:id="525" w:name="_Toc259093684"/>
      <w:bookmarkStart w:id="526" w:name="_Toc6969"/>
      <w:bookmarkStart w:id="527" w:name="_Toc689"/>
      <w:bookmarkStart w:id="528" w:name="_Toc487900365"/>
      <w:r>
        <w:rPr>
          <w:rFonts w:hint="eastAsia"/>
        </w:rPr>
        <w:t>2.13 税费</w:t>
      </w:r>
      <w:bookmarkEnd w:id="523"/>
      <w:bookmarkEnd w:id="524"/>
      <w:bookmarkEnd w:id="525"/>
      <w:bookmarkEnd w:id="526"/>
      <w:bookmarkEnd w:id="527"/>
      <w:bookmarkEnd w:id="528"/>
    </w:p>
    <w:p>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pPr>
        <w:pStyle w:val="938"/>
        <w:spacing w:before="120" w:after="120"/>
        <w:ind w:left="525"/>
      </w:pPr>
      <w:bookmarkStart w:id="529" w:name="_Toc259093687"/>
      <w:bookmarkStart w:id="530" w:name="_Toc7102"/>
      <w:bookmarkStart w:id="531" w:name="_Toc8298"/>
      <w:bookmarkStart w:id="532" w:name="_Toc16959"/>
      <w:bookmarkStart w:id="533" w:name="_Toc279701258"/>
      <w:bookmarkStart w:id="534" w:name="_Toc487900368"/>
      <w:r>
        <w:rPr>
          <w:rFonts w:hint="eastAsia"/>
        </w:rPr>
        <w:t>2.14乙方破产</w:t>
      </w:r>
      <w:bookmarkEnd w:id="529"/>
      <w:bookmarkEnd w:id="530"/>
      <w:bookmarkEnd w:id="531"/>
      <w:bookmarkEnd w:id="532"/>
      <w:bookmarkEnd w:id="533"/>
      <w:bookmarkEnd w:id="534"/>
    </w:p>
    <w:p>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938"/>
        <w:spacing w:before="120" w:after="120"/>
        <w:ind w:left="525"/>
      </w:pPr>
      <w:bookmarkStart w:id="535" w:name="_Toc6134"/>
      <w:bookmarkStart w:id="536" w:name="_Toc29333"/>
      <w:bookmarkStart w:id="537" w:name="_Toc15387"/>
      <w:r>
        <w:rPr>
          <w:rFonts w:hint="eastAsia"/>
        </w:rPr>
        <w:t>2.15 合同中止、终止</w:t>
      </w:r>
      <w:bookmarkEnd w:id="535"/>
      <w:bookmarkEnd w:id="536"/>
      <w:bookmarkEnd w:id="537"/>
    </w:p>
    <w:p>
      <w:pPr>
        <w:spacing w:line="560" w:lineRule="exact"/>
        <w:ind w:firstLine="480" w:firstLineChars="200"/>
        <w:rPr>
          <w:rFonts w:ascii="仿宋" w:hAnsi="仿宋" w:eastAsia="仿宋" w:cs="仿宋"/>
          <w:sz w:val="24"/>
        </w:rPr>
      </w:pPr>
      <w:r>
        <w:rPr>
          <w:rFonts w:hint="eastAsia" w:ascii="仿宋" w:hAnsi="仿宋" w:eastAsia="仿宋" w:cs="仿宋"/>
          <w:sz w:val="24"/>
        </w:rPr>
        <w:t>2.15.1 双方当事人不得擅自中止或者终止合同；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pPr>
        <w:pStyle w:val="938"/>
        <w:spacing w:before="120" w:after="120"/>
        <w:ind w:left="525"/>
      </w:pPr>
      <w:bookmarkStart w:id="538" w:name="_Toc6596"/>
      <w:bookmarkStart w:id="539" w:name="_Toc14563"/>
      <w:bookmarkStart w:id="540" w:name="_Toc1125"/>
      <w:r>
        <w:rPr>
          <w:rFonts w:hint="eastAsia"/>
        </w:rPr>
        <w:t>2.16检验和验收</w:t>
      </w:r>
      <w:bookmarkEnd w:id="538"/>
      <w:bookmarkEnd w:id="539"/>
      <w:bookmarkEnd w:id="540"/>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2.16.1货物交付前，乙方应对货物的质量、数量等方面进行详细、全面的检验，并向甲方出具证明货物符合合同约定的文件；货物交付时，乙方在</w:t>
      </w:r>
      <w:r>
        <w:rPr>
          <w:rFonts w:hint="eastAsia" w:ascii="仿宋" w:hAnsi="仿宋" w:eastAsia="仿宋" w:cs="仿宋"/>
          <w:b/>
          <w:i/>
          <w:sz w:val="24"/>
          <w:u w:val="single"/>
        </w:rPr>
        <w:t>合同专用条款</w:t>
      </w:r>
      <w:r>
        <w:rPr>
          <w:rFonts w:hint="eastAsia" w:ascii="仿宋" w:hAnsi="仿宋" w:eastAsia="仿宋" w:cs="仿宋"/>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510"/>
    <w:bookmarkEnd w:id="511"/>
    <w:bookmarkEnd w:id="512"/>
    <w:bookmarkEnd w:id="513"/>
    <w:p>
      <w:pPr>
        <w:pStyle w:val="938"/>
        <w:spacing w:before="120" w:after="120"/>
        <w:ind w:left="525"/>
      </w:pPr>
      <w:bookmarkStart w:id="541" w:name="_Toc487900371"/>
      <w:bookmarkStart w:id="542" w:name="_Toc259093690"/>
      <w:bookmarkStart w:id="543" w:name="_Toc279701261"/>
      <w:bookmarkStart w:id="544" w:name="_Toc11284"/>
      <w:bookmarkStart w:id="545" w:name="_Toc19604"/>
      <w:bookmarkStart w:id="546" w:name="_Toc25182"/>
      <w:r>
        <w:rPr>
          <w:rFonts w:hint="eastAsia"/>
        </w:rPr>
        <w:t>2.17 通知</w:t>
      </w:r>
      <w:bookmarkEnd w:id="541"/>
      <w:bookmarkEnd w:id="542"/>
      <w:bookmarkEnd w:id="543"/>
      <w:r>
        <w:rPr>
          <w:rFonts w:hint="eastAsia"/>
        </w:rPr>
        <w:t>和送达</w:t>
      </w:r>
      <w:bookmarkEnd w:id="544"/>
      <w:bookmarkEnd w:id="545"/>
      <w:bookmarkEnd w:id="546"/>
    </w:p>
    <w:p>
      <w:pPr>
        <w:spacing w:line="560" w:lineRule="exact"/>
        <w:ind w:firstLine="480" w:firstLineChars="200"/>
        <w:rPr>
          <w:rFonts w:ascii="仿宋" w:hAnsi="仿宋" w:eastAsia="仿宋" w:cs="仿宋"/>
          <w:sz w:val="24"/>
        </w:rPr>
      </w:pPr>
      <w:bookmarkStart w:id="547" w:name="_Toc3135"/>
      <w:bookmarkStart w:id="548" w:name="_Toc6698"/>
      <w:bookmarkStart w:id="549" w:name="_Toc279701262"/>
      <w:bookmarkStart w:id="550" w:name="_Toc259093691"/>
      <w:bookmarkStart w:id="551" w:name="_Toc487900372"/>
      <w:r>
        <w:rPr>
          <w:rFonts w:hint="eastAsia" w:ascii="仿宋" w:hAnsi="仿宋" w:eastAsia="仿宋" w:cs="仿宋"/>
          <w:sz w:val="24"/>
        </w:rPr>
        <w:t>2.17.1任何一方因履行合同而以合同第一部分尾部所列明的传真或电子邮件 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bookmarkEnd w:id="547"/>
      <w:bookmarkEnd w:id="548"/>
    </w:p>
    <w:p>
      <w:pPr>
        <w:spacing w:line="560" w:lineRule="exact"/>
        <w:ind w:firstLine="480" w:firstLineChars="200"/>
        <w:rPr>
          <w:rFonts w:ascii="仿宋" w:hAnsi="仿宋" w:eastAsia="仿宋" w:cs="仿宋"/>
          <w:sz w:val="24"/>
        </w:rPr>
      </w:pPr>
      <w:bookmarkStart w:id="552" w:name="_Toc23294"/>
      <w:bookmarkStart w:id="553" w:name="_Toc23128"/>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52"/>
      <w:bookmarkEnd w:id="553"/>
    </w:p>
    <w:p>
      <w:pPr>
        <w:pStyle w:val="938"/>
        <w:spacing w:before="120" w:after="120"/>
        <w:ind w:left="525"/>
      </w:pPr>
      <w:bookmarkStart w:id="554" w:name="_Toc30599"/>
      <w:bookmarkStart w:id="555" w:name="_Toc4355"/>
      <w:bookmarkStart w:id="556" w:name="_Toc18540"/>
      <w:r>
        <w:rPr>
          <w:rFonts w:hint="eastAsia"/>
        </w:rPr>
        <w:t>2.18 计量单位</w:t>
      </w:r>
      <w:bookmarkEnd w:id="549"/>
      <w:bookmarkEnd w:id="550"/>
      <w:bookmarkEnd w:id="551"/>
      <w:bookmarkEnd w:id="554"/>
      <w:bookmarkEnd w:id="555"/>
      <w:bookmarkEnd w:id="556"/>
    </w:p>
    <w:p>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pStyle w:val="938"/>
        <w:spacing w:before="120" w:after="120"/>
        <w:ind w:left="525"/>
      </w:pPr>
      <w:bookmarkStart w:id="557" w:name="_Toc487900373"/>
      <w:bookmarkStart w:id="558" w:name="_Toc279701263"/>
      <w:bookmarkStart w:id="559" w:name="_Toc12773"/>
      <w:bookmarkStart w:id="560" w:name="_Toc10330"/>
      <w:bookmarkStart w:id="561" w:name="_Toc18567"/>
      <w:bookmarkStart w:id="562" w:name="_Toc259093692"/>
      <w:r>
        <w:rPr>
          <w:rFonts w:hint="eastAsia"/>
        </w:rPr>
        <w:t>2.19 合同使用的文字和适用的法律</w:t>
      </w:r>
      <w:bookmarkEnd w:id="557"/>
      <w:bookmarkEnd w:id="558"/>
      <w:bookmarkEnd w:id="559"/>
      <w:bookmarkEnd w:id="560"/>
      <w:bookmarkEnd w:id="561"/>
      <w:bookmarkEnd w:id="562"/>
    </w:p>
    <w:p>
      <w:pPr>
        <w:spacing w:line="560" w:lineRule="exact"/>
        <w:ind w:firstLine="480" w:firstLineChars="200"/>
        <w:rPr>
          <w:rFonts w:ascii="仿宋" w:hAnsi="仿宋" w:eastAsia="仿宋" w:cs="仿宋"/>
          <w:sz w:val="24"/>
        </w:rPr>
      </w:pPr>
      <w:r>
        <w:rPr>
          <w:rFonts w:hint="eastAsia" w:ascii="仿宋" w:hAnsi="仿宋" w:eastAsia="仿宋" w:cs="仿宋"/>
          <w:sz w:val="24"/>
        </w:rPr>
        <w:t>2.19.1 合同使用汉语书就、变更和解释；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2.19.2 合同适用中华人民共和国法律。</w:t>
      </w:r>
    </w:p>
    <w:p>
      <w:pPr>
        <w:pStyle w:val="938"/>
        <w:spacing w:before="120" w:after="120"/>
        <w:ind w:left="525"/>
      </w:pPr>
      <w:bookmarkStart w:id="563" w:name="_Toc16673"/>
      <w:bookmarkStart w:id="564" w:name="_Toc12004"/>
      <w:bookmarkStart w:id="565" w:name="_Toc279701264"/>
      <w:bookmarkStart w:id="566" w:name="_Toc3148"/>
      <w:bookmarkStart w:id="567" w:name="_Toc259093693"/>
      <w:bookmarkStart w:id="568" w:name="_Toc487900374"/>
      <w:r>
        <w:rPr>
          <w:rFonts w:hint="eastAsia"/>
        </w:rPr>
        <w:t>2.20 履约保证金</w:t>
      </w:r>
      <w:bookmarkEnd w:id="563"/>
      <w:bookmarkEnd w:id="564"/>
      <w:bookmarkEnd w:id="565"/>
      <w:bookmarkEnd w:id="566"/>
      <w:bookmarkEnd w:id="567"/>
    </w:p>
    <w:p>
      <w:pPr>
        <w:pStyle w:val="791"/>
        <w:spacing w:before="0" w:beforeAutospacing="0" w:after="0" w:afterAutospacing="0" w:line="360" w:lineRule="auto"/>
        <w:ind w:firstLine="420"/>
        <w:rPr>
          <w:rFonts w:ascii="仿宋" w:hAnsi="仿宋" w:eastAsia="仿宋" w:cs="仿宋"/>
        </w:rPr>
      </w:pPr>
      <w:r>
        <w:rPr>
          <w:rFonts w:hint="eastAsia" w:ascii="仿宋" w:hAnsi="仿宋" w:eastAsia="仿宋" w:cs="仿宋"/>
        </w:rPr>
        <w:t>2.20.1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约定的方式，以支票、汇票、本票或者金融机构、担保机构出具的保函等非现金形式，提交不超过合同金额1%的履约保证金；鼓励和支持乙方以银行、保险公司出具的保函形式提供履约保证。</w:t>
      </w:r>
    </w:p>
    <w:p>
      <w:pPr>
        <w:spacing w:line="560" w:lineRule="exact"/>
        <w:ind w:firstLine="480" w:firstLineChars="200"/>
        <w:rPr>
          <w:rFonts w:ascii="仿宋" w:hAnsi="仿宋" w:eastAsia="仿宋" w:cs="仿宋"/>
          <w:sz w:val="24"/>
        </w:rPr>
      </w:pPr>
      <w:r>
        <w:rPr>
          <w:rFonts w:hint="eastAsia" w:ascii="仿宋" w:hAnsi="仿宋" w:eastAsia="仿宋" w:cs="仿宋"/>
          <w:sz w:val="24"/>
        </w:rPr>
        <w:t>2.20.2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约定期间内不予退还。乙方在前述约定期间届满前能履行完合同约定义务事项的，甲方在前述约定期间届满之日起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560" w:lineRule="exact"/>
        <w:ind w:firstLine="480" w:firstLineChars="200"/>
        <w:rPr>
          <w:rFonts w:ascii="仿宋" w:hAnsi="仿宋" w:eastAsia="仿宋" w:cs="仿宋"/>
          <w:sz w:val="24"/>
        </w:rPr>
      </w:pPr>
      <w:r>
        <w:rPr>
          <w:rFonts w:hint="eastAsia" w:ascii="仿宋" w:hAnsi="仿宋" w:eastAsia="仿宋" w:cs="仿宋"/>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s="仿宋"/>
        </w:rPr>
      </w:pPr>
      <w:r>
        <w:rPr>
          <w:rFonts w:hint="eastAsia" w:ascii="仿宋" w:hAnsi="仿宋" w:eastAsia="仿宋" w:cs="仿宋"/>
          <w:sz w:val="24"/>
        </w:rPr>
        <w:t>2.20.4甲方在乙方履行完合同约定义务事项后及时退还，延迟退还的，应当按照合同约定和法律规定承担相应的赔偿责任。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2.21对于因甲方原因导致变更、中止或者终止政府采购合同的，甲方应当依照合同约定对供应商受到的损失予以赔偿或者补偿。</w:t>
      </w:r>
    </w:p>
    <w:bookmarkEnd w:id="568"/>
    <w:p>
      <w:pPr>
        <w:pStyle w:val="938"/>
        <w:spacing w:before="120" w:after="120"/>
        <w:ind w:left="525"/>
      </w:pPr>
      <w:bookmarkStart w:id="569" w:name="_Toc14001"/>
      <w:bookmarkStart w:id="570" w:name="_Toc19890"/>
      <w:bookmarkStart w:id="571" w:name="_Toc6885"/>
      <w:r>
        <w:rPr>
          <w:rFonts w:hint="eastAsia"/>
        </w:rPr>
        <w:t>2.22合同份数</w:t>
      </w:r>
      <w:bookmarkEnd w:id="569"/>
      <w:bookmarkEnd w:id="570"/>
      <w:bookmarkEnd w:id="571"/>
    </w:p>
    <w:p>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844"/>
        <w:spacing w:line="560" w:lineRule="exact"/>
        <w:ind w:firstLine="0" w:firstLineChars="0"/>
        <w:jc w:val="center"/>
        <w:rPr>
          <w:rFonts w:ascii="仿宋" w:hAnsi="仿宋" w:eastAsia="仿宋" w:cs="仿宋"/>
          <w:b/>
          <w:szCs w:val="24"/>
        </w:rPr>
      </w:pPr>
      <w:r>
        <w:rPr>
          <w:rFonts w:hint="eastAsia" w:ascii="仿宋" w:hAnsi="仿宋" w:eastAsia="仿宋" w:cs="仿宋"/>
          <w:kern w:val="0"/>
          <w:szCs w:val="24"/>
        </w:rPr>
        <w:br w:type="page"/>
      </w:r>
      <w:bookmarkStart w:id="572" w:name="_Toc331685784"/>
      <w:bookmarkEnd w:id="572"/>
      <w:r>
        <w:rPr>
          <w:rFonts w:hint="eastAsia" w:ascii="仿宋" w:hAnsi="仿宋" w:eastAsia="仿宋" w:cs="仿宋"/>
          <w:b/>
          <w:szCs w:val="24"/>
        </w:rPr>
        <w:t>第三部分  合同专用条款</w:t>
      </w:r>
    </w:p>
    <w:p>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pPr>
              <w:spacing w:line="360" w:lineRule="auto"/>
              <w:jc w:val="center"/>
              <w:rPr>
                <w:rFonts w:ascii="仿宋" w:hAnsi="仿宋" w:eastAsia="仿宋" w:cs="仿宋"/>
                <w:b/>
                <w:sz w:val="24"/>
              </w:rPr>
            </w:pPr>
            <w:r>
              <w:rPr>
                <w:rFonts w:ascii="仿宋" w:hAnsi="仿宋" w:eastAsia="仿宋" w:cs="仿宋"/>
                <w:b/>
                <w:sz w:val="24"/>
              </w:rPr>
              <w:t>条款号</w:t>
            </w:r>
          </w:p>
        </w:tc>
        <w:tc>
          <w:tcPr>
            <w:tcW w:w="7558" w:type="dxa"/>
            <w:vAlign w:val="center"/>
          </w:tcPr>
          <w:p>
            <w:pPr>
              <w:spacing w:line="360" w:lineRule="auto"/>
              <w:jc w:val="center"/>
              <w:rPr>
                <w:rFonts w:ascii="仿宋" w:hAnsi="仿宋" w:eastAsia="仿宋" w:cs="仿宋"/>
                <w:b/>
                <w:sz w:val="24"/>
              </w:rPr>
            </w:pPr>
            <w:r>
              <w:rPr>
                <w:rFonts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rPr>
            </w:pPr>
            <w:r>
              <w:rPr>
                <w:rFonts w:ascii="仿宋" w:hAnsi="仿宋" w:eastAsia="仿宋" w:cs="仿宋"/>
                <w:sz w:val="24"/>
              </w:rPr>
              <w:t>1.4.4</w:t>
            </w:r>
          </w:p>
        </w:tc>
        <w:tc>
          <w:tcPr>
            <w:tcW w:w="755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rPr>
            </w:pPr>
            <w:r>
              <w:rPr>
                <w:rFonts w:ascii="仿宋" w:hAnsi="仿宋" w:eastAsia="仿宋" w:cs="仿宋"/>
                <w:sz w:val="24"/>
              </w:rPr>
              <w:t xml:space="preserve">1.5.1 </w:t>
            </w:r>
          </w:p>
        </w:tc>
        <w:tc>
          <w:tcPr>
            <w:tcW w:w="755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rPr>
            </w:pPr>
            <w:r>
              <w:rPr>
                <w:rFonts w:ascii="仿宋" w:hAnsi="仿宋" w:eastAsia="仿宋" w:cs="仿宋"/>
                <w:sz w:val="24"/>
              </w:rPr>
              <w:t>1.5.2</w:t>
            </w:r>
          </w:p>
        </w:tc>
        <w:tc>
          <w:tcPr>
            <w:tcW w:w="755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rPr>
            </w:pPr>
            <w:r>
              <w:rPr>
                <w:rFonts w:ascii="仿宋" w:hAnsi="仿宋" w:eastAsia="仿宋" w:cs="仿宋"/>
                <w:sz w:val="24"/>
              </w:rPr>
              <w:t xml:space="preserve">1.5.3 </w:t>
            </w:r>
          </w:p>
        </w:tc>
        <w:tc>
          <w:tcPr>
            <w:tcW w:w="755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rPr>
            </w:pPr>
            <w:r>
              <w:rPr>
                <w:rFonts w:ascii="仿宋" w:hAnsi="仿宋" w:eastAsia="仿宋" w:cs="仿宋"/>
                <w:sz w:val="24"/>
              </w:rPr>
              <w:t>1.6.7</w:t>
            </w:r>
          </w:p>
        </w:tc>
        <w:tc>
          <w:tcPr>
            <w:tcW w:w="755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rPr>
            </w:pPr>
            <w:r>
              <w:rPr>
                <w:rFonts w:ascii="仿宋" w:hAnsi="仿宋" w:eastAsia="仿宋" w:cs="仿宋"/>
                <w:sz w:val="24"/>
              </w:rPr>
              <w:t>1.7</w:t>
            </w:r>
          </w:p>
        </w:tc>
        <w:tc>
          <w:tcPr>
            <w:tcW w:w="755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rPr>
            </w:pPr>
            <w:r>
              <w:rPr>
                <w:rFonts w:ascii="仿宋" w:hAnsi="仿宋" w:eastAsia="仿宋" w:cs="仿宋"/>
                <w:sz w:val="24"/>
              </w:rPr>
              <w:t>1.7.1</w:t>
            </w:r>
          </w:p>
        </w:tc>
        <w:tc>
          <w:tcPr>
            <w:tcW w:w="755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rPr>
            </w:pPr>
            <w:r>
              <w:rPr>
                <w:rFonts w:ascii="仿宋" w:hAnsi="仿宋" w:eastAsia="仿宋" w:cs="仿宋"/>
                <w:sz w:val="24"/>
              </w:rPr>
              <w:t>1.7.2</w:t>
            </w:r>
          </w:p>
        </w:tc>
        <w:tc>
          <w:tcPr>
            <w:tcW w:w="755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rPr>
            </w:pPr>
            <w:r>
              <w:rPr>
                <w:rFonts w:ascii="仿宋" w:hAnsi="仿宋" w:eastAsia="仿宋" w:cs="仿宋"/>
                <w:sz w:val="24"/>
              </w:rPr>
              <w:t>2.3.2</w:t>
            </w:r>
          </w:p>
        </w:tc>
        <w:tc>
          <w:tcPr>
            <w:tcW w:w="7558" w:type="dxa"/>
            <w:vAlign w:val="center"/>
          </w:tcPr>
          <w:p>
            <w:pPr>
              <w:spacing w:line="360" w:lineRule="auto"/>
              <w:ind w:left="-420" w:leftChars="-200" w:right="-420" w:rightChars="-200" w:firstLine="480" w:firstLineChars="200"/>
              <w:rPr>
                <w:rFonts w:ascii="仿宋" w:hAnsi="仿宋" w:eastAsia="仿宋" w:cs="仿宋"/>
                <w:sz w:val="24"/>
              </w:rPr>
            </w:pPr>
            <w:r>
              <w:rPr>
                <w:rFonts w:hint="eastAsia" w:ascii="宋体" w:hAnsi="宋体" w:cs="宋体"/>
                <w:sz w:val="24"/>
              </w:rPr>
              <w:t>本项目中定制开发软件知识产权归江山市公安局享有；2、涉及的源代码（含质保期内的后续升级版本）必须遵循相关标准和规范，并无条件提交给江山市公安局；3、涉及接口必须遵循相关标准和规范，向下部署的，必须无条件开放所有接口且满足国家共享相关规定要求，项目承建单位（施工单位、实施单位）有义务配合江山市公安局做好有关信息共享工作；4、本项目在开发、使用和维护过程中接触到的江山市公安局的所有资料，未经江山市公安局授权代表书面许可，不得留存，私自查阅及向任何第三方泄露；5、本项目的设计开发专利申请权、技术秘密的使用权和转让权归江山市公安局所有；6.涉及第三方软件和技术的，中标方必须承担相关调用费、对接费等所有费用，采购方不再承担任何第三方软件和技术使用费，不因本项目中使用中标方提供的任何第三方软件（模块）等可能造成的侵权行为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rPr>
            </w:pPr>
            <w:r>
              <w:rPr>
                <w:rFonts w:ascii="仿宋" w:hAnsi="仿宋" w:eastAsia="仿宋" w:cs="仿宋"/>
                <w:sz w:val="24"/>
              </w:rPr>
              <w:t>2.4.1</w:t>
            </w:r>
          </w:p>
        </w:tc>
        <w:tc>
          <w:tcPr>
            <w:tcW w:w="7558" w:type="dxa"/>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rPr>
            </w:pPr>
            <w:r>
              <w:rPr>
                <w:rFonts w:ascii="仿宋" w:hAnsi="仿宋" w:eastAsia="仿宋" w:cs="仿宋"/>
                <w:sz w:val="24"/>
              </w:rPr>
              <w:t>2.4.2</w:t>
            </w:r>
          </w:p>
        </w:tc>
        <w:tc>
          <w:tcPr>
            <w:tcW w:w="755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tcPr>
          <w:p>
            <w:pPr>
              <w:spacing w:line="360" w:lineRule="auto"/>
              <w:rPr>
                <w:rFonts w:ascii="仿宋" w:hAnsi="仿宋" w:eastAsia="仿宋" w:cs="仿宋"/>
                <w:sz w:val="24"/>
              </w:rPr>
            </w:pPr>
            <w:r>
              <w:rPr>
                <w:rFonts w:ascii="仿宋" w:hAnsi="仿宋" w:eastAsia="仿宋" w:cs="仿宋"/>
                <w:sz w:val="24"/>
              </w:rPr>
              <w:t xml:space="preserve">2.8 </w:t>
            </w:r>
          </w:p>
        </w:tc>
        <w:tc>
          <w:tcPr>
            <w:tcW w:w="7558" w:type="dxa"/>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rPr>
            </w:pPr>
            <w:r>
              <w:rPr>
                <w:rFonts w:ascii="仿宋" w:hAnsi="仿宋" w:eastAsia="仿宋" w:cs="仿宋"/>
                <w:sz w:val="24"/>
              </w:rPr>
              <w:t>2.12.3</w:t>
            </w:r>
          </w:p>
        </w:tc>
        <w:tc>
          <w:tcPr>
            <w:tcW w:w="755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rPr>
            </w:pPr>
            <w:r>
              <w:rPr>
                <w:rFonts w:ascii="仿宋" w:hAnsi="仿宋" w:eastAsia="仿宋" w:cs="仿宋"/>
                <w:sz w:val="24"/>
              </w:rPr>
              <w:t>2.12.4</w:t>
            </w:r>
          </w:p>
        </w:tc>
        <w:tc>
          <w:tcPr>
            <w:tcW w:w="755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rPr>
            </w:pPr>
            <w:r>
              <w:rPr>
                <w:rFonts w:ascii="仿宋" w:hAnsi="仿宋" w:eastAsia="仿宋" w:cs="仿宋"/>
                <w:sz w:val="24"/>
              </w:rPr>
              <w:t>2.16.1</w:t>
            </w:r>
          </w:p>
        </w:tc>
        <w:tc>
          <w:tcPr>
            <w:tcW w:w="755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pPr>
              <w:spacing w:line="360" w:lineRule="auto"/>
              <w:rPr>
                <w:rFonts w:ascii="仿宋" w:hAnsi="仿宋" w:eastAsia="仿宋" w:cs="仿宋"/>
                <w:sz w:val="24"/>
              </w:rPr>
            </w:pPr>
            <w:r>
              <w:rPr>
                <w:rFonts w:ascii="仿宋" w:hAnsi="仿宋" w:eastAsia="仿宋" w:cs="仿宋"/>
                <w:sz w:val="24"/>
              </w:rPr>
              <w:t>2.16.3</w:t>
            </w:r>
          </w:p>
        </w:tc>
        <w:tc>
          <w:tcPr>
            <w:tcW w:w="7558" w:type="dxa"/>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tcPr>
          <w:p>
            <w:pPr>
              <w:spacing w:line="360" w:lineRule="auto"/>
              <w:rPr>
                <w:rFonts w:ascii="仿宋" w:hAnsi="仿宋" w:eastAsia="仿宋" w:cs="仿宋"/>
                <w:sz w:val="24"/>
              </w:rPr>
            </w:pPr>
            <w:r>
              <w:rPr>
                <w:rFonts w:ascii="仿宋" w:hAnsi="仿宋" w:eastAsia="仿宋" w:cs="仿宋"/>
                <w:sz w:val="24"/>
              </w:rPr>
              <w:t>2.20.1</w:t>
            </w:r>
          </w:p>
        </w:tc>
        <w:tc>
          <w:tcPr>
            <w:tcW w:w="7558" w:type="dxa"/>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7" w:type="dxa"/>
            <w:tcBorders>
              <w:left w:val="single" w:color="auto" w:sz="4" w:space="0"/>
            </w:tcBorders>
            <w:vAlign w:val="center"/>
          </w:tcPr>
          <w:p>
            <w:pPr>
              <w:spacing w:line="360" w:lineRule="auto"/>
              <w:rPr>
                <w:rFonts w:ascii="仿宋" w:hAnsi="仿宋" w:eastAsia="仿宋" w:cs="仿宋"/>
                <w:sz w:val="24"/>
              </w:rPr>
            </w:pPr>
            <w:r>
              <w:rPr>
                <w:rFonts w:ascii="仿宋" w:hAnsi="仿宋" w:eastAsia="仿宋" w:cs="仿宋"/>
                <w:sz w:val="24"/>
              </w:rPr>
              <w:t xml:space="preserve">2.20.2 </w:t>
            </w:r>
          </w:p>
        </w:tc>
        <w:tc>
          <w:tcPr>
            <w:tcW w:w="7558" w:type="dxa"/>
            <w:vAlign w:val="center"/>
          </w:tcPr>
          <w:p>
            <w:pPr>
              <w:spacing w:line="360" w:lineRule="auto"/>
              <w:rPr>
                <w:rFonts w:ascii="仿宋" w:hAnsi="仿宋" w:eastAsia="仿宋" w:cs="仿宋"/>
                <w:sz w:val="24"/>
              </w:rPr>
            </w:pPr>
          </w:p>
        </w:tc>
      </w:tr>
    </w:tbl>
    <w:p>
      <w:pPr>
        <w:spacing w:line="360" w:lineRule="auto"/>
        <w:ind w:left="-420" w:leftChars="-200" w:right="-420" w:rightChars="-200" w:firstLine="480" w:firstLineChars="200"/>
        <w:rPr>
          <w:rFonts w:ascii="仿宋" w:hAnsi="仿宋" w:eastAsia="仿宋" w:cs="仿宋"/>
          <w:sz w:val="24"/>
        </w:rPr>
      </w:pPr>
    </w:p>
    <w:p>
      <w:pPr>
        <w:spacing w:line="360" w:lineRule="auto"/>
        <w:ind w:left="-420" w:leftChars="-200" w:right="-420" w:rightChars="-200"/>
        <w:rPr>
          <w:rFonts w:ascii="仿宋" w:hAnsi="仿宋" w:eastAsia="仿宋" w:cs="仿宋"/>
          <w:sz w:val="24"/>
        </w:rPr>
      </w:pPr>
    </w:p>
    <w:p>
      <w:pPr>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第六部分</w:t>
      </w:r>
      <w:bookmarkEnd w:id="414"/>
      <w:bookmarkEnd w:id="415"/>
      <w:r>
        <w:rPr>
          <w:rFonts w:hint="eastAsia" w:ascii="仿宋" w:hAnsi="仿宋" w:eastAsia="仿宋" w:cs="仿宋"/>
          <w:b/>
          <w:sz w:val="36"/>
          <w:szCs w:val="20"/>
        </w:rPr>
        <w:t>应提交的有关格式范例</w:t>
      </w:r>
    </w:p>
    <w:p>
      <w:pPr>
        <w:pStyle w:val="938"/>
        <w:spacing w:before="120" w:after="120"/>
        <w:ind w:left="525"/>
      </w:pPr>
      <w:r>
        <w:rPr>
          <w:rFonts w:hint="eastAsia"/>
        </w:rPr>
        <w:t>资格文件部分</w:t>
      </w:r>
    </w:p>
    <w:p>
      <w:pPr>
        <w:pStyle w:val="938"/>
        <w:spacing w:before="120" w:after="120"/>
        <w:ind w:left="525"/>
      </w:pPr>
      <w:r>
        <w:rPr>
          <w:rFonts w:hint="eastAsia"/>
        </w:rPr>
        <w:t>目录</w:t>
      </w:r>
    </w:p>
    <w:p>
      <w:pPr>
        <w:numPr>
          <w:ilvl w:val="0"/>
          <w:numId w:val="11"/>
        </w:numPr>
        <w:snapToGrid w:val="0"/>
        <w:spacing w:line="360" w:lineRule="auto"/>
        <w:rPr>
          <w:rFonts w:ascii="仿宋" w:hAnsi="仿宋" w:eastAsia="仿宋" w:cs="仿宋"/>
          <w:sz w:val="24"/>
        </w:rPr>
      </w:pPr>
      <w:r>
        <w:rPr>
          <w:rFonts w:hint="eastAsia" w:ascii="仿宋" w:hAnsi="仿宋" w:eastAsia="仿宋" w:cs="仿宋"/>
          <w:sz w:val="24"/>
        </w:rPr>
        <w:t>资格文件封面…………………………………………………………（页码）</w:t>
      </w:r>
    </w:p>
    <w:p>
      <w:pPr>
        <w:numPr>
          <w:ilvl w:val="0"/>
          <w:numId w:val="11"/>
        </w:numPr>
        <w:snapToGrid w:val="0"/>
        <w:spacing w:line="360" w:lineRule="auto"/>
        <w:rPr>
          <w:rFonts w:ascii="仿宋" w:hAnsi="仿宋" w:eastAsia="仿宋" w:cs="仿宋"/>
          <w:sz w:val="24"/>
        </w:rPr>
      </w:pPr>
      <w:r>
        <w:rPr>
          <w:rFonts w:hint="eastAsia" w:ascii="仿宋" w:hAnsi="仿宋" w:eastAsia="仿宋" w:cs="仿宋"/>
          <w:sz w:val="24"/>
        </w:rPr>
        <w:t>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snapToGrid w:val="0"/>
        <w:spacing w:line="360" w:lineRule="auto"/>
        <w:rPr>
          <w:rFonts w:ascii="仿宋" w:hAnsi="仿宋" w:eastAsia="仿宋" w:cs="仿宋"/>
          <w:sz w:val="24"/>
        </w:rPr>
      </w:pPr>
      <w:r>
        <w:rPr>
          <w:rFonts w:hint="eastAsia" w:ascii="仿宋" w:hAnsi="仿宋" w:eastAsia="仿宋" w:cs="仿宋"/>
          <w:sz w:val="24"/>
        </w:rPr>
        <w:t>（5）政府采购活动现场确认声明书………………………………………（页码）</w:t>
      </w:r>
    </w:p>
    <w:p>
      <w:pPr>
        <w:pStyle w:val="938"/>
        <w:spacing w:before="120" w:after="120"/>
        <w:ind w:left="525"/>
      </w:pPr>
      <w:bookmarkStart w:id="573" w:name="_Toc102467901"/>
      <w:bookmarkStart w:id="574" w:name="_Toc95384924"/>
      <w:bookmarkStart w:id="575" w:name="_Toc102468002"/>
      <w:bookmarkStart w:id="576" w:name="_Toc95379698"/>
      <w:bookmarkStart w:id="577" w:name="_Toc84841350"/>
      <w:bookmarkStart w:id="578" w:name="_Toc102467328"/>
      <w:bookmarkStart w:id="579" w:name="_Toc102467830"/>
      <w:bookmarkStart w:id="580" w:name="_Toc14964497"/>
      <w:bookmarkStart w:id="581" w:name="_Toc102467387"/>
      <w:bookmarkStart w:id="582" w:name="_Toc95386647"/>
      <w:bookmarkStart w:id="583" w:name="_Toc95386530"/>
      <w:bookmarkStart w:id="584" w:name="_Toc84841485"/>
      <w:bookmarkStart w:id="585" w:name="_Toc103158074"/>
      <w:bookmarkStart w:id="586" w:name="_Toc95379988"/>
      <w:bookmarkStart w:id="587" w:name="_Toc95387083"/>
      <w:r>
        <w:rPr>
          <w:rFonts w:hint="eastAsia"/>
        </w:rPr>
        <w:br w:type="page"/>
      </w:r>
      <w:r>
        <w:rPr>
          <w:rFonts w:hint="eastAsia"/>
        </w:rPr>
        <w:t>一、资格文件封面</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ind w:left="1800" w:leftChars="857"/>
        <w:jc w:val="right"/>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snapToGrid w:val="0"/>
        <w:spacing w:line="520" w:lineRule="exact"/>
        <w:jc w:val="center"/>
        <w:rPr>
          <w:rFonts w:ascii="宋体" w:hAnsi="宋体"/>
          <w:color w:val="000000"/>
          <w:sz w:val="24"/>
        </w:rPr>
      </w:pPr>
      <w:r>
        <w:rPr>
          <w:rFonts w:hint="eastAsia" w:ascii="宋体" w:hAnsi="宋体"/>
          <w:color w:val="000000"/>
          <w:sz w:val="24"/>
        </w:rPr>
        <w:t>资格文件</w:t>
      </w:r>
    </w:p>
    <w:p>
      <w:pPr>
        <w:snapToGrid w:val="0"/>
        <w:spacing w:line="520" w:lineRule="exact"/>
        <w:ind w:firstLine="1682" w:firstLineChars="698"/>
        <w:rPr>
          <w:rFonts w:ascii="宋体" w:hAnsi="宋体"/>
          <w:b/>
          <w:color w:val="000000"/>
          <w:sz w:val="24"/>
        </w:rPr>
      </w:pPr>
    </w:p>
    <w:p>
      <w:pPr>
        <w:snapToGrid w:val="0"/>
        <w:spacing w:line="400" w:lineRule="exact"/>
        <w:ind w:firstLine="480" w:firstLineChars="200"/>
        <w:rPr>
          <w:rFonts w:ascii="仿宋_GB2312" w:hAnsi="仿宋" w:eastAsia="仿宋_GB2312" w:cs="仿宋_GB2312"/>
          <w:sz w:val="24"/>
          <w:u w:val="single"/>
        </w:rPr>
      </w:pPr>
      <w:bookmarkStart w:id="588" w:name="_Toc357410802"/>
      <w:bookmarkEnd w:id="588"/>
      <w:r>
        <w:rPr>
          <w:rFonts w:hint="eastAsia" w:ascii="仿宋_GB2312" w:hAnsi="仿宋" w:eastAsia="仿宋_GB2312" w:cs="仿宋_GB2312"/>
          <w:sz w:val="24"/>
        </w:rPr>
        <w:t>项目名称：</w:t>
      </w:r>
    </w:p>
    <w:p>
      <w:pPr>
        <w:snapToGrid w:val="0"/>
        <w:spacing w:line="600" w:lineRule="exact"/>
        <w:rPr>
          <w:rFonts w:ascii="宋体" w:hAnsi="宋体"/>
          <w:color w:val="000000"/>
          <w:sz w:val="24"/>
        </w:rPr>
      </w:pPr>
    </w:p>
    <w:p>
      <w:pPr>
        <w:snapToGrid w:val="0"/>
        <w:spacing w:line="400" w:lineRule="exact"/>
        <w:ind w:firstLine="480" w:firstLineChars="200"/>
        <w:rPr>
          <w:rFonts w:ascii="宋体" w:hAnsi="宋体"/>
          <w:color w:val="000000"/>
          <w:sz w:val="24"/>
          <w:u w:val="single"/>
        </w:rPr>
      </w:pPr>
      <w:r>
        <w:rPr>
          <w:rFonts w:hint="eastAsia" w:ascii="仿宋_GB2312" w:hAnsi="仿宋" w:eastAsia="仿宋_GB2312" w:cs="仿宋_GB2312"/>
          <w:sz w:val="24"/>
        </w:rPr>
        <w:t>项目编号：</w:t>
      </w:r>
    </w:p>
    <w:p>
      <w:pPr>
        <w:snapToGrid w:val="0"/>
        <w:spacing w:line="600" w:lineRule="exact"/>
        <w:rPr>
          <w:rFonts w:ascii="宋体" w:hAnsi="宋体"/>
          <w:color w:val="000000"/>
          <w:sz w:val="24"/>
        </w:rPr>
      </w:pPr>
    </w:p>
    <w:p>
      <w:pPr>
        <w:snapToGrid w:val="0"/>
        <w:spacing w:line="600" w:lineRule="exact"/>
        <w:rPr>
          <w:rFonts w:ascii="仿宋_GB2312" w:hAnsi="仿宋" w:eastAsia="仿宋_GB2312" w:cs="仿宋_GB2312"/>
          <w:sz w:val="24"/>
          <w:u w:val="single"/>
        </w:rPr>
      </w:pPr>
      <w:r>
        <w:rPr>
          <w:rFonts w:hint="eastAsia" w:ascii="仿宋_GB2312" w:hAnsi="仿宋" w:eastAsia="仿宋_GB2312" w:cs="仿宋_GB2312"/>
          <w:sz w:val="24"/>
        </w:rPr>
        <w:t>供应商：</w:t>
      </w:r>
      <w:r>
        <w:rPr>
          <w:rFonts w:ascii="仿宋_GB2312" w:hAnsi="仿宋" w:eastAsia="仿宋_GB2312" w:cs="仿宋_GB2312"/>
          <w:sz w:val="24"/>
          <w:u w:val="single"/>
        </w:rPr>
        <w:t>(电子签名)</w:t>
      </w:r>
    </w:p>
    <w:p>
      <w:pPr>
        <w:snapToGrid w:val="0"/>
        <w:spacing w:line="600" w:lineRule="exact"/>
        <w:rPr>
          <w:rFonts w:ascii="宋体" w:hAnsi="宋体"/>
          <w:color w:val="000000"/>
          <w:sz w:val="24"/>
        </w:rPr>
      </w:pPr>
    </w:p>
    <w:p>
      <w:pPr>
        <w:snapToGrid w:val="0"/>
        <w:spacing w:line="600" w:lineRule="exact"/>
        <w:rPr>
          <w:rFonts w:ascii="仿宋_GB2312" w:hAnsi="仿宋" w:eastAsia="仿宋_GB2312" w:cs="仿宋_GB2312"/>
          <w:sz w:val="24"/>
        </w:rPr>
      </w:pPr>
      <w:r>
        <w:rPr>
          <w:rFonts w:hint="eastAsia" w:ascii="仿宋_GB2312" w:hAnsi="仿宋" w:eastAsia="仿宋_GB2312" w:cs="仿宋_GB2312"/>
          <w:sz w:val="24"/>
        </w:rPr>
        <w:t>日期： 年   月 日</w:t>
      </w:r>
    </w:p>
    <w:p>
      <w:pPr>
        <w:snapToGrid w:val="0"/>
        <w:spacing w:line="520" w:lineRule="exact"/>
        <w:rPr>
          <w:rFonts w:ascii="宋体" w:hAnsi="宋体"/>
          <w:color w:val="000000"/>
          <w:sz w:val="24"/>
        </w:rPr>
      </w:pPr>
    </w:p>
    <w:p>
      <w:pPr>
        <w:snapToGrid w:val="0"/>
        <w:spacing w:line="360" w:lineRule="auto"/>
        <w:ind w:firstLine="480" w:firstLineChars="200"/>
        <w:rPr>
          <w:rFonts w:ascii="宋体" w:hAnsi="宋体"/>
          <w:color w:val="000000"/>
          <w:sz w:val="24"/>
        </w:rPr>
      </w:pPr>
    </w:p>
    <w:p>
      <w:pPr>
        <w:pStyle w:val="6"/>
        <w:rPr>
          <w:rFonts w:ascii="仿宋" w:eastAsia="仿宋" w:cs="仿宋"/>
          <w:b w:val="0"/>
          <w:kern w:val="0"/>
        </w:rPr>
      </w:pPr>
      <w:r>
        <w:rPr>
          <w:kern w:val="0"/>
        </w:rPr>
        <w:br w:type="page"/>
      </w:r>
      <w:r>
        <w:rPr>
          <w:rFonts w:hint="eastAsia" w:ascii="仿宋" w:eastAsia="仿宋" w:cs="仿宋"/>
          <w:b w:val="0"/>
          <w:kern w:val="0"/>
        </w:rPr>
        <w:t>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公告公布之日起至到开标截止时间之间未被列入“</w:t>
      </w:r>
      <w:r>
        <w:rPr>
          <w:rFonts w:hint="eastAsia" w:ascii="仿宋" w:hAnsi="仿宋" w:eastAsia="仿宋" w:cs="仿宋"/>
          <w:sz w:val="24"/>
        </w:rPr>
        <w:t>信用中国</w:t>
      </w:r>
      <w:r>
        <w:rPr>
          <w:rFonts w:hint="eastAsia" w:ascii="仿宋" w:hAnsi="仿宋" w:eastAsia="仿宋" w:cs="仿宋"/>
          <w:sz w:val="24"/>
          <w:lang w:val="en-US" w:eastAsia="zh-CN"/>
        </w:rPr>
        <w:t>”</w:t>
      </w:r>
      <w:r>
        <w:rPr>
          <w:rFonts w:hint="eastAsia" w:ascii="仿宋" w:hAnsi="仿宋" w:eastAsia="仿宋" w:cs="仿宋"/>
          <w:sz w:val="24"/>
        </w:rPr>
        <w:t>（www.creditchina.gov.cn)、中国政府采购网（www.ccgp.gov.cn）失信被执行人、重大税收违法案件当事人名单、政府采购严重违法失信行为记录名单。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2"/>
        <w:rPr>
          <w:rFonts w:ascii="仿宋" w:hAnsi="仿宋" w:eastAsia="仿宋" w:cs="仿宋"/>
          <w:b/>
          <w:kern w:val="0"/>
          <w:sz w:val="32"/>
          <w:szCs w:val="32"/>
        </w:rPr>
      </w:pPr>
    </w:p>
    <w:p>
      <w:pPr>
        <w:rPr>
          <w:rFonts w:ascii="仿宋" w:hAnsi="仿宋" w:eastAsia="仿宋" w:cs="仿宋"/>
          <w:b/>
          <w:kern w:val="0"/>
          <w:sz w:val="32"/>
          <w:szCs w:val="32"/>
        </w:rPr>
      </w:pPr>
    </w:p>
    <w:p>
      <w:pPr>
        <w:pStyle w:val="2"/>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ascii="仿宋" w:hAnsi="仿宋" w:eastAsia="仿宋" w:cs="仿宋"/>
          <w:sz w:val="24"/>
        </w:rPr>
      </w:pP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841"/>
      </w:pPr>
      <w:r>
        <w:rPr>
          <w:rFonts w:hint="eastAsia"/>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三、本项目的特定资格要求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四、政府采购活动现场确认声明书</w:t>
      </w:r>
    </w:p>
    <w:p>
      <w:pPr>
        <w:spacing w:line="360" w:lineRule="auto"/>
        <w:rPr>
          <w:rFonts w:ascii="仿宋" w:hAnsi="仿宋" w:eastAsia="仿宋" w:cs="仿宋"/>
          <w:b/>
          <w:bCs/>
          <w:sz w:val="22"/>
          <w:szCs w:val="22"/>
        </w:rPr>
      </w:pPr>
      <w:r>
        <w:rPr>
          <w:rFonts w:hint="eastAsia" w:ascii="仿宋" w:hAnsi="仿宋" w:eastAsia="仿宋" w:cs="仿宋"/>
          <w:b/>
          <w:bCs/>
          <w:sz w:val="22"/>
          <w:szCs w:val="22"/>
        </w:rPr>
        <w:t>（注：授权代表参与投标模板）</w:t>
      </w:r>
    </w:p>
    <w:p>
      <w:pPr>
        <w:spacing w:line="360" w:lineRule="auto"/>
        <w:jc w:val="center"/>
        <w:rPr>
          <w:rFonts w:ascii="仿宋" w:hAnsi="仿宋" w:eastAsia="仿宋" w:cs="仿宋"/>
          <w:sz w:val="32"/>
          <w:szCs w:val="32"/>
        </w:rPr>
      </w:pPr>
      <w:r>
        <w:rPr>
          <w:rFonts w:hint="eastAsia" w:ascii="仿宋" w:hAnsi="仿宋" w:eastAsia="仿宋" w:cs="仿宋"/>
          <w:sz w:val="32"/>
          <w:szCs w:val="32"/>
        </w:rPr>
        <w:t>政府采购活动现场确认声明书</w:t>
      </w:r>
    </w:p>
    <w:p>
      <w:pPr>
        <w:pStyle w:val="897"/>
        <w:widowControl w:val="0"/>
        <w:snapToGrid w:val="0"/>
        <w:jc w:val="both"/>
        <w:rPr>
          <w:rFonts w:hint="default" w:ascii="仿宋" w:hAnsi="仿宋" w:eastAsia="仿宋" w:cs="仿宋"/>
          <w:b/>
          <w:sz w:val="24"/>
          <w:szCs w:val="24"/>
        </w:rPr>
      </w:pPr>
      <w:r>
        <w:rPr>
          <w:rFonts w:ascii="仿宋" w:hAnsi="仿宋" w:eastAsia="仿宋" w:cs="仿宋"/>
          <w:kern w:val="0"/>
          <w:sz w:val="24"/>
          <w:szCs w:val="24"/>
        </w:rPr>
        <w:t>（采购组织机构名称）：</w:t>
      </w:r>
    </w:p>
    <w:p>
      <w:pPr>
        <w:pStyle w:val="897"/>
        <w:widowControl w:val="0"/>
        <w:snapToGrid w:val="0"/>
        <w:ind w:firstLine="504" w:firstLineChars="200"/>
        <w:jc w:val="both"/>
        <w:rPr>
          <w:rFonts w:hint="default" w:ascii="仿宋" w:hAnsi="仿宋" w:eastAsia="仿宋" w:cs="仿宋"/>
          <w:spacing w:val="6"/>
          <w:sz w:val="24"/>
          <w:szCs w:val="24"/>
        </w:rPr>
      </w:pPr>
      <w:r>
        <w:rPr>
          <w:rFonts w:ascii="仿宋" w:hAnsi="仿宋" w:eastAsia="仿宋" w:cs="仿宋"/>
          <w:spacing w:val="6"/>
          <w:sz w:val="24"/>
          <w:szCs w:val="24"/>
        </w:rPr>
        <w:t>本人经由</w:t>
      </w:r>
      <w:r>
        <w:rPr>
          <w:rFonts w:ascii="仿宋" w:hAnsi="仿宋" w:eastAsia="仿宋" w:cs="仿宋"/>
          <w:spacing w:val="6"/>
          <w:sz w:val="24"/>
          <w:szCs w:val="24"/>
          <w:u w:val="single"/>
        </w:rPr>
        <w:t xml:space="preserve">                  （单位）</w:t>
      </w:r>
      <w:r>
        <w:rPr>
          <w:rFonts w:ascii="仿宋" w:hAnsi="仿宋" w:eastAsia="仿宋" w:cs="仿宋"/>
          <w:spacing w:val="6"/>
          <w:sz w:val="24"/>
          <w:szCs w:val="24"/>
        </w:rPr>
        <w:t>负责人</w:t>
      </w:r>
      <w:r>
        <w:rPr>
          <w:rFonts w:ascii="仿宋" w:hAnsi="仿宋" w:eastAsia="仿宋" w:cs="仿宋"/>
          <w:spacing w:val="6"/>
          <w:sz w:val="24"/>
          <w:szCs w:val="24"/>
          <w:u w:val="single"/>
        </w:rPr>
        <w:t xml:space="preserve">        （姓名）</w:t>
      </w:r>
      <w:r>
        <w:rPr>
          <w:rFonts w:ascii="仿宋" w:hAnsi="仿宋" w:eastAsia="仿宋" w:cs="仿宋"/>
          <w:spacing w:val="6"/>
          <w:sz w:val="24"/>
          <w:szCs w:val="24"/>
        </w:rPr>
        <w:t xml:space="preserve">合法授权参加项目（编号：）政府采购活动，经与本单位法人代表（负责人）联系确认，现就有关公平竞争事项郑重声明如下： </w:t>
      </w:r>
    </w:p>
    <w:p>
      <w:pPr>
        <w:pStyle w:val="760"/>
        <w:widowControl/>
        <w:numPr>
          <w:ilvl w:val="0"/>
          <w:numId w:val="8"/>
        </w:numPr>
        <w:snapToGrid w:val="0"/>
        <w:ind w:firstLine="453" w:firstLineChars="189"/>
        <w:rPr>
          <w:rFonts w:hint="default" w:ascii="仿宋" w:hAnsi="仿宋" w:eastAsia="仿宋" w:cs="仿宋"/>
          <w:kern w:val="0"/>
          <w:sz w:val="24"/>
          <w:szCs w:val="24"/>
        </w:rPr>
      </w:pPr>
      <w:r>
        <w:rPr>
          <w:rFonts w:ascii="仿宋" w:hAnsi="仿宋" w:eastAsia="仿宋" w:cs="仿宋"/>
          <w:kern w:val="0"/>
          <w:sz w:val="24"/>
          <w:szCs w:val="24"/>
        </w:rPr>
        <w:t>本单位与采购人之间 □不存在利害关系 □存在下列利害关系：</w:t>
      </w:r>
    </w:p>
    <w:p>
      <w:pPr>
        <w:pStyle w:val="760"/>
        <w:widowControl/>
        <w:snapToGrid w:val="0"/>
        <w:rPr>
          <w:rFonts w:hint="default" w:ascii="仿宋" w:hAnsi="仿宋" w:eastAsia="仿宋" w:cs="仿宋"/>
          <w:kern w:val="0"/>
          <w:sz w:val="24"/>
          <w:szCs w:val="24"/>
        </w:rPr>
      </w:pPr>
      <w:r>
        <w:rPr>
          <w:rFonts w:ascii="仿宋" w:hAnsi="仿宋" w:eastAsia="仿宋" w:cs="仿宋"/>
          <w:kern w:val="0"/>
          <w:sz w:val="24"/>
          <w:szCs w:val="24"/>
        </w:rPr>
        <w:t xml:space="preserve">  A.投资关系    B.行政隶属关系    C.业务指导关系</w:t>
      </w:r>
    </w:p>
    <w:p>
      <w:pPr>
        <w:pStyle w:val="760"/>
        <w:widowControl/>
        <w:snapToGrid w:val="0"/>
        <w:rPr>
          <w:rFonts w:hint="default" w:ascii="仿宋" w:hAnsi="仿宋" w:eastAsia="仿宋" w:cs="仿宋"/>
          <w:kern w:val="0"/>
          <w:sz w:val="24"/>
          <w:szCs w:val="24"/>
        </w:rPr>
      </w:pPr>
      <w:r>
        <w:rPr>
          <w:rFonts w:ascii="仿宋" w:hAnsi="仿宋" w:eastAsia="仿宋" w:cs="仿宋"/>
          <w:kern w:val="0"/>
          <w:sz w:val="24"/>
          <w:szCs w:val="24"/>
        </w:rPr>
        <w:t xml:space="preserve">  D.其他可能</w:t>
      </w:r>
      <w:r>
        <w:rPr>
          <w:rFonts w:ascii="仿宋" w:hAnsi="仿宋" w:eastAsia="仿宋" w:cs="仿宋"/>
          <w:sz w:val="24"/>
          <w:szCs w:val="24"/>
        </w:rPr>
        <w:t>影响采购公正的</w:t>
      </w:r>
      <w:r>
        <w:rPr>
          <w:rFonts w:ascii="仿宋" w:hAnsi="仿宋" w:eastAsia="仿宋" w:cs="仿宋"/>
          <w:kern w:val="0"/>
          <w:sz w:val="24"/>
          <w:szCs w:val="24"/>
        </w:rPr>
        <w:t>利害关系</w:t>
      </w:r>
      <w:r>
        <w:rPr>
          <w:rFonts w:ascii="仿宋" w:hAnsi="仿宋" w:eastAsia="仿宋" w:cs="仿宋"/>
          <w:kern w:val="0"/>
          <w:sz w:val="24"/>
          <w:szCs w:val="24"/>
          <w:u w:val="single"/>
        </w:rPr>
        <w:t xml:space="preserve">（如有，请如实说明）                 </w:t>
      </w:r>
      <w:r>
        <w:rPr>
          <w:rFonts w:ascii="仿宋" w:hAnsi="仿宋" w:eastAsia="仿宋" w:cs="仿宋"/>
          <w:kern w:val="0"/>
          <w:sz w:val="24"/>
          <w:szCs w:val="24"/>
        </w:rPr>
        <w:t>。</w:t>
      </w:r>
    </w:p>
    <w:p>
      <w:pPr>
        <w:pStyle w:val="760"/>
        <w:widowControl/>
        <w:snapToGrid w:val="0"/>
        <w:rPr>
          <w:rFonts w:hint="default" w:ascii="仿宋" w:hAnsi="仿宋" w:eastAsia="仿宋" w:cs="仿宋"/>
          <w:kern w:val="0"/>
          <w:sz w:val="24"/>
          <w:szCs w:val="24"/>
        </w:rPr>
      </w:pPr>
      <w:r>
        <w:rPr>
          <w:rFonts w:ascii="仿宋" w:hAnsi="仿宋" w:eastAsia="仿宋" w:cs="仿宋"/>
          <w:spacing w:val="6"/>
          <w:sz w:val="24"/>
          <w:szCs w:val="24"/>
        </w:rPr>
        <w:t xml:space="preserve">  二、</w:t>
      </w:r>
      <w:r>
        <w:rPr>
          <w:rFonts w:ascii="仿宋" w:hAnsi="仿宋" w:eastAsia="仿宋" w:cs="仿宋"/>
          <w:kern w:val="0"/>
          <w:sz w:val="24"/>
          <w:szCs w:val="24"/>
        </w:rPr>
        <w:t>现已清楚知道参加本项目采购活动的其他所有供应商名称，本单位 □与其他所有供应商之间均不存在利害关系 □与</w:t>
      </w:r>
      <w:r>
        <w:rPr>
          <w:rFonts w:ascii="仿宋" w:hAnsi="仿宋" w:eastAsia="仿宋" w:cs="仿宋"/>
          <w:kern w:val="0"/>
          <w:sz w:val="24"/>
          <w:szCs w:val="24"/>
          <w:u w:val="single"/>
        </w:rPr>
        <w:t xml:space="preserve">           （供应商名称）</w:t>
      </w:r>
      <w:r>
        <w:rPr>
          <w:rFonts w:ascii="仿宋" w:hAnsi="仿宋" w:eastAsia="仿宋" w:cs="仿宋"/>
          <w:kern w:val="0"/>
          <w:sz w:val="24"/>
          <w:szCs w:val="24"/>
        </w:rPr>
        <w:t>之间存在下列利害关系：</w:t>
      </w:r>
    </w:p>
    <w:p>
      <w:pPr>
        <w:pStyle w:val="897"/>
        <w:widowControl w:val="0"/>
        <w:snapToGrid w:val="0"/>
        <w:jc w:val="both"/>
        <w:rPr>
          <w:rFonts w:hint="default" w:ascii="仿宋" w:hAnsi="仿宋" w:eastAsia="仿宋" w:cs="仿宋"/>
          <w:kern w:val="0"/>
          <w:sz w:val="24"/>
          <w:szCs w:val="24"/>
        </w:rPr>
      </w:pPr>
      <w:r>
        <w:rPr>
          <w:rFonts w:ascii="仿宋" w:hAnsi="仿宋" w:eastAsia="仿宋" w:cs="仿宋"/>
          <w:kern w:val="0"/>
          <w:sz w:val="24"/>
          <w:szCs w:val="24"/>
        </w:rPr>
        <w:t xml:space="preserve">  A.法定代表人或负责人或实际控制人是同一人</w:t>
      </w:r>
    </w:p>
    <w:p>
      <w:pPr>
        <w:pStyle w:val="897"/>
        <w:widowControl w:val="0"/>
        <w:snapToGrid w:val="0"/>
        <w:jc w:val="both"/>
        <w:rPr>
          <w:rFonts w:hint="default" w:ascii="仿宋" w:hAnsi="仿宋" w:eastAsia="仿宋" w:cs="仿宋"/>
          <w:spacing w:val="6"/>
          <w:sz w:val="24"/>
          <w:szCs w:val="24"/>
        </w:rPr>
      </w:pPr>
      <w:r>
        <w:rPr>
          <w:rFonts w:ascii="仿宋" w:hAnsi="仿宋" w:eastAsia="仿宋" w:cs="仿宋"/>
          <w:kern w:val="0"/>
          <w:sz w:val="24"/>
          <w:szCs w:val="24"/>
        </w:rPr>
        <w:t xml:space="preserve">  B.法定代表人或负责人或实际控制人是夫妻关系</w:t>
      </w:r>
    </w:p>
    <w:p>
      <w:pPr>
        <w:pStyle w:val="897"/>
        <w:widowControl w:val="0"/>
        <w:snapToGrid w:val="0"/>
        <w:jc w:val="both"/>
        <w:rPr>
          <w:rFonts w:hint="default" w:ascii="仿宋" w:hAnsi="仿宋" w:eastAsia="仿宋" w:cs="仿宋"/>
          <w:spacing w:val="6"/>
          <w:sz w:val="24"/>
          <w:szCs w:val="24"/>
        </w:rPr>
      </w:pPr>
      <w:r>
        <w:rPr>
          <w:rFonts w:ascii="仿宋" w:hAnsi="仿宋" w:eastAsia="仿宋" w:cs="仿宋"/>
          <w:kern w:val="0"/>
          <w:sz w:val="24"/>
          <w:szCs w:val="24"/>
        </w:rPr>
        <w:t xml:space="preserve">  C.法定代表人或负责人或实际控制人是直系血亲关系</w:t>
      </w:r>
    </w:p>
    <w:p>
      <w:pPr>
        <w:pStyle w:val="897"/>
        <w:widowControl w:val="0"/>
        <w:snapToGrid w:val="0"/>
        <w:jc w:val="both"/>
        <w:rPr>
          <w:rFonts w:hint="default" w:ascii="仿宋" w:hAnsi="仿宋" w:eastAsia="仿宋" w:cs="仿宋"/>
          <w:spacing w:val="6"/>
          <w:sz w:val="24"/>
          <w:szCs w:val="24"/>
        </w:rPr>
      </w:pPr>
      <w:r>
        <w:rPr>
          <w:rFonts w:ascii="仿宋" w:hAnsi="仿宋" w:eastAsia="仿宋" w:cs="仿宋"/>
          <w:kern w:val="0"/>
          <w:sz w:val="24"/>
          <w:szCs w:val="24"/>
        </w:rPr>
        <w:t xml:space="preserve">  D.法定代表人或负责人或实际控制人存在三代以内旁系血亲关系</w:t>
      </w:r>
    </w:p>
    <w:p>
      <w:pPr>
        <w:pStyle w:val="897"/>
        <w:widowControl w:val="0"/>
        <w:snapToGrid w:val="0"/>
        <w:jc w:val="both"/>
        <w:rPr>
          <w:rFonts w:hint="default" w:ascii="仿宋" w:hAnsi="仿宋" w:eastAsia="仿宋" w:cs="仿宋"/>
          <w:kern w:val="0"/>
          <w:sz w:val="24"/>
          <w:szCs w:val="24"/>
        </w:rPr>
      </w:pPr>
      <w:r>
        <w:rPr>
          <w:rFonts w:ascii="仿宋" w:hAnsi="仿宋" w:eastAsia="仿宋" w:cs="仿宋"/>
          <w:kern w:val="0"/>
          <w:sz w:val="24"/>
          <w:szCs w:val="24"/>
        </w:rPr>
        <w:t xml:space="preserve">  E.法定代表人或负责人或实际控制人存在近姻亲关系</w:t>
      </w:r>
    </w:p>
    <w:p>
      <w:pPr>
        <w:pStyle w:val="897"/>
        <w:widowControl w:val="0"/>
        <w:snapToGrid w:val="0"/>
        <w:jc w:val="both"/>
        <w:rPr>
          <w:rFonts w:hint="default" w:ascii="仿宋" w:hAnsi="仿宋" w:eastAsia="仿宋" w:cs="仿宋"/>
          <w:kern w:val="0"/>
          <w:sz w:val="24"/>
          <w:szCs w:val="24"/>
        </w:rPr>
      </w:pPr>
      <w:r>
        <w:rPr>
          <w:rFonts w:ascii="仿宋" w:hAnsi="仿宋" w:eastAsia="仿宋" w:cs="仿宋"/>
          <w:kern w:val="0"/>
          <w:sz w:val="24"/>
          <w:szCs w:val="24"/>
        </w:rPr>
        <w:t xml:space="preserve">  F.法定代表人或负责人或实际控制人存在股份控制或实际控制关系</w:t>
      </w:r>
    </w:p>
    <w:p>
      <w:pPr>
        <w:pStyle w:val="897"/>
        <w:widowControl w:val="0"/>
        <w:snapToGrid w:val="0"/>
        <w:jc w:val="both"/>
        <w:rPr>
          <w:rFonts w:hint="default" w:ascii="仿宋" w:hAnsi="仿宋" w:eastAsia="仿宋" w:cs="仿宋"/>
          <w:kern w:val="0"/>
          <w:sz w:val="24"/>
          <w:szCs w:val="24"/>
        </w:rPr>
      </w:pPr>
      <w:r>
        <w:rPr>
          <w:rFonts w:ascii="仿宋" w:hAnsi="仿宋" w:eastAsia="仿宋" w:cs="仿宋"/>
          <w:kern w:val="0"/>
          <w:sz w:val="24"/>
          <w:szCs w:val="24"/>
        </w:rPr>
        <w:t xml:space="preserve">  G.存在共同直接或间接投资设立子公司、联营企业和合营企业情况</w:t>
      </w:r>
    </w:p>
    <w:p>
      <w:pPr>
        <w:pStyle w:val="897"/>
        <w:widowControl w:val="0"/>
        <w:snapToGrid w:val="0"/>
        <w:jc w:val="both"/>
        <w:rPr>
          <w:rFonts w:hint="default" w:ascii="仿宋" w:hAnsi="仿宋" w:eastAsia="仿宋" w:cs="仿宋"/>
          <w:sz w:val="24"/>
          <w:szCs w:val="24"/>
        </w:rPr>
      </w:pPr>
      <w:r>
        <w:rPr>
          <w:rFonts w:ascii="仿宋" w:hAnsi="仿宋" w:eastAsia="仿宋" w:cs="仿宋"/>
          <w:kern w:val="0"/>
          <w:sz w:val="24"/>
          <w:szCs w:val="24"/>
        </w:rPr>
        <w:t xml:space="preserve">  H.存在分级代理或代销关系、同一生产制造商关系、</w:t>
      </w:r>
      <w:r>
        <w:rPr>
          <w:rFonts w:ascii="仿宋" w:hAnsi="仿宋" w:eastAsia="仿宋" w:cs="仿宋"/>
          <w:sz w:val="24"/>
          <w:szCs w:val="24"/>
        </w:rPr>
        <w:t>管理关系、重要业务（占主营业务收入50%以上）或重要财务往来关系（如融资）等其他实质性控制关系</w:t>
      </w:r>
    </w:p>
    <w:p>
      <w:pPr>
        <w:pStyle w:val="897"/>
        <w:widowControl w:val="0"/>
        <w:snapToGrid w:val="0"/>
        <w:jc w:val="both"/>
        <w:rPr>
          <w:rFonts w:hint="default" w:ascii="仿宋" w:hAnsi="仿宋" w:eastAsia="仿宋" w:cs="仿宋"/>
          <w:spacing w:val="6"/>
          <w:sz w:val="24"/>
          <w:szCs w:val="24"/>
        </w:rPr>
      </w:pPr>
      <w:r>
        <w:rPr>
          <w:rFonts w:ascii="仿宋" w:hAnsi="仿宋" w:eastAsia="仿宋" w:cs="仿宋"/>
          <w:sz w:val="24"/>
          <w:szCs w:val="24"/>
        </w:rPr>
        <w:t xml:space="preserve">    I</w:t>
      </w:r>
      <w:r>
        <w:rPr>
          <w:rFonts w:ascii="仿宋" w:hAnsi="仿宋" w:eastAsia="仿宋" w:cs="仿宋"/>
          <w:kern w:val="0"/>
          <w:sz w:val="24"/>
          <w:szCs w:val="24"/>
        </w:rPr>
        <w:t>.</w:t>
      </w:r>
      <w:r>
        <w:rPr>
          <w:rFonts w:ascii="仿宋" w:hAnsi="仿宋" w:eastAsia="仿宋" w:cs="仿宋"/>
          <w:sz w:val="24"/>
          <w:szCs w:val="24"/>
        </w:rPr>
        <w:t>其他利害关系情况</w:t>
      </w:r>
      <w:r>
        <w:rPr>
          <w:rFonts w:ascii="仿宋" w:hAnsi="仿宋" w:eastAsia="仿宋" w:cs="仿宋"/>
          <w:kern w:val="0"/>
          <w:sz w:val="24"/>
          <w:szCs w:val="24"/>
        </w:rPr>
        <w:t>。</w:t>
      </w:r>
    </w:p>
    <w:p>
      <w:pPr>
        <w:pStyle w:val="760"/>
        <w:widowControl/>
        <w:numPr>
          <w:ilvl w:val="0"/>
          <w:numId w:val="12"/>
        </w:numPr>
        <w:snapToGrid w:val="0"/>
        <w:ind w:firstLine="453" w:firstLineChars="189"/>
        <w:rPr>
          <w:rFonts w:hint="default" w:ascii="仿宋" w:hAnsi="仿宋" w:eastAsia="仿宋" w:cs="仿宋"/>
          <w:kern w:val="0"/>
          <w:sz w:val="24"/>
          <w:szCs w:val="24"/>
        </w:rPr>
      </w:pPr>
      <w:r>
        <w:rPr>
          <w:rFonts w:ascii="仿宋" w:hAnsi="仿宋" w:eastAsia="仿宋" w:cs="仿宋"/>
          <w:sz w:val="24"/>
          <w:szCs w:val="24"/>
        </w:rPr>
        <w:t>现已清楚知道并</w:t>
      </w:r>
      <w:r>
        <w:rPr>
          <w:rFonts w:ascii="仿宋" w:hAnsi="仿宋" w:eastAsia="仿宋" w:cs="仿宋"/>
          <w:kern w:val="0"/>
          <w:sz w:val="24"/>
          <w:szCs w:val="24"/>
        </w:rPr>
        <w:t>严格遵守政府采购法律法规和现场纪律。</w:t>
      </w:r>
    </w:p>
    <w:p>
      <w:pPr>
        <w:pStyle w:val="760"/>
        <w:widowControl/>
        <w:numPr>
          <w:ilvl w:val="0"/>
          <w:numId w:val="12"/>
        </w:numPr>
        <w:snapToGrid w:val="0"/>
        <w:ind w:firstLine="453" w:firstLineChars="189"/>
        <w:rPr>
          <w:rFonts w:hint="default" w:ascii="仿宋" w:hAnsi="仿宋" w:eastAsia="仿宋" w:cs="仿宋"/>
          <w:kern w:val="0"/>
          <w:sz w:val="24"/>
          <w:szCs w:val="24"/>
        </w:rPr>
      </w:pPr>
      <w:r>
        <w:rPr>
          <w:rFonts w:ascii="仿宋" w:hAnsi="仿宋" w:eastAsia="仿宋" w:cs="仿宋"/>
          <w:kern w:val="0"/>
          <w:sz w:val="24"/>
          <w:szCs w:val="24"/>
        </w:rPr>
        <w:t>我发现供应商之间存在或可能存在上述第二条第项利害关系。</w:t>
      </w:r>
    </w:p>
    <w:p>
      <w:pPr>
        <w:pStyle w:val="897"/>
        <w:widowControl w:val="0"/>
        <w:snapToGrid w:val="0"/>
        <w:ind w:firstLine="480" w:firstLineChars="200"/>
        <w:jc w:val="both"/>
        <w:rPr>
          <w:rFonts w:hint="default" w:ascii="仿宋" w:hAnsi="仿宋" w:eastAsia="仿宋" w:cs="仿宋"/>
          <w:sz w:val="24"/>
          <w:szCs w:val="24"/>
        </w:rPr>
      </w:pPr>
      <w:r>
        <w:rPr>
          <w:rFonts w:ascii="仿宋" w:hAnsi="仿宋" w:eastAsia="仿宋" w:cs="仿宋"/>
          <w:sz w:val="24"/>
          <w:szCs w:val="24"/>
        </w:rPr>
        <w:t xml:space="preserve">                                投标人名称（电子签名）：</w:t>
      </w:r>
    </w:p>
    <w:p>
      <w:pPr>
        <w:rPr>
          <w:rFonts w:ascii="仿宋" w:hAnsi="仿宋" w:eastAsia="仿宋" w:cs="仿宋"/>
          <w:sz w:val="24"/>
        </w:rPr>
      </w:pPr>
      <w:r>
        <w:rPr>
          <w:rFonts w:hint="eastAsia" w:ascii="仿宋" w:hAnsi="仿宋" w:eastAsia="仿宋" w:cs="仿宋"/>
          <w:sz w:val="24"/>
        </w:rPr>
        <w:t xml:space="preserve">                                    年  月  日</w:t>
      </w:r>
    </w:p>
    <w:p>
      <w:pPr>
        <w:pStyle w:val="2"/>
        <w:rPr>
          <w:rFonts w:ascii="仿宋" w:hAnsi="仿宋" w:eastAsia="仿宋" w:cs="仿宋"/>
          <w:sz w:val="28"/>
        </w:rPr>
      </w:pPr>
    </w:p>
    <w:p>
      <w:pPr>
        <w:rPr>
          <w:rFonts w:ascii="仿宋" w:hAnsi="仿宋" w:eastAsia="仿宋" w:cs="仿宋"/>
          <w:b/>
          <w:bCs/>
          <w:sz w:val="22"/>
          <w:szCs w:val="22"/>
        </w:rPr>
      </w:pPr>
      <w:r>
        <w:rPr>
          <w:rFonts w:hint="eastAsia" w:ascii="仿宋" w:hAnsi="仿宋" w:eastAsia="仿宋" w:cs="仿宋"/>
          <w:b/>
          <w:bCs/>
          <w:sz w:val="22"/>
          <w:szCs w:val="22"/>
        </w:rPr>
        <w:br w:type="page"/>
      </w:r>
    </w:p>
    <w:p>
      <w:pPr>
        <w:spacing w:line="360" w:lineRule="auto"/>
        <w:rPr>
          <w:rFonts w:ascii="仿宋" w:hAnsi="仿宋" w:eastAsia="仿宋" w:cs="仿宋"/>
          <w:sz w:val="32"/>
          <w:szCs w:val="32"/>
        </w:rPr>
      </w:pPr>
      <w:r>
        <w:rPr>
          <w:rFonts w:hint="eastAsia" w:ascii="仿宋" w:hAnsi="仿宋" w:eastAsia="仿宋" w:cs="仿宋"/>
          <w:b/>
          <w:bCs/>
          <w:sz w:val="22"/>
          <w:szCs w:val="22"/>
        </w:rPr>
        <w:t>（注：法定代表人参与投标模板）</w:t>
      </w:r>
    </w:p>
    <w:p>
      <w:pPr>
        <w:pStyle w:val="897"/>
        <w:widowControl w:val="0"/>
        <w:snapToGrid w:val="0"/>
        <w:jc w:val="center"/>
        <w:rPr>
          <w:rFonts w:hint="default" w:ascii="仿宋" w:hAnsi="仿宋" w:eastAsia="仿宋" w:cs="仿宋"/>
          <w:sz w:val="32"/>
          <w:szCs w:val="32"/>
        </w:rPr>
      </w:pPr>
      <w:r>
        <w:rPr>
          <w:rFonts w:ascii="仿宋" w:hAnsi="仿宋" w:eastAsia="仿宋" w:cs="仿宋"/>
          <w:sz w:val="32"/>
          <w:szCs w:val="32"/>
        </w:rPr>
        <w:t>政府采购活动现场确认声明书</w:t>
      </w:r>
    </w:p>
    <w:p>
      <w:pPr>
        <w:pStyle w:val="897"/>
        <w:widowControl w:val="0"/>
        <w:snapToGrid w:val="0"/>
        <w:jc w:val="both"/>
        <w:rPr>
          <w:rFonts w:hint="default" w:ascii="仿宋" w:hAnsi="仿宋" w:eastAsia="仿宋" w:cs="仿宋"/>
          <w:b/>
          <w:sz w:val="24"/>
          <w:szCs w:val="24"/>
        </w:rPr>
      </w:pPr>
      <w:r>
        <w:rPr>
          <w:rFonts w:ascii="仿宋" w:hAnsi="仿宋" w:eastAsia="仿宋" w:cs="仿宋"/>
          <w:kern w:val="0"/>
          <w:sz w:val="24"/>
          <w:szCs w:val="24"/>
        </w:rPr>
        <w:t>（采购组织机构名称）：</w:t>
      </w:r>
    </w:p>
    <w:p>
      <w:pPr>
        <w:pStyle w:val="897"/>
        <w:snapToGrid w:val="0"/>
        <w:ind w:firstLine="504" w:firstLineChars="200"/>
        <w:rPr>
          <w:rFonts w:hint="default" w:ascii="仿宋" w:hAnsi="仿宋" w:eastAsia="仿宋" w:cs="仿宋"/>
          <w:spacing w:val="6"/>
          <w:sz w:val="24"/>
          <w:szCs w:val="24"/>
          <w:u w:val="single"/>
        </w:rPr>
      </w:pPr>
      <w:r>
        <w:rPr>
          <w:rFonts w:ascii="仿宋" w:hAnsi="仿宋" w:eastAsia="仿宋" w:cs="仿宋"/>
          <w:spacing w:val="6"/>
          <w:sz w:val="24"/>
          <w:szCs w:val="24"/>
        </w:rPr>
        <w:t>本人为</w:t>
      </w:r>
      <w:r>
        <w:rPr>
          <w:rFonts w:ascii="仿宋" w:hAnsi="仿宋" w:eastAsia="仿宋" w:cs="仿宋"/>
          <w:spacing w:val="6"/>
          <w:sz w:val="24"/>
          <w:szCs w:val="24"/>
          <w:u w:val="single"/>
        </w:rPr>
        <w:t xml:space="preserve">                  （单位）</w:t>
      </w:r>
      <w:r>
        <w:rPr>
          <w:rFonts w:ascii="仿宋" w:hAnsi="仿宋" w:eastAsia="仿宋" w:cs="仿宋"/>
          <w:spacing w:val="6"/>
          <w:sz w:val="24"/>
          <w:szCs w:val="24"/>
        </w:rPr>
        <w:t xml:space="preserve">法人代表参加项目（编号：）政府采购活动，经本法人代表（负责人）确认，现就有关公平竞争事项郑重声明如下： </w:t>
      </w:r>
    </w:p>
    <w:p>
      <w:pPr>
        <w:pStyle w:val="760"/>
        <w:widowControl/>
        <w:numPr>
          <w:ilvl w:val="0"/>
          <w:numId w:val="8"/>
        </w:numPr>
        <w:snapToGrid w:val="0"/>
        <w:ind w:firstLine="453" w:firstLineChars="189"/>
        <w:rPr>
          <w:rFonts w:hint="default" w:ascii="仿宋" w:hAnsi="仿宋" w:eastAsia="仿宋" w:cs="仿宋"/>
          <w:kern w:val="0"/>
          <w:sz w:val="24"/>
          <w:szCs w:val="24"/>
        </w:rPr>
      </w:pPr>
      <w:r>
        <w:rPr>
          <w:rFonts w:ascii="仿宋" w:hAnsi="仿宋" w:eastAsia="仿宋" w:cs="仿宋"/>
          <w:kern w:val="0"/>
          <w:sz w:val="24"/>
          <w:szCs w:val="24"/>
        </w:rPr>
        <w:t>本单位与采购人之间 □不存在利害关系 □存在下列利害关系：</w:t>
      </w:r>
    </w:p>
    <w:p>
      <w:pPr>
        <w:pStyle w:val="760"/>
        <w:widowControl/>
        <w:snapToGrid w:val="0"/>
        <w:rPr>
          <w:rFonts w:hint="default" w:ascii="仿宋" w:hAnsi="仿宋" w:eastAsia="仿宋" w:cs="仿宋"/>
          <w:kern w:val="0"/>
          <w:sz w:val="24"/>
          <w:szCs w:val="24"/>
        </w:rPr>
      </w:pPr>
      <w:r>
        <w:rPr>
          <w:rFonts w:ascii="仿宋" w:hAnsi="仿宋" w:eastAsia="仿宋" w:cs="仿宋"/>
          <w:kern w:val="0"/>
          <w:sz w:val="24"/>
          <w:szCs w:val="24"/>
        </w:rPr>
        <w:t xml:space="preserve">  A.投资关系    B.行政隶属关系    C.业务指导关系</w:t>
      </w:r>
    </w:p>
    <w:p>
      <w:pPr>
        <w:pStyle w:val="760"/>
        <w:widowControl/>
        <w:snapToGrid w:val="0"/>
        <w:rPr>
          <w:rFonts w:hint="default" w:ascii="仿宋" w:hAnsi="仿宋" w:eastAsia="仿宋" w:cs="仿宋"/>
          <w:kern w:val="0"/>
          <w:sz w:val="24"/>
          <w:szCs w:val="24"/>
        </w:rPr>
      </w:pPr>
      <w:r>
        <w:rPr>
          <w:rFonts w:ascii="仿宋" w:hAnsi="仿宋" w:eastAsia="仿宋" w:cs="仿宋"/>
          <w:kern w:val="0"/>
          <w:sz w:val="24"/>
          <w:szCs w:val="24"/>
        </w:rPr>
        <w:t xml:space="preserve">  D.其他可能</w:t>
      </w:r>
      <w:r>
        <w:rPr>
          <w:rFonts w:ascii="仿宋" w:hAnsi="仿宋" w:eastAsia="仿宋" w:cs="仿宋"/>
          <w:sz w:val="24"/>
          <w:szCs w:val="24"/>
        </w:rPr>
        <w:t>影响采购公正的</w:t>
      </w:r>
      <w:r>
        <w:rPr>
          <w:rFonts w:ascii="仿宋" w:hAnsi="仿宋" w:eastAsia="仿宋" w:cs="仿宋"/>
          <w:kern w:val="0"/>
          <w:sz w:val="24"/>
          <w:szCs w:val="24"/>
        </w:rPr>
        <w:t>利害关系</w:t>
      </w:r>
      <w:r>
        <w:rPr>
          <w:rFonts w:ascii="仿宋" w:hAnsi="仿宋" w:eastAsia="仿宋" w:cs="仿宋"/>
          <w:kern w:val="0"/>
          <w:sz w:val="24"/>
          <w:szCs w:val="24"/>
          <w:u w:val="single"/>
        </w:rPr>
        <w:t xml:space="preserve">（如有，请如实说明）                 </w:t>
      </w:r>
      <w:r>
        <w:rPr>
          <w:rFonts w:ascii="仿宋" w:hAnsi="仿宋" w:eastAsia="仿宋" w:cs="仿宋"/>
          <w:kern w:val="0"/>
          <w:sz w:val="24"/>
          <w:szCs w:val="24"/>
        </w:rPr>
        <w:t>。</w:t>
      </w:r>
    </w:p>
    <w:p>
      <w:pPr>
        <w:pStyle w:val="760"/>
        <w:widowControl/>
        <w:snapToGrid w:val="0"/>
        <w:rPr>
          <w:rFonts w:hint="default" w:ascii="仿宋" w:hAnsi="仿宋" w:eastAsia="仿宋" w:cs="仿宋"/>
          <w:kern w:val="0"/>
          <w:sz w:val="24"/>
          <w:szCs w:val="24"/>
        </w:rPr>
      </w:pPr>
      <w:r>
        <w:rPr>
          <w:rFonts w:ascii="仿宋" w:hAnsi="仿宋" w:eastAsia="仿宋" w:cs="仿宋"/>
          <w:spacing w:val="6"/>
          <w:sz w:val="24"/>
          <w:szCs w:val="24"/>
        </w:rPr>
        <w:t xml:space="preserve">  二、</w:t>
      </w:r>
      <w:r>
        <w:rPr>
          <w:rFonts w:ascii="仿宋" w:hAnsi="仿宋" w:eastAsia="仿宋" w:cs="仿宋"/>
          <w:kern w:val="0"/>
          <w:sz w:val="24"/>
          <w:szCs w:val="24"/>
        </w:rPr>
        <w:t>现已清楚知道参加本项目采购活动的其他所有供应商名称，本单位 □与其他所有供应商之间均不存在利害关系 □与</w:t>
      </w:r>
      <w:r>
        <w:rPr>
          <w:rFonts w:ascii="仿宋" w:hAnsi="仿宋" w:eastAsia="仿宋" w:cs="仿宋"/>
          <w:kern w:val="0"/>
          <w:sz w:val="24"/>
          <w:szCs w:val="24"/>
          <w:u w:val="single"/>
        </w:rPr>
        <w:t xml:space="preserve">           （供应商名称）</w:t>
      </w:r>
      <w:r>
        <w:rPr>
          <w:rFonts w:ascii="仿宋" w:hAnsi="仿宋" w:eastAsia="仿宋" w:cs="仿宋"/>
          <w:kern w:val="0"/>
          <w:sz w:val="24"/>
          <w:szCs w:val="24"/>
        </w:rPr>
        <w:t>之间存在下列利害关系：</w:t>
      </w:r>
    </w:p>
    <w:p>
      <w:pPr>
        <w:pStyle w:val="897"/>
        <w:widowControl w:val="0"/>
        <w:snapToGrid w:val="0"/>
        <w:jc w:val="both"/>
        <w:rPr>
          <w:rFonts w:hint="default" w:ascii="仿宋" w:hAnsi="仿宋" w:eastAsia="仿宋" w:cs="仿宋"/>
          <w:kern w:val="0"/>
          <w:sz w:val="24"/>
          <w:szCs w:val="24"/>
        </w:rPr>
      </w:pPr>
      <w:r>
        <w:rPr>
          <w:rFonts w:ascii="仿宋" w:hAnsi="仿宋" w:eastAsia="仿宋" w:cs="仿宋"/>
          <w:kern w:val="0"/>
          <w:sz w:val="24"/>
          <w:szCs w:val="24"/>
        </w:rPr>
        <w:t xml:space="preserve">  A.法定代表人或负责人或实际控制人是同一人</w:t>
      </w:r>
    </w:p>
    <w:p>
      <w:pPr>
        <w:pStyle w:val="897"/>
        <w:widowControl w:val="0"/>
        <w:snapToGrid w:val="0"/>
        <w:jc w:val="both"/>
        <w:rPr>
          <w:rFonts w:hint="default" w:ascii="仿宋" w:hAnsi="仿宋" w:eastAsia="仿宋" w:cs="仿宋"/>
          <w:spacing w:val="6"/>
          <w:sz w:val="24"/>
          <w:szCs w:val="24"/>
        </w:rPr>
      </w:pPr>
      <w:r>
        <w:rPr>
          <w:rFonts w:ascii="仿宋" w:hAnsi="仿宋" w:eastAsia="仿宋" w:cs="仿宋"/>
          <w:kern w:val="0"/>
          <w:sz w:val="24"/>
          <w:szCs w:val="24"/>
        </w:rPr>
        <w:t xml:space="preserve">  B.法定代表人或负责人或实际控制人是夫妻关系</w:t>
      </w:r>
    </w:p>
    <w:p>
      <w:pPr>
        <w:pStyle w:val="897"/>
        <w:widowControl w:val="0"/>
        <w:snapToGrid w:val="0"/>
        <w:jc w:val="both"/>
        <w:rPr>
          <w:rFonts w:hint="default" w:ascii="仿宋" w:hAnsi="仿宋" w:eastAsia="仿宋" w:cs="仿宋"/>
          <w:spacing w:val="6"/>
          <w:sz w:val="24"/>
          <w:szCs w:val="24"/>
        </w:rPr>
      </w:pPr>
      <w:r>
        <w:rPr>
          <w:rFonts w:ascii="仿宋" w:hAnsi="仿宋" w:eastAsia="仿宋" w:cs="仿宋"/>
          <w:kern w:val="0"/>
          <w:sz w:val="24"/>
          <w:szCs w:val="24"/>
        </w:rPr>
        <w:t xml:space="preserve">  C.法定代表人或负责人或实际控制人是直系血亲关系</w:t>
      </w:r>
    </w:p>
    <w:p>
      <w:pPr>
        <w:pStyle w:val="897"/>
        <w:widowControl w:val="0"/>
        <w:snapToGrid w:val="0"/>
        <w:jc w:val="both"/>
        <w:rPr>
          <w:rFonts w:hint="default" w:ascii="仿宋" w:hAnsi="仿宋" w:eastAsia="仿宋" w:cs="仿宋"/>
          <w:spacing w:val="6"/>
          <w:sz w:val="24"/>
          <w:szCs w:val="24"/>
        </w:rPr>
      </w:pPr>
      <w:r>
        <w:rPr>
          <w:rFonts w:ascii="仿宋" w:hAnsi="仿宋" w:eastAsia="仿宋" w:cs="仿宋"/>
          <w:kern w:val="0"/>
          <w:sz w:val="24"/>
          <w:szCs w:val="24"/>
        </w:rPr>
        <w:t xml:space="preserve">  D.法定代表人或负责人或实际控制人存在三代以内旁系血亲关系</w:t>
      </w:r>
    </w:p>
    <w:p>
      <w:pPr>
        <w:pStyle w:val="897"/>
        <w:widowControl w:val="0"/>
        <w:snapToGrid w:val="0"/>
        <w:jc w:val="both"/>
        <w:rPr>
          <w:rFonts w:hint="default" w:ascii="仿宋" w:hAnsi="仿宋" w:eastAsia="仿宋" w:cs="仿宋"/>
          <w:kern w:val="0"/>
          <w:sz w:val="24"/>
          <w:szCs w:val="24"/>
        </w:rPr>
      </w:pPr>
      <w:r>
        <w:rPr>
          <w:rFonts w:ascii="仿宋" w:hAnsi="仿宋" w:eastAsia="仿宋" w:cs="仿宋"/>
          <w:kern w:val="0"/>
          <w:sz w:val="24"/>
          <w:szCs w:val="24"/>
        </w:rPr>
        <w:t xml:space="preserve">  E.法定代表人或负责人或实际控制人存在近姻亲关系</w:t>
      </w:r>
    </w:p>
    <w:p>
      <w:pPr>
        <w:pStyle w:val="897"/>
        <w:widowControl w:val="0"/>
        <w:snapToGrid w:val="0"/>
        <w:jc w:val="both"/>
        <w:rPr>
          <w:rFonts w:hint="default" w:ascii="仿宋" w:hAnsi="仿宋" w:eastAsia="仿宋" w:cs="仿宋"/>
          <w:kern w:val="0"/>
          <w:sz w:val="24"/>
          <w:szCs w:val="24"/>
        </w:rPr>
      </w:pPr>
      <w:r>
        <w:rPr>
          <w:rFonts w:ascii="仿宋" w:hAnsi="仿宋" w:eastAsia="仿宋" w:cs="仿宋"/>
          <w:kern w:val="0"/>
          <w:sz w:val="24"/>
          <w:szCs w:val="24"/>
        </w:rPr>
        <w:t xml:space="preserve">  F.法定代表人或负责人或实际控制人存在股份控制或实际控制关系</w:t>
      </w:r>
    </w:p>
    <w:p>
      <w:pPr>
        <w:pStyle w:val="897"/>
        <w:widowControl w:val="0"/>
        <w:snapToGrid w:val="0"/>
        <w:jc w:val="both"/>
        <w:rPr>
          <w:rFonts w:hint="default" w:ascii="仿宋" w:hAnsi="仿宋" w:eastAsia="仿宋" w:cs="仿宋"/>
          <w:kern w:val="0"/>
          <w:sz w:val="24"/>
          <w:szCs w:val="24"/>
        </w:rPr>
      </w:pPr>
      <w:r>
        <w:rPr>
          <w:rFonts w:ascii="仿宋" w:hAnsi="仿宋" w:eastAsia="仿宋" w:cs="仿宋"/>
          <w:kern w:val="0"/>
          <w:sz w:val="24"/>
          <w:szCs w:val="24"/>
        </w:rPr>
        <w:t xml:space="preserve">  G.存在共同直接或间接投资设立子公司、联营企业和合营企业情况</w:t>
      </w:r>
    </w:p>
    <w:p>
      <w:pPr>
        <w:pStyle w:val="897"/>
        <w:widowControl w:val="0"/>
        <w:snapToGrid w:val="0"/>
        <w:jc w:val="both"/>
        <w:rPr>
          <w:rFonts w:hint="default" w:ascii="仿宋" w:hAnsi="仿宋" w:eastAsia="仿宋" w:cs="仿宋"/>
          <w:sz w:val="24"/>
          <w:szCs w:val="24"/>
        </w:rPr>
      </w:pPr>
      <w:r>
        <w:rPr>
          <w:rFonts w:ascii="仿宋" w:hAnsi="仿宋" w:eastAsia="仿宋" w:cs="仿宋"/>
          <w:kern w:val="0"/>
          <w:sz w:val="24"/>
          <w:szCs w:val="24"/>
        </w:rPr>
        <w:t xml:space="preserve">  H.存在分级代理或代销关系、同一生产制造商关系、</w:t>
      </w:r>
      <w:r>
        <w:rPr>
          <w:rFonts w:ascii="仿宋" w:hAnsi="仿宋" w:eastAsia="仿宋" w:cs="仿宋"/>
          <w:sz w:val="24"/>
          <w:szCs w:val="24"/>
        </w:rPr>
        <w:t>管理关系、重要业务（占主营业务收入50%以上）或重要财务往来关系（如融资）等其他实质性控制关系</w:t>
      </w:r>
    </w:p>
    <w:p>
      <w:pPr>
        <w:pStyle w:val="897"/>
        <w:widowControl w:val="0"/>
        <w:snapToGrid w:val="0"/>
        <w:jc w:val="both"/>
        <w:rPr>
          <w:rFonts w:hint="default" w:ascii="仿宋" w:hAnsi="仿宋" w:eastAsia="仿宋" w:cs="仿宋"/>
          <w:spacing w:val="6"/>
          <w:sz w:val="24"/>
          <w:szCs w:val="24"/>
        </w:rPr>
      </w:pPr>
      <w:r>
        <w:rPr>
          <w:rFonts w:ascii="仿宋" w:hAnsi="仿宋" w:eastAsia="仿宋" w:cs="仿宋"/>
          <w:sz w:val="24"/>
          <w:szCs w:val="24"/>
        </w:rPr>
        <w:t xml:space="preserve">    I</w:t>
      </w:r>
      <w:r>
        <w:rPr>
          <w:rFonts w:ascii="仿宋" w:hAnsi="仿宋" w:eastAsia="仿宋" w:cs="仿宋"/>
          <w:kern w:val="0"/>
          <w:sz w:val="24"/>
          <w:szCs w:val="24"/>
        </w:rPr>
        <w:t>.</w:t>
      </w:r>
      <w:r>
        <w:rPr>
          <w:rFonts w:ascii="仿宋" w:hAnsi="仿宋" w:eastAsia="仿宋" w:cs="仿宋"/>
          <w:sz w:val="24"/>
          <w:szCs w:val="24"/>
        </w:rPr>
        <w:t>其他利害关系情况</w:t>
      </w:r>
      <w:r>
        <w:rPr>
          <w:rFonts w:ascii="仿宋" w:hAnsi="仿宋" w:eastAsia="仿宋" w:cs="仿宋"/>
          <w:kern w:val="0"/>
          <w:sz w:val="24"/>
          <w:szCs w:val="24"/>
        </w:rPr>
        <w:t>。</w:t>
      </w:r>
    </w:p>
    <w:p>
      <w:pPr>
        <w:pStyle w:val="760"/>
        <w:widowControl/>
        <w:numPr>
          <w:ilvl w:val="0"/>
          <w:numId w:val="12"/>
        </w:numPr>
        <w:snapToGrid w:val="0"/>
        <w:ind w:firstLine="453" w:firstLineChars="189"/>
        <w:rPr>
          <w:rFonts w:hint="default" w:ascii="仿宋" w:hAnsi="仿宋" w:eastAsia="仿宋" w:cs="仿宋"/>
          <w:kern w:val="0"/>
          <w:sz w:val="24"/>
          <w:szCs w:val="24"/>
        </w:rPr>
      </w:pPr>
      <w:r>
        <w:rPr>
          <w:rFonts w:ascii="仿宋" w:hAnsi="仿宋" w:eastAsia="仿宋" w:cs="仿宋"/>
          <w:sz w:val="24"/>
          <w:szCs w:val="24"/>
        </w:rPr>
        <w:t>现已清楚知道并</w:t>
      </w:r>
      <w:r>
        <w:rPr>
          <w:rFonts w:ascii="仿宋" w:hAnsi="仿宋" w:eastAsia="仿宋" w:cs="仿宋"/>
          <w:kern w:val="0"/>
          <w:sz w:val="24"/>
          <w:szCs w:val="24"/>
        </w:rPr>
        <w:t>严格遵守政府采购法律法规和现场纪律。</w:t>
      </w:r>
    </w:p>
    <w:p>
      <w:pPr>
        <w:pStyle w:val="760"/>
        <w:widowControl/>
        <w:numPr>
          <w:ilvl w:val="0"/>
          <w:numId w:val="12"/>
        </w:numPr>
        <w:snapToGrid w:val="0"/>
        <w:ind w:firstLine="453" w:firstLineChars="189"/>
        <w:rPr>
          <w:rFonts w:hint="default" w:ascii="仿宋" w:hAnsi="仿宋" w:eastAsia="仿宋" w:cs="仿宋"/>
          <w:kern w:val="0"/>
          <w:sz w:val="24"/>
          <w:szCs w:val="24"/>
        </w:rPr>
      </w:pPr>
      <w:r>
        <w:rPr>
          <w:rFonts w:ascii="仿宋" w:hAnsi="仿宋" w:eastAsia="仿宋" w:cs="仿宋"/>
          <w:kern w:val="0"/>
          <w:sz w:val="24"/>
          <w:szCs w:val="24"/>
        </w:rPr>
        <w:t>我发现供应商之间存在或可能存在上述第二条第项利害关系。</w:t>
      </w:r>
    </w:p>
    <w:p>
      <w:pPr>
        <w:pStyle w:val="897"/>
        <w:widowControl w:val="0"/>
        <w:snapToGrid w:val="0"/>
        <w:ind w:firstLine="480" w:firstLineChars="200"/>
        <w:jc w:val="both"/>
        <w:rPr>
          <w:rFonts w:hint="default" w:ascii="仿宋" w:hAnsi="仿宋" w:eastAsia="仿宋" w:cs="仿宋"/>
          <w:sz w:val="24"/>
          <w:szCs w:val="24"/>
        </w:rPr>
      </w:pPr>
      <w:r>
        <w:rPr>
          <w:rFonts w:ascii="仿宋" w:hAnsi="仿宋" w:eastAsia="仿宋" w:cs="仿宋"/>
          <w:sz w:val="24"/>
          <w:szCs w:val="24"/>
        </w:rPr>
        <w:t xml:space="preserve">                              投标人名称（电子签名）：</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年  月 日</w:t>
      </w:r>
    </w:p>
    <w:p>
      <w:pPr>
        <w:pStyle w:val="2"/>
        <w:rPr>
          <w:rFonts w:hint="eastAsia" w:ascii="仿宋" w:hAnsi="仿宋" w:eastAsia="仿宋" w:cs="仿宋"/>
          <w:sz w:val="24"/>
        </w:rPr>
      </w:pPr>
    </w:p>
    <w:p>
      <w:pPr>
        <w:sectPr>
          <w:headerReference r:id="rId9" w:type="first"/>
          <w:footerReference r:id="rId11" w:type="first"/>
          <w:headerReference r:id="rId8" w:type="default"/>
          <w:footerReference r:id="rId10" w:type="default"/>
          <w:pgSz w:w="11907" w:h="16840"/>
          <w:pgMar w:top="1474" w:right="1814" w:bottom="1474" w:left="1814" w:header="851" w:footer="992" w:gutter="0"/>
          <w:cols w:space="720" w:num="1"/>
          <w:titlePg/>
          <w:docGrid w:linePitch="312" w:charSpace="0"/>
        </w:sectPr>
      </w:pPr>
    </w:p>
    <w:p>
      <w:pPr>
        <w:numPr>
          <w:ilvl w:val="0"/>
          <w:numId w:val="0"/>
        </w:numPr>
        <w:spacing w:line="360" w:lineRule="auto"/>
        <w:ind w:leftChars="189" w:right="420" w:rightChars="0"/>
        <w:jc w:val="center"/>
        <w:rPr>
          <w:rFonts w:hint="eastAsia" w:ascii="仿宋" w:hAnsi="仿宋" w:eastAsia="仿宋" w:cs="仿宋"/>
          <w:b w:val="0"/>
          <w:bCs/>
          <w:kern w:val="0"/>
          <w:sz w:val="36"/>
          <w:szCs w:val="36"/>
          <w:lang w:val="en-US" w:eastAsia="zh-CN"/>
        </w:rPr>
      </w:pPr>
      <w:r>
        <w:rPr>
          <w:rFonts w:hint="eastAsia" w:ascii="仿宋" w:hAnsi="仿宋" w:eastAsia="仿宋" w:cs="仿宋"/>
          <w:b w:val="0"/>
          <w:bCs/>
          <w:kern w:val="0"/>
          <w:sz w:val="36"/>
          <w:szCs w:val="36"/>
          <w:lang w:val="en-US" w:eastAsia="zh-CN"/>
        </w:rPr>
        <w:t>五、信用中国网站信用查询结果</w:t>
      </w:r>
    </w:p>
    <w:p>
      <w:pPr>
        <w:pStyle w:val="2"/>
        <w:numPr>
          <w:ilvl w:val="0"/>
          <w:numId w:val="0"/>
        </w:numPr>
        <w:ind w:firstLine="560" w:firstLineChars="200"/>
        <w:rPr>
          <w:rFonts w:hint="default" w:eastAsia="仿宋"/>
          <w:sz w:val="28"/>
          <w:szCs w:val="28"/>
          <w:lang w:val="en-US" w:eastAsia="zh-CN"/>
        </w:rPr>
      </w:pPr>
      <w:r>
        <w:rPr>
          <w:rFonts w:hint="eastAsia" w:ascii="仿宋" w:hAnsi="仿宋" w:eastAsia="仿宋" w:cs="仿宋"/>
          <w:sz w:val="28"/>
          <w:szCs w:val="28"/>
          <w:lang w:val="en-US" w:eastAsia="zh-CN"/>
        </w:rPr>
        <w:t>公告公布之日起至到开标截止时间之间“</w:t>
      </w:r>
      <w:r>
        <w:rPr>
          <w:rFonts w:hint="eastAsia" w:ascii="仿宋" w:hAnsi="仿宋" w:eastAsia="仿宋" w:cs="仿宋"/>
          <w:sz w:val="28"/>
          <w:szCs w:val="28"/>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rPr>
        <w:t>（www.creditchina.gov.cn)、中国政府采购网（www.ccgp.gov.cn）失信被执行人、重大税收违法案件当事人名单、政府采购严重违法失信行为记录名单</w:t>
      </w:r>
      <w:r>
        <w:rPr>
          <w:rFonts w:hint="eastAsia" w:ascii="仿宋" w:hAnsi="仿宋" w:eastAsia="仿宋" w:cs="仿宋"/>
          <w:sz w:val="28"/>
          <w:szCs w:val="28"/>
          <w:lang w:val="en-US" w:eastAsia="zh-CN"/>
        </w:rPr>
        <w:t>查询结果截图</w:t>
      </w:r>
    </w:p>
    <w:p>
      <w:pPr>
        <w:rPr>
          <w:rFonts w:hint="eastAsia" w:ascii="仿宋" w:hAnsi="仿宋" w:eastAsia="仿宋" w:cs="仿宋"/>
          <w:b/>
          <w:kern w:val="0"/>
          <w:sz w:val="36"/>
          <w:szCs w:val="36"/>
          <w:lang w:val="en-US" w:eastAsia="zh-CN"/>
        </w:rPr>
      </w:pPr>
      <w:r>
        <w:rPr>
          <w:rFonts w:hint="eastAsia" w:ascii="仿宋" w:hAnsi="仿宋" w:eastAsia="仿宋" w:cs="仿宋"/>
          <w:b/>
          <w:kern w:val="0"/>
          <w:sz w:val="36"/>
          <w:szCs w:val="36"/>
          <w:lang w:val="en-US" w:eastAsia="zh-CN"/>
        </w:rPr>
        <w:br w:type="page"/>
      </w:r>
    </w:p>
    <w:p>
      <w:pPr>
        <w:pStyle w:val="2"/>
        <w:rPr>
          <w:rFonts w:hint="default"/>
          <w:lang w:val="en-US" w:eastAsia="zh-CN"/>
        </w:rPr>
      </w:pPr>
    </w:p>
    <w:p>
      <w:pPr>
        <w:spacing w:line="360" w:lineRule="auto"/>
        <w:ind w:right="420"/>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pStyle w:val="938"/>
        <w:spacing w:before="120" w:after="120"/>
        <w:ind w:left="525"/>
      </w:pPr>
      <w:r>
        <w:rPr>
          <w:rFonts w:hint="eastAsia"/>
        </w:rPr>
        <w:t>目录</w:t>
      </w:r>
    </w:p>
    <w:p>
      <w:pPr>
        <w:numPr>
          <w:ilvl w:val="0"/>
          <w:numId w:val="13"/>
        </w:numPr>
        <w:snapToGrid w:val="0"/>
        <w:spacing w:line="360" w:lineRule="auto"/>
        <w:ind w:left="630"/>
        <w:rPr>
          <w:rFonts w:ascii="仿宋" w:hAnsi="仿宋" w:eastAsia="仿宋" w:cs="仿宋"/>
          <w:sz w:val="24"/>
        </w:rPr>
      </w:pPr>
      <w:r>
        <w:rPr>
          <w:rFonts w:hint="eastAsia" w:ascii="仿宋" w:hAnsi="仿宋" w:eastAsia="仿宋" w:cs="仿宋"/>
          <w:sz w:val="24"/>
        </w:rPr>
        <w:t>商务技术文件封面</w:t>
      </w:r>
      <w:r>
        <w:rPr>
          <w:rFonts w:hint="eastAsia" w:ascii="仿宋" w:hAnsi="仿宋" w:eastAsia="仿宋" w:cs="仿宋"/>
        </w:rPr>
        <w:t>……………………………………………………</w:t>
      </w:r>
      <w:r>
        <w:rPr>
          <w:rFonts w:hint="eastAsia" w:ascii="仿宋" w:hAnsi="仿宋" w:eastAsia="仿宋" w:cs="仿宋"/>
          <w:sz w:val="24"/>
        </w:rPr>
        <w:t>（页码）</w:t>
      </w:r>
    </w:p>
    <w:p>
      <w:pPr>
        <w:numPr>
          <w:ilvl w:val="0"/>
          <w:numId w:val="13"/>
        </w:numPr>
        <w:snapToGrid w:val="0"/>
        <w:spacing w:line="360" w:lineRule="auto"/>
        <w:ind w:left="630"/>
        <w:rPr>
          <w:rFonts w:ascii="仿宋" w:hAnsi="仿宋" w:eastAsia="仿宋" w:cs="仿宋"/>
        </w:rPr>
      </w:pPr>
      <w:r>
        <w:rPr>
          <w:rFonts w:hint="eastAsia" w:ascii="仿宋" w:hAnsi="仿宋" w:eastAsia="仿宋" w:cs="仿宋"/>
          <w:sz w:val="24"/>
        </w:rPr>
        <w:t>投标函</w:t>
      </w:r>
      <w:r>
        <w:rPr>
          <w:rFonts w:hint="eastAsia" w:ascii="仿宋" w:hAnsi="仿宋" w:eastAsia="仿宋" w:cs="仿宋"/>
        </w:rPr>
        <w:t>……………………………………………………………………（页码）</w:t>
      </w:r>
    </w:p>
    <w:p>
      <w:pPr>
        <w:numPr>
          <w:ilvl w:val="0"/>
          <w:numId w:val="13"/>
        </w:numPr>
        <w:snapToGrid w:val="0"/>
        <w:spacing w:line="360" w:lineRule="auto"/>
        <w:ind w:left="630"/>
        <w:rPr>
          <w:rFonts w:ascii="仿宋" w:hAnsi="仿宋" w:eastAsia="仿宋" w:cs="仿宋"/>
        </w:rPr>
      </w:pPr>
      <w:r>
        <w:rPr>
          <w:rFonts w:hint="eastAsia" w:ascii="仿宋" w:hAnsi="仿宋" w:eastAsia="仿宋" w:cs="仿宋"/>
          <w:sz w:val="24"/>
        </w:rPr>
        <w:t>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（4）联合协议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（5）分包意向协议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（6）符合性审查资料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（7）评标标准相应的商务技术资料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（8）商务技术偏离表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9）政府采购供应商廉洁自律承诺书…………………………………（页码）</w:t>
      </w:r>
    </w:p>
    <w:p>
      <w:pPr>
        <w:tabs>
          <w:tab w:val="left" w:pos="851"/>
          <w:tab w:val="left" w:pos="900"/>
          <w:tab w:val="left" w:pos="937"/>
          <w:tab w:val="left" w:pos="1080"/>
        </w:tabs>
        <w:snapToGrid w:val="0"/>
        <w:spacing w:line="360" w:lineRule="auto"/>
        <w:jc w:val="left"/>
        <w:rPr>
          <w:rFonts w:ascii="仿宋" w:hAnsi="仿宋" w:eastAsia="仿宋" w:cs="仿宋"/>
          <w:sz w:val="24"/>
        </w:rPr>
      </w:pPr>
      <w:r>
        <w:rPr>
          <w:rFonts w:hint="eastAsia" w:ascii="仿宋" w:hAnsi="仿宋" w:eastAsia="仿宋" w:cs="仿宋"/>
          <w:sz w:val="24"/>
        </w:rPr>
        <w:t xml:space="preserve">     (10）投标人认为需要提供的其它文件及资料。（如有）…………（页码）</w:t>
      </w:r>
    </w:p>
    <w:p>
      <w:pPr>
        <w:rPr>
          <w:rFonts w:ascii="仿宋" w:hAnsi="仿宋" w:eastAsia="仿宋" w:cs="仿宋"/>
        </w:rPr>
      </w:pPr>
    </w:p>
    <w:p>
      <w:pPr>
        <w:ind w:firstLine="480"/>
        <w:rPr>
          <w:rFonts w:ascii="仿宋" w:hAnsi="仿宋" w:eastAsia="仿宋" w:cs="仿宋"/>
        </w:rPr>
      </w:pPr>
    </w:p>
    <w:p>
      <w:pPr>
        <w:pStyle w:val="2"/>
        <w:rPr>
          <w:rFonts w:ascii="仿宋" w:hAnsi="仿宋" w:eastAsia="仿宋" w:cs="仿宋"/>
          <w:snapToGrid/>
          <w:sz w:val="21"/>
          <w:szCs w:val="24"/>
          <w:lang w:val="en-US"/>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br w:type="page"/>
      </w:r>
    </w:p>
    <w:p>
      <w:pPr>
        <w:pStyle w:val="938"/>
        <w:spacing w:before="120" w:after="120"/>
        <w:ind w:left="525"/>
      </w:pPr>
      <w:r>
        <w:rPr>
          <w:rFonts w:hint="eastAsia"/>
        </w:rPr>
        <w:t>二、投标函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2.1.2落实政府采购政策需满足的资格要求（如果有）；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2.1.3本项目的特定资格要求（如果有）。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2.2.3联合协议（如果有）；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2.2.4分包意向协议（如果有）；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pPr>
        <w:spacing w:line="360" w:lineRule="auto"/>
        <w:ind w:firstLine="3600" w:firstLineChars="1500"/>
        <w:jc w:val="right"/>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right"/>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、授权委托书或法定代表人（单位负责人、自然人本人）身份证明</w:t>
      </w:r>
    </w:p>
    <w:p>
      <w:pPr>
        <w:snapToGrid w:val="0"/>
        <w:spacing w:line="360" w:lineRule="auto"/>
        <w:rPr>
          <w:rFonts w:ascii="仿宋" w:hAnsi="仿宋" w:eastAsia="仿宋" w:cs="仿宋"/>
          <w:sz w:val="24"/>
        </w:rPr>
      </w:pP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b/>
          <w:kern w:val="0"/>
          <w:sz w:val="32"/>
          <w:szCs w:val="32"/>
        </w:rPr>
      </w:pPr>
      <w:r>
        <w:rPr>
          <w:rFonts w:hint="eastAsia" w:ascii="仿宋" w:hAnsi="仿宋" w:eastAsia="仿宋" w:cs="仿宋"/>
          <w:kern w:val="0"/>
          <w:sz w:val="24"/>
          <w:lang w:val="zh-CN"/>
        </w:rPr>
        <w:t>特此告知。</w:t>
      </w:r>
    </w:p>
    <w:p>
      <w:pPr>
        <w:rPr>
          <w:rFonts w:ascii="仿宋" w:hAnsi="仿宋" w:eastAsia="仿宋" w:cs="仿宋"/>
        </w:rPr>
      </w:pP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pStyle w:val="2"/>
        <w:rPr>
          <w:rFonts w:ascii="仿宋" w:hAnsi="仿宋" w:eastAsia="仿宋" w:cs="仿宋"/>
          <w:kern w:val="0"/>
        </w:rPr>
      </w:pP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80"/>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jc w:val="center"/>
        </w:trPr>
        <w:tc>
          <w:tcPr>
            <w:tcW w:w="9207" w:type="dxa"/>
          </w:tcPr>
          <w:p>
            <w:pPr>
              <w:pStyle w:val="180"/>
              <w:adjustRightInd w:val="0"/>
              <w:spacing w:line="360" w:lineRule="auto"/>
              <w:rPr>
                <w:rFonts w:ascii="仿宋" w:hAnsi="仿宋" w:eastAsia="仿宋" w:cs="仿宋"/>
                <w:bCs/>
                <w:sz w:val="24"/>
              </w:rPr>
            </w:pPr>
            <w:r>
              <w:rPr>
                <w:rFonts w:ascii="仿宋" w:hAnsi="仿宋" w:eastAsia="仿宋" w:cs="仿宋"/>
                <w:bCs/>
                <w:sz w:val="24"/>
              </w:rPr>
              <w:t>正面：                                 反面：</w:t>
            </w:r>
          </w:p>
          <w:p>
            <w:pPr>
              <w:pStyle w:val="180"/>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pStyle w:val="3"/>
        <w:rPr>
          <w:rFonts w:ascii="仿宋" w:hAnsi="仿宋" w:eastAsia="仿宋" w:cs="仿宋"/>
          <w:lang w:val="en-US"/>
        </w:rPr>
      </w:pPr>
    </w:p>
    <w:p>
      <w:pPr>
        <w:pStyle w:val="4"/>
        <w:rPr>
          <w:rFonts w:ascii="仿宋" w:hAnsi="仿宋" w:eastAsia="仿宋" w:cs="仿宋"/>
        </w:rPr>
      </w:pPr>
    </w:p>
    <w:p>
      <w:pPr>
        <w:rPr>
          <w:rFonts w:ascii="仿宋" w:hAnsi="仿宋" w:eastAsia="仿宋" w:cs="仿宋"/>
        </w:rPr>
      </w:pPr>
    </w:p>
    <w:p>
      <w:pPr>
        <w:rPr>
          <w:rFonts w:ascii="仿宋" w:hAnsi="仿宋" w:eastAsia="仿宋" w:cs="仿宋"/>
          <w:b/>
          <w:kern w:val="0"/>
          <w:sz w:val="32"/>
          <w:szCs w:val="32"/>
        </w:r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rPr>
        <w:t>四、</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ascii="仿宋" w:hAnsi="仿宋" w:eastAsia="仿宋" w:cs="仿宋"/>
          <w:b/>
          <w:kern w:val="0"/>
          <w:sz w:val="32"/>
          <w:szCs w:val="32"/>
          <w:lang w:val="zh-CN"/>
        </w:rPr>
        <w:sectPr>
          <w:headerReference r:id="rId13" w:type="first"/>
          <w:footerReference r:id="rId15" w:type="first"/>
          <w:headerReference r:id="rId12" w:type="default"/>
          <w:footerReference r:id="rId14" w:type="default"/>
          <w:pgSz w:w="11907" w:h="16840"/>
          <w:pgMar w:top="1474" w:right="1814" w:bottom="1474" w:left="1814" w:header="851" w:footer="992" w:gutter="0"/>
          <w:cols w:space="720" w:num="1"/>
          <w:titlePg/>
          <w:docGrid w:linePitch="312" w:charSpace="0"/>
        </w:sectPr>
      </w:pP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五、分包意向协议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ascii="仿宋" w:hAnsi="仿宋" w:eastAsia="仿宋" w:cs="仿宋"/>
          <w:b/>
          <w:kern w:val="0"/>
          <w:sz w:val="32"/>
          <w:szCs w:val="32"/>
        </w:rPr>
      </w:pPr>
      <w:r>
        <w:rPr>
          <w:rFonts w:hint="eastAsia" w:ascii="仿宋" w:hAnsi="仿宋" w:eastAsia="仿宋" w:cs="仿宋"/>
          <w:b/>
          <w:kern w:val="0"/>
          <w:sz w:val="32"/>
          <w:szCs w:val="32"/>
        </w:rPr>
        <w:t>六、符合性审查资料</w:t>
      </w:r>
    </w:p>
    <w:p>
      <w:pPr>
        <w:jc w:val="center"/>
        <w:rPr>
          <w:rFonts w:ascii="仿宋" w:hAnsi="仿宋" w:eastAsia="仿宋" w:cs="仿宋"/>
          <w:b/>
          <w:kern w:val="0"/>
          <w:sz w:val="32"/>
          <w:szCs w:val="32"/>
        </w:rPr>
      </w:pPr>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ascii="仿宋" w:hAnsi="仿宋" w:eastAsia="仿宋" w:cs="仿宋"/>
                <w:sz w:val="24"/>
              </w:rPr>
              <w:t>1</w:t>
            </w:r>
          </w:p>
        </w:tc>
        <w:tc>
          <w:tcPr>
            <w:tcW w:w="4991" w:type="dxa"/>
          </w:tcPr>
          <w:p>
            <w:pPr>
              <w:rPr>
                <w:rFonts w:ascii="仿宋" w:hAnsi="仿宋" w:eastAsia="仿宋" w:cs="仿宋"/>
                <w:sz w:val="24"/>
              </w:rPr>
            </w:pPr>
            <w:r>
              <w:rPr>
                <w:rFonts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ascii="仿宋" w:hAnsi="仿宋" w:eastAsia="仿宋" w:cs="仿宋"/>
                <w:sz w:val="24"/>
              </w:rPr>
              <w:t>见投标文件</w:t>
            </w:r>
          </w:p>
          <w:p>
            <w:pPr>
              <w:rPr>
                <w:rFonts w:ascii="仿宋" w:hAnsi="仿宋" w:eastAsia="仿宋" w:cs="仿宋"/>
                <w:sz w:val="24"/>
              </w:rPr>
            </w:pPr>
            <w:r>
              <w:rPr>
                <w:rFonts w:ascii="仿宋" w:hAnsi="仿宋" w:eastAsia="仿宋" w:cs="仿宋"/>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ascii="仿宋" w:hAnsi="仿宋" w:eastAsia="仿宋" w:cs="仿宋"/>
                <w:sz w:val="24"/>
              </w:rPr>
              <w:t>2</w:t>
            </w:r>
          </w:p>
        </w:tc>
        <w:tc>
          <w:tcPr>
            <w:tcW w:w="4991" w:type="dxa"/>
          </w:tcPr>
          <w:p>
            <w:pPr>
              <w:rPr>
                <w:rFonts w:ascii="仿宋" w:hAnsi="仿宋" w:eastAsia="仿宋" w:cs="仿宋"/>
                <w:sz w:val="24"/>
              </w:rPr>
            </w:pPr>
            <w:r>
              <w:rPr>
                <w:rFonts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s="仿宋"/>
                <w:sz w:val="24"/>
              </w:rPr>
            </w:pPr>
            <w:r>
              <w:rPr>
                <w:rFonts w:ascii="仿宋" w:hAnsi="仿宋" w:eastAsia="仿宋" w:cs="仿宋"/>
                <w:sz w:val="24"/>
              </w:rPr>
              <w:t>节能产品认证证书（本项目拟采购的产品不属于政府强制采购的节能产品品目清单范围的，无需提供）</w:t>
            </w:r>
          </w:p>
        </w:tc>
        <w:tc>
          <w:tcPr>
            <w:tcW w:w="1418" w:type="dxa"/>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ascii="仿宋" w:hAnsi="仿宋" w:eastAsia="仿宋" w:cs="仿宋"/>
                <w:sz w:val="24"/>
              </w:rPr>
              <w:t>见投标文件</w:t>
            </w:r>
          </w:p>
          <w:p>
            <w:pPr>
              <w:rPr>
                <w:rFonts w:ascii="仿宋" w:hAnsi="仿宋" w:eastAsia="仿宋" w:cs="仿宋"/>
                <w:sz w:val="24"/>
              </w:rPr>
            </w:pPr>
            <w:r>
              <w:rPr>
                <w:rFonts w:ascii="仿宋" w:hAnsi="仿宋" w:eastAsia="仿宋" w:cs="仿宋"/>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ascii="仿宋" w:hAnsi="仿宋" w:eastAsia="仿宋" w:cs="仿宋"/>
                <w:sz w:val="24"/>
              </w:rPr>
              <w:t>3</w:t>
            </w:r>
          </w:p>
        </w:tc>
        <w:tc>
          <w:tcPr>
            <w:tcW w:w="4991" w:type="dxa"/>
          </w:tcPr>
          <w:p>
            <w:pPr>
              <w:rPr>
                <w:rFonts w:ascii="仿宋" w:hAnsi="仿宋" w:eastAsia="仿宋" w:cs="仿宋"/>
                <w:sz w:val="24"/>
              </w:rPr>
            </w:pPr>
            <w:r>
              <w:rPr>
                <w:rFonts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ascii="仿宋" w:hAnsi="仿宋" w:eastAsia="仿宋" w:cs="仿宋"/>
                <w:sz w:val="24"/>
              </w:rPr>
              <w:t>投标函</w:t>
            </w:r>
          </w:p>
        </w:tc>
        <w:tc>
          <w:tcPr>
            <w:tcW w:w="1418" w:type="dxa"/>
          </w:tcPr>
          <w:p>
            <w:pPr>
              <w:rPr>
                <w:rFonts w:ascii="仿宋" w:hAnsi="仿宋" w:eastAsia="仿宋" w:cs="仿宋"/>
                <w:sz w:val="24"/>
              </w:rPr>
            </w:pPr>
            <w:r>
              <w:rPr>
                <w:rFonts w:ascii="仿宋" w:hAnsi="仿宋" w:eastAsia="仿宋" w:cs="仿宋"/>
                <w:sz w:val="24"/>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ascii="仿宋" w:hAnsi="仿宋" w:eastAsia="仿宋" w:cs="仿宋"/>
                <w:sz w:val="24"/>
              </w:rPr>
              <w:t>4</w:t>
            </w:r>
          </w:p>
        </w:tc>
        <w:tc>
          <w:tcPr>
            <w:tcW w:w="4991" w:type="dxa"/>
          </w:tcPr>
          <w:p>
            <w:pPr>
              <w:rPr>
                <w:rFonts w:ascii="仿宋" w:hAnsi="仿宋" w:eastAsia="仿宋" w:cs="仿宋"/>
                <w:sz w:val="24"/>
              </w:rPr>
            </w:pPr>
            <w:r>
              <w:rPr>
                <w:rFonts w:ascii="仿宋" w:hAnsi="仿宋" w:eastAsia="仿宋" w:cs="仿宋"/>
                <w:sz w:val="24"/>
              </w:rPr>
              <w:t>投标文件满足招标文件的其它实质性要求。</w:t>
            </w:r>
          </w:p>
        </w:tc>
        <w:tc>
          <w:tcPr>
            <w:tcW w:w="2551" w:type="dxa"/>
            <w:vAlign w:val="center"/>
          </w:tcPr>
          <w:p>
            <w:pPr>
              <w:rPr>
                <w:rFonts w:ascii="仿宋" w:hAnsi="仿宋" w:eastAsia="仿宋" w:cs="仿宋"/>
                <w:sz w:val="24"/>
              </w:rPr>
            </w:pPr>
            <w:r>
              <w:rPr>
                <w:rFonts w:ascii="仿宋" w:hAnsi="仿宋" w:eastAsia="仿宋" w:cs="仿宋"/>
                <w:sz w:val="24"/>
              </w:rPr>
              <w:t>招标文件其它实质性要求相应的材料（“▲” 系指实质性要求条款，招标文件无其它实质性要求的，无需提供）</w:t>
            </w:r>
          </w:p>
        </w:tc>
        <w:tc>
          <w:tcPr>
            <w:tcW w:w="1418" w:type="dxa"/>
          </w:tcPr>
          <w:p>
            <w:pPr>
              <w:rPr>
                <w:rFonts w:ascii="仿宋" w:hAnsi="仿宋" w:eastAsia="仿宋" w:cs="仿宋"/>
                <w:sz w:val="24"/>
              </w:rPr>
            </w:pPr>
            <w:r>
              <w:rPr>
                <w:rFonts w:ascii="仿宋" w:hAnsi="仿宋" w:eastAsia="仿宋" w:cs="仿宋"/>
                <w:sz w:val="24"/>
              </w:rPr>
              <w:t>见投标文件第  页</w:t>
            </w:r>
          </w:p>
        </w:tc>
      </w:tr>
    </w:tbl>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rPr>
      </w:pPr>
      <w:r>
        <w:rPr>
          <w:rFonts w:hint="eastAsia" w:ascii="仿宋" w:hAnsi="仿宋" w:eastAsia="仿宋" w:cs="仿宋"/>
          <w:b/>
          <w:kern w:val="0"/>
          <w:sz w:val="32"/>
          <w:szCs w:val="32"/>
        </w:rPr>
        <w:t>七、评标标准相应的商务技术资料</w:t>
      </w:r>
    </w:p>
    <w:p>
      <w:pPr>
        <w:snapToGrid w:val="0"/>
        <w:spacing w:line="360" w:lineRule="auto"/>
        <w:jc w:val="left"/>
        <w:rPr>
          <w:rFonts w:ascii="仿宋_GB2312" w:hAnsi="仿宋" w:eastAsia="仿宋_GB2312" w:cs="仿宋_GB2312"/>
          <w:b/>
          <w:sz w:val="24"/>
        </w:rPr>
      </w:pPr>
      <w:r>
        <w:rPr>
          <w:rFonts w:hint="eastAsia" w:ascii="仿宋" w:hAnsi="仿宋" w:eastAsia="仿宋" w:cs="仿宋"/>
          <w:b/>
          <w:sz w:val="24"/>
        </w:rPr>
        <w:t>（按招标文件第四部分评标办法前附表中“投标文件中评标标准相应的商务技术资料目录”提供资料）</w:t>
      </w:r>
    </w:p>
    <w:p>
      <w:pPr>
        <w:snapToGrid w:val="0"/>
        <w:spacing w:line="280" w:lineRule="exact"/>
        <w:ind w:left="720"/>
        <w:jc w:val="center"/>
        <w:rPr>
          <w:rFonts w:ascii="宋体" w:hAnsi="宋体" w:cs="宋体"/>
          <w:b/>
          <w:bCs/>
          <w:sz w:val="24"/>
        </w:rPr>
      </w:pPr>
      <w:r>
        <w:rPr>
          <w:rFonts w:hint="eastAsia" w:ascii="宋体" w:hAnsi="宋体" w:cs="宋体"/>
          <w:b/>
          <w:bCs/>
          <w:sz w:val="28"/>
          <w:szCs w:val="28"/>
        </w:rPr>
        <w:t>自评表</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110"/>
        <w:gridCol w:w="709"/>
        <w:gridCol w:w="1418"/>
        <w:gridCol w:w="1119"/>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6"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sz w:val="24"/>
              </w:rPr>
            </w:pPr>
            <w:r>
              <w:rPr>
                <w:rFonts w:ascii="宋体" w:hAnsi="宋体" w:cs="宋体"/>
                <w:color w:val="000000"/>
                <w:sz w:val="24"/>
              </w:rPr>
              <w:t>序号</w:t>
            </w:r>
          </w:p>
        </w:tc>
        <w:tc>
          <w:tcPr>
            <w:tcW w:w="4110"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ascii="宋体" w:hAnsi="宋体" w:cs="宋体"/>
                <w:color w:val="000000"/>
                <w:sz w:val="24"/>
              </w:rPr>
              <w:t>评分项目</w:t>
            </w:r>
          </w:p>
        </w:tc>
        <w:tc>
          <w:tcPr>
            <w:tcW w:w="709"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rPr>
            </w:pPr>
            <w:r>
              <w:rPr>
                <w:rFonts w:ascii="宋体" w:hAnsi="宋体" w:cs="宋体"/>
                <w:color w:val="000000"/>
                <w:sz w:val="24"/>
              </w:rPr>
              <w:t>分值</w:t>
            </w:r>
          </w:p>
        </w:tc>
        <w:tc>
          <w:tcPr>
            <w:tcW w:w="1418"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ascii="宋体" w:hAnsi="宋体" w:cs="宋体"/>
                <w:color w:val="000000"/>
                <w:sz w:val="24"/>
              </w:rPr>
              <w:t>自评依据</w:t>
            </w:r>
          </w:p>
        </w:tc>
        <w:tc>
          <w:tcPr>
            <w:tcW w:w="1119"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ascii="宋体" w:hAnsi="宋体" w:cs="宋体"/>
                <w:color w:val="000000"/>
                <w:sz w:val="24"/>
              </w:rPr>
              <w:t>自评分</w:t>
            </w:r>
          </w:p>
        </w:tc>
        <w:tc>
          <w:tcPr>
            <w:tcW w:w="1149" w:type="dxa"/>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rPr>
            </w:pPr>
            <w:r>
              <w:rPr>
                <w:rFonts w:ascii="宋体" w:hAnsi="宋体" w:cs="宋体"/>
                <w:color w:val="000000"/>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6" w:type="dxa"/>
            <w:vAlign w:val="center"/>
          </w:tcPr>
          <w:p>
            <w:pPr>
              <w:jc w:val="center"/>
              <w:rPr>
                <w:rFonts w:ascii="宋体" w:hAnsi="宋体"/>
                <w:b/>
                <w:sz w:val="24"/>
              </w:rPr>
            </w:pPr>
          </w:p>
        </w:tc>
        <w:tc>
          <w:tcPr>
            <w:tcW w:w="4110" w:type="dxa"/>
            <w:vAlign w:val="center"/>
          </w:tcPr>
          <w:p>
            <w:pPr>
              <w:autoSpaceDE w:val="0"/>
              <w:autoSpaceDN w:val="0"/>
              <w:snapToGrid w:val="0"/>
              <w:jc w:val="center"/>
              <w:rPr>
                <w:rFonts w:ascii="宋体" w:hAnsi="宋体" w:cs="宋体"/>
                <w:b/>
                <w:bCs/>
                <w:szCs w:val="21"/>
              </w:rPr>
            </w:pPr>
          </w:p>
        </w:tc>
        <w:tc>
          <w:tcPr>
            <w:tcW w:w="709" w:type="dxa"/>
            <w:vAlign w:val="center"/>
          </w:tcPr>
          <w:p>
            <w:pPr>
              <w:autoSpaceDE w:val="0"/>
              <w:autoSpaceDN w:val="0"/>
              <w:snapToGrid w:val="0"/>
              <w:jc w:val="center"/>
              <w:rPr>
                <w:rFonts w:ascii="仿宋" w:hAnsi="仿宋" w:eastAsia="仿宋" w:cs="宋体"/>
                <w:b/>
                <w:bCs/>
                <w:szCs w:val="21"/>
              </w:rPr>
            </w:pPr>
          </w:p>
        </w:tc>
        <w:tc>
          <w:tcPr>
            <w:tcW w:w="1418" w:type="dxa"/>
          </w:tcPr>
          <w:p>
            <w:pPr>
              <w:spacing w:line="400" w:lineRule="exact"/>
              <w:jc w:val="center"/>
              <w:rPr>
                <w:rFonts w:ascii="宋体" w:hAnsi="宋体"/>
                <w:b/>
                <w:bCs/>
                <w:color w:val="000000"/>
                <w:sz w:val="24"/>
              </w:rPr>
            </w:pPr>
          </w:p>
        </w:tc>
        <w:tc>
          <w:tcPr>
            <w:tcW w:w="1119" w:type="dxa"/>
            <w:vAlign w:val="center"/>
          </w:tcPr>
          <w:p>
            <w:pPr>
              <w:spacing w:line="400" w:lineRule="exact"/>
              <w:jc w:val="center"/>
              <w:rPr>
                <w:rFonts w:ascii="宋体" w:hAnsi="宋体"/>
                <w:b/>
                <w:bCs/>
                <w:color w:val="000000"/>
                <w:sz w:val="24"/>
              </w:rPr>
            </w:pPr>
          </w:p>
        </w:tc>
        <w:tc>
          <w:tcPr>
            <w:tcW w:w="1149" w:type="dxa"/>
            <w:vAlign w:val="center"/>
          </w:tcPr>
          <w:p>
            <w:pPr>
              <w:spacing w:line="400" w:lineRule="exact"/>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6" w:type="dxa"/>
            <w:vAlign w:val="center"/>
          </w:tcPr>
          <w:p>
            <w:pPr>
              <w:jc w:val="center"/>
              <w:rPr>
                <w:rFonts w:ascii="宋体" w:hAnsi="宋体"/>
                <w:b/>
                <w:sz w:val="24"/>
              </w:rPr>
            </w:pPr>
          </w:p>
        </w:tc>
        <w:tc>
          <w:tcPr>
            <w:tcW w:w="4110" w:type="dxa"/>
            <w:vAlign w:val="center"/>
          </w:tcPr>
          <w:p>
            <w:pPr>
              <w:ind w:firstLine="316" w:firstLineChars="150"/>
              <w:jc w:val="left"/>
              <w:rPr>
                <w:rFonts w:ascii="宋体" w:hAnsi="宋体"/>
                <w:b/>
                <w:szCs w:val="21"/>
              </w:rPr>
            </w:pPr>
          </w:p>
        </w:tc>
        <w:tc>
          <w:tcPr>
            <w:tcW w:w="709" w:type="dxa"/>
            <w:vAlign w:val="center"/>
          </w:tcPr>
          <w:p>
            <w:pPr>
              <w:jc w:val="center"/>
              <w:rPr>
                <w:rFonts w:ascii="宋体"/>
                <w:bCs/>
                <w:sz w:val="24"/>
              </w:rPr>
            </w:pPr>
          </w:p>
        </w:tc>
        <w:tc>
          <w:tcPr>
            <w:tcW w:w="1418" w:type="dxa"/>
          </w:tcPr>
          <w:p>
            <w:pPr>
              <w:spacing w:line="400" w:lineRule="exact"/>
              <w:jc w:val="center"/>
              <w:rPr>
                <w:rFonts w:ascii="宋体" w:hAnsi="宋体"/>
                <w:b/>
                <w:bCs/>
                <w:color w:val="000000"/>
                <w:sz w:val="24"/>
              </w:rPr>
            </w:pPr>
          </w:p>
        </w:tc>
        <w:tc>
          <w:tcPr>
            <w:tcW w:w="1119" w:type="dxa"/>
            <w:vAlign w:val="center"/>
          </w:tcPr>
          <w:p>
            <w:pPr>
              <w:spacing w:line="400" w:lineRule="exact"/>
              <w:jc w:val="center"/>
              <w:rPr>
                <w:rFonts w:ascii="宋体" w:hAnsi="宋体"/>
                <w:b/>
                <w:bCs/>
                <w:color w:val="000000"/>
                <w:sz w:val="24"/>
              </w:rPr>
            </w:pPr>
          </w:p>
        </w:tc>
        <w:tc>
          <w:tcPr>
            <w:tcW w:w="1149" w:type="dxa"/>
            <w:vAlign w:val="center"/>
          </w:tcPr>
          <w:p>
            <w:pPr>
              <w:spacing w:line="400" w:lineRule="exact"/>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6" w:type="dxa"/>
            <w:vAlign w:val="center"/>
          </w:tcPr>
          <w:p>
            <w:pPr>
              <w:jc w:val="center"/>
              <w:rPr>
                <w:rFonts w:ascii="宋体" w:hAnsi="宋体"/>
                <w:b/>
                <w:sz w:val="24"/>
              </w:rPr>
            </w:pPr>
          </w:p>
        </w:tc>
        <w:tc>
          <w:tcPr>
            <w:tcW w:w="4110" w:type="dxa"/>
            <w:vAlign w:val="center"/>
          </w:tcPr>
          <w:p>
            <w:pPr>
              <w:ind w:firstLine="315" w:firstLineChars="150"/>
              <w:jc w:val="left"/>
              <w:rPr>
                <w:rFonts w:ascii="宋体" w:hAnsi="宋体"/>
                <w:bCs/>
                <w:szCs w:val="21"/>
              </w:rPr>
            </w:pPr>
          </w:p>
        </w:tc>
        <w:tc>
          <w:tcPr>
            <w:tcW w:w="709" w:type="dxa"/>
            <w:vAlign w:val="center"/>
          </w:tcPr>
          <w:p>
            <w:pPr>
              <w:jc w:val="center"/>
              <w:rPr>
                <w:rFonts w:ascii="宋体"/>
                <w:bCs/>
                <w:sz w:val="24"/>
              </w:rPr>
            </w:pPr>
          </w:p>
        </w:tc>
        <w:tc>
          <w:tcPr>
            <w:tcW w:w="1418" w:type="dxa"/>
          </w:tcPr>
          <w:p>
            <w:pPr>
              <w:spacing w:line="400" w:lineRule="exact"/>
              <w:jc w:val="center"/>
              <w:rPr>
                <w:rFonts w:ascii="宋体" w:hAnsi="宋体"/>
                <w:b/>
                <w:bCs/>
                <w:color w:val="000000"/>
                <w:sz w:val="24"/>
              </w:rPr>
            </w:pPr>
          </w:p>
        </w:tc>
        <w:tc>
          <w:tcPr>
            <w:tcW w:w="1119" w:type="dxa"/>
            <w:vAlign w:val="center"/>
          </w:tcPr>
          <w:p>
            <w:pPr>
              <w:spacing w:line="400" w:lineRule="exact"/>
              <w:jc w:val="center"/>
              <w:rPr>
                <w:rFonts w:ascii="宋体" w:hAnsi="宋体"/>
                <w:b/>
                <w:bCs/>
                <w:color w:val="000000"/>
                <w:sz w:val="24"/>
              </w:rPr>
            </w:pPr>
          </w:p>
        </w:tc>
        <w:tc>
          <w:tcPr>
            <w:tcW w:w="1149" w:type="dxa"/>
            <w:vAlign w:val="center"/>
          </w:tcPr>
          <w:p>
            <w:pPr>
              <w:spacing w:line="400" w:lineRule="exact"/>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6" w:type="dxa"/>
            <w:vAlign w:val="center"/>
          </w:tcPr>
          <w:p>
            <w:pPr>
              <w:jc w:val="center"/>
              <w:rPr>
                <w:rFonts w:ascii="宋体" w:hAnsi="宋体"/>
                <w:b/>
                <w:sz w:val="24"/>
              </w:rPr>
            </w:pPr>
          </w:p>
        </w:tc>
        <w:tc>
          <w:tcPr>
            <w:tcW w:w="4110" w:type="dxa"/>
            <w:vAlign w:val="center"/>
          </w:tcPr>
          <w:p>
            <w:pPr>
              <w:ind w:firstLine="315" w:firstLineChars="150"/>
              <w:jc w:val="left"/>
              <w:rPr>
                <w:rFonts w:ascii="宋体" w:hAnsi="宋体"/>
                <w:bCs/>
                <w:szCs w:val="21"/>
              </w:rPr>
            </w:pPr>
          </w:p>
        </w:tc>
        <w:tc>
          <w:tcPr>
            <w:tcW w:w="709" w:type="dxa"/>
            <w:vAlign w:val="center"/>
          </w:tcPr>
          <w:p>
            <w:pPr>
              <w:jc w:val="center"/>
              <w:rPr>
                <w:rFonts w:ascii="宋体"/>
                <w:bCs/>
                <w:sz w:val="24"/>
              </w:rPr>
            </w:pPr>
          </w:p>
        </w:tc>
        <w:tc>
          <w:tcPr>
            <w:tcW w:w="1418" w:type="dxa"/>
          </w:tcPr>
          <w:p>
            <w:pPr>
              <w:spacing w:line="400" w:lineRule="exact"/>
              <w:jc w:val="center"/>
              <w:rPr>
                <w:rFonts w:ascii="宋体" w:hAnsi="宋体"/>
                <w:b/>
                <w:bCs/>
                <w:color w:val="000000"/>
                <w:sz w:val="24"/>
              </w:rPr>
            </w:pPr>
          </w:p>
        </w:tc>
        <w:tc>
          <w:tcPr>
            <w:tcW w:w="1119" w:type="dxa"/>
            <w:vAlign w:val="center"/>
          </w:tcPr>
          <w:p>
            <w:pPr>
              <w:spacing w:line="400" w:lineRule="exact"/>
              <w:jc w:val="center"/>
              <w:rPr>
                <w:rFonts w:ascii="宋体" w:hAnsi="宋体"/>
                <w:b/>
                <w:bCs/>
                <w:color w:val="000000"/>
                <w:sz w:val="24"/>
              </w:rPr>
            </w:pPr>
          </w:p>
        </w:tc>
        <w:tc>
          <w:tcPr>
            <w:tcW w:w="1149" w:type="dxa"/>
            <w:vAlign w:val="center"/>
          </w:tcPr>
          <w:p>
            <w:pPr>
              <w:spacing w:line="400" w:lineRule="exact"/>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6" w:type="dxa"/>
            <w:vAlign w:val="center"/>
          </w:tcPr>
          <w:p>
            <w:pPr>
              <w:jc w:val="center"/>
              <w:rPr>
                <w:rFonts w:ascii="宋体" w:hAnsi="宋体"/>
                <w:b/>
                <w:sz w:val="24"/>
              </w:rPr>
            </w:pPr>
          </w:p>
        </w:tc>
        <w:tc>
          <w:tcPr>
            <w:tcW w:w="4110" w:type="dxa"/>
            <w:vAlign w:val="center"/>
          </w:tcPr>
          <w:p>
            <w:pPr>
              <w:ind w:firstLine="315" w:firstLineChars="150"/>
              <w:jc w:val="left"/>
              <w:rPr>
                <w:rFonts w:ascii="宋体" w:hAnsi="宋体"/>
                <w:bCs/>
                <w:szCs w:val="21"/>
              </w:rPr>
            </w:pPr>
          </w:p>
        </w:tc>
        <w:tc>
          <w:tcPr>
            <w:tcW w:w="709" w:type="dxa"/>
            <w:vAlign w:val="center"/>
          </w:tcPr>
          <w:p>
            <w:pPr>
              <w:jc w:val="center"/>
              <w:rPr>
                <w:rFonts w:ascii="宋体"/>
                <w:bCs/>
                <w:sz w:val="24"/>
              </w:rPr>
            </w:pPr>
          </w:p>
        </w:tc>
        <w:tc>
          <w:tcPr>
            <w:tcW w:w="1418" w:type="dxa"/>
          </w:tcPr>
          <w:p>
            <w:pPr>
              <w:spacing w:line="400" w:lineRule="exact"/>
              <w:jc w:val="center"/>
              <w:rPr>
                <w:rFonts w:ascii="宋体" w:hAnsi="宋体"/>
                <w:b/>
                <w:bCs/>
                <w:color w:val="000000"/>
                <w:sz w:val="24"/>
              </w:rPr>
            </w:pPr>
          </w:p>
        </w:tc>
        <w:tc>
          <w:tcPr>
            <w:tcW w:w="1119" w:type="dxa"/>
            <w:vAlign w:val="center"/>
          </w:tcPr>
          <w:p>
            <w:pPr>
              <w:spacing w:line="400" w:lineRule="exact"/>
              <w:jc w:val="center"/>
              <w:rPr>
                <w:rFonts w:ascii="宋体" w:hAnsi="宋体"/>
                <w:b/>
                <w:bCs/>
                <w:color w:val="000000"/>
                <w:sz w:val="24"/>
              </w:rPr>
            </w:pPr>
          </w:p>
        </w:tc>
        <w:tc>
          <w:tcPr>
            <w:tcW w:w="1149" w:type="dxa"/>
            <w:vAlign w:val="center"/>
          </w:tcPr>
          <w:p>
            <w:pPr>
              <w:spacing w:line="400" w:lineRule="exact"/>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6" w:type="dxa"/>
            <w:vAlign w:val="center"/>
          </w:tcPr>
          <w:p>
            <w:pPr>
              <w:jc w:val="center"/>
              <w:rPr>
                <w:rFonts w:ascii="宋体" w:hAnsi="宋体"/>
                <w:b/>
                <w:sz w:val="24"/>
              </w:rPr>
            </w:pPr>
          </w:p>
        </w:tc>
        <w:tc>
          <w:tcPr>
            <w:tcW w:w="4110" w:type="dxa"/>
            <w:vAlign w:val="center"/>
          </w:tcPr>
          <w:p>
            <w:pPr>
              <w:ind w:firstLine="315" w:firstLineChars="150"/>
              <w:jc w:val="left"/>
              <w:rPr>
                <w:rFonts w:ascii="宋体" w:hAnsi="宋体"/>
                <w:szCs w:val="21"/>
              </w:rPr>
            </w:pPr>
          </w:p>
        </w:tc>
        <w:tc>
          <w:tcPr>
            <w:tcW w:w="709" w:type="dxa"/>
            <w:vAlign w:val="center"/>
          </w:tcPr>
          <w:p>
            <w:pPr>
              <w:tabs>
                <w:tab w:val="left" w:pos="309"/>
              </w:tabs>
              <w:jc w:val="left"/>
              <w:rPr>
                <w:rFonts w:ascii="宋体"/>
                <w:bCs/>
                <w:sz w:val="24"/>
              </w:rPr>
            </w:pPr>
          </w:p>
        </w:tc>
        <w:tc>
          <w:tcPr>
            <w:tcW w:w="1418" w:type="dxa"/>
          </w:tcPr>
          <w:p>
            <w:pPr>
              <w:spacing w:line="400" w:lineRule="exact"/>
              <w:jc w:val="center"/>
              <w:rPr>
                <w:rFonts w:ascii="宋体" w:hAnsi="宋体"/>
                <w:b/>
                <w:bCs/>
                <w:color w:val="000000"/>
                <w:sz w:val="24"/>
              </w:rPr>
            </w:pPr>
          </w:p>
        </w:tc>
        <w:tc>
          <w:tcPr>
            <w:tcW w:w="1119" w:type="dxa"/>
            <w:vAlign w:val="center"/>
          </w:tcPr>
          <w:p>
            <w:pPr>
              <w:spacing w:line="400" w:lineRule="exact"/>
              <w:jc w:val="center"/>
              <w:rPr>
                <w:rFonts w:ascii="宋体" w:hAnsi="宋体"/>
                <w:b/>
                <w:bCs/>
                <w:color w:val="000000"/>
                <w:sz w:val="24"/>
              </w:rPr>
            </w:pPr>
          </w:p>
        </w:tc>
        <w:tc>
          <w:tcPr>
            <w:tcW w:w="1149" w:type="dxa"/>
            <w:vAlign w:val="center"/>
          </w:tcPr>
          <w:p>
            <w:pPr>
              <w:spacing w:line="400" w:lineRule="exact"/>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6" w:type="dxa"/>
            <w:vAlign w:val="center"/>
          </w:tcPr>
          <w:p>
            <w:pPr>
              <w:jc w:val="center"/>
              <w:rPr>
                <w:rFonts w:ascii="宋体" w:hAnsi="宋体"/>
                <w:b/>
                <w:sz w:val="24"/>
              </w:rPr>
            </w:pPr>
          </w:p>
        </w:tc>
        <w:tc>
          <w:tcPr>
            <w:tcW w:w="4110" w:type="dxa"/>
            <w:vAlign w:val="center"/>
          </w:tcPr>
          <w:p>
            <w:pPr>
              <w:jc w:val="left"/>
              <w:rPr>
                <w:rFonts w:ascii="宋体" w:hAnsi="宋体"/>
                <w:bCs/>
                <w:color w:val="000000"/>
                <w:szCs w:val="21"/>
              </w:rPr>
            </w:pPr>
          </w:p>
        </w:tc>
        <w:tc>
          <w:tcPr>
            <w:tcW w:w="709" w:type="dxa"/>
            <w:vAlign w:val="center"/>
          </w:tcPr>
          <w:p>
            <w:pPr>
              <w:jc w:val="center"/>
              <w:rPr>
                <w:rFonts w:ascii="宋体"/>
                <w:bCs/>
                <w:color w:val="000000"/>
                <w:sz w:val="24"/>
              </w:rPr>
            </w:pPr>
          </w:p>
        </w:tc>
        <w:tc>
          <w:tcPr>
            <w:tcW w:w="1418" w:type="dxa"/>
          </w:tcPr>
          <w:p>
            <w:pPr>
              <w:spacing w:line="400" w:lineRule="exact"/>
              <w:jc w:val="center"/>
              <w:rPr>
                <w:rFonts w:ascii="宋体" w:hAnsi="宋体"/>
                <w:b/>
                <w:bCs/>
                <w:color w:val="000000"/>
                <w:sz w:val="24"/>
              </w:rPr>
            </w:pPr>
          </w:p>
        </w:tc>
        <w:tc>
          <w:tcPr>
            <w:tcW w:w="1119" w:type="dxa"/>
            <w:vAlign w:val="center"/>
          </w:tcPr>
          <w:p>
            <w:pPr>
              <w:spacing w:line="400" w:lineRule="exact"/>
              <w:jc w:val="center"/>
              <w:rPr>
                <w:rFonts w:ascii="宋体" w:hAnsi="宋体"/>
                <w:b/>
                <w:bCs/>
                <w:color w:val="000000"/>
                <w:sz w:val="24"/>
              </w:rPr>
            </w:pPr>
          </w:p>
        </w:tc>
        <w:tc>
          <w:tcPr>
            <w:tcW w:w="1149" w:type="dxa"/>
            <w:vAlign w:val="center"/>
          </w:tcPr>
          <w:p>
            <w:pPr>
              <w:spacing w:line="400" w:lineRule="exact"/>
              <w:jc w:val="center"/>
              <w:rPr>
                <w:rFonts w:ascii="宋体" w:hAnsi="宋体"/>
                <w:b/>
                <w:bCs/>
                <w:color w:val="000000"/>
                <w:sz w:val="24"/>
              </w:rPr>
            </w:pPr>
          </w:p>
        </w:tc>
      </w:tr>
    </w:tbl>
    <w:p>
      <w:pPr>
        <w:snapToGrid w:val="0"/>
        <w:spacing w:beforeLines="50" w:after="50"/>
        <w:jc w:val="center"/>
        <w:rPr>
          <w:rFonts w:ascii="宋体" w:hAnsi="宋体"/>
          <w:color w:val="000000"/>
          <w:sz w:val="24"/>
        </w:rPr>
      </w:pPr>
    </w:p>
    <w:p>
      <w:pPr>
        <w:snapToGrid w:val="0"/>
        <w:spacing w:line="360" w:lineRule="auto"/>
        <w:jc w:val="left"/>
        <w:rPr>
          <w:rFonts w:ascii="仿宋" w:hAnsi="仿宋" w:eastAsia="仿宋" w:cs="仿宋"/>
          <w:b/>
          <w:sz w:val="24"/>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r>
        <w:rPr>
          <w:rFonts w:hint="eastAsia" w:ascii="仿宋" w:hAnsi="仿宋" w:eastAsia="仿宋" w:cs="仿宋"/>
          <w:b/>
          <w:kern w:val="0"/>
          <w:sz w:val="32"/>
          <w:szCs w:val="32"/>
        </w:rPr>
        <w:t>八、商务技术偏离表</w:t>
      </w:r>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ascii="仿宋" w:hAnsi="仿宋" w:eastAsia="仿宋" w:cs="仿宋"/>
                <w:b/>
                <w:bCs/>
                <w:sz w:val="24"/>
              </w:rPr>
              <w:t>序号</w:t>
            </w:r>
          </w:p>
        </w:tc>
        <w:tc>
          <w:tcPr>
            <w:tcW w:w="3683" w:type="dxa"/>
          </w:tcPr>
          <w:p>
            <w:pPr>
              <w:jc w:val="center"/>
              <w:rPr>
                <w:rFonts w:ascii="仿宋" w:hAnsi="仿宋" w:eastAsia="仿宋" w:cs="仿宋"/>
                <w:b/>
                <w:bCs/>
                <w:sz w:val="24"/>
              </w:rPr>
            </w:pPr>
            <w:r>
              <w:rPr>
                <w:rFonts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2891" w:firstLineChars="900"/>
        <w:rPr>
          <w:rFonts w:ascii="仿宋" w:hAnsi="仿宋" w:eastAsia="仿宋" w:cs="仿宋"/>
          <w:b/>
          <w:bCs/>
          <w:sz w:val="32"/>
          <w:szCs w:val="32"/>
        </w:r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九、</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headerReference r:id="rId17" w:type="first"/>
          <w:footerReference r:id="rId19" w:type="first"/>
          <w:headerReference r:id="rId16" w:type="default"/>
          <w:footerReference r:id="rId18" w:type="default"/>
          <w:pgSz w:w="11907" w:h="16840"/>
          <w:pgMar w:top="1474" w:right="1814" w:bottom="1474" w:left="1814" w:header="851" w:footer="992" w:gutter="0"/>
          <w:cols w:space="720" w:num="1"/>
          <w:titlePg/>
          <w:docGrid w:linePitch="312" w:charSpace="0"/>
        </w:sectPr>
      </w:pPr>
    </w:p>
    <w:p>
      <w:pPr>
        <w:pStyle w:val="938"/>
        <w:spacing w:before="120" w:after="120"/>
        <w:ind w:left="525"/>
      </w:pPr>
      <w:r>
        <w:rPr>
          <w:rFonts w:hint="eastAsia"/>
        </w:rPr>
        <w:t>报价文件部分</w:t>
      </w:r>
    </w:p>
    <w:p>
      <w:pPr>
        <w:pStyle w:val="2"/>
        <w:rPr>
          <w:lang w:val="en-US"/>
        </w:rPr>
      </w:pPr>
    </w:p>
    <w:p/>
    <w:p>
      <w:pPr>
        <w:pStyle w:val="938"/>
        <w:spacing w:before="120" w:after="120"/>
        <w:ind w:left="525"/>
      </w:pPr>
      <w:r>
        <w:rPr>
          <w:rFonts w:hint="eastAsia"/>
        </w:rPr>
        <w:t>目录</w:t>
      </w:r>
    </w:p>
    <w:p>
      <w:pPr>
        <w:numPr>
          <w:ilvl w:val="0"/>
          <w:numId w:val="14"/>
        </w:numPr>
        <w:snapToGrid w:val="0"/>
        <w:spacing w:line="360" w:lineRule="auto"/>
        <w:rPr>
          <w:rFonts w:ascii="仿宋" w:hAnsi="仿宋" w:eastAsia="仿宋" w:cs="仿宋"/>
          <w:b/>
          <w:kern w:val="0"/>
          <w:sz w:val="36"/>
          <w:szCs w:val="36"/>
        </w:rPr>
      </w:pPr>
      <w:r>
        <w:rPr>
          <w:rFonts w:hint="eastAsia" w:ascii="仿宋" w:hAnsi="仿宋" w:eastAsia="仿宋" w:cs="仿宋"/>
          <w:sz w:val="24"/>
        </w:rPr>
        <w:t>报价文件封面…………………………………………………………………（页码）</w:t>
      </w:r>
    </w:p>
    <w:p>
      <w:pPr>
        <w:numPr>
          <w:ilvl w:val="0"/>
          <w:numId w:val="14"/>
        </w:numPr>
        <w:snapToGrid w:val="0"/>
        <w:spacing w:line="360" w:lineRule="auto"/>
        <w:rPr>
          <w:rFonts w:ascii="仿宋" w:hAnsi="仿宋" w:eastAsia="仿宋" w:cs="仿宋"/>
          <w:sz w:val="24"/>
        </w:rPr>
      </w:pPr>
      <w:r>
        <w:rPr>
          <w:rFonts w:hint="eastAsia" w:ascii="仿宋" w:hAnsi="仿宋" w:eastAsia="仿宋" w:cs="仿宋"/>
          <w:sz w:val="24"/>
        </w:rPr>
        <w:t>开标一览表（报价表）………………………………………………………（页码）</w:t>
      </w:r>
    </w:p>
    <w:p>
      <w:pPr>
        <w:snapToGrid w:val="0"/>
        <w:spacing w:line="360" w:lineRule="auto"/>
        <w:rPr>
          <w:rFonts w:ascii="仿宋" w:hAnsi="仿宋" w:eastAsia="仿宋" w:cs="仿宋"/>
        </w:rPr>
      </w:pPr>
      <w:r>
        <w:rPr>
          <w:rFonts w:hint="eastAsia" w:ascii="仿宋" w:hAnsi="仿宋" w:eastAsia="仿宋" w:cs="仿宋"/>
          <w:sz w:val="24"/>
        </w:rPr>
        <w:t>（3）报价明细表……………………………………………………………………（页码）</w:t>
      </w:r>
    </w:p>
    <w:p>
      <w:pPr>
        <w:snapToGrid w:val="0"/>
        <w:spacing w:line="360" w:lineRule="auto"/>
        <w:rPr>
          <w:rFonts w:ascii="仿宋" w:hAnsi="仿宋" w:eastAsia="仿宋" w:cs="仿宋"/>
          <w:sz w:val="24"/>
        </w:rPr>
      </w:pPr>
      <w:r>
        <w:rPr>
          <w:rFonts w:hint="eastAsia" w:ascii="仿宋" w:hAnsi="仿宋" w:eastAsia="仿宋" w:cs="仿宋"/>
          <w:sz w:val="24"/>
        </w:rPr>
        <w:t>（4）中小企业声明函………………………………………………………………（页码）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977"/>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pStyle w:val="938"/>
        <w:spacing w:before="120" w:after="120"/>
        <w:ind w:left="525"/>
        <w:rPr>
          <w:lang w:val="zh-CN"/>
        </w:rPr>
      </w:pPr>
      <w:r>
        <w:rPr>
          <w:rFonts w:hint="eastAsia"/>
          <w:lang w:val="zh-CN"/>
        </w:rPr>
        <w:t>一、报价文件封面</w:t>
      </w:r>
    </w:p>
    <w:p>
      <w:pPr>
        <w:ind w:left="1800" w:leftChars="857"/>
        <w:jc w:val="right"/>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snapToGrid w:val="0"/>
        <w:spacing w:line="520" w:lineRule="exact"/>
        <w:jc w:val="center"/>
        <w:rPr>
          <w:rFonts w:ascii="宋体" w:hAnsi="宋体"/>
          <w:color w:val="000000"/>
          <w:sz w:val="24"/>
        </w:rPr>
      </w:pPr>
      <w:r>
        <w:rPr>
          <w:rFonts w:hint="eastAsia" w:ascii="宋体" w:hAnsi="宋体"/>
          <w:color w:val="000000"/>
          <w:sz w:val="24"/>
        </w:rPr>
        <w:t>报价文件</w:t>
      </w:r>
    </w:p>
    <w:p>
      <w:pPr>
        <w:snapToGrid w:val="0"/>
        <w:spacing w:line="520" w:lineRule="exact"/>
        <w:ind w:firstLine="1682" w:firstLineChars="698"/>
        <w:rPr>
          <w:rFonts w:ascii="宋体" w:hAnsi="宋体"/>
          <w:b/>
          <w:color w:val="000000"/>
          <w:sz w:val="24"/>
        </w:rPr>
      </w:pPr>
    </w:p>
    <w:p>
      <w:pPr>
        <w:snapToGrid w:val="0"/>
        <w:spacing w:line="400" w:lineRule="exact"/>
        <w:ind w:firstLine="480" w:firstLineChars="200"/>
        <w:rPr>
          <w:rFonts w:ascii="仿宋_GB2312" w:hAnsi="仿宋" w:eastAsia="仿宋_GB2312" w:cs="仿宋_GB2312"/>
          <w:sz w:val="24"/>
          <w:u w:val="single"/>
        </w:rPr>
      </w:pPr>
      <w:r>
        <w:rPr>
          <w:rFonts w:hint="eastAsia" w:ascii="仿宋_GB2312" w:hAnsi="仿宋" w:eastAsia="仿宋_GB2312" w:cs="仿宋_GB2312"/>
          <w:sz w:val="24"/>
        </w:rPr>
        <w:t>项目名称：</w:t>
      </w:r>
    </w:p>
    <w:p>
      <w:pPr>
        <w:snapToGrid w:val="0"/>
        <w:spacing w:line="600" w:lineRule="exact"/>
        <w:rPr>
          <w:rFonts w:ascii="宋体" w:hAnsi="宋体"/>
          <w:color w:val="000000"/>
          <w:sz w:val="24"/>
        </w:rPr>
      </w:pPr>
    </w:p>
    <w:p>
      <w:pPr>
        <w:snapToGrid w:val="0"/>
        <w:spacing w:line="400" w:lineRule="exact"/>
        <w:ind w:firstLine="480" w:firstLineChars="200"/>
        <w:rPr>
          <w:rFonts w:ascii="宋体" w:hAnsi="宋体"/>
          <w:color w:val="000000"/>
          <w:sz w:val="24"/>
          <w:u w:val="single"/>
        </w:rPr>
      </w:pPr>
      <w:r>
        <w:rPr>
          <w:rFonts w:hint="eastAsia" w:ascii="仿宋_GB2312" w:hAnsi="仿宋" w:eastAsia="仿宋_GB2312" w:cs="仿宋_GB2312"/>
          <w:sz w:val="24"/>
        </w:rPr>
        <w:t>项目编号：</w:t>
      </w:r>
    </w:p>
    <w:p>
      <w:pPr>
        <w:snapToGrid w:val="0"/>
        <w:spacing w:line="600" w:lineRule="exact"/>
        <w:rPr>
          <w:rFonts w:ascii="宋体" w:hAnsi="宋体"/>
          <w:color w:val="000000"/>
          <w:sz w:val="24"/>
        </w:rPr>
      </w:pPr>
    </w:p>
    <w:p>
      <w:pPr>
        <w:snapToGrid w:val="0"/>
        <w:spacing w:line="600" w:lineRule="exact"/>
        <w:rPr>
          <w:rFonts w:ascii="仿宋_GB2312" w:hAnsi="仿宋" w:eastAsia="仿宋_GB2312" w:cs="仿宋_GB2312"/>
          <w:sz w:val="24"/>
          <w:u w:val="single"/>
        </w:rPr>
      </w:pPr>
      <w:r>
        <w:rPr>
          <w:rFonts w:hint="eastAsia" w:ascii="仿宋_GB2312" w:hAnsi="仿宋" w:eastAsia="仿宋_GB2312" w:cs="仿宋_GB2312"/>
          <w:sz w:val="24"/>
        </w:rPr>
        <w:t>供应商：</w:t>
      </w:r>
      <w:r>
        <w:rPr>
          <w:rFonts w:ascii="仿宋_GB2312" w:hAnsi="仿宋" w:eastAsia="仿宋_GB2312" w:cs="仿宋_GB2312"/>
          <w:sz w:val="24"/>
          <w:u w:val="single"/>
        </w:rPr>
        <w:t>(电子签名)</w:t>
      </w:r>
    </w:p>
    <w:p>
      <w:pPr>
        <w:snapToGrid w:val="0"/>
        <w:spacing w:line="600" w:lineRule="exact"/>
        <w:rPr>
          <w:rFonts w:ascii="宋体" w:hAnsi="宋体"/>
          <w:color w:val="000000"/>
          <w:sz w:val="24"/>
        </w:rPr>
      </w:pPr>
    </w:p>
    <w:p>
      <w:pPr>
        <w:snapToGrid w:val="0"/>
        <w:spacing w:line="600" w:lineRule="exact"/>
        <w:jc w:val="center"/>
        <w:rPr>
          <w:rFonts w:ascii="仿宋_GB2312" w:hAnsi="仿宋" w:eastAsia="仿宋_GB2312" w:cs="仿宋_GB2312"/>
          <w:sz w:val="24"/>
        </w:rPr>
      </w:pPr>
      <w:r>
        <w:rPr>
          <w:rFonts w:hint="eastAsia" w:ascii="仿宋_GB2312" w:hAnsi="仿宋" w:eastAsia="仿宋_GB2312" w:cs="仿宋_GB2312"/>
          <w:sz w:val="24"/>
        </w:rPr>
        <w:t>日期： 年   月 日</w:t>
      </w:r>
    </w:p>
    <w:p>
      <w:pPr>
        <w:pStyle w:val="977"/>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24" w:type="default"/>
          <w:pgSz w:w="11906" w:h="16838"/>
          <w:pgMar w:top="1247" w:right="1418" w:bottom="1276" w:left="1418" w:header="851" w:footer="992" w:gutter="0"/>
          <w:cols w:space="720" w:num="1"/>
          <w:titlePg/>
          <w:docGrid w:linePitch="312" w:charSpace="0"/>
        </w:sectPr>
      </w:pPr>
    </w:p>
    <w:p>
      <w:pPr>
        <w:pStyle w:val="977"/>
        <w:keepNext w:val="0"/>
        <w:pageBreakBefore w:val="0"/>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二、开标一览表（报价表）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ign w:val="center"/>
          </w:tcPr>
          <w:p>
            <w:pPr>
              <w:spacing w:line="360" w:lineRule="auto"/>
              <w:jc w:val="center"/>
              <w:rPr>
                <w:rFonts w:ascii="仿宋" w:hAnsi="仿宋" w:eastAsia="仿宋" w:cs="仿宋"/>
                <w:b/>
                <w:sz w:val="24"/>
              </w:rPr>
            </w:pPr>
            <w:r>
              <w:rPr>
                <w:rFonts w:ascii="仿宋" w:hAnsi="仿宋" w:eastAsia="仿宋" w:cs="仿宋"/>
                <w:b/>
                <w:sz w:val="24"/>
              </w:rPr>
              <w:t>序号</w:t>
            </w:r>
          </w:p>
        </w:tc>
        <w:tc>
          <w:tcPr>
            <w:tcW w:w="1417" w:type="dxa"/>
            <w:noWrap/>
            <w:vAlign w:val="center"/>
          </w:tcPr>
          <w:p>
            <w:pPr>
              <w:spacing w:line="360" w:lineRule="auto"/>
              <w:jc w:val="center"/>
              <w:rPr>
                <w:rFonts w:ascii="仿宋" w:hAnsi="仿宋" w:eastAsia="仿宋" w:cs="仿宋"/>
                <w:b/>
                <w:sz w:val="24"/>
              </w:rPr>
            </w:pPr>
            <w:r>
              <w:rPr>
                <w:rFonts w:ascii="仿宋" w:hAnsi="仿宋" w:eastAsia="仿宋" w:cs="仿宋"/>
                <w:b/>
                <w:sz w:val="24"/>
              </w:rPr>
              <w:t>名称</w:t>
            </w:r>
          </w:p>
        </w:tc>
        <w:tc>
          <w:tcPr>
            <w:tcW w:w="1843" w:type="dxa"/>
            <w:noWrap/>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ascii="仿宋" w:hAnsi="仿宋" w:eastAsia="仿宋" w:cs="仿宋"/>
                <w:b/>
                <w:sz w:val="24"/>
              </w:rPr>
              <w:t>品牌（如果有）</w:t>
            </w:r>
          </w:p>
        </w:tc>
        <w:tc>
          <w:tcPr>
            <w:tcW w:w="3118" w:type="dxa"/>
            <w:noWrap/>
            <w:vAlign w:val="center"/>
          </w:tcPr>
          <w:p>
            <w:pPr>
              <w:spacing w:line="360" w:lineRule="auto"/>
              <w:jc w:val="center"/>
              <w:rPr>
                <w:rFonts w:ascii="仿宋" w:hAnsi="仿宋" w:eastAsia="仿宋" w:cs="仿宋"/>
                <w:b/>
                <w:sz w:val="24"/>
              </w:rPr>
            </w:pPr>
            <w:r>
              <w:rPr>
                <w:rFonts w:ascii="仿宋" w:hAnsi="仿宋" w:eastAsia="仿宋" w:cs="仿宋"/>
                <w:b/>
                <w:sz w:val="24"/>
              </w:rPr>
              <w:t>规格型号（或具体服务）</w:t>
            </w:r>
          </w:p>
        </w:tc>
        <w:tc>
          <w:tcPr>
            <w:tcW w:w="993" w:type="dxa"/>
            <w:noWrap/>
            <w:vAlign w:val="center"/>
          </w:tcPr>
          <w:p>
            <w:pPr>
              <w:spacing w:line="360" w:lineRule="auto"/>
              <w:jc w:val="center"/>
              <w:rPr>
                <w:rFonts w:ascii="仿宋" w:hAnsi="仿宋" w:eastAsia="仿宋" w:cs="仿宋"/>
                <w:b/>
                <w:sz w:val="24"/>
              </w:rPr>
            </w:pPr>
            <w:r>
              <w:rPr>
                <w:rFonts w:ascii="仿宋" w:hAnsi="仿宋" w:eastAsia="仿宋" w:cs="仿宋"/>
                <w:b/>
                <w:sz w:val="24"/>
              </w:rPr>
              <w:t>数量</w:t>
            </w:r>
          </w:p>
        </w:tc>
        <w:tc>
          <w:tcPr>
            <w:tcW w:w="1559" w:type="dxa"/>
            <w:noWrap/>
            <w:vAlign w:val="center"/>
          </w:tcPr>
          <w:p>
            <w:pPr>
              <w:spacing w:line="360" w:lineRule="auto"/>
              <w:jc w:val="center"/>
              <w:rPr>
                <w:rFonts w:ascii="仿宋" w:hAnsi="仿宋" w:eastAsia="仿宋" w:cs="仿宋"/>
                <w:b/>
                <w:sz w:val="24"/>
              </w:rPr>
            </w:pPr>
            <w:r>
              <w:rPr>
                <w:rFonts w:ascii="仿宋" w:hAnsi="仿宋" w:eastAsia="仿宋" w:cs="仿宋"/>
                <w:b/>
                <w:sz w:val="24"/>
              </w:rPr>
              <w:t>单价</w:t>
            </w:r>
          </w:p>
        </w:tc>
        <w:tc>
          <w:tcPr>
            <w:tcW w:w="1984" w:type="dxa"/>
            <w:noWrap/>
            <w:vAlign w:val="center"/>
          </w:tcPr>
          <w:p>
            <w:pPr>
              <w:spacing w:line="360" w:lineRule="auto"/>
              <w:jc w:val="center"/>
              <w:rPr>
                <w:rFonts w:ascii="仿宋" w:hAnsi="仿宋" w:eastAsia="仿宋" w:cs="仿宋"/>
                <w:b/>
                <w:sz w:val="24"/>
              </w:rPr>
            </w:pPr>
            <w:r>
              <w:rPr>
                <w:rFonts w:ascii="仿宋" w:hAnsi="仿宋" w:eastAsia="仿宋" w:cs="仿宋"/>
                <w:b/>
                <w:sz w:val="24"/>
              </w:rPr>
              <w:t>总价</w:t>
            </w:r>
          </w:p>
        </w:tc>
        <w:tc>
          <w:tcPr>
            <w:tcW w:w="3119" w:type="dxa"/>
            <w:noWrap/>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ascii="仿宋" w:hAnsi="仿宋" w:eastAsia="仿宋" w:cs="仿宋"/>
                <w:b/>
                <w:sz w:val="24"/>
              </w:rPr>
              <w:t>服务要求（年限）</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ign w:val="center"/>
          </w:tcPr>
          <w:p>
            <w:pPr>
              <w:spacing w:line="360" w:lineRule="auto"/>
              <w:jc w:val="center"/>
              <w:rPr>
                <w:rFonts w:ascii="仿宋" w:hAnsi="仿宋" w:eastAsia="仿宋" w:cs="仿宋"/>
                <w:sz w:val="24"/>
              </w:rPr>
            </w:pPr>
            <w:r>
              <w:rPr>
                <w:rFonts w:ascii="仿宋" w:hAnsi="仿宋" w:eastAsia="仿宋" w:cs="仿宋"/>
                <w:sz w:val="24"/>
              </w:rPr>
              <w:t>1</w:t>
            </w:r>
          </w:p>
        </w:tc>
        <w:tc>
          <w:tcPr>
            <w:tcW w:w="1417" w:type="dxa"/>
            <w:noWrap/>
            <w:vAlign w:val="center"/>
          </w:tcPr>
          <w:p>
            <w:pPr>
              <w:snapToGrid w:val="0"/>
              <w:spacing w:line="360" w:lineRule="auto"/>
              <w:jc w:val="center"/>
              <w:rPr>
                <w:rFonts w:ascii="仿宋" w:hAnsi="仿宋" w:eastAsia="仿宋" w:cs="仿宋"/>
                <w:sz w:val="24"/>
              </w:rPr>
            </w:pPr>
          </w:p>
        </w:tc>
        <w:tc>
          <w:tcPr>
            <w:tcW w:w="1843" w:type="dxa"/>
            <w:noWrap/>
            <w:vAlign w:val="center"/>
          </w:tcPr>
          <w:p>
            <w:pPr>
              <w:snapToGrid w:val="0"/>
              <w:spacing w:line="360" w:lineRule="auto"/>
              <w:jc w:val="center"/>
              <w:rPr>
                <w:rFonts w:ascii="仿宋" w:hAnsi="仿宋" w:eastAsia="仿宋" w:cs="仿宋"/>
                <w:sz w:val="24"/>
              </w:rPr>
            </w:pPr>
          </w:p>
        </w:tc>
        <w:tc>
          <w:tcPr>
            <w:tcW w:w="3118" w:type="dxa"/>
            <w:noWrap/>
            <w:vAlign w:val="center"/>
          </w:tcPr>
          <w:p>
            <w:pPr>
              <w:snapToGrid w:val="0"/>
              <w:spacing w:line="360" w:lineRule="auto"/>
              <w:jc w:val="center"/>
              <w:rPr>
                <w:rFonts w:ascii="仿宋" w:hAnsi="仿宋" w:eastAsia="仿宋" w:cs="仿宋"/>
                <w:sz w:val="24"/>
              </w:rPr>
            </w:pPr>
          </w:p>
        </w:tc>
        <w:tc>
          <w:tcPr>
            <w:tcW w:w="993" w:type="dxa"/>
            <w:noWrap/>
            <w:vAlign w:val="center"/>
          </w:tcPr>
          <w:p>
            <w:pPr>
              <w:snapToGrid w:val="0"/>
              <w:spacing w:line="360" w:lineRule="auto"/>
              <w:jc w:val="center"/>
              <w:rPr>
                <w:rFonts w:ascii="仿宋" w:hAnsi="仿宋" w:eastAsia="仿宋" w:cs="仿宋"/>
                <w:sz w:val="24"/>
              </w:rPr>
            </w:pPr>
          </w:p>
        </w:tc>
        <w:tc>
          <w:tcPr>
            <w:tcW w:w="1559" w:type="dxa"/>
            <w:noWrap/>
            <w:vAlign w:val="center"/>
          </w:tcPr>
          <w:p>
            <w:pPr>
              <w:spacing w:line="360" w:lineRule="auto"/>
              <w:jc w:val="center"/>
              <w:rPr>
                <w:rFonts w:ascii="仿宋" w:hAnsi="仿宋" w:eastAsia="仿宋" w:cs="仿宋"/>
                <w:sz w:val="24"/>
              </w:rPr>
            </w:pPr>
          </w:p>
        </w:tc>
        <w:tc>
          <w:tcPr>
            <w:tcW w:w="1984" w:type="dxa"/>
            <w:noWrap/>
            <w:vAlign w:val="center"/>
          </w:tcPr>
          <w:p>
            <w:pPr>
              <w:spacing w:line="360" w:lineRule="auto"/>
              <w:jc w:val="center"/>
              <w:rPr>
                <w:rFonts w:ascii="仿宋" w:hAnsi="仿宋" w:eastAsia="仿宋" w:cs="仿宋"/>
                <w:sz w:val="24"/>
              </w:rPr>
            </w:pPr>
          </w:p>
        </w:tc>
        <w:tc>
          <w:tcPr>
            <w:tcW w:w="3119" w:type="dxa"/>
            <w:noWrap/>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ign w:val="center"/>
          </w:tcPr>
          <w:p>
            <w:pPr>
              <w:spacing w:line="360" w:lineRule="auto"/>
              <w:jc w:val="center"/>
              <w:rPr>
                <w:rFonts w:ascii="仿宋" w:hAnsi="仿宋" w:eastAsia="仿宋" w:cs="仿宋"/>
                <w:sz w:val="24"/>
              </w:rPr>
            </w:pPr>
            <w:r>
              <w:rPr>
                <w:rFonts w:ascii="仿宋" w:hAnsi="仿宋" w:eastAsia="仿宋" w:cs="仿宋"/>
                <w:sz w:val="24"/>
              </w:rPr>
              <w:t>2</w:t>
            </w:r>
          </w:p>
        </w:tc>
        <w:tc>
          <w:tcPr>
            <w:tcW w:w="1417" w:type="dxa"/>
            <w:noWrap/>
            <w:vAlign w:val="center"/>
          </w:tcPr>
          <w:p>
            <w:pPr>
              <w:snapToGrid w:val="0"/>
              <w:spacing w:line="360" w:lineRule="auto"/>
              <w:jc w:val="center"/>
              <w:rPr>
                <w:rFonts w:ascii="仿宋" w:hAnsi="仿宋" w:eastAsia="仿宋" w:cs="仿宋"/>
                <w:sz w:val="24"/>
              </w:rPr>
            </w:pPr>
          </w:p>
        </w:tc>
        <w:tc>
          <w:tcPr>
            <w:tcW w:w="1843" w:type="dxa"/>
            <w:noWrap/>
            <w:vAlign w:val="center"/>
          </w:tcPr>
          <w:p>
            <w:pPr>
              <w:snapToGrid w:val="0"/>
              <w:spacing w:line="360" w:lineRule="auto"/>
              <w:jc w:val="center"/>
              <w:rPr>
                <w:rFonts w:ascii="仿宋" w:hAnsi="仿宋" w:eastAsia="仿宋" w:cs="仿宋"/>
                <w:sz w:val="24"/>
              </w:rPr>
            </w:pPr>
          </w:p>
        </w:tc>
        <w:tc>
          <w:tcPr>
            <w:tcW w:w="3118" w:type="dxa"/>
            <w:noWrap/>
            <w:vAlign w:val="center"/>
          </w:tcPr>
          <w:p>
            <w:pPr>
              <w:snapToGrid w:val="0"/>
              <w:spacing w:line="360" w:lineRule="auto"/>
              <w:jc w:val="center"/>
              <w:rPr>
                <w:rFonts w:ascii="仿宋" w:hAnsi="仿宋" w:eastAsia="仿宋" w:cs="仿宋"/>
                <w:sz w:val="24"/>
              </w:rPr>
            </w:pPr>
          </w:p>
        </w:tc>
        <w:tc>
          <w:tcPr>
            <w:tcW w:w="993" w:type="dxa"/>
            <w:noWrap/>
            <w:vAlign w:val="center"/>
          </w:tcPr>
          <w:p>
            <w:pPr>
              <w:snapToGrid w:val="0"/>
              <w:spacing w:line="360" w:lineRule="auto"/>
              <w:jc w:val="center"/>
              <w:rPr>
                <w:rFonts w:ascii="仿宋" w:hAnsi="仿宋" w:eastAsia="仿宋" w:cs="仿宋"/>
                <w:sz w:val="24"/>
              </w:rPr>
            </w:pPr>
          </w:p>
        </w:tc>
        <w:tc>
          <w:tcPr>
            <w:tcW w:w="1559" w:type="dxa"/>
            <w:noWrap/>
            <w:vAlign w:val="center"/>
          </w:tcPr>
          <w:p>
            <w:pPr>
              <w:spacing w:line="360" w:lineRule="auto"/>
              <w:jc w:val="center"/>
              <w:rPr>
                <w:rFonts w:ascii="仿宋" w:hAnsi="仿宋" w:eastAsia="仿宋" w:cs="仿宋"/>
                <w:sz w:val="24"/>
              </w:rPr>
            </w:pPr>
          </w:p>
        </w:tc>
        <w:tc>
          <w:tcPr>
            <w:tcW w:w="1984" w:type="dxa"/>
            <w:noWrap/>
            <w:vAlign w:val="center"/>
          </w:tcPr>
          <w:p>
            <w:pPr>
              <w:spacing w:line="360" w:lineRule="auto"/>
              <w:jc w:val="center"/>
              <w:rPr>
                <w:rFonts w:ascii="仿宋" w:hAnsi="仿宋" w:eastAsia="仿宋" w:cs="仿宋"/>
                <w:sz w:val="24"/>
              </w:rPr>
            </w:pPr>
          </w:p>
        </w:tc>
        <w:tc>
          <w:tcPr>
            <w:tcW w:w="3119" w:type="dxa"/>
            <w:noWrap/>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ign w:val="center"/>
          </w:tcPr>
          <w:p>
            <w:pPr>
              <w:spacing w:line="360" w:lineRule="auto"/>
              <w:jc w:val="center"/>
              <w:rPr>
                <w:rFonts w:ascii="仿宋" w:hAnsi="仿宋" w:eastAsia="仿宋" w:cs="仿宋"/>
                <w:sz w:val="24"/>
              </w:rPr>
            </w:pPr>
            <w:r>
              <w:rPr>
                <w:rFonts w:ascii="仿宋" w:hAnsi="仿宋" w:eastAsia="仿宋" w:cs="仿宋"/>
                <w:sz w:val="24"/>
              </w:rPr>
              <w:t>…</w:t>
            </w:r>
          </w:p>
        </w:tc>
        <w:tc>
          <w:tcPr>
            <w:tcW w:w="1417" w:type="dxa"/>
            <w:noWrap/>
            <w:vAlign w:val="center"/>
          </w:tcPr>
          <w:p>
            <w:pPr>
              <w:snapToGrid w:val="0"/>
              <w:spacing w:line="360" w:lineRule="auto"/>
              <w:jc w:val="center"/>
              <w:rPr>
                <w:rFonts w:ascii="仿宋" w:hAnsi="仿宋" w:eastAsia="仿宋" w:cs="仿宋"/>
                <w:sz w:val="24"/>
              </w:rPr>
            </w:pPr>
          </w:p>
        </w:tc>
        <w:tc>
          <w:tcPr>
            <w:tcW w:w="1843" w:type="dxa"/>
            <w:noWrap/>
            <w:vAlign w:val="center"/>
          </w:tcPr>
          <w:p>
            <w:pPr>
              <w:snapToGrid w:val="0"/>
              <w:spacing w:line="360" w:lineRule="auto"/>
              <w:jc w:val="center"/>
              <w:rPr>
                <w:rFonts w:ascii="仿宋" w:hAnsi="仿宋" w:eastAsia="仿宋" w:cs="仿宋"/>
                <w:sz w:val="24"/>
              </w:rPr>
            </w:pPr>
          </w:p>
        </w:tc>
        <w:tc>
          <w:tcPr>
            <w:tcW w:w="3118" w:type="dxa"/>
            <w:noWrap/>
            <w:vAlign w:val="center"/>
          </w:tcPr>
          <w:p>
            <w:pPr>
              <w:snapToGrid w:val="0"/>
              <w:spacing w:line="360" w:lineRule="auto"/>
              <w:jc w:val="center"/>
              <w:rPr>
                <w:rFonts w:ascii="仿宋" w:hAnsi="仿宋" w:eastAsia="仿宋" w:cs="仿宋"/>
                <w:sz w:val="24"/>
              </w:rPr>
            </w:pPr>
          </w:p>
        </w:tc>
        <w:tc>
          <w:tcPr>
            <w:tcW w:w="993" w:type="dxa"/>
            <w:noWrap/>
            <w:vAlign w:val="center"/>
          </w:tcPr>
          <w:p>
            <w:pPr>
              <w:snapToGrid w:val="0"/>
              <w:spacing w:line="360" w:lineRule="auto"/>
              <w:jc w:val="center"/>
              <w:rPr>
                <w:rFonts w:ascii="仿宋" w:hAnsi="仿宋" w:eastAsia="仿宋" w:cs="仿宋"/>
                <w:sz w:val="24"/>
              </w:rPr>
            </w:pPr>
          </w:p>
        </w:tc>
        <w:tc>
          <w:tcPr>
            <w:tcW w:w="1559" w:type="dxa"/>
            <w:noWrap/>
            <w:vAlign w:val="center"/>
          </w:tcPr>
          <w:p>
            <w:pPr>
              <w:spacing w:line="360" w:lineRule="auto"/>
              <w:jc w:val="center"/>
              <w:rPr>
                <w:rFonts w:ascii="仿宋" w:hAnsi="仿宋" w:eastAsia="仿宋" w:cs="仿宋"/>
                <w:sz w:val="24"/>
              </w:rPr>
            </w:pPr>
          </w:p>
        </w:tc>
        <w:tc>
          <w:tcPr>
            <w:tcW w:w="1984" w:type="dxa"/>
            <w:noWrap/>
            <w:vAlign w:val="center"/>
          </w:tcPr>
          <w:p>
            <w:pPr>
              <w:spacing w:line="360" w:lineRule="auto"/>
              <w:jc w:val="center"/>
              <w:rPr>
                <w:rFonts w:ascii="仿宋" w:hAnsi="仿宋" w:eastAsia="仿宋" w:cs="仿宋"/>
                <w:sz w:val="24"/>
              </w:rPr>
            </w:pPr>
          </w:p>
        </w:tc>
        <w:tc>
          <w:tcPr>
            <w:tcW w:w="3119" w:type="dxa"/>
            <w:noWrap/>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ign w:val="center"/>
          </w:tcPr>
          <w:p>
            <w:pPr>
              <w:spacing w:line="360" w:lineRule="auto"/>
              <w:jc w:val="center"/>
              <w:rPr>
                <w:rFonts w:ascii="仿宋" w:hAnsi="仿宋" w:eastAsia="仿宋" w:cs="仿宋"/>
                <w:sz w:val="24"/>
              </w:rPr>
            </w:pPr>
          </w:p>
        </w:tc>
        <w:tc>
          <w:tcPr>
            <w:tcW w:w="1417" w:type="dxa"/>
            <w:noWrap/>
            <w:vAlign w:val="center"/>
          </w:tcPr>
          <w:p>
            <w:pPr>
              <w:snapToGrid w:val="0"/>
              <w:spacing w:line="360" w:lineRule="auto"/>
              <w:jc w:val="center"/>
              <w:rPr>
                <w:rFonts w:ascii="仿宋" w:hAnsi="仿宋" w:eastAsia="仿宋" w:cs="仿宋"/>
                <w:sz w:val="24"/>
              </w:rPr>
            </w:pPr>
          </w:p>
        </w:tc>
        <w:tc>
          <w:tcPr>
            <w:tcW w:w="1843" w:type="dxa"/>
            <w:noWrap/>
            <w:vAlign w:val="center"/>
          </w:tcPr>
          <w:p>
            <w:pPr>
              <w:snapToGrid w:val="0"/>
              <w:spacing w:line="360" w:lineRule="auto"/>
              <w:jc w:val="center"/>
              <w:rPr>
                <w:rFonts w:ascii="仿宋" w:hAnsi="仿宋" w:eastAsia="仿宋" w:cs="仿宋"/>
                <w:sz w:val="24"/>
              </w:rPr>
            </w:pPr>
          </w:p>
        </w:tc>
        <w:tc>
          <w:tcPr>
            <w:tcW w:w="3118" w:type="dxa"/>
            <w:noWrap/>
            <w:vAlign w:val="center"/>
          </w:tcPr>
          <w:p>
            <w:pPr>
              <w:snapToGrid w:val="0"/>
              <w:spacing w:line="360" w:lineRule="auto"/>
              <w:jc w:val="center"/>
              <w:rPr>
                <w:rFonts w:ascii="仿宋" w:hAnsi="仿宋" w:eastAsia="仿宋" w:cs="仿宋"/>
                <w:sz w:val="24"/>
              </w:rPr>
            </w:pPr>
          </w:p>
        </w:tc>
        <w:tc>
          <w:tcPr>
            <w:tcW w:w="993" w:type="dxa"/>
            <w:noWrap/>
            <w:vAlign w:val="center"/>
          </w:tcPr>
          <w:p>
            <w:pPr>
              <w:snapToGrid w:val="0"/>
              <w:spacing w:line="360" w:lineRule="auto"/>
              <w:jc w:val="center"/>
              <w:rPr>
                <w:rFonts w:ascii="仿宋" w:hAnsi="仿宋" w:eastAsia="仿宋" w:cs="仿宋"/>
                <w:sz w:val="24"/>
              </w:rPr>
            </w:pPr>
          </w:p>
        </w:tc>
        <w:tc>
          <w:tcPr>
            <w:tcW w:w="1559" w:type="dxa"/>
            <w:noWrap/>
            <w:vAlign w:val="center"/>
          </w:tcPr>
          <w:p>
            <w:pPr>
              <w:spacing w:line="360" w:lineRule="auto"/>
              <w:jc w:val="center"/>
              <w:rPr>
                <w:rFonts w:ascii="仿宋" w:hAnsi="仿宋" w:eastAsia="仿宋" w:cs="仿宋"/>
                <w:sz w:val="24"/>
              </w:rPr>
            </w:pPr>
          </w:p>
        </w:tc>
        <w:tc>
          <w:tcPr>
            <w:tcW w:w="1984" w:type="dxa"/>
            <w:noWrap/>
            <w:vAlign w:val="center"/>
          </w:tcPr>
          <w:p>
            <w:pPr>
              <w:spacing w:line="360" w:lineRule="auto"/>
              <w:jc w:val="center"/>
              <w:rPr>
                <w:rFonts w:ascii="仿宋" w:hAnsi="仿宋" w:eastAsia="仿宋" w:cs="仿宋"/>
                <w:sz w:val="24"/>
              </w:rPr>
            </w:pPr>
          </w:p>
        </w:tc>
        <w:tc>
          <w:tcPr>
            <w:tcW w:w="3119" w:type="dxa"/>
            <w:noWrap/>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ign w:val="center"/>
          </w:tcPr>
          <w:p>
            <w:pPr>
              <w:spacing w:line="360" w:lineRule="auto"/>
              <w:jc w:val="center"/>
              <w:rPr>
                <w:rFonts w:ascii="仿宋" w:hAnsi="仿宋" w:eastAsia="仿宋" w:cs="仿宋"/>
                <w:sz w:val="24"/>
              </w:rPr>
            </w:pPr>
          </w:p>
        </w:tc>
        <w:tc>
          <w:tcPr>
            <w:tcW w:w="1417" w:type="dxa"/>
            <w:noWrap/>
            <w:vAlign w:val="center"/>
          </w:tcPr>
          <w:p>
            <w:pPr>
              <w:snapToGrid w:val="0"/>
              <w:spacing w:line="360" w:lineRule="auto"/>
              <w:jc w:val="center"/>
              <w:rPr>
                <w:rFonts w:ascii="仿宋" w:hAnsi="仿宋" w:eastAsia="仿宋" w:cs="仿宋"/>
                <w:sz w:val="24"/>
              </w:rPr>
            </w:pPr>
          </w:p>
        </w:tc>
        <w:tc>
          <w:tcPr>
            <w:tcW w:w="1843" w:type="dxa"/>
            <w:noWrap/>
            <w:vAlign w:val="center"/>
          </w:tcPr>
          <w:p>
            <w:pPr>
              <w:snapToGrid w:val="0"/>
              <w:spacing w:line="360" w:lineRule="auto"/>
              <w:jc w:val="center"/>
              <w:rPr>
                <w:rFonts w:ascii="仿宋" w:hAnsi="仿宋" w:eastAsia="仿宋" w:cs="仿宋"/>
                <w:sz w:val="24"/>
              </w:rPr>
            </w:pPr>
          </w:p>
        </w:tc>
        <w:tc>
          <w:tcPr>
            <w:tcW w:w="3118" w:type="dxa"/>
            <w:noWrap/>
            <w:vAlign w:val="center"/>
          </w:tcPr>
          <w:p>
            <w:pPr>
              <w:snapToGrid w:val="0"/>
              <w:spacing w:line="360" w:lineRule="auto"/>
              <w:jc w:val="center"/>
              <w:rPr>
                <w:rFonts w:ascii="仿宋" w:hAnsi="仿宋" w:eastAsia="仿宋" w:cs="仿宋"/>
                <w:sz w:val="24"/>
              </w:rPr>
            </w:pPr>
          </w:p>
        </w:tc>
        <w:tc>
          <w:tcPr>
            <w:tcW w:w="993" w:type="dxa"/>
            <w:noWrap/>
            <w:vAlign w:val="center"/>
          </w:tcPr>
          <w:p>
            <w:pPr>
              <w:snapToGrid w:val="0"/>
              <w:spacing w:line="360" w:lineRule="auto"/>
              <w:jc w:val="center"/>
              <w:rPr>
                <w:rFonts w:ascii="仿宋" w:hAnsi="仿宋" w:eastAsia="仿宋" w:cs="仿宋"/>
                <w:sz w:val="24"/>
              </w:rPr>
            </w:pPr>
          </w:p>
        </w:tc>
        <w:tc>
          <w:tcPr>
            <w:tcW w:w="1559" w:type="dxa"/>
            <w:noWrap/>
            <w:vAlign w:val="center"/>
          </w:tcPr>
          <w:p>
            <w:pPr>
              <w:spacing w:line="360" w:lineRule="auto"/>
              <w:jc w:val="center"/>
              <w:rPr>
                <w:rFonts w:ascii="仿宋" w:hAnsi="仿宋" w:eastAsia="仿宋" w:cs="仿宋"/>
                <w:sz w:val="24"/>
              </w:rPr>
            </w:pPr>
          </w:p>
        </w:tc>
        <w:tc>
          <w:tcPr>
            <w:tcW w:w="1984" w:type="dxa"/>
            <w:noWrap/>
            <w:vAlign w:val="center"/>
          </w:tcPr>
          <w:p>
            <w:pPr>
              <w:spacing w:line="360" w:lineRule="auto"/>
              <w:jc w:val="center"/>
              <w:rPr>
                <w:rFonts w:ascii="仿宋" w:hAnsi="仿宋" w:eastAsia="仿宋" w:cs="仿宋"/>
                <w:sz w:val="24"/>
              </w:rPr>
            </w:pPr>
          </w:p>
        </w:tc>
        <w:tc>
          <w:tcPr>
            <w:tcW w:w="3119" w:type="dxa"/>
            <w:noWrap/>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ign w:val="center"/>
          </w:tcPr>
          <w:p>
            <w:pPr>
              <w:spacing w:line="360" w:lineRule="auto"/>
              <w:jc w:val="center"/>
              <w:rPr>
                <w:rFonts w:ascii="仿宋" w:hAnsi="仿宋" w:eastAsia="仿宋" w:cs="仿宋"/>
                <w:b/>
                <w:sz w:val="24"/>
              </w:rPr>
            </w:pPr>
            <w:r>
              <w:rPr>
                <w:rFonts w:ascii="仿宋" w:hAnsi="仿宋" w:eastAsia="仿宋" w:cs="仿宋"/>
                <w:b/>
                <w:sz w:val="24"/>
              </w:rPr>
              <w:t>投标报价（小写）</w:t>
            </w:r>
          </w:p>
        </w:tc>
        <w:tc>
          <w:tcPr>
            <w:tcW w:w="7655" w:type="dxa"/>
            <w:gridSpan w:val="4"/>
            <w:noWrap/>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ign w:val="center"/>
          </w:tcPr>
          <w:p>
            <w:pPr>
              <w:spacing w:line="360" w:lineRule="auto"/>
              <w:jc w:val="center"/>
              <w:rPr>
                <w:rFonts w:ascii="仿宋" w:hAnsi="仿宋" w:eastAsia="仿宋" w:cs="仿宋"/>
                <w:b/>
                <w:sz w:val="24"/>
              </w:rPr>
            </w:pPr>
            <w:r>
              <w:rPr>
                <w:rFonts w:ascii="仿宋" w:hAnsi="仿宋" w:eastAsia="仿宋" w:cs="仿宋"/>
                <w:b/>
                <w:sz w:val="24"/>
              </w:rPr>
              <w:t>投标报价（大写）</w:t>
            </w:r>
          </w:p>
        </w:tc>
        <w:tc>
          <w:tcPr>
            <w:tcW w:w="7655" w:type="dxa"/>
            <w:gridSpan w:val="4"/>
            <w:noWrap/>
            <w:vAlign w:val="center"/>
          </w:tcPr>
          <w:p>
            <w:pPr>
              <w:spacing w:line="360" w:lineRule="auto"/>
              <w:jc w:val="center"/>
              <w:rPr>
                <w:rFonts w:ascii="仿宋" w:hAnsi="仿宋" w:eastAsia="仿宋" w:cs="仿宋"/>
                <w:sz w:val="24"/>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5、</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kern w:val="0"/>
          <w:sz w:val="24"/>
        </w:rPr>
      </w:pPr>
    </w:p>
    <w:p>
      <w:pPr>
        <w:pStyle w:val="977"/>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977"/>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spacing w:line="500" w:lineRule="exact"/>
        <w:ind w:left="-171" w:firstLine="855"/>
        <w:jc w:val="center"/>
        <w:rPr>
          <w:rFonts w:ascii="仿宋" w:hAnsi="仿宋" w:eastAsia="仿宋" w:cs="仿宋"/>
          <w:sz w:val="28"/>
          <w:szCs w:val="36"/>
        </w:rPr>
      </w:pPr>
      <w:bookmarkStart w:id="589" w:name="_Toc19017"/>
      <w:r>
        <w:rPr>
          <w:rStyle w:val="466"/>
          <w:rFonts w:hint="eastAsia" w:ascii="仿宋" w:hAnsi="仿宋" w:eastAsia="仿宋" w:cs="仿宋"/>
          <w:b/>
          <w:bCs/>
          <w:sz w:val="32"/>
          <w:szCs w:val="32"/>
        </w:rPr>
        <w:t>三、报价明细表</w:t>
      </w:r>
    </w:p>
    <w:bookmarkEnd w:id="589"/>
    <w:p>
      <w:pPr>
        <w:spacing w:line="400" w:lineRule="exact"/>
        <w:rPr>
          <w:rFonts w:ascii="仿宋" w:hAnsi="仿宋" w:eastAsia="仿宋" w:cs="仿宋"/>
          <w:sz w:val="24"/>
          <w:lang w:val="zh-CN"/>
        </w:rPr>
      </w:pPr>
      <w:r>
        <w:rPr>
          <w:rFonts w:hint="eastAsia" w:ascii="仿宋" w:hAnsi="仿宋" w:eastAsia="仿宋" w:cs="仿宋"/>
          <w:sz w:val="24"/>
          <w:lang w:val="zh-CN"/>
        </w:rPr>
        <w:t xml:space="preserve">项目名称：                                 </w:t>
      </w:r>
      <w:r>
        <w:rPr>
          <w:rFonts w:hint="eastAsia" w:ascii="仿宋" w:hAnsi="仿宋" w:eastAsia="仿宋" w:cs="仿宋"/>
          <w:sz w:val="24"/>
        </w:rPr>
        <w:t>项目</w:t>
      </w:r>
      <w:r>
        <w:rPr>
          <w:rFonts w:hint="eastAsia" w:ascii="仿宋" w:hAnsi="仿宋" w:eastAsia="仿宋" w:cs="仿宋"/>
          <w:sz w:val="24"/>
          <w:lang w:val="zh-CN"/>
        </w:rPr>
        <w:t>编号： 【价格单位：元】</w:t>
      </w:r>
    </w:p>
    <w:p>
      <w:pPr>
        <w:spacing w:line="400" w:lineRule="exact"/>
        <w:rPr>
          <w:rFonts w:ascii="仿宋" w:hAnsi="仿宋" w:eastAsia="仿宋" w:cs="仿宋"/>
          <w:sz w:val="24"/>
          <w:lang w:val="zh-CN"/>
        </w:rPr>
      </w:pPr>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240"/>
        <w:gridCol w:w="1293"/>
        <w:gridCol w:w="1313"/>
        <w:gridCol w:w="138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687" w:type="dxa"/>
            <w:tcBorders>
              <w:top w:val="single" w:color="auto" w:sz="12" w:space="0"/>
              <w:left w:val="single" w:color="auto" w:sz="12" w:space="0"/>
              <w:bottom w:val="single" w:color="auto" w:sz="12" w:space="0"/>
            </w:tcBorders>
            <w:noWrap/>
            <w:vAlign w:val="center"/>
          </w:tcPr>
          <w:p>
            <w:pPr>
              <w:jc w:val="center"/>
              <w:rPr>
                <w:rFonts w:ascii="仿宋" w:hAnsi="仿宋" w:eastAsia="仿宋" w:cs="仿宋"/>
                <w:bCs/>
                <w:sz w:val="24"/>
              </w:rPr>
            </w:pPr>
            <w:r>
              <w:rPr>
                <w:rFonts w:ascii="仿宋" w:hAnsi="仿宋" w:eastAsia="仿宋" w:cs="仿宋"/>
                <w:bCs/>
                <w:sz w:val="24"/>
              </w:rPr>
              <w:t>序号</w:t>
            </w:r>
          </w:p>
        </w:tc>
        <w:tc>
          <w:tcPr>
            <w:tcW w:w="2240" w:type="dxa"/>
            <w:tcBorders>
              <w:top w:val="single" w:color="auto" w:sz="12" w:space="0"/>
              <w:bottom w:val="single" w:color="auto" w:sz="12" w:space="0"/>
            </w:tcBorders>
            <w:noWrap/>
            <w:vAlign w:val="center"/>
          </w:tcPr>
          <w:p>
            <w:pPr>
              <w:jc w:val="center"/>
              <w:rPr>
                <w:rFonts w:ascii="仿宋" w:hAnsi="仿宋" w:eastAsia="仿宋" w:cs="仿宋"/>
                <w:bCs/>
                <w:sz w:val="24"/>
              </w:rPr>
            </w:pPr>
            <w:r>
              <w:rPr>
                <w:rFonts w:ascii="仿宋" w:hAnsi="仿宋" w:eastAsia="仿宋" w:cs="仿宋"/>
                <w:bCs/>
                <w:sz w:val="24"/>
              </w:rPr>
              <w:t>货物/服务名称</w:t>
            </w:r>
          </w:p>
        </w:tc>
        <w:tc>
          <w:tcPr>
            <w:tcW w:w="1293" w:type="dxa"/>
            <w:tcBorders>
              <w:top w:val="single" w:color="auto" w:sz="12" w:space="0"/>
              <w:bottom w:val="single" w:color="auto" w:sz="12" w:space="0"/>
            </w:tcBorders>
            <w:noWrap/>
            <w:vAlign w:val="center"/>
          </w:tcPr>
          <w:p>
            <w:pPr>
              <w:jc w:val="center"/>
              <w:rPr>
                <w:rFonts w:ascii="仿宋" w:hAnsi="仿宋" w:eastAsia="仿宋" w:cs="仿宋"/>
                <w:bCs/>
                <w:sz w:val="24"/>
              </w:rPr>
            </w:pPr>
            <w:r>
              <w:rPr>
                <w:rFonts w:ascii="仿宋" w:hAnsi="仿宋" w:eastAsia="仿宋" w:cs="仿宋"/>
                <w:bCs/>
                <w:sz w:val="24"/>
              </w:rPr>
              <w:t>数量</w:t>
            </w:r>
          </w:p>
        </w:tc>
        <w:tc>
          <w:tcPr>
            <w:tcW w:w="1313" w:type="dxa"/>
            <w:tcBorders>
              <w:top w:val="single" w:color="auto" w:sz="12" w:space="0"/>
              <w:bottom w:val="single" w:color="auto" w:sz="12" w:space="0"/>
            </w:tcBorders>
            <w:noWrap/>
            <w:vAlign w:val="center"/>
          </w:tcPr>
          <w:p>
            <w:pPr>
              <w:jc w:val="center"/>
              <w:rPr>
                <w:rFonts w:ascii="仿宋" w:hAnsi="仿宋" w:eastAsia="仿宋" w:cs="仿宋"/>
                <w:bCs/>
                <w:sz w:val="24"/>
              </w:rPr>
            </w:pPr>
            <w:r>
              <w:rPr>
                <w:rFonts w:ascii="仿宋" w:hAnsi="仿宋" w:eastAsia="仿宋" w:cs="仿宋"/>
                <w:bCs/>
                <w:sz w:val="24"/>
              </w:rPr>
              <w:t>单价</w:t>
            </w:r>
          </w:p>
          <w:p>
            <w:pPr>
              <w:ind w:right="-11"/>
              <w:jc w:val="center"/>
              <w:rPr>
                <w:rFonts w:ascii="仿宋" w:hAnsi="仿宋" w:eastAsia="仿宋" w:cs="仿宋"/>
                <w:sz w:val="24"/>
              </w:rPr>
            </w:pPr>
            <w:r>
              <w:rPr>
                <w:rFonts w:ascii="仿宋" w:hAnsi="仿宋" w:eastAsia="仿宋" w:cs="仿宋"/>
                <w:sz w:val="24"/>
              </w:rPr>
              <w:t>（含税）</w:t>
            </w:r>
          </w:p>
        </w:tc>
        <w:tc>
          <w:tcPr>
            <w:tcW w:w="1389" w:type="dxa"/>
            <w:tcBorders>
              <w:top w:val="single" w:color="auto" w:sz="12" w:space="0"/>
              <w:bottom w:val="single" w:color="auto" w:sz="12" w:space="0"/>
            </w:tcBorders>
            <w:noWrap/>
            <w:vAlign w:val="center"/>
          </w:tcPr>
          <w:p>
            <w:pPr>
              <w:jc w:val="center"/>
              <w:rPr>
                <w:rFonts w:ascii="仿宋" w:hAnsi="仿宋" w:eastAsia="仿宋" w:cs="仿宋"/>
                <w:bCs/>
                <w:sz w:val="24"/>
              </w:rPr>
            </w:pPr>
            <w:r>
              <w:rPr>
                <w:rFonts w:ascii="仿宋" w:hAnsi="仿宋" w:eastAsia="仿宋" w:cs="仿宋"/>
                <w:bCs/>
                <w:sz w:val="24"/>
              </w:rPr>
              <w:t>合价</w:t>
            </w:r>
          </w:p>
          <w:p>
            <w:pPr>
              <w:jc w:val="center"/>
              <w:rPr>
                <w:rFonts w:ascii="仿宋" w:hAnsi="仿宋" w:eastAsia="仿宋" w:cs="仿宋"/>
                <w:sz w:val="24"/>
              </w:rPr>
            </w:pPr>
            <w:r>
              <w:rPr>
                <w:rFonts w:ascii="仿宋" w:hAnsi="仿宋" w:eastAsia="仿宋" w:cs="仿宋"/>
                <w:sz w:val="24"/>
              </w:rPr>
              <w:t>（含税）</w:t>
            </w:r>
          </w:p>
        </w:tc>
        <w:tc>
          <w:tcPr>
            <w:tcW w:w="2474" w:type="dxa"/>
            <w:tcBorders>
              <w:top w:val="single" w:color="auto" w:sz="12" w:space="0"/>
              <w:bottom w:val="single" w:color="auto" w:sz="12" w:space="0"/>
              <w:right w:val="single" w:color="auto" w:sz="12" w:space="0"/>
            </w:tcBorders>
            <w:noWrap/>
            <w:vAlign w:val="center"/>
          </w:tcPr>
          <w:p>
            <w:pPr>
              <w:jc w:val="center"/>
              <w:rPr>
                <w:rFonts w:ascii="仿宋" w:hAnsi="仿宋" w:eastAsia="仿宋" w:cs="仿宋"/>
                <w:bCs/>
                <w:sz w:val="24"/>
              </w:rPr>
            </w:pPr>
            <w:r>
              <w:rPr>
                <w:rFonts w:ascii="仿宋" w:hAnsi="仿宋" w:eastAsia="仿宋" w:cs="仿宋"/>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687" w:type="dxa"/>
            <w:tcBorders>
              <w:left w:val="single" w:color="auto" w:sz="12" w:space="0"/>
            </w:tcBorders>
            <w:noWrap/>
            <w:vAlign w:val="center"/>
          </w:tcPr>
          <w:p>
            <w:pPr>
              <w:ind w:right="-11"/>
              <w:jc w:val="center"/>
              <w:rPr>
                <w:rFonts w:ascii="仿宋" w:hAnsi="仿宋" w:eastAsia="仿宋" w:cs="仿宋"/>
                <w:sz w:val="24"/>
              </w:rPr>
            </w:pPr>
            <w:r>
              <w:rPr>
                <w:rFonts w:ascii="仿宋" w:hAnsi="仿宋" w:eastAsia="仿宋" w:cs="仿宋"/>
                <w:sz w:val="24"/>
              </w:rPr>
              <w:t>1</w:t>
            </w:r>
          </w:p>
        </w:tc>
        <w:tc>
          <w:tcPr>
            <w:tcW w:w="2240" w:type="dxa"/>
            <w:noWrap/>
            <w:vAlign w:val="center"/>
          </w:tcPr>
          <w:p>
            <w:pPr>
              <w:rPr>
                <w:rFonts w:ascii="仿宋" w:hAnsi="仿宋" w:eastAsia="仿宋" w:cs="仿宋"/>
                <w:sz w:val="24"/>
              </w:rPr>
            </w:pPr>
          </w:p>
        </w:tc>
        <w:tc>
          <w:tcPr>
            <w:tcW w:w="1293" w:type="dxa"/>
            <w:noWrap/>
            <w:vAlign w:val="center"/>
          </w:tcPr>
          <w:p>
            <w:pPr>
              <w:ind w:right="-11"/>
              <w:jc w:val="center"/>
              <w:rPr>
                <w:rFonts w:ascii="仿宋" w:hAnsi="仿宋" w:eastAsia="仿宋" w:cs="仿宋"/>
                <w:sz w:val="24"/>
              </w:rPr>
            </w:pPr>
          </w:p>
        </w:tc>
        <w:tc>
          <w:tcPr>
            <w:tcW w:w="1313" w:type="dxa"/>
            <w:noWrap/>
            <w:vAlign w:val="center"/>
          </w:tcPr>
          <w:p>
            <w:pPr>
              <w:ind w:right="-11"/>
              <w:jc w:val="center"/>
              <w:rPr>
                <w:rFonts w:ascii="仿宋" w:hAnsi="仿宋" w:eastAsia="仿宋" w:cs="仿宋"/>
                <w:sz w:val="24"/>
              </w:rPr>
            </w:pPr>
          </w:p>
        </w:tc>
        <w:tc>
          <w:tcPr>
            <w:tcW w:w="1389" w:type="dxa"/>
            <w:noWrap/>
            <w:vAlign w:val="center"/>
          </w:tcPr>
          <w:p>
            <w:pPr>
              <w:ind w:right="-11"/>
              <w:jc w:val="center"/>
              <w:rPr>
                <w:rFonts w:ascii="仿宋" w:hAnsi="仿宋" w:eastAsia="仿宋" w:cs="仿宋"/>
                <w:sz w:val="24"/>
              </w:rPr>
            </w:pPr>
          </w:p>
        </w:tc>
        <w:tc>
          <w:tcPr>
            <w:tcW w:w="2474" w:type="dxa"/>
            <w:tcBorders>
              <w:right w:val="single" w:color="auto" w:sz="12" w:space="0"/>
            </w:tcBorders>
            <w:noWrap/>
            <w:vAlign w:val="center"/>
          </w:tcPr>
          <w:p>
            <w:pPr>
              <w:ind w:right="-11"/>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87" w:type="dxa"/>
            <w:tcBorders>
              <w:left w:val="single" w:color="auto" w:sz="12" w:space="0"/>
            </w:tcBorders>
            <w:noWrap/>
            <w:vAlign w:val="center"/>
          </w:tcPr>
          <w:p>
            <w:pPr>
              <w:ind w:right="-11"/>
              <w:jc w:val="center"/>
              <w:rPr>
                <w:rFonts w:ascii="仿宋" w:hAnsi="仿宋" w:eastAsia="仿宋" w:cs="仿宋"/>
                <w:sz w:val="24"/>
              </w:rPr>
            </w:pPr>
            <w:r>
              <w:rPr>
                <w:rFonts w:ascii="仿宋" w:hAnsi="仿宋" w:eastAsia="仿宋" w:cs="仿宋"/>
                <w:sz w:val="24"/>
              </w:rPr>
              <w:t>2</w:t>
            </w:r>
          </w:p>
        </w:tc>
        <w:tc>
          <w:tcPr>
            <w:tcW w:w="2240" w:type="dxa"/>
            <w:noWrap/>
            <w:vAlign w:val="center"/>
          </w:tcPr>
          <w:p>
            <w:pPr>
              <w:rPr>
                <w:rFonts w:ascii="仿宋" w:hAnsi="仿宋" w:eastAsia="仿宋" w:cs="仿宋"/>
                <w:sz w:val="24"/>
              </w:rPr>
            </w:pPr>
          </w:p>
        </w:tc>
        <w:tc>
          <w:tcPr>
            <w:tcW w:w="1293" w:type="dxa"/>
            <w:noWrap/>
            <w:vAlign w:val="center"/>
          </w:tcPr>
          <w:p>
            <w:pPr>
              <w:ind w:right="-11"/>
              <w:jc w:val="center"/>
              <w:rPr>
                <w:rFonts w:ascii="仿宋" w:hAnsi="仿宋" w:eastAsia="仿宋" w:cs="仿宋"/>
                <w:sz w:val="24"/>
              </w:rPr>
            </w:pPr>
          </w:p>
        </w:tc>
        <w:tc>
          <w:tcPr>
            <w:tcW w:w="1313" w:type="dxa"/>
            <w:noWrap/>
            <w:vAlign w:val="center"/>
          </w:tcPr>
          <w:p>
            <w:pPr>
              <w:ind w:right="-11"/>
              <w:jc w:val="center"/>
              <w:rPr>
                <w:rFonts w:ascii="仿宋" w:hAnsi="仿宋" w:eastAsia="仿宋" w:cs="仿宋"/>
                <w:sz w:val="24"/>
              </w:rPr>
            </w:pPr>
          </w:p>
        </w:tc>
        <w:tc>
          <w:tcPr>
            <w:tcW w:w="1389" w:type="dxa"/>
            <w:noWrap/>
            <w:vAlign w:val="center"/>
          </w:tcPr>
          <w:p>
            <w:pPr>
              <w:ind w:right="-11"/>
              <w:jc w:val="center"/>
              <w:rPr>
                <w:rFonts w:ascii="仿宋" w:hAnsi="仿宋" w:eastAsia="仿宋" w:cs="仿宋"/>
                <w:sz w:val="24"/>
              </w:rPr>
            </w:pPr>
          </w:p>
        </w:tc>
        <w:tc>
          <w:tcPr>
            <w:tcW w:w="2474" w:type="dxa"/>
            <w:tcBorders>
              <w:right w:val="single" w:color="auto" w:sz="12" w:space="0"/>
            </w:tcBorders>
            <w:noWrap/>
            <w:vAlign w:val="center"/>
          </w:tcPr>
          <w:p>
            <w:pPr>
              <w:ind w:right="-11"/>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87" w:type="dxa"/>
            <w:tcBorders>
              <w:left w:val="single" w:color="auto" w:sz="12" w:space="0"/>
            </w:tcBorders>
            <w:noWrap/>
            <w:vAlign w:val="center"/>
          </w:tcPr>
          <w:p>
            <w:pPr>
              <w:spacing w:line="360" w:lineRule="auto"/>
              <w:ind w:right="-11"/>
              <w:jc w:val="center"/>
              <w:rPr>
                <w:rFonts w:ascii="仿宋" w:hAnsi="仿宋" w:eastAsia="仿宋" w:cs="仿宋"/>
                <w:sz w:val="24"/>
              </w:rPr>
            </w:pPr>
            <w:r>
              <w:rPr>
                <w:rFonts w:ascii="仿宋" w:hAnsi="仿宋" w:eastAsia="仿宋" w:cs="仿宋"/>
                <w:sz w:val="24"/>
              </w:rPr>
              <w:t>...</w:t>
            </w:r>
          </w:p>
        </w:tc>
        <w:tc>
          <w:tcPr>
            <w:tcW w:w="2240" w:type="dxa"/>
            <w:noWrap/>
            <w:vAlign w:val="center"/>
          </w:tcPr>
          <w:p>
            <w:pPr>
              <w:spacing w:line="360" w:lineRule="auto"/>
              <w:rPr>
                <w:rFonts w:ascii="仿宋" w:hAnsi="仿宋" w:eastAsia="仿宋" w:cs="仿宋"/>
                <w:sz w:val="24"/>
              </w:rPr>
            </w:pPr>
            <w:r>
              <w:rPr>
                <w:rFonts w:ascii="仿宋" w:hAnsi="仿宋" w:eastAsia="仿宋" w:cs="仿宋"/>
                <w:sz w:val="24"/>
              </w:rPr>
              <w:t>...</w:t>
            </w:r>
          </w:p>
        </w:tc>
        <w:tc>
          <w:tcPr>
            <w:tcW w:w="1293" w:type="dxa"/>
            <w:noWrap/>
          </w:tcPr>
          <w:p>
            <w:pPr>
              <w:spacing w:line="360" w:lineRule="auto"/>
              <w:ind w:right="-11"/>
              <w:jc w:val="center"/>
              <w:rPr>
                <w:rFonts w:ascii="仿宋" w:hAnsi="仿宋" w:eastAsia="仿宋" w:cs="仿宋"/>
                <w:sz w:val="24"/>
              </w:rPr>
            </w:pPr>
          </w:p>
        </w:tc>
        <w:tc>
          <w:tcPr>
            <w:tcW w:w="1313" w:type="dxa"/>
            <w:noWrap/>
          </w:tcPr>
          <w:p>
            <w:pPr>
              <w:spacing w:line="360" w:lineRule="auto"/>
              <w:ind w:right="-11"/>
              <w:jc w:val="center"/>
              <w:rPr>
                <w:rFonts w:ascii="仿宋" w:hAnsi="仿宋" w:eastAsia="仿宋" w:cs="仿宋"/>
                <w:sz w:val="24"/>
              </w:rPr>
            </w:pPr>
          </w:p>
        </w:tc>
        <w:tc>
          <w:tcPr>
            <w:tcW w:w="1389" w:type="dxa"/>
            <w:noWrap/>
            <w:vAlign w:val="center"/>
          </w:tcPr>
          <w:p>
            <w:pPr>
              <w:spacing w:line="360" w:lineRule="auto"/>
              <w:ind w:right="-11"/>
              <w:jc w:val="center"/>
              <w:rPr>
                <w:rFonts w:ascii="仿宋" w:hAnsi="仿宋" w:eastAsia="仿宋" w:cs="仿宋"/>
                <w:sz w:val="24"/>
              </w:rPr>
            </w:pPr>
          </w:p>
        </w:tc>
        <w:tc>
          <w:tcPr>
            <w:tcW w:w="2474" w:type="dxa"/>
            <w:tcBorders>
              <w:right w:val="single" w:color="auto" w:sz="12" w:space="0"/>
            </w:tcBorders>
            <w:noWrap/>
            <w:vAlign w:val="center"/>
          </w:tcPr>
          <w:p>
            <w:pPr>
              <w:spacing w:line="360" w:lineRule="auto"/>
              <w:ind w:right="-11"/>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5533" w:type="dxa"/>
            <w:gridSpan w:val="4"/>
            <w:tcBorders>
              <w:left w:val="single" w:color="auto" w:sz="12" w:space="0"/>
              <w:bottom w:val="single" w:color="auto" w:sz="12" w:space="0"/>
            </w:tcBorders>
            <w:noWrap/>
            <w:vAlign w:val="center"/>
          </w:tcPr>
          <w:p>
            <w:pPr>
              <w:spacing w:line="360" w:lineRule="auto"/>
              <w:ind w:right="-11"/>
              <w:jc w:val="center"/>
              <w:rPr>
                <w:rFonts w:ascii="仿宋" w:hAnsi="仿宋" w:eastAsia="仿宋" w:cs="仿宋"/>
                <w:sz w:val="24"/>
              </w:rPr>
            </w:pPr>
            <w:r>
              <w:rPr>
                <w:rFonts w:ascii="仿宋" w:hAnsi="仿宋" w:eastAsia="仿宋" w:cs="仿宋"/>
                <w:sz w:val="24"/>
              </w:rPr>
              <w:t>投标总价</w:t>
            </w:r>
          </w:p>
        </w:tc>
        <w:tc>
          <w:tcPr>
            <w:tcW w:w="3863" w:type="dxa"/>
            <w:gridSpan w:val="2"/>
            <w:tcBorders>
              <w:bottom w:val="single" w:color="auto" w:sz="12" w:space="0"/>
              <w:right w:val="single" w:color="auto" w:sz="12" w:space="0"/>
            </w:tcBorders>
            <w:noWrap/>
            <w:vAlign w:val="center"/>
          </w:tcPr>
          <w:p>
            <w:pPr>
              <w:spacing w:line="360" w:lineRule="auto"/>
              <w:ind w:right="-11"/>
              <w:rPr>
                <w:rFonts w:ascii="仿宋" w:hAnsi="仿宋" w:eastAsia="仿宋" w:cs="仿宋"/>
                <w:sz w:val="24"/>
              </w:rPr>
            </w:pPr>
            <w:r>
              <w:rPr>
                <w:rFonts w:ascii="仿宋" w:hAnsi="仿宋" w:eastAsia="仿宋" w:cs="仿宋"/>
                <w:sz w:val="24"/>
              </w:rPr>
              <w:t>小写：</w:t>
            </w:r>
          </w:p>
          <w:p>
            <w:pPr>
              <w:spacing w:line="360" w:lineRule="auto"/>
              <w:ind w:right="-11"/>
              <w:rPr>
                <w:rFonts w:ascii="仿宋" w:hAnsi="仿宋" w:eastAsia="仿宋" w:cs="仿宋"/>
                <w:sz w:val="24"/>
              </w:rPr>
            </w:pPr>
            <w:r>
              <w:rPr>
                <w:rFonts w:ascii="仿宋" w:hAnsi="仿宋" w:eastAsia="仿宋" w:cs="仿宋"/>
                <w:sz w:val="24"/>
              </w:rPr>
              <w:t>大写：</w:t>
            </w:r>
          </w:p>
        </w:tc>
      </w:tr>
    </w:tbl>
    <w:p>
      <w:pPr>
        <w:spacing w:line="400" w:lineRule="exact"/>
        <w:rPr>
          <w:rFonts w:ascii="仿宋" w:hAnsi="仿宋" w:eastAsia="仿宋" w:cs="仿宋"/>
          <w:sz w:val="24"/>
          <w:lang w:val="zh-CN"/>
        </w:rPr>
      </w:pPr>
    </w:p>
    <w:p>
      <w:pPr>
        <w:spacing w:line="360" w:lineRule="exact"/>
        <w:ind w:left="776" w:leftChars="203" w:hanging="350" w:hangingChars="146"/>
        <w:rPr>
          <w:rFonts w:ascii="仿宋" w:hAnsi="仿宋" w:eastAsia="仿宋" w:cs="仿宋"/>
          <w:sz w:val="24"/>
          <w:lang w:val="zh-CN"/>
        </w:rPr>
      </w:pPr>
      <w:r>
        <w:rPr>
          <w:rFonts w:hint="eastAsia" w:ascii="仿宋" w:hAnsi="仿宋" w:eastAsia="仿宋" w:cs="仿宋"/>
          <w:sz w:val="24"/>
          <w:lang w:val="zh-CN"/>
        </w:rPr>
        <w:t>注：填写报价表格时，各项费用应如实填写，如已含在产品价格中，则填“含”，如免费则填“免”，不允许空白；</w:t>
      </w:r>
      <w:r>
        <w:rPr>
          <w:rFonts w:hint="eastAsia" w:ascii="仿宋" w:hAnsi="仿宋" w:eastAsia="仿宋" w:cs="仿宋"/>
          <w:sz w:val="24"/>
        </w:rPr>
        <w:t>投标总价应与开标一览表中的投标报价相一致。</w:t>
      </w:r>
    </w:p>
    <w:p>
      <w:pPr>
        <w:spacing w:line="360" w:lineRule="exact"/>
        <w:ind w:left="743" w:leftChars="354" w:firstLine="5006" w:firstLineChars="2086"/>
        <w:rPr>
          <w:rFonts w:ascii="仿宋" w:hAnsi="仿宋" w:eastAsia="仿宋" w:cs="仿宋"/>
          <w:sz w:val="24"/>
          <w:lang w:val="zh-CN"/>
        </w:rPr>
      </w:pPr>
    </w:p>
    <w:p>
      <w:pPr>
        <w:spacing w:line="360" w:lineRule="exact"/>
        <w:ind w:left="743" w:leftChars="354" w:firstLine="5006" w:firstLineChars="2086"/>
        <w:jc w:val="right"/>
        <w:rPr>
          <w:rFonts w:ascii="仿宋" w:hAnsi="仿宋" w:eastAsia="仿宋" w:cs="仿宋"/>
          <w:sz w:val="24"/>
          <w:lang w:val="zh-CN"/>
        </w:rPr>
      </w:pPr>
      <w:r>
        <w:rPr>
          <w:rFonts w:hint="eastAsia" w:ascii="仿宋" w:hAnsi="仿宋" w:eastAsia="仿宋" w:cs="仿宋"/>
          <w:sz w:val="24"/>
          <w:lang w:val="zh-CN"/>
        </w:rPr>
        <w:t>投标人全称（盖章）：</w:t>
      </w:r>
    </w:p>
    <w:p>
      <w:pPr>
        <w:spacing w:line="360" w:lineRule="exact"/>
        <w:ind w:left="743" w:leftChars="354" w:firstLine="5006" w:firstLineChars="2086"/>
        <w:jc w:val="right"/>
        <w:rPr>
          <w:rFonts w:ascii="仿宋" w:hAnsi="仿宋" w:eastAsia="仿宋" w:cs="仿宋"/>
          <w:sz w:val="24"/>
          <w:lang w:val="zh-CN"/>
        </w:rPr>
      </w:pPr>
      <w:r>
        <w:rPr>
          <w:rFonts w:hint="eastAsia" w:ascii="仿宋" w:hAnsi="仿宋" w:eastAsia="仿宋" w:cs="仿宋"/>
          <w:sz w:val="24"/>
          <w:lang w:val="zh-CN"/>
        </w:rPr>
        <w:t>授权代表（签字）:</w:t>
      </w:r>
    </w:p>
    <w:p>
      <w:pPr>
        <w:spacing w:line="440" w:lineRule="exact"/>
        <w:ind w:firstLine="4800" w:firstLineChars="2000"/>
        <w:jc w:val="right"/>
        <w:rPr>
          <w:rFonts w:ascii="仿宋" w:hAnsi="仿宋" w:eastAsia="仿宋" w:cs="仿宋"/>
          <w:sz w:val="24"/>
        </w:rPr>
      </w:pPr>
      <w:r>
        <w:rPr>
          <w:rFonts w:hint="eastAsia" w:ascii="仿宋" w:hAnsi="仿宋" w:eastAsia="仿宋" w:cs="仿宋"/>
          <w:sz w:val="24"/>
          <w:lang w:val="zh-CN"/>
        </w:rPr>
        <w:t>日    期：年   月   日</w:t>
      </w:r>
    </w:p>
    <w:p>
      <w:pPr>
        <w:pStyle w:val="977"/>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977"/>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977"/>
        <w:keepNext w:val="0"/>
        <w:pageBreakBefore w:val="0"/>
        <w:tabs>
          <w:tab w:val="clear" w:pos="720"/>
        </w:tabs>
        <w:snapToGrid w:val="0"/>
        <w:spacing w:before="120" w:after="120"/>
        <w:jc w:val="both"/>
        <w:outlineLvl w:val="9"/>
        <w:rPr>
          <w:rFonts w:ascii="仿宋" w:hAnsi="仿宋" w:eastAsia="仿宋" w:cs="仿宋"/>
          <w:kern w:val="2"/>
          <w:sz w:val="32"/>
          <w:szCs w:val="32"/>
        </w:rPr>
      </w:pPr>
    </w:p>
    <w:p>
      <w:pPr>
        <w:pStyle w:val="977"/>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四、</w:t>
      </w:r>
      <w:r>
        <w:rPr>
          <w:rFonts w:hint="eastAsia" w:ascii="仿宋" w:hAnsi="仿宋" w:eastAsia="仿宋" w:cs="仿宋"/>
          <w:sz w:val="32"/>
          <w:szCs w:val="32"/>
        </w:rPr>
        <w:t>中小企业声明函</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rPr>
          <w:rFonts w:ascii="仿宋" w:hAnsi="仿宋" w:eastAsia="仿宋" w:cs="仿宋"/>
          <w:b/>
          <w:kern w:val="0"/>
          <w:sz w:val="36"/>
          <w:szCs w:val="36"/>
        </w:rPr>
      </w:pPr>
    </w:p>
    <w:p>
      <w:pPr>
        <w:pStyle w:val="938"/>
        <w:spacing w:before="120" w:after="120"/>
        <w:ind w:left="525"/>
      </w:pPr>
      <w:bookmarkStart w:id="590" w:name="_Toc465665161"/>
      <w:r>
        <w:rPr>
          <w:rFonts w:hint="eastAsia"/>
        </w:rPr>
        <w:t>附件</w:t>
      </w:r>
      <w:bookmarkEnd w:id="590"/>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591" w:name="OLE_LINK14"/>
      <w:bookmarkStart w:id="592" w:name="OLE_LINK13"/>
      <w:r>
        <w:rPr>
          <w:rFonts w:hint="eastAsia" w:ascii="仿宋" w:hAnsi="仿宋" w:eastAsia="仿宋" w:cs="仿宋"/>
          <w:b/>
          <w:spacing w:val="6"/>
          <w:sz w:val="32"/>
          <w:szCs w:val="32"/>
        </w:rPr>
        <w:t>残疾人福利性单位声明函</w:t>
      </w:r>
    </w:p>
    <w:bookmarkEnd w:id="591"/>
    <w:bookmarkEnd w:id="592"/>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 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被投诉人1：</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p>
    <w:p>
      <w:pPr>
        <w:spacing w:line="360" w:lineRule="auto"/>
        <w:rPr>
          <w:rFonts w:ascii="仿宋" w:hAnsi="仿宋" w:eastAsia="仿宋" w:cs="仿宋"/>
          <w:sz w:val="24"/>
          <w:u w:val="single"/>
        </w:rPr>
      </w:pPr>
      <w:r>
        <w:rPr>
          <w:rFonts w:hint="eastAsia" w:ascii="仿宋" w:hAnsi="仿宋" w:eastAsia="仿宋" w:cs="仿宋"/>
          <w:sz w:val="24"/>
        </w:rPr>
        <w:t>采购项目编号：包号：</w:t>
      </w:r>
    </w:p>
    <w:p>
      <w:pPr>
        <w:spacing w:line="360" w:lineRule="auto"/>
        <w:rPr>
          <w:rFonts w:ascii="仿宋" w:hAnsi="仿宋" w:eastAsia="仿宋" w:cs="仿宋"/>
          <w:sz w:val="24"/>
        </w:rPr>
      </w:pPr>
      <w:r>
        <w:rPr>
          <w:rFonts w:hint="eastAsia" w:ascii="仿宋" w:hAnsi="仿宋" w:eastAsia="仿宋" w:cs="仿宋"/>
          <w:sz w:val="24"/>
        </w:rPr>
        <w:t>采购人名称：</w:t>
      </w:r>
    </w:p>
    <w:p>
      <w:pPr>
        <w:spacing w:line="360" w:lineRule="auto"/>
        <w:rPr>
          <w:rFonts w:ascii="仿宋" w:hAnsi="仿宋" w:eastAsia="仿宋" w:cs="仿宋"/>
          <w:sz w:val="24"/>
          <w:u w:val="single"/>
        </w:rPr>
      </w:pPr>
      <w:r>
        <w:rPr>
          <w:rFonts w:hint="eastAsia" w:ascii="仿宋" w:hAnsi="仿宋" w:eastAsia="仿宋" w:cs="仿宋"/>
          <w:sz w:val="24"/>
        </w:rPr>
        <w:t>代理机构名称：</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pPr>
        <w:spacing w:line="360" w:lineRule="auto"/>
        <w:rPr>
          <w:rFonts w:ascii="仿宋" w:hAnsi="仿宋" w:eastAsia="仿宋" w:cs="仿宋"/>
          <w:sz w:val="24"/>
          <w:u w:val="dotted"/>
        </w:rPr>
      </w:pP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p>
    <w:p>
      <w:pPr>
        <w:spacing w:line="360" w:lineRule="auto"/>
        <w:rPr>
          <w:rFonts w:ascii="仿宋" w:hAnsi="仿宋" w:eastAsia="仿宋" w:cs="仿宋"/>
          <w:sz w:val="24"/>
        </w:rPr>
      </w:pPr>
      <w:r>
        <w:rPr>
          <w:rFonts w:hint="eastAsia" w:ascii="仿宋" w:hAnsi="仿宋" w:eastAsia="仿宋" w:cs="仿宋"/>
          <w:sz w:val="24"/>
        </w:rPr>
        <w:t>事实依据：</w:t>
      </w:r>
    </w:p>
    <w:p>
      <w:pPr>
        <w:spacing w:line="360" w:lineRule="auto"/>
        <w:rPr>
          <w:rFonts w:ascii="仿宋" w:hAnsi="仿宋" w:eastAsia="仿宋" w:cs="仿宋"/>
          <w:sz w:val="24"/>
          <w:u w:val="dotted"/>
        </w:rPr>
      </w:pPr>
    </w:p>
    <w:p>
      <w:pPr>
        <w:spacing w:line="360" w:lineRule="auto"/>
        <w:rPr>
          <w:rFonts w:ascii="仿宋" w:hAnsi="仿宋" w:eastAsia="仿宋" w:cs="仿宋"/>
          <w:sz w:val="24"/>
          <w:u w:val="single"/>
        </w:rPr>
      </w:pPr>
      <w:r>
        <w:rPr>
          <w:rFonts w:hint="eastAsia" w:ascii="仿宋" w:hAnsi="仿宋" w:eastAsia="仿宋" w:cs="仿宋"/>
          <w:sz w:val="24"/>
        </w:rPr>
        <w:t>法律依据：</w:t>
      </w:r>
    </w:p>
    <w:p>
      <w:pPr>
        <w:spacing w:line="360" w:lineRule="auto"/>
        <w:rPr>
          <w:rFonts w:ascii="仿宋" w:hAnsi="仿宋" w:eastAsia="仿宋" w:cs="仿宋"/>
          <w:sz w:val="24"/>
          <w:u w:val="dotted"/>
        </w:rPr>
      </w:pP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pStyle w:val="2"/>
        <w:rPr>
          <w:rFonts w:ascii="仿宋" w:hAnsi="仿宋" w:eastAsia="仿宋" w:cs="仿宋"/>
          <w:b/>
          <w:spacing w:val="6"/>
          <w:sz w:val="32"/>
          <w:szCs w:val="32"/>
        </w:rPr>
      </w:pPr>
    </w:p>
    <w:p>
      <w:pPr>
        <w:rPr>
          <w:rFonts w:ascii="仿宋" w:hAnsi="仿宋" w:eastAsia="仿宋" w:cs="仿宋"/>
          <w:b/>
          <w:spacing w:val="6"/>
          <w:sz w:val="32"/>
          <w:szCs w:val="32"/>
        </w:rPr>
      </w:pPr>
    </w:p>
    <w:p>
      <w:pPr>
        <w:pStyle w:val="2"/>
        <w:rPr>
          <w:rFonts w:ascii="仿宋" w:hAnsi="仿宋" w:eastAsia="仿宋" w:cs="仿宋"/>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b/>
          <w:bCs/>
          <w:sz w:val="24"/>
        </w:rPr>
        <w:pict>
          <v:rect id="矩形 31" o:spid="_x0000_s1261" o:spt="1" style="position:absolute;left:0pt;margin-left:238.9pt;margin-top:28.05pt;height:177.45pt;width:212.95pt;z-index:-251656192;mso-width-relative:page;mso-height-relative:page;"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WBO2KgIAADwEAAAOAAAAZHJzL2Uyb0RvYy54bWysU12O0zAQfkfiDpbfaX626bJR09WqSxHS AistHMB1nMTCf4zdpuUySLxxCI6DuAYTpy1d4AnhB8vjGX+e75uZ+fVOK7IV4KU1Fc0mKSXCcFtL 01b0/bvVs+eU+MBMzZQ1oqJ74en14umTee9KkdvOqloAQRDjy95VtAvBlUnieSc08xPrhEFnY0Gz gCa0SQ2sR3StkjxNZ0lvoXZgufAeb29HJ11E/KYRPLxtGi8CURXF3ELcIe7rYU8Wc1a2wFwn+SEN 9g9ZaCYNfnqCumWBkQ3IP6C05GC9bcKEW53YppFcRA7IJkt/Y/PQMSciFxTHu5NM/v/B8jfbeyCy ruhFRolhGmv04/PX79++ELxAdXrnSwx6cPcw8PPuzvIPnhi77JhpxQ2A7TvBaswpxiePHgyGx6dk 3b+2NWKzTbBRqF0DegBECcgu1mN/qofYBcLxMr9Mp9NZQQlHX54XF7OsGHJKWHl87sCHl8JqMhwq CljwCM+2dz6MoceQmL5Vsl5JpaIB7XqpgGwZNscqrgO6Pw9ThvQVvSryIiI/8vlziDSuv0FoGbDL ldRI4xTEykG3F6aOPRiYVOMZ2SmDJI/ajTVY23qPOoIdWxhHDg+dhU+U9Ni+FfUfNwwEJeqVwVpc ZdPp0O/RmBaXORpw7lmfe5jhCFXRQMl4XIZxRjYOZNvhT1nkbuwN1q+RUdkhvzGrQ7LYorE2h3Ea ZuDcjlG/hn7xEwAA//8DAFBLAwQUAAYACAAAACEABC4Oc+AAAAAKAQAADwAAAGRycy9kb3ducmV2 LnhtbEyPzU7DMBCE70i8g7VI3KjtAk0JcSp+xAVVqQhVz25sEot4HcVuG96e7QmOoxnNfFOsJt+z ox2jC6hAzgQwi00wDlsF28+3myWwmDQa3Qe0Cn5shFV5eVHo3IQTfthjnVpGJRhzraBLacg5j01n vY6zMFgk7yuMXieSY8vNqE9U7ns+F2LBvXZIC50e7Etnm+/64BXsBhRyXQ2pqt/nm/Xzxu1eK6fU 9dX09Ags2Sn9heGMT+hQEtM+HNBE1iu4yzJCTwruFxIYBR7EbQZsT46UAnhZ8P8Xyl8AAAD//wMA UEsBAi0AFAAGAAgAAAAhALaDOJL+AAAA4QEAABMAAAAAAAAAAAAAAAAAAAAAAFtDb250ZW50X1R5 cGVzXS54bWxQSwECLQAUAAYACAAAACEAOP0h/9YAAACUAQAACwAAAAAAAAAAAAAAAAAvAQAAX3Jl bHMvLnJlbHNQSwECLQAUAAYACAAAACEAbVgTtioCAAA8BAAADgAAAAAAAAAAAAAAAAAuAgAAZHJz L2Uyb0RvYy54bWxQSwECLQAUAAYACAAAACEABC4Oc+AAAAAKAQAADwAAAAAAAAAAAAAAAACEBAAA ZHJzL2Rvd25yZXYueG1sUEsFBgAAAAAEAAQA8wAAAJEFAAAAAA== ">
            <v:path/>
            <v:fill focussize="0,0"/>
            <v:stroke miterlimit="2"/>
            <v:imagedata o:title=""/>
            <o:lock v:ext="edit"/>
          </v:rect>
        </w:pict>
      </w:r>
      <w:r>
        <w:rPr>
          <w:rFonts w:ascii="仿宋" w:hAnsi="仿宋" w:eastAsia="仿宋" w:cs="仿宋"/>
          <w:b/>
          <w:bCs/>
          <w:sz w:val="24"/>
        </w:rPr>
        <w:pict>
          <v:rect id="矩形 30" o:spid="_x0000_s1260" o:spt="1" style="position:absolute;left:0pt;margin-left:-7.2pt;margin-top:30.3pt;height:177.45pt;width:208.5pt;z-index:-251655168;mso-width-relative:page;mso-height-relative:page;"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05fsLAIAADwEAAAOAAAAZHJzL2Uyb0RvYy54bWysU12O0zAQfkfiDpbfaZps26VR09WqSxHS AistHMB1nMTCf4zdpuUySLxxCI6DuAZjp1u6wBPCD5bHM/78zTczi6u9VmQnwEtrKpqPxpQIw20t TVvR9+/Wz55T4gMzNVPWiIoehKdXy6dPFr0rRWE7q2oBBEGML3tX0S4EV2aZ553QzI+sEwadjQXN AprQZjWwHtG1yorxeJb1FmoHlgvv8fZmcNJlwm8awcPbpvEiEFVR5BbSDmnfxD1bLljZAnOd5Eca 7B9YaCYNfnqCumGBkS3IP6C05GC9bcKIW53ZppFcpBwwm3z8Wzb3HXMi5YLieHeSyf8/WP5mdwdE 1hW9QHkM01ijH5+/fv/2heAFqtM7X2LQvbuDmJ93t5Z/8MTYVcdMK64BbN8JViOnPMZnjx5Ew+NT sulf2xqx2TbYJNS+AR0BUQKyT/U4nOoh9oFwvCxmk8v5FHlx9BXF9GKWT9MfrHx47sCHl8JqEg8V BSx4gme7Wx8iHVY+hCT6Vsl6LZVKBrSblQKyY9gc67SO6P48TBnSV3Q+LaYJ+ZHPn0OM0/obhJYB u1xJjWmcglgZdXth6tSDgUk1nJGyMkcho3ZDDTa2PqCOYIcWxpHDQ2fhEyU9tm9F/cctA0GJemWw FvN8Mon9nozJ9LJAA849m3MPMxyhKhooGY6rMMzI1oFsO/wpT7kbe431a2RSNtZ2YHUkiy2aBD+O U5yBcztF/Rr65U8AAAD//wMAUEsDBBQABgAIAAAAIQDoMkbq3wAAAAoBAAAPAAAAZHJzL2Rvd25y ZXYueG1sTI/LTsMwEEX3SPyDNUjsWjtRGqEQp+IhNqhKRUBdu7FJLOKxFbtt+HuGFezuaI7unKm3 i5vY2czRepSQrQUwg73XFgcJH+8vqztgMSnUavJoJHybCNvm+qpWlfYXfDPnLg2MSjBWSsKYUqg4 j/1onIprHwzS7tPPTiUa54HrWV2o3E08F6LkTlmkC6MK5mk0/Vd3chIOAUW2a0Nqu9d8v3vc28Nz a6W8vVke7oEls6Q/GH71SR0acjr6E+rIJgmrrCgIlVCKEhgBhcgpHClkmw3wpub/X2h+AAAA//8D AFBLAQItABQABgAIAAAAIQC2gziS/gAAAOEBAAATAAAAAAAAAAAAAAAAAAAAAABbQ29udGVudF9U eXBlc10ueG1sUEsBAi0AFAAGAAgAAAAhADj9If/WAAAAlAEAAAsAAAAAAAAAAAAAAAAALwEAAF9y ZWxzLy5yZWxzUEsBAi0AFAAGAAgAAAAhAEPTl+wsAgAAPAQAAA4AAAAAAAAAAAAAAAAALgIAAGRy cy9lMm9Eb2MueG1sUEsBAi0AFAAGAAgAAAAhAOgyRurfAAAACgEAAA8AAAAAAAAAAAAAAAAAhgQA AGRycy9kb3ducmV2LnhtbFBLBQYAAAAABAAEAPMAAACSBQAAAAA= ">
            <v:path/>
            <v:fill focussize="0,0"/>
            <v:stroke miterlimit="2"/>
            <v:imagedata o:title=""/>
            <o:lock v:ext="edit"/>
          </v:rect>
        </w:pic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附件5：</w:t>
      </w:r>
      <w:r>
        <w:rPr>
          <w:rFonts w:hint="eastAsia" w:ascii="仿宋" w:hAnsi="仿宋" w:eastAsia="仿宋" w:cs="仿宋"/>
          <w:b/>
          <w:sz w:val="32"/>
          <w:szCs w:val="32"/>
        </w:rPr>
        <w:t>中小企业声明函</w:t>
      </w:r>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 xml:space="preserve"> ，属于 </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jc w:val="left"/>
        <w:rPr>
          <w:rFonts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仿宋"/>
          <w:b/>
          <w:sz w:val="32"/>
          <w:szCs w:val="32"/>
        </w:rPr>
      </w:pPr>
    </w:p>
    <w:p>
      <w:pPr>
        <w:spacing w:line="360" w:lineRule="auto"/>
        <w:jc w:val="center"/>
        <w:rPr>
          <w:rFonts w:ascii="仿宋" w:hAnsi="仿宋" w:eastAsia="仿宋" w:cs="仿宋"/>
        </w:rPr>
      </w:pPr>
      <w:r>
        <w:rPr>
          <w:rFonts w:hint="eastAsia" w:ascii="仿宋" w:hAnsi="仿宋" w:eastAsia="仿宋" w:cs="仿宋"/>
          <w:b/>
          <w:sz w:val="32"/>
          <w:szCs w:val="32"/>
        </w:rPr>
        <w:t>中小企业声明函（工程、服务）</w:t>
      </w: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p>
    <w:p>
      <w:pPr>
        <w:spacing w:line="360" w:lineRule="auto"/>
        <w:ind w:right="420"/>
        <w:rPr>
          <w:rFonts w:ascii="仿宋" w:hAnsi="仿宋" w:eastAsia="仿宋" w:cs="仿宋"/>
          <w:sz w:val="24"/>
        </w:rPr>
      </w:pPr>
      <w:r>
        <w:rPr>
          <w:rFonts w:hint="eastAsia" w:ascii="仿宋" w:hAnsi="仿宋" w:eastAsia="仿宋" w:cs="仿宋"/>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仿宋"/>
          <w:bCs/>
          <w:sz w:val="24"/>
        </w:rPr>
      </w:pPr>
    </w:p>
    <w:p/>
    <w:sectPr>
      <w:headerReference r:id="rId26" w:type="first"/>
      <w:footerReference r:id="rId29" w:type="first"/>
      <w:headerReference r:id="rId25" w:type="default"/>
      <w:footerReference r:id="rId27" w:type="default"/>
      <w:footerReference r:id="rId28" w:type="even"/>
      <w:pgSz w:w="11907" w:h="16840"/>
      <w:pgMar w:top="1474" w:right="1814" w:bottom="1474" w:left="181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MS Sans Serif">
    <w:altName w:val="Segoe Print"/>
    <w:panose1 w:val="00000000000000000000"/>
    <w:charset w:val="00"/>
    <w:family w:val="swiss"/>
    <w:pitch w:val="default"/>
    <w:sig w:usb0="00000000" w:usb1="00000000" w:usb2="00000000" w:usb3="00000000" w:csb0="00000001" w:csb1="00000000"/>
  </w:font>
  <w:font w:name="Futura Bk">
    <w:altName w:val="Arial"/>
    <w:panose1 w:val="00000000000000000000"/>
    <w:charset w:val="B1"/>
    <w:family w:val="swiss"/>
    <w:pitch w:val="default"/>
    <w:sig w:usb0="00000000" w:usb1="00000000" w:usb2="00000000" w:usb3="00000000" w:csb0="000001FB"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Arial (W1)">
    <w:altName w:val="Arial"/>
    <w:panose1 w:val="00000000000000000000"/>
    <w:charset w:val="00"/>
    <w:family w:val="swiss"/>
    <w:pitch w:val="default"/>
    <w:sig w:usb0="00000000" w:usb1="00000000" w:usb2="00000008" w:usb3="00000000" w:csb0="000001FF" w:csb1="00000000"/>
  </w:font>
  <w:font w:name="Book Antiqua">
    <w:panose1 w:val="02040602050305030304"/>
    <w:charset w:val="00"/>
    <w:family w:val="roman"/>
    <w:pitch w:val="default"/>
    <w:sig w:usb0="00000287" w:usb1="00000000" w:usb2="00000000" w:usb3="00000000" w:csb0="2000009F" w:csb1="DFD70000"/>
  </w:font>
  <w:font w:name="Microsoft YaHei UI">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PingFang SC">
    <w:altName w:val="宋体"/>
    <w:panose1 w:val="00000000000000000000"/>
    <w:charset w:val="86"/>
    <w:family w:val="moder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HLHE E+ Futura Bk">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Futura Hv">
    <w:altName w:val="Lucida Sans Unicode"/>
    <w:panose1 w:val="00000000000000000000"/>
    <w:charset w:val="00"/>
    <w:family w:val="swiss"/>
    <w:pitch w:val="default"/>
    <w:sig w:usb0="00000000" w:usb1="00000000" w:usb2="00000000" w:usb3="00000000" w:csb0="0000009F" w:csb1="00000000"/>
  </w:font>
  <w:font w:name="FuturaA Bk BT">
    <w:altName w:val="Lucida Sans Unicode"/>
    <w:panose1 w:val="00000000000000000000"/>
    <w:charset w:val="00"/>
    <w:family w:val="swiss"/>
    <w:pitch w:val="default"/>
    <w:sig w:usb0="00000000" w:usb1="00000000" w:usb2="00000000" w:usb3="00000000" w:csb0="0000001B" w:csb1="00000000"/>
  </w:font>
  <w:font w:name="Aldine401 BT">
    <w:altName w:val="Segoe Print"/>
    <w:panose1 w:val="00000000000000000000"/>
    <w:charset w:val="00"/>
    <w:family w:val="roman"/>
    <w:pitch w:val="default"/>
    <w:sig w:usb0="00000000" w:usb1="00000000" w:usb2="00000000" w:usb3="00000000" w:csb0="00000011" w:csb1="00000000"/>
  </w:font>
  <w:font w:name="幼圆">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150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150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right" w:y="1"/>
      <w:rPr>
        <w:rStyle w:val="82"/>
      </w:rPr>
    </w:pPr>
    <w:r>
      <w:fldChar w:fldCharType="begin"/>
    </w:r>
    <w:r>
      <w:rPr>
        <w:rStyle w:val="82"/>
      </w:rPr>
      <w:instrText xml:space="preserve">PAGE  </w:instrText>
    </w:r>
    <w:r>
      <w:fldChar w:fldCharType="end"/>
    </w:r>
  </w:p>
  <w:p>
    <w:pPr>
      <w:pStyle w:val="48"/>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141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141</w:t>
    </w:r>
    <w:r>
      <w:rPr>
        <w:rFonts w:hint="eastAsia" w:ascii="仿宋_GB2312" w:eastAsia="仿宋_GB2312"/>
        <w:kern w:val="0"/>
        <w:szCs w:val="21"/>
      </w:rPr>
      <w:fldChar w:fldCharType="end"/>
    </w:r>
    <w:bookmarkStart w:id="593" w:name="_Toc164085800"/>
    <w:bookmarkStart w:id="594" w:name="_Toc91899912"/>
    <w:bookmarkStart w:id="595" w:name="_Toc36110187"/>
    <w:bookmarkStart w:id="596" w:name="_Toc131845147"/>
    <w:r>
      <w:rPr>
        <w:rFonts w:hint="eastAsia" w:ascii="仿宋_GB2312" w:eastAsia="仿宋_GB2312"/>
        <w:kern w:val="0"/>
        <w:szCs w:val="21"/>
      </w:rPr>
      <w:t xml:space="preserve"> 页</w:t>
    </w:r>
    <w:bookmarkEnd w:id="593"/>
    <w:bookmarkEnd w:id="594"/>
    <w:bookmarkEnd w:id="595"/>
    <w:bookmarkEnd w:id="59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framePr w:wrap="around" w:vAnchor="text" w:hAnchor="margin" w:xAlign="right" w:y="1"/>
      <w:rPr>
        <w:rStyle w:val="82"/>
      </w:rPr>
    </w:pPr>
    <w:r>
      <w:fldChar w:fldCharType="begin"/>
    </w:r>
    <w:r>
      <w:rPr>
        <w:rStyle w:val="82"/>
      </w:rPr>
      <w:instrText xml:space="preserve">PAGE  </w:instrText>
    </w:r>
    <w:r>
      <w:fldChar w:fldCharType="end"/>
    </w:r>
  </w:p>
  <w:p>
    <w:pPr>
      <w:pStyle w:val="4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102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single" w:color="auto" w:sz="4" w:space="0"/>
      </w:pBdr>
      <w:rPr>
        <w:rFonts w:hint="eastAsia" w:ascii="仿宋" w:hAnsi="仿宋" w:eastAsia="仿宋"/>
        <w:sz w:val="21"/>
        <w:szCs w:val="21"/>
        <w:lang w:eastAsia="zh-CN"/>
      </w:rPr>
    </w:pPr>
    <w:r>
      <w:rPr>
        <w:rFonts w:hint="eastAsia" w:ascii="仿宋" w:hAnsi="仿宋" w:eastAsia="仿宋"/>
        <w:sz w:val="21"/>
        <w:szCs w:val="21"/>
        <w:lang w:eastAsia="zh-CN"/>
      </w:rPr>
      <w:t>江山市智慧交通指挥中心改造提升项目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right"/>
    </w:pP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right="360"/>
      <w:jc w:val="both"/>
      <w:rPr>
        <w:rFonts w:ascii="仿宋_GB2312" w:eastAsia="仿宋_GB2312"/>
        <w:b/>
        <w:i/>
        <w:u w:val="single"/>
      </w:rPr>
    </w:pPr>
    <w:r>
      <w:t>政府采购公开招标文件</w:t>
    </w:r>
  </w:p>
  <w:p>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right"/>
      <w:rPr>
        <w:rFonts w:ascii="仿宋_GB2312" w:eastAsia="仿宋_GB2312"/>
        <w:b/>
        <w:i/>
        <w:iCs/>
        <w:u w:val="single"/>
      </w:rPr>
    </w:pPr>
    <w: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single" w:color="auto" w:sz="4" w:space="0"/>
      </w:pBdr>
      <w:rPr>
        <w:rFonts w:hint="eastAsia" w:ascii="仿宋" w:hAnsi="仿宋" w:eastAsia="仿宋"/>
        <w:sz w:val="21"/>
        <w:szCs w:val="21"/>
        <w:lang w:eastAsia="zh-CN"/>
      </w:rPr>
    </w:pPr>
    <w:r>
      <w:rPr>
        <w:rFonts w:hint="eastAsia" w:ascii="仿宋" w:hAnsi="仿宋" w:eastAsia="仿宋"/>
        <w:sz w:val="21"/>
        <w:szCs w:val="21"/>
        <w:lang w:eastAsia="zh-CN"/>
      </w:rPr>
      <w:t>江山市智慧交通指挥中心改造提升项目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rPr>
        <w:rFonts w:ascii="仿宋_GB2312" w:eastAsia="仿宋_GB2312"/>
        <w:b/>
        <w:i/>
        <w:u w:val="single"/>
      </w:rPr>
    </w:pPr>
    <w:r>
      <w:t>政府采购公开招标文</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t></w:t>
    </w:r>
  </w:p>
  <w:p>
    <w:pPr>
      <w:pStyle w:val="49"/>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rPr>
        <w:rFonts w:ascii="仿宋_GB2312" w:eastAsia="仿宋_GB2312"/>
        <w:b/>
        <w:i/>
        <w:u w:val="single"/>
      </w:rPr>
    </w:pPr>
    <w:r>
      <w:t>政府采购公开招标文件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t></w:t>
    </w:r>
  </w:p>
  <w:p>
    <w:pPr>
      <w:pStyle w:val="49"/>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rPr>
        <w:rFonts w:ascii="仿宋_GB2312" w:eastAsia="仿宋_GB2312"/>
        <w:b/>
        <w:i/>
        <w:u w:val="single"/>
      </w:rPr>
    </w:pP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t></w:t>
    </w:r>
  </w:p>
  <w:p>
    <w:pPr>
      <w:pStyle w:val="49"/>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right"/>
      <w:rPr>
        <w:rFonts w:ascii="仿宋_GB2312" w:eastAsia="仿宋_GB2312"/>
        <w:b/>
        <w:i/>
        <w:u w:val="single"/>
      </w:rPr>
    </w:pPr>
    <w:r>
      <w:t>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DBDF0"/>
    <w:multiLevelType w:val="singleLevel"/>
    <w:tmpl w:val="88EDBDF0"/>
    <w:lvl w:ilvl="0" w:tentative="0">
      <w:start w:val="3"/>
      <w:numFmt w:val="chineseCounting"/>
      <w:pStyle w:val="23"/>
      <w:suff w:val="space"/>
      <w:lvlText w:val="第%1部分"/>
      <w:lvlJc w:val="left"/>
      <w:rPr>
        <w:rFonts w:hint="eastAsia"/>
      </w:rPr>
    </w:lvl>
  </w:abstractNum>
  <w:abstractNum w:abstractNumId="1">
    <w:nsid w:val="A5CDAD5C"/>
    <w:multiLevelType w:val="singleLevel"/>
    <w:tmpl w:val="A5CDAD5C"/>
    <w:lvl w:ilvl="0" w:tentative="0">
      <w:start w:val="1"/>
      <w:numFmt w:val="decimal"/>
      <w:suff w:val="nothing"/>
      <w:lvlText w:val="（%1）"/>
      <w:lvlJc w:val="left"/>
    </w:lvl>
  </w:abstractNum>
  <w:abstractNum w:abstractNumId="2">
    <w:nsid w:val="B6D9693A"/>
    <w:multiLevelType w:val="singleLevel"/>
    <w:tmpl w:val="B6D9693A"/>
    <w:lvl w:ilvl="0" w:tentative="0">
      <w:start w:val="3"/>
      <w:numFmt w:val="decimal"/>
      <w:lvlText w:val="%1."/>
      <w:lvlJc w:val="left"/>
      <w:pPr>
        <w:tabs>
          <w:tab w:val="left" w:pos="312"/>
        </w:tabs>
      </w:pPr>
    </w:lvl>
  </w:abstractNum>
  <w:abstractNum w:abstractNumId="3">
    <w:nsid w:val="DD975A4C"/>
    <w:multiLevelType w:val="singleLevel"/>
    <w:tmpl w:val="DD975A4C"/>
    <w:lvl w:ilvl="0" w:tentative="0">
      <w:start w:val="1"/>
      <w:numFmt w:val="decimal"/>
      <w:pStyle w:val="960"/>
      <w:suff w:val="nothing"/>
      <w:lvlText w:val="%1、"/>
      <w:lvlJc w:val="left"/>
    </w:lvl>
  </w:abstractNum>
  <w:abstractNum w:abstractNumId="4">
    <w:nsid w:val="04697721"/>
    <w:multiLevelType w:val="singleLevel"/>
    <w:tmpl w:val="04697721"/>
    <w:lvl w:ilvl="0" w:tentative="0">
      <w:start w:val="1"/>
      <w:numFmt w:val="decimal"/>
      <w:suff w:val="nothing"/>
      <w:lvlText w:val="（%1）"/>
      <w:lvlJc w:val="left"/>
      <w:pPr>
        <w:ind w:left="151"/>
      </w:pPr>
      <w:rPr>
        <w:rFonts w:hint="default" w:ascii="仿宋" w:hAnsi="仿宋" w:eastAsia="仿宋" w:cs="仿宋"/>
        <w:sz w:val="24"/>
        <w:szCs w:val="24"/>
      </w:rPr>
    </w:lvl>
  </w:abstractNum>
  <w:abstractNum w:abstractNumId="5">
    <w:nsid w:val="1DF71E89"/>
    <w:multiLevelType w:val="singleLevel"/>
    <w:tmpl w:val="1DF71E89"/>
    <w:lvl w:ilvl="0" w:tentative="0">
      <w:start w:val="1"/>
      <w:numFmt w:val="decimal"/>
      <w:pStyle w:val="778"/>
      <w:suff w:val="nothing"/>
      <w:lvlText w:val="%1、"/>
      <w:lvlJc w:val="left"/>
    </w:lvl>
  </w:abstractNum>
  <w:abstractNum w:abstractNumId="6">
    <w:nsid w:val="2FF34A17"/>
    <w:multiLevelType w:val="multilevel"/>
    <w:tmpl w:val="2FF34A17"/>
    <w:lvl w:ilvl="0" w:tentative="0">
      <w:start w:val="1"/>
      <w:numFmt w:val="japaneseCounting"/>
      <w:pStyle w:val="957"/>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1517116"/>
    <w:multiLevelType w:val="multilevel"/>
    <w:tmpl w:val="41517116"/>
    <w:lvl w:ilvl="0" w:tentative="0">
      <w:start w:val="1"/>
      <w:numFmt w:val="decimal"/>
      <w:pStyle w:val="707"/>
      <w:lvlText w:val="%1."/>
      <w:lvlJc w:val="left"/>
      <w:pPr>
        <w:ind w:left="360" w:hanging="360"/>
      </w:pPr>
      <w:rPr>
        <w:sz w:val="21"/>
        <w:szCs w:val="21"/>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54F403B5"/>
    <w:multiLevelType w:val="singleLevel"/>
    <w:tmpl w:val="54F403B5"/>
    <w:lvl w:ilvl="0" w:tentative="0">
      <w:start w:val="1"/>
      <w:numFmt w:val="chineseCounting"/>
      <w:pStyle w:val="1061"/>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611078AB"/>
    <w:multiLevelType w:val="multilevel"/>
    <w:tmpl w:val="611078AB"/>
    <w:lvl w:ilvl="0" w:tentative="0">
      <w:start w:val="1"/>
      <w:numFmt w:val="decimal"/>
      <w:lvlText w:val="%1."/>
      <w:lvlJc w:val="left"/>
      <w:pPr>
        <w:ind w:left="360" w:hanging="360"/>
      </w:pPr>
      <w:rPr>
        <w:sz w:val="21"/>
        <w:szCs w:val="21"/>
      </w:rPr>
    </w:lvl>
    <w:lvl w:ilvl="1" w:tentative="0">
      <w:start w:val="1"/>
      <w:numFmt w:val="lowerLetter"/>
      <w:lvlText w:val="%2."/>
      <w:lvlJc w:val="left"/>
      <w:pPr>
        <w:ind w:left="1080" w:hanging="360"/>
      </w:pPr>
    </w:lvl>
    <w:lvl w:ilvl="2" w:tentative="0">
      <w:start w:val="1"/>
      <w:numFmt w:val="lowerRoman"/>
      <w:pStyle w:val="710"/>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625A7052"/>
    <w:multiLevelType w:val="multilevel"/>
    <w:tmpl w:val="625A7052"/>
    <w:lvl w:ilvl="0" w:tentative="0">
      <w:start w:val="1"/>
      <w:numFmt w:val="decimal"/>
      <w:lvlText w:val="%1."/>
      <w:lvlJc w:val="left"/>
      <w:pPr>
        <w:ind w:left="360" w:hanging="360"/>
      </w:pPr>
      <w:rPr>
        <w:sz w:val="21"/>
        <w:szCs w:val="21"/>
      </w:rPr>
    </w:lvl>
    <w:lvl w:ilvl="1" w:tentative="0">
      <w:start w:val="1"/>
      <w:numFmt w:val="lowerLetter"/>
      <w:lvlText w:val="%2."/>
      <w:lvlJc w:val="left"/>
      <w:pPr>
        <w:ind w:left="1080" w:hanging="360"/>
      </w:pPr>
    </w:lvl>
    <w:lvl w:ilvl="2" w:tentative="0">
      <w:start w:val="1"/>
      <w:numFmt w:val="lowerRoman"/>
      <w:pStyle w:val="1036"/>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66A47283"/>
    <w:multiLevelType w:val="singleLevel"/>
    <w:tmpl w:val="66A47283"/>
    <w:lvl w:ilvl="0" w:tentative="0">
      <w:start w:val="1"/>
      <w:numFmt w:val="decimal"/>
      <w:suff w:val="nothing"/>
      <w:lvlText w:val="%1、"/>
      <w:lvlJc w:val="left"/>
    </w:lvl>
  </w:abstractNum>
  <w:abstractNum w:abstractNumId="13">
    <w:nsid w:val="7673F95C"/>
    <w:multiLevelType w:val="singleLevel"/>
    <w:tmpl w:val="7673F95C"/>
    <w:lvl w:ilvl="0" w:tentative="0">
      <w:start w:val="1"/>
      <w:numFmt w:val="decimal"/>
      <w:suff w:val="nothing"/>
      <w:lvlText w:val="（%1）"/>
      <w:lvlJc w:val="left"/>
      <w:rPr>
        <w:rFonts w:hint="default" w:ascii="仿宋" w:hAnsi="仿宋" w:eastAsia="仿宋" w:cs="仿宋"/>
        <w:b w:val="0"/>
        <w:bCs w:val="0"/>
        <w:sz w:val="24"/>
        <w:szCs w:val="24"/>
      </w:rPr>
    </w:lvl>
  </w:abstractNum>
  <w:num w:numId="1">
    <w:abstractNumId w:val="0"/>
  </w:num>
  <w:num w:numId="2">
    <w:abstractNumId w:val="7"/>
  </w:num>
  <w:num w:numId="3">
    <w:abstractNumId w:val="10"/>
  </w:num>
  <w:num w:numId="4">
    <w:abstractNumId w:val="5"/>
  </w:num>
  <w:num w:numId="5">
    <w:abstractNumId w:val="6"/>
  </w:num>
  <w:num w:numId="6">
    <w:abstractNumId w:val="3"/>
  </w:num>
  <w:num w:numId="7">
    <w:abstractNumId w:val="11"/>
  </w:num>
  <w:num w:numId="8">
    <w:abstractNumId w:val="8"/>
  </w:num>
  <w:num w:numId="9">
    <w:abstractNumId w:val="12"/>
  </w:num>
  <w:num w:numId="10">
    <w:abstractNumId w:val="2"/>
  </w:num>
  <w:num w:numId="11">
    <w:abstractNumId w:val="1"/>
  </w:num>
  <w:num w:numId="12">
    <w:abstractNumId w:val="9"/>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VhZWU4NDYyNTczYTcxMjMyMjdjYjUzOWZiOGFiYjcifQ=="/>
  </w:docVars>
  <w:rsids>
    <w:rsidRoot w:val="0041132D"/>
    <w:rsid w:val="000A0767"/>
    <w:rsid w:val="000C43D8"/>
    <w:rsid w:val="001A1842"/>
    <w:rsid w:val="001B3F71"/>
    <w:rsid w:val="001C562B"/>
    <w:rsid w:val="002C7494"/>
    <w:rsid w:val="00347CFB"/>
    <w:rsid w:val="00377F98"/>
    <w:rsid w:val="003A152A"/>
    <w:rsid w:val="0041132D"/>
    <w:rsid w:val="00457758"/>
    <w:rsid w:val="005129B4"/>
    <w:rsid w:val="005230F3"/>
    <w:rsid w:val="005A791F"/>
    <w:rsid w:val="005D3233"/>
    <w:rsid w:val="00600E61"/>
    <w:rsid w:val="00710BF8"/>
    <w:rsid w:val="007343FD"/>
    <w:rsid w:val="00734651"/>
    <w:rsid w:val="00737A59"/>
    <w:rsid w:val="007947F7"/>
    <w:rsid w:val="007C6C93"/>
    <w:rsid w:val="008136FA"/>
    <w:rsid w:val="008558C0"/>
    <w:rsid w:val="008F36B0"/>
    <w:rsid w:val="00935D24"/>
    <w:rsid w:val="00986CF3"/>
    <w:rsid w:val="009A13E6"/>
    <w:rsid w:val="00A15963"/>
    <w:rsid w:val="00A15C4F"/>
    <w:rsid w:val="00A53934"/>
    <w:rsid w:val="00A66B4F"/>
    <w:rsid w:val="00A87BAF"/>
    <w:rsid w:val="00AE535F"/>
    <w:rsid w:val="00B00F83"/>
    <w:rsid w:val="00B33C5B"/>
    <w:rsid w:val="00B37DDA"/>
    <w:rsid w:val="00BC1435"/>
    <w:rsid w:val="00C374D2"/>
    <w:rsid w:val="00C531DB"/>
    <w:rsid w:val="00C67C8D"/>
    <w:rsid w:val="00C9055B"/>
    <w:rsid w:val="00CC26B4"/>
    <w:rsid w:val="00CC4F13"/>
    <w:rsid w:val="00D14832"/>
    <w:rsid w:val="00D275A2"/>
    <w:rsid w:val="00D455F8"/>
    <w:rsid w:val="00D624AC"/>
    <w:rsid w:val="00D67603"/>
    <w:rsid w:val="00D932B8"/>
    <w:rsid w:val="00DD2DC2"/>
    <w:rsid w:val="00E76DF5"/>
    <w:rsid w:val="00F4116B"/>
    <w:rsid w:val="00F8364E"/>
    <w:rsid w:val="019B46DD"/>
    <w:rsid w:val="0378520E"/>
    <w:rsid w:val="037E450C"/>
    <w:rsid w:val="042B4FF8"/>
    <w:rsid w:val="06F863CE"/>
    <w:rsid w:val="07A02FF2"/>
    <w:rsid w:val="0C2479AB"/>
    <w:rsid w:val="0C3A7C59"/>
    <w:rsid w:val="0F5117D6"/>
    <w:rsid w:val="10CB42D6"/>
    <w:rsid w:val="15AA71F7"/>
    <w:rsid w:val="163069F6"/>
    <w:rsid w:val="16A42D48"/>
    <w:rsid w:val="16B72676"/>
    <w:rsid w:val="1F8C2F94"/>
    <w:rsid w:val="230B7A25"/>
    <w:rsid w:val="266165C3"/>
    <w:rsid w:val="27F17C6F"/>
    <w:rsid w:val="28325017"/>
    <w:rsid w:val="299F073B"/>
    <w:rsid w:val="29D915A5"/>
    <w:rsid w:val="2E5A236E"/>
    <w:rsid w:val="30BA0CC2"/>
    <w:rsid w:val="36186BAC"/>
    <w:rsid w:val="3A1C70A4"/>
    <w:rsid w:val="3B2319FF"/>
    <w:rsid w:val="3BF96390"/>
    <w:rsid w:val="3DA16B5F"/>
    <w:rsid w:val="42534FF0"/>
    <w:rsid w:val="43C53365"/>
    <w:rsid w:val="46902623"/>
    <w:rsid w:val="49290AF3"/>
    <w:rsid w:val="4E39210A"/>
    <w:rsid w:val="4EDC506A"/>
    <w:rsid w:val="57E23022"/>
    <w:rsid w:val="588418A2"/>
    <w:rsid w:val="5A2977A9"/>
    <w:rsid w:val="5D76157B"/>
    <w:rsid w:val="5DE0133C"/>
    <w:rsid w:val="5DF41277"/>
    <w:rsid w:val="62473436"/>
    <w:rsid w:val="624E5567"/>
    <w:rsid w:val="64FE478A"/>
    <w:rsid w:val="659607ED"/>
    <w:rsid w:val="661525C9"/>
    <w:rsid w:val="70E77F2B"/>
    <w:rsid w:val="72FC24A3"/>
    <w:rsid w:val="74C376F7"/>
    <w:rsid w:val="7709679A"/>
    <w:rsid w:val="796D7119"/>
    <w:rsid w:val="7A0A60BD"/>
    <w:rsid w:val="7CDF7E73"/>
    <w:rsid w:val="7E036609"/>
    <w:rsid w:val="7E1B75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95"/>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link w:val="380"/>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link w:val="423"/>
    <w:qFormat/>
    <w:uiPriority w:val="9"/>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04"/>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93"/>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9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95"/>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9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9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9">
    <w:name w:val="Default Paragraph Font"/>
    <w:semiHidden/>
    <w:unhideWhenUsed/>
    <w:qFormat/>
    <w:uiPriority w:val="1"/>
  </w:style>
  <w:style w:type="table" w:default="1" w:styleId="7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6"/>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link w:val="344"/>
    <w:qFormat/>
    <w:uiPriority w:val="0"/>
    <w:pPr>
      <w:ind w:firstLine="420"/>
    </w:pPr>
    <w:rPr>
      <w:rFonts w:hAnsiTheme="minorHAnsi" w:eastAsiaTheme="minorEastAsia" w:cstheme="minorBidi"/>
      <w:snapToGrid/>
      <w:szCs w:val="22"/>
    </w:rPr>
  </w:style>
  <w:style w:type="paragraph" w:styleId="4">
    <w:name w:val="toc 6"/>
    <w:basedOn w:val="1"/>
    <w:next w:val="1"/>
    <w:qFormat/>
    <w:uiPriority w:val="0"/>
    <w:pPr>
      <w:ind w:left="2100" w:leftChars="1000"/>
    </w:pPr>
  </w:style>
  <w:style w:type="paragraph" w:styleId="8">
    <w:name w:val="Normal Indent"/>
    <w:basedOn w:val="1"/>
    <w:link w:val="283"/>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5">
    <w:name w:val="List 3"/>
    <w:basedOn w:val="1"/>
    <w:qFormat/>
    <w:uiPriority w:val="0"/>
    <w:pPr>
      <w:adjustRightInd/>
      <w:ind w:left="100" w:leftChars="400" w:hanging="200" w:hangingChars="200"/>
    </w:pPr>
    <w:rPr>
      <w:szCs w:val="20"/>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index 8"/>
    <w:basedOn w:val="1"/>
    <w:next w:val="1"/>
    <w:qFormat/>
    <w:uiPriority w:val="0"/>
    <w:pPr>
      <w:widowControl/>
      <w:adjustRightInd/>
      <w:ind w:left="1920" w:hanging="240"/>
      <w:jc w:val="left"/>
    </w:pPr>
    <w:rPr>
      <w:rFonts w:ascii="仿宋_GB2312" w:eastAsia="仿宋_GB2312"/>
      <w:kern w:val="0"/>
      <w:sz w:val="24"/>
      <w:szCs w:val="28"/>
    </w:rPr>
  </w:style>
  <w:style w:type="paragraph" w:styleId="20">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1">
    <w:name w:val="caption"/>
    <w:basedOn w:val="1"/>
    <w:next w:val="1"/>
    <w:link w:val="298"/>
    <w:qFormat/>
    <w:uiPriority w:val="0"/>
    <w:rPr>
      <w:rFonts w:asciiTheme="minorHAnsi" w:hAnsiTheme="minorHAnsi" w:eastAsiaTheme="minorEastAsia" w:cstheme="minorBidi"/>
      <w:b/>
      <w:sz w:val="28"/>
      <w:szCs w:val="22"/>
    </w:rPr>
  </w:style>
  <w:style w:type="paragraph" w:styleId="22">
    <w:name w:val="index 5"/>
    <w:basedOn w:val="1"/>
    <w:next w:val="1"/>
    <w:qFormat/>
    <w:uiPriority w:val="0"/>
    <w:pPr>
      <w:adjustRightInd/>
      <w:ind w:left="800" w:leftChars="800" w:firstLine="200" w:firstLineChars="200"/>
    </w:pPr>
  </w:style>
  <w:style w:type="paragraph" w:styleId="23">
    <w:name w:val="List Bullet"/>
    <w:basedOn w:val="24"/>
    <w:qFormat/>
    <w:uiPriority w:val="0"/>
    <w:pPr>
      <w:widowControl/>
      <w:numPr>
        <w:ilvl w:val="0"/>
        <w:numId w:val="1"/>
      </w:numPr>
      <w:tabs>
        <w:tab w:val="left" w:pos="840"/>
      </w:tabs>
      <w:adjustRightInd/>
      <w:spacing w:line="360" w:lineRule="auto"/>
      <w:ind w:right="720" w:firstLine="0" w:firstLineChars="0"/>
      <w:jc w:val="left"/>
    </w:pPr>
    <w:rPr>
      <w:rFonts w:ascii="仿宋_GB2312" w:eastAsia="仿宋_GB2312"/>
      <w:kern w:val="0"/>
      <w:sz w:val="24"/>
      <w:szCs w:val="20"/>
    </w:rPr>
  </w:style>
  <w:style w:type="paragraph" w:styleId="24">
    <w:name w:val="List"/>
    <w:basedOn w:val="1"/>
    <w:qFormat/>
    <w:uiPriority w:val="0"/>
    <w:pPr>
      <w:ind w:left="200" w:hanging="200" w:hangingChars="200"/>
    </w:pPr>
  </w:style>
  <w:style w:type="paragraph" w:styleId="25">
    <w:name w:val="Document Map"/>
    <w:basedOn w:val="1"/>
    <w:link w:val="433"/>
    <w:qFormat/>
    <w:uiPriority w:val="0"/>
    <w:pPr>
      <w:shd w:val="clear" w:color="auto" w:fill="000080"/>
    </w:pPr>
    <w:rPr>
      <w:rFonts w:asciiTheme="minorHAnsi" w:hAnsiTheme="minorHAnsi" w:eastAsiaTheme="minorEastAsia" w:cstheme="minorBidi"/>
    </w:rPr>
  </w:style>
  <w:style w:type="paragraph" w:styleId="26">
    <w:name w:val="annotation text"/>
    <w:basedOn w:val="1"/>
    <w:link w:val="158"/>
    <w:qFormat/>
    <w:uiPriority w:val="0"/>
    <w:pPr>
      <w:jc w:val="left"/>
    </w:pPr>
    <w:rPr>
      <w:rFonts w:asciiTheme="minorHAnsi" w:hAnsiTheme="minorHAnsi" w:eastAsiaTheme="minorEastAsia" w:cstheme="minorBidi"/>
    </w:rPr>
  </w:style>
  <w:style w:type="paragraph" w:styleId="27">
    <w:name w:val="index 6"/>
    <w:basedOn w:val="1"/>
    <w:next w:val="1"/>
    <w:qFormat/>
    <w:uiPriority w:val="0"/>
    <w:pPr>
      <w:widowControl/>
      <w:adjustRightInd/>
      <w:ind w:left="1440" w:hanging="240"/>
      <w:jc w:val="left"/>
    </w:pPr>
    <w:rPr>
      <w:rFonts w:ascii="仿宋_GB2312" w:eastAsia="仿宋_GB2312"/>
      <w:kern w:val="0"/>
      <w:sz w:val="24"/>
      <w:szCs w:val="28"/>
    </w:rPr>
  </w:style>
  <w:style w:type="paragraph" w:styleId="28">
    <w:name w:val="Salutation"/>
    <w:basedOn w:val="1"/>
    <w:next w:val="1"/>
    <w:link w:val="434"/>
    <w:qFormat/>
    <w:uiPriority w:val="0"/>
    <w:rPr>
      <w:rFonts w:ascii="仿宋_GB2312" w:eastAsia="仿宋_GB2312" w:hAnsiTheme="minorHAnsi" w:cstheme="minorBidi"/>
      <w:sz w:val="28"/>
      <w:szCs w:val="22"/>
    </w:rPr>
  </w:style>
  <w:style w:type="paragraph" w:styleId="29">
    <w:name w:val="Body Text 3"/>
    <w:basedOn w:val="1"/>
    <w:link w:val="435"/>
    <w:qFormat/>
    <w:uiPriority w:val="0"/>
    <w:pPr>
      <w:jc w:val="center"/>
    </w:pPr>
    <w:rPr>
      <w:rFonts w:asciiTheme="minorHAnsi" w:hAnsiTheme="minorHAnsi" w:eastAsiaTheme="minorEastAsia" w:cstheme="minorBidi"/>
      <w:szCs w:val="22"/>
    </w:rPr>
  </w:style>
  <w:style w:type="paragraph" w:styleId="30">
    <w:name w:val="List Bullet 3"/>
    <w:basedOn w:val="1"/>
    <w:unhideWhenUsed/>
    <w:qFormat/>
    <w:uiPriority w:val="0"/>
    <w:pPr>
      <w:snapToGrid w:val="0"/>
      <w:spacing w:line="360" w:lineRule="auto"/>
      <w:ind w:left="360" w:right="238" w:hanging="360"/>
      <w:contextualSpacing/>
    </w:pPr>
    <w:rPr>
      <w:sz w:val="24"/>
    </w:rPr>
  </w:style>
  <w:style w:type="paragraph" w:styleId="31">
    <w:name w:val="Body Text Indent"/>
    <w:basedOn w:val="1"/>
    <w:link w:val="496"/>
    <w:unhideWhenUsed/>
    <w:qFormat/>
    <w:uiPriority w:val="0"/>
    <w:pPr>
      <w:spacing w:after="120"/>
      <w:ind w:left="420" w:leftChars="200"/>
    </w:pPr>
  </w:style>
  <w:style w:type="paragraph" w:styleId="32">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103"/>
    <w:qFormat/>
    <w:uiPriority w:val="0"/>
    <w:pPr>
      <w:widowControl/>
      <w:adjustRightInd/>
      <w:ind w:firstLine="200" w:firstLineChars="200"/>
      <w:jc w:val="left"/>
    </w:pPr>
    <w:rPr>
      <w:rFonts w:ascii="宋体" w:hAnsi="宋体" w:eastAsiaTheme="minorEastAsia" w:cstheme="minorBidi"/>
      <w:i/>
      <w:iCs/>
      <w:sz w:val="24"/>
    </w:rPr>
  </w:style>
  <w:style w:type="paragraph" w:styleId="37">
    <w:name w:val="index 4"/>
    <w:basedOn w:val="1"/>
    <w:next w:val="1"/>
    <w:qFormat/>
    <w:uiPriority w:val="0"/>
    <w:pPr>
      <w:widowControl/>
      <w:adjustRightInd/>
      <w:ind w:left="960" w:hanging="240"/>
      <w:jc w:val="left"/>
    </w:pPr>
    <w:rPr>
      <w:rFonts w:ascii="仿宋_GB2312" w:eastAsia="仿宋_GB2312"/>
      <w:kern w:val="0"/>
      <w:sz w:val="24"/>
      <w:szCs w:val="28"/>
    </w:rPr>
  </w:style>
  <w:style w:type="paragraph" w:styleId="38">
    <w:name w:val="toc 5"/>
    <w:basedOn w:val="1"/>
    <w:next w:val="1"/>
    <w:qFormat/>
    <w:uiPriority w:val="0"/>
    <w:pPr>
      <w:ind w:left="1680" w:leftChars="800"/>
    </w:pPr>
  </w:style>
  <w:style w:type="paragraph" w:styleId="39">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40">
    <w:name w:val="Plain Text"/>
    <w:basedOn w:val="1"/>
    <w:link w:val="437"/>
    <w:qFormat/>
    <w:uiPriority w:val="0"/>
    <w:rPr>
      <w:rFonts w:ascii="宋体" w:hAnsi="Courier New" w:cs="Arial"/>
      <w:snapToGrid w:val="0"/>
      <w:szCs w:val="21"/>
    </w:rPr>
  </w:style>
  <w:style w:type="paragraph" w:styleId="41">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2">
    <w:name w:val="toc 8"/>
    <w:basedOn w:val="1"/>
    <w:next w:val="1"/>
    <w:qFormat/>
    <w:uiPriority w:val="0"/>
    <w:pPr>
      <w:ind w:left="2940" w:leftChars="1400"/>
    </w:pPr>
  </w:style>
  <w:style w:type="paragraph" w:styleId="43">
    <w:name w:val="index 3"/>
    <w:basedOn w:val="1"/>
    <w:next w:val="1"/>
    <w:qFormat/>
    <w:uiPriority w:val="0"/>
    <w:pPr>
      <w:widowControl/>
      <w:adjustRightInd/>
      <w:ind w:left="720" w:hanging="240"/>
      <w:jc w:val="left"/>
    </w:pPr>
    <w:rPr>
      <w:rFonts w:ascii="仿宋_GB2312" w:eastAsia="仿宋_GB2312"/>
      <w:kern w:val="0"/>
      <w:sz w:val="24"/>
      <w:szCs w:val="28"/>
    </w:rPr>
  </w:style>
  <w:style w:type="paragraph" w:styleId="44">
    <w:name w:val="Date"/>
    <w:basedOn w:val="1"/>
    <w:next w:val="1"/>
    <w:link w:val="438"/>
    <w:qFormat/>
    <w:uiPriority w:val="0"/>
    <w:pPr>
      <w:ind w:left="100" w:leftChars="2500"/>
    </w:pPr>
    <w:rPr>
      <w:rFonts w:ascii="宋体" w:hAnsiTheme="minorHAnsi" w:eastAsiaTheme="minorEastAsia" w:cstheme="minorBidi"/>
      <w:sz w:val="24"/>
      <w:szCs w:val="21"/>
      <w:lang w:val="zh-CN"/>
    </w:rPr>
  </w:style>
  <w:style w:type="paragraph" w:styleId="45">
    <w:name w:val="Body Text Indent 2"/>
    <w:basedOn w:val="1"/>
    <w:link w:val="406"/>
    <w:qFormat/>
    <w:uiPriority w:val="0"/>
    <w:pPr>
      <w:spacing w:line="360" w:lineRule="auto"/>
      <w:ind w:firstLine="601"/>
      <w:textAlignment w:val="baseline"/>
    </w:pPr>
    <w:rPr>
      <w:rFonts w:ascii="宋体" w:hAnsiTheme="minorHAnsi" w:eastAsiaTheme="minorEastAsia" w:cstheme="minorBidi"/>
      <w:sz w:val="28"/>
      <w:szCs w:val="22"/>
    </w:rPr>
  </w:style>
  <w:style w:type="paragraph" w:styleId="46">
    <w:name w:val="endnote text"/>
    <w:basedOn w:val="1"/>
    <w:link w:val="242"/>
    <w:qFormat/>
    <w:uiPriority w:val="0"/>
    <w:rPr>
      <w:rFonts w:asciiTheme="minorHAnsi" w:hAnsiTheme="minorHAnsi" w:eastAsiaTheme="minorEastAsia" w:cstheme="minorBidi"/>
      <w:lang w:val="zh-CN"/>
    </w:rPr>
  </w:style>
  <w:style w:type="paragraph" w:styleId="47">
    <w:name w:val="Balloon Text"/>
    <w:basedOn w:val="1"/>
    <w:link w:val="375"/>
    <w:qFormat/>
    <w:uiPriority w:val="0"/>
    <w:rPr>
      <w:rFonts w:asciiTheme="minorHAnsi" w:hAnsiTheme="minorHAnsi" w:eastAsiaTheme="minorEastAsia" w:cstheme="minorBidi"/>
      <w:sz w:val="18"/>
      <w:szCs w:val="18"/>
    </w:rPr>
  </w:style>
  <w:style w:type="paragraph" w:styleId="48">
    <w:name w:val="footer"/>
    <w:basedOn w:val="1"/>
    <w:link w:val="425"/>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9">
    <w:name w:val="header"/>
    <w:basedOn w:val="1"/>
    <w:link w:val="376"/>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0">
    <w:name w:val="Signature"/>
    <w:basedOn w:val="1"/>
    <w:link w:val="161"/>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51">
    <w:name w:val="toc 1"/>
    <w:basedOn w:val="1"/>
    <w:next w:val="1"/>
    <w:qFormat/>
    <w:uiPriority w:val="0"/>
  </w:style>
  <w:style w:type="paragraph" w:styleId="52">
    <w:name w:val="toc 4"/>
    <w:basedOn w:val="1"/>
    <w:next w:val="1"/>
    <w:qFormat/>
    <w:uiPriority w:val="0"/>
    <w:pPr>
      <w:ind w:left="1260" w:leftChars="600"/>
    </w:pPr>
  </w:style>
  <w:style w:type="paragraph" w:styleId="53">
    <w:name w:val="index heading"/>
    <w:basedOn w:val="1"/>
    <w:next w:val="54"/>
    <w:qFormat/>
    <w:uiPriority w:val="0"/>
    <w:pPr>
      <w:adjustRightInd/>
      <w:ind w:firstLine="200" w:firstLineChars="200"/>
    </w:pPr>
  </w:style>
  <w:style w:type="paragraph" w:styleId="54">
    <w:name w:val="index 1"/>
    <w:basedOn w:val="1"/>
    <w:next w:val="1"/>
    <w:unhideWhenUsed/>
    <w:qFormat/>
    <w:uiPriority w:val="0"/>
  </w:style>
  <w:style w:type="paragraph" w:styleId="55">
    <w:name w:val="Subtitle"/>
    <w:link w:val="346"/>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56">
    <w:name w:val="List Number 5"/>
    <w:basedOn w:val="1"/>
    <w:qFormat/>
    <w:uiPriority w:val="0"/>
    <w:pPr>
      <w:tabs>
        <w:tab w:val="left" w:pos="902"/>
      </w:tabs>
      <w:adjustRightInd/>
      <w:spacing w:line="400" w:lineRule="exact"/>
      <w:ind w:left="902" w:hanging="420"/>
    </w:pPr>
    <w:rPr>
      <w:sz w:val="24"/>
      <w:szCs w:val="20"/>
    </w:rPr>
  </w:style>
  <w:style w:type="paragraph" w:styleId="57">
    <w:name w:val="footnote text"/>
    <w:basedOn w:val="8"/>
    <w:link w:val="416"/>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8">
    <w:name w:val="List 5"/>
    <w:basedOn w:val="1"/>
    <w:qFormat/>
    <w:uiPriority w:val="0"/>
    <w:pPr>
      <w:adjustRightInd/>
      <w:ind w:left="100" w:leftChars="800" w:hanging="200" w:hangingChars="200"/>
    </w:pPr>
  </w:style>
  <w:style w:type="paragraph" w:styleId="59">
    <w:name w:val="Body Text Indent 3"/>
    <w:basedOn w:val="1"/>
    <w:link w:val="281"/>
    <w:qFormat/>
    <w:uiPriority w:val="0"/>
    <w:pPr>
      <w:spacing w:line="360" w:lineRule="auto"/>
      <w:ind w:firstLine="420"/>
    </w:pPr>
    <w:rPr>
      <w:rFonts w:asciiTheme="minorHAnsi" w:hAnsiTheme="minorHAnsi" w:eastAsiaTheme="minorEastAsia" w:cstheme="minorBidi"/>
      <w:sz w:val="24"/>
      <w:szCs w:val="22"/>
    </w:rPr>
  </w:style>
  <w:style w:type="paragraph" w:styleId="60">
    <w:name w:val="index 7"/>
    <w:basedOn w:val="1"/>
    <w:next w:val="1"/>
    <w:qFormat/>
    <w:uiPriority w:val="0"/>
    <w:pPr>
      <w:widowControl/>
      <w:adjustRightInd/>
      <w:ind w:left="1680" w:hanging="240"/>
      <w:jc w:val="left"/>
    </w:pPr>
    <w:rPr>
      <w:rFonts w:ascii="仿宋_GB2312" w:eastAsia="仿宋_GB2312"/>
      <w:kern w:val="0"/>
      <w:sz w:val="24"/>
      <w:szCs w:val="28"/>
    </w:rPr>
  </w:style>
  <w:style w:type="paragraph" w:styleId="61">
    <w:name w:val="index 9"/>
    <w:basedOn w:val="1"/>
    <w:next w:val="1"/>
    <w:qFormat/>
    <w:uiPriority w:val="0"/>
    <w:pPr>
      <w:widowControl/>
      <w:adjustRightInd/>
      <w:ind w:left="2160" w:hanging="240"/>
      <w:jc w:val="left"/>
    </w:pPr>
    <w:rPr>
      <w:rFonts w:ascii="仿宋_GB2312" w:eastAsia="仿宋_GB2312"/>
      <w:kern w:val="0"/>
      <w:sz w:val="24"/>
      <w:szCs w:val="28"/>
    </w:rPr>
  </w:style>
  <w:style w:type="paragraph" w:styleId="62">
    <w:name w:val="table of figures"/>
    <w:basedOn w:val="1"/>
    <w:next w:val="1"/>
    <w:qFormat/>
    <w:uiPriority w:val="0"/>
    <w:pPr>
      <w:widowControl/>
      <w:adjustRightInd/>
      <w:ind w:left="480" w:hanging="480"/>
      <w:jc w:val="left"/>
    </w:pPr>
    <w:rPr>
      <w:rFonts w:ascii="仿宋_GB2312" w:eastAsia="仿宋_GB2312"/>
      <w:kern w:val="0"/>
      <w:sz w:val="24"/>
      <w:szCs w:val="28"/>
    </w:rPr>
  </w:style>
  <w:style w:type="paragraph" w:styleId="63">
    <w:name w:val="toc 2"/>
    <w:basedOn w:val="1"/>
    <w:next w:val="1"/>
    <w:qFormat/>
    <w:uiPriority w:val="0"/>
    <w:pPr>
      <w:ind w:left="420" w:leftChars="200"/>
    </w:pPr>
  </w:style>
  <w:style w:type="paragraph" w:styleId="64">
    <w:name w:val="toc 9"/>
    <w:basedOn w:val="1"/>
    <w:next w:val="1"/>
    <w:qFormat/>
    <w:uiPriority w:val="0"/>
    <w:pPr>
      <w:ind w:left="3360" w:leftChars="1600"/>
    </w:pPr>
  </w:style>
  <w:style w:type="paragraph" w:styleId="65">
    <w:name w:val="Body Text 2"/>
    <w:basedOn w:val="1"/>
    <w:link w:val="214"/>
    <w:qFormat/>
    <w:uiPriority w:val="0"/>
    <w:pPr>
      <w:spacing w:after="120" w:line="480" w:lineRule="auto"/>
    </w:pPr>
    <w:rPr>
      <w:rFonts w:asciiTheme="minorHAnsi" w:hAnsiTheme="minorHAnsi" w:eastAsiaTheme="minorEastAsia" w:cstheme="minorBidi"/>
    </w:rPr>
  </w:style>
  <w:style w:type="paragraph" w:styleId="66">
    <w:name w:val="HTML Preformatted"/>
    <w:basedOn w:val="1"/>
    <w:link w:val="2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67">
    <w:name w:val="Normal (Web)"/>
    <w:basedOn w:val="1"/>
    <w:qFormat/>
    <w:uiPriority w:val="99"/>
    <w:pPr>
      <w:widowControl/>
      <w:spacing w:before="100" w:beforeAutospacing="1" w:after="100" w:afterAutospacing="1"/>
      <w:jc w:val="left"/>
    </w:pPr>
    <w:rPr>
      <w:rFonts w:ascii="宋体" w:hAnsi="宋体"/>
      <w:kern w:val="0"/>
      <w:sz w:val="24"/>
    </w:rPr>
  </w:style>
  <w:style w:type="paragraph" w:styleId="68">
    <w:name w:val="index 2"/>
    <w:basedOn w:val="1"/>
    <w:next w:val="1"/>
    <w:qFormat/>
    <w:uiPriority w:val="0"/>
    <w:pPr>
      <w:widowControl/>
      <w:adjustRightInd/>
      <w:ind w:left="480" w:hanging="240"/>
      <w:jc w:val="left"/>
    </w:pPr>
    <w:rPr>
      <w:rFonts w:ascii="仿宋_GB2312" w:eastAsia="仿宋_GB2312"/>
      <w:kern w:val="0"/>
      <w:sz w:val="24"/>
      <w:szCs w:val="28"/>
    </w:rPr>
  </w:style>
  <w:style w:type="paragraph" w:styleId="69">
    <w:name w:val="Title"/>
    <w:basedOn w:val="1"/>
    <w:link w:val="203"/>
    <w:qFormat/>
    <w:uiPriority w:val="10"/>
    <w:pPr>
      <w:widowControl/>
      <w:overflowPunct w:val="0"/>
      <w:autoSpaceDE w:val="0"/>
      <w:autoSpaceDN w:val="0"/>
      <w:jc w:val="center"/>
      <w:textAlignment w:val="baseline"/>
    </w:pPr>
    <w:rPr>
      <w:rFonts w:asciiTheme="minorHAnsi" w:hAnsiTheme="minorHAnsi" w:eastAsiaTheme="minorEastAsia" w:cstheme="minorBidi"/>
      <w:b/>
      <w:sz w:val="24"/>
      <w:szCs w:val="22"/>
      <w:lang w:val="en-GB"/>
    </w:rPr>
  </w:style>
  <w:style w:type="paragraph" w:styleId="70">
    <w:name w:val="annotation subject"/>
    <w:basedOn w:val="26"/>
    <w:next w:val="26"/>
    <w:link w:val="372"/>
    <w:qFormat/>
    <w:uiPriority w:val="0"/>
    <w:rPr>
      <w:b/>
      <w:bCs/>
    </w:rPr>
  </w:style>
  <w:style w:type="paragraph" w:styleId="71">
    <w:name w:val="Body Text First Indent 2"/>
    <w:basedOn w:val="31"/>
    <w:link w:val="174"/>
    <w:qFormat/>
    <w:uiPriority w:val="0"/>
    <w:pPr>
      <w:adjustRightInd/>
      <w:ind w:firstLine="210" w:firstLineChars="200"/>
    </w:pPr>
    <w:rPr>
      <w:rFonts w:ascii="宋体" w:hAnsi="宋体" w:eastAsiaTheme="minorEastAsia" w:cstheme="minorBidi"/>
    </w:rPr>
  </w:style>
  <w:style w:type="table" w:styleId="73">
    <w:name w:val="Table Grid"/>
    <w:basedOn w:val="72"/>
    <w:qFormat/>
    <w:uiPriority w:val="39"/>
    <w:pPr>
      <w:widowControl w:val="0"/>
      <w:jc w:val="both"/>
    </w:pPr>
    <w:rPr>
      <w:rFonts w:hint="eastAsia"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4">
    <w:name w:val="Table Theme"/>
    <w:basedOn w:val="72"/>
    <w:qFormat/>
    <w:uiPriority w:val="0"/>
    <w:rPr>
      <w:rFonts w:hint="eastAsia"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5">
    <w:name w:val="Table Elegant"/>
    <w:basedOn w:val="72"/>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6">
    <w:name w:val="Table Grid 5"/>
    <w:basedOn w:val="72"/>
    <w:qFormat/>
    <w:uiPriority w:val="0"/>
    <w:pPr>
      <w:widowControl w:val="0"/>
      <w:jc w:val="both"/>
    </w:pPr>
    <w:rPr>
      <w:rFonts w:hint="eastAsia" w:ascii="等线" w:hAnsi="等线" w:eastAsia="等线" w:cs="等线"/>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7">
    <w:name w:val="Table Grid 8"/>
    <w:basedOn w:val="72"/>
    <w:qFormat/>
    <w:uiPriority w:val="0"/>
    <w:pPr>
      <w:widowControl w:val="0"/>
      <w:jc w:val="both"/>
    </w:pPr>
    <w:rPr>
      <w:rFonts w:hint="eastAsia" w:ascii="等线" w:hAnsi="等线" w:eastAsia="等线" w:cs="等线"/>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8">
    <w:name w:val="Table Professional"/>
    <w:basedOn w:val="72"/>
    <w:qFormat/>
    <w:uiPriority w:val="0"/>
    <w:pPr>
      <w:widowControl w:val="0"/>
      <w:jc w:val="both"/>
    </w:pPr>
    <w:rPr>
      <w:rFonts w:hint="eastAsia" w:ascii="等线" w:hAnsi="等线" w:eastAsia="等线" w:cs="等线"/>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80">
    <w:name w:val="Strong"/>
    <w:qFormat/>
    <w:uiPriority w:val="0"/>
    <w:rPr>
      <w:b/>
      <w:bCs/>
    </w:rPr>
  </w:style>
  <w:style w:type="character" w:styleId="81">
    <w:name w:val="endnote reference"/>
    <w:qFormat/>
    <w:uiPriority w:val="0"/>
    <w:rPr>
      <w:vertAlign w:val="superscript"/>
    </w:rPr>
  </w:style>
  <w:style w:type="character" w:styleId="82">
    <w:name w:val="page number"/>
    <w:qFormat/>
    <w:uiPriority w:val="0"/>
    <w:rPr>
      <w:rFonts w:ascii="Arial" w:hAnsi="Arial" w:eastAsia="黑体" w:cs="Arial"/>
      <w:snapToGrid w:val="0"/>
      <w:kern w:val="0"/>
      <w:szCs w:val="21"/>
    </w:rPr>
  </w:style>
  <w:style w:type="character" w:styleId="83">
    <w:name w:val="FollowedHyperlink"/>
    <w:qFormat/>
    <w:uiPriority w:val="99"/>
    <w:rPr>
      <w:rFonts w:ascii="Arial" w:hAnsi="Arial" w:eastAsia="黑体" w:cs="Arial"/>
      <w:snapToGrid w:val="0"/>
      <w:color w:val="000000"/>
      <w:kern w:val="0"/>
      <w:sz w:val="18"/>
      <w:szCs w:val="18"/>
      <w:u w:val="none"/>
    </w:rPr>
  </w:style>
  <w:style w:type="character" w:styleId="84">
    <w:name w:val="Emphasis"/>
    <w:qFormat/>
    <w:uiPriority w:val="20"/>
    <w:rPr>
      <w:color w:val="CC0033"/>
    </w:rPr>
  </w:style>
  <w:style w:type="character" w:styleId="85">
    <w:name w:val="line number"/>
    <w:qFormat/>
    <w:uiPriority w:val="0"/>
    <w:rPr>
      <w:rFonts w:ascii="Arial" w:hAnsi="Arial" w:eastAsia="黑体" w:cs="Arial"/>
      <w:snapToGrid w:val="0"/>
      <w:kern w:val="0"/>
      <w:szCs w:val="21"/>
    </w:rPr>
  </w:style>
  <w:style w:type="character" w:styleId="86">
    <w:name w:val="Hyperlink"/>
    <w:qFormat/>
    <w:uiPriority w:val="0"/>
    <w:rPr>
      <w:rFonts w:ascii="Arial" w:hAnsi="Arial" w:eastAsia="黑体" w:cs="Arial"/>
      <w:snapToGrid w:val="0"/>
      <w:color w:val="000000"/>
      <w:kern w:val="0"/>
      <w:sz w:val="18"/>
      <w:szCs w:val="18"/>
      <w:u w:val="none"/>
    </w:rPr>
  </w:style>
  <w:style w:type="character" w:styleId="87">
    <w:name w:val="HTML Code"/>
    <w:qFormat/>
    <w:uiPriority w:val="0"/>
    <w:rPr>
      <w:rFonts w:ascii="黑体" w:hAnsi="Courier New" w:eastAsia="黑体" w:cs="楷体_GB2312"/>
      <w:sz w:val="20"/>
      <w:szCs w:val="20"/>
    </w:rPr>
  </w:style>
  <w:style w:type="character" w:styleId="88">
    <w:name w:val="annotation reference"/>
    <w:qFormat/>
    <w:uiPriority w:val="99"/>
    <w:rPr>
      <w:sz w:val="21"/>
      <w:szCs w:val="21"/>
    </w:rPr>
  </w:style>
  <w:style w:type="character" w:customStyle="1" w:styleId="89">
    <w:name w:val="标题 1 字符"/>
    <w:basedOn w:val="79"/>
    <w:qFormat/>
    <w:uiPriority w:val="9"/>
    <w:rPr>
      <w:rFonts w:ascii="Times New Roman" w:hAnsi="Times New Roman" w:eastAsia="宋体" w:cs="Times New Roman"/>
      <w:b/>
      <w:bCs/>
      <w:kern w:val="44"/>
      <w:sz w:val="44"/>
      <w:szCs w:val="44"/>
    </w:rPr>
  </w:style>
  <w:style w:type="character" w:customStyle="1" w:styleId="90">
    <w:name w:val="标题 2 字符"/>
    <w:basedOn w:val="79"/>
    <w:qFormat/>
    <w:uiPriority w:val="1"/>
    <w:rPr>
      <w:rFonts w:asciiTheme="majorHAnsi" w:hAnsiTheme="majorHAnsi" w:eastAsiaTheme="majorEastAsia" w:cstheme="majorBidi"/>
      <w:b/>
      <w:bCs/>
      <w:sz w:val="32"/>
      <w:szCs w:val="32"/>
    </w:rPr>
  </w:style>
  <w:style w:type="character" w:customStyle="1" w:styleId="91">
    <w:name w:val="标题 3 字符"/>
    <w:basedOn w:val="79"/>
    <w:qFormat/>
    <w:uiPriority w:val="9"/>
    <w:rPr>
      <w:rFonts w:ascii="Times New Roman" w:hAnsi="Times New Roman" w:eastAsia="宋体" w:cs="Times New Roman"/>
      <w:b/>
      <w:bCs/>
      <w:sz w:val="32"/>
      <w:szCs w:val="32"/>
    </w:rPr>
  </w:style>
  <w:style w:type="character" w:customStyle="1" w:styleId="92">
    <w:name w:val="标题 4 字符"/>
    <w:basedOn w:val="79"/>
    <w:qFormat/>
    <w:uiPriority w:val="9"/>
    <w:rPr>
      <w:rFonts w:asciiTheme="majorHAnsi" w:hAnsiTheme="majorHAnsi" w:eastAsiaTheme="majorEastAsia" w:cstheme="majorBidi"/>
      <w:b/>
      <w:bCs/>
      <w:sz w:val="28"/>
      <w:szCs w:val="28"/>
    </w:rPr>
  </w:style>
  <w:style w:type="character" w:customStyle="1" w:styleId="93">
    <w:name w:val="标题 5 Char"/>
    <w:basedOn w:val="79"/>
    <w:link w:val="10"/>
    <w:qFormat/>
    <w:uiPriority w:val="0"/>
    <w:rPr>
      <w:rFonts w:ascii="Times New Roman" w:hAnsi="Times New Roman" w:eastAsia="宋体" w:cs="Times New Roman"/>
      <w:b/>
      <w:bCs/>
      <w:sz w:val="28"/>
      <w:szCs w:val="28"/>
    </w:rPr>
  </w:style>
  <w:style w:type="character" w:customStyle="1" w:styleId="94">
    <w:name w:val="标题 6 Char"/>
    <w:basedOn w:val="79"/>
    <w:link w:val="11"/>
    <w:qFormat/>
    <w:uiPriority w:val="0"/>
    <w:rPr>
      <w:rFonts w:ascii="Arial" w:hAnsi="Arial" w:eastAsia="黑体" w:cs="Times New Roman"/>
      <w:b/>
      <w:bCs/>
      <w:sz w:val="24"/>
      <w:szCs w:val="24"/>
    </w:rPr>
  </w:style>
  <w:style w:type="character" w:customStyle="1" w:styleId="95">
    <w:name w:val="标题 7 Char"/>
    <w:basedOn w:val="79"/>
    <w:link w:val="12"/>
    <w:qFormat/>
    <w:uiPriority w:val="0"/>
    <w:rPr>
      <w:rFonts w:ascii="Times New Roman" w:hAnsi="Times New Roman" w:eastAsia="宋体" w:cs="Times New Roman"/>
      <w:b/>
      <w:bCs/>
      <w:sz w:val="24"/>
      <w:szCs w:val="24"/>
    </w:rPr>
  </w:style>
  <w:style w:type="character" w:customStyle="1" w:styleId="96">
    <w:name w:val="标题 8 Char"/>
    <w:basedOn w:val="79"/>
    <w:link w:val="13"/>
    <w:qFormat/>
    <w:uiPriority w:val="0"/>
    <w:rPr>
      <w:rFonts w:ascii="Arial" w:hAnsi="Arial" w:eastAsia="黑体" w:cs="Times New Roman"/>
      <w:sz w:val="24"/>
      <w:szCs w:val="24"/>
    </w:rPr>
  </w:style>
  <w:style w:type="character" w:customStyle="1" w:styleId="97">
    <w:name w:val="标题 9 Char"/>
    <w:basedOn w:val="79"/>
    <w:link w:val="14"/>
    <w:qFormat/>
    <w:uiPriority w:val="0"/>
    <w:rPr>
      <w:rFonts w:ascii="Arial" w:hAnsi="Arial" w:eastAsia="黑体" w:cs="Times New Roman"/>
      <w:szCs w:val="21"/>
    </w:rPr>
  </w:style>
  <w:style w:type="character" w:customStyle="1" w:styleId="98">
    <w:name w:val="冯 Char"/>
    <w:link w:val="99"/>
    <w:qFormat/>
    <w:uiPriority w:val="0"/>
    <w:rPr>
      <w:rFonts w:ascii="宋体" w:hAnsi="宋体"/>
      <w:color w:val="000000"/>
      <w:sz w:val="24"/>
      <w:szCs w:val="24"/>
    </w:rPr>
  </w:style>
  <w:style w:type="paragraph" w:customStyle="1" w:styleId="99">
    <w:name w:val="冯"/>
    <w:basedOn w:val="1"/>
    <w:link w:val="98"/>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100">
    <w:name w:val="case31"/>
    <w:qFormat/>
    <w:uiPriority w:val="0"/>
    <w:rPr>
      <w:rFonts w:hint="default"/>
      <w:sz w:val="21"/>
      <w:szCs w:val="21"/>
    </w:rPr>
  </w:style>
  <w:style w:type="character" w:customStyle="1" w:styleId="101">
    <w:name w:val="公文正文 Char Char"/>
    <w:link w:val="102"/>
    <w:qFormat/>
    <w:uiPriority w:val="0"/>
    <w:rPr>
      <w:rFonts w:ascii="仿宋_GB2312" w:eastAsia="仿宋_GB2312"/>
      <w:sz w:val="24"/>
      <w:szCs w:val="24"/>
    </w:rPr>
  </w:style>
  <w:style w:type="paragraph" w:customStyle="1" w:styleId="102">
    <w:name w:val="公文正文"/>
    <w:basedOn w:val="1"/>
    <w:link w:val="101"/>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103">
    <w:name w:val="HTML 地址 Char"/>
    <w:link w:val="36"/>
    <w:qFormat/>
    <w:uiPriority w:val="0"/>
    <w:rPr>
      <w:rFonts w:ascii="宋体" w:hAnsi="宋体"/>
      <w:i/>
      <w:iCs/>
      <w:sz w:val="24"/>
      <w:szCs w:val="24"/>
    </w:rPr>
  </w:style>
  <w:style w:type="character" w:customStyle="1" w:styleId="104">
    <w:name w:val="正文缩进 Char3"/>
    <w:qFormat/>
    <w:uiPriority w:val="0"/>
    <w:rPr>
      <w:rFonts w:ascii="宋体" w:eastAsia="宋体"/>
      <w:snapToGrid w:val="0"/>
      <w:color w:val="000000"/>
      <w:kern w:val="28"/>
      <w:sz w:val="28"/>
      <w:lang w:val="en-US" w:eastAsia="zh-CN" w:bidi="ar-SA"/>
    </w:rPr>
  </w:style>
  <w:style w:type="character" w:customStyle="1" w:styleId="105">
    <w:name w:val="16"/>
    <w:qFormat/>
    <w:uiPriority w:val="0"/>
    <w:rPr>
      <w:rFonts w:hint="eastAsia" w:ascii="宋体" w:hAnsi="宋体" w:eastAsia="宋体"/>
      <w:color w:val="000000"/>
      <w:sz w:val="20"/>
      <w:szCs w:val="20"/>
    </w:rPr>
  </w:style>
  <w:style w:type="character" w:customStyle="1" w:styleId="106">
    <w:name w:val="hui3"/>
    <w:qFormat/>
    <w:uiPriority w:val="0"/>
    <w:rPr>
      <w:color w:val="333333"/>
    </w:rPr>
  </w:style>
  <w:style w:type="character" w:customStyle="1" w:styleId="107">
    <w:name w:val="页眉 Char1"/>
    <w:qFormat/>
    <w:uiPriority w:val="0"/>
    <w:rPr>
      <w:rFonts w:eastAsia="宋体"/>
      <w:kern w:val="2"/>
      <w:sz w:val="18"/>
      <w:szCs w:val="18"/>
      <w:lang w:val="en-US" w:eastAsia="zh-CN" w:bidi="ar-SA"/>
    </w:rPr>
  </w:style>
  <w:style w:type="character" w:customStyle="1" w:styleId="108">
    <w:name w:val="Char Char16"/>
    <w:qFormat/>
    <w:uiPriority w:val="6"/>
    <w:rPr>
      <w:kern w:val="1"/>
      <w:sz w:val="18"/>
      <w:szCs w:val="18"/>
    </w:rPr>
  </w:style>
  <w:style w:type="character" w:customStyle="1" w:styleId="109">
    <w:name w:val="哈哈正文 Char Char"/>
    <w:qFormat/>
    <w:uiPriority w:val="0"/>
    <w:rPr>
      <w:rFonts w:ascii="宋体" w:hAnsi="宋体" w:eastAsia="宋体" w:cs="宋体"/>
      <w:kern w:val="2"/>
      <w:sz w:val="24"/>
      <w:lang w:val="en-US" w:eastAsia="zh-CN" w:bidi="ar-SA"/>
    </w:rPr>
  </w:style>
  <w:style w:type="character" w:customStyle="1" w:styleId="110">
    <w:name w:val="文本正文 Char Char"/>
    <w:qFormat/>
    <w:locked/>
    <w:uiPriority w:val="0"/>
    <w:rPr>
      <w:sz w:val="24"/>
      <w:lang w:bidi="ar-SA"/>
    </w:rPr>
  </w:style>
  <w:style w:type="character" w:customStyle="1" w:styleId="111">
    <w:name w:val="*正文 Char"/>
    <w:link w:val="112"/>
    <w:qFormat/>
    <w:locked/>
    <w:uiPriority w:val="0"/>
    <w:rPr>
      <w:rFonts w:ascii="宋体" w:hAnsi="宋体"/>
      <w:sz w:val="24"/>
    </w:rPr>
  </w:style>
  <w:style w:type="paragraph" w:customStyle="1" w:styleId="112">
    <w:name w:val="*正文"/>
    <w:basedOn w:val="1"/>
    <w:link w:val="111"/>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113">
    <w:name w:val="正文非缩进 Char"/>
    <w:qFormat/>
    <w:uiPriority w:val="0"/>
    <w:rPr>
      <w:rFonts w:ascii="宋体" w:eastAsia="宋体"/>
      <w:snapToGrid w:val="0"/>
      <w:color w:val="000000"/>
      <w:kern w:val="28"/>
      <w:sz w:val="28"/>
      <w:lang w:val="en-US" w:eastAsia="zh-CN" w:bidi="ar-SA"/>
    </w:rPr>
  </w:style>
  <w:style w:type="character" w:customStyle="1" w:styleId="114">
    <w:name w:val="Char Char17"/>
    <w:qFormat/>
    <w:uiPriority w:val="6"/>
    <w:rPr>
      <w:rFonts w:eastAsia="仿宋_GB2312"/>
      <w:sz w:val="24"/>
    </w:rPr>
  </w:style>
  <w:style w:type="character" w:customStyle="1" w:styleId="115">
    <w:name w:val="Char Char31"/>
    <w:qFormat/>
    <w:uiPriority w:val="6"/>
    <w:rPr>
      <w:rFonts w:ascii="Arial" w:hAnsi="Arial" w:eastAsia="黑体"/>
      <w:kern w:val="1"/>
      <w:sz w:val="24"/>
      <w:szCs w:val="24"/>
    </w:rPr>
  </w:style>
  <w:style w:type="character" w:customStyle="1" w:styleId="116">
    <w:name w:val="页眉 字符1"/>
    <w:qFormat/>
    <w:uiPriority w:val="99"/>
    <w:rPr>
      <w:kern w:val="2"/>
      <w:sz w:val="18"/>
      <w:szCs w:val="18"/>
    </w:rPr>
  </w:style>
  <w:style w:type="character" w:customStyle="1" w:styleId="117">
    <w:name w:val="带编号样式 Char"/>
    <w:qFormat/>
    <w:uiPriority w:val="0"/>
    <w:rPr>
      <w:rFonts w:ascii="仿宋_GB2312" w:eastAsia="仿宋_GB2312"/>
      <w:color w:val="000000"/>
      <w:sz w:val="24"/>
      <w:lang w:bidi="ar-SA"/>
    </w:rPr>
  </w:style>
  <w:style w:type="character" w:customStyle="1" w:styleId="118">
    <w:name w:val="普通文字 Char Char1"/>
    <w:qFormat/>
    <w:uiPriority w:val="0"/>
    <w:rPr>
      <w:rFonts w:ascii="宋体" w:hAnsi="Courier New"/>
      <w:kern w:val="2"/>
      <w:sz w:val="21"/>
    </w:rPr>
  </w:style>
  <w:style w:type="character" w:customStyle="1" w:styleId="119">
    <w:name w:val="question-title2"/>
    <w:qFormat/>
    <w:uiPriority w:val="6"/>
    <w:rPr>
      <w:rFonts w:ascii="Arial" w:hAnsi="Arial" w:eastAsia="黑体" w:cs="Arial"/>
      <w:snapToGrid w:val="0"/>
      <w:kern w:val="0"/>
      <w:szCs w:val="21"/>
    </w:rPr>
  </w:style>
  <w:style w:type="character" w:customStyle="1" w:styleId="120">
    <w:name w:val="正文2 Char"/>
    <w:qFormat/>
    <w:uiPriority w:val="0"/>
    <w:rPr>
      <w:rFonts w:eastAsia="宋体"/>
      <w:kern w:val="2"/>
      <w:sz w:val="24"/>
      <w:lang w:val="en-US" w:eastAsia="zh-CN" w:bidi="ar-SA"/>
    </w:rPr>
  </w:style>
  <w:style w:type="character" w:customStyle="1" w:styleId="121">
    <w:name w:val="插图说明 Char"/>
    <w:qFormat/>
    <w:uiPriority w:val="0"/>
    <w:rPr>
      <w:rFonts w:eastAsia="黑体"/>
      <w:sz w:val="24"/>
      <w:lang w:val="en-US" w:eastAsia="zh-CN"/>
    </w:rPr>
  </w:style>
  <w:style w:type="character" w:customStyle="1" w:styleId="122">
    <w:name w:val="Char Char24"/>
    <w:qFormat/>
    <w:uiPriority w:val="6"/>
    <w:rPr>
      <w:kern w:val="1"/>
      <w:sz w:val="21"/>
    </w:rPr>
  </w:style>
  <w:style w:type="character" w:customStyle="1" w:styleId="123">
    <w:name w:val="标书正文格式 Char Char"/>
    <w:link w:val="124"/>
    <w:qFormat/>
    <w:uiPriority w:val="0"/>
    <w:rPr>
      <w:rFonts w:eastAsia="楷体_GB2312"/>
      <w:sz w:val="24"/>
      <w:szCs w:val="24"/>
    </w:rPr>
  </w:style>
  <w:style w:type="paragraph" w:customStyle="1" w:styleId="124">
    <w:name w:val="标书正文格式"/>
    <w:link w:val="123"/>
    <w:qFormat/>
    <w:uiPriority w:val="0"/>
    <w:pPr>
      <w:spacing w:line="360" w:lineRule="auto"/>
      <w:ind w:firstLine="200" w:firstLineChars="200"/>
    </w:pPr>
    <w:rPr>
      <w:rFonts w:eastAsia="楷体_GB2312" w:asciiTheme="minorHAnsi" w:hAnsiTheme="minorHAnsi" w:cstheme="minorBidi"/>
      <w:kern w:val="2"/>
      <w:sz w:val="24"/>
      <w:szCs w:val="24"/>
      <w:lang w:val="en-US" w:eastAsia="zh-CN" w:bidi="ar-SA"/>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a-131"/>
    <w:qFormat/>
    <w:uiPriority w:val="0"/>
    <w:rPr>
      <w:rFonts w:hint="eastAsia" w:ascii="仿宋_GB2312" w:eastAsia="仿宋_GB2312"/>
      <w:b/>
      <w:bCs/>
      <w:color w:val="000000"/>
      <w:spacing w:val="-20"/>
      <w:sz w:val="24"/>
      <w:szCs w:val="24"/>
    </w:rPr>
  </w:style>
  <w:style w:type="character" w:customStyle="1" w:styleId="127">
    <w:name w:val="c7 style3"/>
    <w:qFormat/>
    <w:uiPriority w:val="0"/>
  </w:style>
  <w:style w:type="character" w:customStyle="1" w:styleId="128">
    <w:name w:val="Char Char2"/>
    <w:qFormat/>
    <w:uiPriority w:val="0"/>
    <w:rPr>
      <w:rFonts w:eastAsia="宋体"/>
      <w:b/>
      <w:bCs/>
      <w:kern w:val="2"/>
      <w:sz w:val="21"/>
      <w:szCs w:val="24"/>
      <w:lang w:val="en-US" w:eastAsia="zh-CN" w:bidi="ar-SA"/>
    </w:rPr>
  </w:style>
  <w:style w:type="character" w:customStyle="1" w:styleId="129">
    <w:name w:val="Char Char"/>
    <w:qFormat/>
    <w:uiPriority w:val="0"/>
    <w:rPr>
      <w:rFonts w:ascii="宋体" w:hAnsi="Courier New" w:eastAsia="宋体"/>
      <w:kern w:val="2"/>
      <w:sz w:val="21"/>
      <w:lang w:val="en-US" w:eastAsia="zh-CN" w:bidi="ar-SA"/>
    </w:rPr>
  </w:style>
  <w:style w:type="character" w:customStyle="1" w:styleId="130">
    <w:name w:val="Header Char"/>
    <w:qFormat/>
    <w:locked/>
    <w:uiPriority w:val="0"/>
    <w:rPr>
      <w:rFonts w:eastAsia="宋体"/>
      <w:kern w:val="2"/>
      <w:sz w:val="18"/>
      <w:szCs w:val="18"/>
      <w:lang w:val="en-US" w:eastAsia="zh-CN" w:bidi="ar-SA"/>
    </w:rPr>
  </w:style>
  <w:style w:type="character" w:customStyle="1" w:styleId="131">
    <w:name w:val="PI Char1"/>
    <w:qFormat/>
    <w:uiPriority w:val="0"/>
    <w:rPr>
      <w:rFonts w:ascii="宋体" w:hAnsi="宋体"/>
      <w:kern w:val="2"/>
      <w:sz w:val="24"/>
      <w:szCs w:val="24"/>
    </w:rPr>
  </w:style>
  <w:style w:type="character" w:customStyle="1" w:styleId="132">
    <w:name w:val="正文文本缩进 Char"/>
    <w:qFormat/>
    <w:uiPriority w:val="0"/>
    <w:rPr>
      <w:rFonts w:ascii="宋体" w:hAnsi="宋体"/>
      <w:kern w:val="2"/>
      <w:sz w:val="24"/>
      <w:szCs w:val="24"/>
    </w:rPr>
  </w:style>
  <w:style w:type="character" w:customStyle="1" w:styleId="133">
    <w:name w:val="列出段落 Char Char"/>
    <w:qFormat/>
    <w:uiPriority w:val="0"/>
    <w:rPr>
      <w:rFonts w:ascii="Calibri" w:hAnsi="Calibri" w:eastAsia="仿宋_GB2312"/>
      <w:kern w:val="2"/>
      <w:sz w:val="28"/>
      <w:szCs w:val="22"/>
      <w:lang w:val="en-US" w:eastAsia="zh-CN" w:bidi="ar-SA"/>
    </w:rPr>
  </w:style>
  <w:style w:type="character" w:customStyle="1" w:styleId="134">
    <w:name w:val="font71"/>
    <w:qFormat/>
    <w:uiPriority w:val="0"/>
    <w:rPr>
      <w:rFonts w:hint="eastAsia" w:ascii="宋体" w:hAnsi="宋体" w:eastAsia="宋体" w:cs="宋体"/>
      <w:color w:val="000000"/>
      <w:sz w:val="22"/>
      <w:szCs w:val="22"/>
      <w:u w:val="none"/>
    </w:rPr>
  </w:style>
  <w:style w:type="character" w:customStyle="1" w:styleId="135">
    <w:name w:val="正文文本 3 Char1"/>
    <w:semiHidden/>
    <w:qFormat/>
    <w:uiPriority w:val="99"/>
    <w:rPr>
      <w:rFonts w:ascii="Times New Roman" w:hAnsi="Times New Roman" w:eastAsia="宋体" w:cs="Times New Roman"/>
      <w:sz w:val="16"/>
      <w:szCs w:val="16"/>
    </w:rPr>
  </w:style>
  <w:style w:type="character" w:customStyle="1" w:styleId="136">
    <w:name w:val="文字 Char Char"/>
    <w:link w:val="137"/>
    <w:qFormat/>
    <w:uiPriority w:val="0"/>
    <w:rPr>
      <w:rFonts w:ascii="宋体" w:hAnsi="宋体"/>
      <w:sz w:val="28"/>
    </w:rPr>
  </w:style>
  <w:style w:type="paragraph" w:customStyle="1" w:styleId="137">
    <w:name w:val="文字"/>
    <w:basedOn w:val="1"/>
    <w:link w:val="136"/>
    <w:qFormat/>
    <w:uiPriority w:val="0"/>
    <w:pPr>
      <w:tabs>
        <w:tab w:val="left" w:pos="8520"/>
      </w:tabs>
      <w:adjustRightInd/>
      <w:spacing w:line="312" w:lineRule="auto"/>
      <w:ind w:right="-210" w:firstLine="556"/>
    </w:pPr>
    <w:rPr>
      <w:rFonts w:ascii="宋体" w:hAnsi="宋体" w:eastAsiaTheme="minorEastAsia" w:cstheme="minorBidi"/>
      <w:sz w:val="28"/>
      <w:szCs w:val="22"/>
    </w:rPr>
  </w:style>
  <w:style w:type="character" w:customStyle="1" w:styleId="138">
    <w:name w:val="gf正文1 Char Char"/>
    <w:link w:val="139"/>
    <w:qFormat/>
    <w:uiPriority w:val="0"/>
    <w:rPr>
      <w:rFonts w:ascii="宋体" w:hAnsi="宋体" w:cs="宋体"/>
      <w:sz w:val="24"/>
      <w:szCs w:val="24"/>
    </w:rPr>
  </w:style>
  <w:style w:type="paragraph" w:customStyle="1" w:styleId="139">
    <w:name w:val="gf正文1"/>
    <w:basedOn w:val="1"/>
    <w:link w:val="138"/>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140">
    <w:name w:val="Char Char35"/>
    <w:qFormat/>
    <w:uiPriority w:val="6"/>
    <w:rPr>
      <w:rFonts w:ascii="Arial" w:hAnsi="Arial" w:eastAsia="黑体"/>
      <w:b/>
      <w:kern w:val="1"/>
      <w:sz w:val="28"/>
      <w:szCs w:val="28"/>
      <w:lang w:val="zh-CN"/>
    </w:rPr>
  </w:style>
  <w:style w:type="character" w:customStyle="1" w:styleId="141">
    <w:name w:val="段落 Char Char"/>
    <w:link w:val="142"/>
    <w:qFormat/>
    <w:uiPriority w:val="0"/>
    <w:rPr>
      <w:rFonts w:ascii="宋体" w:hAnsi="宋体"/>
      <w:sz w:val="24"/>
    </w:rPr>
  </w:style>
  <w:style w:type="paragraph" w:customStyle="1" w:styleId="142">
    <w:name w:val="段落"/>
    <w:basedOn w:val="1"/>
    <w:link w:val="141"/>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43">
    <w:name w:val="表正文 Char1"/>
    <w:qFormat/>
    <w:uiPriority w:val="0"/>
    <w:rPr>
      <w:rFonts w:ascii="宋体" w:eastAsia="宋体"/>
      <w:snapToGrid w:val="0"/>
      <w:color w:val="000000"/>
      <w:kern w:val="28"/>
      <w:sz w:val="28"/>
    </w:rPr>
  </w:style>
  <w:style w:type="character" w:customStyle="1" w:styleId="144">
    <w:name w:val="shadow11"/>
    <w:qFormat/>
    <w:uiPriority w:val="0"/>
    <w:rPr>
      <w:color w:val="000000"/>
      <w:sz w:val="21"/>
    </w:rPr>
  </w:style>
  <w:style w:type="character" w:customStyle="1" w:styleId="145">
    <w:name w:val="style36"/>
    <w:qFormat/>
    <w:uiPriority w:val="0"/>
    <w:rPr>
      <w:rFonts w:ascii="Arial" w:hAnsi="Arial" w:eastAsia="黑体" w:cs="Arial"/>
      <w:snapToGrid w:val="0"/>
      <w:kern w:val="0"/>
      <w:szCs w:val="21"/>
    </w:rPr>
  </w:style>
  <w:style w:type="character" w:customStyle="1" w:styleId="146">
    <w:name w:val="Char Char72"/>
    <w:qFormat/>
    <w:uiPriority w:val="0"/>
    <w:rPr>
      <w:rFonts w:eastAsia="宋体"/>
      <w:kern w:val="2"/>
      <w:sz w:val="21"/>
      <w:szCs w:val="24"/>
      <w:lang w:val="en-US" w:eastAsia="zh-CN" w:bidi="ar-SA"/>
    </w:rPr>
  </w:style>
  <w:style w:type="character" w:customStyle="1" w:styleId="147">
    <w:name w:val="Char Char32"/>
    <w:qFormat/>
    <w:uiPriority w:val="6"/>
    <w:rPr>
      <w:b/>
      <w:kern w:val="1"/>
      <w:sz w:val="24"/>
      <w:szCs w:val="24"/>
    </w:rPr>
  </w:style>
  <w:style w:type="character" w:customStyle="1" w:styleId="148">
    <w:name w:val="style91"/>
    <w:qFormat/>
    <w:uiPriority w:val="0"/>
    <w:rPr>
      <w:color w:val="333333"/>
    </w:rPr>
  </w:style>
  <w:style w:type="character" w:customStyle="1" w:styleId="149">
    <w:name w:val="列出段落 Char1"/>
    <w:link w:val="150"/>
    <w:qFormat/>
    <w:uiPriority w:val="0"/>
    <w:rPr>
      <w:rFonts w:ascii="Calibri" w:hAnsi="Calibri"/>
      <w:sz w:val="24"/>
      <w:lang w:eastAsia="en-US"/>
    </w:rPr>
  </w:style>
  <w:style w:type="paragraph" w:customStyle="1" w:styleId="150">
    <w:name w:val="列表1"/>
    <w:basedOn w:val="1"/>
    <w:next w:val="151"/>
    <w:link w:val="149"/>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styleId="151">
    <w:name w:val="List Paragraph"/>
    <w:basedOn w:val="1"/>
    <w:qFormat/>
    <w:uiPriority w:val="34"/>
    <w:pPr>
      <w:spacing w:line="360" w:lineRule="auto"/>
      <w:ind w:firstLine="200" w:firstLineChars="200"/>
    </w:pPr>
    <w:rPr>
      <w:rFonts w:eastAsia="楷体_GB2312" w:cs="Lucida Sans"/>
      <w:sz w:val="24"/>
    </w:rPr>
  </w:style>
  <w:style w:type="character" w:customStyle="1" w:styleId="152">
    <w:name w:val="标题 6 Char1"/>
    <w:qFormat/>
    <w:uiPriority w:val="0"/>
    <w:rPr>
      <w:rFonts w:ascii="Arial" w:hAnsi="Arial" w:eastAsia="黑体" w:cs="Times New Roman"/>
      <w:b/>
      <w:sz w:val="24"/>
      <w:szCs w:val="20"/>
      <w:lang w:bidi="ar-SA"/>
    </w:rPr>
  </w:style>
  <w:style w:type="character" w:customStyle="1" w:styleId="153">
    <w:name w:val="标题 4 Char"/>
    <w:qFormat/>
    <w:uiPriority w:val="0"/>
    <w:rPr>
      <w:rFonts w:ascii="Arial" w:hAnsi="Arial" w:eastAsia="黑体"/>
      <w:b/>
      <w:kern w:val="2"/>
      <w:sz w:val="28"/>
    </w:rPr>
  </w:style>
  <w:style w:type="character" w:customStyle="1" w:styleId="154">
    <w:name w:val="样式 宋体"/>
    <w:qFormat/>
    <w:uiPriority w:val="0"/>
    <w:rPr>
      <w:rFonts w:ascii="宋体" w:hAnsi="宋体"/>
      <w:sz w:val="24"/>
    </w:rPr>
  </w:style>
  <w:style w:type="character" w:customStyle="1" w:styleId="155">
    <w:name w:val="Item List Char"/>
    <w:link w:val="156"/>
    <w:qFormat/>
    <w:uiPriority w:val="0"/>
    <w:rPr>
      <w:rFonts w:ascii="Arial"/>
      <w:bCs/>
      <w:szCs w:val="21"/>
    </w:rPr>
  </w:style>
  <w:style w:type="paragraph" w:customStyle="1" w:styleId="156">
    <w:name w:val="Item List"/>
    <w:link w:val="155"/>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57">
    <w:name w:val="font61"/>
    <w:qFormat/>
    <w:uiPriority w:val="0"/>
    <w:rPr>
      <w:rFonts w:hint="eastAsia" w:ascii="仿宋" w:hAnsi="仿宋" w:eastAsia="仿宋" w:cs="仿宋"/>
      <w:color w:val="000000"/>
      <w:sz w:val="20"/>
      <w:szCs w:val="20"/>
      <w:u w:val="none"/>
    </w:rPr>
  </w:style>
  <w:style w:type="character" w:customStyle="1" w:styleId="158">
    <w:name w:val="批注文字 Char1"/>
    <w:link w:val="26"/>
    <w:qFormat/>
    <w:uiPriority w:val="0"/>
    <w:rPr>
      <w:szCs w:val="24"/>
    </w:rPr>
  </w:style>
  <w:style w:type="character" w:customStyle="1" w:styleId="159">
    <w:name w:val="二级标题 Char Char"/>
    <w:qFormat/>
    <w:uiPriority w:val="0"/>
    <w:rPr>
      <w:rFonts w:ascii="宋体" w:hAnsi="宋体" w:eastAsia="宋体"/>
      <w:b/>
      <w:snapToGrid w:val="0"/>
      <w:kern w:val="2"/>
      <w:sz w:val="24"/>
      <w:szCs w:val="24"/>
      <w:lang w:val="en-US" w:eastAsia="zh-CN" w:bidi="ar-SA"/>
    </w:rPr>
  </w:style>
  <w:style w:type="character" w:customStyle="1" w:styleId="160">
    <w:name w:val="正文文本 2 字符"/>
    <w:qFormat/>
    <w:uiPriority w:val="0"/>
    <w:rPr>
      <w:rFonts w:ascii="Arial" w:hAnsi="Arial" w:eastAsia="宋体"/>
      <w:kern w:val="2"/>
      <w:sz w:val="24"/>
      <w:szCs w:val="24"/>
      <w:lang w:val="en-US" w:eastAsia="zh-CN" w:bidi="ar-SA"/>
    </w:rPr>
  </w:style>
  <w:style w:type="character" w:customStyle="1" w:styleId="161">
    <w:name w:val="签名 Char"/>
    <w:link w:val="50"/>
    <w:qFormat/>
    <w:uiPriority w:val="0"/>
    <w:rPr>
      <w:rFonts w:eastAsia="仿宋_GB2312"/>
      <w:sz w:val="24"/>
    </w:rPr>
  </w:style>
  <w:style w:type="character" w:customStyle="1" w:styleId="162">
    <w:name w:val="Char Char211"/>
    <w:qFormat/>
    <w:uiPriority w:val="0"/>
    <w:rPr>
      <w:rFonts w:eastAsia="宋体"/>
      <w:b/>
      <w:bCs/>
      <w:kern w:val="2"/>
      <w:sz w:val="21"/>
      <w:szCs w:val="24"/>
      <w:lang w:val="en-US" w:eastAsia="zh-CN" w:bidi="ar-SA"/>
    </w:rPr>
  </w:style>
  <w:style w:type="character" w:customStyle="1" w:styleId="163">
    <w:name w:val="正文（缩进2汉字） Char"/>
    <w:link w:val="164"/>
    <w:qFormat/>
    <w:uiPriority w:val="0"/>
    <w:rPr>
      <w:rFonts w:ascii="宋体"/>
    </w:rPr>
  </w:style>
  <w:style w:type="paragraph" w:customStyle="1" w:styleId="164">
    <w:name w:val="正文（缩进2汉字）"/>
    <w:basedOn w:val="1"/>
    <w:link w:val="163"/>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165">
    <w:name w:val="DO_NOT_TRANSLATE"/>
    <w:qFormat/>
    <w:uiPriority w:val="0"/>
    <w:rPr>
      <w:rFonts w:ascii="Courier New" w:hAnsi="Courier New" w:cs="Courier New"/>
      <w:color w:val="800000"/>
      <w:lang w:val="en-US" w:eastAsia="zh-CN"/>
    </w:rPr>
  </w:style>
  <w:style w:type="character" w:customStyle="1" w:styleId="16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7">
    <w:name w:val="h Char1"/>
    <w:qFormat/>
    <w:uiPriority w:val="0"/>
    <w:rPr>
      <w:sz w:val="18"/>
      <w:szCs w:val="18"/>
    </w:rPr>
  </w:style>
  <w:style w:type="character" w:customStyle="1" w:styleId="168">
    <w:name w:val="文档结构图 Char"/>
    <w:qFormat/>
    <w:uiPriority w:val="0"/>
    <w:rPr>
      <w:rFonts w:eastAsia="宋体"/>
      <w:kern w:val="2"/>
      <w:sz w:val="21"/>
      <w:szCs w:val="24"/>
      <w:lang w:val="en-US" w:eastAsia="zh-CN" w:bidi="ar-SA"/>
    </w:rPr>
  </w:style>
  <w:style w:type="character" w:customStyle="1" w:styleId="169">
    <w:name w:val="正文文本 字符1"/>
    <w:qFormat/>
    <w:uiPriority w:val="0"/>
    <w:rPr>
      <w:rFonts w:ascii="Calibri" w:hAnsi="Calibri" w:eastAsia="黑体" w:cs="Arial"/>
      <w:snapToGrid w:val="0"/>
      <w:kern w:val="2"/>
      <w:sz w:val="28"/>
      <w:szCs w:val="21"/>
    </w:rPr>
  </w:style>
  <w:style w:type="character" w:customStyle="1" w:styleId="170">
    <w:name w:val="明显引用 Char"/>
    <w:link w:val="171"/>
    <w:qFormat/>
    <w:uiPriority w:val="0"/>
    <w:rPr>
      <w:rFonts w:ascii="Calibri" w:hAnsi="Calibri"/>
      <w:b/>
      <w:bCs/>
      <w:i/>
      <w:iCs/>
      <w:color w:val="4F81BD"/>
      <w:sz w:val="22"/>
      <w:lang w:eastAsia="en-US" w:bidi="en-US"/>
    </w:rPr>
  </w:style>
  <w:style w:type="paragraph" w:styleId="171">
    <w:name w:val="Intense Quote"/>
    <w:basedOn w:val="1"/>
    <w:next w:val="1"/>
    <w:link w:val="170"/>
    <w:qFormat/>
    <w:uiPriority w:val="0"/>
    <w:pPr>
      <w:widowControl/>
      <w:pBdr>
        <w:bottom w:val="single" w:color="4F81BD" w:sz="4" w:space="4"/>
      </w:pBdr>
      <w:adjustRightInd/>
      <w:spacing w:before="200" w:after="280" w:line="276" w:lineRule="auto"/>
      <w:ind w:left="936" w:right="936"/>
      <w:jc w:val="left"/>
    </w:pPr>
    <w:rPr>
      <w:rFonts w:ascii="Calibri" w:hAnsi="Calibri" w:eastAsiaTheme="minorEastAsia" w:cstheme="minorBidi"/>
      <w:b/>
      <w:bCs/>
      <w:i/>
      <w:iCs/>
      <w:color w:val="4F81BD"/>
      <w:sz w:val="22"/>
      <w:szCs w:val="22"/>
      <w:lang w:eastAsia="en-US" w:bidi="en-US"/>
    </w:rPr>
  </w:style>
  <w:style w:type="character" w:customStyle="1" w:styleId="172">
    <w:name w:val="U_正文 Char"/>
    <w:link w:val="173"/>
    <w:qFormat/>
    <w:uiPriority w:val="0"/>
    <w:rPr>
      <w:sz w:val="24"/>
      <w:szCs w:val="24"/>
    </w:rPr>
  </w:style>
  <w:style w:type="paragraph" w:customStyle="1" w:styleId="173">
    <w:name w:val="U_正文"/>
    <w:basedOn w:val="1"/>
    <w:link w:val="172"/>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174">
    <w:name w:val="正文首行缩进 2 Char"/>
    <w:link w:val="71"/>
    <w:qFormat/>
    <w:uiPriority w:val="0"/>
    <w:rPr>
      <w:rFonts w:ascii="宋体" w:hAnsi="宋体"/>
      <w:szCs w:val="24"/>
    </w:rPr>
  </w:style>
  <w:style w:type="character" w:customStyle="1" w:styleId="175">
    <w:name w:val="tpc_content1"/>
    <w:qFormat/>
    <w:uiPriority w:val="0"/>
    <w:rPr>
      <w:sz w:val="20"/>
      <w:szCs w:val="20"/>
    </w:rPr>
  </w:style>
  <w:style w:type="character" w:customStyle="1" w:styleId="176">
    <w:name w:val="Used by Word for text of Help footnotes Char Char1"/>
    <w:qFormat/>
    <w:uiPriority w:val="0"/>
    <w:rPr>
      <w:color w:val="0000FF"/>
      <w:sz w:val="21"/>
    </w:rPr>
  </w:style>
  <w:style w:type="character" w:customStyle="1" w:styleId="177">
    <w:name w:val="访问过的超链接1"/>
    <w:qFormat/>
    <w:uiPriority w:val="0"/>
    <w:rPr>
      <w:color w:val="800080"/>
      <w:u w:val="single"/>
    </w:rPr>
  </w:style>
  <w:style w:type="character" w:customStyle="1" w:styleId="178">
    <w:name w:val="H5 Char"/>
    <w:qFormat/>
    <w:uiPriority w:val="0"/>
    <w:rPr>
      <w:b/>
      <w:bCs/>
      <w:kern w:val="2"/>
      <w:sz w:val="28"/>
      <w:szCs w:val="28"/>
    </w:rPr>
  </w:style>
  <w:style w:type="character" w:customStyle="1" w:styleId="179">
    <w:name w:val="纯文本 Char_0"/>
    <w:link w:val="180"/>
    <w:qFormat/>
    <w:uiPriority w:val="0"/>
    <w:rPr>
      <w:rFonts w:ascii="宋体" w:hAnsi="Courier New"/>
      <w:szCs w:val="21"/>
    </w:rPr>
  </w:style>
  <w:style w:type="paragraph" w:customStyle="1" w:styleId="180">
    <w:name w:val="纯文本_0_0"/>
    <w:basedOn w:val="181"/>
    <w:link w:val="179"/>
    <w:qFormat/>
    <w:uiPriority w:val="0"/>
    <w:rPr>
      <w:rFonts w:ascii="宋体" w:hAnsi="Courier New" w:eastAsiaTheme="minorEastAsia" w:cstheme="minorBidi"/>
      <w:szCs w:val="21"/>
    </w:rPr>
  </w:style>
  <w:style w:type="paragraph" w:customStyle="1" w:styleId="18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2">
    <w:name w:val="No Spacing Char"/>
    <w:link w:val="183"/>
    <w:qFormat/>
    <w:uiPriority w:val="1"/>
    <w:rPr>
      <w:sz w:val="22"/>
    </w:rPr>
  </w:style>
  <w:style w:type="paragraph" w:customStyle="1" w:styleId="183">
    <w:name w:val="无间隔1"/>
    <w:link w:val="182"/>
    <w:qFormat/>
    <w:uiPriority w:val="1"/>
    <w:rPr>
      <w:rFonts w:asciiTheme="minorHAnsi" w:hAnsiTheme="minorHAnsi" w:eastAsiaTheme="minorEastAsia" w:cstheme="minorBidi"/>
      <w:kern w:val="2"/>
      <w:sz w:val="22"/>
      <w:szCs w:val="22"/>
      <w:lang w:val="en-US" w:eastAsia="zh-CN" w:bidi="ar-SA"/>
    </w:rPr>
  </w:style>
  <w:style w:type="character" w:customStyle="1" w:styleId="184">
    <w:name w:val="HTML 地址 Char1"/>
    <w:qFormat/>
    <w:uiPriority w:val="0"/>
    <w:rPr>
      <w:rFonts w:ascii="Times New Roman" w:hAnsi="Times New Roman" w:eastAsia="宋体" w:cs="Times New Roman"/>
      <w:i/>
      <w:iCs/>
      <w:szCs w:val="24"/>
    </w:rPr>
  </w:style>
  <w:style w:type="character" w:customStyle="1" w:styleId="185">
    <w:name w:val="表正文 Char3"/>
    <w:qFormat/>
    <w:uiPriority w:val="0"/>
    <w:rPr>
      <w:rFonts w:eastAsia="宋体"/>
    </w:rPr>
  </w:style>
  <w:style w:type="character" w:customStyle="1" w:styleId="186">
    <w:name w:val="HTML 预设格式 Char1"/>
    <w:qFormat/>
    <w:uiPriority w:val="0"/>
    <w:rPr>
      <w:rFonts w:ascii="Courier New" w:hAnsi="Courier New" w:eastAsia="宋体" w:cs="Courier New"/>
      <w:sz w:val="20"/>
      <w:szCs w:val="20"/>
    </w:rPr>
  </w:style>
  <w:style w:type="character" w:customStyle="1" w:styleId="18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88">
    <w:name w:val="样式5 Char"/>
    <w:qFormat/>
    <w:uiPriority w:val="0"/>
    <w:rPr>
      <w:rFonts w:ascii="仿宋_GB2312" w:hAnsi="仿宋" w:eastAsia="仿宋_GB2312"/>
      <w:kern w:val="2"/>
      <w:sz w:val="24"/>
      <w:szCs w:val="24"/>
    </w:rPr>
  </w:style>
  <w:style w:type="character" w:customStyle="1" w:styleId="18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90">
    <w:name w:val="Char Char212"/>
    <w:qFormat/>
    <w:uiPriority w:val="0"/>
    <w:rPr>
      <w:rFonts w:eastAsia="宋体"/>
      <w:b/>
      <w:bCs/>
      <w:kern w:val="2"/>
      <w:sz w:val="21"/>
      <w:szCs w:val="24"/>
      <w:lang w:val="en-US" w:eastAsia="zh-CN" w:bidi="ar-SA"/>
    </w:rPr>
  </w:style>
  <w:style w:type="character" w:customStyle="1" w:styleId="191">
    <w:name w:val="Footer Char"/>
    <w:qFormat/>
    <w:locked/>
    <w:uiPriority w:val="0"/>
    <w:rPr>
      <w:rFonts w:eastAsia="宋体"/>
      <w:kern w:val="2"/>
      <w:sz w:val="18"/>
      <w:lang w:val="en-US" w:eastAsia="zh-CN" w:bidi="ar-SA"/>
    </w:rPr>
  </w:style>
  <w:style w:type="character" w:customStyle="1" w:styleId="192">
    <w:name w:val="Normal Indent Char Char"/>
    <w:qFormat/>
    <w:uiPriority w:val="0"/>
    <w:rPr>
      <w:rFonts w:eastAsia="宋体"/>
      <w:kern w:val="2"/>
      <w:sz w:val="21"/>
      <w:lang w:val="en-US" w:eastAsia="zh-CN" w:bidi="ar-SA"/>
    </w:rPr>
  </w:style>
  <w:style w:type="character" w:customStyle="1" w:styleId="193">
    <w:name w:val="样式 正文缩进 + 首行缩进:  2 字符 Char Char"/>
    <w:link w:val="194"/>
    <w:qFormat/>
    <w:uiPriority w:val="0"/>
    <w:rPr>
      <w:rFonts w:cs="宋体"/>
      <w:sz w:val="24"/>
    </w:rPr>
  </w:style>
  <w:style w:type="paragraph" w:customStyle="1" w:styleId="194">
    <w:name w:val="样式 正文缩进 + 首行缩进:  2 字符"/>
    <w:basedOn w:val="8"/>
    <w:link w:val="193"/>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195">
    <w:name w:val="Ò³Ã¼ Char Char"/>
    <w:qFormat/>
    <w:uiPriority w:val="0"/>
    <w:rPr>
      <w:rFonts w:eastAsia="宋体"/>
      <w:kern w:val="2"/>
      <w:sz w:val="18"/>
      <w:lang w:val="en-US" w:eastAsia="zh-CN" w:bidi="ar-SA"/>
    </w:rPr>
  </w:style>
  <w:style w:type="character" w:customStyle="1" w:styleId="196">
    <w:name w:val="Char Char101"/>
    <w:qFormat/>
    <w:uiPriority w:val="6"/>
    <w:rPr>
      <w:rFonts w:ascii="宋体" w:hAnsi="宋体"/>
      <w:kern w:val="2"/>
      <w:sz w:val="21"/>
      <w:szCs w:val="24"/>
      <w:lang w:val="en-US" w:eastAsia="zh-CN"/>
    </w:rPr>
  </w:style>
  <w:style w:type="character" w:customStyle="1" w:styleId="197">
    <w:name w:val="引用 Char"/>
    <w:link w:val="198"/>
    <w:qFormat/>
    <w:uiPriority w:val="0"/>
    <w:rPr>
      <w:rFonts w:ascii="Calibri" w:hAnsi="Calibri"/>
      <w:i/>
      <w:iCs/>
      <w:color w:val="000000"/>
      <w:sz w:val="22"/>
      <w:lang w:eastAsia="en-US" w:bidi="en-US"/>
    </w:rPr>
  </w:style>
  <w:style w:type="paragraph" w:styleId="198">
    <w:name w:val="Quote"/>
    <w:basedOn w:val="1"/>
    <w:next w:val="1"/>
    <w:link w:val="197"/>
    <w:qFormat/>
    <w:uiPriority w:val="0"/>
    <w:pPr>
      <w:widowControl/>
      <w:adjustRightInd/>
      <w:spacing w:after="480" w:line="276" w:lineRule="auto"/>
      <w:jc w:val="left"/>
    </w:pPr>
    <w:rPr>
      <w:rFonts w:ascii="Calibri" w:hAnsi="Calibri" w:eastAsiaTheme="minorEastAsia" w:cstheme="minorBidi"/>
      <w:i/>
      <w:iCs/>
      <w:color w:val="000000"/>
      <w:sz w:val="22"/>
      <w:szCs w:val="22"/>
      <w:lang w:eastAsia="en-US" w:bidi="en-US"/>
    </w:rPr>
  </w:style>
  <w:style w:type="character" w:customStyle="1" w:styleId="199">
    <w:name w:val="页脚 Char1"/>
    <w:qFormat/>
    <w:uiPriority w:val="0"/>
    <w:rPr>
      <w:rFonts w:eastAsia="宋体"/>
      <w:kern w:val="2"/>
      <w:sz w:val="18"/>
      <w:szCs w:val="18"/>
      <w:lang w:val="en-US" w:eastAsia="zh-CN" w:bidi="ar-SA"/>
    </w:rPr>
  </w:style>
  <w:style w:type="character" w:customStyle="1" w:styleId="200">
    <w:name w:val="apple-style-span"/>
    <w:qFormat/>
    <w:uiPriority w:val="0"/>
    <w:rPr>
      <w:rFonts w:ascii="Arial" w:hAnsi="Arial" w:eastAsia="黑体" w:cs="Arial"/>
      <w:snapToGrid w:val="0"/>
      <w:kern w:val="0"/>
      <w:szCs w:val="21"/>
    </w:rPr>
  </w:style>
  <w:style w:type="character" w:customStyle="1" w:styleId="201">
    <w:name w:val="表格非标题文字 Char Char"/>
    <w:qFormat/>
    <w:uiPriority w:val="0"/>
    <w:rPr>
      <w:rFonts w:ascii="Futura Bk" w:hAnsi="Futura Bk" w:eastAsia="Times New Roman"/>
      <w:kern w:val="2"/>
      <w:sz w:val="18"/>
      <w:szCs w:val="21"/>
      <w:lang w:val="en-US" w:eastAsia="zh-CN" w:bidi="ar-SA"/>
    </w:rPr>
  </w:style>
  <w:style w:type="character" w:customStyle="1" w:styleId="202">
    <w:name w:val="表格 Char Char"/>
    <w:qFormat/>
    <w:uiPriority w:val="0"/>
    <w:rPr>
      <w:rFonts w:ascii="宋体" w:hAnsi="宋体" w:eastAsia="宋体"/>
      <w:lang w:bidi="ar-SA"/>
    </w:rPr>
  </w:style>
  <w:style w:type="character" w:customStyle="1" w:styleId="203">
    <w:name w:val="标题 Char2"/>
    <w:link w:val="69"/>
    <w:qFormat/>
    <w:uiPriority w:val="10"/>
    <w:rPr>
      <w:b/>
      <w:sz w:val="24"/>
      <w:lang w:val="en-GB"/>
    </w:rPr>
  </w:style>
  <w:style w:type="character" w:customStyle="1" w:styleId="204">
    <w:name w:val="zbggtop11 style5"/>
    <w:qFormat/>
    <w:uiPriority w:val="0"/>
    <w:rPr>
      <w:rFonts w:ascii="Arial" w:hAnsi="Arial" w:eastAsia="黑体" w:cs="Arial"/>
      <w:snapToGrid w:val="0"/>
      <w:kern w:val="0"/>
      <w:szCs w:val="21"/>
    </w:rPr>
  </w:style>
  <w:style w:type="character" w:customStyle="1" w:styleId="205">
    <w:name w:val="正文说明 Char"/>
    <w:link w:val="206"/>
    <w:qFormat/>
    <w:uiPriority w:val="0"/>
    <w:rPr>
      <w:sz w:val="24"/>
      <w:szCs w:val="24"/>
    </w:rPr>
  </w:style>
  <w:style w:type="paragraph" w:customStyle="1" w:styleId="206">
    <w:name w:val="正文说明"/>
    <w:basedOn w:val="1"/>
    <w:link w:val="205"/>
    <w:qFormat/>
    <w:uiPriority w:val="0"/>
    <w:pPr>
      <w:adjustRightInd/>
      <w:spacing w:line="360" w:lineRule="auto"/>
    </w:pPr>
    <w:rPr>
      <w:rFonts w:asciiTheme="minorHAnsi" w:hAnsiTheme="minorHAnsi" w:eastAsiaTheme="minorEastAsia" w:cstheme="minorBidi"/>
      <w:sz w:val="24"/>
    </w:rPr>
  </w:style>
  <w:style w:type="character" w:customStyle="1" w:styleId="207">
    <w:name w:val="图名 Char"/>
    <w:qFormat/>
    <w:uiPriority w:val="0"/>
    <w:rPr>
      <w:rFonts w:ascii="Arial" w:hAnsi="Arial" w:eastAsia="黑体"/>
      <w:kern w:val="2"/>
      <w:sz w:val="24"/>
      <w:szCs w:val="24"/>
      <w:lang w:val="en-US" w:eastAsia="zh-CN" w:bidi="ar-SA"/>
    </w:rPr>
  </w:style>
  <w:style w:type="character" w:customStyle="1" w:styleId="208">
    <w:name w:val="标题 Char1"/>
    <w:qFormat/>
    <w:uiPriority w:val="0"/>
    <w:rPr>
      <w:rFonts w:ascii="Cambria" w:hAnsi="Cambria" w:eastAsia="宋体" w:cs="Times New Roman"/>
      <w:b/>
      <w:bCs/>
      <w:sz w:val="32"/>
      <w:szCs w:val="32"/>
      <w:lang w:bidi="ar-SA"/>
    </w:rPr>
  </w:style>
  <w:style w:type="character" w:customStyle="1" w:styleId="209">
    <w:name w:val="样式8 Char"/>
    <w:qFormat/>
    <w:uiPriority w:val="0"/>
    <w:rPr>
      <w:rFonts w:ascii="仿宋_GB2312" w:hAnsi="宋体" w:eastAsia="仿宋_GB2312"/>
      <w:b/>
      <w:bCs/>
      <w:kern w:val="2"/>
      <w:sz w:val="24"/>
      <w:szCs w:val="24"/>
    </w:rPr>
  </w:style>
  <w:style w:type="character" w:customStyle="1" w:styleId="210">
    <w:name w:val="h3 Char1"/>
    <w:qFormat/>
    <w:uiPriority w:val="0"/>
    <w:rPr>
      <w:rFonts w:eastAsia="宋体"/>
      <w:b/>
      <w:bCs/>
      <w:kern w:val="2"/>
      <w:sz w:val="32"/>
      <w:szCs w:val="32"/>
      <w:lang w:bidi="ar-SA"/>
    </w:rPr>
  </w:style>
  <w:style w:type="character" w:customStyle="1" w:styleId="211">
    <w:name w:val="正文2 Char Char"/>
    <w:link w:val="212"/>
    <w:qFormat/>
    <w:uiPriority w:val="0"/>
    <w:rPr>
      <w:rFonts w:eastAsia="宋体"/>
      <w:sz w:val="24"/>
    </w:rPr>
  </w:style>
  <w:style w:type="paragraph" w:customStyle="1" w:styleId="212">
    <w:name w:val="正文2"/>
    <w:basedOn w:val="1"/>
    <w:link w:val="211"/>
    <w:qFormat/>
    <w:uiPriority w:val="0"/>
    <w:pPr>
      <w:spacing w:before="156" w:line="360" w:lineRule="auto"/>
      <w:ind w:firstLine="510" w:firstLineChars="200"/>
    </w:pPr>
    <w:rPr>
      <w:rFonts w:asciiTheme="minorHAnsi" w:hAnsiTheme="minorHAnsi" w:cstheme="minorBidi"/>
      <w:sz w:val="24"/>
      <w:szCs w:val="22"/>
    </w:rPr>
  </w:style>
  <w:style w:type="character" w:customStyle="1" w:styleId="213">
    <w:name w:val="Char Char121"/>
    <w:qFormat/>
    <w:uiPriority w:val="6"/>
    <w:rPr>
      <w:rFonts w:ascii="仿宋_GB2312" w:eastAsia="仿宋_GB2312"/>
      <w:b/>
      <w:bCs/>
      <w:kern w:val="2"/>
      <w:sz w:val="24"/>
      <w:szCs w:val="24"/>
      <w:lang w:val="zh-CN" w:eastAsia="zh-CN" w:bidi="ar-SA"/>
    </w:rPr>
  </w:style>
  <w:style w:type="character" w:customStyle="1" w:styleId="214">
    <w:name w:val="正文文本 2 Char1"/>
    <w:link w:val="65"/>
    <w:qFormat/>
    <w:uiPriority w:val="0"/>
    <w:rPr>
      <w:szCs w:val="24"/>
    </w:rPr>
  </w:style>
  <w:style w:type="character" w:customStyle="1" w:styleId="215">
    <w:name w:val="Table Text Char1"/>
    <w:qFormat/>
    <w:uiPriority w:val="0"/>
    <w:rPr>
      <w:rFonts w:eastAsia="宋体"/>
      <w:sz w:val="24"/>
      <w:szCs w:val="24"/>
      <w:lang w:val="en-US" w:eastAsia="zh-CN" w:bidi="ar-SA"/>
    </w:rPr>
  </w:style>
  <w:style w:type="character" w:customStyle="1" w:styleId="216">
    <w:name w:val="Char Char41"/>
    <w:qFormat/>
    <w:uiPriority w:val="0"/>
    <w:rPr>
      <w:rFonts w:eastAsia="宋体"/>
      <w:b/>
      <w:sz w:val="24"/>
      <w:lang w:val="en-GB" w:eastAsia="zh-CN" w:bidi="ar-SA"/>
    </w:rPr>
  </w:style>
  <w:style w:type="character" w:customStyle="1" w:styleId="217">
    <w:name w:val="tw4winInternal"/>
    <w:qFormat/>
    <w:uiPriority w:val="0"/>
    <w:rPr>
      <w:rFonts w:ascii="Courier New" w:hAnsi="Courier New" w:cs="Courier New"/>
      <w:color w:val="FF0000"/>
      <w:lang w:val="en-US" w:eastAsia="zh-CN"/>
    </w:rPr>
  </w:style>
  <w:style w:type="character" w:customStyle="1" w:styleId="218">
    <w:name w:val="未处理的提及1"/>
    <w:qFormat/>
    <w:uiPriority w:val="0"/>
    <w:rPr>
      <w:color w:val="808080"/>
      <w:shd w:val="clear" w:color="auto" w:fill="E6E6E6"/>
    </w:rPr>
  </w:style>
  <w:style w:type="character" w:customStyle="1" w:styleId="219">
    <w:name w:val="列表段落 字符"/>
    <w:qFormat/>
    <w:uiPriority w:val="99"/>
  </w:style>
  <w:style w:type="character" w:customStyle="1" w:styleId="220">
    <w:name w:val="正文首行缩进两字 Char"/>
    <w:qFormat/>
    <w:uiPriority w:val="0"/>
    <w:rPr>
      <w:sz w:val="24"/>
      <w:szCs w:val="24"/>
      <w:lang w:val="en-US" w:eastAsia="zh-CN" w:bidi="ar-SA"/>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标题 Char"/>
    <w:qFormat/>
    <w:uiPriority w:val="0"/>
    <w:rPr>
      <w:rFonts w:eastAsia="宋体"/>
      <w:b/>
      <w:sz w:val="24"/>
      <w:lang w:val="en-GB" w:eastAsia="zh-CN" w:bidi="ar-SA"/>
    </w:rPr>
  </w:style>
  <w:style w:type="character" w:customStyle="1" w:styleId="223">
    <w:name w:val="3级 Char"/>
    <w:link w:val="224"/>
    <w:qFormat/>
    <w:uiPriority w:val="0"/>
    <w:rPr>
      <w:rFonts w:ascii="宋体" w:hAnsi="宋体"/>
      <w:b/>
      <w:bCs/>
      <w:sz w:val="28"/>
    </w:rPr>
  </w:style>
  <w:style w:type="paragraph" w:customStyle="1" w:styleId="224">
    <w:name w:val="3级"/>
    <w:basedOn w:val="225"/>
    <w:link w:val="223"/>
    <w:qFormat/>
    <w:uiPriority w:val="0"/>
    <w:pPr>
      <w:ind w:left="0" w:right="466" w:firstLine="288"/>
    </w:pPr>
    <w:rPr>
      <w:rFonts w:hAnsi="宋体" w:eastAsiaTheme="minorEastAsia" w:cstheme="minorBidi"/>
      <w:snapToGrid/>
      <w:kern w:val="2"/>
      <w:szCs w:val="22"/>
    </w:rPr>
  </w:style>
  <w:style w:type="paragraph" w:customStyle="1" w:styleId="225">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6">
    <w:name w:val="正文文本缩进 字符"/>
    <w:qFormat/>
    <w:uiPriority w:val="0"/>
    <w:rPr>
      <w:rFonts w:ascii="Century Gothic" w:hAnsi="Century Gothic" w:eastAsia="Century Gothic"/>
      <w:kern w:val="2"/>
      <w:sz w:val="24"/>
      <w:lang w:val="en-US" w:eastAsia="zh-CN" w:bidi="ar-SA"/>
    </w:rPr>
  </w:style>
  <w:style w:type="character" w:customStyle="1" w:styleId="227">
    <w:name w:val="myp1111"/>
    <w:qFormat/>
    <w:uiPriority w:val="0"/>
    <w:rPr>
      <w:rFonts w:hint="default" w:ascii="ˎ̥" w:hAnsi="ˎ̥"/>
      <w:color w:val="000000"/>
      <w:sz w:val="20"/>
      <w:szCs w:val="20"/>
      <w:u w:val="none"/>
    </w:rPr>
  </w:style>
  <w:style w:type="character" w:customStyle="1" w:styleId="228">
    <w:name w:val="页脚 Char"/>
    <w:qFormat/>
    <w:uiPriority w:val="0"/>
    <w:rPr>
      <w:rFonts w:eastAsia="仿宋_GB2312"/>
      <w:kern w:val="2"/>
      <w:sz w:val="18"/>
      <w:lang w:val="en-US" w:eastAsia="zh-CN"/>
    </w:rPr>
  </w:style>
  <w:style w:type="character" w:customStyle="1" w:styleId="229">
    <w:name w:val="冯广丽 Char"/>
    <w:link w:val="230"/>
    <w:qFormat/>
    <w:uiPriority w:val="0"/>
    <w:rPr>
      <w:rFonts w:ascii="宋体" w:hAnsi="宋体"/>
      <w:sz w:val="24"/>
    </w:rPr>
  </w:style>
  <w:style w:type="paragraph" w:customStyle="1" w:styleId="230">
    <w:name w:val="冯广丽"/>
    <w:basedOn w:val="1"/>
    <w:link w:val="229"/>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231">
    <w:name w:val="批注文字 Char2"/>
    <w:qFormat/>
    <w:uiPriority w:val="99"/>
    <w:rPr>
      <w:rFonts w:ascii="Times New Roman" w:hAnsi="Times New Roman" w:eastAsia="宋体" w:cs="Times New Roman"/>
      <w:snapToGrid w:val="0"/>
      <w:kern w:val="0"/>
      <w:szCs w:val="24"/>
    </w:rPr>
  </w:style>
  <w:style w:type="character" w:customStyle="1" w:styleId="232">
    <w:name w:val="ksfind_class_select1"/>
    <w:qFormat/>
    <w:uiPriority w:val="0"/>
    <w:rPr>
      <w:color w:val="000000"/>
      <w:shd w:val="clear" w:color="auto" w:fill="EFD200"/>
    </w:rPr>
  </w:style>
  <w:style w:type="character" w:customStyle="1" w:styleId="233">
    <w:name w:val="普通文字 Char1 Char"/>
    <w:qFormat/>
    <w:uiPriority w:val="0"/>
    <w:rPr>
      <w:rFonts w:ascii="宋体" w:hAnsi="Courier New" w:eastAsia="宋体"/>
      <w:kern w:val="2"/>
      <w:sz w:val="21"/>
      <w:szCs w:val="24"/>
      <w:lang w:val="en-US" w:eastAsia="zh-CN" w:bidi="ar-SA"/>
    </w:rPr>
  </w:style>
  <w:style w:type="character" w:customStyle="1" w:styleId="234">
    <w:name w:val="Char Char34"/>
    <w:qFormat/>
    <w:uiPriority w:val="6"/>
    <w:rPr>
      <w:b/>
      <w:kern w:val="1"/>
      <w:sz w:val="28"/>
      <w:szCs w:val="28"/>
    </w:rPr>
  </w:style>
  <w:style w:type="character" w:customStyle="1" w:styleId="235">
    <w:name w:val="表名 Char"/>
    <w:qFormat/>
    <w:uiPriority w:val="0"/>
    <w:rPr>
      <w:rFonts w:eastAsia="宋体"/>
      <w:b/>
      <w:bCs/>
      <w:kern w:val="2"/>
      <w:sz w:val="24"/>
      <w:szCs w:val="24"/>
      <w:lang w:val="en-US" w:eastAsia="zh-CN" w:bidi="ar-SA"/>
    </w:rPr>
  </w:style>
  <w:style w:type="character" w:customStyle="1" w:styleId="236">
    <w:name w:val="页眉 字符"/>
    <w:qFormat/>
    <w:uiPriority w:val="99"/>
    <w:rPr>
      <w:kern w:val="2"/>
      <w:sz w:val="18"/>
      <w:szCs w:val="18"/>
    </w:rPr>
  </w:style>
  <w:style w:type="character" w:customStyle="1" w:styleId="237">
    <w:name w:val="Body Text(ch) Char Char"/>
    <w:qFormat/>
    <w:uiPriority w:val="0"/>
    <w:rPr>
      <w:rFonts w:ascii="宋体"/>
      <w:kern w:val="2"/>
      <w:sz w:val="24"/>
      <w:szCs w:val="21"/>
      <w:lang w:val="zh-CN"/>
    </w:rPr>
  </w:style>
  <w:style w:type="character" w:customStyle="1" w:styleId="238">
    <w:name w:val="Char Char20"/>
    <w:qFormat/>
    <w:uiPriority w:val="6"/>
    <w:rPr>
      <w:kern w:val="1"/>
      <w:sz w:val="24"/>
    </w:rPr>
  </w:style>
  <w:style w:type="character" w:customStyle="1" w:styleId="239">
    <w:name w:val="批注文字 Char"/>
    <w:qFormat/>
    <w:uiPriority w:val="0"/>
    <w:rPr>
      <w:kern w:val="2"/>
      <w:sz w:val="21"/>
      <w:szCs w:val="24"/>
    </w:rPr>
  </w:style>
  <w:style w:type="character" w:customStyle="1" w:styleId="240">
    <w:name w:val="正文文本缩进 字符1"/>
    <w:qFormat/>
    <w:uiPriority w:val="0"/>
    <w:rPr>
      <w:rFonts w:ascii="宋体" w:hAnsi="宋体"/>
      <w:kern w:val="2"/>
      <w:sz w:val="24"/>
      <w:szCs w:val="24"/>
    </w:rPr>
  </w:style>
  <w:style w:type="character" w:customStyle="1" w:styleId="241">
    <w:name w:val="正文缩进 字符1"/>
    <w:qFormat/>
    <w:uiPriority w:val="0"/>
    <w:rPr>
      <w:rFonts w:ascii="宋体" w:eastAsia="宋体"/>
      <w:snapToGrid w:val="0"/>
      <w:color w:val="000000"/>
      <w:kern w:val="28"/>
      <w:sz w:val="28"/>
      <w:lang w:val="en-US" w:eastAsia="zh-CN" w:bidi="ar-SA"/>
    </w:rPr>
  </w:style>
  <w:style w:type="character" w:customStyle="1" w:styleId="242">
    <w:name w:val="尾注文本 Char"/>
    <w:link w:val="46"/>
    <w:qFormat/>
    <w:uiPriority w:val="0"/>
    <w:rPr>
      <w:szCs w:val="24"/>
      <w:lang w:val="zh-CN"/>
    </w:rPr>
  </w:style>
  <w:style w:type="character" w:customStyle="1" w:styleId="243">
    <w:name w:val="Char Char52"/>
    <w:qFormat/>
    <w:uiPriority w:val="0"/>
    <w:rPr>
      <w:rFonts w:ascii="宋体" w:hAnsi="Courier New" w:eastAsia="宋体"/>
      <w:kern w:val="2"/>
      <w:sz w:val="21"/>
      <w:lang w:val="en-US" w:eastAsia="zh-CN"/>
    </w:rPr>
  </w:style>
  <w:style w:type="character" w:customStyle="1" w:styleId="244">
    <w:name w:val="Heading 1 Char"/>
    <w:qFormat/>
    <w:uiPriority w:val="6"/>
    <w:rPr>
      <w:rFonts w:ascii="Times New Roman" w:hAnsi="Times New Roman" w:eastAsia="黑体" w:cs="Times New Roman"/>
      <w:b/>
      <w:kern w:val="0"/>
      <w:sz w:val="24"/>
      <w:szCs w:val="24"/>
    </w:rPr>
  </w:style>
  <w:style w:type="character" w:customStyle="1" w:styleId="245">
    <w:name w:val="表格非标题文字 Char"/>
    <w:link w:val="246"/>
    <w:qFormat/>
    <w:uiPriority w:val="0"/>
    <w:rPr>
      <w:rFonts w:ascii="Futura Bk" w:hAnsi="Futura Bk"/>
      <w:sz w:val="18"/>
      <w:szCs w:val="21"/>
    </w:rPr>
  </w:style>
  <w:style w:type="paragraph" w:customStyle="1" w:styleId="246">
    <w:name w:val="表格非标题文字"/>
    <w:link w:val="245"/>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47">
    <w:name w:val="HTML 预设格式 Char"/>
    <w:link w:val="66"/>
    <w:qFormat/>
    <w:uiPriority w:val="0"/>
    <w:rPr>
      <w:rFonts w:ascii="黑体" w:hAnsi="Courier New" w:eastAsia="黑体"/>
    </w:rPr>
  </w:style>
  <w:style w:type="character" w:customStyle="1" w:styleId="248">
    <w:name w:val="正文（绿盟科技） Char"/>
    <w:link w:val="249"/>
    <w:qFormat/>
    <w:uiPriority w:val="0"/>
    <w:rPr>
      <w:rFonts w:ascii="Arial" w:hAnsi="Arial"/>
      <w:szCs w:val="21"/>
    </w:rPr>
  </w:style>
  <w:style w:type="paragraph" w:customStyle="1" w:styleId="249">
    <w:name w:val="正文（绿盟科技）"/>
    <w:link w:val="248"/>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50">
    <w:name w:val="unnamed11"/>
    <w:qFormat/>
    <w:uiPriority w:val="0"/>
    <w:rPr>
      <w:sz w:val="20"/>
      <w:szCs w:val="20"/>
    </w:rPr>
  </w:style>
  <w:style w:type="character" w:customStyle="1" w:styleId="251">
    <w:name w:val="纯文本 字符"/>
    <w:qFormat/>
    <w:uiPriority w:val="0"/>
    <w:rPr>
      <w:rFonts w:ascii="宋体" w:hAnsi="Courier New" w:eastAsia="宋体" w:cs="Arial"/>
      <w:snapToGrid w:val="0"/>
      <w:kern w:val="2"/>
      <w:sz w:val="21"/>
      <w:szCs w:val="21"/>
      <w:lang w:val="en-US" w:eastAsia="zh-CN" w:bidi="ar-SA"/>
    </w:rPr>
  </w:style>
  <w:style w:type="character" w:customStyle="1" w:styleId="252">
    <w:name w:val="样式7 Char"/>
    <w:qFormat/>
    <w:uiPriority w:val="0"/>
    <w:rPr>
      <w:rFonts w:ascii="仿宋_GB2312" w:hAnsi="仿宋" w:eastAsia="仿宋_GB2312"/>
      <w:b/>
      <w:kern w:val="2"/>
      <w:sz w:val="24"/>
      <w:szCs w:val="24"/>
    </w:rPr>
  </w:style>
  <w:style w:type="character" w:customStyle="1" w:styleId="253">
    <w:name w:val="Char Char37"/>
    <w:qFormat/>
    <w:uiPriority w:val="6"/>
    <w:rPr>
      <w:b/>
      <w:kern w:val="1"/>
      <w:sz w:val="44"/>
      <w:szCs w:val="44"/>
    </w:rPr>
  </w:style>
  <w:style w:type="character" w:customStyle="1" w:styleId="254">
    <w:name w:val="maywed421"/>
    <w:qFormat/>
    <w:uiPriority w:val="0"/>
    <w:rPr>
      <w:color w:val="366FB6"/>
      <w:u w:val="none"/>
    </w:rPr>
  </w:style>
  <w:style w:type="character" w:customStyle="1" w:styleId="255">
    <w:name w:val="tw4winTerm"/>
    <w:qFormat/>
    <w:uiPriority w:val="0"/>
    <w:rPr>
      <w:color w:val="0000FF"/>
    </w:rPr>
  </w:style>
  <w:style w:type="character" w:customStyle="1" w:styleId="256">
    <w:name w:val="未用 Char"/>
    <w:qFormat/>
    <w:uiPriority w:val="0"/>
    <w:rPr>
      <w:rFonts w:ascii="Arial" w:hAnsi="Arial" w:eastAsia="黑体"/>
      <w:kern w:val="2"/>
      <w:sz w:val="21"/>
      <w:szCs w:val="21"/>
      <w:lang w:val="en-US" w:eastAsia="zh-CN" w:bidi="ar-SA"/>
    </w:rPr>
  </w:style>
  <w:style w:type="character" w:customStyle="1" w:styleId="257">
    <w:name w:val="Char Char11"/>
    <w:qFormat/>
    <w:locked/>
    <w:uiPriority w:val="0"/>
    <w:rPr>
      <w:rFonts w:ascii="宋体" w:hAnsi="宋体" w:eastAsia="宋体"/>
      <w:b/>
      <w:kern w:val="2"/>
      <w:sz w:val="24"/>
      <w:szCs w:val="24"/>
      <w:lang w:val="en-US" w:eastAsia="zh-CN" w:bidi="ar-SA"/>
    </w:rPr>
  </w:style>
  <w:style w:type="character" w:customStyle="1" w:styleId="258">
    <w:name w:val="Used by Word for text of Help footnotes Char Char"/>
    <w:qFormat/>
    <w:uiPriority w:val="0"/>
    <w:rPr>
      <w:rFonts w:ascii="Times New Roman" w:hAnsi="Times New Roman" w:eastAsia="宋体" w:cs="Times New Roman"/>
      <w:sz w:val="20"/>
      <w:szCs w:val="20"/>
    </w:rPr>
  </w:style>
  <w:style w:type="character" w:customStyle="1" w:styleId="259">
    <w:name w:val="正文样式 Char"/>
    <w:link w:val="260"/>
    <w:qFormat/>
    <w:uiPriority w:val="0"/>
    <w:rPr>
      <w:rFonts w:ascii="Calibri" w:hAnsi="Calibri"/>
      <w:sz w:val="24"/>
      <w:szCs w:val="24"/>
    </w:rPr>
  </w:style>
  <w:style w:type="paragraph" w:customStyle="1" w:styleId="260">
    <w:name w:val="正文样式"/>
    <w:basedOn w:val="1"/>
    <w:link w:val="259"/>
    <w:qFormat/>
    <w:uiPriority w:val="0"/>
    <w:pPr>
      <w:adjustRightInd/>
      <w:spacing w:line="360" w:lineRule="auto"/>
      <w:ind w:firstLine="480" w:firstLineChars="200"/>
    </w:pPr>
    <w:rPr>
      <w:rFonts w:ascii="Calibri" w:hAnsi="Calibri" w:eastAsiaTheme="minorEastAsia" w:cstheme="minorBidi"/>
      <w:sz w:val="24"/>
    </w:rPr>
  </w:style>
  <w:style w:type="character" w:customStyle="1" w:styleId="261">
    <w:name w:val="普通文字 Char3"/>
    <w:qFormat/>
    <w:uiPriority w:val="0"/>
    <w:rPr>
      <w:rFonts w:ascii="宋体" w:hAnsi="Courier New" w:eastAsia="宋体"/>
      <w:kern w:val="2"/>
      <w:sz w:val="21"/>
      <w:lang w:val="en-US" w:eastAsia="zh-CN" w:bidi="ar-SA"/>
    </w:rPr>
  </w:style>
  <w:style w:type="character" w:customStyle="1" w:styleId="262">
    <w:name w:val="仿宋正文 Char"/>
    <w:link w:val="263"/>
    <w:qFormat/>
    <w:uiPriority w:val="0"/>
    <w:rPr>
      <w:rFonts w:ascii="仿宋_GB2312" w:eastAsia="仿宋_GB2312"/>
      <w:sz w:val="24"/>
    </w:rPr>
  </w:style>
  <w:style w:type="paragraph" w:customStyle="1" w:styleId="263">
    <w:name w:val="仿宋正文"/>
    <w:basedOn w:val="1"/>
    <w:link w:val="262"/>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264">
    <w:name w:val="hui"/>
    <w:qFormat/>
    <w:uiPriority w:val="0"/>
    <w:rPr>
      <w:rFonts w:ascii="Arial" w:hAnsi="Arial" w:eastAsia="黑体" w:cs="Arial"/>
      <w:snapToGrid w:val="0"/>
      <w:kern w:val="0"/>
      <w:szCs w:val="21"/>
    </w:rPr>
  </w:style>
  <w:style w:type="character" w:customStyle="1" w:styleId="265">
    <w:name w:val="large1"/>
    <w:qFormat/>
    <w:uiPriority w:val="0"/>
    <w:rPr>
      <w:rFonts w:hint="eastAsia" w:ascii="宋体" w:hAnsi="宋体" w:eastAsia="宋体"/>
      <w:sz w:val="21"/>
      <w:szCs w:val="21"/>
    </w:rPr>
  </w:style>
  <w:style w:type="character" w:customStyle="1" w:styleId="266">
    <w:name w:val="bulletintext1"/>
    <w:qFormat/>
    <w:uiPriority w:val="0"/>
    <w:rPr>
      <w:color w:val="000000"/>
      <w:sz w:val="18"/>
    </w:rPr>
  </w:style>
  <w:style w:type="character" w:customStyle="1" w:styleId="267">
    <w:name w:val="纯文本 Char1"/>
    <w:link w:val="268"/>
    <w:qFormat/>
    <w:uiPriority w:val="0"/>
    <w:rPr>
      <w:rFonts w:ascii="宋体" w:hAnsi="Courier New"/>
    </w:rPr>
  </w:style>
  <w:style w:type="paragraph" w:customStyle="1" w:styleId="268">
    <w:name w:val="纯文本1"/>
    <w:basedOn w:val="1"/>
    <w:link w:val="267"/>
    <w:qFormat/>
    <w:uiPriority w:val="0"/>
    <w:pPr>
      <w:adjustRightInd/>
    </w:pPr>
    <w:rPr>
      <w:rFonts w:ascii="宋体" w:hAnsi="Courier New" w:eastAsiaTheme="minorEastAsia" w:cstheme="minorBidi"/>
      <w:szCs w:val="22"/>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Ò³Ã¼ Char Char1"/>
    <w:qFormat/>
    <w:uiPriority w:val="0"/>
    <w:rPr>
      <w:rFonts w:eastAsia="宋体"/>
      <w:kern w:val="2"/>
      <w:sz w:val="18"/>
      <w:szCs w:val="18"/>
      <w:lang w:val="en-US" w:eastAsia="zh-CN" w:bidi="ar-SA"/>
    </w:rPr>
  </w:style>
  <w:style w:type="character" w:customStyle="1" w:styleId="271">
    <w:name w:val="Char Char82"/>
    <w:qFormat/>
    <w:uiPriority w:val="0"/>
    <w:rPr>
      <w:rFonts w:eastAsia="宋体"/>
      <w:b/>
      <w:sz w:val="24"/>
      <w:lang w:val="en-GB" w:eastAsia="zh-CN"/>
    </w:rPr>
  </w:style>
  <w:style w:type="character" w:customStyle="1" w:styleId="272">
    <w:name w:val="纯文本 Char2"/>
    <w:semiHidden/>
    <w:qFormat/>
    <w:uiPriority w:val="99"/>
    <w:rPr>
      <w:rFonts w:ascii="宋体" w:hAnsi="Courier New" w:eastAsia="宋体" w:cs="Courier New"/>
    </w:rPr>
  </w:style>
  <w:style w:type="character" w:customStyle="1" w:styleId="273">
    <w:name w:val="样式3 Char"/>
    <w:qFormat/>
    <w:uiPriority w:val="0"/>
    <w:rPr>
      <w:rFonts w:ascii="仿宋_GB2312" w:hAnsi="仿宋" w:eastAsia="仿宋_GB2312" w:cs="仿宋_GB2312"/>
      <w:b/>
      <w:bCs/>
      <w:sz w:val="32"/>
      <w:szCs w:val="30"/>
      <w:lang w:val="zh-CN"/>
    </w:rPr>
  </w:style>
  <w:style w:type="character" w:customStyle="1" w:styleId="274">
    <w:name w:val="px14"/>
    <w:qFormat/>
    <w:uiPriority w:val="0"/>
    <w:rPr>
      <w:rFonts w:ascii="仿宋_GB2312" w:eastAsia="微软雅黑" w:cs="Times New Roman"/>
      <w:b/>
      <w:kern w:val="2"/>
      <w:sz w:val="32"/>
      <w:szCs w:val="32"/>
      <w:lang w:val="en-US" w:eastAsia="zh-CN" w:bidi="ar-SA"/>
    </w:rPr>
  </w:style>
  <w:style w:type="character" w:customStyle="1" w:styleId="275">
    <w:name w:val="Char Char15"/>
    <w:qFormat/>
    <w:uiPriority w:val="6"/>
    <w:rPr>
      <w:rFonts w:ascii="宋体" w:hAnsi="宋体"/>
      <w:kern w:val="1"/>
      <w:sz w:val="21"/>
    </w:rPr>
  </w:style>
  <w:style w:type="character" w:customStyle="1" w:styleId="276">
    <w:name w:val="Balloon Text Char"/>
    <w:qFormat/>
    <w:locked/>
    <w:uiPriority w:val="0"/>
    <w:rPr>
      <w:rFonts w:eastAsia="宋体"/>
      <w:kern w:val="2"/>
      <w:sz w:val="18"/>
      <w:szCs w:val="18"/>
      <w:lang w:val="en-US" w:eastAsia="zh-CN" w:bidi="ar-SA"/>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unnamed31"/>
    <w:qFormat/>
    <w:uiPriority w:val="0"/>
    <w:rPr>
      <w:rFonts w:ascii="Tahoma" w:hAnsi="Tahoma" w:eastAsia="宋体"/>
      <w:b/>
      <w:kern w:val="2"/>
      <w:sz w:val="24"/>
      <w:szCs w:val="32"/>
      <w:u w:val="none"/>
      <w:lang w:val="en-US" w:eastAsia="zh-CN" w:bidi="ar-SA"/>
    </w:rPr>
  </w:style>
  <w:style w:type="character" w:customStyle="1" w:styleId="279">
    <w:name w:val="Char Char13"/>
    <w:qFormat/>
    <w:uiPriority w:val="6"/>
    <w:rPr>
      <w:rFonts w:ascii="宋体" w:hAnsi="宋体"/>
      <w:kern w:val="1"/>
      <w:sz w:val="21"/>
      <w:szCs w:val="24"/>
    </w:rPr>
  </w:style>
  <w:style w:type="character" w:customStyle="1" w:styleId="280">
    <w:name w:val="列出段落 Char"/>
    <w:qFormat/>
    <w:uiPriority w:val="0"/>
    <w:rPr>
      <w:rFonts w:eastAsia="楷体_GB2312" w:cs="Lucida Sans"/>
      <w:kern w:val="2"/>
      <w:sz w:val="24"/>
      <w:szCs w:val="24"/>
      <w:lang w:val="en-US" w:eastAsia="zh-CN" w:bidi="ar-SA"/>
    </w:rPr>
  </w:style>
  <w:style w:type="character" w:customStyle="1" w:styleId="281">
    <w:name w:val="正文文本缩进 3 Char"/>
    <w:link w:val="59"/>
    <w:qFormat/>
    <w:uiPriority w:val="0"/>
    <w:rPr>
      <w:sz w:val="24"/>
    </w:rPr>
  </w:style>
  <w:style w:type="character" w:customStyle="1" w:styleId="282">
    <w:name w:val="Char Char161"/>
    <w:qFormat/>
    <w:uiPriority w:val="0"/>
    <w:rPr>
      <w:rFonts w:eastAsia="宋体"/>
      <w:b/>
      <w:kern w:val="2"/>
      <w:sz w:val="32"/>
      <w:lang w:val="en-US" w:eastAsia="zh-CN"/>
    </w:rPr>
  </w:style>
  <w:style w:type="character" w:customStyle="1" w:styleId="283">
    <w:name w:val="正文缩进 Char2"/>
    <w:link w:val="8"/>
    <w:qFormat/>
    <w:uiPriority w:val="0"/>
    <w:rPr>
      <w:rFonts w:ascii="宋体" w:eastAsia="宋体"/>
      <w:snapToGrid w:val="0"/>
      <w:color w:val="000000"/>
      <w:kern w:val="28"/>
      <w:sz w:val="28"/>
    </w:rPr>
  </w:style>
  <w:style w:type="character" w:customStyle="1" w:styleId="284">
    <w:name w:val="5正文 Char"/>
    <w:link w:val="285"/>
    <w:qFormat/>
    <w:uiPriority w:val="0"/>
    <w:rPr>
      <w:rFonts w:ascii="仿宋_GB2312" w:hAnsi="微软雅黑" w:eastAsia="仿宋_GB2312"/>
      <w:sz w:val="28"/>
      <w:szCs w:val="21"/>
    </w:rPr>
  </w:style>
  <w:style w:type="paragraph" w:customStyle="1" w:styleId="285">
    <w:name w:val="5正文"/>
    <w:basedOn w:val="1"/>
    <w:link w:val="284"/>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86">
    <w:name w:val="Char Char18"/>
    <w:qFormat/>
    <w:uiPriority w:val="6"/>
    <w:rPr>
      <w:rFonts w:ascii="宋体" w:hAnsi="宋体"/>
      <w:sz w:val="28"/>
    </w:rPr>
  </w:style>
  <w:style w:type="character" w:customStyle="1" w:styleId="287">
    <w:name w:val="solutionfonts"/>
    <w:qFormat/>
    <w:uiPriority w:val="0"/>
  </w:style>
  <w:style w:type="character" w:customStyle="1" w:styleId="288">
    <w:name w:val="Heading 7 Char"/>
    <w:qFormat/>
    <w:locked/>
    <w:uiPriority w:val="0"/>
    <w:rPr>
      <w:rFonts w:ascii="宋体" w:hAnsi="宋体" w:eastAsia="宋体"/>
      <w:b/>
      <w:bCs/>
      <w:kern w:val="2"/>
      <w:sz w:val="24"/>
      <w:szCs w:val="24"/>
      <w:lang w:val="en-US" w:eastAsia="zh-CN" w:bidi="ar-SA"/>
    </w:rPr>
  </w:style>
  <w:style w:type="character" w:customStyle="1" w:styleId="289">
    <w:name w:val="hei16b1"/>
    <w:qFormat/>
    <w:uiPriority w:val="0"/>
    <w:rPr>
      <w:rFonts w:hint="default" w:ascii="Arial" w:hAnsi="Arial" w:cs="Arial"/>
      <w:b/>
      <w:bCs/>
      <w:color w:val="000000"/>
      <w:sz w:val="24"/>
      <w:szCs w:val="24"/>
    </w:rPr>
  </w:style>
  <w:style w:type="character" w:customStyle="1" w:styleId="290">
    <w:name w:val="Char Char25"/>
    <w:qFormat/>
    <w:uiPriority w:val="6"/>
    <w:rPr>
      <w:rFonts w:ascii="宋体" w:hAnsi="宋体"/>
      <w:kern w:val="1"/>
      <w:sz w:val="24"/>
      <w:lang w:val="zh-CN"/>
    </w:rPr>
  </w:style>
  <w:style w:type="character" w:customStyle="1" w:styleId="291">
    <w:name w:val="样式 样式 标题 4h4H4Fab-4T5Ref Heading 1rh1Heading sqlsect 1.2.3.... +... Char"/>
    <w:link w:val="292"/>
    <w:qFormat/>
    <w:uiPriority w:val="0"/>
    <w:rPr>
      <w:rFonts w:ascii="微软雅黑" w:hAnsi="微软雅黑" w:eastAsia="微软雅黑"/>
      <w:b/>
      <w:bCs/>
      <w:sz w:val="24"/>
      <w:szCs w:val="28"/>
    </w:rPr>
  </w:style>
  <w:style w:type="paragraph" w:customStyle="1" w:styleId="292">
    <w:name w:val="样式 样式 标题 4h4H4Fab-4T5Ref Heading 1rh1Heading sqlsect 1.2.3.... +..."/>
    <w:basedOn w:val="293"/>
    <w:link w:val="291"/>
    <w:qFormat/>
    <w:uiPriority w:val="0"/>
    <w:pPr>
      <w:tabs>
        <w:tab w:val="left" w:pos="2356"/>
      </w:tabs>
    </w:pPr>
  </w:style>
  <w:style w:type="paragraph" w:customStyle="1" w:styleId="293">
    <w:name w:val="样式 标题 4h4H4Fab-4T5Ref Heading 1rh1Heading sqlsect 1.2.3...."/>
    <w:basedOn w:val="9"/>
    <w:link w:val="327"/>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294">
    <w:name w:val="font11"/>
    <w:qFormat/>
    <w:uiPriority w:val="0"/>
    <w:rPr>
      <w:rFonts w:hint="default" w:ascii="Times New Roman" w:hAnsi="Times New Roman" w:cs="Times New Roman"/>
      <w:color w:val="000000"/>
      <w:sz w:val="22"/>
      <w:szCs w:val="22"/>
      <w:u w:val="none"/>
    </w:rPr>
  </w:style>
  <w:style w:type="character" w:customStyle="1" w:styleId="295">
    <w:name w:val="链接"/>
    <w:qFormat/>
    <w:uiPriority w:val="0"/>
    <w:rPr>
      <w:color w:val="0000FF"/>
      <w:sz w:val="21"/>
      <w:szCs w:val="21"/>
      <w:u w:val="single"/>
    </w:rPr>
  </w:style>
  <w:style w:type="character" w:customStyle="1" w:styleId="296">
    <w:name w:val="样式2 Char"/>
    <w:qFormat/>
    <w:uiPriority w:val="0"/>
    <w:rPr>
      <w:rFonts w:ascii="仿宋_GB2312" w:hAnsi="仿宋" w:eastAsia="仿宋_GB2312" w:cs="仿宋_GB2312"/>
      <w:b/>
      <w:bCs/>
      <w:sz w:val="32"/>
      <w:szCs w:val="30"/>
      <w:lang w:val="zh-CN"/>
    </w:rPr>
  </w:style>
  <w:style w:type="character" w:customStyle="1" w:styleId="297">
    <w:name w:val="正文 项目 Char"/>
    <w:qFormat/>
    <w:uiPriority w:val="0"/>
    <w:rPr>
      <w:rFonts w:ascii="仿宋_GB2312" w:hAnsi="仿宋_GB2312" w:eastAsia="仿宋_GB2312"/>
      <w:kern w:val="2"/>
      <w:sz w:val="24"/>
      <w:lang w:bidi="ar-SA"/>
    </w:rPr>
  </w:style>
  <w:style w:type="character" w:customStyle="1" w:styleId="298">
    <w:name w:val="题注 Char"/>
    <w:link w:val="21"/>
    <w:qFormat/>
    <w:uiPriority w:val="0"/>
    <w:rPr>
      <w:b/>
      <w:sz w:val="28"/>
    </w:rPr>
  </w:style>
  <w:style w:type="character" w:customStyle="1" w:styleId="299">
    <w:name w:val="Char Char61"/>
    <w:qFormat/>
    <w:uiPriority w:val="6"/>
    <w:rPr>
      <w:rFonts w:eastAsia="宋体"/>
      <w:kern w:val="2"/>
      <w:sz w:val="21"/>
      <w:szCs w:val="24"/>
      <w:lang w:val="en-US" w:eastAsia="zh-CN" w:bidi="ar-SA"/>
    </w:rPr>
  </w:style>
  <w:style w:type="character" w:customStyle="1" w:styleId="300">
    <w:name w:val="样式4 Char"/>
    <w:qFormat/>
    <w:uiPriority w:val="0"/>
    <w:rPr>
      <w:rFonts w:ascii="仿宋_GB2312" w:hAnsi="仿宋" w:eastAsia="仿宋_GB2312"/>
      <w:b/>
      <w:kern w:val="2"/>
      <w:sz w:val="32"/>
      <w:szCs w:val="32"/>
      <w:lang w:bidi="ar-SA"/>
    </w:rPr>
  </w:style>
  <w:style w:type="character" w:customStyle="1" w:styleId="301">
    <w:name w:val="font21"/>
    <w:qFormat/>
    <w:uiPriority w:val="0"/>
    <w:rPr>
      <w:rFonts w:hint="eastAsia" w:ascii="宋体" w:hAnsi="宋体" w:eastAsia="宋体"/>
      <w:kern w:val="2"/>
      <w:sz w:val="28"/>
      <w:szCs w:val="28"/>
      <w:lang w:val="en-US" w:eastAsia="zh-CN" w:bidi="ar-SA"/>
    </w:rPr>
  </w:style>
  <w:style w:type="character" w:customStyle="1" w:styleId="302">
    <w:name w:val="Char Char22"/>
    <w:qFormat/>
    <w:uiPriority w:val="6"/>
    <w:rPr>
      <w:rFonts w:ascii="宋体" w:hAnsi="宋体"/>
      <w:kern w:val="1"/>
      <w:sz w:val="24"/>
      <w:szCs w:val="24"/>
    </w:rPr>
  </w:style>
  <w:style w:type="character" w:customStyle="1" w:styleId="303">
    <w:name w:val="PI Char"/>
    <w:qFormat/>
    <w:uiPriority w:val="0"/>
    <w:rPr>
      <w:rFonts w:ascii="宋体" w:hAnsi="宋体" w:eastAsia="宋体"/>
      <w:kern w:val="2"/>
      <w:sz w:val="24"/>
      <w:szCs w:val="24"/>
      <w:lang w:val="en-US" w:eastAsia="zh-CN" w:bidi="ar-SA"/>
    </w:rPr>
  </w:style>
  <w:style w:type="character" w:customStyle="1" w:styleId="304">
    <w:name w:val="标题 4 Char2"/>
    <w:link w:val="9"/>
    <w:qFormat/>
    <w:uiPriority w:val="9"/>
    <w:rPr>
      <w:rFonts w:ascii="Arial" w:hAnsi="Arial" w:eastAsia="黑体" w:cs="Times New Roman"/>
      <w:b/>
      <w:bCs/>
      <w:sz w:val="28"/>
      <w:szCs w:val="28"/>
      <w:lang w:val="zh-CN"/>
    </w:rPr>
  </w:style>
  <w:style w:type="character" w:customStyle="1" w:styleId="305">
    <w:name w:val="font41"/>
    <w:qFormat/>
    <w:uiPriority w:val="0"/>
    <w:rPr>
      <w:rFonts w:hint="eastAsia" w:ascii="仿宋_GB2312" w:eastAsia="仿宋_GB2312" w:cs="仿宋_GB2312"/>
      <w:color w:val="000000"/>
      <w:sz w:val="22"/>
      <w:szCs w:val="22"/>
      <w:u w:val="none"/>
    </w:rPr>
  </w:style>
  <w:style w:type="character" w:customStyle="1" w:styleId="306">
    <w:name w:val="param-name"/>
    <w:qFormat/>
    <w:uiPriority w:val="99"/>
    <w:rPr>
      <w:rFonts w:ascii="Arial" w:hAnsi="Arial" w:eastAsia="黑体" w:cs="Arial"/>
      <w:snapToGrid w:val="0"/>
      <w:kern w:val="0"/>
      <w:szCs w:val="21"/>
    </w:rPr>
  </w:style>
  <w:style w:type="character" w:customStyle="1" w:styleId="307">
    <w:name w:val="pt9"/>
    <w:qFormat/>
    <w:uiPriority w:val="0"/>
    <w:rPr>
      <w:rFonts w:ascii="仿宋_GB2312" w:eastAsia="微软雅黑"/>
      <w:b/>
      <w:kern w:val="2"/>
      <w:sz w:val="32"/>
      <w:szCs w:val="32"/>
      <w:lang w:val="en-US" w:eastAsia="zh-CN" w:bidi="ar-SA"/>
    </w:rPr>
  </w:style>
  <w:style w:type="character" w:customStyle="1" w:styleId="308">
    <w:name w:val="正文文本 2 Char"/>
    <w:qFormat/>
    <w:uiPriority w:val="0"/>
    <w:rPr>
      <w:rFonts w:eastAsia="宋体"/>
      <w:kern w:val="2"/>
      <w:sz w:val="21"/>
      <w:szCs w:val="24"/>
      <w:lang w:val="en-US" w:eastAsia="zh-CN" w:bidi="ar-SA"/>
    </w:rPr>
  </w:style>
  <w:style w:type="character" w:customStyle="1" w:styleId="309">
    <w:name w:val="正文非缩进 Char3"/>
    <w:qFormat/>
    <w:uiPriority w:val="0"/>
    <w:rPr>
      <w:rFonts w:ascii="宋体" w:eastAsia="宋体"/>
      <w:snapToGrid w:val="0"/>
      <w:color w:val="000000"/>
      <w:kern w:val="28"/>
      <w:sz w:val="28"/>
      <w:lang w:val="en-US" w:eastAsia="zh-CN" w:bidi="ar-SA"/>
    </w:rPr>
  </w:style>
  <w:style w:type="character" w:customStyle="1" w:styleId="310">
    <w:name w:val="此正文 Char"/>
    <w:link w:val="311"/>
    <w:qFormat/>
    <w:uiPriority w:val="0"/>
    <w:rPr>
      <w:sz w:val="24"/>
      <w:szCs w:val="24"/>
    </w:rPr>
  </w:style>
  <w:style w:type="paragraph" w:customStyle="1" w:styleId="311">
    <w:name w:val="此正文"/>
    <w:basedOn w:val="1"/>
    <w:link w:val="310"/>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12">
    <w:name w:val="列出段落 Char2"/>
    <w:qFormat/>
    <w:uiPriority w:val="34"/>
    <w:rPr>
      <w:rFonts w:ascii="Calibri" w:hAnsi="Calibri"/>
      <w:kern w:val="2"/>
      <w:sz w:val="28"/>
    </w:rPr>
  </w:style>
  <w:style w:type="character" w:customStyle="1" w:styleId="313">
    <w:name w:val="正文文本缩进 Char1"/>
    <w:qFormat/>
    <w:uiPriority w:val="0"/>
    <w:rPr>
      <w:rFonts w:ascii="Calibri" w:hAnsi="Calibri"/>
      <w:sz w:val="28"/>
    </w:rPr>
  </w:style>
  <w:style w:type="character" w:customStyle="1" w:styleId="314">
    <w:name w:val="font12gray1"/>
    <w:qFormat/>
    <w:uiPriority w:val="0"/>
    <w:rPr>
      <w:rFonts w:ascii="仿宋_GB2312" w:eastAsia="微软雅黑"/>
      <w:b/>
      <w:spacing w:val="300"/>
      <w:kern w:val="2"/>
      <w:sz w:val="18"/>
      <w:szCs w:val="18"/>
      <w:lang w:val="en-US" w:eastAsia="zh-CN" w:bidi="ar-SA"/>
    </w:rPr>
  </w:style>
  <w:style w:type="character" w:customStyle="1" w:styleId="315">
    <w:name w:val="Char Char12"/>
    <w:qFormat/>
    <w:uiPriority w:val="0"/>
    <w:rPr>
      <w:rFonts w:ascii="仿宋_GB2312" w:eastAsia="仿宋_GB2312"/>
      <w:b/>
      <w:bCs/>
      <w:kern w:val="2"/>
      <w:sz w:val="24"/>
      <w:szCs w:val="24"/>
      <w:lang w:val="zh-CN" w:eastAsia="zh-CN" w:bidi="ar-SA"/>
    </w:rPr>
  </w:style>
  <w:style w:type="character" w:customStyle="1" w:styleId="316">
    <w:name w:val="txt"/>
    <w:qFormat/>
    <w:uiPriority w:val="0"/>
    <w:rPr>
      <w:rFonts w:ascii="仿宋_GB2312" w:eastAsia="微软雅黑"/>
      <w:b/>
      <w:kern w:val="2"/>
      <w:sz w:val="32"/>
      <w:szCs w:val="32"/>
      <w:lang w:val="en-US" w:eastAsia="zh-CN" w:bidi="ar-SA"/>
    </w:rPr>
  </w:style>
  <w:style w:type="character" w:customStyle="1" w:styleId="317">
    <w:name w:val="Footer-Even Char1"/>
    <w:qFormat/>
    <w:uiPriority w:val="0"/>
    <w:rPr>
      <w:rFonts w:eastAsia="宋体"/>
      <w:kern w:val="2"/>
      <w:sz w:val="18"/>
      <w:szCs w:val="18"/>
      <w:lang w:val="en-US" w:eastAsia="zh-CN" w:bidi="ar-SA"/>
    </w:rPr>
  </w:style>
  <w:style w:type="character" w:customStyle="1" w:styleId="318">
    <w:name w:val="font51"/>
    <w:qFormat/>
    <w:uiPriority w:val="0"/>
    <w:rPr>
      <w:rFonts w:hint="eastAsia" w:ascii="仿宋" w:hAnsi="仿宋" w:eastAsia="仿宋" w:cs="仿宋"/>
      <w:color w:val="000000"/>
      <w:sz w:val="20"/>
      <w:szCs w:val="20"/>
      <w:u w:val="none"/>
    </w:rPr>
  </w:style>
  <w:style w:type="character" w:customStyle="1" w:styleId="319">
    <w:name w:val="font81"/>
    <w:qFormat/>
    <w:uiPriority w:val="0"/>
    <w:rPr>
      <w:rFonts w:ascii="微软雅黑" w:hAnsi="微软雅黑" w:eastAsia="微软雅黑" w:cs="微软雅黑"/>
      <w:color w:val="000000"/>
      <w:sz w:val="20"/>
      <w:szCs w:val="20"/>
      <w:u w:val="none"/>
    </w:rPr>
  </w:style>
  <w:style w:type="character" w:customStyle="1" w:styleId="320">
    <w:name w:val="www序号1) Char Char"/>
    <w:link w:val="321"/>
    <w:qFormat/>
    <w:uiPriority w:val="0"/>
    <w:rPr>
      <w:sz w:val="24"/>
      <w:szCs w:val="24"/>
    </w:rPr>
  </w:style>
  <w:style w:type="paragraph" w:customStyle="1" w:styleId="321">
    <w:name w:val="www序号1)"/>
    <w:basedOn w:val="1"/>
    <w:link w:val="320"/>
    <w:qFormat/>
    <w:uiPriority w:val="0"/>
    <w:pPr>
      <w:tabs>
        <w:tab w:val="left" w:pos="2160"/>
      </w:tabs>
      <w:adjustRightInd/>
      <w:ind w:left="2160" w:hanging="420"/>
    </w:pPr>
    <w:rPr>
      <w:rFonts w:asciiTheme="minorHAnsi" w:hAnsiTheme="minorHAnsi" w:eastAsiaTheme="minorEastAsia" w:cstheme="minorBidi"/>
      <w:sz w:val="24"/>
    </w:rPr>
  </w:style>
  <w:style w:type="character" w:customStyle="1" w:styleId="322">
    <w:name w:val="big1"/>
    <w:qFormat/>
    <w:uiPriority w:val="0"/>
    <w:rPr>
      <w:rFonts w:hint="eastAsia" w:ascii="宋体" w:hAnsi="宋体" w:eastAsia="宋体"/>
      <w:color w:val="333333"/>
      <w:sz w:val="22"/>
      <w:szCs w:val="22"/>
    </w:rPr>
  </w:style>
  <w:style w:type="character" w:customStyle="1" w:styleId="323">
    <w:name w:val="FA正文 Char Char"/>
    <w:qFormat/>
    <w:uiPriority w:val="0"/>
    <w:rPr>
      <w:rFonts w:hAnsi="宋体"/>
      <w:kern w:val="2"/>
      <w:sz w:val="24"/>
      <w:lang w:bidi="ar-SA"/>
    </w:rPr>
  </w:style>
  <w:style w:type="character" w:customStyle="1" w:styleId="324">
    <w:name w:val="正文 编号 Char"/>
    <w:qFormat/>
    <w:uiPriority w:val="0"/>
    <w:rPr>
      <w:rFonts w:ascii="仿宋_GB2312" w:hAnsi="仿宋_GB2312" w:eastAsia="仿宋_GB2312"/>
      <w:kern w:val="2"/>
      <w:sz w:val="24"/>
      <w:lang w:bidi="ar-SA"/>
    </w:rPr>
  </w:style>
  <w:style w:type="character" w:customStyle="1" w:styleId="325">
    <w:name w:val="标题 2 Char"/>
    <w:qFormat/>
    <w:uiPriority w:val="0"/>
    <w:rPr>
      <w:rFonts w:ascii="Arial" w:hAnsi="Arial" w:eastAsia="黑体"/>
      <w:b/>
      <w:kern w:val="2"/>
      <w:sz w:val="32"/>
      <w:lang w:val="en-US" w:eastAsia="zh-CN"/>
    </w:rPr>
  </w:style>
  <w:style w:type="character" w:customStyle="1" w:styleId="326">
    <w:name w:val="Char Char51"/>
    <w:qFormat/>
    <w:uiPriority w:val="0"/>
    <w:rPr>
      <w:rFonts w:ascii="宋体" w:hAnsi="Courier New" w:eastAsia="宋体"/>
      <w:kern w:val="2"/>
      <w:sz w:val="21"/>
      <w:lang w:val="en-US" w:eastAsia="zh-CN"/>
    </w:rPr>
  </w:style>
  <w:style w:type="character" w:customStyle="1" w:styleId="327">
    <w:name w:val="样式 标题 4h4H4Fab-4T5Ref Heading 1rh1Heading sqlsect 1.2.3.... Char"/>
    <w:link w:val="293"/>
    <w:qFormat/>
    <w:uiPriority w:val="0"/>
    <w:rPr>
      <w:rFonts w:ascii="微软雅黑" w:hAnsi="微软雅黑" w:eastAsia="微软雅黑"/>
      <w:b/>
      <w:bCs/>
      <w:sz w:val="24"/>
      <w:szCs w:val="28"/>
    </w:rPr>
  </w:style>
  <w:style w:type="character" w:customStyle="1" w:styleId="328">
    <w:name w:val="H6 Char"/>
    <w:qFormat/>
    <w:uiPriority w:val="0"/>
    <w:rPr>
      <w:rFonts w:ascii="Arial" w:hAnsi="Arial" w:eastAsia="黑体"/>
      <w:b/>
      <w:bCs/>
      <w:kern w:val="2"/>
      <w:sz w:val="24"/>
      <w:szCs w:val="24"/>
    </w:rPr>
  </w:style>
  <w:style w:type="character" w:customStyle="1" w:styleId="329">
    <w:name w:val="页眉 Char"/>
    <w:qFormat/>
    <w:uiPriority w:val="99"/>
    <w:rPr>
      <w:rFonts w:eastAsia="仿宋_GB2312"/>
      <w:kern w:val="2"/>
      <w:sz w:val="18"/>
      <w:lang w:val="en-US" w:eastAsia="zh-CN"/>
    </w:rPr>
  </w:style>
  <w:style w:type="character" w:customStyle="1" w:styleId="330">
    <w:name w:val="h4 Char"/>
    <w:qFormat/>
    <w:uiPriority w:val="0"/>
    <w:rPr>
      <w:rFonts w:ascii="Arial" w:hAnsi="Arial" w:eastAsia="黑体"/>
      <w:b/>
      <w:bCs/>
      <w:kern w:val="2"/>
      <w:sz w:val="28"/>
      <w:szCs w:val="28"/>
      <w:lang w:val="zh-CN" w:eastAsia="zh-CN" w:bidi="ar-SA"/>
    </w:rPr>
  </w:style>
  <w:style w:type="character" w:customStyle="1" w:styleId="331">
    <w:name w:val="页脚 字符1"/>
    <w:qFormat/>
    <w:locked/>
    <w:uiPriority w:val="99"/>
    <w:rPr>
      <w:kern w:val="2"/>
      <w:sz w:val="18"/>
      <w:szCs w:val="18"/>
    </w:rPr>
  </w:style>
  <w:style w:type="character" w:customStyle="1" w:styleId="332">
    <w:name w:val="Comment Text Char"/>
    <w:qFormat/>
    <w:locked/>
    <w:uiPriority w:val="0"/>
    <w:rPr>
      <w:rFonts w:ascii="宋体" w:hAnsi="宋体" w:eastAsia="宋体"/>
      <w:kern w:val="2"/>
      <w:sz w:val="24"/>
      <w:lang w:val="en-US" w:eastAsia="zh-CN" w:bidi="ar-SA"/>
    </w:rPr>
  </w:style>
  <w:style w:type="character" w:customStyle="1" w:styleId="333">
    <w:name w:val="正文1 Char"/>
    <w:qFormat/>
    <w:uiPriority w:val="0"/>
    <w:rPr>
      <w:rFonts w:ascii="宋体" w:eastAsia="宋体"/>
      <w:snapToGrid w:val="0"/>
      <w:color w:val="000000"/>
      <w:kern w:val="28"/>
      <w:sz w:val="28"/>
      <w:lang w:val="en-US" w:eastAsia="zh-CN" w:bidi="ar-SA"/>
    </w:rPr>
  </w:style>
  <w:style w:type="character" w:customStyle="1" w:styleId="334">
    <w:name w:val="h Char Char"/>
    <w:qFormat/>
    <w:uiPriority w:val="0"/>
    <w:rPr>
      <w:rFonts w:eastAsia="宋体"/>
      <w:kern w:val="2"/>
      <w:sz w:val="18"/>
      <w:lang w:val="en-US" w:eastAsia="zh-CN" w:bidi="ar-SA"/>
    </w:rPr>
  </w:style>
  <w:style w:type="character" w:customStyle="1" w:styleId="335">
    <w:name w:val="纯文本 Char Char"/>
    <w:qFormat/>
    <w:uiPriority w:val="0"/>
    <w:rPr>
      <w:rFonts w:ascii="宋体" w:hAnsi="Courier New" w:eastAsia="宋体"/>
      <w:kern w:val="2"/>
      <w:sz w:val="21"/>
      <w:lang w:val="en-US" w:eastAsia="zh-CN" w:bidi="ar-SA"/>
    </w:rPr>
  </w:style>
  <w:style w:type="character" w:customStyle="1" w:styleId="336">
    <w:name w:val="15"/>
    <w:qFormat/>
    <w:uiPriority w:val="0"/>
    <w:rPr>
      <w:rFonts w:hint="default" w:ascii="Calibri" w:hAnsi="Calibri"/>
      <w:color w:val="0000FF"/>
      <w:u w:val="single"/>
    </w:rPr>
  </w:style>
  <w:style w:type="character" w:customStyle="1" w:styleId="337">
    <w:name w:val="Char Char411"/>
    <w:qFormat/>
    <w:uiPriority w:val="0"/>
    <w:rPr>
      <w:rFonts w:eastAsia="宋体"/>
      <w:b/>
      <w:sz w:val="24"/>
      <w:lang w:val="en-GB" w:eastAsia="zh-CN" w:bidi="ar-SA"/>
    </w:rPr>
  </w:style>
  <w:style w:type="character" w:customStyle="1" w:styleId="338">
    <w:name w:val="Char Char19"/>
    <w:qFormat/>
    <w:uiPriority w:val="6"/>
    <w:rPr>
      <w:rFonts w:ascii="宋体" w:hAnsi="宋体"/>
      <w:i/>
      <w:sz w:val="24"/>
      <w:szCs w:val="24"/>
    </w:rPr>
  </w:style>
  <w:style w:type="character" w:customStyle="1" w:styleId="339">
    <w:name w:val="哈哈正文 Char"/>
    <w:link w:val="340"/>
    <w:qFormat/>
    <w:uiPriority w:val="0"/>
    <w:rPr>
      <w:rFonts w:ascii="宋体" w:hAnsi="宋体" w:eastAsia="宋体"/>
      <w:sz w:val="24"/>
    </w:rPr>
  </w:style>
  <w:style w:type="paragraph" w:customStyle="1" w:styleId="340">
    <w:name w:val="哈哈正文"/>
    <w:basedOn w:val="1"/>
    <w:link w:val="339"/>
    <w:qFormat/>
    <w:uiPriority w:val="0"/>
    <w:pPr>
      <w:adjustRightInd/>
      <w:spacing w:line="360" w:lineRule="auto"/>
      <w:ind w:firstLine="200" w:firstLineChars="200"/>
    </w:pPr>
    <w:rPr>
      <w:rFonts w:ascii="宋体" w:hAnsi="宋体" w:cstheme="minorBidi"/>
      <w:sz w:val="24"/>
      <w:szCs w:val="22"/>
    </w:rPr>
  </w:style>
  <w:style w:type="character" w:customStyle="1" w:styleId="341">
    <w:name w:val="message1"/>
    <w:qFormat/>
    <w:uiPriority w:val="0"/>
    <w:rPr>
      <w:rFonts w:hint="default" w:ascii="Tahoma" w:hAnsi="Tahoma" w:cs="Tahoma"/>
      <w:sz w:val="18"/>
      <w:szCs w:val="18"/>
    </w:rPr>
  </w:style>
  <w:style w:type="character" w:customStyle="1" w:styleId="342">
    <w:name w:val="content"/>
    <w:qFormat/>
    <w:uiPriority w:val="0"/>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正文首行缩进 Char"/>
    <w:link w:val="3"/>
    <w:qFormat/>
    <w:uiPriority w:val="0"/>
    <w:rPr>
      <w:rFonts w:ascii="宋体"/>
      <w:sz w:val="24"/>
      <w:lang w:val="zh-CN"/>
    </w:rPr>
  </w:style>
  <w:style w:type="character" w:customStyle="1" w:styleId="345">
    <w:name w:val="引用 Char1"/>
    <w:qFormat/>
    <w:uiPriority w:val="99"/>
    <w:rPr>
      <w:i/>
      <w:iCs/>
      <w:color w:val="000000"/>
      <w:kern w:val="2"/>
      <w:sz w:val="21"/>
      <w:szCs w:val="24"/>
    </w:rPr>
  </w:style>
  <w:style w:type="character" w:customStyle="1" w:styleId="346">
    <w:name w:val="副标题 Char"/>
    <w:link w:val="55"/>
    <w:qFormat/>
    <w:uiPriority w:val="0"/>
    <w:rPr>
      <w:rFonts w:ascii="Arial" w:hAnsi="Arial" w:eastAsia="隶书"/>
      <w:b/>
      <w:bCs/>
      <w:kern w:val="28"/>
      <w:sz w:val="44"/>
      <w:szCs w:val="32"/>
    </w:rPr>
  </w:style>
  <w:style w:type="character" w:customStyle="1" w:styleId="347">
    <w:name w:val="标书1 Char1"/>
    <w:qFormat/>
    <w:uiPriority w:val="0"/>
    <w:rPr>
      <w:rFonts w:eastAsia="宋体"/>
      <w:b/>
      <w:bCs/>
      <w:kern w:val="44"/>
      <w:sz w:val="44"/>
      <w:szCs w:val="44"/>
      <w:lang w:val="en-US" w:eastAsia="zh-CN" w:bidi="ar-SA"/>
    </w:rPr>
  </w:style>
  <w:style w:type="character" w:customStyle="1" w:styleId="348">
    <w:name w:val="正文文本缩进 Char2"/>
    <w:qFormat/>
    <w:uiPriority w:val="0"/>
    <w:rPr>
      <w:rFonts w:ascii="Times New Roman" w:hAnsi="Times New Roman" w:eastAsia="宋体" w:cs="Times New Roman"/>
      <w:snapToGrid w:val="0"/>
      <w:kern w:val="0"/>
      <w:szCs w:val="24"/>
    </w:rPr>
  </w:style>
  <w:style w:type="character" w:customStyle="1" w:styleId="349">
    <w:name w:val="myp11"/>
    <w:qFormat/>
    <w:uiPriority w:val="0"/>
    <w:rPr>
      <w:rFonts w:ascii="仿宋_GB2312" w:eastAsia="微软雅黑"/>
      <w:b/>
      <w:kern w:val="2"/>
      <w:sz w:val="32"/>
      <w:szCs w:val="32"/>
      <w:lang w:val="en-US" w:eastAsia="zh-CN" w:bidi="ar-SA"/>
    </w:rPr>
  </w:style>
  <w:style w:type="character" w:customStyle="1" w:styleId="350">
    <w:name w:val="Char Char4"/>
    <w:qFormat/>
    <w:uiPriority w:val="0"/>
    <w:rPr>
      <w:rFonts w:eastAsia="宋体"/>
      <w:b/>
      <w:sz w:val="24"/>
      <w:lang w:val="en-GB" w:eastAsia="zh-CN" w:bidi="ar-SA"/>
    </w:rPr>
  </w:style>
  <w:style w:type="character" w:customStyle="1" w:styleId="351">
    <w:name w:val="Char Char81"/>
    <w:qFormat/>
    <w:uiPriority w:val="6"/>
    <w:rPr>
      <w:rFonts w:eastAsia="宋体"/>
      <w:b/>
      <w:sz w:val="24"/>
      <w:lang w:val="en-GB" w:eastAsia="zh-CN"/>
    </w:rPr>
  </w:style>
  <w:style w:type="character" w:customStyle="1" w:styleId="352">
    <w:name w:val="正文缩进 Char"/>
    <w:qFormat/>
    <w:uiPriority w:val="0"/>
    <w:rPr>
      <w:rFonts w:eastAsia="宋体"/>
      <w:kern w:val="2"/>
      <w:sz w:val="21"/>
      <w:lang w:val="en-US" w:eastAsia="zh-CN"/>
    </w:rPr>
  </w:style>
  <w:style w:type="character" w:customStyle="1" w:styleId="353">
    <w:name w:val="Char Char611"/>
    <w:qFormat/>
    <w:uiPriority w:val="0"/>
    <w:rPr>
      <w:rFonts w:eastAsia="宋体"/>
      <w:kern w:val="2"/>
      <w:sz w:val="21"/>
      <w:szCs w:val="24"/>
      <w:lang w:val="en-US" w:eastAsia="zh-CN" w:bidi="ar-SA"/>
    </w:rPr>
  </w:style>
  <w:style w:type="character" w:customStyle="1" w:styleId="354">
    <w:name w:val="Char Char10"/>
    <w:semiHidden/>
    <w:qFormat/>
    <w:uiPriority w:val="0"/>
    <w:rPr>
      <w:rFonts w:ascii="宋体" w:hAnsi="宋体"/>
      <w:kern w:val="2"/>
      <w:sz w:val="21"/>
      <w:szCs w:val="24"/>
      <w:lang w:val="en-US" w:eastAsia="zh-CN"/>
    </w:rPr>
  </w:style>
  <w:style w:type="character" w:customStyle="1" w:styleId="355">
    <w:name w:val="my正文 Char"/>
    <w:link w:val="356"/>
    <w:qFormat/>
    <w:locked/>
    <w:uiPriority w:val="0"/>
    <w:rPr>
      <w:rFonts w:ascii="Tahoma" w:hAnsi="Tahoma"/>
      <w:sz w:val="24"/>
      <w:szCs w:val="24"/>
    </w:rPr>
  </w:style>
  <w:style w:type="paragraph" w:customStyle="1" w:styleId="356">
    <w:name w:val="my正文"/>
    <w:basedOn w:val="1"/>
    <w:link w:val="355"/>
    <w:qFormat/>
    <w:uiPriority w:val="0"/>
    <w:pPr>
      <w:adjustRightInd/>
      <w:spacing w:line="360" w:lineRule="auto"/>
      <w:ind w:firstLine="480" w:firstLineChars="200"/>
    </w:pPr>
    <w:rPr>
      <w:rFonts w:ascii="Tahoma" w:hAnsi="Tahoma" w:eastAsiaTheme="minorEastAsia" w:cstheme="minorBidi"/>
      <w:sz w:val="24"/>
    </w:rPr>
  </w:style>
  <w:style w:type="character" w:customStyle="1" w:styleId="357">
    <w:name w:val="Footer-Even Char"/>
    <w:qFormat/>
    <w:uiPriority w:val="0"/>
    <w:rPr>
      <w:rFonts w:eastAsia="宋体"/>
      <w:kern w:val="2"/>
      <w:sz w:val="18"/>
      <w:lang w:val="en-US" w:eastAsia="zh-CN" w:bidi="ar-SA"/>
    </w:rPr>
  </w:style>
  <w:style w:type="character" w:customStyle="1" w:styleId="358">
    <w:name w:val="tw4winMark"/>
    <w:qFormat/>
    <w:uiPriority w:val="0"/>
    <w:rPr>
      <w:rFonts w:ascii="Courier New" w:hAnsi="Courier New" w:cs="Courier New"/>
      <w:vanish/>
      <w:color w:val="800080"/>
      <w:sz w:val="24"/>
      <w:szCs w:val="24"/>
      <w:vertAlign w:val="subscript"/>
    </w:rPr>
  </w:style>
  <w:style w:type="character" w:customStyle="1" w:styleId="359">
    <w:name w:val="tw4winPopup"/>
    <w:qFormat/>
    <w:uiPriority w:val="0"/>
    <w:rPr>
      <w:rFonts w:ascii="Courier New" w:hAnsi="Courier New" w:cs="Courier New"/>
      <w:color w:val="008000"/>
      <w:lang w:val="en-US" w:eastAsia="zh-CN"/>
    </w:rPr>
  </w:style>
  <w:style w:type="character" w:customStyle="1" w:styleId="360">
    <w:name w:val="副标题 Char2"/>
    <w:qFormat/>
    <w:uiPriority w:val="0"/>
    <w:rPr>
      <w:rFonts w:ascii="Cambria" w:hAnsi="Cambria" w:eastAsia="宋体" w:cs="Times New Roman"/>
      <w:b/>
      <w:bCs/>
      <w:snapToGrid w:val="0"/>
      <w:kern w:val="28"/>
      <w:sz w:val="32"/>
      <w:szCs w:val="32"/>
    </w:rPr>
  </w:style>
  <w:style w:type="character" w:customStyle="1" w:styleId="361">
    <w:name w:val="无间隔 Char"/>
    <w:link w:val="362"/>
    <w:qFormat/>
    <w:uiPriority w:val="99"/>
  </w:style>
  <w:style w:type="paragraph" w:styleId="362">
    <w:name w:val="No Spacing"/>
    <w:basedOn w:val="1"/>
    <w:link w:val="361"/>
    <w:qFormat/>
    <w:uiPriority w:val="99"/>
    <w:rPr>
      <w:rFonts w:asciiTheme="minorHAnsi" w:hAnsiTheme="minorHAnsi" w:eastAsiaTheme="minorEastAsia" w:cstheme="minorBidi"/>
      <w:szCs w:val="22"/>
    </w:rPr>
  </w:style>
  <w:style w:type="character" w:customStyle="1" w:styleId="363">
    <w:name w:val="mdeck"/>
    <w:qFormat/>
    <w:uiPriority w:val="0"/>
    <w:rPr>
      <w:rFonts w:ascii="仿宋_GB2312" w:eastAsia="微软雅黑"/>
      <w:b/>
      <w:kern w:val="2"/>
      <w:sz w:val="32"/>
      <w:szCs w:val="32"/>
      <w:lang w:val="en-US" w:eastAsia="zh-CN" w:bidi="ar-SA"/>
    </w:rPr>
  </w:style>
  <w:style w:type="character" w:customStyle="1" w:styleId="364">
    <w:name w:val="首行缩进 Char"/>
    <w:qFormat/>
    <w:uiPriority w:val="0"/>
    <w:rPr>
      <w:rFonts w:ascii="宋体" w:eastAsia="宋体"/>
      <w:kern w:val="2"/>
      <w:sz w:val="24"/>
      <w:lang w:val="en-US" w:eastAsia="zh-CN" w:bidi="ar-SA"/>
    </w:rPr>
  </w:style>
  <w:style w:type="character" w:customStyle="1" w:styleId="365">
    <w:name w:val="highlight1"/>
    <w:qFormat/>
    <w:uiPriority w:val="0"/>
    <w:rPr>
      <w:rFonts w:ascii="仿宋_GB2312" w:eastAsia="微软雅黑"/>
      <w:b/>
      <w:kern w:val="2"/>
      <w:sz w:val="23"/>
      <w:szCs w:val="23"/>
      <w:lang w:val="en-US" w:eastAsia="zh-CN" w:bidi="ar-SA"/>
    </w:rPr>
  </w:style>
  <w:style w:type="character" w:customStyle="1" w:styleId="366">
    <w:name w:val="Char Char6"/>
    <w:qFormat/>
    <w:uiPriority w:val="0"/>
    <w:rPr>
      <w:rFonts w:eastAsia="宋体"/>
      <w:kern w:val="2"/>
      <w:sz w:val="21"/>
      <w:szCs w:val="24"/>
      <w:lang w:val="en-US" w:eastAsia="zh-CN" w:bidi="ar-SA"/>
    </w:rPr>
  </w:style>
  <w:style w:type="character" w:customStyle="1" w:styleId="367">
    <w:name w:val="tw4winExternal"/>
    <w:qFormat/>
    <w:uiPriority w:val="0"/>
    <w:rPr>
      <w:rFonts w:ascii="Courier New" w:hAnsi="Courier New" w:cs="Courier New"/>
      <w:color w:val="808080"/>
      <w:lang w:val="en-US" w:eastAsia="zh-CN"/>
    </w:rPr>
  </w:style>
  <w:style w:type="character" w:customStyle="1" w:styleId="368">
    <w:name w:val="Char Char23"/>
    <w:qFormat/>
    <w:uiPriority w:val="6"/>
    <w:rPr>
      <w:color w:val="0000FF"/>
      <w:sz w:val="21"/>
    </w:rPr>
  </w:style>
  <w:style w:type="character" w:customStyle="1" w:styleId="369">
    <w:name w:val="b11_01b Char"/>
    <w:link w:val="370"/>
    <w:qFormat/>
    <w:uiPriority w:val="0"/>
    <w:rPr>
      <w:rFonts w:ascii="Verdana" w:hAnsi="Verdana"/>
      <w:b/>
      <w:bCs/>
      <w:color w:val="4A82CA"/>
      <w:sz w:val="17"/>
      <w:szCs w:val="17"/>
    </w:rPr>
  </w:style>
  <w:style w:type="paragraph" w:customStyle="1" w:styleId="370">
    <w:name w:val="b11_01b"/>
    <w:basedOn w:val="1"/>
    <w:next w:val="1"/>
    <w:link w:val="369"/>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371">
    <w:name w:val="md"/>
    <w:qFormat/>
    <w:uiPriority w:val="0"/>
    <w:rPr>
      <w:rFonts w:ascii="Arial" w:hAnsi="Arial" w:eastAsia="黑体" w:cs="Arial"/>
      <w:snapToGrid w:val="0"/>
      <w:kern w:val="0"/>
      <w:szCs w:val="21"/>
    </w:rPr>
  </w:style>
  <w:style w:type="character" w:customStyle="1" w:styleId="372">
    <w:name w:val="批注主题 Char1"/>
    <w:link w:val="70"/>
    <w:qFormat/>
    <w:uiPriority w:val="0"/>
    <w:rPr>
      <w:b/>
      <w:bCs/>
      <w:szCs w:val="24"/>
    </w:rPr>
  </w:style>
  <w:style w:type="character" w:customStyle="1" w:styleId="373">
    <w:name w:val="Char Char36"/>
    <w:qFormat/>
    <w:uiPriority w:val="6"/>
    <w:rPr>
      <w:rFonts w:ascii="仿宋_GB2312" w:hAnsi="仿宋_GB2312" w:eastAsia="仿宋_GB2312" w:cs="Arial"/>
      <w:b/>
      <w:kern w:val="1"/>
      <w:sz w:val="32"/>
      <w:szCs w:val="32"/>
      <w:lang w:val="zh-CN" w:eastAsia="zh-CN" w:bidi="ar-SA"/>
    </w:rPr>
  </w:style>
  <w:style w:type="character" w:customStyle="1" w:styleId="374">
    <w:name w:val="标题 4 Char1"/>
    <w:qFormat/>
    <w:uiPriority w:val="9"/>
    <w:rPr>
      <w:rFonts w:ascii="Cambria" w:hAnsi="Cambria" w:eastAsia="宋体" w:cs="Times New Roman"/>
      <w:b/>
      <w:bCs/>
      <w:kern w:val="2"/>
      <w:sz w:val="28"/>
      <w:szCs w:val="28"/>
    </w:rPr>
  </w:style>
  <w:style w:type="character" w:customStyle="1" w:styleId="375">
    <w:name w:val="批注框文本 Char"/>
    <w:link w:val="47"/>
    <w:qFormat/>
    <w:uiPriority w:val="0"/>
    <w:rPr>
      <w:sz w:val="18"/>
      <w:szCs w:val="18"/>
    </w:rPr>
  </w:style>
  <w:style w:type="character" w:customStyle="1" w:styleId="376">
    <w:name w:val="页眉 Char2"/>
    <w:link w:val="49"/>
    <w:qFormat/>
    <w:uiPriority w:val="99"/>
    <w:rPr>
      <w:sz w:val="18"/>
      <w:szCs w:val="18"/>
    </w:rPr>
  </w:style>
  <w:style w:type="character" w:customStyle="1" w:styleId="377">
    <w:name w:val="zbggmain style9"/>
    <w:qFormat/>
    <w:uiPriority w:val="0"/>
  </w:style>
  <w:style w:type="character" w:customStyle="1" w:styleId="378">
    <w:name w:val="签名 Char1"/>
    <w:qFormat/>
    <w:uiPriority w:val="0"/>
    <w:rPr>
      <w:rFonts w:ascii="Times New Roman" w:hAnsi="Times New Roman" w:eastAsia="宋体" w:cs="Times New Roman"/>
      <w:szCs w:val="24"/>
    </w:rPr>
  </w:style>
  <w:style w:type="character" w:customStyle="1" w:styleId="379">
    <w:name w:val="正文首行缩进 Char1"/>
    <w:qFormat/>
    <w:uiPriority w:val="0"/>
    <w:rPr>
      <w:rFonts w:ascii="宋体" w:hAnsi="Times New Roman" w:eastAsia="宋体" w:cs="Times New Roman"/>
      <w:snapToGrid w:val="0"/>
      <w:kern w:val="2"/>
      <w:sz w:val="24"/>
      <w:szCs w:val="21"/>
      <w:lang w:val="zh-CN"/>
    </w:rPr>
  </w:style>
  <w:style w:type="character" w:customStyle="1" w:styleId="380">
    <w:name w:val="标题 2 Char1"/>
    <w:link w:val="6"/>
    <w:qFormat/>
    <w:uiPriority w:val="0"/>
    <w:rPr>
      <w:rFonts w:ascii="仿宋_GB2312" w:hAnsi="仿宋" w:eastAsia="仿宋_GB2312" w:cs="Times New Roman"/>
      <w:b/>
      <w:bCs/>
      <w:sz w:val="32"/>
      <w:szCs w:val="32"/>
      <w:lang w:val="zh-CN"/>
    </w:rPr>
  </w:style>
  <w:style w:type="character" w:customStyle="1" w:styleId="381">
    <w:name w:val="表正文 Char"/>
    <w:qFormat/>
    <w:uiPriority w:val="0"/>
    <w:rPr>
      <w:rFonts w:ascii="宋体" w:eastAsia="宋体"/>
      <w:snapToGrid w:val="0"/>
      <w:color w:val="000000"/>
      <w:kern w:val="28"/>
      <w:sz w:val="28"/>
      <w:lang w:val="en-US" w:eastAsia="zh-CN" w:bidi="ar-SA"/>
    </w:rPr>
  </w:style>
  <w:style w:type="character" w:customStyle="1" w:styleId="382">
    <w:name w:val="h3 Char"/>
    <w:qFormat/>
    <w:uiPriority w:val="0"/>
    <w:rPr>
      <w:rFonts w:eastAsia="宋体"/>
      <w:b/>
      <w:kern w:val="2"/>
      <w:sz w:val="32"/>
      <w:lang w:val="en-US" w:eastAsia="zh-CN" w:bidi="ar-SA"/>
    </w:rPr>
  </w:style>
  <w:style w:type="character" w:customStyle="1" w:styleId="383">
    <w:name w:val="标书表格字体格式 Char"/>
    <w:qFormat/>
    <w:uiPriority w:val="0"/>
    <w:rPr>
      <w:kern w:val="2"/>
      <w:sz w:val="21"/>
      <w:szCs w:val="24"/>
      <w:lang w:bidi="ar-SA"/>
    </w:rPr>
  </w:style>
  <w:style w:type="character" w:customStyle="1" w:styleId="384">
    <w:name w:val="javascript"/>
    <w:qFormat/>
    <w:uiPriority w:val="0"/>
  </w:style>
  <w:style w:type="character" w:customStyle="1" w:styleId="385">
    <w:name w:val="gf正文1 Char"/>
    <w:qFormat/>
    <w:uiPriority w:val="0"/>
    <w:rPr>
      <w:rFonts w:ascii="宋体" w:hAnsi="宋体" w:eastAsia="宋体" w:cs="宋体"/>
      <w:kern w:val="2"/>
      <w:sz w:val="24"/>
      <w:szCs w:val="24"/>
      <w:lang w:val="en-US" w:eastAsia="zh-CN" w:bidi="ar-SA"/>
    </w:rPr>
  </w:style>
  <w:style w:type="character" w:customStyle="1" w:styleId="386">
    <w:name w:val="标题 3 Char2"/>
    <w:qFormat/>
    <w:uiPriority w:val="0"/>
    <w:rPr>
      <w:rFonts w:eastAsia="宋体"/>
      <w:b/>
      <w:bCs/>
      <w:kern w:val="2"/>
      <w:sz w:val="32"/>
      <w:szCs w:val="32"/>
      <w:lang w:val="en-US" w:eastAsia="zh-CN" w:bidi="ar-SA"/>
    </w:rPr>
  </w:style>
  <w:style w:type="character" w:customStyle="1" w:styleId="387">
    <w:name w:val="Char Char71"/>
    <w:semiHidden/>
    <w:qFormat/>
    <w:uiPriority w:val="0"/>
    <w:rPr>
      <w:rFonts w:eastAsia="宋体"/>
      <w:kern w:val="2"/>
      <w:sz w:val="21"/>
      <w:szCs w:val="24"/>
      <w:lang w:val="en-US" w:eastAsia="zh-CN" w:bidi="ar-SA"/>
    </w:rPr>
  </w:style>
  <w:style w:type="character" w:customStyle="1" w:styleId="388">
    <w:name w:val="Char Char33"/>
    <w:qFormat/>
    <w:uiPriority w:val="6"/>
    <w:rPr>
      <w:rFonts w:ascii="Arial" w:hAnsi="Arial" w:eastAsia="黑体"/>
      <w:b/>
      <w:kern w:val="1"/>
      <w:sz w:val="24"/>
      <w:szCs w:val="24"/>
    </w:rPr>
  </w:style>
  <w:style w:type="character" w:customStyle="1" w:styleId="389">
    <w:name w:val="tw4winJump"/>
    <w:qFormat/>
    <w:uiPriority w:val="0"/>
    <w:rPr>
      <w:rFonts w:ascii="Courier New" w:hAnsi="Courier New" w:cs="Courier New"/>
      <w:color w:val="008080"/>
      <w:lang w:val="en-US" w:eastAsia="zh-CN"/>
    </w:rPr>
  </w:style>
  <w:style w:type="character" w:customStyle="1" w:styleId="3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391">
    <w:name w:val="Char Char21"/>
    <w:qFormat/>
    <w:uiPriority w:val="6"/>
    <w:rPr>
      <w:rFonts w:ascii="宋体" w:hAnsi="宋体"/>
      <w:kern w:val="1"/>
      <w:sz w:val="24"/>
      <w:szCs w:val="21"/>
      <w:lang w:val="zh-CN"/>
    </w:rPr>
  </w:style>
  <w:style w:type="character" w:customStyle="1" w:styleId="392">
    <w:name w:val="Char Char91"/>
    <w:qFormat/>
    <w:uiPriority w:val="0"/>
    <w:rPr>
      <w:rFonts w:eastAsia="宋体"/>
      <w:kern w:val="2"/>
      <w:sz w:val="18"/>
      <w:szCs w:val="18"/>
      <w:lang w:val="en-US" w:eastAsia="zh-CN" w:bidi="ar-SA"/>
    </w:rPr>
  </w:style>
  <w:style w:type="character" w:customStyle="1" w:styleId="393">
    <w:name w:val="普通文字 Char1"/>
    <w:qFormat/>
    <w:uiPriority w:val="0"/>
    <w:rPr>
      <w:rFonts w:ascii="宋体" w:hAnsi="Courier New" w:eastAsia="宋体"/>
      <w:kern w:val="2"/>
      <w:sz w:val="21"/>
      <w:lang w:val="en-US" w:eastAsia="zh-CN"/>
    </w:rPr>
  </w:style>
  <w:style w:type="character" w:customStyle="1" w:styleId="394">
    <w:name w:val="方案正文 Char"/>
    <w:qFormat/>
    <w:uiPriority w:val="0"/>
    <w:rPr>
      <w:rFonts w:ascii="仿宋_GB2312" w:eastAsia="仿宋_GB2312"/>
      <w:b/>
      <w:color w:val="000000"/>
      <w:kern w:val="2"/>
      <w:sz w:val="24"/>
      <w:lang w:val="en-US" w:eastAsia="zh-CN" w:bidi="ar-SA"/>
    </w:rPr>
  </w:style>
  <w:style w:type="character" w:customStyle="1" w:styleId="395">
    <w:name w:val="标题 1 Char"/>
    <w:link w:val="5"/>
    <w:qFormat/>
    <w:uiPriority w:val="0"/>
    <w:rPr>
      <w:rFonts w:ascii="Times New Roman" w:hAnsi="Times New Roman" w:eastAsia="宋体" w:cs="Times New Roman"/>
      <w:b/>
      <w:bCs/>
      <w:kern w:val="44"/>
      <w:sz w:val="44"/>
      <w:szCs w:val="44"/>
    </w:rPr>
  </w:style>
  <w:style w:type="character" w:customStyle="1" w:styleId="396">
    <w:name w:val="表格名称[858D7CFB-ED40-4347-BF05-701D383B685F]"/>
    <w:link w:val="397"/>
    <w:qFormat/>
    <w:uiPriority w:val="0"/>
    <w:rPr>
      <w:sz w:val="32"/>
    </w:rPr>
  </w:style>
  <w:style w:type="paragraph" w:customStyle="1" w:styleId="397">
    <w:name w:val="表格名称"/>
    <w:basedOn w:val="6"/>
    <w:link w:val="396"/>
    <w:qFormat/>
    <w:uiPriority w:val="0"/>
    <w:pPr>
      <w:snapToGrid w:val="0"/>
      <w:spacing w:before="240" w:after="240" w:line="240" w:lineRule="auto"/>
      <w:ind w:left="0" w:firstLine="0"/>
      <w:jc w:val="center"/>
    </w:pPr>
    <w:rPr>
      <w:rFonts w:asciiTheme="minorHAnsi" w:hAnsiTheme="minorHAnsi" w:eastAsiaTheme="minorEastAsia" w:cstheme="minorBidi"/>
      <w:b w:val="0"/>
      <w:bCs w:val="0"/>
      <w:szCs w:val="22"/>
      <w:lang w:val="en-US"/>
    </w:rPr>
  </w:style>
  <w:style w:type="character" w:customStyle="1" w:styleId="398">
    <w:name w:val="正文文字缩进 2 Char Char"/>
    <w:qFormat/>
    <w:uiPriority w:val="0"/>
    <w:rPr>
      <w:rFonts w:ascii="宋体"/>
      <w:sz w:val="28"/>
    </w:rPr>
  </w:style>
  <w:style w:type="character" w:customStyle="1" w:styleId="399">
    <w:name w:val="edui-clickable2"/>
    <w:qFormat/>
    <w:uiPriority w:val="0"/>
    <w:rPr>
      <w:color w:val="0000FF"/>
      <w:u w:val="single"/>
    </w:rPr>
  </w:style>
  <w:style w:type="character" w:customStyle="1" w:styleId="400">
    <w:name w:val="标题 1 Char Char"/>
    <w:qFormat/>
    <w:uiPriority w:val="0"/>
    <w:rPr>
      <w:rFonts w:hint="eastAsia" w:ascii="宋体" w:hAnsi="宋体" w:eastAsia="宋体"/>
      <w:b/>
      <w:spacing w:val="-2"/>
      <w:sz w:val="24"/>
      <w:lang w:val="en-US" w:eastAsia="zh-CN" w:bidi="ar-SA"/>
    </w:rPr>
  </w:style>
  <w:style w:type="character" w:customStyle="1" w:styleId="401">
    <w:name w:val="font91"/>
    <w:qFormat/>
    <w:uiPriority w:val="0"/>
    <w:rPr>
      <w:rFonts w:hint="eastAsia" w:ascii="仿宋" w:hAnsi="仿宋" w:eastAsia="仿宋" w:cs="仿宋"/>
      <w:color w:val="000000"/>
      <w:sz w:val="22"/>
      <w:szCs w:val="22"/>
      <w:u w:val="none"/>
    </w:rPr>
  </w:style>
  <w:style w:type="character" w:customStyle="1" w:styleId="402">
    <w:name w:val="h Char Char1"/>
    <w:qFormat/>
    <w:uiPriority w:val="0"/>
    <w:rPr>
      <w:rFonts w:eastAsia="宋体"/>
      <w:kern w:val="2"/>
      <w:sz w:val="18"/>
      <w:szCs w:val="18"/>
      <w:lang w:val="en-US" w:eastAsia="zh-CN" w:bidi="ar-SA"/>
    </w:rPr>
  </w:style>
  <w:style w:type="character" w:customStyle="1" w:styleId="403">
    <w:name w:val="gray6"/>
    <w:qFormat/>
    <w:uiPriority w:val="0"/>
    <w:rPr>
      <w:rFonts w:ascii="Arial" w:hAnsi="Arial" w:eastAsia="黑体" w:cs="Arial"/>
      <w:snapToGrid w:val="0"/>
      <w:kern w:val="0"/>
      <w:szCs w:val="21"/>
    </w:rPr>
  </w:style>
  <w:style w:type="character" w:customStyle="1" w:styleId="404">
    <w:name w:val="apple-converted-space"/>
    <w:qFormat/>
    <w:uiPriority w:val="0"/>
  </w:style>
  <w:style w:type="character" w:customStyle="1" w:styleId="405">
    <w:name w:val="edui-unclickable"/>
    <w:qFormat/>
    <w:uiPriority w:val="0"/>
    <w:rPr>
      <w:color w:val="808080"/>
    </w:rPr>
  </w:style>
  <w:style w:type="character" w:customStyle="1" w:styleId="406">
    <w:name w:val="正文文本缩进 2 Char"/>
    <w:link w:val="45"/>
    <w:qFormat/>
    <w:uiPriority w:val="0"/>
    <w:rPr>
      <w:rFonts w:ascii="宋体"/>
      <w:sz w:val="28"/>
    </w:rPr>
  </w:style>
  <w:style w:type="character" w:customStyle="1" w:styleId="407">
    <w:name w:val="批注框文本 Char1"/>
    <w:qFormat/>
    <w:uiPriority w:val="0"/>
    <w:rPr>
      <w:rFonts w:ascii="Times New Roman" w:hAnsi="Times New Roman" w:eastAsia="宋体" w:cs="Times New Roman"/>
      <w:sz w:val="18"/>
      <w:szCs w:val="18"/>
    </w:rPr>
  </w:style>
  <w:style w:type="character" w:customStyle="1" w:styleId="408">
    <w:name w:val="公文正文 Char"/>
    <w:qFormat/>
    <w:uiPriority w:val="0"/>
    <w:rPr>
      <w:rFonts w:ascii="仿宋_GB2312" w:eastAsia="仿宋_GB2312"/>
      <w:kern w:val="2"/>
      <w:sz w:val="24"/>
      <w:szCs w:val="24"/>
      <w:lang w:val="en-US" w:eastAsia="zh-CN" w:bidi="ar-SA"/>
    </w:rPr>
  </w:style>
  <w:style w:type="character" w:customStyle="1" w:styleId="409">
    <w:name w:val="标准正文格式 Char"/>
    <w:qFormat/>
    <w:uiPriority w:val="0"/>
    <w:rPr>
      <w:rFonts w:ascii="宋体" w:eastAsia="仿宋_GB2312" w:cs="宋体"/>
      <w:color w:val="000000"/>
      <w:sz w:val="24"/>
      <w:lang w:val="en-US" w:eastAsia="zh-CN" w:bidi="ar-SA"/>
    </w:rPr>
  </w:style>
  <w:style w:type="character" w:customStyle="1" w:styleId="410">
    <w:name w:val="正文首行缩进 Char Char Char Char Char Char1"/>
    <w:qFormat/>
    <w:uiPriority w:val="0"/>
    <w:rPr>
      <w:rFonts w:ascii="宋体" w:eastAsia="宋体"/>
      <w:kern w:val="2"/>
      <w:sz w:val="24"/>
      <w:szCs w:val="24"/>
      <w:lang w:val="zh-CN" w:bidi="ar-SA"/>
    </w:rPr>
  </w:style>
  <w:style w:type="character" w:customStyle="1" w:styleId="411">
    <w:name w:val="副标题 Char1"/>
    <w:qFormat/>
    <w:uiPriority w:val="0"/>
    <w:rPr>
      <w:rFonts w:ascii="Cambria" w:hAnsi="Cambria" w:eastAsia="宋体" w:cs="Times New Roman"/>
      <w:b/>
      <w:bCs/>
      <w:snapToGrid w:val="0"/>
      <w:kern w:val="28"/>
      <w:sz w:val="32"/>
      <w:szCs w:val="32"/>
    </w:rPr>
  </w:style>
  <w:style w:type="character" w:customStyle="1" w:styleId="41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413">
    <w:name w:val="明显引用 Char1"/>
    <w:qFormat/>
    <w:uiPriority w:val="99"/>
    <w:rPr>
      <w:b/>
      <w:bCs/>
      <w:i/>
      <w:iCs/>
      <w:color w:val="4F81BD"/>
      <w:kern w:val="2"/>
      <w:sz w:val="21"/>
      <w:szCs w:val="24"/>
    </w:rPr>
  </w:style>
  <w:style w:type="character" w:customStyle="1" w:styleId="414">
    <w:name w:val="正文缩进 Char1"/>
    <w:qFormat/>
    <w:uiPriority w:val="0"/>
    <w:rPr>
      <w:rFonts w:ascii="宋体" w:eastAsia="宋体"/>
      <w:snapToGrid w:val="0"/>
      <w:color w:val="000000"/>
      <w:kern w:val="28"/>
      <w:sz w:val="28"/>
      <w:lang w:val="en-US" w:eastAsia="zh-CN" w:bidi="ar-SA"/>
    </w:rPr>
  </w:style>
  <w:style w:type="character" w:customStyle="1" w:styleId="415">
    <w:name w:val="Char Char29"/>
    <w:qFormat/>
    <w:uiPriority w:val="6"/>
    <w:rPr>
      <w:rFonts w:ascii="Arial" w:hAnsi="Arial" w:eastAsia="微软雅黑"/>
      <w:b/>
      <w:kern w:val="1"/>
      <w:sz w:val="44"/>
      <w:szCs w:val="32"/>
      <w:lang w:val="en-US" w:eastAsia="zh-CN" w:bidi="ar-SA"/>
    </w:rPr>
  </w:style>
  <w:style w:type="character" w:customStyle="1" w:styleId="416">
    <w:name w:val="脚注文本 Char"/>
    <w:link w:val="57"/>
    <w:qFormat/>
    <w:uiPriority w:val="0"/>
    <w:rPr>
      <w:color w:val="0000FF"/>
    </w:rPr>
  </w:style>
  <w:style w:type="character" w:customStyle="1" w:styleId="417">
    <w:name w:val="日期 Char1"/>
    <w:semiHidden/>
    <w:qFormat/>
    <w:uiPriority w:val="99"/>
    <w:rPr>
      <w:rFonts w:ascii="Times New Roman" w:hAnsi="Times New Roman" w:eastAsia="宋体" w:cs="Times New Roman"/>
      <w:szCs w:val="24"/>
    </w:rPr>
  </w:style>
  <w:style w:type="character" w:customStyle="1" w:styleId="418">
    <w:name w:val="t21"/>
    <w:qFormat/>
    <w:uiPriority w:val="0"/>
    <w:rPr>
      <w:rFonts w:ascii="仿宋_GB2312" w:eastAsia="微软雅黑"/>
      <w:b/>
      <w:kern w:val="2"/>
      <w:sz w:val="23"/>
      <w:szCs w:val="23"/>
      <w:lang w:val="en-US" w:eastAsia="zh-CN" w:bidi="ar-SA"/>
    </w:rPr>
  </w:style>
  <w:style w:type="character" w:customStyle="1" w:styleId="419">
    <w:name w:val="页脚 字符"/>
    <w:qFormat/>
    <w:uiPriority w:val="99"/>
    <w:rPr>
      <w:kern w:val="2"/>
      <w:sz w:val="18"/>
      <w:szCs w:val="18"/>
    </w:rPr>
  </w:style>
  <w:style w:type="character" w:customStyle="1" w:styleId="420">
    <w:name w:val="称呼 Char1"/>
    <w:qFormat/>
    <w:uiPriority w:val="0"/>
    <w:rPr>
      <w:rFonts w:ascii="Times New Roman" w:hAnsi="Times New Roman" w:eastAsia="宋体" w:cs="Times New Roman"/>
      <w:szCs w:val="24"/>
    </w:rPr>
  </w:style>
  <w:style w:type="character" w:customStyle="1" w:styleId="421">
    <w:name w:val="Char Char28"/>
    <w:qFormat/>
    <w:uiPriority w:val="0"/>
    <w:rPr>
      <w:rFonts w:ascii="仿宋_GB2312" w:hAnsi="仿宋_GB2312" w:eastAsia="仿宋_GB2312"/>
      <w:kern w:val="1"/>
      <w:sz w:val="28"/>
    </w:rPr>
  </w:style>
  <w:style w:type="character" w:customStyle="1" w:styleId="422">
    <w:name w:val="Heading 2 Hidden Char"/>
    <w:qFormat/>
    <w:uiPriority w:val="0"/>
    <w:rPr>
      <w:rFonts w:ascii="仿宋_GB2312" w:eastAsia="仿宋_GB2312"/>
      <w:b/>
      <w:bCs/>
      <w:kern w:val="2"/>
      <w:sz w:val="24"/>
      <w:szCs w:val="24"/>
      <w:lang w:val="zh-CN" w:eastAsia="zh-CN" w:bidi="ar-SA"/>
    </w:rPr>
  </w:style>
  <w:style w:type="character" w:customStyle="1" w:styleId="423">
    <w:name w:val="标题 3 Char"/>
    <w:link w:val="7"/>
    <w:qFormat/>
    <w:uiPriority w:val="9"/>
    <w:rPr>
      <w:rFonts w:ascii="Times New Roman" w:hAnsi="Times New Roman" w:eastAsia="宋体" w:cs="Times New Roman"/>
      <w:b/>
      <w:bCs/>
      <w:sz w:val="32"/>
      <w:szCs w:val="32"/>
    </w:rPr>
  </w:style>
  <w:style w:type="character" w:customStyle="1" w:styleId="424">
    <w:name w:val="纯文本 Char Char Char"/>
    <w:qFormat/>
    <w:uiPriority w:val="0"/>
    <w:rPr>
      <w:rFonts w:ascii="宋体" w:hAnsi="Courier New" w:eastAsia="宋体"/>
      <w:kern w:val="2"/>
      <w:sz w:val="21"/>
      <w:lang w:val="en-US" w:eastAsia="zh-CN" w:bidi="ar-SA"/>
    </w:rPr>
  </w:style>
  <w:style w:type="character" w:customStyle="1" w:styleId="425">
    <w:name w:val="页脚 Char2"/>
    <w:link w:val="48"/>
    <w:qFormat/>
    <w:locked/>
    <w:uiPriority w:val="99"/>
    <w:rPr>
      <w:sz w:val="18"/>
      <w:szCs w:val="18"/>
    </w:rPr>
  </w:style>
  <w:style w:type="character" w:customStyle="1" w:styleId="426">
    <w:name w:val="Char Char30"/>
    <w:qFormat/>
    <w:uiPriority w:val="6"/>
    <w:rPr>
      <w:rFonts w:ascii="Arial" w:hAnsi="Arial" w:eastAsia="黑体"/>
      <w:kern w:val="1"/>
      <w:sz w:val="21"/>
      <w:szCs w:val="21"/>
    </w:rPr>
  </w:style>
  <w:style w:type="character" w:customStyle="1" w:styleId="427">
    <w:name w:val="正文首行缩进 Char Char Char Char Char"/>
    <w:qFormat/>
    <w:uiPriority w:val="0"/>
    <w:rPr>
      <w:rFonts w:ascii="宋体"/>
      <w:kern w:val="2"/>
      <w:sz w:val="24"/>
      <w:lang w:val="zh-CN"/>
    </w:rPr>
  </w:style>
  <w:style w:type="character" w:customStyle="1" w:styleId="428">
    <w:name w:val="正文文本缩进 2 Char1"/>
    <w:semiHidden/>
    <w:qFormat/>
    <w:uiPriority w:val="99"/>
    <w:rPr>
      <w:rFonts w:ascii="Times New Roman" w:hAnsi="Times New Roman" w:eastAsia="宋体" w:cs="Times New Roman"/>
      <w:szCs w:val="24"/>
    </w:rPr>
  </w:style>
  <w:style w:type="character" w:customStyle="1" w:styleId="429">
    <w:name w:val="脚注文本 Char1"/>
    <w:qFormat/>
    <w:uiPriority w:val="0"/>
    <w:rPr>
      <w:rFonts w:ascii="Times New Roman" w:hAnsi="Times New Roman" w:eastAsia="宋体" w:cs="Times New Roman"/>
      <w:sz w:val="18"/>
      <w:szCs w:val="18"/>
    </w:rPr>
  </w:style>
  <w:style w:type="character" w:customStyle="1" w:styleId="430">
    <w:name w:val="正文文本缩进 3 Char1"/>
    <w:semiHidden/>
    <w:qFormat/>
    <w:uiPriority w:val="99"/>
    <w:rPr>
      <w:rFonts w:ascii="Times New Roman" w:hAnsi="Times New Roman" w:eastAsia="宋体" w:cs="Times New Roman"/>
      <w:sz w:val="16"/>
      <w:szCs w:val="16"/>
    </w:rPr>
  </w:style>
  <w:style w:type="character" w:customStyle="1" w:styleId="431">
    <w:name w:val="blue1"/>
    <w:qFormat/>
    <w:uiPriority w:val="0"/>
    <w:rPr>
      <w:rFonts w:ascii="Arial" w:hAnsi="Arial" w:eastAsia="黑体" w:cs="Arial"/>
      <w:snapToGrid w:val="0"/>
      <w:kern w:val="0"/>
      <w:szCs w:val="21"/>
    </w:rPr>
  </w:style>
  <w:style w:type="character" w:customStyle="1" w:styleId="432">
    <w:name w:val="dectext1"/>
    <w:qFormat/>
    <w:uiPriority w:val="0"/>
    <w:rPr>
      <w:rFonts w:ascii="宋体" w:hAnsi="宋体" w:eastAsia="宋体"/>
      <w:color w:val="333333"/>
      <w:sz w:val="21"/>
      <w:szCs w:val="21"/>
      <w:u w:val="none"/>
    </w:rPr>
  </w:style>
  <w:style w:type="character" w:customStyle="1" w:styleId="433">
    <w:name w:val="文档结构图 Char1"/>
    <w:link w:val="25"/>
    <w:qFormat/>
    <w:uiPriority w:val="0"/>
    <w:rPr>
      <w:szCs w:val="24"/>
      <w:shd w:val="clear" w:color="auto" w:fill="000080"/>
    </w:rPr>
  </w:style>
  <w:style w:type="character" w:customStyle="1" w:styleId="434">
    <w:name w:val="称呼 Char"/>
    <w:link w:val="28"/>
    <w:qFormat/>
    <w:uiPriority w:val="0"/>
    <w:rPr>
      <w:rFonts w:ascii="仿宋_GB2312" w:eastAsia="仿宋_GB2312"/>
      <w:sz w:val="28"/>
    </w:rPr>
  </w:style>
  <w:style w:type="character" w:customStyle="1" w:styleId="435">
    <w:name w:val="正文文本 3 Char"/>
    <w:link w:val="29"/>
    <w:qFormat/>
    <w:uiPriority w:val="0"/>
  </w:style>
  <w:style w:type="character" w:customStyle="1" w:styleId="436">
    <w:name w:val="正文文本 Char1"/>
    <w:link w:val="2"/>
    <w:qFormat/>
    <w:uiPriority w:val="0"/>
    <w:rPr>
      <w:rFonts w:ascii="宋体" w:hAnsi="Arial" w:eastAsia="宋体" w:cs="Arial"/>
      <w:snapToGrid w:val="0"/>
      <w:sz w:val="24"/>
      <w:szCs w:val="21"/>
      <w:lang w:val="zh-CN"/>
    </w:rPr>
  </w:style>
  <w:style w:type="character" w:customStyle="1" w:styleId="437">
    <w:name w:val="纯文本 Char"/>
    <w:link w:val="40"/>
    <w:qFormat/>
    <w:uiPriority w:val="0"/>
    <w:rPr>
      <w:rFonts w:ascii="宋体" w:hAnsi="Courier New" w:eastAsia="宋体" w:cs="Arial"/>
      <w:snapToGrid w:val="0"/>
      <w:szCs w:val="21"/>
    </w:rPr>
  </w:style>
  <w:style w:type="character" w:customStyle="1" w:styleId="438">
    <w:name w:val="日期 Char"/>
    <w:link w:val="44"/>
    <w:qFormat/>
    <w:uiPriority w:val="0"/>
    <w:rPr>
      <w:rFonts w:ascii="宋体"/>
      <w:sz w:val="24"/>
      <w:szCs w:val="21"/>
      <w:lang w:val="zh-CN"/>
    </w:rPr>
  </w:style>
  <w:style w:type="character" w:customStyle="1" w:styleId="439">
    <w:name w:val="纯文本 Char3"/>
    <w:qFormat/>
    <w:locked/>
    <w:uiPriority w:val="0"/>
    <w:rPr>
      <w:rFonts w:ascii="宋体" w:hAnsi="Courier New" w:eastAsia="宋体"/>
      <w:kern w:val="2"/>
      <w:sz w:val="21"/>
      <w:lang w:val="en-US" w:eastAsia="zh-CN" w:bidi="ar-SA"/>
    </w:rPr>
  </w:style>
  <w:style w:type="character" w:customStyle="1" w:styleId="440">
    <w:name w:val="标书正文格式 Char"/>
    <w:qFormat/>
    <w:uiPriority w:val="0"/>
    <w:rPr>
      <w:rFonts w:eastAsia="楷体_GB2312"/>
      <w:kern w:val="2"/>
      <w:sz w:val="24"/>
      <w:szCs w:val="24"/>
      <w:lang w:bidi="ar-SA"/>
    </w:rPr>
  </w:style>
  <w:style w:type="character" w:customStyle="1" w:styleId="441">
    <w:name w:val="Document Map Char"/>
    <w:qFormat/>
    <w:locked/>
    <w:uiPriority w:val="0"/>
    <w:rPr>
      <w:rFonts w:eastAsia="宋体"/>
      <w:kern w:val="2"/>
      <w:sz w:val="21"/>
      <w:szCs w:val="24"/>
      <w:lang w:val="en-US" w:eastAsia="zh-CN" w:bidi="ar-SA"/>
    </w:rPr>
  </w:style>
  <w:style w:type="character" w:customStyle="1" w:styleId="442">
    <w:name w:val="Char Char1211"/>
    <w:qFormat/>
    <w:uiPriority w:val="0"/>
    <w:rPr>
      <w:rFonts w:ascii="仿宋_GB2312" w:eastAsia="仿宋_GB2312"/>
      <w:b/>
      <w:bCs/>
      <w:kern w:val="2"/>
      <w:sz w:val="24"/>
      <w:szCs w:val="24"/>
      <w:lang w:val="zh-CN" w:eastAsia="zh-CN" w:bidi="ar-SA"/>
    </w:rPr>
  </w:style>
  <w:style w:type="character" w:customStyle="1" w:styleId="443">
    <w:name w:val="Char Char312"/>
    <w:qFormat/>
    <w:uiPriority w:val="0"/>
    <w:rPr>
      <w:rFonts w:ascii="Times New Roman" w:hAnsi="Times New Roman" w:eastAsia="宋体" w:cs="Times New Roman"/>
      <w:b/>
      <w:kern w:val="2"/>
      <w:sz w:val="32"/>
      <w:szCs w:val="24"/>
      <w:lang w:val="en-US" w:eastAsia="zh-CN" w:bidi="ar-SA"/>
    </w:rPr>
  </w:style>
  <w:style w:type="character" w:customStyle="1" w:styleId="444">
    <w:name w:val="Bold"/>
    <w:qFormat/>
    <w:uiPriority w:val="0"/>
    <w:rPr>
      <w:rFonts w:ascii="Arial" w:hAnsi="Arial" w:eastAsia="黑体" w:cs="Times New Roman"/>
      <w:b/>
      <w:kern w:val="2"/>
      <w:sz w:val="32"/>
      <w:szCs w:val="32"/>
      <w:lang w:val="en-US" w:eastAsia="zh-CN" w:bidi="ar-SA"/>
    </w:rPr>
  </w:style>
  <w:style w:type="character" w:customStyle="1" w:styleId="445">
    <w:name w:val="正文缩进 字符"/>
    <w:qFormat/>
    <w:uiPriority w:val="0"/>
    <w:rPr>
      <w:rFonts w:ascii="宋体" w:eastAsia="宋体"/>
      <w:snapToGrid w:val="0"/>
      <w:color w:val="000000"/>
      <w:kern w:val="28"/>
      <w:sz w:val="28"/>
      <w:lang w:val="en-US" w:eastAsia="zh-CN" w:bidi="ar-SA"/>
    </w:rPr>
  </w:style>
  <w:style w:type="character" w:customStyle="1" w:styleId="446">
    <w:name w:val="f141"/>
    <w:qFormat/>
    <w:uiPriority w:val="0"/>
    <w:rPr>
      <w:rFonts w:ascii="Tahoma" w:hAnsi="Tahoma" w:eastAsia="宋体"/>
      <w:b/>
      <w:kern w:val="2"/>
      <w:sz w:val="21"/>
      <w:szCs w:val="21"/>
      <w:lang w:val="en-US" w:eastAsia="zh-CN" w:bidi="ar-SA"/>
    </w:rPr>
  </w:style>
  <w:style w:type="character" w:customStyle="1" w:styleId="447">
    <w:name w:val="文档结构图 字符1"/>
    <w:qFormat/>
    <w:uiPriority w:val="0"/>
    <w:rPr>
      <w:rFonts w:ascii="宋体" w:hAnsi="Calibri" w:eastAsia="黑体" w:cs="Arial"/>
      <w:snapToGrid w:val="0"/>
      <w:kern w:val="2"/>
      <w:sz w:val="18"/>
      <w:szCs w:val="18"/>
    </w:rPr>
  </w:style>
  <w:style w:type="character" w:customStyle="1" w:styleId="448">
    <w:name w:val="标准文本 Char Char"/>
    <w:link w:val="449"/>
    <w:qFormat/>
    <w:uiPriority w:val="0"/>
    <w:rPr>
      <w:rFonts w:cs="宋体"/>
      <w:sz w:val="24"/>
    </w:rPr>
  </w:style>
  <w:style w:type="paragraph" w:customStyle="1" w:styleId="449">
    <w:name w:val="标准文本"/>
    <w:basedOn w:val="1"/>
    <w:link w:val="448"/>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50">
    <w:name w:val="Char Char26"/>
    <w:qFormat/>
    <w:uiPriority w:val="6"/>
    <w:rPr>
      <w:kern w:val="1"/>
      <w:sz w:val="21"/>
      <w:szCs w:val="24"/>
    </w:rPr>
  </w:style>
  <w:style w:type="character" w:customStyle="1" w:styleId="451">
    <w:name w:val="Char Char14"/>
    <w:qFormat/>
    <w:uiPriority w:val="6"/>
    <w:rPr>
      <w:rFonts w:ascii="黑体" w:hAnsi="黑体" w:eastAsia="黑体"/>
    </w:rPr>
  </w:style>
  <w:style w:type="character" w:customStyle="1" w:styleId="452">
    <w:name w:val="Char Char213"/>
    <w:qFormat/>
    <w:uiPriority w:val="0"/>
    <w:rPr>
      <w:rFonts w:eastAsia="Century Gothic"/>
      <w:b/>
      <w:bCs/>
      <w:kern w:val="44"/>
      <w:sz w:val="32"/>
      <w:szCs w:val="44"/>
      <w:lang w:val="en-US" w:eastAsia="zh-CN" w:bidi="ar-SA"/>
    </w:rPr>
  </w:style>
  <w:style w:type="character" w:customStyle="1" w:styleId="453">
    <w:name w:val="正文文本 Char"/>
    <w:qFormat/>
    <w:uiPriority w:val="0"/>
    <w:rPr>
      <w:rFonts w:eastAsia="宋体"/>
      <w:kern w:val="2"/>
      <w:sz w:val="24"/>
      <w:szCs w:val="24"/>
      <w:lang w:val="en-US" w:eastAsia="zh-CN" w:bidi="ar-SA"/>
    </w:rPr>
  </w:style>
  <w:style w:type="character" w:customStyle="1" w:styleId="454">
    <w:name w:val="Font Style82"/>
    <w:qFormat/>
    <w:uiPriority w:val="99"/>
    <w:rPr>
      <w:rFonts w:ascii="宋体" w:eastAsia="宋体" w:cs="宋体"/>
      <w:color w:val="000000"/>
      <w:sz w:val="14"/>
      <w:szCs w:val="14"/>
    </w:rPr>
  </w:style>
  <w:style w:type="character" w:customStyle="1" w:styleId="455">
    <w:name w:val="正文段 Char"/>
    <w:link w:val="456"/>
    <w:qFormat/>
    <w:uiPriority w:val="0"/>
    <w:rPr>
      <w:sz w:val="24"/>
    </w:rPr>
  </w:style>
  <w:style w:type="paragraph" w:customStyle="1" w:styleId="456">
    <w:name w:val="正文段"/>
    <w:basedOn w:val="1"/>
    <w:link w:val="455"/>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457">
    <w:name w:val="标书1 Char"/>
    <w:qFormat/>
    <w:uiPriority w:val="0"/>
    <w:rPr>
      <w:rFonts w:eastAsia="宋体"/>
      <w:b/>
      <w:bCs/>
      <w:kern w:val="44"/>
      <w:sz w:val="44"/>
      <w:szCs w:val="44"/>
      <w:lang w:val="en-US" w:eastAsia="zh-CN" w:bidi="ar-SA"/>
    </w:rPr>
  </w:style>
  <w:style w:type="character" w:customStyle="1" w:styleId="458">
    <w:name w:val="Char Char7"/>
    <w:semiHidden/>
    <w:qFormat/>
    <w:uiPriority w:val="0"/>
    <w:rPr>
      <w:rFonts w:eastAsia="宋体"/>
      <w:kern w:val="2"/>
      <w:sz w:val="21"/>
      <w:szCs w:val="24"/>
      <w:lang w:val="en-US" w:eastAsia="zh-CN" w:bidi="ar-SA"/>
    </w:rPr>
  </w:style>
  <w:style w:type="character" w:customStyle="1" w:styleId="459">
    <w:name w:val="正文 项目2 Char"/>
    <w:qFormat/>
    <w:uiPriority w:val="0"/>
    <w:rPr>
      <w:rFonts w:ascii="仿宋_GB2312" w:hAnsi="仿宋_GB2312" w:eastAsia="仿宋_GB2312"/>
      <w:kern w:val="2"/>
      <w:sz w:val="24"/>
      <w:lang w:bidi="ar-SA"/>
    </w:rPr>
  </w:style>
  <w:style w:type="character" w:customStyle="1" w:styleId="460">
    <w:name w:val="标题4-dyf Char"/>
    <w:link w:val="461"/>
    <w:qFormat/>
    <w:uiPriority w:val="0"/>
    <w:rPr>
      <w:rFonts w:ascii="Cambria" w:hAnsi="Cambria"/>
      <w:b/>
      <w:bCs/>
      <w:color w:val="000000"/>
      <w:szCs w:val="21"/>
    </w:rPr>
  </w:style>
  <w:style w:type="paragraph" w:customStyle="1" w:styleId="461">
    <w:name w:val="标题4-dyf"/>
    <w:basedOn w:val="9"/>
    <w:link w:val="460"/>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462">
    <w:name w:val="Char Char311"/>
    <w:qFormat/>
    <w:uiPriority w:val="0"/>
    <w:rPr>
      <w:rFonts w:eastAsia="宋体"/>
      <w:kern w:val="2"/>
      <w:sz w:val="21"/>
      <w:szCs w:val="24"/>
      <w:lang w:val="en-US" w:eastAsia="zh-CN" w:bidi="ar-SA"/>
    </w:rPr>
  </w:style>
  <w:style w:type="character" w:customStyle="1" w:styleId="463">
    <w:name w:val="Char Char3"/>
    <w:qFormat/>
    <w:uiPriority w:val="0"/>
    <w:rPr>
      <w:rFonts w:eastAsia="宋体"/>
      <w:kern w:val="2"/>
      <w:sz w:val="21"/>
      <w:szCs w:val="24"/>
      <w:lang w:val="en-US" w:eastAsia="zh-CN" w:bidi="ar-SA"/>
    </w:rPr>
  </w:style>
  <w:style w:type="character" w:customStyle="1" w:styleId="464">
    <w:name w:val="font31"/>
    <w:qFormat/>
    <w:uiPriority w:val="0"/>
    <w:rPr>
      <w:rFonts w:hint="eastAsia" w:ascii="仿宋" w:hAnsi="仿宋" w:eastAsia="仿宋" w:cs="仿宋"/>
      <w:color w:val="000000"/>
      <w:sz w:val="20"/>
      <w:szCs w:val="20"/>
      <w:u w:val="none"/>
    </w:rPr>
  </w:style>
  <w:style w:type="character" w:customStyle="1" w:styleId="465">
    <w:name w:val="正文首行缩进 Char Char Char Char Char Char"/>
    <w:qFormat/>
    <w:uiPriority w:val="0"/>
    <w:rPr>
      <w:rFonts w:ascii="宋体" w:eastAsia="宋体"/>
      <w:kern w:val="2"/>
      <w:sz w:val="24"/>
      <w:lang w:val="zh-CN" w:bidi="ar-SA"/>
    </w:rPr>
  </w:style>
  <w:style w:type="character" w:customStyle="1" w:styleId="466">
    <w:name w:val="NormalCharacter"/>
    <w:qFormat/>
    <w:uiPriority w:val="0"/>
    <w:rPr>
      <w:rFonts w:ascii="Times New Roman" w:hAnsi="Times New Roman" w:eastAsia="宋体"/>
      <w:lang w:val="en-US" w:eastAsia="zh-CN" w:bidi="ar-SA"/>
    </w:rPr>
  </w:style>
  <w:style w:type="character" w:customStyle="1" w:styleId="467">
    <w:name w:val="Char Char102"/>
    <w:semiHidden/>
    <w:qFormat/>
    <w:uiPriority w:val="0"/>
    <w:rPr>
      <w:rFonts w:ascii="宋体" w:hAnsi="宋体"/>
      <w:kern w:val="2"/>
      <w:sz w:val="21"/>
      <w:szCs w:val="24"/>
      <w:lang w:val="en-US" w:eastAsia="zh-CN"/>
    </w:rPr>
  </w:style>
  <w:style w:type="character" w:customStyle="1" w:styleId="468">
    <w:name w:val="tw4winError"/>
    <w:qFormat/>
    <w:uiPriority w:val="0"/>
    <w:rPr>
      <w:rFonts w:ascii="Courier New" w:hAnsi="Courier New" w:cs="Courier New"/>
      <w:color w:val="00FF00"/>
      <w:sz w:val="40"/>
      <w:szCs w:val="40"/>
    </w:rPr>
  </w:style>
  <w:style w:type="character" w:customStyle="1" w:styleId="469">
    <w:name w:val="交叉引用"/>
    <w:qFormat/>
    <w:uiPriority w:val="1"/>
    <w:rPr>
      <w:rFonts w:ascii="Arial" w:hAnsi="Arial" w:eastAsia="黑体"/>
      <w:snapToGrid w:val="0"/>
      <w:color w:val="0000FF"/>
      <w:kern w:val="0"/>
      <w:sz w:val="20"/>
      <w:szCs w:val="21"/>
      <w:u w:val="single"/>
      <w:lang w:val="en-US" w:eastAsia="zh-CN"/>
    </w:rPr>
  </w:style>
  <w:style w:type="character" w:customStyle="1" w:styleId="470">
    <w:name w:val="编号，小四 Char"/>
    <w:link w:val="471"/>
    <w:qFormat/>
    <w:uiPriority w:val="0"/>
    <w:rPr>
      <w:rFonts w:ascii="Arial" w:hAnsi="Arial"/>
      <w:sz w:val="24"/>
    </w:rPr>
  </w:style>
  <w:style w:type="paragraph" w:customStyle="1" w:styleId="471">
    <w:name w:val="编号，小四"/>
    <w:basedOn w:val="1"/>
    <w:link w:val="470"/>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472">
    <w:name w:val="正文文本 Char2"/>
    <w:semiHidden/>
    <w:qFormat/>
    <w:uiPriority w:val="99"/>
    <w:rPr>
      <w:rFonts w:ascii="Times New Roman" w:hAnsi="Times New Roman" w:eastAsia="宋体" w:cs="Times New Roman"/>
      <w:snapToGrid w:val="0"/>
      <w:kern w:val="0"/>
      <w:szCs w:val="24"/>
    </w:rPr>
  </w:style>
  <w:style w:type="character" w:customStyle="1" w:styleId="473">
    <w:name w:val="pt141"/>
    <w:qFormat/>
    <w:uiPriority w:val="0"/>
    <w:rPr>
      <w:color w:val="330066"/>
      <w:sz w:val="22"/>
      <w:szCs w:val="22"/>
    </w:rPr>
  </w:style>
  <w:style w:type="character" w:customStyle="1" w:styleId="474">
    <w:name w:val="Char Char27"/>
    <w:qFormat/>
    <w:uiPriority w:val="0"/>
    <w:rPr>
      <w:rFonts w:ascii="宋体" w:hAnsi="宋体" w:eastAsia="宋体"/>
      <w:color w:val="000000"/>
      <w:kern w:val="1"/>
      <w:sz w:val="28"/>
      <w:lang w:val="en-US" w:eastAsia="zh-CN" w:bidi="ar-SA"/>
    </w:rPr>
  </w:style>
  <w:style w:type="character" w:customStyle="1" w:styleId="475">
    <w:name w:val="dandyren_title1"/>
    <w:qFormat/>
    <w:uiPriority w:val="0"/>
    <w:rPr>
      <w:b/>
      <w:bCs/>
      <w:color w:val="FF6633"/>
      <w:sz w:val="18"/>
      <w:szCs w:val="18"/>
    </w:rPr>
  </w:style>
  <w:style w:type="character" w:customStyle="1" w:styleId="476">
    <w:name w:val="style1"/>
    <w:qFormat/>
    <w:uiPriority w:val="0"/>
    <w:rPr>
      <w:rFonts w:ascii="Arial" w:hAnsi="Arial" w:eastAsia="黑体" w:cs="Arial"/>
      <w:snapToGrid w:val="0"/>
      <w:kern w:val="0"/>
      <w:szCs w:val="21"/>
    </w:rPr>
  </w:style>
  <w:style w:type="character" w:customStyle="1" w:styleId="477">
    <w:name w:val="Char Char8"/>
    <w:qFormat/>
    <w:uiPriority w:val="0"/>
    <w:rPr>
      <w:rFonts w:eastAsia="宋体"/>
      <w:b/>
      <w:sz w:val="24"/>
      <w:lang w:val="en-GB" w:eastAsia="zh-CN"/>
    </w:rPr>
  </w:style>
  <w:style w:type="character" w:customStyle="1" w:styleId="478">
    <w:name w:val="Char Char5"/>
    <w:qFormat/>
    <w:uiPriority w:val="0"/>
    <w:rPr>
      <w:rFonts w:ascii="宋体" w:hAnsi="Courier New" w:eastAsia="宋体"/>
      <w:kern w:val="2"/>
      <w:sz w:val="21"/>
      <w:lang w:val="en-US" w:eastAsia="zh-CN"/>
    </w:rPr>
  </w:style>
  <w:style w:type="character" w:customStyle="1" w:styleId="479">
    <w:name w:val="标题 2 Char Char"/>
    <w:qFormat/>
    <w:uiPriority w:val="0"/>
    <w:rPr>
      <w:rFonts w:ascii="楷体_GB2312" w:hAnsi="Arial" w:eastAsia="楷体_GB2312"/>
      <w:b/>
      <w:bCs/>
      <w:kern w:val="2"/>
      <w:sz w:val="24"/>
      <w:szCs w:val="32"/>
      <w:lang w:val="en-US" w:eastAsia="zh-CN" w:bidi="ar-SA"/>
    </w:rPr>
  </w:style>
  <w:style w:type="character" w:customStyle="1" w:styleId="480">
    <w:name w:val="Default Char"/>
    <w:link w:val="481"/>
    <w:qFormat/>
    <w:uiPriority w:val="0"/>
    <w:rPr>
      <w:rFonts w:ascii="仿宋_GB2312" w:eastAsia="仿宋_GB2312" w:cs="仿宋_GB2312"/>
      <w:color w:val="000000"/>
      <w:sz w:val="24"/>
      <w:szCs w:val="24"/>
    </w:rPr>
  </w:style>
  <w:style w:type="paragraph" w:customStyle="1" w:styleId="481">
    <w:name w:val="Default"/>
    <w:link w:val="480"/>
    <w:qFormat/>
    <w:uiPriority w:val="0"/>
    <w:pPr>
      <w:widowControl w:val="0"/>
      <w:autoSpaceDE w:val="0"/>
      <w:autoSpaceDN w:val="0"/>
      <w:adjustRightInd w:val="0"/>
    </w:pPr>
    <w:rPr>
      <w:rFonts w:ascii="仿宋_GB2312" w:eastAsia="仿宋_GB2312" w:cs="仿宋_GB2312" w:hAnsiTheme="minorHAnsi"/>
      <w:color w:val="000000"/>
      <w:kern w:val="2"/>
      <w:sz w:val="24"/>
      <w:szCs w:val="24"/>
      <w:lang w:val="en-US" w:eastAsia="zh-CN" w:bidi="ar-SA"/>
    </w:rPr>
  </w:style>
  <w:style w:type="character" w:customStyle="1" w:styleId="482">
    <w:name w:val="批注主题 Char"/>
    <w:qFormat/>
    <w:uiPriority w:val="0"/>
    <w:rPr>
      <w:rFonts w:eastAsia="宋体"/>
      <w:b/>
      <w:bCs/>
      <w:kern w:val="2"/>
      <w:sz w:val="21"/>
      <w:szCs w:val="24"/>
      <w:lang w:val="en-US" w:eastAsia="zh-CN" w:bidi="ar-SA"/>
    </w:rPr>
  </w:style>
  <w:style w:type="character" w:customStyle="1" w:styleId="483">
    <w:name w:val="批注文字 字符"/>
    <w:qFormat/>
    <w:uiPriority w:val="0"/>
    <w:rPr>
      <w:rFonts w:ascii="Arial" w:hAnsi="Arial" w:eastAsia="黑体" w:cs="Arial"/>
      <w:snapToGrid w:val="0"/>
      <w:kern w:val="0"/>
      <w:szCs w:val="21"/>
    </w:rPr>
  </w:style>
  <w:style w:type="character" w:customStyle="1" w:styleId="484">
    <w:name w:val="Char Char9"/>
    <w:qFormat/>
    <w:uiPriority w:val="0"/>
    <w:rPr>
      <w:rFonts w:eastAsia="宋体"/>
      <w:kern w:val="2"/>
      <w:sz w:val="18"/>
      <w:szCs w:val="18"/>
      <w:lang w:val="en-US" w:eastAsia="zh-CN" w:bidi="ar-SA"/>
    </w:rPr>
  </w:style>
  <w:style w:type="character" w:customStyle="1" w:styleId="485">
    <w:name w:val="Table Text Char"/>
    <w:link w:val="486"/>
    <w:qFormat/>
    <w:uiPriority w:val="0"/>
    <w:rPr>
      <w:sz w:val="24"/>
      <w:szCs w:val="24"/>
    </w:rPr>
  </w:style>
  <w:style w:type="paragraph" w:customStyle="1" w:styleId="486">
    <w:name w:val="Table Text"/>
    <w:basedOn w:val="1"/>
    <w:link w:val="485"/>
    <w:qFormat/>
    <w:uiPriority w:val="0"/>
    <w:pPr>
      <w:widowControl/>
      <w:spacing w:before="60" w:after="60"/>
      <w:jc w:val="left"/>
    </w:pPr>
    <w:rPr>
      <w:rFonts w:asciiTheme="minorHAnsi" w:hAnsiTheme="minorHAnsi" w:eastAsiaTheme="minorEastAsia" w:cstheme="minorBidi"/>
      <w:sz w:val="24"/>
    </w:rPr>
  </w:style>
  <w:style w:type="paragraph" w:customStyle="1" w:styleId="4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488">
    <w:name w:val="Level 5: (1)"/>
    <w:basedOn w:val="1"/>
    <w:qFormat/>
    <w:uiPriority w:val="0"/>
    <w:pPr>
      <w:widowControl/>
      <w:tabs>
        <w:tab w:val="left" w:pos="1800"/>
      </w:tabs>
      <w:adjustRightInd/>
      <w:spacing w:before="72" w:after="72"/>
      <w:outlineLvl w:val="7"/>
    </w:pPr>
    <w:rPr>
      <w:rFonts w:ascii="Arial" w:hAnsi="Arial" w:eastAsia="仿宋_GB2312"/>
      <w:kern w:val="0"/>
      <w:sz w:val="20"/>
      <w:szCs w:val="20"/>
      <w:lang w:eastAsia="en-US"/>
    </w:rPr>
  </w:style>
  <w:style w:type="character" w:customStyle="1" w:styleId="489">
    <w:name w:val="签名 字符1"/>
    <w:basedOn w:val="79"/>
    <w:semiHidden/>
    <w:qFormat/>
    <w:uiPriority w:val="99"/>
    <w:rPr>
      <w:rFonts w:ascii="Times New Roman" w:hAnsi="Times New Roman" w:eastAsia="宋体" w:cs="Times New Roman"/>
      <w:szCs w:val="24"/>
    </w:rPr>
  </w:style>
  <w:style w:type="paragraph" w:customStyle="1" w:styleId="490">
    <w:name w:val="Char Char Char Char Char Char Char Char Char Char Char Char1 Char2"/>
    <w:basedOn w:val="1"/>
    <w:qFormat/>
    <w:uiPriority w:val="0"/>
    <w:rPr>
      <w:rFonts w:ascii="Tahoma" w:hAnsi="Tahoma" w:cs="仿宋_GB2312"/>
      <w:sz w:val="24"/>
      <w:szCs w:val="20"/>
    </w:rPr>
  </w:style>
  <w:style w:type="paragraph" w:customStyle="1" w:styleId="491">
    <w:name w:val="正文缩进2格"/>
    <w:basedOn w:val="1"/>
    <w:qFormat/>
    <w:uiPriority w:val="0"/>
    <w:pPr>
      <w:adjustRightInd/>
      <w:spacing w:line="600" w:lineRule="exact"/>
      <w:ind w:firstLine="639" w:firstLineChars="206"/>
    </w:pPr>
    <w:rPr>
      <w:rFonts w:ascii="仿宋_GB2312" w:hAnsi="宋体" w:eastAsia="仿宋_GB2312"/>
      <w:sz w:val="31"/>
      <w:szCs w:val="28"/>
    </w:rPr>
  </w:style>
  <w:style w:type="paragraph" w:customStyle="1" w:styleId="492">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49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94">
    <w:name w:val="RFI Bullet 1st Level"/>
    <w:basedOn w:val="1"/>
    <w:qFormat/>
    <w:uiPriority w:val="0"/>
    <w:pPr>
      <w:widowControl/>
      <w:adjustRightInd/>
      <w:spacing w:before="60" w:after="60"/>
      <w:ind w:left="1440" w:hanging="360"/>
    </w:pPr>
    <w:rPr>
      <w:rFonts w:ascii="Arial (W1)" w:hAnsi="Arial (W1)" w:eastAsia="仿宋_GB2312"/>
      <w:kern w:val="0"/>
      <w:sz w:val="24"/>
      <w:szCs w:val="28"/>
      <w:lang w:val="en-GB" w:eastAsia="en-US"/>
    </w:rPr>
  </w:style>
  <w:style w:type="paragraph" w:customStyle="1" w:styleId="495">
    <w:name w:val="Content Bullet"/>
    <w:basedOn w:val="1"/>
    <w:qFormat/>
    <w:uiPriority w:val="0"/>
    <w:pPr>
      <w:widowControl/>
      <w:tabs>
        <w:tab w:val="left" w:pos="420"/>
        <w:tab w:val="left" w:pos="696"/>
        <w:tab w:val="left" w:pos="3060"/>
        <w:tab w:val="left" w:pos="3600"/>
      </w:tabs>
      <w:adjustRightInd/>
      <w:spacing w:after="120"/>
      <w:ind w:left="720" w:hanging="720"/>
      <w:jc w:val="left"/>
    </w:pPr>
    <w:rPr>
      <w:rFonts w:ascii="Book Antiqua" w:hAnsi="Book Antiqua" w:eastAsia="仿宋_GB2312"/>
      <w:kern w:val="0"/>
      <w:sz w:val="22"/>
      <w:szCs w:val="20"/>
      <w:lang w:val="en-GB" w:eastAsia="en-US"/>
    </w:rPr>
  </w:style>
  <w:style w:type="character" w:customStyle="1" w:styleId="496">
    <w:name w:val="正文文本缩进 Char3"/>
    <w:basedOn w:val="79"/>
    <w:link w:val="31"/>
    <w:semiHidden/>
    <w:qFormat/>
    <w:uiPriority w:val="99"/>
    <w:rPr>
      <w:rFonts w:ascii="Times New Roman" w:hAnsi="Times New Roman" w:eastAsia="宋体" w:cs="Times New Roman"/>
      <w:szCs w:val="24"/>
    </w:rPr>
  </w:style>
  <w:style w:type="character" w:customStyle="1" w:styleId="497">
    <w:name w:val="正文首行缩进 2 字符1"/>
    <w:basedOn w:val="496"/>
    <w:semiHidden/>
    <w:qFormat/>
    <w:uiPriority w:val="99"/>
    <w:rPr>
      <w:rFonts w:ascii="Times New Roman" w:hAnsi="Times New Roman" w:eastAsia="宋体" w:cs="Times New Roman"/>
      <w:szCs w:val="24"/>
    </w:rPr>
  </w:style>
  <w:style w:type="character" w:customStyle="1" w:styleId="498">
    <w:name w:val="正文文本 3 字符1"/>
    <w:basedOn w:val="79"/>
    <w:semiHidden/>
    <w:qFormat/>
    <w:uiPriority w:val="99"/>
    <w:rPr>
      <w:rFonts w:ascii="Times New Roman" w:hAnsi="Times New Roman" w:eastAsia="宋体" w:cs="Times New Roman"/>
      <w:sz w:val="16"/>
      <w:szCs w:val="16"/>
    </w:rPr>
  </w:style>
  <w:style w:type="paragraph" w:customStyle="1" w:styleId="499">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500">
    <w:name w:val="Char3 Char Char Char1"/>
    <w:basedOn w:val="1"/>
    <w:qFormat/>
    <w:uiPriority w:val="6"/>
    <w:pPr>
      <w:widowControl/>
      <w:adjustRightInd/>
      <w:spacing w:after="160" w:line="240" w:lineRule="exact"/>
      <w:jc w:val="left"/>
    </w:pPr>
    <w:rPr>
      <w:szCs w:val="20"/>
    </w:rPr>
  </w:style>
  <w:style w:type="paragraph" w:customStyle="1" w:styleId="501">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0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0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505">
    <w:name w:val="MM Title"/>
    <w:basedOn w:val="69"/>
    <w:qFormat/>
    <w:uiPriority w:val="0"/>
    <w:pPr>
      <w:widowControl w:val="0"/>
      <w:overflowPunct/>
      <w:autoSpaceDE/>
      <w:autoSpaceDN/>
      <w:adjustRightInd/>
      <w:spacing w:before="240" w:after="60"/>
      <w:textAlignment w:val="auto"/>
      <w:outlineLvl w:val="0"/>
    </w:pPr>
    <w:rPr>
      <w:rFonts w:ascii="Arial" w:hAnsi="Arial" w:cs="Arial"/>
      <w:bCs/>
      <w:sz w:val="32"/>
      <w:szCs w:val="32"/>
      <w:lang w:val="en-US"/>
    </w:rPr>
  </w:style>
  <w:style w:type="paragraph" w:customStyle="1" w:styleId="50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character" w:customStyle="1" w:styleId="507">
    <w:name w:val="文档结构图 字符2"/>
    <w:basedOn w:val="79"/>
    <w:semiHidden/>
    <w:qFormat/>
    <w:uiPriority w:val="99"/>
    <w:rPr>
      <w:rFonts w:ascii="Microsoft YaHei UI" w:hAnsi="Times New Roman" w:eastAsia="Microsoft YaHei UI" w:cs="Times New Roman"/>
      <w:sz w:val="18"/>
      <w:szCs w:val="18"/>
    </w:rPr>
  </w:style>
  <w:style w:type="paragraph" w:customStyle="1" w:styleId="508">
    <w:name w:val="Char Char Char Char Char Char Char"/>
    <w:basedOn w:val="1"/>
    <w:qFormat/>
    <w:uiPriority w:val="0"/>
    <w:rPr>
      <w:rFonts w:ascii="仿宋_GB2312" w:eastAsia="仿宋_GB2312"/>
      <w:b/>
      <w:sz w:val="32"/>
      <w:szCs w:val="32"/>
    </w:rPr>
  </w:style>
  <w:style w:type="paragraph" w:customStyle="1" w:styleId="50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10">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1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12">
    <w:name w:val="Table Paragraph"/>
    <w:basedOn w:val="1"/>
    <w:qFormat/>
    <w:uiPriority w:val="0"/>
    <w:pPr>
      <w:adjustRightInd/>
      <w:jc w:val="left"/>
    </w:pPr>
    <w:rPr>
      <w:rFonts w:ascii="Calibri" w:hAnsi="Calibri"/>
      <w:kern w:val="0"/>
      <w:sz w:val="22"/>
      <w:szCs w:val="22"/>
      <w:lang w:eastAsia="en-US"/>
    </w:rPr>
  </w:style>
  <w:style w:type="character" w:customStyle="1" w:styleId="513">
    <w:name w:val="页眉 字符3"/>
    <w:basedOn w:val="79"/>
    <w:semiHidden/>
    <w:qFormat/>
    <w:uiPriority w:val="99"/>
    <w:rPr>
      <w:rFonts w:ascii="Times New Roman" w:hAnsi="Times New Roman" w:eastAsia="宋体" w:cs="Times New Roman"/>
      <w:sz w:val="18"/>
      <w:szCs w:val="18"/>
    </w:rPr>
  </w:style>
  <w:style w:type="paragraph" w:customStyle="1" w:styleId="51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1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16">
    <w:name w:val="MM Empty"/>
    <w:basedOn w:val="1"/>
    <w:qFormat/>
    <w:uiPriority w:val="0"/>
    <w:pPr>
      <w:adjustRightInd/>
    </w:pPr>
  </w:style>
  <w:style w:type="paragraph" w:customStyle="1" w:styleId="517">
    <w:name w:val="标书表格字体格式"/>
    <w:next w:val="124"/>
    <w:qFormat/>
    <w:uiPriority w:val="0"/>
    <w:rPr>
      <w:rFonts w:ascii="Times New Roman" w:hAnsi="Times New Roman" w:eastAsia="宋体" w:cs="Times New Roman"/>
      <w:kern w:val="2"/>
      <w:sz w:val="21"/>
      <w:szCs w:val="24"/>
      <w:lang w:val="en-US" w:eastAsia="zh-CN" w:bidi="ar-SA"/>
    </w:rPr>
  </w:style>
  <w:style w:type="paragraph" w:customStyle="1" w:styleId="518">
    <w:name w:val="Char Char1 Char Char Char1"/>
    <w:basedOn w:val="1"/>
    <w:qFormat/>
    <w:uiPriority w:val="6"/>
    <w:rPr>
      <w:rFonts w:ascii="仿宋_GB2312" w:eastAsia="仿宋_GB2312"/>
      <w:b/>
      <w:sz w:val="32"/>
      <w:szCs w:val="20"/>
    </w:rPr>
  </w:style>
  <w:style w:type="paragraph" w:customStyle="1" w:styleId="519">
    <w:name w:val="项目符号2"/>
    <w:basedOn w:val="1"/>
    <w:qFormat/>
    <w:uiPriority w:val="0"/>
    <w:pPr>
      <w:tabs>
        <w:tab w:val="left" w:pos="2591"/>
      </w:tabs>
      <w:adjustRightInd/>
      <w:snapToGrid w:val="0"/>
      <w:spacing w:line="300" w:lineRule="auto"/>
      <w:ind w:left="2155" w:hanging="284"/>
    </w:pPr>
    <w:rPr>
      <w:rFonts w:ascii="宋体" w:eastAsia="仿宋_GB2312"/>
      <w:sz w:val="24"/>
      <w:szCs w:val="20"/>
    </w:rPr>
  </w:style>
  <w:style w:type="character" w:customStyle="1" w:styleId="520">
    <w:name w:val="明显引用 字符1"/>
    <w:basedOn w:val="79"/>
    <w:qFormat/>
    <w:uiPriority w:val="30"/>
    <w:rPr>
      <w:rFonts w:ascii="Times New Roman" w:hAnsi="Times New Roman" w:eastAsia="宋体" w:cs="Times New Roman"/>
      <w:i/>
      <w:iCs/>
      <w:color w:val="5B9BD5" w:themeColor="accent1"/>
      <w:szCs w:val="24"/>
    </w:rPr>
  </w:style>
  <w:style w:type="character" w:customStyle="1" w:styleId="521">
    <w:name w:val="标题 字符1"/>
    <w:basedOn w:val="79"/>
    <w:qFormat/>
    <w:uiPriority w:val="10"/>
    <w:rPr>
      <w:rFonts w:asciiTheme="majorHAnsi" w:hAnsiTheme="majorHAnsi" w:eastAsiaTheme="majorEastAsia" w:cstheme="majorBidi"/>
      <w:b/>
      <w:bCs/>
      <w:sz w:val="32"/>
      <w:szCs w:val="32"/>
    </w:rPr>
  </w:style>
  <w:style w:type="paragraph" w:customStyle="1" w:styleId="522">
    <w:name w:val="Body Text 2*"/>
    <w:basedOn w:val="1"/>
    <w:qFormat/>
    <w:uiPriority w:val="6"/>
    <w:pPr>
      <w:widowControl/>
      <w:adjustRightInd/>
      <w:ind w:left="720" w:hanging="720"/>
    </w:pPr>
    <w:rPr>
      <w:color w:val="000000"/>
      <w:kern w:val="0"/>
      <w:sz w:val="24"/>
      <w:szCs w:val="20"/>
      <w:lang w:val="en-GB"/>
    </w:rPr>
  </w:style>
  <w:style w:type="paragraph" w:customStyle="1" w:styleId="523">
    <w:name w:val="表格标题2"/>
    <w:basedOn w:val="524"/>
    <w:qFormat/>
    <w:uiPriority w:val="0"/>
    <w:rPr>
      <w:b/>
    </w:rPr>
  </w:style>
  <w:style w:type="paragraph" w:customStyle="1" w:styleId="524">
    <w:name w:val="表格内文"/>
    <w:basedOn w:val="1"/>
    <w:qFormat/>
    <w:uiPriority w:val="0"/>
    <w:pPr>
      <w:adjustRightInd/>
      <w:spacing w:line="360" w:lineRule="auto"/>
    </w:pPr>
    <w:rPr>
      <w:rFonts w:ascii="宋体" w:hAnsi="宋体" w:cs="宋体"/>
      <w:color w:val="000000"/>
      <w:szCs w:val="20"/>
    </w:rPr>
  </w:style>
  <w:style w:type="paragraph" w:customStyle="1" w:styleId="525">
    <w:name w:val="Char Char Char 字元 字元"/>
    <w:basedOn w:val="1"/>
    <w:qFormat/>
    <w:uiPriority w:val="0"/>
    <w:pPr>
      <w:adjustRightInd/>
      <w:spacing w:line="360" w:lineRule="auto"/>
      <w:ind w:firstLine="200" w:firstLineChars="200"/>
    </w:pPr>
    <w:rPr>
      <w:szCs w:val="20"/>
    </w:rPr>
  </w:style>
  <w:style w:type="paragraph" w:customStyle="1" w:styleId="526">
    <w:name w:val="xl10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FF0000"/>
      <w:kern w:val="0"/>
      <w:sz w:val="24"/>
    </w:rPr>
  </w:style>
  <w:style w:type="paragraph" w:customStyle="1" w:styleId="527">
    <w:name w:val="A01"/>
    <w:basedOn w:val="1"/>
    <w:qFormat/>
    <w:uiPriority w:val="0"/>
    <w:pPr>
      <w:tabs>
        <w:tab w:val="left" w:pos="0"/>
      </w:tabs>
      <w:adjustRightInd/>
      <w:outlineLvl w:val="0"/>
    </w:pPr>
    <w:rPr>
      <w:rFonts w:eastAsia="方正小标宋简体"/>
      <w:b/>
      <w:sz w:val="28"/>
    </w:rPr>
  </w:style>
  <w:style w:type="paragraph" w:customStyle="1" w:styleId="52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31">
    <w:name w:val="小四缩进"/>
    <w:basedOn w:val="1"/>
    <w:qFormat/>
    <w:uiPriority w:val="0"/>
    <w:pPr>
      <w:adjustRightInd/>
      <w:spacing w:line="360" w:lineRule="auto"/>
      <w:ind w:firstLine="480" w:firstLineChars="200"/>
    </w:pPr>
    <w:rPr>
      <w:sz w:val="24"/>
    </w:rPr>
  </w:style>
  <w:style w:type="paragraph" w:customStyle="1" w:styleId="5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3">
    <w:name w:val="方案正文-样式 小四 行距: 1.5 倍行距"/>
    <w:basedOn w:val="1"/>
    <w:qFormat/>
    <w:uiPriority w:val="0"/>
    <w:pPr>
      <w:adjustRightInd/>
      <w:spacing w:line="360" w:lineRule="auto"/>
      <w:ind w:firstLine="480" w:firstLineChars="200"/>
    </w:pPr>
    <w:rPr>
      <w:rFonts w:ascii="仿宋_GB2312" w:eastAsia="仿宋_GB2312"/>
      <w:sz w:val="24"/>
      <w:szCs w:val="28"/>
    </w:rPr>
  </w:style>
  <w:style w:type="paragraph" w:customStyle="1" w:styleId="534">
    <w:name w:val="水印"/>
    <w:basedOn w:val="1"/>
    <w:qFormat/>
    <w:uiPriority w:val="0"/>
    <w:pPr>
      <w:spacing w:line="240" w:lineRule="atLeast"/>
      <w:textAlignment w:val="baseline"/>
    </w:pPr>
    <w:rPr>
      <w:rFonts w:ascii="仿宋_GB2312" w:eastAsia="仿宋_GB2312"/>
      <w:kern w:val="0"/>
      <w:sz w:val="28"/>
      <w:szCs w:val="20"/>
    </w:rPr>
  </w:style>
  <w:style w:type="paragraph" w:customStyle="1" w:styleId="535">
    <w:name w:val="1级标题"/>
    <w:basedOn w:val="151"/>
    <w:qFormat/>
    <w:uiPriority w:val="0"/>
    <w:pPr>
      <w:adjustRightInd/>
      <w:spacing w:beforeLines="10" w:afterLines="10"/>
      <w:jc w:val="center"/>
      <w:outlineLvl w:val="0"/>
    </w:pPr>
    <w:rPr>
      <w:rFonts w:ascii="Calibri" w:hAnsi="Calibri"/>
      <w:b/>
      <w:sz w:val="44"/>
      <w:szCs w:val="22"/>
    </w:rPr>
  </w:style>
  <w:style w:type="character" w:customStyle="1" w:styleId="536">
    <w:name w:val="HTML 预设格式 字符1"/>
    <w:basedOn w:val="79"/>
    <w:semiHidden/>
    <w:qFormat/>
    <w:uiPriority w:val="99"/>
    <w:rPr>
      <w:rFonts w:ascii="Courier New" w:hAnsi="Courier New" w:eastAsia="宋体" w:cs="Courier New"/>
      <w:sz w:val="20"/>
      <w:szCs w:val="20"/>
    </w:rPr>
  </w:style>
  <w:style w:type="paragraph" w:customStyle="1" w:styleId="53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3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9">
    <w:name w:val="文本正文 Char"/>
    <w:basedOn w:val="1"/>
    <w:qFormat/>
    <w:uiPriority w:val="0"/>
    <w:pPr>
      <w:spacing w:line="360" w:lineRule="auto"/>
      <w:ind w:firstLine="200" w:firstLineChars="200"/>
    </w:pPr>
    <w:rPr>
      <w:kern w:val="0"/>
      <w:sz w:val="24"/>
      <w:szCs w:val="20"/>
    </w:rPr>
  </w:style>
  <w:style w:type="paragraph" w:customStyle="1" w:styleId="540">
    <w:name w:val="RFI Heading 4th Level"/>
    <w:basedOn w:val="528"/>
    <w:qFormat/>
    <w:uiPriority w:val="0"/>
    <w:pPr>
      <w:tabs>
        <w:tab w:val="left" w:pos="1152"/>
        <w:tab w:val="clear" w:pos="840"/>
      </w:tabs>
      <w:spacing w:before="240" w:after="160"/>
      <w:ind w:left="1152" w:hanging="1152" w:firstLineChars="0"/>
      <w:jc w:val="both"/>
      <w:outlineLvl w:val="2"/>
    </w:pPr>
    <w:rPr>
      <w:rFonts w:eastAsia="Times New Roman"/>
      <w:bCs/>
      <w:color w:val="auto"/>
      <w:szCs w:val="28"/>
    </w:rPr>
  </w:style>
  <w:style w:type="paragraph" w:customStyle="1" w:styleId="5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2">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54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4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45">
    <w:name w:val="A标题1"/>
    <w:basedOn w:val="5"/>
    <w:qFormat/>
    <w:uiPriority w:val="0"/>
    <w:pPr>
      <w:tabs>
        <w:tab w:val="clear" w:pos="432"/>
      </w:tabs>
      <w:adjustRightInd/>
      <w:spacing w:before="0" w:after="0" w:line="240" w:lineRule="auto"/>
      <w:ind w:left="0" w:firstLine="0"/>
      <w:jc w:val="center"/>
    </w:pPr>
    <w:rPr>
      <w:rFonts w:ascii="黑体" w:eastAsia="黑体"/>
      <w:sz w:val="32"/>
      <w:szCs w:val="32"/>
    </w:rPr>
  </w:style>
  <w:style w:type="paragraph" w:customStyle="1" w:styleId="546">
    <w:name w:val="Char Char11 Char Char Char1"/>
    <w:basedOn w:val="1"/>
    <w:qFormat/>
    <w:uiPriority w:val="6"/>
    <w:pPr>
      <w:spacing w:line="360" w:lineRule="auto"/>
    </w:pPr>
    <w:rPr>
      <w:szCs w:val="20"/>
    </w:rPr>
  </w:style>
  <w:style w:type="paragraph" w:customStyle="1" w:styleId="547">
    <w:name w:val="Char11"/>
    <w:basedOn w:val="1"/>
    <w:qFormat/>
    <w:uiPriority w:val="0"/>
    <w:pPr>
      <w:tabs>
        <w:tab w:val="left" w:pos="432"/>
      </w:tabs>
      <w:adjustRightInd/>
      <w:spacing w:beforeLines="50" w:afterLines="50"/>
      <w:ind w:left="432" w:hanging="432" w:firstLineChars="200"/>
    </w:pPr>
    <w:rPr>
      <w:sz w:val="24"/>
    </w:rPr>
  </w:style>
  <w:style w:type="paragraph" w:customStyle="1" w:styleId="54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51">
    <w:name w:val="章标题"/>
    <w:next w:val="55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5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character" w:customStyle="1" w:styleId="554">
    <w:name w:val="正文文本缩进 2 字符1"/>
    <w:basedOn w:val="79"/>
    <w:semiHidden/>
    <w:qFormat/>
    <w:uiPriority w:val="99"/>
    <w:rPr>
      <w:rFonts w:ascii="Times New Roman" w:hAnsi="Times New Roman" w:eastAsia="宋体" w:cs="Times New Roman"/>
      <w:szCs w:val="24"/>
    </w:rPr>
  </w:style>
  <w:style w:type="paragraph" w:customStyle="1" w:styleId="555">
    <w:name w:val="Char Char1121"/>
    <w:basedOn w:val="1"/>
    <w:qFormat/>
    <w:uiPriority w:val="0"/>
    <w:pPr>
      <w:spacing w:line="360" w:lineRule="auto"/>
    </w:pPr>
    <w:rPr>
      <w:szCs w:val="20"/>
    </w:rPr>
  </w:style>
  <w:style w:type="paragraph" w:customStyle="1" w:styleId="556">
    <w:name w:val="封面"/>
    <w:basedOn w:val="1"/>
    <w:qFormat/>
    <w:uiPriority w:val="0"/>
    <w:pPr>
      <w:spacing w:line="360" w:lineRule="atLeast"/>
      <w:jc w:val="right"/>
      <w:textAlignment w:val="baseline"/>
    </w:pPr>
    <w:rPr>
      <w:rFonts w:ascii="Symbol" w:hAnsi="Symbol"/>
      <w:kern w:val="0"/>
      <w:szCs w:val="20"/>
    </w:rPr>
  </w:style>
  <w:style w:type="paragraph" w:customStyle="1" w:styleId="5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55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59">
    <w:name w:val="表文字"/>
    <w:qFormat/>
    <w:uiPriority w:val="0"/>
    <w:rPr>
      <w:rFonts w:ascii="宋体" w:hAnsi="Times New Roman" w:eastAsia="宋体" w:cs="Times New Roman"/>
      <w:kern w:val="2"/>
      <w:lang w:val="en-US" w:eastAsia="zh-CN" w:bidi="ar-SA"/>
    </w:rPr>
  </w:style>
  <w:style w:type="paragraph" w:customStyle="1" w:styleId="560">
    <w:name w:val="1 Char Char Char Char"/>
    <w:basedOn w:val="1"/>
    <w:qFormat/>
    <w:uiPriority w:val="0"/>
    <w:pPr>
      <w:adjustRightInd/>
    </w:pPr>
    <w:rPr>
      <w:rFonts w:ascii="Tahoma" w:hAnsi="Tahoma"/>
      <w:sz w:val="24"/>
      <w:szCs w:val="20"/>
    </w:rPr>
  </w:style>
  <w:style w:type="character" w:customStyle="1" w:styleId="561">
    <w:name w:val="脚注文本 字符1"/>
    <w:basedOn w:val="79"/>
    <w:semiHidden/>
    <w:qFormat/>
    <w:uiPriority w:val="99"/>
    <w:rPr>
      <w:rFonts w:ascii="Times New Roman" w:hAnsi="Times New Roman" w:eastAsia="宋体" w:cs="Times New Roman"/>
      <w:sz w:val="18"/>
      <w:szCs w:val="18"/>
    </w:rPr>
  </w:style>
  <w:style w:type="paragraph" w:customStyle="1" w:styleId="562">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56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64">
    <w:name w:val="bullet"/>
    <w:basedOn w:val="1"/>
    <w:qFormat/>
    <w:uiPriority w:val="0"/>
    <w:pPr>
      <w:tabs>
        <w:tab w:val="left" w:pos="840"/>
      </w:tabs>
      <w:adjustRightInd/>
      <w:ind w:left="840" w:hanging="420"/>
    </w:pPr>
  </w:style>
  <w:style w:type="paragraph" w:customStyle="1" w:styleId="56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6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7">
    <w:name w:val="Char24"/>
    <w:basedOn w:val="1"/>
    <w:qFormat/>
    <w:uiPriority w:val="0"/>
    <w:rPr>
      <w:rFonts w:ascii="仿宋_GB2312" w:eastAsia="仿宋_GB2312"/>
      <w:b/>
      <w:sz w:val="32"/>
      <w:szCs w:val="32"/>
    </w:rPr>
  </w:style>
  <w:style w:type="paragraph" w:customStyle="1" w:styleId="568">
    <w:name w:val="表1"/>
    <w:basedOn w:val="1"/>
    <w:qFormat/>
    <w:uiPriority w:val="0"/>
    <w:pPr>
      <w:tabs>
        <w:tab w:val="left" w:pos="703"/>
      </w:tabs>
      <w:adjustRightInd/>
      <w:spacing w:line="360" w:lineRule="auto"/>
      <w:ind w:left="703"/>
      <w:jc w:val="center"/>
    </w:pPr>
  </w:style>
  <w:style w:type="character" w:customStyle="1" w:styleId="569">
    <w:name w:val="页脚 字符3"/>
    <w:basedOn w:val="79"/>
    <w:semiHidden/>
    <w:qFormat/>
    <w:uiPriority w:val="99"/>
    <w:rPr>
      <w:rFonts w:ascii="Times New Roman" w:hAnsi="Times New Roman" w:eastAsia="宋体" w:cs="Times New Roman"/>
      <w:sz w:val="18"/>
      <w:szCs w:val="18"/>
    </w:rPr>
  </w:style>
  <w:style w:type="paragraph" w:customStyle="1" w:styleId="57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71">
    <w:name w:val="Level 6: (i)"/>
    <w:basedOn w:val="1"/>
    <w:qFormat/>
    <w:uiPriority w:val="0"/>
    <w:pPr>
      <w:widowControl/>
      <w:tabs>
        <w:tab w:val="left" w:pos="2160"/>
      </w:tabs>
      <w:adjustRightInd/>
      <w:spacing w:before="72" w:after="72"/>
      <w:outlineLvl w:val="8"/>
    </w:pPr>
    <w:rPr>
      <w:rFonts w:ascii="Arial" w:hAnsi="Arial" w:eastAsia="仿宋_GB2312"/>
      <w:kern w:val="0"/>
      <w:sz w:val="20"/>
      <w:szCs w:val="20"/>
      <w:lang w:eastAsia="en-US"/>
    </w:rPr>
  </w:style>
  <w:style w:type="paragraph" w:customStyle="1" w:styleId="572">
    <w:name w:val="正文文字表格居中"/>
    <w:basedOn w:val="1"/>
    <w:next w:val="65"/>
    <w:qFormat/>
    <w:uiPriority w:val="0"/>
    <w:pPr>
      <w:snapToGrid w:val="0"/>
      <w:spacing w:line="360" w:lineRule="auto"/>
    </w:pPr>
    <w:rPr>
      <w:rFonts w:ascii="宋体"/>
      <w:b/>
      <w:sz w:val="24"/>
      <w:szCs w:val="20"/>
    </w:rPr>
  </w:style>
  <w:style w:type="paragraph" w:customStyle="1" w:styleId="573">
    <w:name w:val="My正文"/>
    <w:basedOn w:val="1"/>
    <w:qFormat/>
    <w:uiPriority w:val="0"/>
    <w:pPr>
      <w:spacing w:before="120" w:line="360" w:lineRule="auto"/>
      <w:ind w:firstLine="567"/>
    </w:pPr>
    <w:rPr>
      <w:rFonts w:ascii="Arial" w:hAnsi="Arial"/>
      <w:sz w:val="20"/>
      <w:szCs w:val="20"/>
    </w:rPr>
  </w:style>
  <w:style w:type="paragraph" w:customStyle="1" w:styleId="57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57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76">
    <w:name w:val="Char Char1 Char Char Char Char Char Char1"/>
    <w:basedOn w:val="1"/>
    <w:qFormat/>
    <w:uiPriority w:val="0"/>
    <w:rPr>
      <w:rFonts w:ascii="仿宋_GB2312" w:eastAsia="仿宋_GB2312"/>
      <w:b/>
      <w:sz w:val="32"/>
      <w:szCs w:val="20"/>
    </w:rPr>
  </w:style>
  <w:style w:type="paragraph" w:customStyle="1" w:styleId="577">
    <w:name w:val="正文缩进6格"/>
    <w:basedOn w:val="578"/>
    <w:qFormat/>
    <w:uiPriority w:val="0"/>
    <w:pPr>
      <w:ind w:left="1758" w:leftChars="854"/>
    </w:pPr>
  </w:style>
  <w:style w:type="paragraph" w:customStyle="1" w:styleId="578">
    <w:name w:val="正文缩进4格"/>
    <w:basedOn w:val="491"/>
    <w:qFormat/>
    <w:uiPriority w:val="0"/>
    <w:pPr>
      <w:ind w:left="651" w:leftChars="310" w:firstLine="608" w:firstLineChars="196"/>
    </w:pPr>
    <w:rPr>
      <w:color w:val="000000"/>
    </w:rPr>
  </w:style>
  <w:style w:type="paragraph" w:customStyle="1" w:styleId="579">
    <w:name w:val="样式 仿宋_GB2312 小三 左侧:  1.06 厘米"/>
    <w:basedOn w:val="1"/>
    <w:qFormat/>
    <w:uiPriority w:val="0"/>
    <w:pPr>
      <w:spacing w:line="360" w:lineRule="auto"/>
      <w:ind w:left="601"/>
    </w:pPr>
    <w:rPr>
      <w:rFonts w:ascii="仿宋_GB2312" w:eastAsia="仿宋_GB2312"/>
      <w:sz w:val="24"/>
      <w:szCs w:val="20"/>
    </w:rPr>
  </w:style>
  <w:style w:type="character" w:customStyle="1" w:styleId="580">
    <w:name w:val="批注框文本 字符2"/>
    <w:basedOn w:val="79"/>
    <w:semiHidden/>
    <w:qFormat/>
    <w:uiPriority w:val="99"/>
    <w:rPr>
      <w:rFonts w:ascii="Times New Roman" w:hAnsi="Times New Roman" w:eastAsia="宋体" w:cs="Times New Roman"/>
      <w:sz w:val="18"/>
      <w:szCs w:val="18"/>
    </w:rPr>
  </w:style>
  <w:style w:type="paragraph" w:customStyle="1" w:styleId="58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58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3">
    <w:name w:val="xl11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FF0000"/>
      <w:kern w:val="0"/>
      <w:sz w:val="24"/>
    </w:rPr>
  </w:style>
  <w:style w:type="paragraph" w:customStyle="1" w:styleId="5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585">
    <w:name w:val="称呼 字符1"/>
    <w:basedOn w:val="79"/>
    <w:semiHidden/>
    <w:qFormat/>
    <w:uiPriority w:val="99"/>
    <w:rPr>
      <w:rFonts w:ascii="Times New Roman" w:hAnsi="Times New Roman" w:eastAsia="宋体" w:cs="Times New Roman"/>
      <w:szCs w:val="24"/>
    </w:rPr>
  </w:style>
  <w:style w:type="paragraph" w:customStyle="1" w:styleId="58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7">
    <w:name w:val="单元格居中"/>
    <w:basedOn w:val="1"/>
    <w:qFormat/>
    <w:uiPriority w:val="0"/>
    <w:pPr>
      <w:adjustRightInd/>
      <w:spacing w:line="360" w:lineRule="auto"/>
      <w:jc w:val="center"/>
    </w:pPr>
    <w:rPr>
      <w:sz w:val="24"/>
    </w:rPr>
  </w:style>
  <w:style w:type="paragraph" w:customStyle="1" w:styleId="588">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58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9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92">
    <w:name w:val="FA正文"/>
    <w:basedOn w:val="1"/>
    <w:qFormat/>
    <w:uiPriority w:val="0"/>
    <w:pPr>
      <w:spacing w:line="360" w:lineRule="auto"/>
      <w:ind w:firstLine="480" w:firstLineChars="200"/>
    </w:pPr>
    <w:rPr>
      <w:rFonts w:hAnsi="宋体"/>
      <w:sz w:val="24"/>
      <w:szCs w:val="20"/>
    </w:rPr>
  </w:style>
  <w:style w:type="paragraph" w:customStyle="1" w:styleId="593">
    <w:name w:val="封面公司名"/>
    <w:qFormat/>
    <w:uiPriority w:val="0"/>
    <w:pPr>
      <w:jc w:val="center"/>
    </w:pPr>
    <w:rPr>
      <w:rFonts w:ascii="Arial" w:hAnsi="Arial" w:eastAsia="楷体_GB2312" w:cs="宋体"/>
      <w:bCs/>
      <w:kern w:val="2"/>
      <w:sz w:val="28"/>
      <w:lang w:val="en-US" w:eastAsia="zh-CN" w:bidi="ar-SA"/>
    </w:rPr>
  </w:style>
  <w:style w:type="paragraph" w:customStyle="1" w:styleId="59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595">
    <w:name w:val="四号　首行缩进"/>
    <w:basedOn w:val="1"/>
    <w:qFormat/>
    <w:uiPriority w:val="0"/>
    <w:pPr>
      <w:adjustRightInd/>
      <w:spacing w:line="360" w:lineRule="auto"/>
    </w:pPr>
    <w:rPr>
      <w:rFonts w:ascii="宋体" w:hAnsi="宋体"/>
      <w:szCs w:val="20"/>
    </w:rPr>
  </w:style>
  <w:style w:type="character" w:customStyle="1" w:styleId="596">
    <w:name w:val="HTML 地址 字符1"/>
    <w:basedOn w:val="79"/>
    <w:semiHidden/>
    <w:qFormat/>
    <w:uiPriority w:val="99"/>
    <w:rPr>
      <w:rFonts w:ascii="Times New Roman" w:hAnsi="Times New Roman" w:eastAsia="宋体" w:cs="Times New Roman"/>
      <w:i/>
      <w:iCs/>
      <w:szCs w:val="24"/>
    </w:rPr>
  </w:style>
  <w:style w:type="paragraph" w:customStyle="1" w:styleId="59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标题2正文"/>
    <w:basedOn w:val="1"/>
    <w:qFormat/>
    <w:uiPriority w:val="0"/>
    <w:pPr>
      <w:adjustRightInd/>
      <w:snapToGrid w:val="0"/>
      <w:spacing w:line="360" w:lineRule="auto"/>
      <w:ind w:firstLine="480" w:firstLineChars="200"/>
    </w:pPr>
    <w:rPr>
      <w:sz w:val="24"/>
    </w:rPr>
  </w:style>
  <w:style w:type="paragraph" w:customStyle="1" w:styleId="59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01">
    <w:name w:val="正文 图"/>
    <w:basedOn w:val="573"/>
    <w:qFormat/>
    <w:uiPriority w:val="0"/>
    <w:pPr>
      <w:adjustRightInd/>
      <w:spacing w:before="0"/>
      <w:ind w:firstLine="0"/>
      <w:jc w:val="center"/>
    </w:pPr>
    <w:rPr>
      <w:rFonts w:ascii="微软雅黑" w:hAnsi="微软雅黑"/>
    </w:rPr>
  </w:style>
  <w:style w:type="paragraph" w:customStyle="1" w:styleId="60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603">
    <w:name w:val="_Style 12"/>
    <w:basedOn w:val="25"/>
    <w:qFormat/>
    <w:uiPriority w:val="0"/>
    <w:pPr>
      <w:snapToGrid w:val="0"/>
      <w:spacing w:line="360" w:lineRule="auto"/>
    </w:pPr>
  </w:style>
  <w:style w:type="paragraph" w:customStyle="1" w:styleId="604">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05">
    <w:name w:val="Char Char113"/>
    <w:basedOn w:val="1"/>
    <w:qFormat/>
    <w:uiPriority w:val="0"/>
    <w:pPr>
      <w:widowControl/>
      <w:spacing w:after="160" w:line="240" w:lineRule="exact"/>
      <w:jc w:val="left"/>
    </w:pPr>
    <w:rPr>
      <w:rFonts w:eastAsia="仿宋_GB2312"/>
      <w:sz w:val="28"/>
    </w:rPr>
  </w:style>
  <w:style w:type="paragraph" w:customStyle="1" w:styleId="60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07">
    <w:name w:val="正文无缩进"/>
    <w:basedOn w:val="491"/>
    <w:qFormat/>
    <w:uiPriority w:val="0"/>
    <w:pPr>
      <w:ind w:firstLine="0" w:firstLineChars="0"/>
    </w:pPr>
  </w:style>
  <w:style w:type="paragraph" w:customStyle="1" w:styleId="608">
    <w:name w:val="Char5"/>
    <w:basedOn w:val="1"/>
    <w:qFormat/>
    <w:uiPriority w:val="0"/>
    <w:rPr>
      <w:rFonts w:ascii="仿宋_GB2312" w:eastAsia="仿宋_GB2312"/>
      <w:b/>
      <w:sz w:val="32"/>
      <w:szCs w:val="32"/>
    </w:rPr>
  </w:style>
  <w:style w:type="paragraph" w:customStyle="1" w:styleId="609">
    <w:name w:val="Char1 Char Char Char2"/>
    <w:basedOn w:val="1"/>
    <w:qFormat/>
    <w:uiPriority w:val="0"/>
    <w:pPr>
      <w:adjustRightInd/>
      <w:ind w:firstLine="200" w:firstLineChars="200"/>
    </w:pPr>
    <w:rPr>
      <w:rFonts w:ascii="Tahoma" w:hAnsi="Tahoma"/>
      <w:sz w:val="24"/>
      <w:szCs w:val="20"/>
    </w:rPr>
  </w:style>
  <w:style w:type="paragraph" w:customStyle="1" w:styleId="610">
    <w:name w:val="Char Char4 Char Char"/>
    <w:basedOn w:val="1"/>
    <w:qFormat/>
    <w:uiPriority w:val="0"/>
    <w:pPr>
      <w:widowControl/>
      <w:adjustRightInd/>
      <w:spacing w:after="160" w:line="240" w:lineRule="exact"/>
      <w:jc w:val="left"/>
    </w:pPr>
  </w:style>
  <w:style w:type="paragraph" w:customStyle="1" w:styleId="61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3">
    <w:name w:val="p1"/>
    <w:basedOn w:val="1"/>
    <w:qFormat/>
    <w:uiPriority w:val="0"/>
    <w:pPr>
      <w:widowControl/>
      <w:adjustRightInd/>
      <w:jc w:val="left"/>
    </w:pPr>
    <w:rPr>
      <w:rFonts w:ascii=".PingFang SC" w:eastAsia=".PingFang SC"/>
      <w:color w:val="454545"/>
      <w:kern w:val="0"/>
      <w:sz w:val="18"/>
      <w:szCs w:val="18"/>
    </w:rPr>
  </w:style>
  <w:style w:type="paragraph" w:customStyle="1" w:styleId="61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character" w:customStyle="1" w:styleId="615">
    <w:name w:val="批注文字 字符2"/>
    <w:basedOn w:val="79"/>
    <w:semiHidden/>
    <w:qFormat/>
    <w:uiPriority w:val="99"/>
    <w:rPr>
      <w:rFonts w:ascii="Times New Roman" w:hAnsi="Times New Roman" w:eastAsia="宋体" w:cs="Times New Roman"/>
      <w:szCs w:val="24"/>
    </w:rPr>
  </w:style>
  <w:style w:type="paragraph" w:customStyle="1" w:styleId="616">
    <w:name w:val="Level 3: (a)"/>
    <w:basedOn w:val="1"/>
    <w:qFormat/>
    <w:uiPriority w:val="0"/>
    <w:pPr>
      <w:widowControl/>
      <w:tabs>
        <w:tab w:val="left" w:pos="1080"/>
      </w:tabs>
      <w:adjustRightInd/>
      <w:spacing w:before="72" w:after="72"/>
      <w:outlineLvl w:val="5"/>
    </w:pPr>
    <w:rPr>
      <w:rFonts w:ascii="Arial" w:hAnsi="Arial" w:eastAsia="仿宋_GB2312"/>
      <w:kern w:val="0"/>
      <w:sz w:val="20"/>
      <w:szCs w:val="20"/>
      <w:lang w:eastAsia="en-US"/>
    </w:rPr>
  </w:style>
  <w:style w:type="paragraph" w:customStyle="1" w:styleId="61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61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619">
    <w:name w:val="5号正文"/>
    <w:basedOn w:val="29"/>
    <w:qFormat/>
    <w:uiPriority w:val="0"/>
    <w:rPr>
      <w:kern w:val="0"/>
    </w:rPr>
  </w:style>
  <w:style w:type="paragraph" w:customStyle="1" w:styleId="62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62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62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3">
    <w:name w:val="项目1"/>
    <w:basedOn w:val="8"/>
    <w:next w:val="8"/>
    <w:qFormat/>
    <w:uiPriority w:val="0"/>
    <w:pPr>
      <w:widowControl w:val="0"/>
      <w:adjustRightInd/>
      <w:snapToGrid/>
      <w:spacing w:beforeLines="50" w:afterLines="50" w:line="360" w:lineRule="auto"/>
      <w:ind w:left="-4" w:leftChars="-2" w:firstLine="468" w:firstLineChars="195"/>
      <w:jc w:val="left"/>
    </w:pPr>
    <w:rPr>
      <w:rFonts w:hAnsi="宋体" w:eastAsia="仿宋_GB2312"/>
      <w:bCs/>
      <w:snapToGrid/>
      <w:color w:val="auto"/>
      <w:kern w:val="2"/>
      <w:sz w:val="24"/>
      <w:szCs w:val="24"/>
    </w:rPr>
  </w:style>
  <w:style w:type="paragraph" w:customStyle="1" w:styleId="6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8">
    <w:name w:val="一级条标题"/>
    <w:basedOn w:val="551"/>
    <w:next w:val="552"/>
    <w:qFormat/>
    <w:uiPriority w:val="0"/>
    <w:pPr>
      <w:tabs>
        <w:tab w:val="left" w:pos="1680"/>
      </w:tabs>
      <w:spacing w:beforeLines="0" w:afterLines="0"/>
      <w:ind w:left="1680"/>
      <w:outlineLvl w:val="2"/>
    </w:pPr>
  </w:style>
  <w:style w:type="paragraph" w:customStyle="1" w:styleId="62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63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6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33">
    <w:name w:val="三级条标题"/>
    <w:basedOn w:val="634"/>
    <w:next w:val="552"/>
    <w:qFormat/>
    <w:uiPriority w:val="0"/>
    <w:pPr>
      <w:tabs>
        <w:tab w:val="left" w:pos="1260"/>
        <w:tab w:val="left" w:pos="1680"/>
        <w:tab w:val="left" w:pos="2100"/>
        <w:tab w:val="left" w:pos="2520"/>
      </w:tabs>
      <w:ind w:left="2520"/>
      <w:outlineLvl w:val="4"/>
    </w:pPr>
  </w:style>
  <w:style w:type="paragraph" w:customStyle="1" w:styleId="634">
    <w:name w:val="二级条标题"/>
    <w:basedOn w:val="628"/>
    <w:next w:val="552"/>
    <w:qFormat/>
    <w:uiPriority w:val="0"/>
    <w:pPr>
      <w:tabs>
        <w:tab w:val="left" w:pos="2100"/>
      </w:tabs>
      <w:ind w:left="0"/>
      <w:outlineLvl w:val="3"/>
    </w:pPr>
  </w:style>
  <w:style w:type="paragraph" w:customStyle="1" w:styleId="635">
    <w:name w:val="MM Topic 5"/>
    <w:basedOn w:val="10"/>
    <w:qFormat/>
    <w:uiPriority w:val="0"/>
    <w:pPr>
      <w:tabs>
        <w:tab w:val="left" w:pos="2520"/>
      </w:tabs>
      <w:adjustRightInd/>
      <w:ind w:left="2520" w:hanging="420"/>
    </w:pPr>
  </w:style>
  <w:style w:type="paragraph" w:customStyle="1" w:styleId="63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37">
    <w:name w:val="xl100"/>
    <w:basedOn w:val="1"/>
    <w:qFormat/>
    <w:uiPriority w:val="0"/>
    <w:pPr>
      <w:widowControl/>
      <w:pBdr>
        <w:top w:val="single" w:color="auto" w:sz="4" w:space="0"/>
      </w:pBdr>
      <w:adjustRightInd/>
      <w:spacing w:before="100" w:beforeAutospacing="1" w:after="100" w:afterAutospacing="1"/>
      <w:jc w:val="left"/>
    </w:pPr>
    <w:rPr>
      <w:rFonts w:ascii="宋体" w:hAnsi="宋体" w:cs="宋体"/>
      <w:kern w:val="0"/>
      <w:sz w:val="24"/>
    </w:rPr>
  </w:style>
  <w:style w:type="paragraph" w:customStyle="1" w:styleId="63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9">
    <w:name w:val="默认段落字体 Para Char Char Char Char Char Char Char"/>
    <w:basedOn w:val="1"/>
    <w:qFormat/>
    <w:uiPriority w:val="0"/>
    <w:rPr>
      <w:rFonts w:eastAsia="仿宋_GB2312"/>
      <w:sz w:val="28"/>
      <w:szCs w:val="20"/>
    </w:rPr>
  </w:style>
  <w:style w:type="paragraph" w:customStyle="1" w:styleId="640">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41">
    <w:name w:val="样式3"/>
    <w:basedOn w:val="617"/>
    <w:qFormat/>
    <w:uiPriority w:val="0"/>
    <w:pPr>
      <w:spacing w:beforeLines="100"/>
      <w:jc w:val="left"/>
    </w:pPr>
  </w:style>
  <w:style w:type="paragraph" w:customStyle="1" w:styleId="642">
    <w:name w:val="tabletextchar"/>
    <w:basedOn w:val="1"/>
    <w:qFormat/>
    <w:uiPriority w:val="0"/>
    <w:pPr>
      <w:widowControl/>
      <w:adjustRightInd/>
      <w:spacing w:before="100" w:beforeAutospacing="1" w:after="100" w:afterAutospacing="1" w:line="240" w:lineRule="atLeast"/>
      <w:jc w:val="left"/>
    </w:pPr>
    <w:rPr>
      <w:rFonts w:ascii="宋体" w:hAnsi="宋体" w:eastAsia="仿宋_GB2312" w:cs="宋体"/>
      <w:kern w:val="0"/>
      <w:sz w:val="18"/>
      <w:szCs w:val="18"/>
    </w:rPr>
  </w:style>
  <w:style w:type="paragraph" w:customStyle="1" w:styleId="643">
    <w:name w:val="小条目 Char Char"/>
    <w:basedOn w:val="1"/>
    <w:qFormat/>
    <w:uiPriority w:val="0"/>
    <w:pPr>
      <w:tabs>
        <w:tab w:val="left" w:pos="360"/>
        <w:tab w:val="left" w:pos="2160"/>
      </w:tabs>
      <w:adjustRightInd/>
      <w:spacing w:line="360" w:lineRule="auto"/>
      <w:ind w:left="6" w:firstLine="420"/>
    </w:pPr>
    <w:rPr>
      <w:rFonts w:ascii="宋体" w:hAnsi="Arial" w:eastAsia="仿宋_GB2312" w:cs="Arial"/>
      <w:b/>
      <w:bCs/>
      <w:caps/>
      <w:kern w:val="44"/>
      <w:sz w:val="24"/>
      <w:szCs w:val="44"/>
    </w:rPr>
  </w:style>
  <w:style w:type="paragraph" w:customStyle="1" w:styleId="644">
    <w:name w:val="标题四正文"/>
    <w:basedOn w:val="1"/>
    <w:qFormat/>
    <w:uiPriority w:val="0"/>
    <w:pPr>
      <w:adjustRightInd/>
      <w:snapToGrid w:val="0"/>
      <w:spacing w:line="360" w:lineRule="auto"/>
      <w:ind w:firstLine="480" w:firstLineChars="200"/>
      <w:jc w:val="left"/>
    </w:pPr>
    <w:rPr>
      <w:rFonts w:ascii="宋体" w:hAnsi="宋体"/>
      <w:kern w:val="0"/>
      <w:sz w:val="24"/>
    </w:rPr>
  </w:style>
  <w:style w:type="paragraph" w:customStyle="1" w:styleId="645">
    <w:name w:val="Char3 Char Char Char11"/>
    <w:basedOn w:val="1"/>
    <w:qFormat/>
    <w:uiPriority w:val="0"/>
    <w:pPr>
      <w:widowControl/>
      <w:adjustRightInd/>
      <w:spacing w:after="160" w:line="240" w:lineRule="exact"/>
      <w:jc w:val="left"/>
    </w:pPr>
    <w:rPr>
      <w:szCs w:val="20"/>
    </w:rPr>
  </w:style>
  <w:style w:type="paragraph" w:customStyle="1" w:styleId="646">
    <w:name w:val="Level 2: 1."/>
    <w:qFormat/>
    <w:uiPriority w:val="0"/>
    <w:pPr>
      <w:tabs>
        <w:tab w:val="left" w:pos="720"/>
      </w:tabs>
      <w:spacing w:before="72" w:after="72"/>
      <w:jc w:val="both"/>
      <w:outlineLvl w:val="4"/>
    </w:pPr>
    <w:rPr>
      <w:rFonts w:ascii="Arial" w:hAnsi="Arial" w:eastAsia="宋体" w:cs="Times New Roman"/>
      <w:lang w:val="en-US" w:eastAsia="en-US" w:bidi="ar-SA"/>
    </w:rPr>
  </w:style>
  <w:style w:type="paragraph" w:customStyle="1" w:styleId="6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48">
    <w:name w:val="数字标题3"/>
    <w:basedOn w:val="7"/>
    <w:next w:val="1"/>
    <w:qFormat/>
    <w:uiPriority w:val="0"/>
    <w:pPr>
      <w:spacing w:line="240" w:lineRule="auto"/>
    </w:pPr>
    <w:rPr>
      <w:sz w:val="28"/>
      <w:szCs w:val="28"/>
    </w:rPr>
  </w:style>
  <w:style w:type="paragraph" w:customStyle="1" w:styleId="649">
    <w:name w:val="数字标题5"/>
    <w:basedOn w:val="10"/>
    <w:next w:val="1"/>
    <w:qFormat/>
    <w:uiPriority w:val="0"/>
    <w:pPr>
      <w:tabs>
        <w:tab w:val="left" w:pos="1080"/>
      </w:tabs>
      <w:ind w:left="1080" w:hanging="1080"/>
    </w:pPr>
  </w:style>
  <w:style w:type="paragraph" w:customStyle="1" w:styleId="650">
    <w:name w:val="Char Char Char Char Char Char Char Char Char Char1"/>
    <w:basedOn w:val="1"/>
    <w:qFormat/>
    <w:uiPriority w:val="0"/>
    <w:rPr>
      <w:rFonts w:ascii="仿宋_GB2312" w:eastAsia="仿宋_GB2312"/>
      <w:b/>
      <w:sz w:val="32"/>
      <w:szCs w:val="32"/>
    </w:rPr>
  </w:style>
  <w:style w:type="paragraph" w:customStyle="1" w:styleId="651">
    <w:name w:val="Char Char Char Char"/>
    <w:basedOn w:val="1"/>
    <w:qFormat/>
    <w:uiPriority w:val="0"/>
    <w:rPr>
      <w:rFonts w:ascii="Tahoma" w:hAnsi="Tahoma"/>
      <w:sz w:val="24"/>
      <w:szCs w:val="20"/>
    </w:rPr>
  </w:style>
  <w:style w:type="paragraph" w:customStyle="1" w:styleId="652">
    <w:name w:val="Char2 Char Char1"/>
    <w:basedOn w:val="1"/>
    <w:qFormat/>
    <w:uiPriority w:val="6"/>
    <w:pPr>
      <w:adjustRightInd/>
    </w:pPr>
    <w:rPr>
      <w:rFonts w:ascii="Tahoma" w:hAnsi="Tahoma"/>
      <w:sz w:val="24"/>
      <w:szCs w:val="20"/>
    </w:rPr>
  </w:style>
  <w:style w:type="paragraph" w:customStyle="1" w:styleId="653">
    <w:name w:val="日期右"/>
    <w:basedOn w:val="44"/>
    <w:qFormat/>
    <w:uiPriority w:val="0"/>
    <w:pPr>
      <w:adjustRightInd/>
      <w:spacing w:line="600" w:lineRule="exact"/>
      <w:ind w:left="0" w:leftChars="0"/>
      <w:jc w:val="right"/>
    </w:pPr>
    <w:rPr>
      <w:rFonts w:ascii="Calibri" w:hAnsi="Calibri" w:eastAsia="仿宋_GB2312"/>
      <w:sz w:val="31"/>
      <w:szCs w:val="24"/>
      <w:lang w:val="en-US"/>
    </w:rPr>
  </w:style>
  <w:style w:type="character" w:customStyle="1" w:styleId="654">
    <w:name w:val="正文文本 字符2"/>
    <w:basedOn w:val="79"/>
    <w:semiHidden/>
    <w:qFormat/>
    <w:uiPriority w:val="99"/>
    <w:rPr>
      <w:rFonts w:ascii="Times New Roman" w:hAnsi="Times New Roman" w:eastAsia="宋体" w:cs="Times New Roman"/>
      <w:szCs w:val="24"/>
    </w:rPr>
  </w:style>
  <w:style w:type="paragraph" w:customStyle="1" w:styleId="6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5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658">
    <w:name w:val="Level 1: a."/>
    <w:qFormat/>
    <w:uiPriority w:val="0"/>
    <w:pPr>
      <w:tabs>
        <w:tab w:val="left" w:pos="360"/>
      </w:tabs>
      <w:spacing w:before="72" w:after="72"/>
      <w:jc w:val="both"/>
      <w:outlineLvl w:val="3"/>
    </w:pPr>
    <w:rPr>
      <w:rFonts w:ascii="Arial" w:hAnsi="Arial" w:eastAsia="宋体" w:cs="Times New Roman"/>
      <w:lang w:val="en-US" w:eastAsia="en-US" w:bidi="ar-SA"/>
    </w:rPr>
  </w:style>
  <w:style w:type="paragraph" w:customStyle="1" w:styleId="659">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660">
    <w:name w:val="EB_表格"/>
    <w:basedOn w:val="1"/>
    <w:qFormat/>
    <w:uiPriority w:val="0"/>
    <w:pPr>
      <w:adjustRightInd/>
      <w:spacing w:line="300" w:lineRule="auto"/>
      <w:jc w:val="center"/>
    </w:pPr>
  </w:style>
  <w:style w:type="paragraph" w:customStyle="1" w:styleId="661">
    <w:name w:val="Char Char1101"/>
    <w:basedOn w:val="1"/>
    <w:qFormat/>
    <w:uiPriority w:val="0"/>
    <w:pPr>
      <w:spacing w:line="360" w:lineRule="auto"/>
    </w:pPr>
    <w:rPr>
      <w:rFonts w:ascii="Tahoma" w:hAnsi="Tahoma"/>
      <w:sz w:val="24"/>
      <w:szCs w:val="20"/>
    </w:rPr>
  </w:style>
  <w:style w:type="paragraph" w:customStyle="1" w:styleId="66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6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character" w:customStyle="1" w:styleId="664">
    <w:name w:val="尾注文本 字符1"/>
    <w:basedOn w:val="79"/>
    <w:semiHidden/>
    <w:qFormat/>
    <w:uiPriority w:val="99"/>
    <w:rPr>
      <w:rFonts w:ascii="Times New Roman" w:hAnsi="Times New Roman" w:eastAsia="宋体" w:cs="Times New Roman"/>
      <w:szCs w:val="24"/>
    </w:rPr>
  </w:style>
  <w:style w:type="paragraph" w:customStyle="1" w:styleId="665">
    <w:name w:val="_Style 1"/>
    <w:basedOn w:val="1"/>
    <w:qFormat/>
    <w:uiPriority w:val="34"/>
    <w:pPr>
      <w:adjustRightInd/>
      <w:ind w:firstLine="420" w:firstLineChars="200"/>
    </w:pPr>
    <w:rPr>
      <w:rFonts w:eastAsia="仿宋_GB2312"/>
      <w:sz w:val="28"/>
    </w:rPr>
  </w:style>
  <w:style w:type="paragraph" w:customStyle="1" w:styleId="666">
    <w:name w:val="Thf"/>
    <w:basedOn w:val="537"/>
    <w:qFormat/>
    <w:uiPriority w:val="0"/>
    <w:pPr>
      <w:ind w:left="0"/>
    </w:pPr>
  </w:style>
  <w:style w:type="paragraph" w:customStyle="1" w:styleId="667">
    <w:name w:val="Char Char1"/>
    <w:basedOn w:val="1"/>
    <w:qFormat/>
    <w:uiPriority w:val="0"/>
    <w:pPr>
      <w:widowControl/>
      <w:spacing w:after="160" w:line="240" w:lineRule="exact"/>
      <w:jc w:val="left"/>
    </w:pPr>
    <w:rPr>
      <w:rFonts w:eastAsia="仿宋_GB2312"/>
      <w:sz w:val="28"/>
    </w:rPr>
  </w:style>
  <w:style w:type="paragraph" w:customStyle="1" w:styleId="668">
    <w:name w:val="Char1"/>
    <w:basedOn w:val="1"/>
    <w:qFormat/>
    <w:uiPriority w:val="0"/>
    <w:rPr>
      <w:rFonts w:ascii="仿宋_GB2312" w:eastAsia="仿宋_GB2312"/>
      <w:b/>
      <w:sz w:val="32"/>
      <w:szCs w:val="32"/>
    </w:rPr>
  </w:style>
  <w:style w:type="paragraph" w:customStyle="1" w:styleId="66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71">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7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673">
    <w:name w:val="列表段落1"/>
    <w:basedOn w:val="1"/>
    <w:qFormat/>
    <w:uiPriority w:val="34"/>
    <w:pPr>
      <w:adjustRightInd/>
      <w:ind w:right="238" w:firstLine="420"/>
    </w:pPr>
    <w:rPr>
      <w:rFonts w:ascii="Calibri" w:hAnsi="Calibri"/>
      <w:sz w:val="24"/>
    </w:rPr>
  </w:style>
  <w:style w:type="paragraph" w:customStyle="1" w:styleId="674">
    <w:name w:val="图中文字"/>
    <w:basedOn w:val="1"/>
    <w:qFormat/>
    <w:uiPriority w:val="0"/>
    <w:pPr>
      <w:snapToGrid w:val="0"/>
      <w:spacing w:line="0" w:lineRule="atLeast"/>
      <w:ind w:firstLine="200" w:firstLineChars="200"/>
      <w:jc w:val="center"/>
    </w:pPr>
    <w:rPr>
      <w:sz w:val="24"/>
      <w:szCs w:val="20"/>
    </w:rPr>
  </w:style>
  <w:style w:type="paragraph" w:customStyle="1" w:styleId="675">
    <w:name w:val="MM Topic 2"/>
    <w:basedOn w:val="6"/>
    <w:qFormat/>
    <w:uiPriority w:val="0"/>
    <w:pPr>
      <w:tabs>
        <w:tab w:val="left" w:pos="1260"/>
      </w:tabs>
      <w:ind w:left="1260" w:hanging="420"/>
    </w:pPr>
    <w:rPr>
      <w:rFonts w:ascii="Arial" w:hAnsi="Arial" w:eastAsia="黑体"/>
      <w:lang w:val="en-US"/>
    </w:rPr>
  </w:style>
  <w:style w:type="paragraph" w:customStyle="1" w:styleId="67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77">
    <w:name w:val="Char111"/>
    <w:basedOn w:val="1"/>
    <w:qFormat/>
    <w:uiPriority w:val="0"/>
    <w:rPr>
      <w:rFonts w:ascii="仿宋_GB2312" w:eastAsia="仿宋_GB2312"/>
      <w:b/>
      <w:sz w:val="32"/>
      <w:szCs w:val="32"/>
    </w:rPr>
  </w:style>
  <w:style w:type="paragraph" w:customStyle="1" w:styleId="678">
    <w:name w:val="Char2 Char Char Char1"/>
    <w:basedOn w:val="1"/>
    <w:qFormat/>
    <w:uiPriority w:val="6"/>
    <w:rPr>
      <w:rFonts w:ascii="仿宋_GB2312" w:eastAsia="仿宋_GB2312"/>
      <w:b/>
      <w:sz w:val="32"/>
      <w:szCs w:val="32"/>
    </w:rPr>
  </w:style>
  <w:style w:type="character" w:customStyle="1" w:styleId="679">
    <w:name w:val="纯文本 字符2"/>
    <w:basedOn w:val="79"/>
    <w:semiHidden/>
    <w:qFormat/>
    <w:uiPriority w:val="99"/>
    <w:rPr>
      <w:rFonts w:hAnsi="Courier New" w:cs="Courier New" w:asciiTheme="minorEastAsia"/>
      <w:szCs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2">
    <w:name w:val="默认段落字体 Para Char Char Char1 Char"/>
    <w:basedOn w:val="1"/>
    <w:qFormat/>
    <w:uiPriority w:val="0"/>
    <w:pPr>
      <w:spacing w:line="240" w:lineRule="atLeast"/>
      <w:ind w:left="420" w:firstLine="420"/>
    </w:pPr>
    <w:rPr>
      <w:sz w:val="24"/>
    </w:rPr>
  </w:style>
  <w:style w:type="paragraph" w:customStyle="1" w:styleId="683">
    <w:name w:val="style43"/>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68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Char Char Char1 Char1"/>
    <w:basedOn w:val="1"/>
    <w:qFormat/>
    <w:uiPriority w:val="6"/>
    <w:rPr>
      <w:szCs w:val="20"/>
    </w:rPr>
  </w:style>
  <w:style w:type="paragraph" w:customStyle="1" w:styleId="688">
    <w:name w:val="样式 样式1 + 加粗 行距: 固定值 20 磅"/>
    <w:basedOn w:val="689"/>
    <w:qFormat/>
    <w:uiPriority w:val="0"/>
    <w:pPr>
      <w:widowControl w:val="0"/>
      <w:tabs>
        <w:tab w:val="left" w:pos="1212"/>
        <w:tab w:val="left" w:pos="3888"/>
      </w:tabs>
      <w:snapToGrid/>
      <w:spacing w:line="400" w:lineRule="exact"/>
      <w:ind w:firstLine="0"/>
      <w:jc w:val="both"/>
      <w:textAlignment w:val="baseline"/>
      <w:outlineLvl w:val="1"/>
    </w:pPr>
    <w:rPr>
      <w:b/>
      <w:sz w:val="21"/>
    </w:rPr>
  </w:style>
  <w:style w:type="paragraph" w:customStyle="1" w:styleId="68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90">
    <w:name w:val="RFI text from 2nd Level"/>
    <w:basedOn w:val="528"/>
    <w:qFormat/>
    <w:uiPriority w:val="0"/>
    <w:pPr>
      <w:tabs>
        <w:tab w:val="left" w:pos="360"/>
        <w:tab w:val="clear" w:pos="840"/>
      </w:tabs>
      <w:ind w:left="720" w:hanging="420" w:firstLineChars="0"/>
    </w:pPr>
    <w:rPr>
      <w:rFonts w:eastAsia="仿宋_GB2312"/>
      <w:b/>
      <w:bCs/>
      <w:color w:val="auto"/>
      <w:szCs w:val="28"/>
    </w:rPr>
  </w:style>
  <w:style w:type="paragraph" w:customStyle="1" w:styleId="691">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692">
    <w:name w:val="_Style 94"/>
    <w:basedOn w:val="1"/>
    <w:next w:val="151"/>
    <w:qFormat/>
    <w:uiPriority w:val="34"/>
    <w:pPr>
      <w:adjustRightInd/>
      <w:spacing w:line="360" w:lineRule="auto"/>
      <w:ind w:firstLine="200" w:firstLineChars="200"/>
    </w:pPr>
    <w:rPr>
      <w:rFonts w:ascii="Calibri" w:hAnsi="Calibri"/>
      <w:sz w:val="28"/>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694">
    <w:name w:val="批注主题 字符1"/>
    <w:basedOn w:val="615"/>
    <w:semiHidden/>
    <w:qFormat/>
    <w:uiPriority w:val="99"/>
    <w:rPr>
      <w:rFonts w:ascii="Times New Roman" w:hAnsi="Times New Roman" w:eastAsia="宋体" w:cs="Times New Roman"/>
      <w:b/>
      <w:bCs/>
      <w:szCs w:val="24"/>
    </w:rPr>
  </w:style>
  <w:style w:type="paragraph" w:customStyle="1" w:styleId="695">
    <w:name w:val="_Style 3"/>
    <w:basedOn w:val="1"/>
    <w:qFormat/>
    <w:uiPriority w:val="0"/>
    <w:pPr>
      <w:adjustRightInd/>
      <w:ind w:firstLine="420" w:firstLineChars="200"/>
    </w:pPr>
    <w:rPr>
      <w:rFonts w:eastAsia="仿宋_GB2312"/>
      <w:sz w:val="28"/>
    </w:rPr>
  </w:style>
  <w:style w:type="paragraph" w:customStyle="1" w:styleId="696">
    <w:name w:val="A02"/>
    <w:basedOn w:val="1"/>
    <w:qFormat/>
    <w:uiPriority w:val="0"/>
    <w:pPr>
      <w:tabs>
        <w:tab w:val="left" w:pos="0"/>
      </w:tabs>
      <w:adjustRightInd/>
      <w:ind w:left="840" w:hanging="420"/>
      <w:outlineLvl w:val="1"/>
    </w:pPr>
    <w:rPr>
      <w:b/>
    </w:rPr>
  </w:style>
  <w:style w:type="paragraph" w:customStyle="1" w:styleId="697">
    <w:name w:val="xl48"/>
    <w:basedOn w:val="1"/>
    <w:qFormat/>
    <w:uiPriority w:val="0"/>
    <w:pPr>
      <w:widowControl/>
      <w:pBdr>
        <w:left w:val="single" w:color="auto" w:sz="4" w:space="0"/>
        <w:bottom w:val="single" w:color="auto" w:sz="8" w:space="0"/>
        <w:right w:val="single" w:color="auto" w:sz="4" w:space="0"/>
      </w:pBdr>
      <w:adjustRightInd/>
      <w:spacing w:before="100" w:beforeAutospacing="1" w:after="100" w:afterAutospacing="1"/>
      <w:jc w:val="center"/>
      <w:textAlignment w:val="center"/>
    </w:pPr>
    <w:rPr>
      <w:rFonts w:ascii="Arial Unicode MS" w:hAnsi="Arial Unicode MS" w:eastAsia="Arial Unicode MS"/>
      <w:kern w:val="0"/>
      <w:sz w:val="24"/>
      <w:szCs w:val="28"/>
    </w:rPr>
  </w:style>
  <w:style w:type="paragraph" w:customStyle="1" w:styleId="698">
    <w:name w:val="列出段落2"/>
    <w:basedOn w:val="1"/>
    <w:qFormat/>
    <w:uiPriority w:val="0"/>
    <w:pPr>
      <w:adjustRightInd/>
      <w:ind w:firstLine="420" w:firstLineChars="200"/>
    </w:pPr>
    <w:rPr>
      <w:rFonts w:ascii="宋体" w:hAnsi="宋体"/>
      <w:sz w:val="24"/>
    </w:rPr>
  </w:style>
  <w:style w:type="character" w:customStyle="1" w:styleId="699">
    <w:name w:val="正文文本 2 字符2"/>
    <w:basedOn w:val="79"/>
    <w:semiHidden/>
    <w:qFormat/>
    <w:uiPriority w:val="99"/>
    <w:rPr>
      <w:rFonts w:ascii="Times New Roman" w:hAnsi="Times New Roman" w:eastAsia="宋体" w:cs="Times New Roman"/>
      <w:szCs w:val="24"/>
    </w:rPr>
  </w:style>
  <w:style w:type="paragraph" w:customStyle="1" w:styleId="700">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70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02">
    <w:name w:val="标题6"/>
    <w:basedOn w:val="1"/>
    <w:next w:val="5"/>
    <w:qFormat/>
    <w:uiPriority w:val="0"/>
    <w:pPr>
      <w:widowControl/>
      <w:adjustRightInd/>
      <w:snapToGrid w:val="0"/>
      <w:spacing w:beforeLines="50" w:afterLines="50" w:line="520" w:lineRule="atLeast"/>
      <w:ind w:firstLine="200" w:firstLineChars="200"/>
    </w:pPr>
    <w:rPr>
      <w:rFonts w:cs="Arial"/>
      <w:b/>
      <w:sz w:val="24"/>
    </w:rPr>
  </w:style>
  <w:style w:type="character" w:customStyle="1" w:styleId="703">
    <w:name w:val="正文文本缩进 3 字符1"/>
    <w:basedOn w:val="79"/>
    <w:semiHidden/>
    <w:qFormat/>
    <w:uiPriority w:val="99"/>
    <w:rPr>
      <w:rFonts w:ascii="Times New Roman" w:hAnsi="Times New Roman" w:eastAsia="宋体" w:cs="Times New Roman"/>
      <w:sz w:val="16"/>
      <w:szCs w:val="16"/>
    </w:rPr>
  </w:style>
  <w:style w:type="paragraph" w:customStyle="1" w:styleId="704">
    <w:name w:val="Char1 Char Char Char Char Char Char Char Char Char Char Char Char Char Char Char"/>
    <w:basedOn w:val="1"/>
    <w:qFormat/>
    <w:uiPriority w:val="0"/>
    <w:pPr>
      <w:adjustRightInd/>
    </w:pPr>
  </w:style>
  <w:style w:type="paragraph" w:customStyle="1" w:styleId="705">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706">
    <w:name w:val="Head1"/>
    <w:qFormat/>
    <w:uiPriority w:val="0"/>
    <w:pPr>
      <w:pBdr>
        <w:top w:val="single" w:color="auto" w:sz="6" w:space="1"/>
      </w:pBdr>
      <w:tabs>
        <w:tab w:val="left" w:pos="576"/>
      </w:tabs>
      <w:spacing w:before="28" w:after="28"/>
      <w:outlineLvl w:val="1"/>
    </w:pPr>
    <w:rPr>
      <w:rFonts w:ascii="Arial" w:hAnsi="Arial" w:eastAsia="宋体" w:cs="Times New Roman"/>
      <w:b/>
      <w:sz w:val="22"/>
      <w:lang w:val="en-US" w:eastAsia="en-US" w:bidi="ar-SA"/>
    </w:rPr>
  </w:style>
  <w:style w:type="paragraph" w:customStyle="1" w:styleId="707">
    <w:name w:val="项目"/>
    <w:basedOn w:val="2"/>
    <w:next w:val="2"/>
    <w:qFormat/>
    <w:uiPriority w:val="0"/>
    <w:pPr>
      <w:numPr>
        <w:ilvl w:val="0"/>
        <w:numId w:val="2"/>
      </w:numPr>
      <w:tabs>
        <w:tab w:val="left" w:pos="420"/>
      </w:tabs>
      <w:autoSpaceDE/>
      <w:autoSpaceDN/>
      <w:adjustRightInd/>
      <w:ind w:left="420"/>
    </w:pPr>
    <w:rPr>
      <w:rFonts w:ascii="Times New Roman" w:hAnsi="Times New Roman" w:cs="Times New Roman"/>
      <w:snapToGrid/>
      <w:kern w:val="0"/>
      <w:szCs w:val="20"/>
      <w:lang w:val="en-US"/>
    </w:rPr>
  </w:style>
  <w:style w:type="paragraph" w:customStyle="1" w:styleId="708">
    <w:name w:val="Bullet 1"/>
    <w:basedOn w:val="1"/>
    <w:qFormat/>
    <w:uiPriority w:val="0"/>
    <w:pPr>
      <w:widowControl/>
      <w:adjustRightInd/>
      <w:jc w:val="left"/>
    </w:pPr>
    <w:rPr>
      <w:rFonts w:ascii="Tahoma" w:hAnsi="Tahoma" w:eastAsia="仿宋_GB2312" w:cs="Tahoma"/>
      <w:kern w:val="0"/>
      <w:sz w:val="24"/>
      <w:szCs w:val="28"/>
      <w:lang w:eastAsia="en-US"/>
    </w:rPr>
  </w:style>
  <w:style w:type="paragraph" w:customStyle="1" w:styleId="7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10">
    <w:name w:val="1.1.1Head2"/>
    <w:qFormat/>
    <w:uiPriority w:val="0"/>
    <w:pPr>
      <w:numPr>
        <w:ilvl w:val="2"/>
        <w:numId w:val="3"/>
      </w:numPr>
      <w:tabs>
        <w:tab w:val="left" w:pos="2880"/>
      </w:tabs>
      <w:spacing w:before="28" w:after="28"/>
      <w:outlineLvl w:val="2"/>
    </w:pPr>
    <w:rPr>
      <w:rFonts w:ascii="Arial" w:hAnsi="Arial" w:eastAsia="宋体" w:cs="Times New Roman"/>
      <w:b/>
      <w:lang w:val="en-US" w:eastAsia="en-US" w:bidi="ar-SA"/>
    </w:rPr>
  </w:style>
  <w:style w:type="paragraph" w:customStyle="1" w:styleId="71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712">
    <w:name w:val="Char Char111"/>
    <w:basedOn w:val="1"/>
    <w:qFormat/>
    <w:uiPriority w:val="0"/>
    <w:pPr>
      <w:spacing w:line="360" w:lineRule="auto"/>
    </w:pPr>
    <w:rPr>
      <w:szCs w:val="20"/>
    </w:rPr>
  </w:style>
  <w:style w:type="paragraph" w:customStyle="1" w:styleId="71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714">
    <w:name w:val="CM14"/>
    <w:basedOn w:val="481"/>
    <w:next w:val="481"/>
    <w:qFormat/>
    <w:uiPriority w:val="0"/>
    <w:pPr>
      <w:spacing w:after="68"/>
    </w:pPr>
    <w:rPr>
      <w:rFonts w:ascii="FHLHE E+ Futura Bk" w:eastAsia="FHLHE E+ Futura Bk" w:cs="Times New Roman"/>
      <w:color w:val="auto"/>
    </w:rPr>
  </w:style>
  <w:style w:type="paragraph" w:customStyle="1" w:styleId="71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character" w:customStyle="1" w:styleId="716">
    <w:name w:val="副标题 字符1"/>
    <w:basedOn w:val="79"/>
    <w:qFormat/>
    <w:uiPriority w:val="11"/>
    <w:rPr>
      <w:b/>
      <w:bCs/>
      <w:kern w:val="28"/>
      <w:sz w:val="32"/>
      <w:szCs w:val="32"/>
    </w:rPr>
  </w:style>
  <w:style w:type="paragraph" w:customStyle="1" w:styleId="717">
    <w:name w:val="1正文"/>
    <w:basedOn w:val="1"/>
    <w:qFormat/>
    <w:uiPriority w:val="0"/>
    <w:pPr>
      <w:adjustRightInd/>
      <w:spacing w:line="360" w:lineRule="auto"/>
      <w:ind w:firstLine="200" w:firstLineChars="200"/>
    </w:pPr>
    <w:rPr>
      <w:rFonts w:ascii="仿宋_GB2312" w:hAnsi="Arial" w:eastAsia="仿宋"/>
      <w:sz w:val="28"/>
      <w:szCs w:val="28"/>
    </w:rPr>
  </w:style>
  <w:style w:type="character" w:customStyle="1" w:styleId="718">
    <w:name w:val="日期 字符1"/>
    <w:basedOn w:val="79"/>
    <w:semiHidden/>
    <w:qFormat/>
    <w:uiPriority w:val="99"/>
    <w:rPr>
      <w:rFonts w:ascii="Times New Roman" w:hAnsi="Times New Roman" w:eastAsia="宋体" w:cs="Times New Roman"/>
      <w:szCs w:val="24"/>
    </w:rPr>
  </w:style>
  <w:style w:type="paragraph" w:customStyle="1" w:styleId="71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72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21">
    <w:name w:val="批注框文本 Char Char"/>
    <w:basedOn w:val="1"/>
    <w:qFormat/>
    <w:uiPriority w:val="0"/>
    <w:pPr>
      <w:adjustRightInd/>
    </w:pPr>
    <w:rPr>
      <w:sz w:val="18"/>
      <w:szCs w:val="20"/>
    </w:rPr>
  </w:style>
  <w:style w:type="character" w:customStyle="1" w:styleId="722">
    <w:name w:val="正文首行缩进 字符1"/>
    <w:basedOn w:val="654"/>
    <w:semiHidden/>
    <w:qFormat/>
    <w:uiPriority w:val="99"/>
    <w:rPr>
      <w:rFonts w:ascii="Times New Roman" w:hAnsi="Times New Roman" w:eastAsia="宋体" w:cs="Times New Roman"/>
      <w:szCs w:val="24"/>
    </w:rPr>
  </w:style>
  <w:style w:type="paragraph" w:customStyle="1" w:styleId="723">
    <w:name w:val="List Paragraph1"/>
    <w:basedOn w:val="1"/>
    <w:qFormat/>
    <w:uiPriority w:val="0"/>
    <w:pPr>
      <w:spacing w:line="360" w:lineRule="auto"/>
      <w:ind w:firstLine="200" w:firstLineChars="200"/>
    </w:pPr>
    <w:rPr>
      <w:rFonts w:eastAsia="楷体_GB2312" w:cs="Lucida Sans"/>
      <w:sz w:val="24"/>
    </w:rPr>
  </w:style>
  <w:style w:type="paragraph" w:customStyle="1" w:styleId="72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72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726">
    <w:name w:val="Char Char1 Char Char Char Char Char Char"/>
    <w:basedOn w:val="1"/>
    <w:qFormat/>
    <w:uiPriority w:val="0"/>
    <w:rPr>
      <w:rFonts w:ascii="仿宋_GB2312" w:eastAsia="仿宋_GB2312"/>
      <w:b/>
      <w:sz w:val="32"/>
      <w:szCs w:val="20"/>
    </w:rPr>
  </w:style>
  <w:style w:type="paragraph" w:customStyle="1" w:styleId="72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72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29">
    <w:name w:val="标题 3.1"/>
    <w:basedOn w:val="7"/>
    <w:qFormat/>
    <w:uiPriority w:val="0"/>
    <w:pPr>
      <w:tabs>
        <w:tab w:val="left" w:pos="5614"/>
        <w:tab w:val="clear" w:pos="900"/>
      </w:tabs>
      <w:adjustRightInd/>
      <w:spacing w:before="340" w:after="340" w:line="600" w:lineRule="exact"/>
      <w:ind w:left="0" w:firstLine="0"/>
    </w:pPr>
    <w:rPr>
      <w:rFonts w:ascii="仿宋_GB2312"/>
      <w:sz w:val="36"/>
    </w:rPr>
  </w:style>
  <w:style w:type="paragraph" w:customStyle="1" w:styleId="730">
    <w:name w:val="标题4_自定义"/>
    <w:basedOn w:val="9"/>
    <w:qFormat/>
    <w:uiPriority w:val="0"/>
    <w:pPr>
      <w:adjustRightInd/>
      <w:spacing w:before="0" w:after="0" w:line="360" w:lineRule="auto"/>
    </w:pPr>
    <w:rPr>
      <w:rFonts w:ascii="Verdana" w:eastAsia="Verdana"/>
      <w:sz w:val="21"/>
      <w:lang w:val="en-US"/>
    </w:rPr>
  </w:style>
  <w:style w:type="paragraph" w:customStyle="1" w:styleId="731">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732">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3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3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73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3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37">
    <w:name w:val="Normal 0.51"/>
    <w:basedOn w:val="1"/>
    <w:qFormat/>
    <w:uiPriority w:val="0"/>
    <w:pPr>
      <w:keepNext/>
      <w:keepLines/>
      <w:widowControl/>
      <w:adjustRightInd/>
      <w:spacing w:before="180" w:after="120"/>
      <w:ind w:left="720"/>
    </w:pPr>
    <w:rPr>
      <w:rFonts w:ascii="仿宋_GB2312" w:eastAsia="仿宋_GB2312"/>
      <w:kern w:val="0"/>
      <w:sz w:val="24"/>
      <w:szCs w:val="20"/>
      <w:lang w:val="en-GB" w:eastAsia="en-US"/>
    </w:rPr>
  </w:style>
  <w:style w:type="paragraph" w:customStyle="1" w:styleId="738">
    <w:name w:val="标准"/>
    <w:basedOn w:val="1"/>
    <w:qFormat/>
    <w:uiPriority w:val="0"/>
    <w:pPr>
      <w:spacing w:before="156" w:after="156" w:line="360" w:lineRule="auto"/>
      <w:ind w:firstLine="480" w:firstLineChars="200"/>
    </w:pPr>
    <w:rPr>
      <w:rFonts w:cs="宋体"/>
      <w:sz w:val="24"/>
      <w:szCs w:val="21"/>
    </w:rPr>
  </w:style>
  <w:style w:type="paragraph" w:customStyle="1" w:styleId="73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42">
    <w:name w:val="Char2 Char Char2"/>
    <w:basedOn w:val="1"/>
    <w:qFormat/>
    <w:uiPriority w:val="0"/>
    <w:pPr>
      <w:adjustRightInd/>
    </w:pPr>
    <w:rPr>
      <w:rFonts w:ascii="Tahoma" w:hAnsi="Tahoma"/>
      <w:sz w:val="24"/>
      <w:szCs w:val="20"/>
    </w:rPr>
  </w:style>
  <w:style w:type="paragraph" w:customStyle="1" w:styleId="743">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744">
    <w:name w:val="Char Char Char Char Char Char Char Char1 Char"/>
    <w:basedOn w:val="1"/>
    <w:qFormat/>
    <w:uiPriority w:val="0"/>
    <w:pPr>
      <w:adjustRightInd/>
    </w:pPr>
    <w:rPr>
      <w:rFonts w:ascii="仿宋_GB2312" w:eastAsia="仿宋_GB2312"/>
      <w:sz w:val="28"/>
      <w:szCs w:val="20"/>
    </w:rPr>
  </w:style>
  <w:style w:type="paragraph" w:customStyle="1" w:styleId="745">
    <w:name w:val="Char21"/>
    <w:basedOn w:val="1"/>
    <w:qFormat/>
    <w:uiPriority w:val="0"/>
    <w:pPr>
      <w:adjustRightInd/>
      <w:ind w:firstLine="200" w:firstLineChars="200"/>
    </w:pPr>
    <w:rPr>
      <w:rFonts w:ascii="仿宋_GB2312" w:eastAsia="仿宋_GB2312"/>
      <w:b/>
      <w:sz w:val="32"/>
      <w:szCs w:val="32"/>
    </w:rPr>
  </w:style>
  <w:style w:type="paragraph" w:customStyle="1" w:styleId="746">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7">
    <w:name w:val="样式 列表编号 + 段后: 0.5 行"/>
    <w:basedOn w:val="20"/>
    <w:qFormat/>
    <w:uiPriority w:val="2"/>
    <w:pPr>
      <w:tabs>
        <w:tab w:val="clear" w:pos="390"/>
        <w:tab w:val="clear" w:pos="454"/>
      </w:tabs>
      <w:ind w:left="840" w:hanging="420"/>
      <w:contextualSpacing/>
    </w:pPr>
    <w:rPr>
      <w:rFonts w:cs="宋体"/>
    </w:rPr>
  </w:style>
  <w:style w:type="paragraph" w:customStyle="1" w:styleId="748">
    <w:name w:val="正文文字缩进项目"/>
    <w:basedOn w:val="31"/>
    <w:qFormat/>
    <w:uiPriority w:val="0"/>
    <w:pPr>
      <w:tabs>
        <w:tab w:val="left" w:pos="840"/>
      </w:tabs>
      <w:adjustRightInd/>
      <w:ind w:left="0" w:leftChars="0" w:hanging="420"/>
    </w:pPr>
    <w:rPr>
      <w:rFonts w:ascii="Tahoma" w:hAnsi="Tahoma"/>
      <w:sz w:val="22"/>
      <w:szCs w:val="20"/>
    </w:rPr>
  </w:style>
  <w:style w:type="paragraph" w:customStyle="1" w:styleId="74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50">
    <w:name w:val="xl103"/>
    <w:basedOn w:val="1"/>
    <w:qFormat/>
    <w:uiPriority w:val="0"/>
    <w:pPr>
      <w:widowControl/>
      <w:pBdr>
        <w:left w:val="single" w:color="auto" w:sz="4" w:space="0"/>
        <w:bottom w:val="single" w:color="auto" w:sz="4" w:space="0"/>
      </w:pBdr>
      <w:adjustRightInd/>
      <w:spacing w:before="100" w:beforeAutospacing="1" w:after="100" w:afterAutospacing="1"/>
      <w:jc w:val="center"/>
    </w:pPr>
    <w:rPr>
      <w:rFonts w:ascii="宋体" w:hAnsi="宋体" w:cs="宋体"/>
      <w:kern w:val="0"/>
      <w:sz w:val="32"/>
      <w:szCs w:val="32"/>
    </w:rPr>
  </w:style>
  <w:style w:type="paragraph" w:customStyle="1" w:styleId="7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5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755">
    <w:name w:val="_正文段落"/>
    <w:basedOn w:val="1"/>
    <w:qFormat/>
    <w:uiPriority w:val="0"/>
    <w:pPr>
      <w:adjustRightInd/>
      <w:ind w:firstLine="560"/>
    </w:pPr>
    <w:rPr>
      <w:rFonts w:ascii="仿宋_GB2312" w:hAnsi="仿宋" w:eastAsia="仿宋_GB2312"/>
      <w:kern w:val="0"/>
      <w:sz w:val="28"/>
      <w:szCs w:val="28"/>
    </w:rPr>
  </w:style>
  <w:style w:type="paragraph" w:customStyle="1" w:styleId="756">
    <w:name w:val="Head2"/>
    <w:qFormat/>
    <w:uiPriority w:val="0"/>
    <w:pPr>
      <w:tabs>
        <w:tab w:val="left" w:pos="576"/>
      </w:tabs>
      <w:spacing w:before="28" w:after="28"/>
      <w:outlineLvl w:val="2"/>
    </w:pPr>
    <w:rPr>
      <w:rFonts w:ascii="Arial" w:hAnsi="Arial" w:eastAsia="宋体" w:cs="Times New Roman"/>
      <w:b/>
      <w:lang w:val="en-US" w:eastAsia="en-US" w:bidi="ar-SA"/>
    </w:rPr>
  </w:style>
  <w:style w:type="paragraph" w:customStyle="1" w:styleId="757">
    <w:name w:val="p23"/>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5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75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760">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76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76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6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6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766">
    <w:name w:val="Char Char Char1 Char"/>
    <w:basedOn w:val="1"/>
    <w:qFormat/>
    <w:uiPriority w:val="0"/>
    <w:rPr>
      <w:szCs w:val="20"/>
    </w:rPr>
  </w:style>
  <w:style w:type="paragraph" w:customStyle="1" w:styleId="76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68">
    <w:name w:val="正文箭头"/>
    <w:basedOn w:val="769"/>
    <w:qFormat/>
    <w:uiPriority w:val="0"/>
    <w:pPr>
      <w:tabs>
        <w:tab w:val="left" w:pos="0"/>
        <w:tab w:val="left" w:pos="703"/>
      </w:tabs>
    </w:pPr>
  </w:style>
  <w:style w:type="paragraph" w:customStyle="1" w:styleId="76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770">
    <w:name w:val="Char Char11 Char Char Char"/>
    <w:basedOn w:val="1"/>
    <w:qFormat/>
    <w:uiPriority w:val="0"/>
    <w:pPr>
      <w:spacing w:line="360" w:lineRule="auto"/>
    </w:pPr>
    <w:rPr>
      <w:szCs w:val="20"/>
    </w:rPr>
  </w:style>
  <w:style w:type="paragraph" w:customStyle="1" w:styleId="771">
    <w:name w:val="正文 内标 序号标"/>
    <w:basedOn w:val="573"/>
    <w:qFormat/>
    <w:uiPriority w:val="0"/>
    <w:pPr>
      <w:tabs>
        <w:tab w:val="left" w:pos="0"/>
      </w:tabs>
      <w:adjustRightInd/>
      <w:spacing w:before="0"/>
      <w:ind w:firstLine="482"/>
    </w:pPr>
    <w:rPr>
      <w:rFonts w:ascii="微软雅黑" w:hAnsi="微软雅黑"/>
      <w:sz w:val="24"/>
      <w:szCs w:val="24"/>
    </w:rPr>
  </w:style>
  <w:style w:type="paragraph" w:customStyle="1" w:styleId="772">
    <w:name w:val="正文 项目2"/>
    <w:basedOn w:val="773"/>
    <w:qFormat/>
    <w:uiPriority w:val="0"/>
    <w:pPr>
      <w:tabs>
        <w:tab w:val="left" w:pos="840"/>
      </w:tabs>
      <w:spacing w:after="0"/>
      <w:ind w:left="900"/>
    </w:pPr>
  </w:style>
  <w:style w:type="paragraph" w:customStyle="1" w:styleId="7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7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775">
    <w:name w:val="表格文字（大）"/>
    <w:basedOn w:val="1"/>
    <w:qFormat/>
    <w:uiPriority w:val="0"/>
    <w:pPr>
      <w:adjustRightInd/>
      <w:spacing w:before="20" w:after="20"/>
      <w:ind w:firstLine="200" w:firstLineChars="200"/>
    </w:pPr>
    <w:rPr>
      <w:rFonts w:ascii="Century Gothic" w:hAnsi="Century Gothic"/>
      <w:sz w:val="24"/>
      <w:szCs w:val="20"/>
    </w:rPr>
  </w:style>
  <w:style w:type="character" w:customStyle="1" w:styleId="776">
    <w:name w:val="引用 字符1"/>
    <w:basedOn w:val="79"/>
    <w:qFormat/>
    <w:uiPriority w:val="29"/>
    <w:rPr>
      <w:rFonts w:ascii="Times New Roman" w:hAnsi="Times New Roman" w:eastAsia="宋体" w:cs="Times New Roman"/>
      <w:i/>
      <w:iCs/>
      <w:color w:val="3F3F3F" w:themeColor="text1" w:themeTint="BF"/>
      <w:szCs w:val="24"/>
    </w:rPr>
  </w:style>
  <w:style w:type="paragraph" w:customStyle="1" w:styleId="777">
    <w:name w:val="修订2"/>
    <w:qFormat/>
    <w:uiPriority w:val="0"/>
    <w:rPr>
      <w:rFonts w:ascii="Times New Roman" w:hAnsi="Times New Roman" w:eastAsia="宋体" w:cs="Times New Roman"/>
      <w:kern w:val="2"/>
      <w:sz w:val="21"/>
      <w:lang w:val="en-US" w:eastAsia="zh-CN" w:bidi="ar-SA"/>
    </w:rPr>
  </w:style>
  <w:style w:type="paragraph" w:customStyle="1" w:styleId="778">
    <w:name w:val="Achievement"/>
    <w:basedOn w:val="2"/>
    <w:qFormat/>
    <w:uiPriority w:val="0"/>
    <w:pPr>
      <w:widowControl/>
      <w:numPr>
        <w:ilvl w:val="0"/>
        <w:numId w:val="4"/>
      </w:numPr>
      <w:tabs>
        <w:tab w:val="left" w:pos="840"/>
      </w:tabs>
      <w:autoSpaceDE/>
      <w:autoSpaceDN/>
      <w:adjustRightInd/>
      <w:spacing w:after="60" w:line="220" w:lineRule="atLeast"/>
    </w:pPr>
    <w:rPr>
      <w:rFonts w:ascii="Arial" w:cs="Times New Roman"/>
      <w:snapToGrid/>
      <w:spacing w:val="-5"/>
      <w:kern w:val="0"/>
      <w:sz w:val="20"/>
      <w:szCs w:val="20"/>
      <w:lang w:val="en-US"/>
    </w:rPr>
  </w:style>
  <w:style w:type="paragraph" w:customStyle="1" w:styleId="779">
    <w:name w:val="简单回函地址"/>
    <w:basedOn w:val="1"/>
    <w:qFormat/>
    <w:uiPriority w:val="0"/>
    <w:pPr>
      <w:adjustRightInd/>
    </w:pPr>
    <w:rPr>
      <w:rFonts w:ascii="宋体" w:hAnsi="宋体" w:eastAsia="仿宋_GB2312"/>
      <w:color w:val="000000"/>
      <w:sz w:val="28"/>
      <w:szCs w:val="21"/>
    </w:rPr>
  </w:style>
  <w:style w:type="paragraph" w:customStyle="1" w:styleId="7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78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782">
    <w:name w:val="样式 标题 3H3 + 两端对齐"/>
    <w:basedOn w:val="7"/>
    <w:qFormat/>
    <w:uiPriority w:val="0"/>
    <w:pPr>
      <w:keepLines w:val="0"/>
      <w:spacing w:before="0" w:after="0" w:line="240" w:lineRule="auto"/>
      <w:jc w:val="left"/>
    </w:pPr>
    <w:rPr>
      <w:rFonts w:cs="宋体"/>
      <w:sz w:val="21"/>
      <w:szCs w:val="20"/>
    </w:rPr>
  </w:style>
  <w:style w:type="paragraph" w:customStyle="1" w:styleId="78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784">
    <w:name w:val="P1"/>
    <w:basedOn w:val="1"/>
    <w:qFormat/>
    <w:uiPriority w:val="0"/>
    <w:pPr>
      <w:adjustRightInd/>
      <w:spacing w:line="288" w:lineRule="auto"/>
      <w:ind w:firstLine="425" w:firstLineChars="200"/>
    </w:pPr>
  </w:style>
  <w:style w:type="paragraph" w:customStyle="1" w:styleId="7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8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78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78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789">
    <w:name w:val="正文 内标"/>
    <w:basedOn w:val="647"/>
    <w:qFormat/>
    <w:uiPriority w:val="0"/>
    <w:pPr>
      <w:tabs>
        <w:tab w:val="left" w:pos="0"/>
      </w:tabs>
      <w:ind w:left="900" w:firstLine="0" w:firstLineChars="0"/>
    </w:pPr>
  </w:style>
  <w:style w:type="paragraph" w:customStyle="1" w:styleId="790">
    <w:name w:val="样式 左侧:  0.85 厘米"/>
    <w:basedOn w:val="1"/>
    <w:qFormat/>
    <w:uiPriority w:val="2"/>
    <w:pPr>
      <w:adjustRightInd/>
      <w:spacing w:line="360" w:lineRule="auto"/>
    </w:pPr>
    <w:rPr>
      <w:rFonts w:cs="宋体"/>
      <w:sz w:val="24"/>
      <w:szCs w:val="20"/>
    </w:rPr>
  </w:style>
  <w:style w:type="paragraph" w:customStyle="1" w:styleId="79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9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9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94">
    <w:name w:val="Style Left:  0.81&quot; First line:  0&quot; Line spacing:  1.5 lines Char"/>
    <w:basedOn w:val="1"/>
    <w:qFormat/>
    <w:uiPriority w:val="0"/>
    <w:pPr>
      <w:widowControl/>
      <w:adjustRightInd/>
      <w:spacing w:line="360" w:lineRule="auto"/>
      <w:ind w:left="1152"/>
    </w:pPr>
    <w:rPr>
      <w:rFonts w:ascii="仿宋_GB2312" w:eastAsia="仿宋_GB2312"/>
      <w:kern w:val="0"/>
      <w:sz w:val="24"/>
      <w:szCs w:val="20"/>
      <w:lang w:eastAsia="en-US"/>
    </w:rPr>
  </w:style>
  <w:style w:type="paragraph" w:customStyle="1" w:styleId="795">
    <w:name w:val="Plain Text1"/>
    <w:basedOn w:val="1"/>
    <w:qFormat/>
    <w:uiPriority w:val="7"/>
    <w:pPr>
      <w:adjustRightInd/>
    </w:pPr>
    <w:rPr>
      <w:rFonts w:ascii="宋体" w:hAnsi="Courier New"/>
    </w:r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79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99">
    <w:name w:val="Picture"/>
    <w:basedOn w:val="1"/>
    <w:next w:val="21"/>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800">
    <w:name w:val="Char3 Char Char Char"/>
    <w:basedOn w:val="1"/>
    <w:qFormat/>
    <w:uiPriority w:val="0"/>
    <w:pPr>
      <w:widowControl/>
      <w:adjustRightInd/>
      <w:spacing w:after="160" w:line="240" w:lineRule="exact"/>
      <w:jc w:val="left"/>
    </w:pPr>
    <w:rPr>
      <w:szCs w:val="20"/>
    </w:rPr>
  </w:style>
  <w:style w:type="paragraph" w:customStyle="1" w:styleId="801">
    <w:name w:val="PDGInstructions"/>
    <w:basedOn w:val="1"/>
    <w:qFormat/>
    <w:uiPriority w:val="0"/>
    <w:pPr>
      <w:widowControl/>
      <w:adjustRightInd/>
      <w:spacing w:before="60" w:after="60"/>
      <w:ind w:right="360"/>
      <w:jc w:val="left"/>
    </w:pPr>
    <w:rPr>
      <w:rFonts w:ascii="Garamond" w:hAnsi="Garamond"/>
      <w:color w:val="FF0000"/>
      <w:kern w:val="0"/>
      <w:sz w:val="24"/>
      <w:szCs w:val="20"/>
      <w:lang w:eastAsia="en-US"/>
    </w:rPr>
  </w:style>
  <w:style w:type="paragraph" w:customStyle="1" w:styleId="80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03">
    <w:name w:val="列出段落11"/>
    <w:basedOn w:val="1"/>
    <w:qFormat/>
    <w:uiPriority w:val="0"/>
    <w:pPr>
      <w:adjustRightInd/>
      <w:ind w:firstLine="420" w:firstLineChars="200"/>
    </w:pPr>
  </w:style>
  <w:style w:type="paragraph" w:customStyle="1" w:styleId="804">
    <w:name w:val="表格"/>
    <w:basedOn w:val="1"/>
    <w:qFormat/>
    <w:uiPriority w:val="0"/>
    <w:pPr>
      <w:snapToGrid w:val="0"/>
      <w:ind w:firstLine="42" w:firstLineChars="21"/>
    </w:pPr>
    <w:rPr>
      <w:rFonts w:ascii="宋体" w:hAnsi="宋体"/>
      <w:kern w:val="0"/>
      <w:sz w:val="20"/>
      <w:szCs w:val="20"/>
    </w:rPr>
  </w:style>
  <w:style w:type="paragraph" w:customStyle="1" w:styleId="80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0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807">
    <w:name w:val="Level 4: (i)"/>
    <w:basedOn w:val="1"/>
    <w:qFormat/>
    <w:uiPriority w:val="0"/>
    <w:pPr>
      <w:widowControl/>
      <w:tabs>
        <w:tab w:val="left" w:pos="1440"/>
      </w:tabs>
      <w:adjustRightInd/>
      <w:spacing w:before="72" w:after="72"/>
      <w:outlineLvl w:val="6"/>
    </w:pPr>
    <w:rPr>
      <w:rFonts w:ascii="Arial" w:hAnsi="Arial" w:eastAsia="仿宋_GB2312"/>
      <w:kern w:val="0"/>
      <w:sz w:val="20"/>
      <w:szCs w:val="20"/>
      <w:lang w:eastAsia="en-US"/>
    </w:rPr>
  </w:style>
  <w:style w:type="paragraph" w:customStyle="1" w:styleId="808">
    <w:name w:val="Char2 Char Char Char2"/>
    <w:basedOn w:val="1"/>
    <w:qFormat/>
    <w:uiPriority w:val="0"/>
    <w:rPr>
      <w:rFonts w:ascii="仿宋_GB2312" w:eastAsia="仿宋_GB2312"/>
      <w:b/>
      <w:sz w:val="32"/>
      <w:szCs w:val="32"/>
    </w:rPr>
  </w:style>
  <w:style w:type="paragraph" w:customStyle="1" w:styleId="80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81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11">
    <w:name w:val="MM Topic 1"/>
    <w:basedOn w:val="5"/>
    <w:qFormat/>
    <w:uiPriority w:val="0"/>
    <w:pPr>
      <w:tabs>
        <w:tab w:val="left" w:pos="840"/>
      </w:tabs>
      <w:adjustRightInd/>
      <w:ind w:left="840" w:hanging="420"/>
    </w:pPr>
  </w:style>
  <w:style w:type="paragraph" w:customStyle="1" w:styleId="812">
    <w:name w:val="A03"/>
    <w:basedOn w:val="1"/>
    <w:qFormat/>
    <w:uiPriority w:val="0"/>
    <w:pPr>
      <w:tabs>
        <w:tab w:val="left" w:pos="0"/>
      </w:tabs>
      <w:adjustRightInd/>
      <w:ind w:firstLine="400" w:firstLineChars="200"/>
      <w:outlineLvl w:val="2"/>
    </w:pPr>
    <w:rPr>
      <w:b/>
    </w:rPr>
  </w:style>
  <w:style w:type="paragraph" w:customStyle="1" w:styleId="81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金保标题正文"/>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816">
    <w:name w:val="Char"/>
    <w:basedOn w:val="1"/>
    <w:qFormat/>
    <w:uiPriority w:val="0"/>
    <w:rPr>
      <w:rFonts w:ascii="仿宋_GB2312" w:eastAsia="仿宋_GB2312"/>
      <w:b/>
      <w:sz w:val="32"/>
      <w:szCs w:val="32"/>
    </w:rPr>
  </w:style>
  <w:style w:type="paragraph" w:customStyle="1" w:styleId="817">
    <w:name w:val="kp"/>
    <w:basedOn w:val="1"/>
    <w:qFormat/>
    <w:uiPriority w:val="0"/>
    <w:pPr>
      <w:autoSpaceDE w:val="0"/>
      <w:autoSpaceDN w:val="0"/>
      <w:spacing w:line="600" w:lineRule="exact"/>
      <w:ind w:firstLine="560"/>
    </w:pPr>
    <w:rPr>
      <w:rFonts w:ascii="仿宋_GB2312" w:eastAsia="仿宋_GB2312"/>
      <w:sz w:val="28"/>
      <w:szCs w:val="28"/>
      <w:lang w:val="zh-CN"/>
    </w:rPr>
  </w:style>
  <w:style w:type="paragraph" w:customStyle="1" w:styleId="81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1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82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21">
    <w:name w:val="文档正文"/>
    <w:basedOn w:val="1"/>
    <w:qFormat/>
    <w:uiPriority w:val="0"/>
    <w:pPr>
      <w:spacing w:line="480" w:lineRule="atLeast"/>
      <w:ind w:firstLine="567"/>
      <w:textAlignment w:val="baseline"/>
    </w:pPr>
    <w:rPr>
      <w:kern w:val="0"/>
      <w:sz w:val="24"/>
      <w:szCs w:val="20"/>
    </w:rPr>
  </w:style>
  <w:style w:type="paragraph" w:customStyle="1" w:styleId="82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8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824">
    <w:name w:val="样式 标题 4PIM 4H4h4bulletblbbH41H42H43H44H45H46H47H48...1"/>
    <w:basedOn w:val="9"/>
    <w:qFormat/>
    <w:uiPriority w:val="0"/>
    <w:pPr>
      <w:widowControl/>
      <w:jc w:val="left"/>
    </w:pPr>
    <w:rPr>
      <w:rFonts w:cs="宋体"/>
      <w:sz w:val="24"/>
      <w:szCs w:val="20"/>
    </w:rPr>
  </w:style>
  <w:style w:type="paragraph" w:customStyle="1" w:styleId="825">
    <w:name w:val="Char Char Char Char Char Char Char1"/>
    <w:basedOn w:val="1"/>
    <w:qFormat/>
    <w:uiPriority w:val="6"/>
    <w:rPr>
      <w:rFonts w:ascii="仿宋_GB2312" w:eastAsia="仿宋_GB2312"/>
      <w:b/>
      <w:sz w:val="32"/>
      <w:szCs w:val="32"/>
    </w:rPr>
  </w:style>
  <w:style w:type="paragraph" w:customStyle="1" w:styleId="826">
    <w:name w:val="Char Char1 Char Char Char Char Char Char2"/>
    <w:basedOn w:val="1"/>
    <w:qFormat/>
    <w:uiPriority w:val="0"/>
    <w:rPr>
      <w:rFonts w:ascii="仿宋_GB2312" w:eastAsia="仿宋_GB2312"/>
      <w:b/>
      <w:sz w:val="32"/>
      <w:szCs w:val="20"/>
    </w:rPr>
  </w:style>
  <w:style w:type="paragraph" w:customStyle="1" w:styleId="827">
    <w:name w:val="p18"/>
    <w:basedOn w:val="1"/>
    <w:qFormat/>
    <w:uiPriority w:val="0"/>
    <w:pPr>
      <w:widowControl/>
      <w:adjustRightInd/>
      <w:spacing w:before="156" w:after="156" w:line="400" w:lineRule="atLeast"/>
    </w:pPr>
    <w:rPr>
      <w:rFonts w:ascii="宋体" w:hAnsi="宋体" w:cs="宋体"/>
      <w:kern w:val="0"/>
      <w:sz w:val="24"/>
    </w:rPr>
  </w:style>
  <w:style w:type="paragraph" w:customStyle="1" w:styleId="82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29">
    <w:name w:val="五级无标题条"/>
    <w:basedOn w:val="1"/>
    <w:qFormat/>
    <w:uiPriority w:val="0"/>
    <w:pPr>
      <w:adjustRightInd/>
    </w:pPr>
  </w:style>
  <w:style w:type="paragraph" w:customStyle="1" w:styleId="8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3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32">
    <w:name w:val="Blockquote"/>
    <w:basedOn w:val="1"/>
    <w:qFormat/>
    <w:uiPriority w:val="0"/>
    <w:pPr>
      <w:autoSpaceDE w:val="0"/>
      <w:autoSpaceDN w:val="0"/>
      <w:spacing w:before="100" w:after="100"/>
      <w:ind w:left="360" w:right="360"/>
      <w:jc w:val="left"/>
    </w:pPr>
    <w:rPr>
      <w:kern w:val="0"/>
      <w:sz w:val="24"/>
      <w:szCs w:val="20"/>
    </w:rPr>
  </w:style>
  <w:style w:type="paragraph" w:customStyle="1" w:styleId="833">
    <w:name w:val="彩色列表 - 强调文字颜色 11"/>
    <w:basedOn w:val="1"/>
    <w:qFormat/>
    <w:uiPriority w:val="0"/>
    <w:pPr>
      <w:adjustRightInd/>
      <w:ind w:firstLine="420" w:firstLineChars="200"/>
    </w:pPr>
    <w:rPr>
      <w:rFonts w:ascii="Calibri" w:hAnsi="Calibri"/>
      <w:szCs w:val="22"/>
    </w:rPr>
  </w:style>
  <w:style w:type="paragraph" w:customStyle="1" w:styleId="834">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35">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836">
    <w:name w:val="xl9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FF0000"/>
      <w:kern w:val="0"/>
      <w:sz w:val="24"/>
    </w:rPr>
  </w:style>
  <w:style w:type="paragraph" w:customStyle="1" w:styleId="83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38">
    <w:name w:val="标题 3.5"/>
    <w:basedOn w:val="7"/>
    <w:qFormat/>
    <w:uiPriority w:val="0"/>
    <w:pPr>
      <w:keepNext w:val="0"/>
      <w:keepLines w:val="0"/>
      <w:tabs>
        <w:tab w:val="clear" w:pos="900"/>
      </w:tabs>
      <w:adjustRightInd/>
      <w:spacing w:before="0" w:after="0" w:line="600" w:lineRule="exact"/>
      <w:ind w:left="0" w:firstLine="0"/>
      <w:outlineLvl w:val="9"/>
    </w:pPr>
    <w:rPr>
      <w:rFonts w:ascii="仿宋_GB2312" w:eastAsia="仿宋_GB2312"/>
      <w:b w:val="0"/>
      <w:bCs w:val="0"/>
      <w:sz w:val="31"/>
      <w:szCs w:val="24"/>
    </w:rPr>
  </w:style>
  <w:style w:type="paragraph" w:customStyle="1" w:styleId="83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84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84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42">
    <w:name w:val="Proposals body"/>
    <w:basedOn w:val="1"/>
    <w:next w:val="1"/>
    <w:qFormat/>
    <w:uiPriority w:val="0"/>
    <w:pPr>
      <w:widowControl/>
      <w:adjustRightInd/>
      <w:spacing w:line="360" w:lineRule="auto"/>
      <w:jc w:val="left"/>
    </w:pPr>
    <w:rPr>
      <w:rFonts w:ascii="宋体" w:eastAsia="仿宋_GB2312"/>
      <w:snapToGrid w:val="0"/>
      <w:color w:val="000000"/>
      <w:kern w:val="0"/>
      <w:sz w:val="24"/>
      <w:szCs w:val="20"/>
    </w:rPr>
  </w:style>
  <w:style w:type="paragraph" w:customStyle="1" w:styleId="843">
    <w:name w:val="列出段落5"/>
    <w:basedOn w:val="1"/>
    <w:qFormat/>
    <w:uiPriority w:val="0"/>
    <w:pPr>
      <w:spacing w:line="360" w:lineRule="auto"/>
      <w:ind w:firstLine="200" w:firstLineChars="200"/>
    </w:pPr>
    <w:rPr>
      <w:rFonts w:eastAsia="楷体_GB2312" w:cs="Lucida Sans"/>
      <w:sz w:val="24"/>
    </w:rPr>
  </w:style>
  <w:style w:type="paragraph" w:customStyle="1" w:styleId="844">
    <w:name w:val="正文缩进1"/>
    <w:basedOn w:val="1"/>
    <w:next w:val="3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845">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46">
    <w:name w:val="修订3"/>
    <w:qFormat/>
    <w:uiPriority w:val="0"/>
    <w:rPr>
      <w:rFonts w:ascii="Times New Roman" w:hAnsi="Times New Roman" w:eastAsia="宋体" w:cs="Times New Roman"/>
      <w:kern w:val="2"/>
      <w:sz w:val="21"/>
      <w:lang w:val="en-US" w:eastAsia="zh-CN" w:bidi="ar-SA"/>
    </w:rPr>
  </w:style>
  <w:style w:type="paragraph" w:customStyle="1" w:styleId="847">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848">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84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0">
    <w:name w:val="正文标准"/>
    <w:basedOn w:val="1"/>
    <w:qFormat/>
    <w:uiPriority w:val="0"/>
    <w:pPr>
      <w:adjustRightInd/>
      <w:spacing w:line="360" w:lineRule="auto"/>
      <w:ind w:firstLine="200" w:firstLineChars="200"/>
    </w:pPr>
    <w:rPr>
      <w:rFonts w:ascii="宋体" w:hAnsi="Calibri"/>
      <w:sz w:val="24"/>
    </w:rPr>
  </w:style>
  <w:style w:type="paragraph" w:customStyle="1" w:styleId="851">
    <w:name w:val="索引 11"/>
    <w:basedOn w:val="1"/>
    <w:next w:val="1"/>
    <w:qFormat/>
    <w:uiPriority w:val="99"/>
    <w:pPr>
      <w:adjustRightInd/>
      <w:spacing w:line="360" w:lineRule="auto"/>
    </w:pPr>
    <w:rPr>
      <w:rFonts w:ascii="仿宋_GB2312" w:eastAsia="仿宋_GB2312"/>
      <w:sz w:val="24"/>
      <w:szCs w:val="20"/>
    </w:rPr>
  </w:style>
  <w:style w:type="paragraph" w:customStyle="1" w:styleId="852">
    <w:name w:val="0"/>
    <w:basedOn w:val="1"/>
    <w:qFormat/>
    <w:uiPriority w:val="0"/>
    <w:pPr>
      <w:widowControl/>
    </w:pPr>
    <w:rPr>
      <w:kern w:val="0"/>
      <w:sz w:val="24"/>
      <w:szCs w:val="20"/>
    </w:rPr>
  </w:style>
  <w:style w:type="paragraph" w:customStyle="1" w:styleId="85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4">
    <w:name w:val="标书标题4"/>
    <w:basedOn w:val="9"/>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85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857">
    <w:name w:val="U_编号2"/>
    <w:basedOn w:val="1"/>
    <w:qFormat/>
    <w:uiPriority w:val="0"/>
    <w:pPr>
      <w:tabs>
        <w:tab w:val="left" w:pos="785"/>
      </w:tabs>
      <w:adjustRightInd/>
      <w:spacing w:beforeLines="10" w:afterLines="10" w:line="300" w:lineRule="auto"/>
    </w:pPr>
    <w:rPr>
      <w:sz w:val="24"/>
    </w:rPr>
  </w:style>
  <w:style w:type="paragraph" w:customStyle="1" w:styleId="858">
    <w:name w:val="纯文本2"/>
    <w:basedOn w:val="1"/>
    <w:qFormat/>
    <w:uiPriority w:val="0"/>
    <w:pPr>
      <w:adjustRightInd/>
      <w:snapToGrid w:val="0"/>
      <w:jc w:val="left"/>
    </w:pPr>
    <w:rPr>
      <w:rFonts w:ascii="Century Gothic" w:hAnsi="楷体_GB2312" w:eastAsia="Century Gothic"/>
      <w:szCs w:val="20"/>
    </w:rPr>
  </w:style>
  <w:style w:type="paragraph" w:customStyle="1" w:styleId="85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860">
    <w:name w:val="MM Topic 4"/>
    <w:basedOn w:val="9"/>
    <w:qFormat/>
    <w:uiPriority w:val="0"/>
    <w:pPr>
      <w:tabs>
        <w:tab w:val="left" w:pos="2100"/>
      </w:tabs>
      <w:adjustRightInd/>
      <w:ind w:left="2100" w:hanging="420"/>
    </w:pPr>
    <w:rPr>
      <w:lang w:val="en-US"/>
    </w:rPr>
  </w:style>
  <w:style w:type="paragraph" w:customStyle="1" w:styleId="861">
    <w:name w:val="4级标题"/>
    <w:basedOn w:val="15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862">
    <w:name w:val="模板普通正文"/>
    <w:basedOn w:val="31"/>
    <w:qFormat/>
    <w:uiPriority w:val="0"/>
    <w:pPr>
      <w:adjustRightInd/>
      <w:spacing w:beforeLines="50" w:after="10" w:line="360" w:lineRule="auto"/>
      <w:ind w:left="0" w:leftChars="0" w:firstLine="175" w:firstLineChars="175"/>
      <w:jc w:val="left"/>
    </w:pPr>
    <w:rPr>
      <w:sz w:val="24"/>
    </w:rPr>
  </w:style>
  <w:style w:type="paragraph" w:customStyle="1" w:styleId="863">
    <w:name w:val="Char19"/>
    <w:basedOn w:val="1"/>
    <w:qFormat/>
    <w:uiPriority w:val="0"/>
    <w:pPr>
      <w:adjustRightInd/>
    </w:pPr>
    <w:rPr>
      <w:szCs w:val="20"/>
    </w:rPr>
  </w:style>
  <w:style w:type="paragraph" w:customStyle="1" w:styleId="864">
    <w:name w:val="Char Char Char Char Char Char Char Char Char Char Char Char1 Char1"/>
    <w:basedOn w:val="1"/>
    <w:qFormat/>
    <w:uiPriority w:val="6"/>
    <w:rPr>
      <w:rFonts w:ascii="Tahoma" w:hAnsi="Tahoma" w:cs="仿宋_GB2312"/>
      <w:sz w:val="24"/>
      <w:szCs w:val="20"/>
    </w:rPr>
  </w:style>
  <w:style w:type="paragraph" w:customStyle="1" w:styleId="86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866">
    <w:name w:val="默认段落字体 Para Char"/>
    <w:basedOn w:val="1"/>
    <w:qFormat/>
    <w:uiPriority w:val="0"/>
    <w:rPr>
      <w:rFonts w:ascii="Tahoma" w:hAnsi="Tahoma"/>
      <w:sz w:val="24"/>
      <w:szCs w:val="20"/>
    </w:rPr>
  </w:style>
  <w:style w:type="paragraph" w:customStyle="1" w:styleId="86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68">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869">
    <w:name w:val="RFI List 1"/>
    <w:basedOn w:val="528"/>
    <w:qFormat/>
    <w:uiPriority w:val="0"/>
    <w:pPr>
      <w:tabs>
        <w:tab w:val="left" w:pos="360"/>
        <w:tab w:val="left" w:pos="720"/>
        <w:tab w:val="left" w:pos="1800"/>
        <w:tab w:val="clear" w:pos="840"/>
      </w:tabs>
      <w:spacing w:before="240" w:after="160"/>
      <w:ind w:left="720" w:hanging="720" w:firstLineChars="0"/>
      <w:outlineLvl w:val="0"/>
    </w:pPr>
    <w:rPr>
      <w:rFonts w:eastAsia="仿宋_GB2312"/>
      <w:b/>
      <w:color w:val="auto"/>
      <w:szCs w:val="28"/>
    </w:rPr>
  </w:style>
  <w:style w:type="paragraph" w:customStyle="1" w:styleId="870">
    <w:name w:val="Default Text:1"/>
    <w:basedOn w:val="1"/>
    <w:qFormat/>
    <w:uiPriority w:val="0"/>
    <w:pPr>
      <w:widowControl/>
      <w:adjustRightInd/>
      <w:jc w:val="left"/>
    </w:pPr>
    <w:rPr>
      <w:rFonts w:ascii="Tahoma" w:hAnsi="Tahoma" w:eastAsia="仿宋_GB2312" w:cs="Tahoma"/>
      <w:kern w:val="0"/>
      <w:sz w:val="24"/>
      <w:szCs w:val="28"/>
      <w:lang w:eastAsia="en-US"/>
    </w:rPr>
  </w:style>
  <w:style w:type="paragraph" w:customStyle="1" w:styleId="871">
    <w:name w:val="MM Topic 3"/>
    <w:basedOn w:val="7"/>
    <w:qFormat/>
    <w:uiPriority w:val="0"/>
    <w:pPr>
      <w:tabs>
        <w:tab w:val="left" w:pos="1680"/>
      </w:tabs>
      <w:adjustRightInd/>
      <w:ind w:left="1680" w:hanging="420"/>
    </w:pPr>
  </w:style>
  <w:style w:type="paragraph" w:customStyle="1" w:styleId="872">
    <w:name w:val="首行缩进"/>
    <w:basedOn w:val="1"/>
    <w:qFormat/>
    <w:uiPriority w:val="0"/>
    <w:pPr>
      <w:spacing w:line="360" w:lineRule="auto"/>
      <w:ind w:firstLine="480" w:firstLineChars="200"/>
    </w:pPr>
    <w:rPr>
      <w:rFonts w:ascii="宋体"/>
      <w:sz w:val="24"/>
      <w:szCs w:val="20"/>
    </w:rPr>
  </w:style>
  <w:style w:type="paragraph" w:customStyle="1" w:styleId="873">
    <w:name w:val="5级标题"/>
    <w:basedOn w:val="619"/>
    <w:qFormat/>
    <w:uiPriority w:val="0"/>
    <w:pPr>
      <w:tabs>
        <w:tab w:val="left" w:pos="360"/>
      </w:tabs>
      <w:spacing w:beforeLines="10" w:afterLines="10"/>
      <w:outlineLvl w:val="4"/>
    </w:pPr>
    <w:rPr>
      <w:rFonts w:eastAsia="仿宋"/>
      <w:b/>
      <w:kern w:val="2"/>
    </w:rPr>
  </w:style>
  <w:style w:type="paragraph" w:customStyle="1" w:styleId="87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7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76">
    <w:name w:val="Char Char Char Char Char Char Char Char"/>
    <w:basedOn w:val="1"/>
    <w:qFormat/>
    <w:uiPriority w:val="0"/>
    <w:pPr>
      <w:tabs>
        <w:tab w:val="left" w:pos="360"/>
      </w:tabs>
    </w:pPr>
    <w:rPr>
      <w:sz w:val="24"/>
      <w:szCs w:val="20"/>
    </w:rPr>
  </w:style>
  <w:style w:type="paragraph" w:customStyle="1" w:styleId="87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78">
    <w:name w:val="6级标题"/>
    <w:basedOn w:val="873"/>
    <w:qFormat/>
    <w:uiPriority w:val="0"/>
    <w:pPr>
      <w:keepNext/>
      <w:outlineLvl w:val="5"/>
    </w:pPr>
  </w:style>
  <w:style w:type="paragraph" w:customStyle="1" w:styleId="879">
    <w:name w:val="Char1 Char Char Char Char Char Char"/>
    <w:basedOn w:val="1"/>
    <w:qFormat/>
    <w:uiPriority w:val="0"/>
    <w:rPr>
      <w:rFonts w:ascii="Tahoma" w:hAnsi="Tahoma"/>
      <w:sz w:val="24"/>
      <w:szCs w:val="20"/>
    </w:rPr>
  </w:style>
  <w:style w:type="paragraph" w:customStyle="1" w:styleId="88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1">
    <w:name w:val="font0"/>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2">
    <w:name w:val="A正文"/>
    <w:basedOn w:val="1"/>
    <w:qFormat/>
    <w:uiPriority w:val="0"/>
    <w:pPr>
      <w:adjustRightInd/>
      <w:snapToGrid w:val="0"/>
      <w:ind w:firstLine="480" w:firstLineChars="200"/>
    </w:pPr>
    <w:rPr>
      <w:rFonts w:ascii="宋体" w:hAnsi="宋体"/>
      <w:sz w:val="24"/>
    </w:rPr>
  </w:style>
  <w:style w:type="paragraph" w:customStyle="1" w:styleId="88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8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88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86">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8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88">
    <w:name w:val="Char Char Char Char Char Char Char Char1"/>
    <w:basedOn w:val="1"/>
    <w:qFormat/>
    <w:uiPriority w:val="0"/>
    <w:pPr>
      <w:tabs>
        <w:tab w:val="left" w:pos="360"/>
      </w:tabs>
    </w:pPr>
    <w:rPr>
      <w:sz w:val="24"/>
      <w:szCs w:val="20"/>
    </w:rPr>
  </w:style>
  <w:style w:type="paragraph" w:customStyle="1" w:styleId="88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89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9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89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89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94">
    <w:name w:val="Char1 Char Char Char4"/>
    <w:basedOn w:val="1"/>
    <w:qFormat/>
    <w:uiPriority w:val="0"/>
    <w:pPr>
      <w:adjustRightInd/>
      <w:ind w:firstLine="200" w:firstLineChars="200"/>
    </w:pPr>
    <w:rPr>
      <w:rFonts w:ascii="Tahoma" w:hAnsi="Tahoma"/>
      <w:sz w:val="24"/>
      <w:szCs w:val="20"/>
    </w:rPr>
  </w:style>
  <w:style w:type="paragraph" w:customStyle="1" w:styleId="89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6">
    <w:name w:val="xl111"/>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pPr>
    <w:rPr>
      <w:rFonts w:ascii="宋体" w:hAnsi="宋体" w:cs="宋体"/>
      <w:kern w:val="0"/>
      <w:sz w:val="24"/>
    </w:rPr>
  </w:style>
  <w:style w:type="paragraph" w:customStyle="1" w:styleId="897">
    <w:name w:val="纯文本3"/>
    <w:basedOn w:val="760"/>
    <w:qFormat/>
    <w:uiPriority w:val="0"/>
    <w:pPr>
      <w:widowControl/>
      <w:jc w:val="left"/>
    </w:pPr>
    <w:rPr>
      <w:rFonts w:ascii="宋体" w:hAnsi="Courier New"/>
    </w:rPr>
  </w:style>
  <w:style w:type="paragraph" w:customStyle="1" w:styleId="898">
    <w:name w:val="标题3正文"/>
    <w:basedOn w:val="1"/>
    <w:qFormat/>
    <w:uiPriority w:val="0"/>
    <w:pPr>
      <w:adjustRightInd/>
      <w:snapToGrid w:val="0"/>
      <w:spacing w:line="360" w:lineRule="auto"/>
      <w:ind w:firstLine="480" w:firstLineChars="200"/>
    </w:pPr>
    <w:rPr>
      <w:sz w:val="24"/>
    </w:rPr>
  </w:style>
  <w:style w:type="paragraph" w:customStyle="1" w:styleId="899">
    <w:name w:val="3级标题"/>
    <w:basedOn w:val="900"/>
    <w:qFormat/>
    <w:uiPriority w:val="0"/>
    <w:pPr>
      <w:outlineLvl w:val="2"/>
    </w:pPr>
  </w:style>
  <w:style w:type="paragraph" w:customStyle="1" w:styleId="900">
    <w:name w:val="2级标题"/>
    <w:basedOn w:val="535"/>
    <w:qFormat/>
    <w:uiPriority w:val="0"/>
    <w:pPr>
      <w:jc w:val="left"/>
      <w:outlineLvl w:val="1"/>
    </w:pPr>
    <w:rPr>
      <w:rFonts w:ascii="Times New Roman" w:hAnsi="Times New Roman" w:eastAsia="仿宋"/>
      <w:sz w:val="30"/>
    </w:rPr>
  </w:style>
  <w:style w:type="paragraph" w:customStyle="1" w:styleId="901">
    <w:name w:val="Char Char Char Char Char Char Char Char2"/>
    <w:basedOn w:val="1"/>
    <w:qFormat/>
    <w:uiPriority w:val="0"/>
    <w:pPr>
      <w:tabs>
        <w:tab w:val="left" w:pos="360"/>
      </w:tabs>
    </w:pPr>
    <w:rPr>
      <w:sz w:val="24"/>
      <w:szCs w:val="20"/>
    </w:rPr>
  </w:style>
  <w:style w:type="paragraph" w:customStyle="1" w:styleId="90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903">
    <w:name w:val="_Style 6"/>
    <w:basedOn w:val="1"/>
    <w:qFormat/>
    <w:uiPriority w:val="34"/>
    <w:pPr>
      <w:adjustRightInd/>
      <w:ind w:firstLine="420" w:firstLineChars="200"/>
    </w:pPr>
    <w:rPr>
      <w:rFonts w:eastAsia="仿宋_GB2312"/>
      <w:sz w:val="28"/>
    </w:rPr>
  </w:style>
  <w:style w:type="paragraph" w:customStyle="1" w:styleId="9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05">
    <w:name w:val="标题五"/>
    <w:basedOn w:val="1"/>
    <w:qFormat/>
    <w:uiPriority w:val="0"/>
    <w:pPr>
      <w:adjustRightInd/>
      <w:spacing w:beforeLines="50" w:line="360" w:lineRule="auto"/>
    </w:pPr>
    <w:rPr>
      <w:b/>
      <w:sz w:val="24"/>
    </w:rPr>
  </w:style>
  <w:style w:type="paragraph" w:customStyle="1" w:styleId="906">
    <w:name w:val="样式 正文文本缩进 + 段前: 2 字符"/>
    <w:basedOn w:val="1"/>
    <w:qFormat/>
    <w:uiPriority w:val="0"/>
    <w:pPr>
      <w:adjustRightInd/>
      <w:ind w:left="420" w:leftChars="200"/>
      <w:jc w:val="left"/>
    </w:pPr>
    <w:rPr>
      <w:sz w:val="28"/>
      <w:szCs w:val="20"/>
      <w:lang w:eastAsia="zh-TW"/>
    </w:rPr>
  </w:style>
  <w:style w:type="paragraph" w:customStyle="1" w:styleId="907">
    <w:name w:val="kx"/>
    <w:basedOn w:val="1"/>
    <w:qFormat/>
    <w:uiPriority w:val="0"/>
    <w:pPr>
      <w:widowControl/>
      <w:adjustRightInd/>
      <w:spacing w:before="100" w:beforeAutospacing="1" w:after="100" w:afterAutospacing="1"/>
      <w:jc w:val="left"/>
    </w:pPr>
    <w:rPr>
      <w:rFonts w:ascii="宋体" w:hAnsi="宋体"/>
      <w:kern w:val="0"/>
      <w:sz w:val="24"/>
    </w:rPr>
  </w:style>
  <w:style w:type="paragraph" w:customStyle="1" w:styleId="90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909">
    <w:name w:val="文章标题"/>
    <w:next w:val="59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9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1">
    <w:name w:val="xl9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_GB2312" w:hAnsi="宋体" w:eastAsia="仿宋_GB2312" w:cs="宋体"/>
      <w:color w:val="000000"/>
      <w:kern w:val="0"/>
      <w:sz w:val="28"/>
      <w:szCs w:val="28"/>
    </w:rPr>
  </w:style>
  <w:style w:type="paragraph" w:customStyle="1" w:styleId="912">
    <w:name w:val="样式 样式2 + 左侧:  1 字符 右侧:  1 字符"/>
    <w:basedOn w:val="61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913">
    <w:name w:val="表格 内容"/>
    <w:basedOn w:val="884"/>
    <w:qFormat/>
    <w:uiPriority w:val="0"/>
    <w:rPr>
      <w:b w:val="0"/>
      <w:sz w:val="20"/>
    </w:rPr>
  </w:style>
  <w:style w:type="paragraph" w:customStyle="1" w:styleId="914">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91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917">
    <w:name w:val="数字标题1"/>
    <w:basedOn w:val="5"/>
    <w:next w:val="1"/>
    <w:qFormat/>
    <w:uiPriority w:val="0"/>
    <w:pPr>
      <w:tabs>
        <w:tab w:val="left" w:pos="480"/>
      </w:tabs>
      <w:ind w:left="480" w:hanging="480"/>
    </w:pPr>
  </w:style>
  <w:style w:type="paragraph" w:customStyle="1" w:styleId="918">
    <w:name w:val="Char Char Char Char Char Char Char Char Char Char Char Char1 Char"/>
    <w:basedOn w:val="1"/>
    <w:qFormat/>
    <w:uiPriority w:val="0"/>
    <w:rPr>
      <w:rFonts w:ascii="Tahoma" w:hAnsi="Tahoma" w:cs="仿宋_GB2312"/>
      <w:sz w:val="24"/>
      <w:szCs w:val="20"/>
    </w:rPr>
  </w:style>
  <w:style w:type="paragraph" w:customStyle="1" w:styleId="919">
    <w:name w:val="xl9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_GB2312" w:hAnsi="宋体" w:eastAsia="仿宋_GB2312" w:cs="宋体"/>
      <w:color w:val="000000"/>
      <w:kern w:val="0"/>
      <w:sz w:val="20"/>
      <w:szCs w:val="20"/>
    </w:rPr>
  </w:style>
  <w:style w:type="paragraph" w:customStyle="1" w:styleId="920">
    <w:name w:val="四级条标题"/>
    <w:basedOn w:val="633"/>
    <w:next w:val="552"/>
    <w:qFormat/>
    <w:uiPriority w:val="0"/>
    <w:pPr>
      <w:tabs>
        <w:tab w:val="left" w:pos="2940"/>
        <w:tab w:val="clear" w:pos="2520"/>
      </w:tabs>
      <w:ind w:left="2940"/>
      <w:outlineLvl w:val="5"/>
    </w:pPr>
  </w:style>
  <w:style w:type="paragraph" w:customStyle="1" w:styleId="9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922">
    <w:name w:val="RFI text from 3rd Level"/>
    <w:basedOn w:val="690"/>
    <w:qFormat/>
    <w:uiPriority w:val="0"/>
    <w:pPr>
      <w:tabs>
        <w:tab w:val="left" w:pos="1080"/>
        <w:tab w:val="clear" w:pos="360"/>
      </w:tabs>
      <w:ind w:left="0" w:firstLine="0"/>
    </w:pPr>
    <w:rPr>
      <w:b w:val="0"/>
      <w:lang w:eastAsia="zh-CN"/>
    </w:rPr>
  </w:style>
  <w:style w:type="paragraph" w:customStyle="1" w:styleId="923">
    <w:name w:val="列出段落111"/>
    <w:basedOn w:val="1"/>
    <w:qFormat/>
    <w:uiPriority w:val="34"/>
    <w:pPr>
      <w:ind w:firstLine="420" w:firstLineChars="200"/>
    </w:pPr>
  </w:style>
  <w:style w:type="paragraph" w:customStyle="1" w:styleId="924">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25">
    <w:name w:val="Char Char1 Char Char Char"/>
    <w:basedOn w:val="1"/>
    <w:qFormat/>
    <w:uiPriority w:val="0"/>
    <w:rPr>
      <w:rFonts w:ascii="仿宋_GB2312" w:eastAsia="仿宋_GB2312"/>
      <w:b/>
      <w:sz w:val="32"/>
      <w:szCs w:val="20"/>
    </w:rPr>
  </w:style>
  <w:style w:type="paragraph" w:customStyle="1" w:styleId="92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927">
    <w:name w:val="Normal0"/>
    <w:qFormat/>
    <w:uiPriority w:val="0"/>
    <w:rPr>
      <w:rFonts w:ascii="Times New Roman" w:hAnsi="Times New Roman" w:eastAsia="宋体" w:cs="Times New Roman"/>
      <w:lang w:val="en-US" w:eastAsia="en-US" w:bidi="ar-SA"/>
    </w:rPr>
  </w:style>
  <w:style w:type="paragraph" w:customStyle="1" w:styleId="928">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9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930">
    <w:name w:val="Style Body Text Indent 2 + 11 pt Line spacing:  1.5 lines"/>
    <w:basedOn w:val="45"/>
    <w:qFormat/>
    <w:uiPriority w:val="0"/>
    <w:pPr>
      <w:widowControl/>
      <w:tabs>
        <w:tab w:val="left" w:pos="900"/>
      </w:tabs>
      <w:adjustRightInd/>
      <w:ind w:firstLine="0"/>
      <w:textAlignment w:val="auto"/>
    </w:pPr>
    <w:rPr>
      <w:rFonts w:hAnsi="宋体"/>
      <w:sz w:val="22"/>
      <w:lang w:val="en-GB"/>
    </w:rPr>
  </w:style>
  <w:style w:type="paragraph" w:customStyle="1" w:styleId="93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32">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33">
    <w:name w:val="五级条标题"/>
    <w:basedOn w:val="920"/>
    <w:next w:val="552"/>
    <w:qFormat/>
    <w:uiPriority w:val="0"/>
    <w:pPr>
      <w:tabs>
        <w:tab w:val="left" w:pos="3360"/>
      </w:tabs>
      <w:ind w:left="3360"/>
      <w:outlineLvl w:val="6"/>
    </w:pPr>
  </w:style>
  <w:style w:type="paragraph" w:customStyle="1" w:styleId="934">
    <w:name w:val="左对齐表格文字"/>
    <w:basedOn w:val="1"/>
    <w:qFormat/>
    <w:uiPriority w:val="0"/>
    <w:pPr>
      <w:adjustRightInd/>
      <w:ind w:firstLine="200" w:firstLineChars="200"/>
      <w:jc w:val="right"/>
    </w:pPr>
  </w:style>
  <w:style w:type="paragraph" w:customStyle="1" w:styleId="935">
    <w:name w:val="中文标题 3"/>
    <w:basedOn w:val="31"/>
    <w:qFormat/>
    <w:uiPriority w:val="0"/>
    <w:pPr>
      <w:adjustRightInd/>
      <w:spacing w:before="100" w:beforeAutospacing="1" w:after="100" w:afterAutospacing="1" w:line="360" w:lineRule="auto"/>
      <w:ind w:left="0" w:leftChars="0" w:firstLine="482"/>
    </w:pPr>
    <w:rPr>
      <w:rFonts w:eastAsia="楷体_GB2312"/>
      <w:kern w:val="28"/>
      <w:sz w:val="24"/>
    </w:rPr>
  </w:style>
  <w:style w:type="paragraph" w:customStyle="1" w:styleId="936">
    <w:name w:val="xl101"/>
    <w:basedOn w:val="1"/>
    <w:qFormat/>
    <w:uiPriority w:val="0"/>
    <w:pPr>
      <w:widowControl/>
      <w:pBdr>
        <w:top w:val="single" w:color="auto" w:sz="4" w:space="0"/>
      </w:pBdr>
      <w:adjustRightInd/>
      <w:spacing w:before="100" w:beforeAutospacing="1" w:after="100" w:afterAutospacing="1"/>
      <w:jc w:val="left"/>
    </w:pPr>
    <w:rPr>
      <w:rFonts w:ascii="宋体" w:hAnsi="宋体" w:cs="宋体"/>
      <w:kern w:val="0"/>
      <w:sz w:val="24"/>
    </w:rPr>
  </w:style>
  <w:style w:type="paragraph" w:customStyle="1" w:styleId="937">
    <w:name w:val="_Style 11"/>
    <w:basedOn w:val="1"/>
    <w:qFormat/>
    <w:uiPriority w:val="34"/>
    <w:pPr>
      <w:adjustRightInd/>
      <w:ind w:firstLine="420" w:firstLineChars="200"/>
    </w:pPr>
    <w:rPr>
      <w:rFonts w:eastAsia="仿宋_GB2312"/>
      <w:sz w:val="28"/>
    </w:rPr>
  </w:style>
  <w:style w:type="paragraph" w:customStyle="1" w:styleId="938">
    <w:name w:val="_标题2"/>
    <w:basedOn w:val="544"/>
    <w:next w:val="544"/>
    <w:qFormat/>
    <w:uiPriority w:val="0"/>
    <w:pPr>
      <w:widowControl w:val="0"/>
      <w:tabs>
        <w:tab w:val="left" w:pos="480"/>
      </w:tabs>
      <w:spacing w:beforeLines="50" w:afterLines="50"/>
      <w:ind w:left="50" w:leftChars="50" w:hanging="420" w:firstLineChars="0"/>
      <w:outlineLvl w:val="1"/>
    </w:pPr>
    <w:rPr>
      <w:b/>
      <w:sz w:val="36"/>
    </w:rPr>
  </w:style>
  <w:style w:type="paragraph" w:customStyle="1" w:styleId="939">
    <w:name w:val="正文11"/>
    <w:basedOn w:val="39"/>
    <w:qFormat/>
    <w:uiPriority w:val="0"/>
    <w:pPr>
      <w:ind w:left="0" w:leftChars="0" w:firstLine="480" w:firstLineChars="200"/>
    </w:pPr>
    <w:rPr>
      <w:rFonts w:ascii="仿宋_GB2312" w:hAnsi="Courier New" w:eastAsia="仿宋_GB2312"/>
      <w:kern w:val="28"/>
      <w:sz w:val="24"/>
    </w:rPr>
  </w:style>
  <w:style w:type="paragraph" w:customStyle="1" w:styleId="94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94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942">
    <w:name w:val="文本正文"/>
    <w:qFormat/>
    <w:uiPriority w:val="0"/>
    <w:pPr>
      <w:ind w:firstLine="880" w:firstLineChars="200"/>
    </w:pPr>
    <w:rPr>
      <w:rFonts w:ascii="Times New Roman" w:hAnsi="Times New Roman" w:eastAsia="宋体" w:cs="Times New Roman"/>
      <w:sz w:val="21"/>
      <w:lang w:val="en-US" w:eastAsia="zh-CN" w:bidi="ar-SA"/>
    </w:rPr>
  </w:style>
  <w:style w:type="paragraph" w:customStyle="1" w:styleId="943">
    <w:name w:val="Char1 Char Char Char1"/>
    <w:basedOn w:val="1"/>
    <w:qFormat/>
    <w:uiPriority w:val="0"/>
    <w:pPr>
      <w:adjustRightInd/>
      <w:ind w:firstLine="200" w:firstLineChars="200"/>
    </w:pPr>
    <w:rPr>
      <w:rFonts w:ascii="Tahoma" w:hAnsi="Tahoma"/>
      <w:sz w:val="24"/>
      <w:szCs w:val="20"/>
    </w:rPr>
  </w:style>
  <w:style w:type="paragraph" w:customStyle="1" w:styleId="94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45">
    <w:name w:val="样式6"/>
    <w:basedOn w:val="40"/>
    <w:qFormat/>
    <w:uiPriority w:val="0"/>
    <w:pPr>
      <w:spacing w:line="460" w:lineRule="exact"/>
      <w:outlineLvl w:val="2"/>
    </w:pPr>
    <w:rPr>
      <w:rFonts w:ascii="仿宋_GB2312" w:hAnsi="宋体" w:eastAsia="仿宋_GB2312"/>
      <w:b/>
      <w:bCs/>
      <w:sz w:val="24"/>
      <w:szCs w:val="24"/>
    </w:rPr>
  </w:style>
  <w:style w:type="paragraph" w:customStyle="1" w:styleId="94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47">
    <w:name w:val="默认段落样式"/>
    <w:basedOn w:val="212"/>
    <w:qFormat/>
    <w:uiPriority w:val="0"/>
    <w:pPr>
      <w:spacing w:before="0"/>
      <w:ind w:firstLine="480"/>
      <w:outlineLvl w:val="2"/>
    </w:pPr>
    <w:rPr>
      <w:rFonts w:ascii="仿宋_GB2312" w:hAnsi="宋体" w:eastAsia="仿宋_GB2312"/>
      <w:color w:val="000000"/>
      <w:szCs w:val="24"/>
    </w:rPr>
  </w:style>
  <w:style w:type="paragraph" w:customStyle="1" w:styleId="948">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9">
    <w:name w:val="_Style 5"/>
    <w:basedOn w:val="1"/>
    <w:qFormat/>
    <w:uiPriority w:val="34"/>
    <w:pPr>
      <w:adjustRightInd/>
      <w:ind w:firstLine="420" w:firstLineChars="200"/>
    </w:pPr>
    <w:rPr>
      <w:rFonts w:eastAsia="仿宋_GB2312"/>
      <w:sz w:val="28"/>
    </w:rPr>
  </w:style>
  <w:style w:type="paragraph" w:customStyle="1" w:styleId="950">
    <w:name w:val="正文主体"/>
    <w:basedOn w:val="626"/>
    <w:qFormat/>
    <w:uiPriority w:val="0"/>
  </w:style>
  <w:style w:type="paragraph" w:customStyle="1" w:styleId="951">
    <w:name w:val="Char Char112"/>
    <w:basedOn w:val="1"/>
    <w:qFormat/>
    <w:uiPriority w:val="6"/>
    <w:pPr>
      <w:widowControl/>
      <w:spacing w:after="160" w:line="240" w:lineRule="exact"/>
      <w:jc w:val="left"/>
    </w:pPr>
    <w:rPr>
      <w:rFonts w:eastAsia="仿宋_GB2312"/>
      <w:sz w:val="28"/>
    </w:rPr>
  </w:style>
  <w:style w:type="paragraph" w:customStyle="1" w:styleId="952">
    <w:name w:val="Bulleted List"/>
    <w:basedOn w:val="1"/>
    <w:qFormat/>
    <w:uiPriority w:val="0"/>
    <w:pPr>
      <w:tabs>
        <w:tab w:val="left" w:pos="1260"/>
      </w:tabs>
      <w:adjustRightInd/>
      <w:ind w:left="1260" w:hanging="420"/>
    </w:pPr>
  </w:style>
  <w:style w:type="paragraph" w:customStyle="1" w:styleId="9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9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955">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95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57">
    <w:name w:val="条目2"/>
    <w:basedOn w:val="40"/>
    <w:qFormat/>
    <w:uiPriority w:val="0"/>
    <w:pPr>
      <w:numPr>
        <w:ilvl w:val="0"/>
        <w:numId w:val="5"/>
      </w:numPr>
      <w:tabs>
        <w:tab w:val="left" w:pos="420"/>
      </w:tabs>
      <w:adjustRightInd/>
      <w:spacing w:line="360" w:lineRule="auto"/>
    </w:pPr>
    <w:rPr>
      <w:rFonts w:cs="Courier New"/>
      <w:snapToGrid/>
      <w:color w:val="000000"/>
      <w:sz w:val="24"/>
    </w:rPr>
  </w:style>
  <w:style w:type="paragraph" w:customStyle="1" w:styleId="95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59">
    <w:name w:val="正文表标题"/>
    <w:next w:val="55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960">
    <w:name w:val="RFI abc 1st Level"/>
    <w:basedOn w:val="1"/>
    <w:qFormat/>
    <w:uiPriority w:val="0"/>
    <w:pPr>
      <w:widowControl/>
      <w:numPr>
        <w:ilvl w:val="0"/>
        <w:numId w:val="6"/>
      </w:numPr>
      <w:tabs>
        <w:tab w:val="left" w:pos="1440"/>
      </w:tabs>
      <w:adjustRightInd/>
      <w:ind w:left="1440"/>
    </w:pPr>
    <w:rPr>
      <w:rFonts w:ascii="Arial (W1)" w:hAnsi="Arial (W1)" w:eastAsia="仿宋_GB2312"/>
      <w:kern w:val="0"/>
      <w:sz w:val="24"/>
      <w:szCs w:val="28"/>
      <w:lang w:val="en-GB" w:eastAsia="en-US"/>
    </w:rPr>
  </w:style>
  <w:style w:type="paragraph" w:customStyle="1" w:styleId="96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962">
    <w:name w:val="Normal 1.0"/>
    <w:basedOn w:val="1"/>
    <w:qFormat/>
    <w:uiPriority w:val="0"/>
    <w:pPr>
      <w:keepLines/>
      <w:widowControl/>
      <w:adjustRightInd/>
      <w:spacing w:before="180" w:after="120"/>
      <w:ind w:left="1440"/>
    </w:pPr>
    <w:rPr>
      <w:rFonts w:ascii="仿宋_GB2312" w:eastAsia="仿宋_GB2312"/>
      <w:kern w:val="0"/>
      <w:sz w:val="24"/>
      <w:szCs w:val="28"/>
      <w:lang w:val="en-GB" w:eastAsia="en-US"/>
    </w:rPr>
  </w:style>
  <w:style w:type="paragraph" w:customStyle="1" w:styleId="96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96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966">
    <w:name w:val="彩色列表 - 强调文字颜色 12"/>
    <w:basedOn w:val="1"/>
    <w:qFormat/>
    <w:uiPriority w:val="0"/>
    <w:pPr>
      <w:adjustRightInd/>
      <w:ind w:firstLine="420" w:firstLineChars="200"/>
    </w:pPr>
    <w:rPr>
      <w:rFonts w:ascii="Calibri" w:hAnsi="Calibri"/>
      <w:szCs w:val="22"/>
    </w:rPr>
  </w:style>
  <w:style w:type="paragraph" w:customStyle="1" w:styleId="967">
    <w:name w:val="Char Char Char"/>
    <w:basedOn w:val="1"/>
    <w:qFormat/>
    <w:uiPriority w:val="0"/>
    <w:rPr>
      <w:rFonts w:ascii="Tahoma" w:hAnsi="Tahoma"/>
      <w:sz w:val="24"/>
      <w:szCs w:val="20"/>
    </w:rPr>
  </w:style>
  <w:style w:type="paragraph" w:customStyle="1" w:styleId="968">
    <w:name w:val="Char Char1 Char Char1 Char Char1"/>
    <w:basedOn w:val="1"/>
    <w:qFormat/>
    <w:uiPriority w:val="0"/>
    <w:pPr>
      <w:tabs>
        <w:tab w:val="left" w:pos="840"/>
      </w:tabs>
      <w:ind w:left="840" w:hanging="420"/>
    </w:pPr>
    <w:rPr>
      <w:rFonts w:ascii="Tahoma" w:hAnsi="Tahoma"/>
      <w:sz w:val="24"/>
    </w:rPr>
  </w:style>
  <w:style w:type="paragraph" w:customStyle="1" w:styleId="969">
    <w:name w:val="样式1 + (中宋体"/>
    <w:basedOn w:val="68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970">
    <w:name w:val="修订1"/>
    <w:qFormat/>
    <w:uiPriority w:val="3"/>
    <w:rPr>
      <w:rFonts w:ascii="Times New Roman" w:hAnsi="Times New Roman" w:eastAsia="宋体" w:cs="Times New Roman"/>
      <w:color w:val="000000"/>
      <w:kern w:val="1"/>
      <w:sz w:val="21"/>
      <w:lang w:val="en-US" w:eastAsia="zh-CN" w:bidi="ar-SA"/>
    </w:rPr>
  </w:style>
  <w:style w:type="paragraph" w:customStyle="1" w:styleId="97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7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7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974">
    <w:name w:val="正文（首行缩进）"/>
    <w:basedOn w:val="31"/>
    <w:qFormat/>
    <w:uiPriority w:val="0"/>
    <w:pPr>
      <w:widowControl/>
      <w:tabs>
        <w:tab w:val="left" w:pos="840"/>
      </w:tabs>
      <w:overflowPunct w:val="0"/>
      <w:autoSpaceDE w:val="0"/>
      <w:autoSpaceDN w:val="0"/>
      <w:spacing w:beforeLines="50" w:line="400" w:lineRule="exact"/>
      <w:ind w:left="200" w:firstLine="200" w:firstLineChars="200"/>
      <w:jc w:val="left"/>
      <w:textAlignment w:val="baseline"/>
    </w:pPr>
    <w:rPr>
      <w:spacing w:val="10"/>
      <w:kern w:val="0"/>
      <w:sz w:val="24"/>
      <w:szCs w:val="20"/>
    </w:rPr>
  </w:style>
  <w:style w:type="paragraph" w:customStyle="1" w:styleId="97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97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97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97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979">
    <w:name w:val="1.1 Header2"/>
    <w:basedOn w:val="1"/>
    <w:qFormat/>
    <w:uiPriority w:val="0"/>
    <w:pPr>
      <w:widowControl/>
      <w:adjustRightInd/>
      <w:jc w:val="left"/>
    </w:pPr>
    <w:rPr>
      <w:rFonts w:ascii="宋体" w:hAnsi="宋体" w:eastAsia="仿宋_GB2312"/>
      <w:color w:val="000000"/>
      <w:kern w:val="0"/>
      <w:sz w:val="24"/>
      <w:szCs w:val="21"/>
    </w:rPr>
  </w:style>
  <w:style w:type="paragraph" w:customStyle="1" w:styleId="980">
    <w:name w:val="p0"/>
    <w:basedOn w:val="1"/>
    <w:qFormat/>
    <w:uiPriority w:val="0"/>
    <w:pPr>
      <w:widowControl/>
      <w:adjustRightInd/>
    </w:pPr>
    <w:rPr>
      <w:kern w:val="0"/>
      <w:szCs w:val="21"/>
    </w:rPr>
  </w:style>
  <w:style w:type="paragraph" w:customStyle="1" w:styleId="981">
    <w:name w:val="Char Char Char1 Char2"/>
    <w:basedOn w:val="1"/>
    <w:qFormat/>
    <w:uiPriority w:val="0"/>
    <w:rPr>
      <w:szCs w:val="20"/>
    </w:rPr>
  </w:style>
  <w:style w:type="paragraph" w:customStyle="1" w:styleId="982">
    <w:name w:val="A04"/>
    <w:basedOn w:val="1"/>
    <w:qFormat/>
    <w:uiPriority w:val="0"/>
    <w:pPr>
      <w:tabs>
        <w:tab w:val="left" w:pos="0"/>
      </w:tabs>
      <w:adjustRightInd/>
    </w:pPr>
    <w:rPr>
      <w:szCs w:val="20"/>
    </w:rPr>
  </w:style>
  <w:style w:type="paragraph" w:customStyle="1" w:styleId="983">
    <w:name w:val="单元格左对齐"/>
    <w:basedOn w:val="1"/>
    <w:qFormat/>
    <w:uiPriority w:val="0"/>
    <w:pPr>
      <w:adjustRightInd/>
      <w:spacing w:line="360" w:lineRule="auto"/>
    </w:pPr>
    <w:rPr>
      <w:sz w:val="24"/>
    </w:rPr>
  </w:style>
  <w:style w:type="paragraph" w:customStyle="1" w:styleId="98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985">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986">
    <w:name w:val="Char Char Char Char Char Char Char Char Char Char2"/>
    <w:basedOn w:val="1"/>
    <w:qFormat/>
    <w:uiPriority w:val="0"/>
    <w:rPr>
      <w:rFonts w:ascii="仿宋_GB2312" w:eastAsia="仿宋_GB2312"/>
      <w:b/>
      <w:sz w:val="32"/>
      <w:szCs w:val="32"/>
    </w:rPr>
  </w:style>
  <w:style w:type="paragraph" w:customStyle="1" w:styleId="987">
    <w:name w:val="WPSOffice手动目录 1"/>
    <w:qFormat/>
    <w:uiPriority w:val="0"/>
    <w:rPr>
      <w:rFonts w:ascii="Times New Roman" w:hAnsi="Times New Roman" w:eastAsia="宋体" w:cs="Times New Roman"/>
      <w:lang w:val="en-US" w:eastAsia="zh-CN" w:bidi="ar-SA"/>
    </w:rPr>
  </w:style>
  <w:style w:type="paragraph" w:customStyle="1" w:styleId="988">
    <w:name w:val="xl10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color w:val="FF0000"/>
      <w:kern w:val="0"/>
      <w:sz w:val="24"/>
    </w:rPr>
  </w:style>
  <w:style w:type="paragraph" w:customStyle="1" w:styleId="98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9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99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92">
    <w:name w:val="BodyText"/>
    <w:basedOn w:val="1"/>
    <w:next w:val="1"/>
    <w:qFormat/>
    <w:uiPriority w:val="0"/>
    <w:pPr>
      <w:widowControl/>
      <w:adjustRightInd/>
      <w:spacing w:after="120"/>
      <w:jc w:val="left"/>
    </w:pPr>
    <w:rPr>
      <w:rFonts w:ascii="FuturaA Bk BT" w:hAnsi="FuturaA Bk BT" w:eastAsia="仿宋_GB2312"/>
      <w:kern w:val="0"/>
      <w:sz w:val="20"/>
      <w:szCs w:val="20"/>
    </w:rPr>
  </w:style>
  <w:style w:type="paragraph" w:customStyle="1" w:styleId="993">
    <w:name w:val="正文－恩普"/>
    <w:basedOn w:val="8"/>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99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99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9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997">
    <w:name w:val="Char Char Char Char Char Char Char Char Char Char"/>
    <w:basedOn w:val="1"/>
    <w:qFormat/>
    <w:uiPriority w:val="0"/>
    <w:rPr>
      <w:rFonts w:ascii="仿宋_GB2312" w:eastAsia="仿宋_GB2312"/>
      <w:b/>
      <w:sz w:val="32"/>
      <w:szCs w:val="32"/>
    </w:rPr>
  </w:style>
  <w:style w:type="paragraph" w:customStyle="1" w:styleId="998">
    <w:name w:val="Char Char11 Char Char Char2"/>
    <w:basedOn w:val="1"/>
    <w:qFormat/>
    <w:uiPriority w:val="0"/>
    <w:pPr>
      <w:spacing w:line="360" w:lineRule="auto"/>
    </w:pPr>
    <w:rPr>
      <w:szCs w:val="20"/>
    </w:rPr>
  </w:style>
  <w:style w:type="paragraph" w:customStyle="1" w:styleId="999">
    <w:name w:val="加粗正文"/>
    <w:basedOn w:val="1"/>
    <w:qFormat/>
    <w:uiPriority w:val="0"/>
    <w:pPr>
      <w:adjustRightInd/>
      <w:spacing w:beforeLines="50" w:afterLines="50" w:line="360" w:lineRule="auto"/>
      <w:ind w:firstLine="422" w:firstLineChars="200"/>
    </w:pPr>
    <w:rPr>
      <w:b/>
      <w:bCs/>
      <w:szCs w:val="21"/>
    </w:rPr>
  </w:style>
  <w:style w:type="paragraph" w:customStyle="1" w:styleId="1000">
    <w:name w:val="Char2 Char Char"/>
    <w:basedOn w:val="1"/>
    <w:qFormat/>
    <w:uiPriority w:val="0"/>
    <w:pPr>
      <w:adjustRightInd/>
    </w:pPr>
    <w:rPr>
      <w:rFonts w:ascii="Tahoma" w:hAnsi="Tahoma"/>
      <w:sz w:val="24"/>
      <w:szCs w:val="20"/>
    </w:rPr>
  </w:style>
  <w:style w:type="paragraph" w:customStyle="1" w:styleId="100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00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03">
    <w:name w:val="标题3"/>
    <w:basedOn w:val="7"/>
    <w:next w:val="59"/>
    <w:qFormat/>
    <w:uiPriority w:val="0"/>
    <w:pPr>
      <w:tabs>
        <w:tab w:val="clear" w:pos="900"/>
      </w:tabs>
      <w:spacing w:after="0" w:line="360" w:lineRule="auto"/>
    </w:pPr>
    <w:rPr>
      <w:rFonts w:ascii="仿宋" w:hAnsi="仿宋" w:eastAsia="仿宋" w:cs="仿宋"/>
    </w:rPr>
  </w:style>
  <w:style w:type="paragraph" w:customStyle="1" w:styleId="1004">
    <w:name w:val="Char31"/>
    <w:basedOn w:val="1"/>
    <w:qFormat/>
    <w:uiPriority w:val="0"/>
    <w:pPr>
      <w:adjustRightInd/>
    </w:pPr>
    <w:rPr>
      <w:rFonts w:ascii="仿宋_GB2312" w:eastAsia="仿宋_GB2312"/>
      <w:b/>
      <w:sz w:val="32"/>
      <w:szCs w:val="32"/>
    </w:rPr>
  </w:style>
  <w:style w:type="paragraph" w:customStyle="1" w:styleId="1005">
    <w:name w:val="RFI Heading 1st Level"/>
    <w:basedOn w:val="1"/>
    <w:qFormat/>
    <w:uiPriority w:val="0"/>
    <w:pPr>
      <w:widowControl/>
      <w:adjustRightInd/>
      <w:spacing w:before="120" w:after="240"/>
      <w:jc w:val="left"/>
    </w:pPr>
    <w:rPr>
      <w:rFonts w:ascii="Arial (W1)" w:hAnsi="Arial (W1)" w:eastAsia="仿宋_GB2312"/>
      <w:b/>
      <w:bCs/>
      <w:color w:val="0000FF"/>
      <w:kern w:val="0"/>
      <w:sz w:val="32"/>
      <w:szCs w:val="28"/>
      <w:lang w:val="en-GB"/>
    </w:rPr>
  </w:style>
  <w:style w:type="paragraph" w:customStyle="1" w:styleId="100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1007">
    <w:name w:val="正文 首行缩进:  2 字符 Char"/>
    <w:basedOn w:val="1"/>
    <w:qFormat/>
    <w:uiPriority w:val="0"/>
    <w:pPr>
      <w:adjustRightInd/>
      <w:spacing w:line="360" w:lineRule="auto"/>
      <w:ind w:firstLine="480"/>
    </w:pPr>
    <w:rPr>
      <w:rFonts w:cs="宋体"/>
      <w:sz w:val="24"/>
      <w:szCs w:val="20"/>
    </w:rPr>
  </w:style>
  <w:style w:type="paragraph" w:customStyle="1" w:styleId="1008">
    <w:name w:val="xl96"/>
    <w:basedOn w:val="1"/>
    <w:qFormat/>
    <w:uiPriority w:val="0"/>
    <w:pPr>
      <w:widowControl/>
      <w:pBdr>
        <w:left w:val="single" w:color="auto" w:sz="4" w:space="0"/>
      </w:pBdr>
      <w:adjustRightInd/>
      <w:spacing w:before="100" w:beforeAutospacing="1" w:after="100" w:afterAutospacing="1"/>
      <w:jc w:val="center"/>
    </w:pPr>
    <w:rPr>
      <w:rFonts w:ascii="宋体" w:hAnsi="宋体" w:cs="宋体"/>
      <w:kern w:val="0"/>
      <w:sz w:val="24"/>
    </w:rPr>
  </w:style>
  <w:style w:type="paragraph" w:customStyle="1" w:styleId="1009">
    <w:name w:val="Char Char11 Char Char Char Char Char Char Char Char Char"/>
    <w:basedOn w:val="1"/>
    <w:qFormat/>
    <w:uiPriority w:val="0"/>
    <w:pPr>
      <w:spacing w:line="360" w:lineRule="auto"/>
    </w:pPr>
    <w:rPr>
      <w:szCs w:val="20"/>
    </w:rPr>
  </w:style>
  <w:style w:type="paragraph" w:customStyle="1" w:styleId="101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1011">
    <w:name w:val="Char311"/>
    <w:basedOn w:val="1"/>
    <w:qFormat/>
    <w:uiPriority w:val="0"/>
    <w:pPr>
      <w:adjustRightInd/>
      <w:ind w:firstLine="200" w:firstLineChars="200"/>
    </w:pPr>
    <w:rPr>
      <w:rFonts w:ascii="Tahoma" w:hAnsi="Tahoma"/>
      <w:sz w:val="24"/>
      <w:szCs w:val="20"/>
    </w:rPr>
  </w:style>
  <w:style w:type="paragraph" w:customStyle="1" w:styleId="101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013">
    <w:name w:val="Char Char1 Char Char Char2"/>
    <w:basedOn w:val="1"/>
    <w:qFormat/>
    <w:uiPriority w:val="0"/>
    <w:rPr>
      <w:rFonts w:ascii="仿宋_GB2312" w:eastAsia="仿宋_GB2312"/>
      <w:b/>
      <w:sz w:val="32"/>
      <w:szCs w:val="32"/>
    </w:rPr>
  </w:style>
  <w:style w:type="paragraph" w:customStyle="1" w:styleId="101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1015">
    <w:name w:val="Char Char Char Char Char Char Char Char1 Char1"/>
    <w:basedOn w:val="1"/>
    <w:qFormat/>
    <w:uiPriority w:val="0"/>
    <w:pPr>
      <w:adjustRightInd/>
    </w:pPr>
    <w:rPr>
      <w:rFonts w:ascii="仿宋_GB2312" w:eastAsia="仿宋_GB2312"/>
      <w:sz w:val="28"/>
      <w:szCs w:val="20"/>
    </w:rPr>
  </w:style>
  <w:style w:type="paragraph" w:customStyle="1" w:styleId="1016">
    <w:name w:val="正文1.25"/>
    <w:basedOn w:val="1"/>
    <w:qFormat/>
    <w:uiPriority w:val="0"/>
    <w:pPr>
      <w:adjustRightInd/>
      <w:spacing w:line="300" w:lineRule="auto"/>
      <w:ind w:firstLine="480" w:firstLineChars="200"/>
    </w:pPr>
    <w:rPr>
      <w:sz w:val="24"/>
      <w:szCs w:val="20"/>
    </w:rPr>
  </w:style>
  <w:style w:type="paragraph" w:customStyle="1" w:styleId="1017">
    <w:name w:val="Char Char1 Char Char"/>
    <w:basedOn w:val="1"/>
    <w:qFormat/>
    <w:uiPriority w:val="0"/>
    <w:pPr>
      <w:adjustRightInd/>
    </w:pPr>
    <w:rPr>
      <w:rFonts w:ascii="仿宋_GB2312" w:eastAsia="仿宋_GB2312"/>
      <w:sz w:val="28"/>
      <w:szCs w:val="28"/>
    </w:rPr>
  </w:style>
  <w:style w:type="paragraph" w:customStyle="1" w:styleId="1018">
    <w:name w:val="列表内容"/>
    <w:basedOn w:val="1"/>
    <w:next w:val="1"/>
    <w:qFormat/>
    <w:uiPriority w:val="0"/>
    <w:pPr>
      <w:widowControl/>
      <w:tabs>
        <w:tab w:val="left" w:pos="840"/>
      </w:tabs>
      <w:ind w:left="840" w:hanging="420"/>
      <w:jc w:val="left"/>
    </w:pPr>
    <w:rPr>
      <w:kern w:val="0"/>
      <w:sz w:val="18"/>
    </w:rPr>
  </w:style>
  <w:style w:type="paragraph" w:customStyle="1" w:styleId="1019">
    <w:name w:val="Char3"/>
    <w:basedOn w:val="1"/>
    <w:qFormat/>
    <w:uiPriority w:val="0"/>
    <w:pPr>
      <w:adjustRightInd/>
    </w:pPr>
    <w:rPr>
      <w:rFonts w:ascii="仿宋_GB2312" w:eastAsia="仿宋_GB2312"/>
      <w:b/>
      <w:sz w:val="32"/>
      <w:szCs w:val="32"/>
    </w:rPr>
  </w:style>
  <w:style w:type="paragraph" w:customStyle="1" w:styleId="1020">
    <w:name w:val="标准小四"/>
    <w:basedOn w:val="1"/>
    <w:qFormat/>
    <w:uiPriority w:val="0"/>
    <w:pPr>
      <w:spacing w:line="360" w:lineRule="auto"/>
      <w:ind w:firstLine="480" w:firstLineChars="200"/>
    </w:pPr>
    <w:rPr>
      <w:rFonts w:ascii="Arial" w:hAnsi="Arial"/>
      <w:sz w:val="24"/>
      <w:szCs w:val="21"/>
    </w:rPr>
  </w:style>
  <w:style w:type="paragraph" w:customStyle="1" w:styleId="1021">
    <w:name w:val="Char2"/>
    <w:basedOn w:val="1"/>
    <w:qFormat/>
    <w:uiPriority w:val="0"/>
    <w:rPr>
      <w:rFonts w:ascii="仿宋_GB2312" w:eastAsia="仿宋_GB2312"/>
      <w:b/>
      <w:sz w:val="32"/>
      <w:szCs w:val="32"/>
    </w:rPr>
  </w:style>
  <w:style w:type="paragraph" w:customStyle="1" w:styleId="10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2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1024">
    <w:name w:val="Char6"/>
    <w:basedOn w:val="1"/>
    <w:qFormat/>
    <w:uiPriority w:val="0"/>
    <w:rPr>
      <w:rFonts w:ascii="仿宋_GB2312" w:eastAsia="仿宋_GB2312"/>
      <w:b/>
      <w:sz w:val="32"/>
      <w:szCs w:val="32"/>
    </w:rPr>
  </w:style>
  <w:style w:type="paragraph" w:customStyle="1" w:styleId="1025">
    <w:name w:val="Char1 Char Char Char21"/>
    <w:basedOn w:val="1"/>
    <w:qFormat/>
    <w:uiPriority w:val="0"/>
    <w:rPr>
      <w:rFonts w:ascii="Tahoma" w:hAnsi="Tahoma"/>
      <w:sz w:val="24"/>
      <w:szCs w:val="20"/>
    </w:rPr>
  </w:style>
  <w:style w:type="paragraph" w:customStyle="1" w:styleId="1026">
    <w:name w:val="xl105"/>
    <w:basedOn w:val="1"/>
    <w:qFormat/>
    <w:uiPriority w:val="0"/>
    <w:pPr>
      <w:widowControl/>
      <w:pBdr>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1027">
    <w:name w:val="a1"/>
    <w:basedOn w:val="1"/>
    <w:qFormat/>
    <w:uiPriority w:val="0"/>
    <w:pPr>
      <w:widowControl/>
      <w:spacing w:line="300" w:lineRule="atLeast"/>
      <w:jc w:val="left"/>
    </w:pPr>
    <w:rPr>
      <w:rFonts w:ascii="宋体" w:hAnsi="宋体"/>
      <w:kern w:val="0"/>
      <w:sz w:val="18"/>
      <w:szCs w:val="20"/>
    </w:rPr>
  </w:style>
  <w:style w:type="paragraph" w:customStyle="1" w:styleId="1028">
    <w:name w:val="表格项目符号 2"/>
    <w:basedOn w:val="35"/>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1029">
    <w:name w:val="正文（首行缩进2字符）"/>
    <w:basedOn w:val="1"/>
    <w:qFormat/>
    <w:uiPriority w:val="0"/>
    <w:pPr>
      <w:adjustRightInd/>
      <w:spacing w:line="360" w:lineRule="auto"/>
      <w:ind w:firstLine="480" w:firstLineChars="200"/>
    </w:pPr>
    <w:rPr>
      <w:sz w:val="24"/>
      <w:szCs w:val="20"/>
    </w:rPr>
  </w:style>
  <w:style w:type="paragraph" w:customStyle="1" w:styleId="103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1031">
    <w:name w:val="正文21"/>
    <w:basedOn w:val="1"/>
    <w:qFormat/>
    <w:uiPriority w:val="0"/>
    <w:pPr>
      <w:adjustRightInd/>
      <w:spacing w:before="156" w:line="360" w:lineRule="auto"/>
      <w:ind w:firstLine="510" w:firstLineChars="200"/>
    </w:pPr>
    <w:rPr>
      <w:sz w:val="24"/>
      <w:szCs w:val="20"/>
    </w:rPr>
  </w:style>
  <w:style w:type="paragraph" w:customStyle="1" w:styleId="1032">
    <w:name w:val="表格（小）"/>
    <w:basedOn w:val="1"/>
    <w:qFormat/>
    <w:uiPriority w:val="0"/>
    <w:pPr>
      <w:adjustRightInd/>
      <w:snapToGrid w:val="0"/>
      <w:spacing w:line="300" w:lineRule="auto"/>
    </w:pPr>
    <w:rPr>
      <w:rFonts w:eastAsia="仿宋"/>
      <w:szCs w:val="21"/>
    </w:rPr>
  </w:style>
  <w:style w:type="paragraph" w:customStyle="1" w:styleId="1033">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034">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035">
    <w:name w:val="Reset levels"/>
    <w:basedOn w:val="1"/>
    <w:qFormat/>
    <w:uiPriority w:val="0"/>
    <w:pPr>
      <w:widowControl/>
      <w:adjustRightInd/>
      <w:ind w:left="420" w:hanging="420"/>
      <w:jc w:val="left"/>
    </w:pPr>
    <w:rPr>
      <w:rFonts w:ascii="Arial" w:hAnsi="Arial" w:eastAsia="仿宋_GB2312"/>
      <w:b/>
      <w:kern w:val="0"/>
      <w:sz w:val="24"/>
      <w:szCs w:val="20"/>
      <w:lang w:eastAsia="en-US"/>
    </w:rPr>
  </w:style>
  <w:style w:type="paragraph" w:customStyle="1" w:styleId="1036">
    <w:name w:val="Style Heading 3 + Line spacing:  1.5 lines"/>
    <w:basedOn w:val="7"/>
    <w:qFormat/>
    <w:uiPriority w:val="0"/>
    <w:pPr>
      <w:keepLines w:val="0"/>
      <w:widowControl/>
      <w:numPr>
        <w:ilvl w:val="2"/>
        <w:numId w:val="7"/>
      </w:numPr>
      <w:tabs>
        <w:tab w:val="left" w:pos="1152"/>
        <w:tab w:val="left" w:pos="1680"/>
        <w:tab w:val="clear" w:pos="900"/>
      </w:tabs>
      <w:adjustRightInd/>
      <w:spacing w:before="0" w:after="0" w:line="360" w:lineRule="auto"/>
      <w:ind w:left="236" w:leftChars="236"/>
    </w:pPr>
    <w:rPr>
      <w:rFonts w:ascii="仿宋_GB2312" w:eastAsia="黑体"/>
      <w:sz w:val="28"/>
      <w:szCs w:val="28"/>
    </w:rPr>
  </w:style>
  <w:style w:type="paragraph" w:customStyle="1" w:styleId="1037">
    <w:name w:val="Char Char1 Char"/>
    <w:basedOn w:val="1"/>
    <w:qFormat/>
    <w:uiPriority w:val="0"/>
    <w:rPr>
      <w:rFonts w:ascii="仿宋_GB2312" w:eastAsia="仿宋_GB2312"/>
      <w:b/>
      <w:sz w:val="32"/>
      <w:szCs w:val="32"/>
    </w:rPr>
  </w:style>
  <w:style w:type="paragraph" w:customStyle="1" w:styleId="1038">
    <w:name w:val="xl10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103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104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1041">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1042">
    <w:name w:val="Char1 Char Char Char5"/>
    <w:basedOn w:val="1"/>
    <w:qFormat/>
    <w:uiPriority w:val="0"/>
    <w:pPr>
      <w:adjustRightInd/>
      <w:ind w:firstLine="200" w:firstLineChars="200"/>
    </w:pPr>
    <w:rPr>
      <w:rFonts w:ascii="Tahoma" w:hAnsi="Tahoma"/>
      <w:sz w:val="24"/>
      <w:szCs w:val="20"/>
    </w:rPr>
  </w:style>
  <w:style w:type="paragraph" w:customStyle="1" w:styleId="1043">
    <w:name w:val="_Style 8"/>
    <w:basedOn w:val="1"/>
    <w:qFormat/>
    <w:uiPriority w:val="34"/>
    <w:pPr>
      <w:adjustRightInd/>
      <w:ind w:firstLine="420" w:firstLineChars="200"/>
    </w:pPr>
    <w:rPr>
      <w:rFonts w:eastAsia="仿宋_GB2312"/>
      <w:sz w:val="28"/>
    </w:rPr>
  </w:style>
  <w:style w:type="paragraph" w:customStyle="1" w:styleId="1044">
    <w:name w:val="Char Char Char Char11"/>
    <w:basedOn w:val="1"/>
    <w:qFormat/>
    <w:uiPriority w:val="0"/>
    <w:rPr>
      <w:rFonts w:ascii="Tahoma" w:hAnsi="Tahoma"/>
      <w:sz w:val="24"/>
      <w:szCs w:val="20"/>
    </w:rPr>
  </w:style>
  <w:style w:type="paragraph" w:customStyle="1" w:styleId="1045">
    <w:name w:val="Style Heading 3 + 11 pt Line spacing:  1.5 lines"/>
    <w:basedOn w:val="7"/>
    <w:qFormat/>
    <w:uiPriority w:val="0"/>
    <w:pPr>
      <w:keepLines w:val="0"/>
      <w:widowControl/>
      <w:tabs>
        <w:tab w:val="left" w:pos="1260"/>
        <w:tab w:val="clear" w:pos="900"/>
      </w:tabs>
      <w:adjustRightInd/>
      <w:spacing w:before="0" w:after="0" w:line="360" w:lineRule="auto"/>
      <w:ind w:left="236" w:leftChars="236" w:firstLine="0"/>
    </w:pPr>
    <w:rPr>
      <w:rFonts w:ascii="仿宋_GB2312" w:eastAsia="黑体"/>
      <w:b w:val="0"/>
      <w:sz w:val="28"/>
      <w:szCs w:val="28"/>
    </w:rPr>
  </w:style>
  <w:style w:type="paragraph" w:customStyle="1" w:styleId="10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1047">
    <w:name w:val="WW-正文文字缩进 2"/>
    <w:basedOn w:val="1"/>
    <w:qFormat/>
    <w:uiPriority w:val="0"/>
    <w:pPr>
      <w:suppressAutoHyphens/>
      <w:adjustRightInd/>
      <w:ind w:firstLine="420"/>
    </w:pPr>
    <w:rPr>
      <w:kern w:val="1"/>
      <w:szCs w:val="20"/>
    </w:rPr>
  </w:style>
  <w:style w:type="paragraph" w:customStyle="1" w:styleId="1048">
    <w:name w:val="样式7"/>
    <w:basedOn w:val="867"/>
    <w:next w:val="1"/>
    <w:qFormat/>
    <w:uiPriority w:val="0"/>
    <w:pPr>
      <w:spacing w:afterLines="50"/>
      <w:jc w:val="left"/>
      <w:outlineLvl w:val="3"/>
    </w:pPr>
    <w:rPr>
      <w:sz w:val="24"/>
      <w:szCs w:val="24"/>
    </w:rPr>
  </w:style>
  <w:style w:type="paragraph" w:customStyle="1" w:styleId="104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1050">
    <w:name w:val="图"/>
    <w:basedOn w:val="1"/>
    <w:qFormat/>
    <w:uiPriority w:val="0"/>
    <w:pPr>
      <w:keepNext/>
      <w:spacing w:before="60" w:after="60" w:line="300" w:lineRule="auto"/>
      <w:jc w:val="center"/>
      <w:textAlignment w:val="center"/>
    </w:pPr>
    <w:rPr>
      <w:rFonts w:ascii="仿宋_GB2312" w:eastAsia="仿宋_GB2312"/>
      <w:snapToGrid w:val="0"/>
      <w:spacing w:val="20"/>
      <w:kern w:val="0"/>
      <w:sz w:val="24"/>
      <w:szCs w:val="20"/>
    </w:rPr>
  </w:style>
  <w:style w:type="paragraph" w:customStyle="1" w:styleId="1051">
    <w:name w:val="正文（标题三）"/>
    <w:basedOn w:val="1"/>
    <w:qFormat/>
    <w:uiPriority w:val="0"/>
    <w:pPr>
      <w:spacing w:line="360" w:lineRule="auto"/>
      <w:ind w:firstLine="200" w:firstLineChars="200"/>
    </w:pPr>
    <w:rPr>
      <w:sz w:val="24"/>
    </w:rPr>
  </w:style>
  <w:style w:type="paragraph" w:customStyle="1" w:styleId="105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10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1054">
    <w:name w:val="Char1 Char Char Char3"/>
    <w:basedOn w:val="1"/>
    <w:qFormat/>
    <w:uiPriority w:val="0"/>
    <w:pPr>
      <w:adjustRightInd/>
      <w:ind w:firstLine="200" w:firstLineChars="200"/>
    </w:pPr>
    <w:rPr>
      <w:rFonts w:ascii="Tahoma" w:hAnsi="Tahoma"/>
      <w:sz w:val="24"/>
      <w:szCs w:val="20"/>
    </w:rPr>
  </w:style>
  <w:style w:type="paragraph" w:customStyle="1" w:styleId="105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1056">
    <w:name w:val="默认段落字体 Para Char Char Char Char"/>
    <w:basedOn w:val="1"/>
    <w:qFormat/>
    <w:uiPriority w:val="0"/>
    <w:pPr>
      <w:spacing w:line="360" w:lineRule="auto"/>
    </w:pPr>
    <w:rPr>
      <w:szCs w:val="20"/>
    </w:rPr>
  </w:style>
  <w:style w:type="paragraph" w:customStyle="1" w:styleId="105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0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0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1060">
    <w:name w:val="www正文"/>
    <w:basedOn w:val="1"/>
    <w:qFormat/>
    <w:uiPriority w:val="0"/>
    <w:pPr>
      <w:adjustRightInd/>
      <w:ind w:firstLine="480" w:firstLineChars="200"/>
    </w:pPr>
    <w:rPr>
      <w:rFonts w:ascii="仿宋_GB2312" w:eastAsia="仿宋_GB2312"/>
      <w:sz w:val="24"/>
      <w:szCs w:val="28"/>
    </w:rPr>
  </w:style>
  <w:style w:type="paragraph" w:customStyle="1" w:styleId="1061">
    <w:name w:val="RFI List 2"/>
    <w:basedOn w:val="869"/>
    <w:qFormat/>
    <w:uiPriority w:val="0"/>
    <w:pPr>
      <w:numPr>
        <w:ilvl w:val="0"/>
        <w:numId w:val="8"/>
      </w:numPr>
    </w:pPr>
    <w:rPr>
      <w:rFonts w:eastAsia="Times New Roman"/>
      <w:b w:val="0"/>
      <w:bCs/>
    </w:rPr>
  </w:style>
  <w:style w:type="paragraph" w:customStyle="1" w:styleId="1062">
    <w:name w:val="trademark"/>
    <w:qFormat/>
    <w:uiPriority w:val="0"/>
    <w:pPr>
      <w:spacing w:after="60"/>
    </w:pPr>
    <w:rPr>
      <w:rFonts w:ascii="Futura Bk" w:hAnsi="Futura Bk" w:eastAsia="宋体" w:cs="Times New Roman"/>
      <w:sz w:val="15"/>
      <w:lang w:val="en-US" w:eastAsia="en-US" w:bidi="ar-SA"/>
    </w:rPr>
  </w:style>
  <w:style w:type="paragraph" w:customStyle="1" w:styleId="1063">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106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06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1066">
    <w:name w:val="注释"/>
    <w:basedOn w:val="1"/>
    <w:qFormat/>
    <w:uiPriority w:val="0"/>
    <w:pPr>
      <w:adjustRightInd/>
      <w:spacing w:line="360" w:lineRule="auto"/>
      <w:ind w:firstLine="480"/>
    </w:pPr>
    <w:rPr>
      <w:sz w:val="24"/>
    </w:rPr>
  </w:style>
  <w:style w:type="paragraph" w:customStyle="1" w:styleId="106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06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106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107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1071">
    <w:name w:val="1.1.1.1Heading3"/>
    <w:basedOn w:val="7"/>
    <w:qFormat/>
    <w:uiPriority w:val="0"/>
    <w:pPr>
      <w:keepLines w:val="0"/>
      <w:widowControl/>
      <w:tabs>
        <w:tab w:val="left" w:pos="2292"/>
        <w:tab w:val="clear" w:pos="900"/>
      </w:tabs>
      <w:adjustRightInd/>
      <w:spacing w:before="120" w:after="120" w:line="240" w:lineRule="auto"/>
      <w:ind w:left="2292" w:leftChars="236" w:right="-156" w:hanging="420"/>
      <w:jc w:val="left"/>
    </w:pPr>
    <w:rPr>
      <w:rFonts w:ascii="Arial" w:hAnsi="Arial" w:eastAsia="黑体" w:cs="Arial"/>
      <w:b w:val="0"/>
      <w:sz w:val="24"/>
      <w:szCs w:val="16"/>
    </w:rPr>
  </w:style>
  <w:style w:type="paragraph" w:customStyle="1" w:styleId="107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073">
    <w:name w:val="xl9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color w:val="FF0000"/>
      <w:kern w:val="0"/>
      <w:sz w:val="24"/>
    </w:rPr>
  </w:style>
  <w:style w:type="paragraph" w:customStyle="1" w:styleId="1074">
    <w:name w:val="Char Char110"/>
    <w:basedOn w:val="1"/>
    <w:qFormat/>
    <w:uiPriority w:val="6"/>
    <w:pPr>
      <w:spacing w:line="360" w:lineRule="auto"/>
    </w:pPr>
    <w:rPr>
      <w:rFonts w:ascii="Tahoma" w:hAnsi="Tahoma"/>
      <w:sz w:val="24"/>
      <w:szCs w:val="20"/>
    </w:rPr>
  </w:style>
  <w:style w:type="paragraph" w:customStyle="1" w:styleId="107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076">
    <w:name w:val="Tabletext"/>
    <w:basedOn w:val="1"/>
    <w:qFormat/>
    <w:uiPriority w:val="0"/>
    <w:pPr>
      <w:keepLines/>
      <w:adjustRightInd/>
      <w:spacing w:after="120" w:line="240" w:lineRule="atLeast"/>
      <w:jc w:val="left"/>
    </w:pPr>
    <w:rPr>
      <w:rFonts w:ascii="仿宋_GB2312" w:eastAsia="仿宋_GB2312"/>
      <w:kern w:val="0"/>
      <w:sz w:val="24"/>
      <w:szCs w:val="20"/>
      <w:lang w:eastAsia="en-US"/>
    </w:rPr>
  </w:style>
  <w:style w:type="paragraph" w:customStyle="1" w:styleId="107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1078">
    <w:name w:val="_Style 947"/>
    <w:basedOn w:val="1"/>
    <w:next w:val="151"/>
    <w:qFormat/>
    <w:uiPriority w:val="34"/>
    <w:pPr>
      <w:adjustRightInd/>
      <w:ind w:firstLine="420" w:firstLineChars="200"/>
    </w:pPr>
  </w:style>
  <w:style w:type="paragraph" w:customStyle="1" w:styleId="10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0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108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1082">
    <w:name w:val="数字标题4"/>
    <w:basedOn w:val="9"/>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1083">
    <w:name w:val="4"/>
    <w:basedOn w:val="1"/>
    <w:next w:val="45"/>
    <w:qFormat/>
    <w:uiPriority w:val="0"/>
    <w:pPr>
      <w:spacing w:after="120" w:line="480" w:lineRule="auto"/>
      <w:ind w:left="420" w:leftChars="200"/>
    </w:pPr>
    <w:rPr>
      <w:sz w:val="24"/>
      <w:szCs w:val="20"/>
    </w:rPr>
  </w:style>
  <w:style w:type="paragraph" w:customStyle="1" w:styleId="1084">
    <w:name w:val="正文（缩进）"/>
    <w:basedOn w:val="1"/>
    <w:qFormat/>
    <w:uiPriority w:val="0"/>
    <w:pPr>
      <w:adjustRightInd/>
      <w:spacing w:beforeLines="50" w:afterLines="50" w:line="360" w:lineRule="auto"/>
      <w:ind w:firstLine="480" w:firstLineChars="200"/>
    </w:pPr>
    <w:rPr>
      <w:rFonts w:ascii="仿宋_GB2312" w:eastAsia="仿宋_GB2312"/>
      <w:sz w:val="24"/>
      <w:szCs w:val="28"/>
    </w:rPr>
  </w:style>
  <w:style w:type="paragraph" w:customStyle="1" w:styleId="1085">
    <w:name w:val="正文文字 2"/>
    <w:basedOn w:val="481"/>
    <w:next w:val="481"/>
    <w:qFormat/>
    <w:uiPriority w:val="0"/>
    <w:rPr>
      <w:rFonts w:ascii="宋体" w:eastAsia="宋体" w:cs="Times New Roman"/>
      <w:color w:val="auto"/>
    </w:rPr>
  </w:style>
  <w:style w:type="paragraph" w:customStyle="1" w:styleId="108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10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088">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108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090">
    <w:name w:val="带编号样式"/>
    <w:basedOn w:val="539"/>
    <w:qFormat/>
    <w:uiPriority w:val="0"/>
    <w:pPr>
      <w:tabs>
        <w:tab w:val="left" w:pos="840"/>
      </w:tabs>
      <w:snapToGrid w:val="0"/>
      <w:ind w:left="840" w:hanging="420" w:firstLineChars="0"/>
    </w:pPr>
    <w:rPr>
      <w:rFonts w:ascii="仿宋_GB2312" w:eastAsia="仿宋_GB2312"/>
      <w:color w:val="000000"/>
    </w:rPr>
  </w:style>
  <w:style w:type="paragraph" w:customStyle="1" w:styleId="109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1092">
    <w:name w:val="Char Char11 Char Char Char Char Char Char Char Char Char1"/>
    <w:basedOn w:val="1"/>
    <w:qFormat/>
    <w:uiPriority w:val="6"/>
    <w:pPr>
      <w:spacing w:line="360" w:lineRule="auto"/>
    </w:pPr>
    <w:rPr>
      <w:szCs w:val="20"/>
    </w:rPr>
  </w:style>
  <w:style w:type="paragraph" w:customStyle="1" w:styleId="109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0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09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1096">
    <w:name w:val="xl104"/>
    <w:basedOn w:val="1"/>
    <w:qFormat/>
    <w:uiPriority w:val="0"/>
    <w:pPr>
      <w:widowControl/>
      <w:pBdr>
        <w:bottom w:val="single" w:color="auto" w:sz="4" w:space="0"/>
      </w:pBdr>
      <w:adjustRightInd/>
      <w:spacing w:before="100" w:beforeAutospacing="1" w:after="100" w:afterAutospacing="1"/>
      <w:jc w:val="left"/>
    </w:pPr>
    <w:rPr>
      <w:rFonts w:ascii="宋体" w:hAnsi="宋体" w:cs="宋体"/>
      <w:kern w:val="0"/>
      <w:sz w:val="24"/>
    </w:rPr>
  </w:style>
  <w:style w:type="paragraph" w:customStyle="1" w:styleId="1097">
    <w:name w:val="Char Char Char Char Char Char Char2"/>
    <w:basedOn w:val="1"/>
    <w:qFormat/>
    <w:uiPriority w:val="0"/>
    <w:rPr>
      <w:rFonts w:ascii="仿宋_GB2312" w:eastAsia="仿宋_GB2312"/>
      <w:b/>
      <w:sz w:val="32"/>
      <w:szCs w:val="32"/>
    </w:rPr>
  </w:style>
  <w:style w:type="paragraph" w:customStyle="1" w:styleId="1098">
    <w:name w:val="有符号正文"/>
    <w:basedOn w:val="1"/>
    <w:qFormat/>
    <w:uiPriority w:val="0"/>
    <w:pPr>
      <w:adjustRightInd/>
      <w:spacing w:line="400" w:lineRule="exact"/>
      <w:ind w:firstLine="200" w:firstLineChars="200"/>
    </w:pPr>
    <w:rPr>
      <w:rFonts w:ascii="Arial" w:hAnsi="Arial"/>
    </w:rPr>
  </w:style>
  <w:style w:type="paragraph" w:customStyle="1" w:styleId="1099">
    <w:name w:val="Char23"/>
    <w:basedOn w:val="1"/>
    <w:qFormat/>
    <w:uiPriority w:val="0"/>
    <w:rPr>
      <w:rFonts w:ascii="仿宋_GB2312" w:eastAsia="仿宋_GB2312"/>
      <w:b/>
      <w:sz w:val="32"/>
      <w:szCs w:val="32"/>
    </w:rPr>
  </w:style>
  <w:style w:type="paragraph" w:customStyle="1" w:styleId="110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110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02">
    <w:name w:val="样式 正文文本缩进 2 + 仿宋_GB2312 黑色 行距: 1.5 倍行距"/>
    <w:basedOn w:val="45"/>
    <w:qFormat/>
    <w:uiPriority w:val="0"/>
    <w:pPr>
      <w:adjustRightInd/>
      <w:ind w:firstLine="560" w:firstLineChars="200"/>
      <w:textAlignment w:val="auto"/>
    </w:pPr>
    <w:rPr>
      <w:rFonts w:hAnsi="宋体" w:cs="宋体"/>
      <w:color w:val="000000"/>
      <w:sz w:val="24"/>
    </w:rPr>
  </w:style>
  <w:style w:type="paragraph" w:customStyle="1" w:styleId="110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104">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105">
    <w:name w:val="xl102"/>
    <w:basedOn w:val="1"/>
    <w:qFormat/>
    <w:uiPriority w:val="0"/>
    <w:pPr>
      <w:widowControl/>
      <w:pBdr>
        <w:top w:val="single" w:color="auto" w:sz="4" w:space="0"/>
        <w:bottom w:val="single" w:color="auto" w:sz="4" w:space="0"/>
      </w:pBdr>
      <w:adjustRightInd/>
      <w:spacing w:before="100" w:beforeAutospacing="1" w:after="100" w:afterAutospacing="1"/>
      <w:jc w:val="center"/>
    </w:pPr>
    <w:rPr>
      <w:rFonts w:ascii="宋体" w:hAnsi="宋体" w:cs="宋体"/>
      <w:kern w:val="0"/>
      <w:sz w:val="24"/>
    </w:rPr>
  </w:style>
  <w:style w:type="paragraph" w:customStyle="1" w:styleId="1106">
    <w:name w:val="Char2 Char Char Char"/>
    <w:basedOn w:val="1"/>
    <w:qFormat/>
    <w:uiPriority w:val="0"/>
    <w:rPr>
      <w:rFonts w:ascii="仿宋_GB2312" w:eastAsia="仿宋_GB2312"/>
      <w:b/>
      <w:sz w:val="32"/>
      <w:szCs w:val="32"/>
    </w:rPr>
  </w:style>
  <w:style w:type="paragraph" w:customStyle="1" w:styleId="1107">
    <w:name w:val="Char Char Char Char Char Char Char Char Char Char Char1 Char"/>
    <w:basedOn w:val="1"/>
    <w:qFormat/>
    <w:uiPriority w:val="0"/>
    <w:pPr>
      <w:adjustRightInd/>
    </w:pPr>
    <w:rPr>
      <w:rFonts w:ascii="Tahoma" w:hAnsi="Tahoma"/>
      <w:sz w:val="24"/>
    </w:rPr>
  </w:style>
  <w:style w:type="paragraph" w:customStyle="1" w:styleId="110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10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110">
    <w:name w:val="Char Char11 Char Char Char Char Char Char Char Char Char11"/>
    <w:basedOn w:val="1"/>
    <w:qFormat/>
    <w:uiPriority w:val="0"/>
    <w:pPr>
      <w:spacing w:line="360" w:lineRule="auto"/>
    </w:pPr>
    <w:rPr>
      <w:szCs w:val="20"/>
    </w:rPr>
  </w:style>
  <w:style w:type="paragraph" w:customStyle="1" w:styleId="111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111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1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1114">
    <w:name w:val="样式 正文文本缩进 + 左侧:  2 字符 首行缩进:  2 字符"/>
    <w:basedOn w:val="31"/>
    <w:qFormat/>
    <w:uiPriority w:val="0"/>
    <w:pPr>
      <w:tabs>
        <w:tab w:val="left" w:pos="360"/>
        <w:tab w:val="left" w:pos="540"/>
      </w:tabs>
      <w:adjustRightInd/>
      <w:spacing w:after="0" w:line="520" w:lineRule="exact"/>
      <w:ind w:left="200" w:leftChars="0" w:firstLine="560" w:firstLineChars="200"/>
    </w:pPr>
    <w:rPr>
      <w:rFonts w:ascii="仿宋_GB2312" w:eastAsia="仿宋_GB2312"/>
      <w:sz w:val="28"/>
      <w:szCs w:val="20"/>
    </w:rPr>
  </w:style>
  <w:style w:type="paragraph" w:customStyle="1" w:styleId="1115">
    <w:name w:val="A标题2.3"/>
    <w:basedOn w:val="6"/>
    <w:qFormat/>
    <w:uiPriority w:val="0"/>
    <w:pPr>
      <w:tabs>
        <w:tab w:val="left" w:pos="709"/>
        <w:tab w:val="clear" w:pos="432"/>
      </w:tabs>
      <w:autoSpaceDE w:val="0"/>
      <w:autoSpaceDN w:val="0"/>
      <w:adjustRightInd w:val="0"/>
      <w:snapToGrid w:val="0"/>
      <w:ind w:left="0" w:firstLine="120" w:firstLineChars="50"/>
      <w:jc w:val="both"/>
    </w:pPr>
    <w:rPr>
      <w:rFonts w:ascii="宋体" w:hAnsi="宋体" w:eastAsia="宋体" w:cs="宋体"/>
      <w:sz w:val="24"/>
      <w:szCs w:val="24"/>
    </w:rPr>
  </w:style>
  <w:style w:type="table" w:customStyle="1" w:styleId="1116">
    <w:name w:val="网格型4"/>
    <w:basedOn w:val="72"/>
    <w:qFormat/>
    <w:uiPriority w:val="39"/>
    <w:rPr>
      <w:rFonts w:hint="eastAsia"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7">
    <w:name w:val="网格型5"/>
    <w:basedOn w:val="72"/>
    <w:qFormat/>
    <w:uiPriority w:val="39"/>
    <w:rPr>
      <w:rFonts w:hint="eastAsia"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8">
    <w:name w:val="网格型2"/>
    <w:basedOn w:val="72"/>
    <w:qFormat/>
    <w:uiPriority w:val="39"/>
    <w:rPr>
      <w:rFonts w:hint="eastAsia"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9">
    <w:name w:val="网格型6"/>
    <w:basedOn w:val="72"/>
    <w:qFormat/>
    <w:uiPriority w:val="39"/>
    <w:rPr>
      <w:rFonts w:hint="eastAsia"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0">
    <w:name w:val="网格型1"/>
    <w:basedOn w:val="72"/>
    <w:qFormat/>
    <w:uiPriority w:val="39"/>
    <w:rPr>
      <w:rFonts w:hint="eastAsia"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1">
    <w:name w:val="网格型3"/>
    <w:basedOn w:val="72"/>
    <w:qFormat/>
    <w:uiPriority w:val="39"/>
    <w:rPr>
      <w:rFonts w:hint="eastAsia"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header11.xml" Type="http://schemas.openxmlformats.org/officeDocument/2006/relationships/header"/><Relationship Id="rId25" Target="header12.xml" Type="http://schemas.openxmlformats.org/officeDocument/2006/relationships/header"/><Relationship Id="rId26" Target="header13.xml" Type="http://schemas.openxmlformats.org/officeDocument/2006/relationships/header"/><Relationship Id="rId27" Target="footer12.xml" Type="http://schemas.openxmlformats.org/officeDocument/2006/relationships/footer"/><Relationship Id="rId28" Target="footer13.xml" Type="http://schemas.openxmlformats.org/officeDocument/2006/relationships/footer"/><Relationship Id="rId29" Target="footer14.xml" Type="http://schemas.openxmlformats.org/officeDocument/2006/relationships/footer"/><Relationship Id="rId3" Target="header1.xml" Type="http://schemas.openxmlformats.org/officeDocument/2006/relationships/header"/><Relationship Id="rId30" Target="theme/theme1.xml" Type="http://schemas.openxmlformats.org/officeDocument/2006/relationships/theme"/><Relationship Id="rId31" Target="media/image1.png" Type="http://schemas.openxmlformats.org/officeDocument/2006/relationships/image"/><Relationship Id="rId32" Target="media/image2.png" Type="http://schemas.openxmlformats.org/officeDocument/2006/relationships/image"/><Relationship Id="rId33" Target="media/image3.png" Type="http://schemas.openxmlformats.org/officeDocument/2006/relationships/image"/><Relationship Id="rId34" Target="media/image4.png" Type="http://schemas.openxmlformats.org/officeDocument/2006/relationships/image"/><Relationship Id="rId35" Target="media/image5.png" Type="http://schemas.openxmlformats.org/officeDocument/2006/relationships/image"/><Relationship Id="rId36" Target="media/image6.png" Type="http://schemas.openxmlformats.org/officeDocument/2006/relationships/image"/><Relationship Id="rId37" Target="media/image7.png" Type="http://schemas.openxmlformats.org/officeDocument/2006/relationships/image"/><Relationship Id="rId38" Target="media/image8.png" Type="http://schemas.openxmlformats.org/officeDocument/2006/relationships/image"/><Relationship Id="rId39" Target="media/image9.png" Type="http://schemas.openxmlformats.org/officeDocument/2006/relationships/image"/><Relationship Id="rId4" Target="header2.xml" Type="http://schemas.openxmlformats.org/officeDocument/2006/relationships/header"/><Relationship Id="rId40" Target="media/image10.png" Type="http://schemas.openxmlformats.org/officeDocument/2006/relationships/image"/><Relationship Id="rId41" Target="../customXml/item1.xml" Type="http://schemas.openxmlformats.org/officeDocument/2006/relationships/customXml"/><Relationship Id="rId42" Target="numbering.xml" Type="http://schemas.openxmlformats.org/officeDocument/2006/relationships/numbering"/><Relationship Id="rId43" Target="../customXml/item2.xml" Type="http://schemas.openxmlformats.org/officeDocument/2006/relationships/customXml"/><Relationship Id="rId44" Target="fontTable.xml" Type="http://schemas.openxmlformats.org/officeDocument/2006/relationships/fontTable"/><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261"/>
    <customShpInfo spid="_x0000_s126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526318-4A60-450F-9BF8-F5A85950BDC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160</Pages>
  <Words>114862</Words>
  <Characters>125915</Characters>
  <Lines>886</Lines>
  <Paragraphs>249</Paragraphs>
  <TotalTime>1</TotalTime>
  <ScaleCrop>false</ScaleCrop>
  <LinksUpToDate>false</LinksUpToDate>
  <CharactersWithSpaces>139214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2022-07-11T08:32:00Z</dcterms:created>
  <dc:creator>巫志新6</dc:creator>
  <cp:lastModifiedBy>放空☆飛翔♡</cp:lastModifiedBy>
  <dcterms:modified xsi:type="dcterms:W3CDTF">2022-11-11T07:42:04Z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0703C219A9C245D298F538BD1D115DFA</vt:lpwstr>
  </property>
</Properties>
</file>