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B44236">
      <w:pPr>
        <w:ind w:firstLine="720"/>
        <w:rPr>
          <w:rFonts w:asciiTheme="majorEastAsia" w:hAnsiTheme="majorEastAsia" w:eastAsiaTheme="majorEastAsia"/>
          <w:color w:val="000000" w:themeColor="text1"/>
          <w:sz w:val="36"/>
          <w:szCs w:val="36"/>
          <w:lang w:val="zh-CN"/>
        </w:rPr>
      </w:pPr>
      <w:bookmarkStart w:id="0" w:name="_Toc31119"/>
      <w:bookmarkStart w:id="1" w:name="_Toc24861"/>
      <w:bookmarkStart w:id="2" w:name="_Toc223"/>
      <w:bookmarkStart w:id="3" w:name="_Toc28613"/>
      <w:bookmarkStart w:id="4" w:name="_Toc20490"/>
      <w:bookmarkStart w:id="5" w:name="_Toc10587"/>
      <w:bookmarkStart w:id="6" w:name="_Toc22692"/>
      <w:bookmarkStart w:id="7" w:name="_Toc1178"/>
      <w:bookmarkStart w:id="8" w:name="_Toc26543"/>
      <w:bookmarkStart w:id="9" w:name="_Toc14946"/>
    </w:p>
    <w:p w14:paraId="397623FE">
      <w:pPr>
        <w:ind w:firstLine="720"/>
        <w:rPr>
          <w:rFonts w:asciiTheme="majorEastAsia" w:hAnsiTheme="majorEastAsia" w:eastAsiaTheme="majorEastAsia"/>
          <w:color w:val="000000" w:themeColor="text1"/>
          <w:sz w:val="36"/>
          <w:szCs w:val="36"/>
          <w:lang w:val="zh-CN"/>
        </w:rPr>
      </w:pPr>
    </w:p>
    <w:bookmarkEnd w:id="0"/>
    <w:bookmarkEnd w:id="1"/>
    <w:bookmarkEnd w:id="2"/>
    <w:bookmarkEnd w:id="3"/>
    <w:bookmarkEnd w:id="4"/>
    <w:bookmarkEnd w:id="5"/>
    <w:bookmarkEnd w:id="6"/>
    <w:bookmarkEnd w:id="7"/>
    <w:bookmarkEnd w:id="8"/>
    <w:bookmarkEnd w:id="9"/>
    <w:p w14:paraId="464B4D43">
      <w:pPr>
        <w:spacing w:line="360" w:lineRule="auto"/>
        <w:ind w:firstLine="0" w:firstLineChars="0"/>
        <w:jc w:val="center"/>
        <w:rPr>
          <w:b/>
          <w:color w:val="000000" w:themeColor="text1"/>
          <w:sz w:val="84"/>
          <w:szCs w:val="84"/>
        </w:rPr>
      </w:pPr>
      <w:r>
        <w:rPr>
          <w:rFonts w:hint="eastAsia"/>
          <w:b/>
          <w:color w:val="000000" w:themeColor="text1"/>
          <w:sz w:val="84"/>
          <w:szCs w:val="84"/>
        </w:rPr>
        <w:t>公开招标</w:t>
      </w:r>
    </w:p>
    <w:p w14:paraId="00FB0103">
      <w:pPr>
        <w:pStyle w:val="2"/>
        <w:ind w:firstLine="420"/>
        <w:rPr>
          <w:rFonts w:ascii="Calibri" w:hAnsi="Calibri" w:eastAsia="宋体" w:cs="Times New Roman"/>
          <w:color w:val="000000" w:themeColor="text1"/>
        </w:rPr>
      </w:pPr>
    </w:p>
    <w:p w14:paraId="342C5E61">
      <w:pPr>
        <w:ind w:firstLine="480"/>
      </w:pPr>
    </w:p>
    <w:p w14:paraId="515900EF">
      <w:pPr>
        <w:spacing w:line="360" w:lineRule="auto"/>
        <w:ind w:left="2340" w:leftChars="300" w:hanging="1620" w:hangingChars="450"/>
        <w:rPr>
          <w:rFonts w:hint="eastAsia" w:ascii="宋体" w:hAnsi="宋体" w:cs="宋体"/>
          <w:color w:val="000000" w:themeColor="text1"/>
          <w:sz w:val="36"/>
          <w:szCs w:val="36"/>
          <w:lang w:val="zh-CN"/>
        </w:rPr>
      </w:pPr>
      <w:r>
        <w:rPr>
          <w:rFonts w:hint="eastAsia" w:ascii="宋体" w:hAnsi="宋体" w:cs="宋体"/>
          <w:color w:val="000000" w:themeColor="text1"/>
          <w:sz w:val="36"/>
          <w:szCs w:val="36"/>
          <w:lang w:val="zh-CN"/>
        </w:rPr>
        <w:t>项目名称：2025年度龙游县公安局交通警察大队食堂（大队机关、城区中队）劳务外包服务采购项目</w:t>
      </w:r>
    </w:p>
    <w:p w14:paraId="403B8F53">
      <w:pPr>
        <w:spacing w:line="360" w:lineRule="auto"/>
        <w:ind w:left="2340" w:leftChars="300" w:hanging="1620" w:hangingChars="450"/>
        <w:rPr>
          <w:rFonts w:ascii="宋体" w:hAnsi="宋体" w:cs="宋体"/>
          <w:bCs/>
          <w:color w:val="000000" w:themeColor="text1"/>
          <w:sz w:val="36"/>
          <w:szCs w:val="36"/>
        </w:rPr>
      </w:pPr>
      <w:r>
        <w:rPr>
          <w:rFonts w:hint="eastAsia" w:ascii="宋体" w:hAnsi="宋体" w:cs="宋体"/>
          <w:color w:val="000000" w:themeColor="text1"/>
          <w:sz w:val="36"/>
          <w:szCs w:val="36"/>
          <w:lang w:val="zh-CN"/>
        </w:rPr>
        <w:t>项目编号：LYJY2025052</w:t>
      </w:r>
    </w:p>
    <w:p w14:paraId="2701C0C1">
      <w:pPr>
        <w:pStyle w:val="28"/>
        <w:ind w:left="480" w:firstLine="720"/>
        <w:rPr>
          <w:rFonts w:ascii="宋体" w:hAnsi="宋体" w:cs="宋体"/>
          <w:color w:val="000000" w:themeColor="text1"/>
          <w:sz w:val="36"/>
          <w:szCs w:val="36"/>
        </w:rPr>
      </w:pPr>
    </w:p>
    <w:p w14:paraId="64344C39">
      <w:pPr>
        <w:pStyle w:val="28"/>
        <w:ind w:left="480" w:firstLine="720"/>
        <w:rPr>
          <w:rFonts w:ascii="宋体" w:hAnsi="宋体" w:cs="宋体"/>
          <w:color w:val="000000" w:themeColor="text1"/>
          <w:sz w:val="36"/>
          <w:szCs w:val="36"/>
        </w:rPr>
      </w:pPr>
    </w:p>
    <w:p w14:paraId="66BD7FF7">
      <w:pPr>
        <w:snapToGrid w:val="0"/>
        <w:spacing w:line="360" w:lineRule="auto"/>
        <w:ind w:left="2160" w:leftChars="300" w:hanging="1440" w:hangingChars="400"/>
        <w:rPr>
          <w:rFonts w:ascii="宋体" w:hAnsi="宋体" w:cs="宋体"/>
          <w:bCs/>
          <w:color w:val="000000" w:themeColor="text1"/>
          <w:sz w:val="36"/>
          <w:szCs w:val="36"/>
          <w:lang w:val="zh-CN"/>
        </w:rPr>
      </w:pPr>
      <w:r>
        <w:rPr>
          <w:rFonts w:hint="eastAsia" w:ascii="宋体" w:hAnsi="宋体" w:cs="宋体"/>
          <w:bCs/>
          <w:color w:val="000000" w:themeColor="text1"/>
          <w:sz w:val="36"/>
          <w:szCs w:val="36"/>
          <w:lang w:val="zh-CN"/>
        </w:rPr>
        <w:t>采购人：龙游县公安局交通警察大队</w:t>
      </w:r>
    </w:p>
    <w:p w14:paraId="18683D4C">
      <w:pPr>
        <w:snapToGrid w:val="0"/>
        <w:spacing w:line="360" w:lineRule="auto"/>
        <w:ind w:firstLine="720"/>
        <w:rPr>
          <w:rFonts w:ascii="宋体" w:hAnsi="宋体" w:cs="宋体"/>
          <w:bCs/>
          <w:color w:val="000000" w:themeColor="text1"/>
          <w:sz w:val="36"/>
          <w:szCs w:val="36"/>
          <w:lang w:val="zh-CN"/>
        </w:rPr>
      </w:pPr>
      <w:r>
        <w:rPr>
          <w:rFonts w:hint="eastAsia" w:ascii="宋体" w:hAnsi="宋体" w:cs="宋体"/>
          <w:bCs/>
          <w:color w:val="000000" w:themeColor="text1"/>
          <w:sz w:val="36"/>
          <w:szCs w:val="36"/>
          <w:lang w:val="zh-CN"/>
        </w:rPr>
        <w:t>采购代理机构：龙游久圆工程管理有限公司</w:t>
      </w:r>
    </w:p>
    <w:p w14:paraId="4B6DA8D0">
      <w:pPr>
        <w:spacing w:line="360" w:lineRule="auto"/>
        <w:ind w:firstLine="720"/>
        <w:jc w:val="center"/>
        <w:rPr>
          <w:rFonts w:ascii="宋体" w:hAnsi="宋体" w:cs="宋体"/>
          <w:bCs/>
          <w:color w:val="000000" w:themeColor="text1"/>
          <w:sz w:val="36"/>
          <w:szCs w:val="36"/>
          <w:lang w:val="zh-CN"/>
        </w:rPr>
      </w:pPr>
    </w:p>
    <w:p w14:paraId="24CD2FD6">
      <w:pPr>
        <w:spacing w:line="360" w:lineRule="auto"/>
        <w:ind w:firstLine="720"/>
        <w:jc w:val="center"/>
        <w:rPr>
          <w:rFonts w:ascii="宋体" w:hAnsi="宋体" w:cs="宋体"/>
          <w:bCs/>
          <w:color w:val="000000" w:themeColor="text1"/>
          <w:sz w:val="36"/>
          <w:szCs w:val="36"/>
          <w:lang w:val="zh-CN"/>
        </w:rPr>
      </w:pPr>
    </w:p>
    <w:p w14:paraId="780169A7">
      <w:pPr>
        <w:ind w:firstLine="720"/>
        <w:rPr>
          <w:rFonts w:ascii="宋体" w:hAnsi="宋体" w:cs="宋体"/>
          <w:bCs/>
          <w:color w:val="000000" w:themeColor="text1"/>
          <w:sz w:val="36"/>
          <w:szCs w:val="36"/>
          <w:lang w:val="zh-CN"/>
        </w:rPr>
      </w:pPr>
    </w:p>
    <w:p w14:paraId="51614040">
      <w:pPr>
        <w:ind w:firstLine="0" w:firstLineChars="0"/>
        <w:jc w:val="center"/>
        <w:rPr>
          <w:rFonts w:ascii="宋体" w:hAnsi="宋体" w:cs="宋体"/>
          <w:bCs/>
          <w:color w:val="000000" w:themeColor="text1"/>
          <w:sz w:val="36"/>
          <w:szCs w:val="36"/>
        </w:rPr>
      </w:pPr>
      <w:r>
        <w:rPr>
          <w:rFonts w:hint="eastAsia" w:ascii="宋体" w:hAnsi="宋体" w:cs="宋体"/>
          <w:bCs/>
          <w:color w:val="000000" w:themeColor="text1"/>
          <w:sz w:val="36"/>
          <w:szCs w:val="36"/>
          <w:lang w:val="zh-CN"/>
        </w:rPr>
        <w:t>2025年</w:t>
      </w:r>
      <w:r>
        <w:rPr>
          <w:rFonts w:hint="eastAsia" w:ascii="宋体" w:hAnsi="宋体" w:cs="宋体"/>
          <w:bCs/>
          <w:sz w:val="36"/>
          <w:szCs w:val="36"/>
        </w:rPr>
        <w:t>7</w:t>
      </w:r>
      <w:r>
        <w:rPr>
          <w:rFonts w:hint="eastAsia" w:ascii="宋体" w:hAnsi="宋体" w:cs="宋体"/>
          <w:bCs/>
          <w:color w:val="000000" w:themeColor="text1"/>
          <w:sz w:val="36"/>
          <w:szCs w:val="36"/>
          <w:lang w:val="zh-CN"/>
        </w:rPr>
        <w:t>月</w:t>
      </w:r>
    </w:p>
    <w:p w14:paraId="6CFD6F19">
      <w:pPr>
        <w:widowControl/>
        <w:spacing w:line="240" w:lineRule="auto"/>
        <w:ind w:firstLine="0" w:firstLineChars="0"/>
        <w:jc w:val="center"/>
        <w:rPr>
          <w:color w:val="000000" w:themeColor="text1"/>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upperRoman" w:start="0"/>
          <w:cols w:space="425" w:num="1"/>
          <w:titlePg/>
          <w:docGrid w:type="lines" w:linePitch="326" w:charSpace="0"/>
        </w:sectPr>
      </w:pPr>
    </w:p>
    <w:p w14:paraId="1F1D6069">
      <w:pPr>
        <w:widowControl/>
        <w:spacing w:line="240" w:lineRule="auto"/>
        <w:ind w:firstLine="0" w:firstLineChars="0"/>
        <w:jc w:val="center"/>
        <w:rPr>
          <w:rFonts w:asciiTheme="minorEastAsia" w:hAnsiTheme="minorEastAsia" w:eastAsiaTheme="minorEastAsia"/>
          <w:color w:val="000000" w:themeColor="text1"/>
        </w:rPr>
      </w:pPr>
      <w:r>
        <w:rPr>
          <w:color w:val="000000" w:themeColor="text1"/>
          <w:sz w:val="28"/>
          <w:szCs w:val="28"/>
        </w:rPr>
        <w:t>目录</w:t>
      </w:r>
    </w:p>
    <w:p w14:paraId="08893562">
      <w:pPr>
        <w:pStyle w:val="21"/>
        <w:tabs>
          <w:tab w:val="right" w:leader="dot" w:pos="8306"/>
          <w:tab w:val="clear" w:pos="1470"/>
          <w:tab w:val="clear" w:pos="8296"/>
        </w:tabs>
      </w:pPr>
      <w:r>
        <w:rPr>
          <w:color w:val="000000" w:themeColor="text1"/>
        </w:rPr>
        <w:fldChar w:fldCharType="begin"/>
      </w:r>
      <w:r>
        <w:rPr>
          <w:color w:val="000000" w:themeColor="text1"/>
        </w:rPr>
        <w:instrText xml:space="preserve"> TOC \o "1-2" \h \z \u </w:instrText>
      </w:r>
      <w:r>
        <w:rPr>
          <w:color w:val="000000" w:themeColor="text1"/>
        </w:rPr>
        <w:fldChar w:fldCharType="separate"/>
      </w:r>
      <w:r>
        <w:rPr>
          <w:color w:val="000000" w:themeColor="text1"/>
        </w:rPr>
        <w:fldChar w:fldCharType="begin"/>
      </w:r>
      <w:r>
        <w:instrText xml:space="preserve"> HYPERLINK \l _Toc26928 </w:instrText>
      </w:r>
      <w:r>
        <w:fldChar w:fldCharType="separate"/>
      </w:r>
      <w:r>
        <w:t>第一章</w:t>
      </w:r>
      <w:r>
        <w:rPr>
          <w:rFonts w:hint="eastAsia"/>
        </w:rPr>
        <w:t xml:space="preserve">  招标公告</w:t>
      </w:r>
      <w:r>
        <w:tab/>
      </w:r>
      <w:r>
        <w:fldChar w:fldCharType="begin"/>
      </w:r>
      <w:r>
        <w:instrText xml:space="preserve"> PAGEREF _Toc26928 \h </w:instrText>
      </w:r>
      <w:r>
        <w:fldChar w:fldCharType="separate"/>
      </w:r>
      <w:r>
        <w:t>3</w:t>
      </w:r>
      <w:r>
        <w:fldChar w:fldCharType="end"/>
      </w:r>
      <w:r>
        <w:rPr>
          <w:color w:val="000000" w:themeColor="text1"/>
        </w:rPr>
        <w:fldChar w:fldCharType="end"/>
      </w:r>
    </w:p>
    <w:p w14:paraId="54A0E6EC">
      <w:pPr>
        <w:pStyle w:val="24"/>
        <w:tabs>
          <w:tab w:val="right" w:leader="dot" w:pos="8306"/>
          <w:tab w:val="clear" w:pos="8296"/>
        </w:tabs>
      </w:pPr>
      <w:r>
        <w:rPr>
          <w:color w:val="000000" w:themeColor="text1"/>
        </w:rPr>
        <w:fldChar w:fldCharType="begin"/>
      </w:r>
      <w:r>
        <w:instrText xml:space="preserve"> HYPERLINK \l _Toc14481 </w:instrText>
      </w:r>
      <w:r>
        <w:fldChar w:fldCharType="separate"/>
      </w:r>
      <w:r>
        <w:rPr>
          <w:rFonts w:hint="eastAsia"/>
        </w:rPr>
        <w:t>一、项目基本情况</w:t>
      </w:r>
      <w:r>
        <w:tab/>
      </w:r>
      <w:r>
        <w:fldChar w:fldCharType="begin"/>
      </w:r>
      <w:r>
        <w:instrText xml:space="preserve"> PAGEREF _Toc14481 \h </w:instrText>
      </w:r>
      <w:r>
        <w:fldChar w:fldCharType="separate"/>
      </w:r>
      <w:r>
        <w:t>3</w:t>
      </w:r>
      <w:r>
        <w:fldChar w:fldCharType="end"/>
      </w:r>
      <w:r>
        <w:rPr>
          <w:color w:val="000000" w:themeColor="text1"/>
        </w:rPr>
        <w:fldChar w:fldCharType="end"/>
      </w:r>
    </w:p>
    <w:p w14:paraId="0385F043">
      <w:pPr>
        <w:pStyle w:val="24"/>
        <w:tabs>
          <w:tab w:val="right" w:leader="dot" w:pos="8306"/>
          <w:tab w:val="clear" w:pos="8296"/>
        </w:tabs>
      </w:pPr>
      <w:r>
        <w:rPr>
          <w:color w:val="000000" w:themeColor="text1"/>
        </w:rPr>
        <w:fldChar w:fldCharType="begin"/>
      </w:r>
      <w:r>
        <w:instrText xml:space="preserve"> HYPERLINK \l _Toc17681 </w:instrText>
      </w:r>
      <w:r>
        <w:fldChar w:fldCharType="separate"/>
      </w:r>
      <w:r>
        <w:rPr>
          <w:rFonts w:hint="eastAsia"/>
        </w:rPr>
        <w:t>二、申请人的资格要求</w:t>
      </w:r>
      <w:r>
        <w:tab/>
      </w:r>
      <w:r>
        <w:fldChar w:fldCharType="begin"/>
      </w:r>
      <w:r>
        <w:instrText xml:space="preserve"> PAGEREF _Toc17681 \h </w:instrText>
      </w:r>
      <w:r>
        <w:fldChar w:fldCharType="separate"/>
      </w:r>
      <w:r>
        <w:t>3</w:t>
      </w:r>
      <w:r>
        <w:fldChar w:fldCharType="end"/>
      </w:r>
      <w:r>
        <w:rPr>
          <w:color w:val="000000" w:themeColor="text1"/>
        </w:rPr>
        <w:fldChar w:fldCharType="end"/>
      </w:r>
    </w:p>
    <w:p w14:paraId="364A277C">
      <w:pPr>
        <w:pStyle w:val="24"/>
        <w:tabs>
          <w:tab w:val="right" w:leader="dot" w:pos="8306"/>
          <w:tab w:val="clear" w:pos="8296"/>
        </w:tabs>
      </w:pPr>
      <w:r>
        <w:rPr>
          <w:color w:val="000000" w:themeColor="text1"/>
        </w:rPr>
        <w:fldChar w:fldCharType="begin"/>
      </w:r>
      <w:r>
        <w:instrText xml:space="preserve"> HYPERLINK \l _Toc26970 </w:instrText>
      </w:r>
      <w:r>
        <w:fldChar w:fldCharType="separate"/>
      </w:r>
      <w:r>
        <w:rPr>
          <w:rFonts w:hint="eastAsia"/>
        </w:rPr>
        <w:t>三、获取（下载）招标文件</w:t>
      </w:r>
      <w:r>
        <w:tab/>
      </w:r>
      <w:r>
        <w:fldChar w:fldCharType="begin"/>
      </w:r>
      <w:r>
        <w:instrText xml:space="preserve"> PAGEREF _Toc26970 \h </w:instrText>
      </w:r>
      <w:r>
        <w:fldChar w:fldCharType="separate"/>
      </w:r>
      <w:r>
        <w:t>3</w:t>
      </w:r>
      <w:r>
        <w:fldChar w:fldCharType="end"/>
      </w:r>
      <w:r>
        <w:rPr>
          <w:color w:val="000000" w:themeColor="text1"/>
        </w:rPr>
        <w:fldChar w:fldCharType="end"/>
      </w:r>
    </w:p>
    <w:p w14:paraId="6B319EBF">
      <w:pPr>
        <w:pStyle w:val="24"/>
        <w:tabs>
          <w:tab w:val="right" w:leader="dot" w:pos="8306"/>
          <w:tab w:val="clear" w:pos="8296"/>
        </w:tabs>
      </w:pPr>
      <w:r>
        <w:rPr>
          <w:color w:val="000000" w:themeColor="text1"/>
        </w:rPr>
        <w:fldChar w:fldCharType="begin"/>
      </w:r>
      <w:r>
        <w:instrText xml:space="preserve"> HYPERLINK \l _Toc12821 </w:instrText>
      </w:r>
      <w:r>
        <w:fldChar w:fldCharType="separate"/>
      </w:r>
      <w:r>
        <w:rPr>
          <w:rFonts w:hint="eastAsia"/>
        </w:rPr>
        <w:t>四、投标文件提交（上传）</w:t>
      </w:r>
      <w:r>
        <w:tab/>
      </w:r>
      <w:r>
        <w:fldChar w:fldCharType="begin"/>
      </w:r>
      <w:r>
        <w:instrText xml:space="preserve"> PAGEREF _Toc12821 \h </w:instrText>
      </w:r>
      <w:r>
        <w:fldChar w:fldCharType="separate"/>
      </w:r>
      <w:r>
        <w:t>4</w:t>
      </w:r>
      <w:r>
        <w:fldChar w:fldCharType="end"/>
      </w:r>
      <w:r>
        <w:rPr>
          <w:color w:val="000000" w:themeColor="text1"/>
        </w:rPr>
        <w:fldChar w:fldCharType="end"/>
      </w:r>
    </w:p>
    <w:p w14:paraId="1228F768">
      <w:pPr>
        <w:pStyle w:val="24"/>
        <w:tabs>
          <w:tab w:val="right" w:leader="dot" w:pos="8306"/>
          <w:tab w:val="clear" w:pos="8296"/>
        </w:tabs>
      </w:pPr>
      <w:r>
        <w:rPr>
          <w:color w:val="000000" w:themeColor="text1"/>
        </w:rPr>
        <w:fldChar w:fldCharType="begin"/>
      </w:r>
      <w:r>
        <w:instrText xml:space="preserve"> HYPERLINK \l _Toc15947 </w:instrText>
      </w:r>
      <w:r>
        <w:fldChar w:fldCharType="separate"/>
      </w:r>
      <w:r>
        <w:rPr>
          <w:rFonts w:hint="eastAsia"/>
        </w:rPr>
        <w:t>五、开启投标文件</w:t>
      </w:r>
      <w:r>
        <w:tab/>
      </w:r>
      <w:r>
        <w:fldChar w:fldCharType="begin"/>
      </w:r>
      <w:r>
        <w:instrText xml:space="preserve"> PAGEREF _Toc15947 \h </w:instrText>
      </w:r>
      <w:r>
        <w:fldChar w:fldCharType="separate"/>
      </w:r>
      <w:r>
        <w:t>4</w:t>
      </w:r>
      <w:r>
        <w:fldChar w:fldCharType="end"/>
      </w:r>
      <w:r>
        <w:rPr>
          <w:color w:val="000000" w:themeColor="text1"/>
        </w:rPr>
        <w:fldChar w:fldCharType="end"/>
      </w:r>
    </w:p>
    <w:p w14:paraId="2F43CA30">
      <w:pPr>
        <w:pStyle w:val="24"/>
        <w:tabs>
          <w:tab w:val="right" w:leader="dot" w:pos="8306"/>
          <w:tab w:val="clear" w:pos="8296"/>
        </w:tabs>
      </w:pPr>
      <w:r>
        <w:rPr>
          <w:color w:val="000000" w:themeColor="text1"/>
        </w:rPr>
        <w:fldChar w:fldCharType="begin"/>
      </w:r>
      <w:r>
        <w:instrText xml:space="preserve"> HYPERLINK \l _Toc4322 </w:instrText>
      </w:r>
      <w:r>
        <w:fldChar w:fldCharType="separate"/>
      </w:r>
      <w:r>
        <w:rPr>
          <w:rFonts w:hint="eastAsia"/>
        </w:rPr>
        <w:t>六、公告期限</w:t>
      </w:r>
      <w:r>
        <w:tab/>
      </w:r>
      <w:r>
        <w:fldChar w:fldCharType="begin"/>
      </w:r>
      <w:r>
        <w:instrText xml:space="preserve"> PAGEREF _Toc4322 \h </w:instrText>
      </w:r>
      <w:r>
        <w:fldChar w:fldCharType="separate"/>
      </w:r>
      <w:r>
        <w:t>4</w:t>
      </w:r>
      <w:r>
        <w:fldChar w:fldCharType="end"/>
      </w:r>
      <w:r>
        <w:rPr>
          <w:color w:val="000000" w:themeColor="text1"/>
        </w:rPr>
        <w:fldChar w:fldCharType="end"/>
      </w:r>
    </w:p>
    <w:p w14:paraId="65F3AE51">
      <w:pPr>
        <w:pStyle w:val="24"/>
        <w:tabs>
          <w:tab w:val="right" w:leader="dot" w:pos="8306"/>
          <w:tab w:val="clear" w:pos="8296"/>
        </w:tabs>
      </w:pPr>
      <w:r>
        <w:rPr>
          <w:color w:val="000000" w:themeColor="text1"/>
        </w:rPr>
        <w:fldChar w:fldCharType="begin"/>
      </w:r>
      <w:r>
        <w:instrText xml:space="preserve"> HYPERLINK \l _Toc29732 </w:instrText>
      </w:r>
      <w:r>
        <w:fldChar w:fldCharType="separate"/>
      </w:r>
      <w:r>
        <w:rPr>
          <w:rFonts w:hint="eastAsia"/>
        </w:rPr>
        <w:t>七、其他补充事宜</w:t>
      </w:r>
      <w:r>
        <w:tab/>
      </w:r>
      <w:r>
        <w:fldChar w:fldCharType="begin"/>
      </w:r>
      <w:r>
        <w:instrText xml:space="preserve"> PAGEREF _Toc29732 \h </w:instrText>
      </w:r>
      <w:r>
        <w:fldChar w:fldCharType="separate"/>
      </w:r>
      <w:r>
        <w:t>4</w:t>
      </w:r>
      <w:r>
        <w:fldChar w:fldCharType="end"/>
      </w:r>
      <w:r>
        <w:rPr>
          <w:color w:val="000000" w:themeColor="text1"/>
        </w:rPr>
        <w:fldChar w:fldCharType="end"/>
      </w:r>
    </w:p>
    <w:p w14:paraId="6DFA0965">
      <w:pPr>
        <w:pStyle w:val="24"/>
        <w:tabs>
          <w:tab w:val="right" w:leader="dot" w:pos="8306"/>
          <w:tab w:val="clear" w:pos="8296"/>
        </w:tabs>
      </w:pPr>
      <w:r>
        <w:rPr>
          <w:color w:val="000000" w:themeColor="text1"/>
        </w:rPr>
        <w:fldChar w:fldCharType="begin"/>
      </w:r>
      <w:r>
        <w:instrText xml:space="preserve"> HYPERLINK \l _Toc14140 </w:instrText>
      </w:r>
      <w:r>
        <w:fldChar w:fldCharType="separate"/>
      </w:r>
      <w:r>
        <w:rPr>
          <w:rFonts w:hint="eastAsia"/>
        </w:rPr>
        <w:t>八、对本次采购提出询问、质疑、投诉，请按以下方式联系：</w:t>
      </w:r>
      <w:r>
        <w:tab/>
      </w:r>
      <w:r>
        <w:fldChar w:fldCharType="begin"/>
      </w:r>
      <w:r>
        <w:instrText xml:space="preserve"> PAGEREF _Toc14140 \h </w:instrText>
      </w:r>
      <w:r>
        <w:fldChar w:fldCharType="separate"/>
      </w:r>
      <w:r>
        <w:t>5</w:t>
      </w:r>
      <w:r>
        <w:fldChar w:fldCharType="end"/>
      </w:r>
      <w:r>
        <w:rPr>
          <w:color w:val="000000" w:themeColor="text1"/>
        </w:rPr>
        <w:fldChar w:fldCharType="end"/>
      </w:r>
    </w:p>
    <w:p w14:paraId="64E63177">
      <w:pPr>
        <w:pStyle w:val="21"/>
        <w:tabs>
          <w:tab w:val="right" w:leader="dot" w:pos="8306"/>
          <w:tab w:val="clear" w:pos="1470"/>
          <w:tab w:val="clear" w:pos="8296"/>
        </w:tabs>
      </w:pPr>
      <w:r>
        <w:rPr>
          <w:color w:val="000000" w:themeColor="text1"/>
        </w:rPr>
        <w:fldChar w:fldCharType="begin"/>
      </w:r>
      <w:r>
        <w:instrText xml:space="preserve"> HYPERLINK \l _Toc28047 </w:instrText>
      </w:r>
      <w:r>
        <w:fldChar w:fldCharType="separate"/>
      </w:r>
      <w:r>
        <w:rPr>
          <w:rFonts w:hint="eastAsia"/>
        </w:rPr>
        <w:t>第二章  投标人须知前附表</w:t>
      </w:r>
      <w:r>
        <w:tab/>
      </w:r>
      <w:r>
        <w:fldChar w:fldCharType="begin"/>
      </w:r>
      <w:r>
        <w:instrText xml:space="preserve"> PAGEREF _Toc28047 \h </w:instrText>
      </w:r>
      <w:r>
        <w:fldChar w:fldCharType="separate"/>
      </w:r>
      <w:r>
        <w:t>7</w:t>
      </w:r>
      <w:r>
        <w:fldChar w:fldCharType="end"/>
      </w:r>
      <w:r>
        <w:rPr>
          <w:color w:val="000000" w:themeColor="text1"/>
        </w:rPr>
        <w:fldChar w:fldCharType="end"/>
      </w:r>
    </w:p>
    <w:p w14:paraId="623857B1">
      <w:pPr>
        <w:pStyle w:val="21"/>
        <w:tabs>
          <w:tab w:val="right" w:leader="dot" w:pos="8306"/>
          <w:tab w:val="clear" w:pos="1470"/>
          <w:tab w:val="clear" w:pos="8296"/>
        </w:tabs>
      </w:pPr>
      <w:r>
        <w:rPr>
          <w:color w:val="000000" w:themeColor="text1"/>
        </w:rPr>
        <w:fldChar w:fldCharType="begin"/>
      </w:r>
      <w:r>
        <w:instrText xml:space="preserve"> HYPERLINK \l _Toc14641 </w:instrText>
      </w:r>
      <w:r>
        <w:fldChar w:fldCharType="separate"/>
      </w:r>
      <w:r>
        <w:rPr>
          <w:rFonts w:hint="eastAsia"/>
        </w:rPr>
        <w:t>第三</w:t>
      </w:r>
      <w:r>
        <w:t>章</w:t>
      </w:r>
      <w:r>
        <w:rPr>
          <w:rFonts w:hint="eastAsia"/>
        </w:rPr>
        <w:t xml:space="preserve">  投标人须知</w:t>
      </w:r>
      <w:r>
        <w:tab/>
      </w:r>
      <w:r>
        <w:fldChar w:fldCharType="begin"/>
      </w:r>
      <w:r>
        <w:instrText xml:space="preserve"> PAGEREF _Toc14641 \h </w:instrText>
      </w:r>
      <w:r>
        <w:fldChar w:fldCharType="separate"/>
      </w:r>
      <w:r>
        <w:t>10</w:t>
      </w:r>
      <w:r>
        <w:fldChar w:fldCharType="end"/>
      </w:r>
      <w:r>
        <w:rPr>
          <w:color w:val="000000" w:themeColor="text1"/>
        </w:rPr>
        <w:fldChar w:fldCharType="end"/>
      </w:r>
    </w:p>
    <w:p w14:paraId="001D6C65">
      <w:pPr>
        <w:pStyle w:val="24"/>
        <w:tabs>
          <w:tab w:val="right" w:leader="dot" w:pos="8306"/>
          <w:tab w:val="clear" w:pos="8296"/>
        </w:tabs>
      </w:pPr>
      <w:r>
        <w:rPr>
          <w:color w:val="000000" w:themeColor="text1"/>
        </w:rPr>
        <w:fldChar w:fldCharType="begin"/>
      </w:r>
      <w:r>
        <w:instrText xml:space="preserve"> HYPERLINK \l _Toc556 </w:instrText>
      </w:r>
      <w:r>
        <w:fldChar w:fldCharType="separate"/>
      </w:r>
      <w:r>
        <w:rPr>
          <w:rFonts w:hint="eastAsia"/>
        </w:rPr>
        <w:t>一、总则</w:t>
      </w:r>
      <w:r>
        <w:tab/>
      </w:r>
      <w:r>
        <w:fldChar w:fldCharType="begin"/>
      </w:r>
      <w:r>
        <w:instrText xml:space="preserve"> PAGEREF _Toc556 \h </w:instrText>
      </w:r>
      <w:r>
        <w:fldChar w:fldCharType="separate"/>
      </w:r>
      <w:r>
        <w:t>10</w:t>
      </w:r>
      <w:r>
        <w:fldChar w:fldCharType="end"/>
      </w:r>
      <w:r>
        <w:rPr>
          <w:color w:val="000000" w:themeColor="text1"/>
        </w:rPr>
        <w:fldChar w:fldCharType="end"/>
      </w:r>
    </w:p>
    <w:p w14:paraId="321A2CC8">
      <w:pPr>
        <w:pStyle w:val="24"/>
        <w:tabs>
          <w:tab w:val="right" w:leader="dot" w:pos="8306"/>
          <w:tab w:val="clear" w:pos="8296"/>
        </w:tabs>
      </w:pPr>
      <w:r>
        <w:rPr>
          <w:color w:val="000000" w:themeColor="text1"/>
        </w:rPr>
        <w:fldChar w:fldCharType="begin"/>
      </w:r>
      <w:r>
        <w:instrText xml:space="preserve"> HYPERLINK \l _Toc31879 </w:instrText>
      </w:r>
      <w:r>
        <w:fldChar w:fldCharType="separate"/>
      </w:r>
      <w:r>
        <w:rPr>
          <w:rFonts w:hint="eastAsia"/>
        </w:rPr>
        <w:t>二、招标文件</w:t>
      </w:r>
      <w:r>
        <w:tab/>
      </w:r>
      <w:r>
        <w:fldChar w:fldCharType="begin"/>
      </w:r>
      <w:r>
        <w:instrText xml:space="preserve"> PAGEREF _Toc31879 \h </w:instrText>
      </w:r>
      <w:r>
        <w:fldChar w:fldCharType="separate"/>
      </w:r>
      <w:r>
        <w:t>13</w:t>
      </w:r>
      <w:r>
        <w:fldChar w:fldCharType="end"/>
      </w:r>
      <w:r>
        <w:rPr>
          <w:color w:val="000000" w:themeColor="text1"/>
        </w:rPr>
        <w:fldChar w:fldCharType="end"/>
      </w:r>
    </w:p>
    <w:p w14:paraId="1E44652A">
      <w:pPr>
        <w:pStyle w:val="24"/>
        <w:tabs>
          <w:tab w:val="right" w:leader="dot" w:pos="8306"/>
          <w:tab w:val="clear" w:pos="8296"/>
        </w:tabs>
      </w:pPr>
      <w:r>
        <w:rPr>
          <w:color w:val="000000" w:themeColor="text1"/>
        </w:rPr>
        <w:fldChar w:fldCharType="begin"/>
      </w:r>
      <w:r>
        <w:instrText xml:space="preserve"> HYPERLINK \l _Toc17092 </w:instrText>
      </w:r>
      <w:r>
        <w:fldChar w:fldCharType="separate"/>
      </w:r>
      <w:r>
        <w:rPr>
          <w:rFonts w:hint="eastAsia"/>
        </w:rPr>
        <w:t>三、投标文件</w:t>
      </w:r>
      <w:r>
        <w:tab/>
      </w:r>
      <w:r>
        <w:fldChar w:fldCharType="begin"/>
      </w:r>
      <w:r>
        <w:instrText xml:space="preserve"> PAGEREF _Toc17092 \h </w:instrText>
      </w:r>
      <w:r>
        <w:fldChar w:fldCharType="separate"/>
      </w:r>
      <w:r>
        <w:t>14</w:t>
      </w:r>
      <w:r>
        <w:fldChar w:fldCharType="end"/>
      </w:r>
      <w:r>
        <w:rPr>
          <w:color w:val="000000" w:themeColor="text1"/>
        </w:rPr>
        <w:fldChar w:fldCharType="end"/>
      </w:r>
    </w:p>
    <w:p w14:paraId="320824B8">
      <w:pPr>
        <w:pStyle w:val="24"/>
        <w:tabs>
          <w:tab w:val="right" w:leader="dot" w:pos="8306"/>
          <w:tab w:val="clear" w:pos="8296"/>
        </w:tabs>
      </w:pPr>
      <w:r>
        <w:rPr>
          <w:color w:val="000000" w:themeColor="text1"/>
        </w:rPr>
        <w:fldChar w:fldCharType="begin"/>
      </w:r>
      <w:r>
        <w:instrText xml:space="preserve"> HYPERLINK \l _Toc28821 </w:instrText>
      </w:r>
      <w:r>
        <w:fldChar w:fldCharType="separate"/>
      </w:r>
      <w:r>
        <w:t>四</w:t>
      </w:r>
      <w:r>
        <w:rPr>
          <w:rFonts w:hint="eastAsia"/>
        </w:rPr>
        <w:t>、开标</w:t>
      </w:r>
      <w:r>
        <w:tab/>
      </w:r>
      <w:r>
        <w:fldChar w:fldCharType="begin"/>
      </w:r>
      <w:r>
        <w:instrText xml:space="preserve"> PAGEREF _Toc28821 \h </w:instrText>
      </w:r>
      <w:r>
        <w:fldChar w:fldCharType="separate"/>
      </w:r>
      <w:r>
        <w:t>15</w:t>
      </w:r>
      <w:r>
        <w:fldChar w:fldCharType="end"/>
      </w:r>
      <w:r>
        <w:rPr>
          <w:color w:val="000000" w:themeColor="text1"/>
        </w:rPr>
        <w:fldChar w:fldCharType="end"/>
      </w:r>
    </w:p>
    <w:p w14:paraId="1FBA882E">
      <w:pPr>
        <w:pStyle w:val="24"/>
        <w:tabs>
          <w:tab w:val="right" w:leader="dot" w:pos="8306"/>
          <w:tab w:val="clear" w:pos="8296"/>
        </w:tabs>
      </w:pPr>
      <w:r>
        <w:rPr>
          <w:color w:val="000000" w:themeColor="text1"/>
        </w:rPr>
        <w:fldChar w:fldCharType="begin"/>
      </w:r>
      <w:r>
        <w:instrText xml:space="preserve"> HYPERLINK \l _Toc17465 </w:instrText>
      </w:r>
      <w:r>
        <w:fldChar w:fldCharType="separate"/>
      </w:r>
      <w:r>
        <w:rPr>
          <w:rFonts w:hint="eastAsia"/>
          <w:lang w:val="zh-CN"/>
        </w:rPr>
        <w:t>五、评标</w:t>
      </w:r>
      <w:r>
        <w:tab/>
      </w:r>
      <w:r>
        <w:fldChar w:fldCharType="begin"/>
      </w:r>
      <w:r>
        <w:instrText xml:space="preserve"> PAGEREF _Toc17465 \h </w:instrText>
      </w:r>
      <w:r>
        <w:fldChar w:fldCharType="separate"/>
      </w:r>
      <w:r>
        <w:t>16</w:t>
      </w:r>
      <w:r>
        <w:fldChar w:fldCharType="end"/>
      </w:r>
      <w:r>
        <w:rPr>
          <w:color w:val="000000" w:themeColor="text1"/>
        </w:rPr>
        <w:fldChar w:fldCharType="end"/>
      </w:r>
    </w:p>
    <w:p w14:paraId="21353095">
      <w:pPr>
        <w:pStyle w:val="24"/>
        <w:tabs>
          <w:tab w:val="right" w:leader="dot" w:pos="8306"/>
          <w:tab w:val="clear" w:pos="8296"/>
        </w:tabs>
      </w:pPr>
      <w:r>
        <w:rPr>
          <w:color w:val="000000" w:themeColor="text1"/>
        </w:rPr>
        <w:fldChar w:fldCharType="begin"/>
      </w:r>
      <w:r>
        <w:instrText xml:space="preserve"> HYPERLINK \l _Toc22005 </w:instrText>
      </w:r>
      <w:r>
        <w:fldChar w:fldCharType="separate"/>
      </w:r>
      <w:r>
        <w:rPr>
          <w:rFonts w:hint="eastAsia"/>
        </w:rPr>
        <w:t>六、定标</w:t>
      </w:r>
      <w:r>
        <w:tab/>
      </w:r>
      <w:r>
        <w:fldChar w:fldCharType="begin"/>
      </w:r>
      <w:r>
        <w:instrText xml:space="preserve"> PAGEREF _Toc22005 \h </w:instrText>
      </w:r>
      <w:r>
        <w:fldChar w:fldCharType="separate"/>
      </w:r>
      <w:r>
        <w:t>16</w:t>
      </w:r>
      <w:r>
        <w:fldChar w:fldCharType="end"/>
      </w:r>
      <w:r>
        <w:rPr>
          <w:color w:val="000000" w:themeColor="text1"/>
        </w:rPr>
        <w:fldChar w:fldCharType="end"/>
      </w:r>
    </w:p>
    <w:p w14:paraId="11F20F2B">
      <w:pPr>
        <w:pStyle w:val="24"/>
        <w:tabs>
          <w:tab w:val="right" w:leader="dot" w:pos="8306"/>
          <w:tab w:val="clear" w:pos="8296"/>
        </w:tabs>
      </w:pPr>
      <w:r>
        <w:rPr>
          <w:color w:val="000000" w:themeColor="text1"/>
        </w:rPr>
        <w:fldChar w:fldCharType="begin"/>
      </w:r>
      <w:r>
        <w:instrText xml:space="preserve"> HYPERLINK \l _Toc20217 </w:instrText>
      </w:r>
      <w:r>
        <w:fldChar w:fldCharType="separate"/>
      </w:r>
      <w:r>
        <w:rPr>
          <w:rFonts w:hint="eastAsia"/>
        </w:rPr>
        <w:t>七、合同事项</w:t>
      </w:r>
      <w:r>
        <w:tab/>
      </w:r>
      <w:r>
        <w:fldChar w:fldCharType="begin"/>
      </w:r>
      <w:r>
        <w:instrText xml:space="preserve"> PAGEREF _Toc20217 \h </w:instrText>
      </w:r>
      <w:r>
        <w:fldChar w:fldCharType="separate"/>
      </w:r>
      <w:r>
        <w:t>17</w:t>
      </w:r>
      <w:r>
        <w:fldChar w:fldCharType="end"/>
      </w:r>
      <w:r>
        <w:rPr>
          <w:color w:val="000000" w:themeColor="text1"/>
        </w:rPr>
        <w:fldChar w:fldCharType="end"/>
      </w:r>
    </w:p>
    <w:p w14:paraId="433DCEF5">
      <w:pPr>
        <w:pStyle w:val="24"/>
        <w:tabs>
          <w:tab w:val="right" w:leader="dot" w:pos="8306"/>
          <w:tab w:val="clear" w:pos="8296"/>
        </w:tabs>
      </w:pPr>
      <w:r>
        <w:rPr>
          <w:color w:val="000000" w:themeColor="text1"/>
        </w:rPr>
        <w:fldChar w:fldCharType="begin"/>
      </w:r>
      <w:r>
        <w:instrText xml:space="preserve"> HYPERLINK \l _Toc7343 </w:instrText>
      </w:r>
      <w:r>
        <w:fldChar w:fldCharType="separate"/>
      </w:r>
      <w:r>
        <w:rPr>
          <w:rFonts w:hint="eastAsia"/>
        </w:rPr>
        <w:t>八、质疑与投诉</w:t>
      </w:r>
      <w:r>
        <w:tab/>
      </w:r>
      <w:r>
        <w:fldChar w:fldCharType="begin"/>
      </w:r>
      <w:r>
        <w:instrText xml:space="preserve"> PAGEREF _Toc7343 \h </w:instrText>
      </w:r>
      <w:r>
        <w:fldChar w:fldCharType="separate"/>
      </w:r>
      <w:r>
        <w:t>18</w:t>
      </w:r>
      <w:r>
        <w:fldChar w:fldCharType="end"/>
      </w:r>
      <w:r>
        <w:rPr>
          <w:color w:val="000000" w:themeColor="text1"/>
        </w:rPr>
        <w:fldChar w:fldCharType="end"/>
      </w:r>
    </w:p>
    <w:p w14:paraId="59942EEE">
      <w:pPr>
        <w:pStyle w:val="24"/>
        <w:tabs>
          <w:tab w:val="right" w:leader="dot" w:pos="8306"/>
          <w:tab w:val="clear" w:pos="8296"/>
        </w:tabs>
      </w:pPr>
      <w:r>
        <w:rPr>
          <w:color w:val="000000" w:themeColor="text1"/>
        </w:rPr>
        <w:fldChar w:fldCharType="begin"/>
      </w:r>
      <w:r>
        <w:instrText xml:space="preserve"> HYPERLINK \l _Toc32505 </w:instrText>
      </w:r>
      <w:r>
        <w:fldChar w:fldCharType="separate"/>
      </w:r>
      <w:r>
        <w:rPr>
          <w:rFonts w:hint="eastAsia"/>
        </w:rPr>
        <w:t>九、投标纪律要求</w:t>
      </w:r>
      <w:r>
        <w:tab/>
      </w:r>
      <w:r>
        <w:fldChar w:fldCharType="begin"/>
      </w:r>
      <w:r>
        <w:instrText xml:space="preserve"> PAGEREF _Toc32505 \h </w:instrText>
      </w:r>
      <w:r>
        <w:fldChar w:fldCharType="separate"/>
      </w:r>
      <w:r>
        <w:t>19</w:t>
      </w:r>
      <w:r>
        <w:fldChar w:fldCharType="end"/>
      </w:r>
      <w:r>
        <w:rPr>
          <w:color w:val="000000" w:themeColor="text1"/>
        </w:rPr>
        <w:fldChar w:fldCharType="end"/>
      </w:r>
    </w:p>
    <w:p w14:paraId="6D0D1EFA">
      <w:pPr>
        <w:pStyle w:val="24"/>
        <w:tabs>
          <w:tab w:val="right" w:leader="dot" w:pos="8306"/>
          <w:tab w:val="clear" w:pos="8296"/>
        </w:tabs>
      </w:pPr>
      <w:r>
        <w:rPr>
          <w:color w:val="000000" w:themeColor="text1"/>
        </w:rPr>
        <w:fldChar w:fldCharType="begin"/>
      </w:r>
      <w:r>
        <w:instrText xml:space="preserve"> HYPERLINK \l _Toc21705 </w:instrText>
      </w:r>
      <w:r>
        <w:fldChar w:fldCharType="separate"/>
      </w:r>
      <w:r>
        <w:rPr>
          <w:rFonts w:hint="eastAsia"/>
        </w:rPr>
        <w:t>十、落实政府采购政策需满足的要求</w:t>
      </w:r>
      <w:r>
        <w:tab/>
      </w:r>
      <w:r>
        <w:fldChar w:fldCharType="begin"/>
      </w:r>
      <w:r>
        <w:instrText xml:space="preserve"> PAGEREF _Toc21705 \h </w:instrText>
      </w:r>
      <w:r>
        <w:fldChar w:fldCharType="separate"/>
      </w:r>
      <w:r>
        <w:t>20</w:t>
      </w:r>
      <w:r>
        <w:fldChar w:fldCharType="end"/>
      </w:r>
      <w:r>
        <w:rPr>
          <w:color w:val="000000" w:themeColor="text1"/>
        </w:rPr>
        <w:fldChar w:fldCharType="end"/>
      </w:r>
    </w:p>
    <w:p w14:paraId="4F7FF821">
      <w:pPr>
        <w:pStyle w:val="24"/>
        <w:tabs>
          <w:tab w:val="right" w:leader="dot" w:pos="8306"/>
          <w:tab w:val="clear" w:pos="8296"/>
        </w:tabs>
      </w:pPr>
      <w:r>
        <w:rPr>
          <w:color w:val="000000" w:themeColor="text1"/>
        </w:rPr>
        <w:fldChar w:fldCharType="begin"/>
      </w:r>
      <w:r>
        <w:instrText xml:space="preserve"> HYPERLINK \l _Toc125 </w:instrText>
      </w:r>
      <w:r>
        <w:fldChar w:fldCharType="separate"/>
      </w:r>
      <w:r>
        <w:rPr>
          <w:rFonts w:hint="eastAsia"/>
        </w:rPr>
        <w:t>十一、其他</w:t>
      </w:r>
      <w:r>
        <w:tab/>
      </w:r>
      <w:r>
        <w:fldChar w:fldCharType="begin"/>
      </w:r>
      <w:r>
        <w:instrText xml:space="preserve"> PAGEREF _Toc125 \h </w:instrText>
      </w:r>
      <w:r>
        <w:fldChar w:fldCharType="separate"/>
      </w:r>
      <w:r>
        <w:t>20</w:t>
      </w:r>
      <w:r>
        <w:fldChar w:fldCharType="end"/>
      </w:r>
      <w:r>
        <w:rPr>
          <w:color w:val="000000" w:themeColor="text1"/>
        </w:rPr>
        <w:fldChar w:fldCharType="end"/>
      </w:r>
    </w:p>
    <w:p w14:paraId="44BFAC1C">
      <w:pPr>
        <w:pStyle w:val="21"/>
        <w:tabs>
          <w:tab w:val="right" w:leader="dot" w:pos="8306"/>
          <w:tab w:val="clear" w:pos="1470"/>
          <w:tab w:val="clear" w:pos="8296"/>
        </w:tabs>
      </w:pPr>
      <w:r>
        <w:rPr>
          <w:color w:val="000000" w:themeColor="text1"/>
        </w:rPr>
        <w:fldChar w:fldCharType="begin"/>
      </w:r>
      <w:r>
        <w:instrText xml:space="preserve"> HYPERLINK \l _Toc19562 </w:instrText>
      </w:r>
      <w:r>
        <w:fldChar w:fldCharType="separate"/>
      </w:r>
      <w:r>
        <w:t>第四章</w:t>
      </w:r>
      <w:r>
        <w:rPr>
          <w:rFonts w:hint="eastAsia"/>
        </w:rPr>
        <w:t xml:space="preserve">  采购需求</w:t>
      </w:r>
      <w:r>
        <w:tab/>
      </w:r>
      <w:r>
        <w:fldChar w:fldCharType="begin"/>
      </w:r>
      <w:r>
        <w:instrText xml:space="preserve"> PAGEREF _Toc19562 \h </w:instrText>
      </w:r>
      <w:r>
        <w:fldChar w:fldCharType="separate"/>
      </w:r>
      <w:r>
        <w:t>22</w:t>
      </w:r>
      <w:r>
        <w:fldChar w:fldCharType="end"/>
      </w:r>
      <w:r>
        <w:rPr>
          <w:color w:val="000000" w:themeColor="text1"/>
        </w:rPr>
        <w:fldChar w:fldCharType="end"/>
      </w:r>
    </w:p>
    <w:p w14:paraId="58EAE4F4">
      <w:pPr>
        <w:pStyle w:val="24"/>
        <w:tabs>
          <w:tab w:val="right" w:leader="dot" w:pos="8306"/>
          <w:tab w:val="clear" w:pos="8296"/>
        </w:tabs>
      </w:pPr>
      <w:r>
        <w:rPr>
          <w:color w:val="000000" w:themeColor="text1"/>
        </w:rPr>
        <w:fldChar w:fldCharType="begin"/>
      </w:r>
      <w:r>
        <w:instrText xml:space="preserve"> HYPERLINK \l _Toc14396 </w:instrText>
      </w:r>
      <w:r>
        <w:fldChar w:fldCharType="separate"/>
      </w:r>
      <w:r>
        <w:rPr>
          <w:rFonts w:hint="eastAsia"/>
        </w:rPr>
        <w:t>一、</w:t>
      </w:r>
      <w:r>
        <w:rPr>
          <w:rFonts w:hint="eastAsia" w:ascii="宋体" w:hAnsi="宋体" w:cs="宋体"/>
          <w:szCs w:val="21"/>
        </w:rPr>
        <w:t>项目基本情况</w:t>
      </w:r>
      <w:r>
        <w:tab/>
      </w:r>
      <w:r>
        <w:fldChar w:fldCharType="begin"/>
      </w:r>
      <w:r>
        <w:instrText xml:space="preserve"> PAGEREF _Toc14396 \h </w:instrText>
      </w:r>
      <w:r>
        <w:fldChar w:fldCharType="separate"/>
      </w:r>
      <w:r>
        <w:t>22</w:t>
      </w:r>
      <w:r>
        <w:fldChar w:fldCharType="end"/>
      </w:r>
      <w:r>
        <w:rPr>
          <w:color w:val="000000" w:themeColor="text1"/>
        </w:rPr>
        <w:fldChar w:fldCharType="end"/>
      </w:r>
    </w:p>
    <w:p w14:paraId="696A6D78">
      <w:pPr>
        <w:pStyle w:val="24"/>
        <w:tabs>
          <w:tab w:val="right" w:leader="dot" w:pos="8306"/>
          <w:tab w:val="clear" w:pos="8296"/>
        </w:tabs>
      </w:pPr>
      <w:r>
        <w:rPr>
          <w:color w:val="000000" w:themeColor="text1"/>
        </w:rPr>
        <w:fldChar w:fldCharType="begin"/>
      </w:r>
      <w:r>
        <w:instrText xml:space="preserve"> HYPERLINK \l _Toc4073 </w:instrText>
      </w:r>
      <w:r>
        <w:fldChar w:fldCharType="separate"/>
      </w:r>
      <w:r>
        <w:rPr>
          <w:rFonts w:hint="eastAsia"/>
        </w:rPr>
        <w:t>二、项目概况</w:t>
      </w:r>
      <w:r>
        <w:tab/>
      </w:r>
      <w:r>
        <w:fldChar w:fldCharType="begin"/>
      </w:r>
      <w:r>
        <w:instrText xml:space="preserve"> PAGEREF _Toc4073 \h </w:instrText>
      </w:r>
      <w:r>
        <w:fldChar w:fldCharType="separate"/>
      </w:r>
      <w:r>
        <w:t>22</w:t>
      </w:r>
      <w:r>
        <w:fldChar w:fldCharType="end"/>
      </w:r>
      <w:r>
        <w:rPr>
          <w:color w:val="000000" w:themeColor="text1"/>
        </w:rPr>
        <w:fldChar w:fldCharType="end"/>
      </w:r>
    </w:p>
    <w:p w14:paraId="6987AA10">
      <w:pPr>
        <w:pStyle w:val="24"/>
        <w:tabs>
          <w:tab w:val="right" w:leader="dot" w:pos="8306"/>
          <w:tab w:val="clear" w:pos="8296"/>
        </w:tabs>
      </w:pPr>
      <w:r>
        <w:rPr>
          <w:color w:val="000000" w:themeColor="text1"/>
        </w:rPr>
        <w:fldChar w:fldCharType="begin"/>
      </w:r>
      <w:r>
        <w:instrText xml:space="preserve"> HYPERLINK \l _Toc22953 </w:instrText>
      </w:r>
      <w:r>
        <w:fldChar w:fldCharType="separate"/>
      </w:r>
      <w:r>
        <w:rPr>
          <w:rFonts w:hint="eastAsia"/>
          <w:lang w:val="zh-CN"/>
        </w:rPr>
        <w:t>三、具体要求</w:t>
      </w:r>
      <w:r>
        <w:tab/>
      </w:r>
      <w:r>
        <w:fldChar w:fldCharType="begin"/>
      </w:r>
      <w:r>
        <w:instrText xml:space="preserve"> PAGEREF _Toc22953 \h </w:instrText>
      </w:r>
      <w:r>
        <w:fldChar w:fldCharType="separate"/>
      </w:r>
      <w:r>
        <w:t>22</w:t>
      </w:r>
      <w:r>
        <w:fldChar w:fldCharType="end"/>
      </w:r>
      <w:r>
        <w:rPr>
          <w:color w:val="000000" w:themeColor="text1"/>
        </w:rPr>
        <w:fldChar w:fldCharType="end"/>
      </w:r>
    </w:p>
    <w:p w14:paraId="0B39D168">
      <w:pPr>
        <w:pStyle w:val="24"/>
        <w:tabs>
          <w:tab w:val="right" w:leader="dot" w:pos="8306"/>
          <w:tab w:val="clear" w:pos="8296"/>
        </w:tabs>
      </w:pPr>
      <w:r>
        <w:rPr>
          <w:color w:val="000000" w:themeColor="text1"/>
        </w:rPr>
        <w:fldChar w:fldCharType="begin"/>
      </w:r>
      <w:r>
        <w:instrText xml:space="preserve"> HYPERLINK \l _Toc25472 </w:instrText>
      </w:r>
      <w:r>
        <w:fldChar w:fldCharType="separate"/>
      </w:r>
      <w:r>
        <w:rPr>
          <w:rFonts w:hint="eastAsia"/>
        </w:rPr>
        <w:t>四、人员配置要求</w:t>
      </w:r>
      <w:r>
        <w:tab/>
      </w:r>
      <w:r>
        <w:fldChar w:fldCharType="begin"/>
      </w:r>
      <w:r>
        <w:instrText xml:space="preserve"> PAGEREF _Toc25472 \h </w:instrText>
      </w:r>
      <w:r>
        <w:fldChar w:fldCharType="separate"/>
      </w:r>
      <w:r>
        <w:t>25</w:t>
      </w:r>
      <w:r>
        <w:fldChar w:fldCharType="end"/>
      </w:r>
      <w:r>
        <w:rPr>
          <w:color w:val="000000" w:themeColor="text1"/>
        </w:rPr>
        <w:fldChar w:fldCharType="end"/>
      </w:r>
    </w:p>
    <w:p w14:paraId="271307FD">
      <w:pPr>
        <w:pStyle w:val="24"/>
        <w:tabs>
          <w:tab w:val="right" w:leader="dot" w:pos="8306"/>
          <w:tab w:val="clear" w:pos="8296"/>
        </w:tabs>
      </w:pPr>
      <w:r>
        <w:rPr>
          <w:color w:val="000000" w:themeColor="text1"/>
        </w:rPr>
        <w:fldChar w:fldCharType="begin"/>
      </w:r>
      <w:r>
        <w:instrText xml:space="preserve"> HYPERLINK \l _Toc17504 </w:instrText>
      </w:r>
      <w:r>
        <w:fldChar w:fldCharType="separate"/>
      </w:r>
      <w:r>
        <w:rPr>
          <w:rFonts w:hint="eastAsia"/>
        </w:rPr>
        <w:t>五、商务需求</w:t>
      </w:r>
      <w:r>
        <w:tab/>
      </w:r>
      <w:r>
        <w:fldChar w:fldCharType="begin"/>
      </w:r>
      <w:r>
        <w:instrText xml:space="preserve"> PAGEREF _Toc17504 \h </w:instrText>
      </w:r>
      <w:r>
        <w:fldChar w:fldCharType="separate"/>
      </w:r>
      <w:r>
        <w:t>25</w:t>
      </w:r>
      <w:r>
        <w:fldChar w:fldCharType="end"/>
      </w:r>
      <w:r>
        <w:rPr>
          <w:color w:val="000000" w:themeColor="text1"/>
        </w:rPr>
        <w:fldChar w:fldCharType="end"/>
      </w:r>
    </w:p>
    <w:p w14:paraId="27344D9A">
      <w:pPr>
        <w:pStyle w:val="24"/>
        <w:tabs>
          <w:tab w:val="right" w:leader="dot" w:pos="8306"/>
          <w:tab w:val="clear" w:pos="8296"/>
        </w:tabs>
      </w:pPr>
      <w:r>
        <w:rPr>
          <w:color w:val="000000" w:themeColor="text1"/>
        </w:rPr>
        <w:fldChar w:fldCharType="begin"/>
      </w:r>
      <w:r>
        <w:instrText xml:space="preserve"> HYPERLINK \l _Toc19332 </w:instrText>
      </w:r>
      <w:r>
        <w:fldChar w:fldCharType="separate"/>
      </w:r>
      <w:r>
        <w:rPr>
          <w:rFonts w:hint="eastAsia"/>
        </w:rPr>
        <w:t>龙游县公安局交通警察大队食堂管理考核办法</w:t>
      </w:r>
      <w:r>
        <w:tab/>
      </w:r>
      <w:r>
        <w:fldChar w:fldCharType="begin"/>
      </w:r>
      <w:r>
        <w:instrText xml:space="preserve"> PAGEREF _Toc19332 \h </w:instrText>
      </w:r>
      <w:r>
        <w:fldChar w:fldCharType="separate"/>
      </w:r>
      <w:r>
        <w:t>27</w:t>
      </w:r>
      <w:r>
        <w:fldChar w:fldCharType="end"/>
      </w:r>
      <w:r>
        <w:rPr>
          <w:color w:val="000000" w:themeColor="text1"/>
        </w:rPr>
        <w:fldChar w:fldCharType="end"/>
      </w:r>
    </w:p>
    <w:p w14:paraId="621EF05F">
      <w:pPr>
        <w:pStyle w:val="24"/>
        <w:tabs>
          <w:tab w:val="right" w:leader="dot" w:pos="8306"/>
          <w:tab w:val="clear" w:pos="8296"/>
        </w:tabs>
      </w:pPr>
      <w:r>
        <w:rPr>
          <w:color w:val="000000" w:themeColor="text1"/>
        </w:rPr>
        <w:fldChar w:fldCharType="begin"/>
      </w:r>
      <w:r>
        <w:instrText xml:space="preserve"> HYPERLINK \l _Toc2561 </w:instrText>
      </w:r>
      <w:r>
        <w:fldChar w:fldCharType="separate"/>
      </w:r>
      <w:r>
        <w:rPr>
          <w:rFonts w:hint="eastAsia"/>
        </w:rPr>
        <w:t>附表一：食堂管理考核细则</w:t>
      </w:r>
      <w:r>
        <w:tab/>
      </w:r>
      <w:r>
        <w:fldChar w:fldCharType="begin"/>
      </w:r>
      <w:r>
        <w:instrText xml:space="preserve"> PAGEREF _Toc2561 \h </w:instrText>
      </w:r>
      <w:r>
        <w:fldChar w:fldCharType="separate"/>
      </w:r>
      <w:r>
        <w:t>28</w:t>
      </w:r>
      <w:r>
        <w:fldChar w:fldCharType="end"/>
      </w:r>
      <w:r>
        <w:rPr>
          <w:color w:val="000000" w:themeColor="text1"/>
        </w:rPr>
        <w:fldChar w:fldCharType="end"/>
      </w:r>
    </w:p>
    <w:p w14:paraId="102C44E5">
      <w:pPr>
        <w:pStyle w:val="24"/>
        <w:tabs>
          <w:tab w:val="right" w:leader="dot" w:pos="8306"/>
          <w:tab w:val="clear" w:pos="8296"/>
        </w:tabs>
      </w:pPr>
      <w:r>
        <w:rPr>
          <w:color w:val="000000" w:themeColor="text1"/>
        </w:rPr>
        <w:fldChar w:fldCharType="begin"/>
      </w:r>
      <w:r>
        <w:instrText xml:space="preserve"> HYPERLINK \l _Toc8001 </w:instrText>
      </w:r>
      <w:r>
        <w:fldChar w:fldCharType="separate"/>
      </w:r>
      <w:r>
        <w:rPr>
          <w:rFonts w:hint="eastAsia"/>
        </w:rPr>
        <w:t>附表二：食堂满意度调查表</w:t>
      </w:r>
      <w:r>
        <w:tab/>
      </w:r>
      <w:r>
        <w:fldChar w:fldCharType="begin"/>
      </w:r>
      <w:r>
        <w:instrText xml:space="preserve"> PAGEREF _Toc8001 \h </w:instrText>
      </w:r>
      <w:r>
        <w:fldChar w:fldCharType="separate"/>
      </w:r>
      <w:r>
        <w:t>30</w:t>
      </w:r>
      <w:r>
        <w:fldChar w:fldCharType="end"/>
      </w:r>
      <w:r>
        <w:rPr>
          <w:color w:val="000000" w:themeColor="text1"/>
        </w:rPr>
        <w:fldChar w:fldCharType="end"/>
      </w:r>
    </w:p>
    <w:p w14:paraId="5808B3D0">
      <w:pPr>
        <w:pStyle w:val="21"/>
        <w:tabs>
          <w:tab w:val="right" w:leader="dot" w:pos="8306"/>
          <w:tab w:val="clear" w:pos="1470"/>
          <w:tab w:val="clear" w:pos="8296"/>
        </w:tabs>
      </w:pPr>
      <w:r>
        <w:rPr>
          <w:color w:val="000000" w:themeColor="text1"/>
        </w:rPr>
        <w:fldChar w:fldCharType="begin"/>
      </w:r>
      <w:r>
        <w:instrText xml:space="preserve"> HYPERLINK \l _Toc18444 </w:instrText>
      </w:r>
      <w:r>
        <w:fldChar w:fldCharType="separate"/>
      </w:r>
      <w:r>
        <w:t>第</w:t>
      </w:r>
      <w:r>
        <w:rPr>
          <w:rFonts w:hint="eastAsia"/>
        </w:rPr>
        <w:t>五</w:t>
      </w:r>
      <w:r>
        <w:t>章</w:t>
      </w:r>
      <w:r>
        <w:rPr>
          <w:rFonts w:hint="eastAsia"/>
        </w:rPr>
        <w:t xml:space="preserve">  合同</w:t>
      </w:r>
      <w:r>
        <w:tab/>
      </w:r>
      <w:r>
        <w:fldChar w:fldCharType="begin"/>
      </w:r>
      <w:r>
        <w:instrText xml:space="preserve"> PAGEREF _Toc18444 \h </w:instrText>
      </w:r>
      <w:r>
        <w:fldChar w:fldCharType="separate"/>
      </w:r>
      <w:r>
        <w:t>31</w:t>
      </w:r>
      <w:r>
        <w:fldChar w:fldCharType="end"/>
      </w:r>
      <w:r>
        <w:rPr>
          <w:color w:val="000000" w:themeColor="text1"/>
        </w:rPr>
        <w:fldChar w:fldCharType="end"/>
      </w:r>
    </w:p>
    <w:p w14:paraId="6C926E2F">
      <w:pPr>
        <w:pStyle w:val="24"/>
        <w:tabs>
          <w:tab w:val="right" w:leader="dot" w:pos="8306"/>
          <w:tab w:val="clear" w:pos="8296"/>
        </w:tabs>
      </w:pPr>
      <w:r>
        <w:rPr>
          <w:color w:val="000000" w:themeColor="text1"/>
        </w:rPr>
        <w:fldChar w:fldCharType="begin"/>
      </w:r>
      <w:r>
        <w:instrText xml:space="preserve"> HYPERLINK \l _Toc17399 </w:instrText>
      </w:r>
      <w:r>
        <w:fldChar w:fldCharType="separate"/>
      </w:r>
      <w:r>
        <w:rPr>
          <w:rFonts w:hint="eastAsia"/>
        </w:rPr>
        <w:t>一、说明</w:t>
      </w:r>
      <w:r>
        <w:tab/>
      </w:r>
      <w:r>
        <w:fldChar w:fldCharType="begin"/>
      </w:r>
      <w:r>
        <w:instrText xml:space="preserve"> PAGEREF _Toc17399 \h </w:instrText>
      </w:r>
      <w:r>
        <w:fldChar w:fldCharType="separate"/>
      </w:r>
      <w:r>
        <w:t>31</w:t>
      </w:r>
      <w:r>
        <w:fldChar w:fldCharType="end"/>
      </w:r>
      <w:r>
        <w:rPr>
          <w:color w:val="000000" w:themeColor="text1"/>
        </w:rPr>
        <w:fldChar w:fldCharType="end"/>
      </w:r>
    </w:p>
    <w:p w14:paraId="65E68304">
      <w:pPr>
        <w:pStyle w:val="24"/>
        <w:tabs>
          <w:tab w:val="right" w:leader="dot" w:pos="8306"/>
          <w:tab w:val="clear" w:pos="8296"/>
        </w:tabs>
      </w:pPr>
      <w:r>
        <w:rPr>
          <w:color w:val="000000" w:themeColor="text1"/>
        </w:rPr>
        <w:fldChar w:fldCharType="begin"/>
      </w:r>
      <w:r>
        <w:instrText xml:space="preserve"> HYPERLINK \l _Toc7548 </w:instrText>
      </w:r>
      <w:r>
        <w:fldChar w:fldCharType="separate"/>
      </w:r>
      <w:r>
        <w:rPr>
          <w:rFonts w:hint="eastAsia"/>
        </w:rPr>
        <w:t>二、中标金额</w:t>
      </w:r>
      <w:r>
        <w:tab/>
      </w:r>
      <w:r>
        <w:fldChar w:fldCharType="begin"/>
      </w:r>
      <w:r>
        <w:instrText xml:space="preserve"> PAGEREF _Toc7548 \h </w:instrText>
      </w:r>
      <w:r>
        <w:fldChar w:fldCharType="separate"/>
      </w:r>
      <w:r>
        <w:t>31</w:t>
      </w:r>
      <w:r>
        <w:fldChar w:fldCharType="end"/>
      </w:r>
      <w:r>
        <w:rPr>
          <w:color w:val="000000" w:themeColor="text1"/>
        </w:rPr>
        <w:fldChar w:fldCharType="end"/>
      </w:r>
    </w:p>
    <w:p w14:paraId="3B4D1B65">
      <w:pPr>
        <w:pStyle w:val="24"/>
        <w:tabs>
          <w:tab w:val="right" w:leader="dot" w:pos="8306"/>
          <w:tab w:val="clear" w:pos="8296"/>
        </w:tabs>
      </w:pPr>
      <w:r>
        <w:rPr>
          <w:color w:val="000000" w:themeColor="text1"/>
        </w:rPr>
        <w:fldChar w:fldCharType="begin"/>
      </w:r>
      <w:r>
        <w:instrText xml:space="preserve"> HYPERLINK \l _Toc22672 </w:instrText>
      </w:r>
      <w:r>
        <w:fldChar w:fldCharType="separate"/>
      </w:r>
      <w:r>
        <w:rPr>
          <w:rFonts w:hint="eastAsia"/>
        </w:rPr>
        <w:t>三、项目概况</w:t>
      </w:r>
      <w:r>
        <w:tab/>
      </w:r>
      <w:r>
        <w:fldChar w:fldCharType="begin"/>
      </w:r>
      <w:r>
        <w:instrText xml:space="preserve"> PAGEREF _Toc22672 \h </w:instrText>
      </w:r>
      <w:r>
        <w:fldChar w:fldCharType="separate"/>
      </w:r>
      <w:r>
        <w:t>31</w:t>
      </w:r>
      <w:r>
        <w:fldChar w:fldCharType="end"/>
      </w:r>
      <w:r>
        <w:rPr>
          <w:color w:val="000000" w:themeColor="text1"/>
        </w:rPr>
        <w:fldChar w:fldCharType="end"/>
      </w:r>
    </w:p>
    <w:p w14:paraId="1728F426">
      <w:pPr>
        <w:pStyle w:val="24"/>
        <w:tabs>
          <w:tab w:val="right" w:leader="dot" w:pos="8306"/>
          <w:tab w:val="clear" w:pos="8296"/>
        </w:tabs>
      </w:pPr>
      <w:r>
        <w:rPr>
          <w:color w:val="000000" w:themeColor="text1"/>
        </w:rPr>
        <w:fldChar w:fldCharType="begin"/>
      </w:r>
      <w:r>
        <w:instrText xml:space="preserve"> HYPERLINK \l _Toc546 </w:instrText>
      </w:r>
      <w:r>
        <w:fldChar w:fldCharType="separate"/>
      </w:r>
      <w:r>
        <w:rPr>
          <w:rFonts w:hint="eastAsia"/>
        </w:rPr>
        <w:t>四</w:t>
      </w:r>
      <w:r>
        <w:rPr>
          <w:rFonts w:hint="eastAsia"/>
          <w:lang w:val="zh-CN"/>
        </w:rPr>
        <w:t>、具体要求</w:t>
      </w:r>
      <w:r>
        <w:tab/>
      </w:r>
      <w:r>
        <w:fldChar w:fldCharType="begin"/>
      </w:r>
      <w:r>
        <w:instrText xml:space="preserve"> PAGEREF _Toc546 \h </w:instrText>
      </w:r>
      <w:r>
        <w:fldChar w:fldCharType="separate"/>
      </w:r>
      <w:r>
        <w:t>32</w:t>
      </w:r>
      <w:r>
        <w:fldChar w:fldCharType="end"/>
      </w:r>
      <w:r>
        <w:rPr>
          <w:color w:val="000000" w:themeColor="text1"/>
        </w:rPr>
        <w:fldChar w:fldCharType="end"/>
      </w:r>
    </w:p>
    <w:p w14:paraId="59A6C0AF">
      <w:pPr>
        <w:pStyle w:val="24"/>
        <w:tabs>
          <w:tab w:val="right" w:leader="dot" w:pos="8306"/>
          <w:tab w:val="clear" w:pos="8296"/>
        </w:tabs>
      </w:pPr>
      <w:r>
        <w:rPr>
          <w:color w:val="000000" w:themeColor="text1"/>
        </w:rPr>
        <w:fldChar w:fldCharType="begin"/>
      </w:r>
      <w:r>
        <w:instrText xml:space="preserve"> HYPERLINK \l _Toc8178 </w:instrText>
      </w:r>
      <w:r>
        <w:fldChar w:fldCharType="separate"/>
      </w:r>
      <w:r>
        <w:rPr>
          <w:rFonts w:hint="eastAsia"/>
        </w:rPr>
        <w:t>五、人员配置要求</w:t>
      </w:r>
      <w:r>
        <w:tab/>
      </w:r>
      <w:r>
        <w:fldChar w:fldCharType="begin"/>
      </w:r>
      <w:r>
        <w:instrText xml:space="preserve"> PAGEREF _Toc8178 \h </w:instrText>
      </w:r>
      <w:r>
        <w:fldChar w:fldCharType="separate"/>
      </w:r>
      <w:r>
        <w:t>34</w:t>
      </w:r>
      <w:r>
        <w:fldChar w:fldCharType="end"/>
      </w:r>
      <w:r>
        <w:rPr>
          <w:color w:val="000000" w:themeColor="text1"/>
        </w:rPr>
        <w:fldChar w:fldCharType="end"/>
      </w:r>
    </w:p>
    <w:p w14:paraId="7F1E472D">
      <w:pPr>
        <w:pStyle w:val="24"/>
        <w:tabs>
          <w:tab w:val="right" w:leader="dot" w:pos="8306"/>
          <w:tab w:val="clear" w:pos="8296"/>
        </w:tabs>
      </w:pPr>
      <w:r>
        <w:rPr>
          <w:color w:val="000000" w:themeColor="text1"/>
        </w:rPr>
        <w:fldChar w:fldCharType="begin"/>
      </w:r>
      <w:r>
        <w:instrText xml:space="preserve"> HYPERLINK \l _Toc13855 </w:instrText>
      </w:r>
      <w:r>
        <w:fldChar w:fldCharType="separate"/>
      </w:r>
      <w:r>
        <w:rPr>
          <w:rFonts w:hint="eastAsia"/>
        </w:rPr>
        <w:t>六、服务期</w:t>
      </w:r>
      <w:r>
        <w:tab/>
      </w:r>
      <w:r>
        <w:fldChar w:fldCharType="begin"/>
      </w:r>
      <w:r>
        <w:instrText xml:space="preserve"> PAGEREF _Toc13855 \h </w:instrText>
      </w:r>
      <w:r>
        <w:fldChar w:fldCharType="separate"/>
      </w:r>
      <w:r>
        <w:t>35</w:t>
      </w:r>
      <w:r>
        <w:fldChar w:fldCharType="end"/>
      </w:r>
      <w:r>
        <w:rPr>
          <w:color w:val="000000" w:themeColor="text1"/>
        </w:rPr>
        <w:fldChar w:fldCharType="end"/>
      </w:r>
    </w:p>
    <w:p w14:paraId="299FBBE3">
      <w:pPr>
        <w:pStyle w:val="24"/>
        <w:tabs>
          <w:tab w:val="right" w:leader="dot" w:pos="8306"/>
          <w:tab w:val="clear" w:pos="8296"/>
        </w:tabs>
      </w:pPr>
      <w:r>
        <w:rPr>
          <w:color w:val="000000" w:themeColor="text1"/>
        </w:rPr>
        <w:fldChar w:fldCharType="begin"/>
      </w:r>
      <w:r>
        <w:instrText xml:space="preserve"> HYPERLINK \l _Toc10030 </w:instrText>
      </w:r>
      <w:r>
        <w:fldChar w:fldCharType="separate"/>
      </w:r>
      <w:r>
        <w:rPr>
          <w:rFonts w:hint="eastAsia"/>
        </w:rPr>
        <w:t>七、履约保证金</w:t>
      </w:r>
      <w:r>
        <w:tab/>
      </w:r>
      <w:r>
        <w:fldChar w:fldCharType="begin"/>
      </w:r>
      <w:r>
        <w:instrText xml:space="preserve"> PAGEREF _Toc10030 \h </w:instrText>
      </w:r>
      <w:r>
        <w:fldChar w:fldCharType="separate"/>
      </w:r>
      <w:r>
        <w:t>35</w:t>
      </w:r>
      <w:r>
        <w:fldChar w:fldCharType="end"/>
      </w:r>
      <w:r>
        <w:rPr>
          <w:color w:val="000000" w:themeColor="text1"/>
        </w:rPr>
        <w:fldChar w:fldCharType="end"/>
      </w:r>
    </w:p>
    <w:p w14:paraId="54EE569C">
      <w:pPr>
        <w:pStyle w:val="24"/>
        <w:tabs>
          <w:tab w:val="right" w:leader="dot" w:pos="8306"/>
          <w:tab w:val="clear" w:pos="8296"/>
        </w:tabs>
      </w:pPr>
      <w:r>
        <w:rPr>
          <w:color w:val="000000" w:themeColor="text1"/>
        </w:rPr>
        <w:fldChar w:fldCharType="begin"/>
      </w:r>
      <w:r>
        <w:instrText xml:space="preserve"> HYPERLINK \l _Toc29166 </w:instrText>
      </w:r>
      <w:r>
        <w:fldChar w:fldCharType="separate"/>
      </w:r>
      <w:r>
        <w:rPr>
          <w:rFonts w:hint="eastAsia"/>
        </w:rPr>
        <w:t>八、转包或分包</w:t>
      </w:r>
      <w:r>
        <w:tab/>
      </w:r>
      <w:r>
        <w:fldChar w:fldCharType="begin"/>
      </w:r>
      <w:r>
        <w:instrText xml:space="preserve"> PAGEREF _Toc29166 \h </w:instrText>
      </w:r>
      <w:r>
        <w:fldChar w:fldCharType="separate"/>
      </w:r>
      <w:r>
        <w:t>35</w:t>
      </w:r>
      <w:r>
        <w:fldChar w:fldCharType="end"/>
      </w:r>
      <w:r>
        <w:rPr>
          <w:color w:val="000000" w:themeColor="text1"/>
        </w:rPr>
        <w:fldChar w:fldCharType="end"/>
      </w:r>
    </w:p>
    <w:p w14:paraId="09571BAC">
      <w:pPr>
        <w:pStyle w:val="24"/>
        <w:tabs>
          <w:tab w:val="right" w:leader="dot" w:pos="8306"/>
          <w:tab w:val="clear" w:pos="8296"/>
        </w:tabs>
      </w:pPr>
      <w:r>
        <w:rPr>
          <w:color w:val="000000" w:themeColor="text1"/>
        </w:rPr>
        <w:fldChar w:fldCharType="begin"/>
      </w:r>
      <w:r>
        <w:instrText xml:space="preserve"> HYPERLINK \l _Toc19926 </w:instrText>
      </w:r>
      <w:r>
        <w:fldChar w:fldCharType="separate"/>
      </w:r>
      <w:r>
        <w:rPr>
          <w:rFonts w:hint="eastAsia"/>
        </w:rPr>
        <w:t>九、款项支付</w:t>
      </w:r>
      <w:r>
        <w:tab/>
      </w:r>
      <w:r>
        <w:fldChar w:fldCharType="begin"/>
      </w:r>
      <w:r>
        <w:instrText xml:space="preserve"> PAGEREF _Toc19926 \h </w:instrText>
      </w:r>
      <w:r>
        <w:fldChar w:fldCharType="separate"/>
      </w:r>
      <w:r>
        <w:t>35</w:t>
      </w:r>
      <w:r>
        <w:fldChar w:fldCharType="end"/>
      </w:r>
      <w:r>
        <w:rPr>
          <w:color w:val="000000" w:themeColor="text1"/>
        </w:rPr>
        <w:fldChar w:fldCharType="end"/>
      </w:r>
    </w:p>
    <w:p w14:paraId="5A154B32">
      <w:pPr>
        <w:pStyle w:val="24"/>
        <w:tabs>
          <w:tab w:val="right" w:leader="dot" w:pos="8306"/>
          <w:tab w:val="clear" w:pos="8296"/>
        </w:tabs>
      </w:pPr>
      <w:r>
        <w:rPr>
          <w:color w:val="000000" w:themeColor="text1"/>
        </w:rPr>
        <w:fldChar w:fldCharType="begin"/>
      </w:r>
      <w:r>
        <w:instrText xml:space="preserve"> HYPERLINK \l _Toc976 </w:instrText>
      </w:r>
      <w:r>
        <w:fldChar w:fldCharType="separate"/>
      </w:r>
      <w:r>
        <w:rPr>
          <w:rFonts w:hint="eastAsia"/>
        </w:rPr>
        <w:t>十、税费</w:t>
      </w:r>
      <w:r>
        <w:tab/>
      </w:r>
      <w:r>
        <w:fldChar w:fldCharType="begin"/>
      </w:r>
      <w:r>
        <w:instrText xml:space="preserve"> PAGEREF _Toc976 \h </w:instrText>
      </w:r>
      <w:r>
        <w:fldChar w:fldCharType="separate"/>
      </w:r>
      <w:r>
        <w:t>35</w:t>
      </w:r>
      <w:r>
        <w:fldChar w:fldCharType="end"/>
      </w:r>
      <w:r>
        <w:rPr>
          <w:color w:val="000000" w:themeColor="text1"/>
        </w:rPr>
        <w:fldChar w:fldCharType="end"/>
      </w:r>
    </w:p>
    <w:p w14:paraId="5BB62985">
      <w:pPr>
        <w:pStyle w:val="24"/>
        <w:tabs>
          <w:tab w:val="right" w:leader="dot" w:pos="8306"/>
          <w:tab w:val="clear" w:pos="8296"/>
        </w:tabs>
      </w:pPr>
      <w:r>
        <w:rPr>
          <w:color w:val="000000" w:themeColor="text1"/>
        </w:rPr>
        <w:fldChar w:fldCharType="begin"/>
      </w:r>
      <w:r>
        <w:instrText xml:space="preserve"> HYPERLINK \l _Toc19003 </w:instrText>
      </w:r>
      <w:r>
        <w:fldChar w:fldCharType="separate"/>
      </w:r>
      <w:r>
        <w:rPr>
          <w:rFonts w:hint="eastAsia"/>
        </w:rPr>
        <w:t>十一、合同修改与解除</w:t>
      </w:r>
      <w:r>
        <w:tab/>
      </w:r>
      <w:r>
        <w:fldChar w:fldCharType="begin"/>
      </w:r>
      <w:r>
        <w:instrText xml:space="preserve"> PAGEREF _Toc19003 \h </w:instrText>
      </w:r>
      <w:r>
        <w:fldChar w:fldCharType="separate"/>
      </w:r>
      <w:r>
        <w:t>35</w:t>
      </w:r>
      <w:r>
        <w:fldChar w:fldCharType="end"/>
      </w:r>
      <w:r>
        <w:rPr>
          <w:color w:val="000000" w:themeColor="text1"/>
        </w:rPr>
        <w:fldChar w:fldCharType="end"/>
      </w:r>
    </w:p>
    <w:p w14:paraId="51DD8D28">
      <w:pPr>
        <w:pStyle w:val="24"/>
        <w:tabs>
          <w:tab w:val="right" w:leader="dot" w:pos="8306"/>
          <w:tab w:val="clear" w:pos="8296"/>
        </w:tabs>
      </w:pPr>
      <w:r>
        <w:rPr>
          <w:color w:val="000000" w:themeColor="text1"/>
        </w:rPr>
        <w:fldChar w:fldCharType="begin"/>
      </w:r>
      <w:r>
        <w:instrText xml:space="preserve"> HYPERLINK \l _Toc11684 </w:instrText>
      </w:r>
      <w:r>
        <w:fldChar w:fldCharType="separate"/>
      </w:r>
      <w:r>
        <w:rPr>
          <w:rFonts w:hint="eastAsia"/>
        </w:rPr>
        <w:t>十二、违约责任</w:t>
      </w:r>
      <w:r>
        <w:tab/>
      </w:r>
      <w:r>
        <w:fldChar w:fldCharType="begin"/>
      </w:r>
      <w:r>
        <w:instrText xml:space="preserve"> PAGEREF _Toc11684 \h </w:instrText>
      </w:r>
      <w:r>
        <w:fldChar w:fldCharType="separate"/>
      </w:r>
      <w:r>
        <w:t>36</w:t>
      </w:r>
      <w:r>
        <w:fldChar w:fldCharType="end"/>
      </w:r>
      <w:r>
        <w:rPr>
          <w:color w:val="000000" w:themeColor="text1"/>
        </w:rPr>
        <w:fldChar w:fldCharType="end"/>
      </w:r>
    </w:p>
    <w:p w14:paraId="7481C3E6">
      <w:pPr>
        <w:pStyle w:val="24"/>
        <w:tabs>
          <w:tab w:val="right" w:leader="dot" w:pos="8306"/>
          <w:tab w:val="clear" w:pos="8296"/>
        </w:tabs>
      </w:pPr>
      <w:r>
        <w:rPr>
          <w:color w:val="000000" w:themeColor="text1"/>
        </w:rPr>
        <w:fldChar w:fldCharType="begin"/>
      </w:r>
      <w:r>
        <w:instrText xml:space="preserve"> HYPERLINK \l _Toc20578 </w:instrText>
      </w:r>
      <w:r>
        <w:fldChar w:fldCharType="separate"/>
      </w:r>
      <w:r>
        <w:rPr>
          <w:rFonts w:hint="eastAsia"/>
        </w:rPr>
        <w:t>十三、不可抗力事件处理</w:t>
      </w:r>
      <w:r>
        <w:tab/>
      </w:r>
      <w:r>
        <w:fldChar w:fldCharType="begin"/>
      </w:r>
      <w:r>
        <w:instrText xml:space="preserve"> PAGEREF _Toc20578 \h </w:instrText>
      </w:r>
      <w:r>
        <w:fldChar w:fldCharType="separate"/>
      </w:r>
      <w:r>
        <w:t>36</w:t>
      </w:r>
      <w:r>
        <w:fldChar w:fldCharType="end"/>
      </w:r>
      <w:r>
        <w:rPr>
          <w:color w:val="000000" w:themeColor="text1"/>
        </w:rPr>
        <w:fldChar w:fldCharType="end"/>
      </w:r>
    </w:p>
    <w:p w14:paraId="047DA879">
      <w:pPr>
        <w:pStyle w:val="24"/>
        <w:tabs>
          <w:tab w:val="right" w:leader="dot" w:pos="8306"/>
          <w:tab w:val="clear" w:pos="8296"/>
        </w:tabs>
      </w:pPr>
      <w:r>
        <w:rPr>
          <w:color w:val="000000" w:themeColor="text1"/>
        </w:rPr>
        <w:fldChar w:fldCharType="begin"/>
      </w:r>
      <w:r>
        <w:instrText xml:space="preserve"> HYPERLINK \l _Toc28266 </w:instrText>
      </w:r>
      <w:r>
        <w:fldChar w:fldCharType="separate"/>
      </w:r>
      <w:r>
        <w:rPr>
          <w:rFonts w:hint="eastAsia"/>
        </w:rPr>
        <w:t>十四、诉讼</w:t>
      </w:r>
      <w:r>
        <w:tab/>
      </w:r>
      <w:r>
        <w:fldChar w:fldCharType="begin"/>
      </w:r>
      <w:r>
        <w:instrText xml:space="preserve"> PAGEREF _Toc28266 \h </w:instrText>
      </w:r>
      <w:r>
        <w:fldChar w:fldCharType="separate"/>
      </w:r>
      <w:r>
        <w:t>36</w:t>
      </w:r>
      <w:r>
        <w:fldChar w:fldCharType="end"/>
      </w:r>
      <w:r>
        <w:rPr>
          <w:color w:val="000000" w:themeColor="text1"/>
        </w:rPr>
        <w:fldChar w:fldCharType="end"/>
      </w:r>
    </w:p>
    <w:p w14:paraId="702989C7">
      <w:pPr>
        <w:pStyle w:val="24"/>
        <w:tabs>
          <w:tab w:val="right" w:leader="dot" w:pos="8306"/>
          <w:tab w:val="clear" w:pos="8296"/>
        </w:tabs>
      </w:pPr>
      <w:r>
        <w:rPr>
          <w:color w:val="000000" w:themeColor="text1"/>
        </w:rPr>
        <w:fldChar w:fldCharType="begin"/>
      </w:r>
      <w:r>
        <w:instrText xml:space="preserve"> HYPERLINK \l _Toc31225 </w:instrText>
      </w:r>
      <w:r>
        <w:fldChar w:fldCharType="separate"/>
      </w:r>
      <w:r>
        <w:rPr>
          <w:rFonts w:hint="eastAsia"/>
        </w:rPr>
        <w:t>十五、合同生效及其它</w:t>
      </w:r>
      <w:r>
        <w:tab/>
      </w:r>
      <w:r>
        <w:fldChar w:fldCharType="begin"/>
      </w:r>
      <w:r>
        <w:instrText xml:space="preserve"> PAGEREF _Toc31225 \h </w:instrText>
      </w:r>
      <w:r>
        <w:fldChar w:fldCharType="separate"/>
      </w:r>
      <w:r>
        <w:t>36</w:t>
      </w:r>
      <w:r>
        <w:fldChar w:fldCharType="end"/>
      </w:r>
      <w:r>
        <w:rPr>
          <w:color w:val="000000" w:themeColor="text1"/>
        </w:rPr>
        <w:fldChar w:fldCharType="end"/>
      </w:r>
    </w:p>
    <w:p w14:paraId="59970C85">
      <w:pPr>
        <w:pStyle w:val="24"/>
        <w:tabs>
          <w:tab w:val="right" w:leader="dot" w:pos="8306"/>
          <w:tab w:val="clear" w:pos="8296"/>
        </w:tabs>
      </w:pPr>
      <w:r>
        <w:rPr>
          <w:color w:val="000000" w:themeColor="text1"/>
        </w:rPr>
        <w:fldChar w:fldCharType="begin"/>
      </w:r>
      <w:r>
        <w:instrText xml:space="preserve"> HYPERLINK \l _Toc32009 </w:instrText>
      </w:r>
      <w:r>
        <w:fldChar w:fldCharType="separate"/>
      </w:r>
      <w:r>
        <w:rPr>
          <w:rFonts w:hint="eastAsia"/>
        </w:rPr>
        <w:t>龙游县公安局交通警察大队食堂管理考核办法</w:t>
      </w:r>
      <w:r>
        <w:tab/>
      </w:r>
      <w:r>
        <w:fldChar w:fldCharType="begin"/>
      </w:r>
      <w:r>
        <w:instrText xml:space="preserve"> PAGEREF _Toc32009 \h </w:instrText>
      </w:r>
      <w:r>
        <w:fldChar w:fldCharType="separate"/>
      </w:r>
      <w:r>
        <w:t>38</w:t>
      </w:r>
      <w:r>
        <w:fldChar w:fldCharType="end"/>
      </w:r>
      <w:r>
        <w:rPr>
          <w:color w:val="000000" w:themeColor="text1"/>
        </w:rPr>
        <w:fldChar w:fldCharType="end"/>
      </w:r>
    </w:p>
    <w:p w14:paraId="634EF5C6">
      <w:pPr>
        <w:pStyle w:val="24"/>
        <w:tabs>
          <w:tab w:val="right" w:leader="dot" w:pos="8306"/>
          <w:tab w:val="clear" w:pos="8296"/>
        </w:tabs>
      </w:pPr>
      <w:r>
        <w:rPr>
          <w:color w:val="000000" w:themeColor="text1"/>
        </w:rPr>
        <w:fldChar w:fldCharType="begin"/>
      </w:r>
      <w:r>
        <w:instrText xml:space="preserve"> HYPERLINK \l _Toc16015 </w:instrText>
      </w:r>
      <w:r>
        <w:fldChar w:fldCharType="separate"/>
      </w:r>
      <w:r>
        <w:rPr>
          <w:rFonts w:hint="eastAsia"/>
        </w:rPr>
        <w:t>附表一：食堂管理考核细则</w:t>
      </w:r>
      <w:r>
        <w:tab/>
      </w:r>
      <w:r>
        <w:fldChar w:fldCharType="begin"/>
      </w:r>
      <w:r>
        <w:instrText xml:space="preserve"> PAGEREF _Toc16015 \h </w:instrText>
      </w:r>
      <w:r>
        <w:fldChar w:fldCharType="separate"/>
      </w:r>
      <w:r>
        <w:t>39</w:t>
      </w:r>
      <w:r>
        <w:fldChar w:fldCharType="end"/>
      </w:r>
      <w:r>
        <w:rPr>
          <w:color w:val="000000" w:themeColor="text1"/>
        </w:rPr>
        <w:fldChar w:fldCharType="end"/>
      </w:r>
    </w:p>
    <w:p w14:paraId="3907DDA7">
      <w:pPr>
        <w:pStyle w:val="24"/>
        <w:tabs>
          <w:tab w:val="right" w:leader="dot" w:pos="8306"/>
          <w:tab w:val="clear" w:pos="8296"/>
        </w:tabs>
      </w:pPr>
      <w:r>
        <w:rPr>
          <w:color w:val="000000" w:themeColor="text1"/>
        </w:rPr>
        <w:fldChar w:fldCharType="begin"/>
      </w:r>
      <w:r>
        <w:instrText xml:space="preserve"> HYPERLINK \l _Toc9741 </w:instrText>
      </w:r>
      <w:r>
        <w:fldChar w:fldCharType="separate"/>
      </w:r>
      <w:r>
        <w:rPr>
          <w:rFonts w:hint="eastAsia"/>
        </w:rPr>
        <w:t>附表二：食堂满意度调查表</w:t>
      </w:r>
      <w:r>
        <w:tab/>
      </w:r>
      <w:r>
        <w:fldChar w:fldCharType="begin"/>
      </w:r>
      <w:r>
        <w:instrText xml:space="preserve"> PAGEREF _Toc9741 \h </w:instrText>
      </w:r>
      <w:r>
        <w:fldChar w:fldCharType="separate"/>
      </w:r>
      <w:r>
        <w:t>41</w:t>
      </w:r>
      <w:r>
        <w:fldChar w:fldCharType="end"/>
      </w:r>
      <w:r>
        <w:rPr>
          <w:color w:val="000000" w:themeColor="text1"/>
        </w:rPr>
        <w:fldChar w:fldCharType="end"/>
      </w:r>
    </w:p>
    <w:p w14:paraId="7D8CE4CB">
      <w:pPr>
        <w:pStyle w:val="21"/>
        <w:tabs>
          <w:tab w:val="right" w:leader="dot" w:pos="8306"/>
          <w:tab w:val="clear" w:pos="1470"/>
          <w:tab w:val="clear" w:pos="8296"/>
        </w:tabs>
      </w:pPr>
      <w:r>
        <w:rPr>
          <w:color w:val="000000" w:themeColor="text1"/>
        </w:rPr>
        <w:fldChar w:fldCharType="begin"/>
      </w:r>
      <w:r>
        <w:instrText xml:space="preserve"> HYPERLINK \l _Toc1748 </w:instrText>
      </w:r>
      <w:r>
        <w:fldChar w:fldCharType="separate"/>
      </w:r>
      <w:r>
        <w:t>第</w:t>
      </w:r>
      <w:r>
        <w:rPr>
          <w:rFonts w:hint="eastAsia"/>
        </w:rPr>
        <w:t>六</w:t>
      </w:r>
      <w:r>
        <w:t>章</w:t>
      </w:r>
      <w:r>
        <w:rPr>
          <w:rFonts w:hint="eastAsia"/>
        </w:rPr>
        <w:t xml:space="preserve">  评审办法和评分标准</w:t>
      </w:r>
      <w:r>
        <w:tab/>
      </w:r>
      <w:r>
        <w:fldChar w:fldCharType="begin"/>
      </w:r>
      <w:r>
        <w:instrText xml:space="preserve"> PAGEREF _Toc1748 \h </w:instrText>
      </w:r>
      <w:r>
        <w:fldChar w:fldCharType="separate"/>
      </w:r>
      <w:r>
        <w:t>42</w:t>
      </w:r>
      <w:r>
        <w:fldChar w:fldCharType="end"/>
      </w:r>
      <w:r>
        <w:rPr>
          <w:color w:val="000000" w:themeColor="text1"/>
        </w:rPr>
        <w:fldChar w:fldCharType="end"/>
      </w:r>
    </w:p>
    <w:p w14:paraId="49B87833">
      <w:pPr>
        <w:pStyle w:val="24"/>
        <w:tabs>
          <w:tab w:val="right" w:leader="dot" w:pos="8306"/>
          <w:tab w:val="clear" w:pos="8296"/>
        </w:tabs>
      </w:pPr>
      <w:r>
        <w:rPr>
          <w:color w:val="000000" w:themeColor="text1"/>
        </w:rPr>
        <w:fldChar w:fldCharType="begin"/>
      </w:r>
      <w:r>
        <w:instrText xml:space="preserve"> HYPERLINK \l _Toc3184 </w:instrText>
      </w:r>
      <w:r>
        <w:fldChar w:fldCharType="separate"/>
      </w:r>
      <w:r>
        <w:rPr>
          <w:rFonts w:hint="eastAsia"/>
        </w:rPr>
        <w:t>一、总则</w:t>
      </w:r>
      <w:r>
        <w:tab/>
      </w:r>
      <w:r>
        <w:fldChar w:fldCharType="begin"/>
      </w:r>
      <w:r>
        <w:instrText xml:space="preserve"> PAGEREF _Toc3184 \h </w:instrText>
      </w:r>
      <w:r>
        <w:fldChar w:fldCharType="separate"/>
      </w:r>
      <w:r>
        <w:t>42</w:t>
      </w:r>
      <w:r>
        <w:fldChar w:fldCharType="end"/>
      </w:r>
      <w:r>
        <w:rPr>
          <w:color w:val="000000" w:themeColor="text1"/>
        </w:rPr>
        <w:fldChar w:fldCharType="end"/>
      </w:r>
    </w:p>
    <w:p w14:paraId="46D3EB80">
      <w:pPr>
        <w:pStyle w:val="24"/>
        <w:tabs>
          <w:tab w:val="right" w:leader="dot" w:pos="8306"/>
          <w:tab w:val="clear" w:pos="8296"/>
        </w:tabs>
      </w:pPr>
      <w:r>
        <w:rPr>
          <w:color w:val="000000" w:themeColor="text1"/>
        </w:rPr>
        <w:fldChar w:fldCharType="begin"/>
      </w:r>
      <w:r>
        <w:instrText xml:space="preserve"> HYPERLINK \l _Toc31416 </w:instrText>
      </w:r>
      <w:r>
        <w:fldChar w:fldCharType="separate"/>
      </w:r>
      <w:r>
        <w:rPr>
          <w:rFonts w:hint="eastAsia"/>
        </w:rPr>
        <w:t>二、组建评审小组</w:t>
      </w:r>
      <w:r>
        <w:tab/>
      </w:r>
      <w:r>
        <w:fldChar w:fldCharType="begin"/>
      </w:r>
      <w:r>
        <w:instrText xml:space="preserve"> PAGEREF _Toc31416 \h </w:instrText>
      </w:r>
      <w:r>
        <w:fldChar w:fldCharType="separate"/>
      </w:r>
      <w:r>
        <w:t>42</w:t>
      </w:r>
      <w:r>
        <w:fldChar w:fldCharType="end"/>
      </w:r>
      <w:r>
        <w:rPr>
          <w:color w:val="000000" w:themeColor="text1"/>
        </w:rPr>
        <w:fldChar w:fldCharType="end"/>
      </w:r>
    </w:p>
    <w:p w14:paraId="05504283">
      <w:pPr>
        <w:pStyle w:val="24"/>
        <w:tabs>
          <w:tab w:val="right" w:leader="dot" w:pos="8306"/>
          <w:tab w:val="clear" w:pos="8296"/>
        </w:tabs>
      </w:pPr>
      <w:r>
        <w:rPr>
          <w:color w:val="000000" w:themeColor="text1"/>
        </w:rPr>
        <w:fldChar w:fldCharType="begin"/>
      </w:r>
      <w:r>
        <w:instrText xml:space="preserve"> HYPERLINK \l _Toc3512 </w:instrText>
      </w:r>
      <w:r>
        <w:fldChar w:fldCharType="separate"/>
      </w:r>
      <w:r>
        <w:rPr>
          <w:rFonts w:hint="eastAsia"/>
        </w:rPr>
        <w:t>三、评审原则</w:t>
      </w:r>
      <w:r>
        <w:tab/>
      </w:r>
      <w:r>
        <w:fldChar w:fldCharType="begin"/>
      </w:r>
      <w:r>
        <w:instrText xml:space="preserve"> PAGEREF _Toc3512 \h </w:instrText>
      </w:r>
      <w:r>
        <w:fldChar w:fldCharType="separate"/>
      </w:r>
      <w:r>
        <w:t>42</w:t>
      </w:r>
      <w:r>
        <w:fldChar w:fldCharType="end"/>
      </w:r>
      <w:r>
        <w:rPr>
          <w:color w:val="000000" w:themeColor="text1"/>
        </w:rPr>
        <w:fldChar w:fldCharType="end"/>
      </w:r>
    </w:p>
    <w:p w14:paraId="7A6B3838">
      <w:pPr>
        <w:pStyle w:val="24"/>
        <w:tabs>
          <w:tab w:val="right" w:leader="dot" w:pos="8306"/>
          <w:tab w:val="clear" w:pos="8296"/>
        </w:tabs>
      </w:pPr>
      <w:r>
        <w:rPr>
          <w:color w:val="000000" w:themeColor="text1"/>
        </w:rPr>
        <w:fldChar w:fldCharType="begin"/>
      </w:r>
      <w:r>
        <w:instrText xml:space="preserve"> HYPERLINK \l _Toc27039 </w:instrText>
      </w:r>
      <w:r>
        <w:fldChar w:fldCharType="separate"/>
      </w:r>
      <w:r>
        <w:rPr>
          <w:rFonts w:hint="eastAsia"/>
        </w:rPr>
        <w:t>四、评审小组履行下列职责</w:t>
      </w:r>
      <w:r>
        <w:tab/>
      </w:r>
      <w:r>
        <w:fldChar w:fldCharType="begin"/>
      </w:r>
      <w:r>
        <w:instrText xml:space="preserve"> PAGEREF _Toc27039 \h </w:instrText>
      </w:r>
      <w:r>
        <w:fldChar w:fldCharType="separate"/>
      </w:r>
      <w:r>
        <w:t>43</w:t>
      </w:r>
      <w:r>
        <w:fldChar w:fldCharType="end"/>
      </w:r>
      <w:r>
        <w:rPr>
          <w:color w:val="000000" w:themeColor="text1"/>
        </w:rPr>
        <w:fldChar w:fldCharType="end"/>
      </w:r>
    </w:p>
    <w:p w14:paraId="6C1A17EC">
      <w:pPr>
        <w:pStyle w:val="24"/>
        <w:tabs>
          <w:tab w:val="right" w:leader="dot" w:pos="8306"/>
          <w:tab w:val="clear" w:pos="8296"/>
        </w:tabs>
      </w:pPr>
      <w:r>
        <w:rPr>
          <w:color w:val="000000" w:themeColor="text1"/>
        </w:rPr>
        <w:fldChar w:fldCharType="begin"/>
      </w:r>
      <w:r>
        <w:instrText xml:space="preserve"> HYPERLINK \l _Toc19432 </w:instrText>
      </w:r>
      <w:r>
        <w:fldChar w:fldCharType="separate"/>
      </w:r>
      <w:r>
        <w:rPr>
          <w:rFonts w:hint="eastAsia"/>
        </w:rPr>
        <w:t>五、评审工作纪律</w:t>
      </w:r>
      <w:r>
        <w:tab/>
      </w:r>
      <w:r>
        <w:fldChar w:fldCharType="begin"/>
      </w:r>
      <w:r>
        <w:instrText xml:space="preserve"> PAGEREF _Toc19432 \h </w:instrText>
      </w:r>
      <w:r>
        <w:fldChar w:fldCharType="separate"/>
      </w:r>
      <w:r>
        <w:t>43</w:t>
      </w:r>
      <w:r>
        <w:fldChar w:fldCharType="end"/>
      </w:r>
      <w:r>
        <w:rPr>
          <w:color w:val="000000" w:themeColor="text1"/>
        </w:rPr>
        <w:fldChar w:fldCharType="end"/>
      </w:r>
    </w:p>
    <w:p w14:paraId="550168A6">
      <w:pPr>
        <w:pStyle w:val="24"/>
        <w:tabs>
          <w:tab w:val="right" w:leader="dot" w:pos="8306"/>
          <w:tab w:val="clear" w:pos="8296"/>
        </w:tabs>
      </w:pPr>
      <w:r>
        <w:rPr>
          <w:color w:val="000000" w:themeColor="text1"/>
        </w:rPr>
        <w:fldChar w:fldCharType="begin"/>
      </w:r>
      <w:r>
        <w:instrText xml:space="preserve"> HYPERLINK \l _Toc25854 </w:instrText>
      </w:r>
      <w:r>
        <w:fldChar w:fldCharType="separate"/>
      </w:r>
      <w:r>
        <w:rPr>
          <w:rFonts w:hint="eastAsia"/>
        </w:rPr>
        <w:t>六、评审程序</w:t>
      </w:r>
      <w:r>
        <w:tab/>
      </w:r>
      <w:r>
        <w:fldChar w:fldCharType="begin"/>
      </w:r>
      <w:r>
        <w:instrText xml:space="preserve"> PAGEREF _Toc25854 \h </w:instrText>
      </w:r>
      <w:r>
        <w:fldChar w:fldCharType="separate"/>
      </w:r>
      <w:r>
        <w:t>44</w:t>
      </w:r>
      <w:r>
        <w:fldChar w:fldCharType="end"/>
      </w:r>
      <w:r>
        <w:rPr>
          <w:color w:val="000000" w:themeColor="text1"/>
        </w:rPr>
        <w:fldChar w:fldCharType="end"/>
      </w:r>
    </w:p>
    <w:p w14:paraId="56876C35">
      <w:pPr>
        <w:pStyle w:val="24"/>
        <w:tabs>
          <w:tab w:val="right" w:leader="dot" w:pos="8306"/>
          <w:tab w:val="clear" w:pos="8296"/>
        </w:tabs>
      </w:pPr>
      <w:r>
        <w:rPr>
          <w:color w:val="000000" w:themeColor="text1"/>
        </w:rPr>
        <w:fldChar w:fldCharType="begin"/>
      </w:r>
      <w:r>
        <w:instrText xml:space="preserve"> HYPERLINK \l _Toc13337 </w:instrText>
      </w:r>
      <w:r>
        <w:fldChar w:fldCharType="separate"/>
      </w:r>
      <w:r>
        <w:rPr>
          <w:rFonts w:hint="eastAsia"/>
        </w:rPr>
        <w:t>七、澄清、说明或补正</w:t>
      </w:r>
      <w:r>
        <w:tab/>
      </w:r>
      <w:r>
        <w:fldChar w:fldCharType="begin"/>
      </w:r>
      <w:r>
        <w:instrText xml:space="preserve"> PAGEREF _Toc13337 \h </w:instrText>
      </w:r>
      <w:r>
        <w:fldChar w:fldCharType="separate"/>
      </w:r>
      <w:r>
        <w:t>44</w:t>
      </w:r>
      <w:r>
        <w:fldChar w:fldCharType="end"/>
      </w:r>
      <w:r>
        <w:rPr>
          <w:color w:val="000000" w:themeColor="text1"/>
        </w:rPr>
        <w:fldChar w:fldCharType="end"/>
      </w:r>
    </w:p>
    <w:p w14:paraId="0407F4D2">
      <w:pPr>
        <w:pStyle w:val="24"/>
        <w:tabs>
          <w:tab w:val="right" w:leader="dot" w:pos="8306"/>
          <w:tab w:val="clear" w:pos="8296"/>
        </w:tabs>
      </w:pPr>
      <w:r>
        <w:rPr>
          <w:color w:val="000000" w:themeColor="text1"/>
        </w:rPr>
        <w:fldChar w:fldCharType="begin"/>
      </w:r>
      <w:r>
        <w:instrText xml:space="preserve"> HYPERLINK \l _Toc10529 </w:instrText>
      </w:r>
      <w:r>
        <w:fldChar w:fldCharType="separate"/>
      </w:r>
      <w:r>
        <w:rPr>
          <w:rFonts w:hint="eastAsia"/>
        </w:rPr>
        <w:t>八、推荐中标人</w:t>
      </w:r>
      <w:r>
        <w:tab/>
      </w:r>
      <w:r>
        <w:fldChar w:fldCharType="begin"/>
      </w:r>
      <w:r>
        <w:instrText xml:space="preserve"> PAGEREF _Toc10529 \h </w:instrText>
      </w:r>
      <w:r>
        <w:fldChar w:fldCharType="separate"/>
      </w:r>
      <w:r>
        <w:t>45</w:t>
      </w:r>
      <w:r>
        <w:fldChar w:fldCharType="end"/>
      </w:r>
      <w:r>
        <w:rPr>
          <w:color w:val="000000" w:themeColor="text1"/>
        </w:rPr>
        <w:fldChar w:fldCharType="end"/>
      </w:r>
    </w:p>
    <w:p w14:paraId="0E12E774">
      <w:pPr>
        <w:pStyle w:val="24"/>
        <w:tabs>
          <w:tab w:val="right" w:leader="dot" w:pos="8306"/>
          <w:tab w:val="clear" w:pos="8296"/>
        </w:tabs>
      </w:pPr>
      <w:r>
        <w:rPr>
          <w:color w:val="000000" w:themeColor="text1"/>
        </w:rPr>
        <w:fldChar w:fldCharType="begin"/>
      </w:r>
      <w:r>
        <w:instrText xml:space="preserve"> HYPERLINK \l _Toc20148 </w:instrText>
      </w:r>
      <w:r>
        <w:fldChar w:fldCharType="separate"/>
      </w:r>
      <w:r>
        <w:rPr>
          <w:rFonts w:hint="eastAsia"/>
        </w:rPr>
        <w:t>九、评审报告</w:t>
      </w:r>
      <w:r>
        <w:tab/>
      </w:r>
      <w:r>
        <w:fldChar w:fldCharType="begin"/>
      </w:r>
      <w:r>
        <w:instrText xml:space="preserve"> PAGEREF _Toc20148 \h </w:instrText>
      </w:r>
      <w:r>
        <w:fldChar w:fldCharType="separate"/>
      </w:r>
      <w:r>
        <w:t>45</w:t>
      </w:r>
      <w:r>
        <w:fldChar w:fldCharType="end"/>
      </w:r>
      <w:r>
        <w:rPr>
          <w:color w:val="000000" w:themeColor="text1"/>
        </w:rPr>
        <w:fldChar w:fldCharType="end"/>
      </w:r>
    </w:p>
    <w:p w14:paraId="6C10C5A6">
      <w:pPr>
        <w:pStyle w:val="24"/>
        <w:tabs>
          <w:tab w:val="right" w:leader="dot" w:pos="8306"/>
          <w:tab w:val="clear" w:pos="8296"/>
        </w:tabs>
      </w:pPr>
      <w:r>
        <w:rPr>
          <w:color w:val="000000" w:themeColor="text1"/>
        </w:rPr>
        <w:fldChar w:fldCharType="begin"/>
      </w:r>
      <w:r>
        <w:instrText xml:space="preserve"> HYPERLINK \l _Toc3307 </w:instrText>
      </w:r>
      <w:r>
        <w:fldChar w:fldCharType="separate"/>
      </w:r>
      <w:r>
        <w:rPr>
          <w:rFonts w:hint="eastAsia"/>
        </w:rPr>
        <w:t>十、评分细则及标准</w:t>
      </w:r>
      <w:r>
        <w:tab/>
      </w:r>
      <w:r>
        <w:fldChar w:fldCharType="begin"/>
      </w:r>
      <w:r>
        <w:instrText xml:space="preserve"> PAGEREF _Toc3307 \h </w:instrText>
      </w:r>
      <w:r>
        <w:fldChar w:fldCharType="separate"/>
      </w:r>
      <w:r>
        <w:t>45</w:t>
      </w:r>
      <w:r>
        <w:fldChar w:fldCharType="end"/>
      </w:r>
      <w:r>
        <w:rPr>
          <w:color w:val="000000" w:themeColor="text1"/>
        </w:rPr>
        <w:fldChar w:fldCharType="end"/>
      </w:r>
    </w:p>
    <w:p w14:paraId="28A3C6D7">
      <w:pPr>
        <w:pStyle w:val="24"/>
        <w:tabs>
          <w:tab w:val="right" w:leader="dot" w:pos="8306"/>
          <w:tab w:val="clear" w:pos="8296"/>
        </w:tabs>
      </w:pPr>
      <w:r>
        <w:rPr>
          <w:color w:val="000000" w:themeColor="text1"/>
        </w:rPr>
        <w:fldChar w:fldCharType="begin"/>
      </w:r>
      <w:r>
        <w:instrText xml:space="preserve"> HYPERLINK \l _Toc20131 </w:instrText>
      </w:r>
      <w:r>
        <w:fldChar w:fldCharType="separate"/>
      </w:r>
      <w:r>
        <w:t>十一、</w:t>
      </w:r>
      <w:r>
        <w:rPr>
          <w:rFonts w:hint="eastAsia"/>
        </w:rPr>
        <w:t>投标</w:t>
      </w:r>
      <w:r>
        <w:t>或中标无效情形</w:t>
      </w:r>
      <w:r>
        <w:tab/>
      </w:r>
      <w:r>
        <w:fldChar w:fldCharType="begin"/>
      </w:r>
      <w:r>
        <w:instrText xml:space="preserve"> PAGEREF _Toc20131 \h </w:instrText>
      </w:r>
      <w:r>
        <w:fldChar w:fldCharType="separate"/>
      </w:r>
      <w:r>
        <w:t>48</w:t>
      </w:r>
      <w:r>
        <w:fldChar w:fldCharType="end"/>
      </w:r>
      <w:r>
        <w:rPr>
          <w:color w:val="000000" w:themeColor="text1"/>
        </w:rPr>
        <w:fldChar w:fldCharType="end"/>
      </w:r>
    </w:p>
    <w:p w14:paraId="120C8555">
      <w:pPr>
        <w:pStyle w:val="24"/>
        <w:tabs>
          <w:tab w:val="right" w:leader="dot" w:pos="8306"/>
          <w:tab w:val="clear" w:pos="8296"/>
        </w:tabs>
      </w:pPr>
      <w:r>
        <w:rPr>
          <w:color w:val="000000" w:themeColor="text1"/>
        </w:rPr>
        <w:fldChar w:fldCharType="begin"/>
      </w:r>
      <w:r>
        <w:instrText xml:space="preserve"> HYPERLINK \l _Toc14544 </w:instrText>
      </w:r>
      <w:r>
        <w:fldChar w:fldCharType="separate"/>
      </w:r>
      <w:r>
        <w:t>十二、串通</w:t>
      </w:r>
      <w:r>
        <w:rPr>
          <w:rFonts w:hint="eastAsia"/>
        </w:rPr>
        <w:t>投标</w:t>
      </w:r>
      <w:r>
        <w:t>情形</w:t>
      </w:r>
      <w:r>
        <w:tab/>
      </w:r>
      <w:r>
        <w:fldChar w:fldCharType="begin"/>
      </w:r>
      <w:r>
        <w:instrText xml:space="preserve"> PAGEREF _Toc14544 \h </w:instrText>
      </w:r>
      <w:r>
        <w:fldChar w:fldCharType="separate"/>
      </w:r>
      <w:r>
        <w:t>48</w:t>
      </w:r>
      <w:r>
        <w:fldChar w:fldCharType="end"/>
      </w:r>
      <w:r>
        <w:rPr>
          <w:color w:val="000000" w:themeColor="text1"/>
        </w:rPr>
        <w:fldChar w:fldCharType="end"/>
      </w:r>
    </w:p>
    <w:p w14:paraId="698E0C1A">
      <w:pPr>
        <w:pStyle w:val="24"/>
        <w:tabs>
          <w:tab w:val="right" w:leader="dot" w:pos="8306"/>
          <w:tab w:val="clear" w:pos="8296"/>
        </w:tabs>
      </w:pPr>
      <w:r>
        <w:rPr>
          <w:color w:val="000000" w:themeColor="text1"/>
        </w:rPr>
        <w:fldChar w:fldCharType="begin"/>
      </w:r>
      <w:r>
        <w:instrText xml:space="preserve"> HYPERLINK \l _Toc16123 </w:instrText>
      </w:r>
      <w:r>
        <w:fldChar w:fldCharType="separate"/>
      </w:r>
      <w:r>
        <w:t>十三、</w:t>
      </w:r>
      <w:r>
        <w:rPr>
          <w:rFonts w:hint="eastAsia"/>
        </w:rPr>
        <w:t>废标情形</w:t>
      </w:r>
      <w:r>
        <w:tab/>
      </w:r>
      <w:r>
        <w:fldChar w:fldCharType="begin"/>
      </w:r>
      <w:r>
        <w:instrText xml:space="preserve"> PAGEREF _Toc16123 \h </w:instrText>
      </w:r>
      <w:r>
        <w:fldChar w:fldCharType="separate"/>
      </w:r>
      <w:r>
        <w:t>48</w:t>
      </w:r>
      <w:r>
        <w:fldChar w:fldCharType="end"/>
      </w:r>
      <w:r>
        <w:rPr>
          <w:color w:val="000000" w:themeColor="text1"/>
        </w:rPr>
        <w:fldChar w:fldCharType="end"/>
      </w:r>
    </w:p>
    <w:p w14:paraId="611DC159">
      <w:pPr>
        <w:pStyle w:val="21"/>
        <w:tabs>
          <w:tab w:val="right" w:leader="dot" w:pos="8306"/>
          <w:tab w:val="clear" w:pos="1470"/>
          <w:tab w:val="clear" w:pos="8296"/>
        </w:tabs>
      </w:pPr>
      <w:r>
        <w:rPr>
          <w:color w:val="000000" w:themeColor="text1"/>
        </w:rPr>
        <w:fldChar w:fldCharType="begin"/>
      </w:r>
      <w:r>
        <w:instrText xml:space="preserve"> HYPERLINK \l _Toc9814 </w:instrText>
      </w:r>
      <w:r>
        <w:fldChar w:fldCharType="separate"/>
      </w:r>
      <w:r>
        <w:t>第</w:t>
      </w:r>
      <w:r>
        <w:rPr>
          <w:rFonts w:hint="eastAsia"/>
        </w:rPr>
        <w:t>七</w:t>
      </w:r>
      <w:r>
        <w:t>章</w:t>
      </w:r>
      <w:r>
        <w:rPr>
          <w:rFonts w:hint="eastAsia"/>
        </w:rPr>
        <w:t xml:space="preserve">  投标文件格式</w:t>
      </w:r>
      <w:r>
        <w:tab/>
      </w:r>
      <w:r>
        <w:fldChar w:fldCharType="begin"/>
      </w:r>
      <w:r>
        <w:instrText xml:space="preserve"> PAGEREF _Toc9814 \h </w:instrText>
      </w:r>
      <w:r>
        <w:fldChar w:fldCharType="separate"/>
      </w:r>
      <w:r>
        <w:t>50</w:t>
      </w:r>
      <w:r>
        <w:fldChar w:fldCharType="end"/>
      </w:r>
      <w:r>
        <w:rPr>
          <w:color w:val="000000" w:themeColor="text1"/>
        </w:rPr>
        <w:fldChar w:fldCharType="end"/>
      </w:r>
    </w:p>
    <w:p w14:paraId="3807C41D">
      <w:pPr>
        <w:pStyle w:val="21"/>
        <w:tabs>
          <w:tab w:val="right" w:leader="dot" w:pos="8306"/>
          <w:tab w:val="clear" w:pos="1470"/>
          <w:tab w:val="clear" w:pos="8296"/>
        </w:tabs>
      </w:pPr>
      <w:r>
        <w:rPr>
          <w:color w:val="000000" w:themeColor="text1"/>
        </w:rPr>
        <w:fldChar w:fldCharType="begin"/>
      </w:r>
      <w:r>
        <w:instrText xml:space="preserve"> HYPERLINK \l _Toc27362 </w:instrText>
      </w:r>
      <w:r>
        <w:fldChar w:fldCharType="separate"/>
      </w:r>
      <w:r>
        <w:rPr>
          <w:rFonts w:hint="eastAsia"/>
        </w:rPr>
        <w:t>资格</w:t>
      </w:r>
      <w:r>
        <w:t>审查文件</w:t>
      </w:r>
      <w:r>
        <w:tab/>
      </w:r>
      <w:r>
        <w:fldChar w:fldCharType="begin"/>
      </w:r>
      <w:r>
        <w:instrText xml:space="preserve"> PAGEREF _Toc27362 \h </w:instrText>
      </w:r>
      <w:r>
        <w:fldChar w:fldCharType="separate"/>
      </w:r>
      <w:r>
        <w:t>50</w:t>
      </w:r>
      <w:r>
        <w:fldChar w:fldCharType="end"/>
      </w:r>
      <w:r>
        <w:rPr>
          <w:color w:val="000000" w:themeColor="text1"/>
        </w:rPr>
        <w:fldChar w:fldCharType="end"/>
      </w:r>
    </w:p>
    <w:p w14:paraId="524DC973">
      <w:pPr>
        <w:pStyle w:val="24"/>
        <w:tabs>
          <w:tab w:val="right" w:leader="dot" w:pos="8306"/>
          <w:tab w:val="clear" w:pos="8296"/>
        </w:tabs>
      </w:pPr>
      <w:r>
        <w:rPr>
          <w:color w:val="000000" w:themeColor="text1"/>
        </w:rPr>
        <w:fldChar w:fldCharType="begin"/>
      </w:r>
      <w:r>
        <w:instrText xml:space="preserve"> HYPERLINK \l _Toc13532 </w:instrText>
      </w:r>
      <w:r>
        <w:fldChar w:fldCharType="separate"/>
      </w:r>
      <w:r>
        <w:t>目录</w:t>
      </w:r>
      <w:r>
        <w:tab/>
      </w:r>
      <w:r>
        <w:fldChar w:fldCharType="begin"/>
      </w:r>
      <w:r>
        <w:instrText xml:space="preserve"> PAGEREF _Toc13532 \h </w:instrText>
      </w:r>
      <w:r>
        <w:fldChar w:fldCharType="separate"/>
      </w:r>
      <w:r>
        <w:t>51</w:t>
      </w:r>
      <w:r>
        <w:fldChar w:fldCharType="end"/>
      </w:r>
      <w:r>
        <w:rPr>
          <w:color w:val="000000" w:themeColor="text1"/>
        </w:rPr>
        <w:fldChar w:fldCharType="end"/>
      </w:r>
    </w:p>
    <w:p w14:paraId="016AA6AB">
      <w:pPr>
        <w:pStyle w:val="24"/>
        <w:tabs>
          <w:tab w:val="right" w:leader="dot" w:pos="8306"/>
          <w:tab w:val="clear" w:pos="8296"/>
        </w:tabs>
      </w:pPr>
      <w:r>
        <w:rPr>
          <w:color w:val="000000" w:themeColor="text1"/>
        </w:rPr>
        <w:fldChar w:fldCharType="begin"/>
      </w:r>
      <w:r>
        <w:instrText xml:space="preserve"> HYPERLINK \l _Toc14785 </w:instrText>
      </w:r>
      <w:r>
        <w:fldChar w:fldCharType="separate"/>
      </w:r>
      <w:r>
        <w:rPr>
          <w:rFonts w:hint="eastAsia"/>
        </w:rPr>
        <w:t>投标人基本情况表</w:t>
      </w:r>
      <w:r>
        <w:tab/>
      </w:r>
      <w:r>
        <w:fldChar w:fldCharType="begin"/>
      </w:r>
      <w:r>
        <w:instrText xml:space="preserve"> PAGEREF _Toc14785 \h </w:instrText>
      </w:r>
      <w:r>
        <w:fldChar w:fldCharType="separate"/>
      </w:r>
      <w:r>
        <w:t>52</w:t>
      </w:r>
      <w:r>
        <w:fldChar w:fldCharType="end"/>
      </w:r>
      <w:r>
        <w:rPr>
          <w:color w:val="000000" w:themeColor="text1"/>
        </w:rPr>
        <w:fldChar w:fldCharType="end"/>
      </w:r>
    </w:p>
    <w:p w14:paraId="2E855C89">
      <w:pPr>
        <w:pStyle w:val="24"/>
        <w:tabs>
          <w:tab w:val="right" w:leader="dot" w:pos="8306"/>
          <w:tab w:val="clear" w:pos="8296"/>
        </w:tabs>
      </w:pPr>
      <w:r>
        <w:rPr>
          <w:color w:val="000000" w:themeColor="text1"/>
        </w:rPr>
        <w:fldChar w:fldCharType="begin"/>
      </w:r>
      <w:r>
        <w:instrText xml:space="preserve"> HYPERLINK \l _Toc17798 </w:instrText>
      </w:r>
      <w:r>
        <w:fldChar w:fldCharType="separate"/>
      </w:r>
      <w:r>
        <w:rPr>
          <w:rFonts w:hint="eastAsia"/>
        </w:rPr>
        <w:t>符合参加</w:t>
      </w:r>
      <w:r>
        <w:rPr>
          <w:rFonts w:hint="eastAsia"/>
          <w:lang w:val="en-US" w:eastAsia="zh-CN"/>
        </w:rPr>
        <w:t>政府</w:t>
      </w:r>
      <w:r>
        <w:rPr>
          <w:rFonts w:hint="eastAsia"/>
        </w:rPr>
        <w:t>采购活动应当具备的一般条件的承诺函</w:t>
      </w:r>
      <w:r>
        <w:tab/>
      </w:r>
      <w:r>
        <w:fldChar w:fldCharType="begin"/>
      </w:r>
      <w:r>
        <w:instrText xml:space="preserve"> PAGEREF _Toc17798 \h </w:instrText>
      </w:r>
      <w:r>
        <w:fldChar w:fldCharType="separate"/>
      </w:r>
      <w:r>
        <w:t>53</w:t>
      </w:r>
      <w:r>
        <w:fldChar w:fldCharType="end"/>
      </w:r>
      <w:r>
        <w:rPr>
          <w:color w:val="000000" w:themeColor="text1"/>
        </w:rPr>
        <w:fldChar w:fldCharType="end"/>
      </w:r>
    </w:p>
    <w:p w14:paraId="5B9ECAB7">
      <w:pPr>
        <w:pStyle w:val="24"/>
        <w:tabs>
          <w:tab w:val="right" w:leader="dot" w:pos="8306"/>
          <w:tab w:val="clear" w:pos="8296"/>
        </w:tabs>
      </w:pPr>
      <w:r>
        <w:rPr>
          <w:color w:val="000000" w:themeColor="text1"/>
        </w:rPr>
        <w:fldChar w:fldCharType="begin"/>
      </w:r>
      <w:r>
        <w:instrText xml:space="preserve"> HYPERLINK \l _Toc18955 </w:instrText>
      </w:r>
      <w:r>
        <w:fldChar w:fldCharType="separate"/>
      </w:r>
      <w:r>
        <w:rPr>
          <w:rFonts w:hint="eastAsia"/>
        </w:rPr>
        <w:t>中小企业声明函</w:t>
      </w:r>
      <w:r>
        <w:rPr>
          <w:rFonts w:hint="eastAsia"/>
          <w:lang w:eastAsia="zh-CN"/>
        </w:rPr>
        <w:t>（</w:t>
      </w:r>
      <w:r>
        <w:rPr>
          <w:rFonts w:hint="eastAsia"/>
          <w:lang w:val="en-US" w:eastAsia="zh-CN"/>
        </w:rPr>
        <w:t>服务）</w:t>
      </w:r>
      <w:r>
        <w:tab/>
      </w:r>
      <w:r>
        <w:fldChar w:fldCharType="begin"/>
      </w:r>
      <w:r>
        <w:instrText xml:space="preserve"> PAGEREF _Toc18955 \h </w:instrText>
      </w:r>
      <w:r>
        <w:fldChar w:fldCharType="separate"/>
      </w:r>
      <w:r>
        <w:t>54</w:t>
      </w:r>
      <w:r>
        <w:fldChar w:fldCharType="end"/>
      </w:r>
      <w:r>
        <w:rPr>
          <w:color w:val="000000" w:themeColor="text1"/>
        </w:rPr>
        <w:fldChar w:fldCharType="end"/>
      </w:r>
    </w:p>
    <w:p w14:paraId="282D482E">
      <w:pPr>
        <w:pStyle w:val="24"/>
        <w:tabs>
          <w:tab w:val="right" w:leader="dot" w:pos="8306"/>
          <w:tab w:val="clear" w:pos="8296"/>
        </w:tabs>
      </w:pPr>
      <w:r>
        <w:rPr>
          <w:color w:val="000000" w:themeColor="text1"/>
        </w:rPr>
        <w:fldChar w:fldCharType="begin"/>
      </w:r>
      <w:r>
        <w:instrText xml:space="preserve"> HYPERLINK \l _Toc8047 </w:instrText>
      </w:r>
      <w:r>
        <w:fldChar w:fldCharType="separate"/>
      </w:r>
      <w:r>
        <w:rPr>
          <w:rFonts w:hint="eastAsia"/>
        </w:rPr>
        <w:t>监狱企业声明函</w:t>
      </w:r>
      <w:r>
        <w:tab/>
      </w:r>
      <w:r>
        <w:fldChar w:fldCharType="begin"/>
      </w:r>
      <w:r>
        <w:instrText xml:space="preserve"> PAGEREF _Toc8047 \h </w:instrText>
      </w:r>
      <w:r>
        <w:fldChar w:fldCharType="separate"/>
      </w:r>
      <w:r>
        <w:t>55</w:t>
      </w:r>
      <w:r>
        <w:fldChar w:fldCharType="end"/>
      </w:r>
      <w:r>
        <w:rPr>
          <w:color w:val="000000" w:themeColor="text1"/>
        </w:rPr>
        <w:fldChar w:fldCharType="end"/>
      </w:r>
    </w:p>
    <w:p w14:paraId="178545A5">
      <w:pPr>
        <w:pStyle w:val="24"/>
        <w:tabs>
          <w:tab w:val="right" w:leader="dot" w:pos="8306"/>
          <w:tab w:val="clear" w:pos="8296"/>
        </w:tabs>
      </w:pPr>
      <w:r>
        <w:rPr>
          <w:color w:val="000000" w:themeColor="text1"/>
        </w:rPr>
        <w:fldChar w:fldCharType="begin"/>
      </w:r>
      <w:r>
        <w:instrText xml:space="preserve"> HYPERLINK \l _Toc10006 </w:instrText>
      </w:r>
      <w:r>
        <w:fldChar w:fldCharType="separate"/>
      </w:r>
      <w:r>
        <w:rPr>
          <w:rFonts w:hint="eastAsia"/>
        </w:rPr>
        <w:t>残疾人福利性单位声明函</w:t>
      </w:r>
      <w:r>
        <w:tab/>
      </w:r>
      <w:r>
        <w:fldChar w:fldCharType="begin"/>
      </w:r>
      <w:r>
        <w:instrText xml:space="preserve"> PAGEREF _Toc10006 \h </w:instrText>
      </w:r>
      <w:r>
        <w:fldChar w:fldCharType="separate"/>
      </w:r>
      <w:r>
        <w:t>56</w:t>
      </w:r>
      <w:r>
        <w:fldChar w:fldCharType="end"/>
      </w:r>
      <w:r>
        <w:rPr>
          <w:color w:val="000000" w:themeColor="text1"/>
        </w:rPr>
        <w:fldChar w:fldCharType="end"/>
      </w:r>
    </w:p>
    <w:p w14:paraId="25CE9C3F">
      <w:pPr>
        <w:pStyle w:val="21"/>
        <w:tabs>
          <w:tab w:val="right" w:leader="dot" w:pos="8306"/>
          <w:tab w:val="clear" w:pos="1470"/>
          <w:tab w:val="clear" w:pos="8296"/>
        </w:tabs>
      </w:pPr>
      <w:r>
        <w:rPr>
          <w:color w:val="000000" w:themeColor="text1"/>
        </w:rPr>
        <w:fldChar w:fldCharType="begin"/>
      </w:r>
      <w:r>
        <w:instrText xml:space="preserve"> HYPERLINK \l _Toc9882 </w:instrText>
      </w:r>
      <w:r>
        <w:fldChar w:fldCharType="separate"/>
      </w:r>
      <w:r>
        <w:rPr>
          <w:rFonts w:hint="eastAsia"/>
          <w:lang w:val="en-US" w:eastAsia="zh-CN"/>
        </w:rPr>
        <w:t>资信技术</w:t>
      </w:r>
      <w:r>
        <w:t>文件</w:t>
      </w:r>
      <w:r>
        <w:tab/>
      </w:r>
      <w:r>
        <w:fldChar w:fldCharType="begin"/>
      </w:r>
      <w:r>
        <w:instrText xml:space="preserve"> PAGEREF _Toc9882 \h </w:instrText>
      </w:r>
      <w:r>
        <w:fldChar w:fldCharType="separate"/>
      </w:r>
      <w:r>
        <w:t>57</w:t>
      </w:r>
      <w:r>
        <w:fldChar w:fldCharType="end"/>
      </w:r>
      <w:r>
        <w:rPr>
          <w:color w:val="000000" w:themeColor="text1"/>
        </w:rPr>
        <w:fldChar w:fldCharType="end"/>
      </w:r>
    </w:p>
    <w:p w14:paraId="5F6D9C29">
      <w:pPr>
        <w:pStyle w:val="24"/>
        <w:tabs>
          <w:tab w:val="right" w:leader="dot" w:pos="8306"/>
          <w:tab w:val="clear" w:pos="8296"/>
        </w:tabs>
      </w:pPr>
      <w:r>
        <w:rPr>
          <w:color w:val="000000" w:themeColor="text1"/>
        </w:rPr>
        <w:fldChar w:fldCharType="begin"/>
      </w:r>
      <w:r>
        <w:instrText xml:space="preserve"> HYPERLINK \l _Toc6872 </w:instrText>
      </w:r>
      <w:r>
        <w:fldChar w:fldCharType="separate"/>
      </w:r>
      <w:r>
        <w:t>目录</w:t>
      </w:r>
      <w:r>
        <w:tab/>
      </w:r>
      <w:r>
        <w:fldChar w:fldCharType="begin"/>
      </w:r>
      <w:r>
        <w:instrText xml:space="preserve"> PAGEREF _Toc6872 \h </w:instrText>
      </w:r>
      <w:r>
        <w:fldChar w:fldCharType="separate"/>
      </w:r>
      <w:r>
        <w:t>58</w:t>
      </w:r>
      <w:r>
        <w:fldChar w:fldCharType="end"/>
      </w:r>
      <w:r>
        <w:rPr>
          <w:color w:val="000000" w:themeColor="text1"/>
        </w:rPr>
        <w:fldChar w:fldCharType="end"/>
      </w:r>
    </w:p>
    <w:p w14:paraId="73AFCA90">
      <w:pPr>
        <w:pStyle w:val="24"/>
        <w:tabs>
          <w:tab w:val="right" w:leader="dot" w:pos="8306"/>
          <w:tab w:val="clear" w:pos="8296"/>
        </w:tabs>
      </w:pPr>
      <w:r>
        <w:rPr>
          <w:color w:val="000000" w:themeColor="text1"/>
        </w:rPr>
        <w:fldChar w:fldCharType="begin"/>
      </w:r>
      <w:r>
        <w:instrText xml:space="preserve"> HYPERLINK \l _Toc820 </w:instrText>
      </w:r>
      <w:r>
        <w:fldChar w:fldCharType="separate"/>
      </w:r>
      <w:r>
        <w:t>客观分部分自评分表</w:t>
      </w:r>
      <w:r>
        <w:tab/>
      </w:r>
      <w:r>
        <w:fldChar w:fldCharType="begin"/>
      </w:r>
      <w:r>
        <w:instrText xml:space="preserve"> PAGEREF _Toc820 \h </w:instrText>
      </w:r>
      <w:r>
        <w:fldChar w:fldCharType="separate"/>
      </w:r>
      <w:r>
        <w:t>59</w:t>
      </w:r>
      <w:r>
        <w:fldChar w:fldCharType="end"/>
      </w:r>
      <w:r>
        <w:rPr>
          <w:color w:val="000000" w:themeColor="text1"/>
        </w:rPr>
        <w:fldChar w:fldCharType="end"/>
      </w:r>
    </w:p>
    <w:p w14:paraId="49E2C416">
      <w:pPr>
        <w:pStyle w:val="24"/>
        <w:tabs>
          <w:tab w:val="right" w:leader="dot" w:pos="8306"/>
          <w:tab w:val="clear" w:pos="8296"/>
        </w:tabs>
      </w:pPr>
      <w:r>
        <w:rPr>
          <w:color w:val="000000" w:themeColor="text1"/>
        </w:rPr>
        <w:fldChar w:fldCharType="begin"/>
      </w:r>
      <w:r>
        <w:instrText xml:space="preserve"> HYPERLINK \l _Toc25229 </w:instrText>
      </w:r>
      <w:r>
        <w:fldChar w:fldCharType="separate"/>
      </w:r>
      <w:r>
        <w:rPr>
          <w:rFonts w:hint="eastAsia"/>
        </w:rPr>
        <w:t>投标声明函</w:t>
      </w:r>
      <w:r>
        <w:tab/>
      </w:r>
      <w:r>
        <w:fldChar w:fldCharType="begin"/>
      </w:r>
      <w:r>
        <w:instrText xml:space="preserve"> PAGEREF _Toc25229 \h </w:instrText>
      </w:r>
      <w:r>
        <w:fldChar w:fldCharType="separate"/>
      </w:r>
      <w:r>
        <w:t>60</w:t>
      </w:r>
      <w:r>
        <w:fldChar w:fldCharType="end"/>
      </w:r>
      <w:r>
        <w:rPr>
          <w:color w:val="000000" w:themeColor="text1"/>
        </w:rPr>
        <w:fldChar w:fldCharType="end"/>
      </w:r>
    </w:p>
    <w:p w14:paraId="38357008">
      <w:pPr>
        <w:pStyle w:val="24"/>
        <w:tabs>
          <w:tab w:val="right" w:leader="dot" w:pos="8306"/>
          <w:tab w:val="clear" w:pos="8296"/>
        </w:tabs>
      </w:pPr>
      <w:r>
        <w:rPr>
          <w:color w:val="000000" w:themeColor="text1"/>
        </w:rPr>
        <w:fldChar w:fldCharType="begin"/>
      </w:r>
      <w:r>
        <w:instrText xml:space="preserve"> HYPERLINK \l _Toc1063 </w:instrText>
      </w:r>
      <w:r>
        <w:fldChar w:fldCharType="separate"/>
      </w:r>
      <w:r>
        <w:rPr>
          <w:rFonts w:hint="eastAsia"/>
        </w:rPr>
        <w:t>法定代表人授权委托书</w:t>
      </w:r>
      <w:r>
        <w:tab/>
      </w:r>
      <w:r>
        <w:fldChar w:fldCharType="begin"/>
      </w:r>
      <w:r>
        <w:instrText xml:space="preserve"> PAGEREF _Toc1063 \h </w:instrText>
      </w:r>
      <w:r>
        <w:fldChar w:fldCharType="separate"/>
      </w:r>
      <w:r>
        <w:t>62</w:t>
      </w:r>
      <w:r>
        <w:fldChar w:fldCharType="end"/>
      </w:r>
      <w:r>
        <w:rPr>
          <w:color w:val="000000" w:themeColor="text1"/>
        </w:rPr>
        <w:fldChar w:fldCharType="end"/>
      </w:r>
    </w:p>
    <w:p w14:paraId="43C99B1E">
      <w:pPr>
        <w:pStyle w:val="24"/>
        <w:tabs>
          <w:tab w:val="right" w:leader="dot" w:pos="8306"/>
          <w:tab w:val="clear" w:pos="8296"/>
        </w:tabs>
      </w:pPr>
      <w:r>
        <w:rPr>
          <w:color w:val="000000" w:themeColor="text1"/>
        </w:rPr>
        <w:fldChar w:fldCharType="begin"/>
      </w:r>
      <w:r>
        <w:instrText xml:space="preserve"> HYPERLINK \l _Toc1426 </w:instrText>
      </w:r>
      <w:r>
        <w:fldChar w:fldCharType="separate"/>
      </w:r>
      <w:r>
        <w:rPr>
          <w:rFonts w:hint="eastAsia"/>
          <w:lang w:val="zh-CN"/>
        </w:rPr>
        <w:t>投标人</w:t>
      </w:r>
      <w:r>
        <w:rPr>
          <w:rFonts w:hint="eastAsia"/>
        </w:rPr>
        <w:t>同类项目</w:t>
      </w:r>
      <w:r>
        <w:rPr>
          <w:rFonts w:hint="eastAsia"/>
          <w:lang w:val="zh-CN"/>
        </w:rPr>
        <w:t>业绩一览表</w:t>
      </w:r>
      <w:r>
        <w:tab/>
      </w:r>
      <w:r>
        <w:fldChar w:fldCharType="begin"/>
      </w:r>
      <w:r>
        <w:instrText xml:space="preserve"> PAGEREF _Toc1426 \h </w:instrText>
      </w:r>
      <w:r>
        <w:fldChar w:fldCharType="separate"/>
      </w:r>
      <w:r>
        <w:t>63</w:t>
      </w:r>
      <w:r>
        <w:fldChar w:fldCharType="end"/>
      </w:r>
      <w:r>
        <w:rPr>
          <w:color w:val="000000" w:themeColor="text1"/>
        </w:rPr>
        <w:fldChar w:fldCharType="end"/>
      </w:r>
    </w:p>
    <w:p w14:paraId="7D5E1F6A">
      <w:pPr>
        <w:pStyle w:val="21"/>
        <w:tabs>
          <w:tab w:val="right" w:leader="dot" w:pos="8306"/>
          <w:tab w:val="clear" w:pos="1470"/>
          <w:tab w:val="clear" w:pos="8296"/>
        </w:tabs>
      </w:pPr>
      <w:r>
        <w:rPr>
          <w:color w:val="000000" w:themeColor="text1"/>
        </w:rPr>
        <w:fldChar w:fldCharType="begin"/>
      </w:r>
      <w:r>
        <w:instrText xml:space="preserve"> HYPERLINK \l _Toc7958 </w:instrText>
      </w:r>
      <w:r>
        <w:fldChar w:fldCharType="separate"/>
      </w:r>
      <w:r>
        <w:rPr>
          <w:rFonts w:hint="eastAsia"/>
          <w:lang w:val="en-US" w:eastAsia="zh-CN"/>
        </w:rPr>
        <w:t>报价</w:t>
      </w:r>
      <w:r>
        <w:t>文件</w:t>
      </w:r>
      <w:r>
        <w:tab/>
      </w:r>
      <w:r>
        <w:fldChar w:fldCharType="begin"/>
      </w:r>
      <w:r>
        <w:instrText xml:space="preserve"> PAGEREF _Toc7958 \h </w:instrText>
      </w:r>
      <w:r>
        <w:fldChar w:fldCharType="separate"/>
      </w:r>
      <w:r>
        <w:t>64</w:t>
      </w:r>
      <w:r>
        <w:fldChar w:fldCharType="end"/>
      </w:r>
      <w:r>
        <w:rPr>
          <w:color w:val="000000" w:themeColor="text1"/>
        </w:rPr>
        <w:fldChar w:fldCharType="end"/>
      </w:r>
    </w:p>
    <w:p w14:paraId="56DD3356">
      <w:pPr>
        <w:pStyle w:val="24"/>
        <w:tabs>
          <w:tab w:val="right" w:leader="dot" w:pos="8306"/>
          <w:tab w:val="clear" w:pos="8296"/>
        </w:tabs>
      </w:pPr>
      <w:r>
        <w:rPr>
          <w:color w:val="000000" w:themeColor="text1"/>
        </w:rPr>
        <w:fldChar w:fldCharType="begin"/>
      </w:r>
      <w:r>
        <w:instrText xml:space="preserve"> HYPERLINK \l _Toc18416 </w:instrText>
      </w:r>
      <w:r>
        <w:fldChar w:fldCharType="separate"/>
      </w:r>
      <w:r>
        <w:rPr>
          <w:rFonts w:hint="eastAsia"/>
        </w:rPr>
        <w:t>报价一览表</w:t>
      </w:r>
      <w:r>
        <w:tab/>
      </w:r>
      <w:r>
        <w:fldChar w:fldCharType="begin"/>
      </w:r>
      <w:r>
        <w:instrText xml:space="preserve"> PAGEREF _Toc18416 \h </w:instrText>
      </w:r>
      <w:r>
        <w:fldChar w:fldCharType="separate"/>
      </w:r>
      <w:r>
        <w:t>65</w:t>
      </w:r>
      <w:r>
        <w:fldChar w:fldCharType="end"/>
      </w:r>
      <w:r>
        <w:rPr>
          <w:color w:val="000000" w:themeColor="text1"/>
        </w:rPr>
        <w:fldChar w:fldCharType="end"/>
      </w:r>
    </w:p>
    <w:p w14:paraId="06DB0DEF">
      <w:pPr>
        <w:widowControl/>
        <w:spacing w:line="240" w:lineRule="auto"/>
        <w:ind w:firstLine="0" w:firstLineChars="0"/>
        <w:jc w:val="left"/>
        <w:rPr>
          <w:color w:val="000000" w:themeColor="text1"/>
        </w:rPr>
      </w:pPr>
      <w:r>
        <w:rPr>
          <w:color w:val="000000" w:themeColor="text1"/>
        </w:rPr>
        <w:fldChar w:fldCharType="end"/>
      </w:r>
    </w:p>
    <w:p w14:paraId="6EE90048">
      <w:pPr>
        <w:pStyle w:val="3"/>
        <w:rPr>
          <w:color w:val="000000" w:themeColor="text1"/>
        </w:rPr>
        <w:sectPr>
          <w:footerReference r:id="rId12" w:type="first"/>
          <w:footerReference r:id="rId11" w:type="default"/>
          <w:pgSz w:w="11906" w:h="16838"/>
          <w:pgMar w:top="1440" w:right="1800" w:bottom="1440" w:left="1800" w:header="1020" w:footer="850" w:gutter="0"/>
          <w:pgNumType w:fmt="upperRoman" w:start="1"/>
          <w:cols w:space="425" w:num="1"/>
          <w:docGrid w:type="lines" w:linePitch="326" w:charSpace="0"/>
        </w:sectPr>
      </w:pPr>
    </w:p>
    <w:p w14:paraId="70DDC5CD">
      <w:pPr>
        <w:pStyle w:val="3"/>
        <w:rPr>
          <w:color w:val="000000" w:themeColor="text1"/>
        </w:rPr>
      </w:pPr>
      <w:bookmarkStart w:id="10" w:name="_Toc26928"/>
      <w:r>
        <w:rPr>
          <w:color w:val="000000" w:themeColor="text1"/>
        </w:rPr>
        <w:t>第一章</w:t>
      </w:r>
      <w:r>
        <w:rPr>
          <w:rFonts w:hint="eastAsia"/>
          <w:color w:val="000000" w:themeColor="text1"/>
        </w:rPr>
        <w:t xml:space="preserve">  招标公告</w:t>
      </w:r>
      <w:bookmarkEnd w:id="10"/>
    </w:p>
    <w:tbl>
      <w:tblPr>
        <w:tblStyle w:val="32"/>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14:paraId="3EBC91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tcPr>
          <w:p w14:paraId="6384C42B">
            <w:pPr>
              <w:ind w:firstLine="480"/>
              <w:rPr>
                <w:color w:val="000000" w:themeColor="text1"/>
                <w:szCs w:val="21"/>
              </w:rPr>
            </w:pPr>
            <w:r>
              <w:rPr>
                <w:rFonts w:hint="eastAsia"/>
                <w:color w:val="000000" w:themeColor="text1"/>
              </w:rPr>
              <w:t>项目概况：</w:t>
            </w:r>
            <w:r>
              <w:rPr>
                <w:rFonts w:hint="eastAsia"/>
                <w:color w:val="000000" w:themeColor="text1"/>
                <w:lang w:eastAsia="zh-CN"/>
              </w:rPr>
              <w:t>2025年度龙游县公安局交通警察大队食堂（大队机关、城区中队）劳务外包服务采购项目</w:t>
            </w:r>
            <w:r>
              <w:rPr>
                <w:rFonts w:hint="eastAsia"/>
                <w:color w:val="000000" w:themeColor="text1"/>
              </w:rPr>
              <w:t>的潜在投标人应在浙江政府采购网（http：//zfcg.czt.zj.gov.cn/）获取（下载）招标文件，并于</w:t>
            </w:r>
            <w:r>
              <w:rPr>
                <w:rFonts w:hint="eastAsia"/>
                <w:color w:val="000000" w:themeColor="text1"/>
                <w:lang w:val="en-US" w:eastAsia="zh-CN"/>
              </w:rPr>
              <w:t>2025年8月5日15:00时</w:t>
            </w:r>
            <w:r>
              <w:rPr>
                <w:rFonts w:hint="eastAsia"/>
                <w:color w:val="000000" w:themeColor="text1"/>
              </w:rPr>
              <w:t>（北京时间）前递交（上传）投标文件。</w:t>
            </w:r>
          </w:p>
        </w:tc>
      </w:tr>
    </w:tbl>
    <w:p w14:paraId="7ACC7AD6">
      <w:pPr>
        <w:pStyle w:val="4"/>
        <w:rPr>
          <w:rFonts w:ascii="宋体" w:hAnsi="宋体" w:cs="宋体"/>
          <w:color w:val="000000" w:themeColor="text1"/>
          <w:szCs w:val="21"/>
        </w:rPr>
      </w:pPr>
      <w:bookmarkStart w:id="11" w:name="_Toc14481"/>
      <w:r>
        <w:rPr>
          <w:rFonts w:hint="eastAsia"/>
          <w:color w:val="000000" w:themeColor="text1"/>
        </w:rPr>
        <w:t>一、项目基本情况</w:t>
      </w:r>
      <w:bookmarkEnd w:id="11"/>
    </w:p>
    <w:p w14:paraId="5BC42B70">
      <w:pPr>
        <w:ind w:firstLine="480"/>
        <w:rPr>
          <w:rFonts w:hint="eastAsia"/>
          <w:color w:val="000000" w:themeColor="text1"/>
          <w:lang w:eastAsia="zh-CN"/>
        </w:rPr>
      </w:pPr>
      <w:r>
        <w:rPr>
          <w:rFonts w:hint="eastAsia"/>
          <w:color w:val="000000" w:themeColor="text1"/>
        </w:rPr>
        <w:t>1.项目编号：</w:t>
      </w:r>
      <w:r>
        <w:rPr>
          <w:rFonts w:hint="eastAsia"/>
          <w:color w:val="000000" w:themeColor="text1"/>
          <w:lang w:eastAsia="zh-CN"/>
        </w:rPr>
        <w:t>LYJY2025052</w:t>
      </w:r>
    </w:p>
    <w:p w14:paraId="55396F43">
      <w:pPr>
        <w:ind w:firstLine="480"/>
        <w:rPr>
          <w:rFonts w:hint="eastAsia" w:eastAsia="宋体"/>
          <w:color w:val="000000" w:themeColor="text1"/>
          <w:lang w:eastAsia="zh-CN"/>
        </w:rPr>
      </w:pPr>
      <w:r>
        <w:rPr>
          <w:rFonts w:hint="eastAsia"/>
          <w:color w:val="000000" w:themeColor="text1"/>
        </w:rPr>
        <w:t>2.项目名称：</w:t>
      </w:r>
      <w:r>
        <w:rPr>
          <w:rFonts w:hint="eastAsia"/>
          <w:color w:val="000000" w:themeColor="text1"/>
          <w:lang w:eastAsia="zh-CN"/>
        </w:rPr>
        <w:t>2025年度龙游县公安局交通警察大队食堂（大队机关、城区中队）劳务外包服务采购项目</w:t>
      </w:r>
    </w:p>
    <w:p w14:paraId="0D6D5945">
      <w:pPr>
        <w:ind w:firstLine="480"/>
        <w:rPr>
          <w:color w:val="000000" w:themeColor="text1"/>
        </w:rPr>
      </w:pPr>
      <w:r>
        <w:rPr>
          <w:rFonts w:hint="eastAsia"/>
          <w:color w:val="000000" w:themeColor="text1"/>
        </w:rPr>
        <w:t>3.采购方式：公开招标</w:t>
      </w:r>
    </w:p>
    <w:p w14:paraId="42EF4117">
      <w:pPr>
        <w:ind w:firstLine="480"/>
      </w:pPr>
      <w:r>
        <w:rPr>
          <w:rFonts w:hint="eastAsia"/>
          <w:color w:val="000000" w:themeColor="text1"/>
        </w:rPr>
        <w:t>4.预算总</w:t>
      </w:r>
      <w:r>
        <w:rPr>
          <w:rFonts w:hint="eastAsia"/>
        </w:rPr>
        <w:t>金额（元）：</w:t>
      </w:r>
      <w:r>
        <w:rPr>
          <w:rFonts w:hint="eastAsia"/>
          <w:lang w:val="en-US" w:eastAsia="zh-CN"/>
        </w:rPr>
        <w:t>450000</w:t>
      </w:r>
    </w:p>
    <w:p w14:paraId="5A440629">
      <w:pPr>
        <w:ind w:firstLine="480"/>
      </w:pPr>
      <w:r>
        <w:rPr>
          <w:rFonts w:hint="eastAsia"/>
        </w:rPr>
        <w:t>5.采购需求：详见招标文件“第四章 采购需求”（包括但不限于标的的名称、数量、简要技术需求或服务要求等）</w:t>
      </w:r>
    </w:p>
    <w:p w14:paraId="0D87DBB6">
      <w:pPr>
        <w:ind w:firstLine="480"/>
      </w:pPr>
      <w:r>
        <w:rPr>
          <w:rFonts w:hint="eastAsia"/>
        </w:rPr>
        <w:t>6.允许联合体投标：否</w:t>
      </w:r>
    </w:p>
    <w:p w14:paraId="6FFA8DB7">
      <w:pPr>
        <w:ind w:firstLine="480"/>
        <w:rPr>
          <w:rFonts w:ascii="宋体" w:hAnsi="宋体" w:cs="宋体"/>
        </w:rPr>
      </w:pPr>
      <w:r>
        <w:rPr>
          <w:rFonts w:hint="eastAsia"/>
        </w:rPr>
        <w:t>7.服务期：</w:t>
      </w:r>
      <w:r>
        <w:rPr>
          <w:rFonts w:hint="eastAsia"/>
          <w:lang w:val="en-US" w:eastAsia="zh-CN"/>
        </w:rPr>
        <w:t>一</w:t>
      </w:r>
      <w:r>
        <w:rPr>
          <w:rFonts w:hint="eastAsia"/>
        </w:rPr>
        <w:t>年。</w:t>
      </w:r>
    </w:p>
    <w:p w14:paraId="1F874B17">
      <w:pPr>
        <w:pStyle w:val="4"/>
        <w:rPr>
          <w:rFonts w:ascii="宋体" w:hAnsi="宋体" w:cs="宋体"/>
          <w:color w:val="000000" w:themeColor="text1"/>
          <w:szCs w:val="21"/>
        </w:rPr>
      </w:pPr>
      <w:bookmarkStart w:id="12" w:name="_Toc17681"/>
      <w:r>
        <w:rPr>
          <w:rFonts w:hint="eastAsia"/>
          <w:color w:val="000000" w:themeColor="text1"/>
        </w:rPr>
        <w:t>二、申请人的资格要求</w:t>
      </w:r>
      <w:bookmarkEnd w:id="12"/>
    </w:p>
    <w:p w14:paraId="1D81F353">
      <w:pPr>
        <w:ind w:firstLine="480"/>
      </w:pPr>
      <w:r>
        <w:rPr>
          <w:rFonts w:hint="eastAsia"/>
        </w:rPr>
        <w:t>1.满足《中华人民共和国政府采购法》第二十二条规定；未被“信用中国”（www.creditchina.gov.cn）、中国政府采购网（www.ccgp.gov.cn）列入失信被执行人、重大税收违法案件当事人名单、政府采购严重违法失信行为记录名单。</w:t>
      </w:r>
    </w:p>
    <w:p w14:paraId="4B0DAB07">
      <w:pPr>
        <w:ind w:firstLine="480"/>
        <w:rPr>
          <w:highlight w:val="yellow"/>
        </w:rPr>
      </w:pPr>
      <w:r>
        <w:t>2</w:t>
      </w:r>
      <w:r>
        <w:rPr>
          <w:rFonts w:hint="eastAsia"/>
        </w:rPr>
        <w:t>.落实政府采购政策需满足的资格要求：</w:t>
      </w:r>
      <w:r>
        <w:rPr>
          <w:rFonts w:hint="eastAsia"/>
          <w:color w:val="000000" w:themeColor="text1"/>
        </w:rPr>
        <w:t>本项目专门面向中小企业/小微企业。</w:t>
      </w:r>
    </w:p>
    <w:p w14:paraId="20D238B2">
      <w:pPr>
        <w:ind w:firstLine="480"/>
        <w:rPr>
          <w:rFonts w:ascii="宋体" w:hAnsi="宋体"/>
          <w:color w:val="000000" w:themeColor="text1"/>
          <w:szCs w:val="21"/>
        </w:rPr>
      </w:pPr>
      <w:r>
        <w:t>3</w:t>
      </w:r>
      <w:r>
        <w:rPr>
          <w:rFonts w:hint="eastAsia"/>
        </w:rPr>
        <w:t>.本项目的特定资格要求：无</w:t>
      </w:r>
      <w:r>
        <w:rPr>
          <w:rFonts w:hint="eastAsia"/>
          <w:color w:val="000000" w:themeColor="text1"/>
        </w:rPr>
        <w:t>。</w:t>
      </w:r>
    </w:p>
    <w:p w14:paraId="6EDEBD77">
      <w:pPr>
        <w:pStyle w:val="4"/>
        <w:rPr>
          <w:color w:val="000000" w:themeColor="text1"/>
        </w:rPr>
      </w:pPr>
      <w:bookmarkStart w:id="13" w:name="_Toc26970"/>
      <w:r>
        <w:rPr>
          <w:rFonts w:hint="eastAsia"/>
          <w:color w:val="000000" w:themeColor="text1"/>
        </w:rPr>
        <w:t>三、获取（下载）招标文件</w:t>
      </w:r>
      <w:bookmarkEnd w:id="13"/>
    </w:p>
    <w:p w14:paraId="3D0CE4BF">
      <w:pPr>
        <w:ind w:firstLine="480"/>
        <w:rPr>
          <w:color w:val="000000" w:themeColor="text1"/>
        </w:rPr>
      </w:pPr>
      <w:r>
        <w:rPr>
          <w:rFonts w:hint="eastAsia"/>
          <w:color w:val="000000" w:themeColor="text1"/>
        </w:rPr>
        <w:t>1.时间：/至投标截止时间，每天上午00：00至12：00，下午12：00至23：59（北京时间，线上获取法定节假日均可，线下获取文件法定节假日除外）</w:t>
      </w:r>
    </w:p>
    <w:p w14:paraId="6262ECB6">
      <w:pPr>
        <w:ind w:firstLine="480"/>
        <w:rPr>
          <w:color w:val="000000" w:themeColor="text1"/>
        </w:rPr>
      </w:pPr>
      <w:r>
        <w:rPr>
          <w:rFonts w:hint="eastAsia"/>
          <w:color w:val="000000" w:themeColor="text1"/>
        </w:rPr>
        <w:t xml:space="preserve">2.地点（网址）：浙江政府采购网（http：//zfcg.czt.zj.gov.cn/） </w:t>
      </w:r>
    </w:p>
    <w:p w14:paraId="04FB6606">
      <w:pPr>
        <w:ind w:firstLine="480"/>
        <w:rPr>
          <w:color w:val="000000" w:themeColor="text1"/>
        </w:rPr>
      </w:pPr>
      <w:r>
        <w:rPr>
          <w:rFonts w:hint="eastAsia"/>
          <w:color w:val="000000" w:themeColor="text1"/>
        </w:rPr>
        <w:t>3.方式：在线获取（免费）。本项目不提供纸质版采购文件，潜在投标人可通过“政府采购云平台”在线获取；投标人只有在“政府采购云平台”完成获取采购文件申请并下载了采购文件后才视作依法获取采购文件（法律法规所指的投标人获取采购文件时间，以投标人完成获取采购文件申请后下载采购文件的时间</w:t>
      </w:r>
    </w:p>
    <w:p w14:paraId="64ADB6A2">
      <w:pPr>
        <w:ind w:firstLine="0" w:firstLineChars="0"/>
        <w:rPr>
          <w:color w:val="000000" w:themeColor="text1"/>
        </w:rPr>
      </w:pPr>
      <w:r>
        <w:rPr>
          <w:rFonts w:hint="eastAsia"/>
          <w:color w:val="000000" w:themeColor="text1"/>
        </w:rPr>
        <w:t>为准）。通过本公告下方“游客，浏览采购文件”下载的采购文件仅供浏览。</w:t>
      </w:r>
    </w:p>
    <w:p w14:paraId="6CFAB92F">
      <w:pPr>
        <w:ind w:firstLine="480"/>
        <w:rPr>
          <w:rFonts w:ascii="宋体" w:hAnsi="宋体" w:cs="宋体"/>
          <w:color w:val="000000" w:themeColor="text1"/>
        </w:rPr>
      </w:pPr>
      <w:r>
        <w:rPr>
          <w:rFonts w:hint="eastAsia"/>
          <w:color w:val="000000" w:themeColor="text1"/>
        </w:rPr>
        <w:t>4.售价（元）：0</w:t>
      </w:r>
    </w:p>
    <w:p w14:paraId="671CA24B">
      <w:pPr>
        <w:pStyle w:val="4"/>
        <w:rPr>
          <w:color w:val="000000" w:themeColor="text1"/>
        </w:rPr>
      </w:pPr>
      <w:bookmarkStart w:id="14" w:name="_Toc12821"/>
      <w:r>
        <w:rPr>
          <w:rFonts w:hint="eastAsia"/>
          <w:color w:val="000000" w:themeColor="text1"/>
        </w:rPr>
        <w:t>四、投标文件提交（上传）</w:t>
      </w:r>
      <w:bookmarkEnd w:id="14"/>
    </w:p>
    <w:p w14:paraId="0E271077">
      <w:pPr>
        <w:ind w:firstLine="480"/>
        <w:rPr>
          <w:color w:val="000000" w:themeColor="text1"/>
        </w:rPr>
      </w:pPr>
      <w:r>
        <w:rPr>
          <w:rFonts w:hint="eastAsia"/>
          <w:color w:val="000000" w:themeColor="text1"/>
        </w:rPr>
        <w:t>1.提交投标文件截止时间：</w:t>
      </w:r>
      <w:r>
        <w:rPr>
          <w:rFonts w:hint="eastAsia"/>
          <w:color w:val="000000" w:themeColor="text1"/>
          <w:lang w:eastAsia="zh-CN"/>
        </w:rPr>
        <w:t>2025年8月5日15:00时</w:t>
      </w:r>
      <w:r>
        <w:rPr>
          <w:rFonts w:hint="eastAsia"/>
          <w:color w:val="000000" w:themeColor="text1"/>
        </w:rPr>
        <w:t>（北京时间）</w:t>
      </w:r>
    </w:p>
    <w:p w14:paraId="27627607">
      <w:pPr>
        <w:ind w:firstLine="480"/>
        <w:rPr>
          <w:color w:val="000000" w:themeColor="text1"/>
        </w:rPr>
      </w:pPr>
      <w:r>
        <w:rPr>
          <w:rFonts w:hint="eastAsia"/>
          <w:color w:val="000000" w:themeColor="text1"/>
        </w:rPr>
        <w:t>2.投标地点（网址）：政采云平台（</w:t>
      </w:r>
      <w:r>
        <w:fldChar w:fldCharType="begin"/>
      </w:r>
      <w:r>
        <w:instrText xml:space="preserve"> HYPERLINK "http://zfcg.czt.zj.gov.cn/" </w:instrText>
      </w:r>
      <w:r>
        <w:fldChar w:fldCharType="separate"/>
      </w:r>
      <w:r>
        <w:rPr>
          <w:rStyle w:val="34"/>
          <w:rFonts w:hint="eastAsia" w:ascii="宋体" w:hAnsi="宋体" w:cs="宋体"/>
          <w:color w:val="000000" w:themeColor="text1"/>
        </w:rPr>
        <w:t>http：//zfcg.czt.zj.gov.cn/</w:t>
      </w:r>
      <w:r>
        <w:rPr>
          <w:rStyle w:val="34"/>
          <w:rFonts w:hint="eastAsia" w:ascii="宋体" w:hAnsi="宋体" w:cs="宋体"/>
          <w:color w:val="000000" w:themeColor="text1"/>
        </w:rPr>
        <w:fldChar w:fldCharType="end"/>
      </w:r>
      <w:r>
        <w:rPr>
          <w:rFonts w:hint="eastAsia"/>
          <w:color w:val="000000" w:themeColor="text1"/>
        </w:rPr>
        <w:t>）</w:t>
      </w:r>
    </w:p>
    <w:p w14:paraId="48DAF421">
      <w:pPr>
        <w:pStyle w:val="4"/>
        <w:rPr>
          <w:color w:val="000000" w:themeColor="text1"/>
        </w:rPr>
      </w:pPr>
      <w:bookmarkStart w:id="15" w:name="_Toc15947"/>
      <w:r>
        <w:rPr>
          <w:rFonts w:hint="eastAsia"/>
          <w:color w:val="000000" w:themeColor="text1"/>
        </w:rPr>
        <w:t>五、开启投标文件</w:t>
      </w:r>
      <w:bookmarkEnd w:id="15"/>
    </w:p>
    <w:p w14:paraId="77B71A9A">
      <w:pPr>
        <w:ind w:firstLine="480"/>
        <w:rPr>
          <w:color w:val="000000" w:themeColor="text1"/>
        </w:rPr>
      </w:pPr>
      <w:r>
        <w:rPr>
          <w:rFonts w:hint="eastAsia"/>
          <w:color w:val="000000" w:themeColor="text1"/>
        </w:rPr>
        <w:t>1.开标时间：</w:t>
      </w:r>
      <w:r>
        <w:rPr>
          <w:rFonts w:hint="eastAsia"/>
          <w:color w:val="000000" w:themeColor="text1"/>
          <w:lang w:eastAsia="zh-CN"/>
        </w:rPr>
        <w:t>2025年8月5日15:00时</w:t>
      </w:r>
      <w:r>
        <w:rPr>
          <w:rFonts w:hint="eastAsia"/>
          <w:color w:val="000000" w:themeColor="text1"/>
        </w:rPr>
        <w:t>，投标文件开启时间到后30分钟内，投标人须登录“政采云”平台解密投标文件。</w:t>
      </w:r>
    </w:p>
    <w:p w14:paraId="445E4DAD">
      <w:pPr>
        <w:ind w:firstLine="480"/>
        <w:rPr>
          <w:color w:val="000000" w:themeColor="text1"/>
        </w:rPr>
      </w:pPr>
      <w:r>
        <w:rPr>
          <w:rFonts w:hint="eastAsia"/>
          <w:color w:val="000000" w:themeColor="text1"/>
        </w:rPr>
        <w:t>2.开标地点：衢州市公共资源交易龙游县分中心1楼评标室</w:t>
      </w:r>
      <w:r>
        <w:rPr>
          <w:rFonts w:hint="eastAsia"/>
          <w:color w:val="000000" w:themeColor="text1"/>
          <w:lang w:val="en-US" w:eastAsia="zh-CN"/>
        </w:rPr>
        <w:t>2</w:t>
      </w:r>
      <w:r>
        <w:rPr>
          <w:rFonts w:hint="eastAsia"/>
          <w:color w:val="000000" w:themeColor="text1"/>
        </w:rPr>
        <w:t>（龙游县龙翔路378号，原香溢市场西侧）</w:t>
      </w:r>
    </w:p>
    <w:p w14:paraId="3C24C202">
      <w:pPr>
        <w:ind w:firstLine="480"/>
        <w:rPr>
          <w:color w:val="000000" w:themeColor="text1"/>
        </w:rPr>
      </w:pPr>
      <w:r>
        <w:rPr>
          <w:rFonts w:hint="eastAsia"/>
          <w:color w:val="000000" w:themeColor="text1"/>
        </w:rPr>
        <w:t>3.电子备份文件提交：</w:t>
      </w:r>
    </w:p>
    <w:p w14:paraId="4F9EC160">
      <w:pPr>
        <w:ind w:firstLine="480"/>
        <w:rPr>
          <w:color w:val="000000" w:themeColor="text1"/>
        </w:rPr>
      </w:pPr>
      <w:r>
        <w:rPr>
          <w:rFonts w:hint="eastAsia"/>
          <w:color w:val="000000" w:themeColor="text1"/>
        </w:rPr>
        <w:t>备份文件（经政采云电子交易客户端和CA驱动制作的后缀名为“.bfbs”的文件）在“电子加密投标文件”在线解密失败后启用，否则不予以启用。投标人自行确定是否提交。</w:t>
      </w:r>
    </w:p>
    <w:p w14:paraId="1B0E1760">
      <w:pPr>
        <w:ind w:firstLine="480"/>
        <w:rPr>
          <w:rFonts w:ascii="宋体" w:hAnsi="宋体" w:cs="宋体"/>
          <w:color w:val="000000" w:themeColor="text1"/>
        </w:rPr>
      </w:pPr>
      <w:r>
        <w:rPr>
          <w:rFonts w:hint="eastAsia"/>
          <w:color w:val="000000" w:themeColor="text1"/>
        </w:rPr>
        <w:t>若提交，可在响应截止时间前（以收件箱显示时间为准，逾期邮件将被拒收）将备份文件发送至邮箱：549607085@qq.com，邮件内容写上投标人名称。备份文件压缩加密（未加密造成泄密的由投标人自行承当，建议密码由数字和字母组成且不低于8位数），投标人确认“电子加密投标文件”在线解密失败后，将压缩加密的备份文件的解密密码在解密规定时间（响应截止时间后30分钟内）发送至上述邮箱内，未在规定时间内发送造成的响应无效或文件无效、解压失败由投标人自行承当</w:t>
      </w:r>
      <w:r>
        <w:rPr>
          <w:rFonts w:hint="eastAsia" w:ascii="宋体" w:hAnsi="宋体" w:cs="宋体"/>
          <w:color w:val="000000" w:themeColor="text1"/>
        </w:rPr>
        <w:t>。</w:t>
      </w:r>
    </w:p>
    <w:p w14:paraId="7702D47D">
      <w:pPr>
        <w:pStyle w:val="4"/>
        <w:rPr>
          <w:color w:val="000000" w:themeColor="text1"/>
        </w:rPr>
      </w:pPr>
      <w:bookmarkStart w:id="16" w:name="_Toc4322"/>
      <w:r>
        <w:rPr>
          <w:rFonts w:hint="eastAsia"/>
          <w:color w:val="000000" w:themeColor="text1"/>
        </w:rPr>
        <w:t>六、公告期限</w:t>
      </w:r>
      <w:bookmarkEnd w:id="16"/>
    </w:p>
    <w:p w14:paraId="7348EE71">
      <w:pPr>
        <w:ind w:firstLine="480"/>
        <w:rPr>
          <w:rFonts w:ascii="宋体" w:hAnsi="宋体" w:cs="宋体"/>
          <w:color w:val="000000" w:themeColor="text1"/>
        </w:rPr>
      </w:pPr>
      <w:r>
        <w:rPr>
          <w:rFonts w:hint="eastAsia"/>
          <w:color w:val="000000" w:themeColor="text1"/>
        </w:rPr>
        <w:t>自本公告发布之日起5个工作日。</w:t>
      </w:r>
    </w:p>
    <w:p w14:paraId="698575DC">
      <w:pPr>
        <w:pStyle w:val="4"/>
        <w:rPr>
          <w:color w:val="000000" w:themeColor="text1"/>
        </w:rPr>
      </w:pPr>
      <w:bookmarkStart w:id="17" w:name="_Toc29732"/>
      <w:r>
        <w:rPr>
          <w:rFonts w:hint="eastAsia"/>
          <w:color w:val="000000" w:themeColor="text1"/>
        </w:rPr>
        <w:t>七、其他补充事宜</w:t>
      </w:r>
      <w:bookmarkEnd w:id="17"/>
    </w:p>
    <w:p w14:paraId="0AB684B8">
      <w:pPr>
        <w:ind w:firstLine="480"/>
        <w:rPr>
          <w:color w:val="000000" w:themeColor="text1"/>
        </w:rPr>
      </w:pPr>
      <w:r>
        <w:rPr>
          <w:color w:val="000000" w:themeColor="text1"/>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2131773">
      <w:pPr>
        <w:ind w:firstLine="480"/>
        <w:rPr>
          <w:color w:val="000000" w:themeColor="text1"/>
        </w:rPr>
      </w:pPr>
      <w:r>
        <w:rPr>
          <w:color w:val="000000" w:themeColor="text1"/>
        </w:rPr>
        <w:t>2.根据《浙江省财政厅关于进一步促进政府采购公平竞争打造最优营商环境的通知》（浙财采监（2021）22号）文件关于</w:t>
      </w:r>
      <w:r>
        <w:rPr>
          <w:rFonts w:hint="eastAsia"/>
          <w:color w:val="000000" w:themeColor="text1"/>
        </w:rPr>
        <w:t>“</w:t>
      </w:r>
      <w:r>
        <w:rPr>
          <w:color w:val="000000" w:themeColor="text1"/>
        </w:rPr>
        <w:t>健全行政裁决机制</w:t>
      </w:r>
      <w:r>
        <w:rPr>
          <w:rFonts w:hint="eastAsia"/>
          <w:color w:val="000000" w:themeColor="text1"/>
        </w:rPr>
        <w:t>”</w:t>
      </w:r>
      <w:r>
        <w:rPr>
          <w:color w:val="000000" w:themeColor="text1"/>
        </w:rPr>
        <w:t>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27FE3B8">
      <w:pPr>
        <w:ind w:firstLine="480"/>
        <w:rPr>
          <w:color w:val="000000" w:themeColor="text1"/>
        </w:rPr>
      </w:pPr>
      <w:r>
        <w:rPr>
          <w:rFonts w:hint="eastAsia"/>
          <w:color w:val="000000" w:themeColor="text1"/>
        </w:rPr>
        <w:t>3</w:t>
      </w:r>
      <w:r>
        <w:rPr>
          <w:color w:val="000000" w:themeColor="text1"/>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BFC80F2">
      <w:pPr>
        <w:ind w:firstLine="480"/>
        <w:rPr>
          <w:color w:val="000000" w:themeColor="text1"/>
        </w:rPr>
      </w:pPr>
      <w:r>
        <w:rPr>
          <w:rFonts w:hint="eastAsia"/>
          <w:color w:val="000000" w:themeColor="text1"/>
        </w:rPr>
        <w:t>4</w:t>
      </w:r>
      <w:r>
        <w:rPr>
          <w:color w:val="000000" w:themeColor="text1"/>
        </w:rPr>
        <w:t>.为支持和促进中小企业发展，有需要的</w:t>
      </w:r>
      <w:r>
        <w:rPr>
          <w:rFonts w:hint="eastAsia"/>
          <w:color w:val="000000" w:themeColor="text1"/>
        </w:rPr>
        <w:t>中标人</w:t>
      </w:r>
      <w:r>
        <w:rPr>
          <w:color w:val="000000" w:themeColor="text1"/>
        </w:rPr>
        <w:t>可根据需要申请办理政府采购合同贷款（以下简称</w:t>
      </w:r>
      <w:r>
        <w:rPr>
          <w:rFonts w:hint="eastAsia"/>
          <w:color w:val="000000" w:themeColor="text1"/>
        </w:rPr>
        <w:t>“</w:t>
      </w:r>
      <w:r>
        <w:rPr>
          <w:color w:val="000000" w:themeColor="text1"/>
        </w:rPr>
        <w:t>政采贷</w:t>
      </w:r>
      <w:r>
        <w:rPr>
          <w:rFonts w:hint="eastAsia"/>
          <w:color w:val="000000" w:themeColor="text1"/>
        </w:rPr>
        <w:t>”</w:t>
      </w:r>
      <w:r>
        <w:rPr>
          <w:color w:val="000000" w:themeColor="text1"/>
        </w:rPr>
        <w:t>），具体要求、条件和操作教程可通过政采云首页右上角－网站导航－金融服务查看，也可拨打政采云客服热线</w:t>
      </w:r>
      <w:r>
        <w:rPr>
          <w:rFonts w:hint="eastAsia"/>
          <w:color w:val="000000" w:themeColor="text1"/>
          <w:lang w:eastAsia="zh-CN"/>
        </w:rPr>
        <w:t>95763</w:t>
      </w:r>
      <w:r>
        <w:rPr>
          <w:color w:val="000000" w:themeColor="text1"/>
        </w:rPr>
        <w:t>咨询，或向各地已开通政采贷的银行咨询办理。</w:t>
      </w:r>
    </w:p>
    <w:p w14:paraId="10E15A6A">
      <w:pPr>
        <w:ind w:firstLine="480"/>
        <w:rPr>
          <w:color w:val="000000" w:themeColor="text1"/>
        </w:rPr>
      </w:pPr>
      <w:r>
        <w:rPr>
          <w:rFonts w:hint="eastAsia"/>
          <w:color w:val="000000" w:themeColor="text1"/>
        </w:rPr>
        <w:t>5.</w:t>
      </w:r>
      <w:r>
        <w:rPr>
          <w:color w:val="000000" w:themeColor="text1"/>
        </w:rPr>
        <w:t>公告未显示完全内容详见招标文件。</w:t>
      </w:r>
    </w:p>
    <w:p w14:paraId="6A9403FF">
      <w:pPr>
        <w:pStyle w:val="4"/>
        <w:rPr>
          <w:color w:val="000000" w:themeColor="text1"/>
        </w:rPr>
      </w:pPr>
      <w:bookmarkStart w:id="18" w:name="_Toc14140"/>
      <w:r>
        <w:rPr>
          <w:rFonts w:hint="eastAsia"/>
          <w:color w:val="000000" w:themeColor="text1"/>
        </w:rPr>
        <w:t>八、对本次采购提出询问、质疑、投诉，请按以下方式联系：</w:t>
      </w:r>
      <w:bookmarkEnd w:id="18"/>
    </w:p>
    <w:p w14:paraId="27CA5152">
      <w:pPr>
        <w:ind w:firstLine="480"/>
        <w:rPr>
          <w:color w:val="000000" w:themeColor="text1"/>
        </w:rPr>
      </w:pPr>
      <w:r>
        <w:rPr>
          <w:rFonts w:hint="eastAsia"/>
          <w:color w:val="000000" w:themeColor="text1"/>
        </w:rPr>
        <w:t>1.采购人信息</w:t>
      </w:r>
    </w:p>
    <w:p w14:paraId="41D82728">
      <w:pPr>
        <w:ind w:firstLine="480"/>
        <w:rPr>
          <w:color w:val="000000" w:themeColor="text1"/>
        </w:rPr>
      </w:pPr>
      <w:r>
        <w:rPr>
          <w:rFonts w:hint="eastAsia"/>
          <w:color w:val="000000" w:themeColor="text1"/>
        </w:rPr>
        <w:t>名    称：龙游县公安局交通警察大队</w:t>
      </w:r>
    </w:p>
    <w:p w14:paraId="75E74C7A">
      <w:pPr>
        <w:ind w:firstLine="480"/>
        <w:rPr>
          <w:color w:val="000000" w:themeColor="text1"/>
        </w:rPr>
      </w:pPr>
      <w:r>
        <w:rPr>
          <w:rFonts w:hint="eastAsia"/>
          <w:color w:val="000000" w:themeColor="text1"/>
        </w:rPr>
        <w:t>地    址：龙游县东华街道荣昌东路99号</w:t>
      </w:r>
    </w:p>
    <w:p w14:paraId="4BC5BCA2">
      <w:pPr>
        <w:ind w:firstLine="480"/>
        <w:rPr>
          <w:color w:val="000000" w:themeColor="text1"/>
        </w:rPr>
      </w:pPr>
      <w:r>
        <w:rPr>
          <w:rFonts w:hint="eastAsia"/>
          <w:color w:val="000000" w:themeColor="text1"/>
        </w:rPr>
        <w:t>项目联系人（询问）：胡主任</w:t>
      </w:r>
    </w:p>
    <w:p w14:paraId="0D2A6897">
      <w:pPr>
        <w:ind w:firstLine="480"/>
        <w:rPr>
          <w:color w:val="000000" w:themeColor="text1"/>
        </w:rPr>
      </w:pPr>
      <w:r>
        <w:rPr>
          <w:rFonts w:hint="eastAsia"/>
          <w:color w:val="000000" w:themeColor="text1"/>
        </w:rPr>
        <w:t>项目联系方式（询问）：0570-7016135</w:t>
      </w:r>
    </w:p>
    <w:p w14:paraId="7494DFC5">
      <w:pPr>
        <w:ind w:firstLine="480"/>
        <w:rPr>
          <w:color w:val="000000" w:themeColor="text1"/>
        </w:rPr>
      </w:pPr>
      <w:r>
        <w:rPr>
          <w:rFonts w:hint="eastAsia"/>
          <w:color w:val="000000" w:themeColor="text1"/>
        </w:rPr>
        <w:t>质疑联系人：胡主任</w:t>
      </w:r>
    </w:p>
    <w:p w14:paraId="75EB3B59">
      <w:pPr>
        <w:ind w:firstLine="480"/>
        <w:rPr>
          <w:color w:val="000000" w:themeColor="text1"/>
        </w:rPr>
      </w:pPr>
      <w:r>
        <w:rPr>
          <w:rFonts w:hint="eastAsia"/>
          <w:color w:val="000000" w:themeColor="text1"/>
        </w:rPr>
        <w:t>质疑联系方式：0570-7016135</w:t>
      </w:r>
    </w:p>
    <w:p w14:paraId="6AC00B80">
      <w:pPr>
        <w:ind w:firstLine="480"/>
        <w:rPr>
          <w:color w:val="000000" w:themeColor="text1"/>
        </w:rPr>
      </w:pPr>
      <w:r>
        <w:rPr>
          <w:rFonts w:hint="eastAsia"/>
          <w:color w:val="000000" w:themeColor="text1"/>
        </w:rPr>
        <w:t>2.采购代理机构信息</w:t>
      </w:r>
    </w:p>
    <w:p w14:paraId="124A8B02">
      <w:pPr>
        <w:ind w:firstLine="480"/>
        <w:rPr>
          <w:color w:val="000000" w:themeColor="text1"/>
        </w:rPr>
      </w:pPr>
      <w:r>
        <w:rPr>
          <w:rFonts w:hint="eastAsia"/>
          <w:color w:val="000000" w:themeColor="text1"/>
        </w:rPr>
        <w:t>名    称：龙游久圆工程管理有限公司</w:t>
      </w:r>
    </w:p>
    <w:p w14:paraId="568FEAF7">
      <w:pPr>
        <w:ind w:firstLine="480"/>
        <w:rPr>
          <w:color w:val="000000" w:themeColor="text1"/>
        </w:rPr>
      </w:pPr>
      <w:r>
        <w:rPr>
          <w:rFonts w:hint="eastAsia"/>
          <w:color w:val="000000" w:themeColor="text1"/>
        </w:rPr>
        <w:t>地    址：龙游县东华街道永安路60号</w:t>
      </w:r>
    </w:p>
    <w:p w14:paraId="4AE02CA4">
      <w:pPr>
        <w:ind w:firstLine="480"/>
        <w:rPr>
          <w:color w:val="000000" w:themeColor="text1"/>
        </w:rPr>
      </w:pPr>
      <w:r>
        <w:rPr>
          <w:rFonts w:hint="eastAsia"/>
          <w:color w:val="000000" w:themeColor="text1"/>
        </w:rPr>
        <w:t>项目联系人（询问）：李女士</w:t>
      </w:r>
    </w:p>
    <w:p w14:paraId="448164F5">
      <w:pPr>
        <w:ind w:firstLine="480"/>
        <w:rPr>
          <w:color w:val="000000" w:themeColor="text1"/>
        </w:rPr>
      </w:pPr>
      <w:r>
        <w:rPr>
          <w:rFonts w:hint="eastAsia"/>
          <w:color w:val="000000" w:themeColor="text1"/>
        </w:rPr>
        <w:t>项目联系方式（询问）：0570-7032353</w:t>
      </w:r>
    </w:p>
    <w:p w14:paraId="263CD8F8">
      <w:pPr>
        <w:ind w:firstLine="480"/>
        <w:rPr>
          <w:color w:val="000000" w:themeColor="text1"/>
        </w:rPr>
      </w:pPr>
      <w:r>
        <w:rPr>
          <w:rFonts w:hint="eastAsia"/>
          <w:color w:val="000000" w:themeColor="text1"/>
        </w:rPr>
        <w:t>质疑联系人：李女士</w:t>
      </w:r>
    </w:p>
    <w:p w14:paraId="1D7441E3">
      <w:pPr>
        <w:ind w:firstLine="480"/>
        <w:rPr>
          <w:color w:val="000000" w:themeColor="text1"/>
        </w:rPr>
      </w:pPr>
      <w:r>
        <w:rPr>
          <w:rFonts w:hint="eastAsia"/>
          <w:color w:val="000000" w:themeColor="text1"/>
        </w:rPr>
        <w:t>质疑联系方式：15968860235</w:t>
      </w:r>
    </w:p>
    <w:p w14:paraId="7550D3B0">
      <w:pPr>
        <w:ind w:firstLine="480"/>
        <w:rPr>
          <w:color w:val="000000" w:themeColor="text1"/>
        </w:rPr>
      </w:pPr>
      <w:r>
        <w:rPr>
          <w:rFonts w:hint="eastAsia"/>
          <w:color w:val="000000" w:themeColor="text1"/>
        </w:rPr>
        <w:t>3.同级政府采购监督管理部门</w:t>
      </w:r>
    </w:p>
    <w:p w14:paraId="1E353E68">
      <w:pPr>
        <w:ind w:firstLine="480"/>
        <w:rPr>
          <w:color w:val="000000" w:themeColor="text1"/>
        </w:rPr>
      </w:pPr>
      <w:r>
        <w:rPr>
          <w:rFonts w:hint="eastAsia"/>
          <w:color w:val="000000" w:themeColor="text1"/>
        </w:rPr>
        <w:t>名    称：龙游县财政局采监科</w:t>
      </w:r>
    </w:p>
    <w:p w14:paraId="6D49DF81">
      <w:pPr>
        <w:ind w:firstLine="480"/>
        <w:rPr>
          <w:color w:val="000000" w:themeColor="text1"/>
        </w:rPr>
      </w:pPr>
      <w:r>
        <w:rPr>
          <w:rFonts w:hint="eastAsia"/>
          <w:color w:val="000000" w:themeColor="text1"/>
        </w:rPr>
        <w:t>地    址：龙游县龙洲街道莲湖路69号</w:t>
      </w:r>
    </w:p>
    <w:p w14:paraId="25000249">
      <w:pPr>
        <w:ind w:firstLine="480"/>
        <w:rPr>
          <w:color w:val="000000" w:themeColor="text1"/>
        </w:rPr>
      </w:pPr>
      <w:r>
        <w:rPr>
          <w:rFonts w:hint="eastAsia"/>
          <w:color w:val="000000" w:themeColor="text1"/>
        </w:rPr>
        <w:t>联系人：严先生</w:t>
      </w:r>
    </w:p>
    <w:p w14:paraId="59565AE6">
      <w:pPr>
        <w:ind w:firstLine="480"/>
        <w:rPr>
          <w:color w:val="000000" w:themeColor="text1"/>
        </w:rPr>
      </w:pPr>
      <w:r>
        <w:rPr>
          <w:rFonts w:hint="eastAsia"/>
          <w:color w:val="000000" w:themeColor="text1"/>
        </w:rPr>
        <w:t>监督投诉电话：0570-7011687</w:t>
      </w:r>
    </w:p>
    <w:p w14:paraId="19E6E949">
      <w:pPr>
        <w:ind w:firstLine="480"/>
        <w:rPr>
          <w:color w:val="000000" w:themeColor="text1"/>
        </w:rPr>
      </w:pPr>
    </w:p>
    <w:p w14:paraId="309ABEE4">
      <w:pPr>
        <w:ind w:firstLine="480"/>
        <w:rPr>
          <w:color w:val="000000" w:themeColor="text1"/>
        </w:rPr>
      </w:pPr>
      <w:r>
        <w:rPr>
          <w:rFonts w:hint="eastAsia"/>
          <w:color w:val="000000" w:themeColor="text1"/>
        </w:rPr>
        <w:t>若对项目采购电子交易系统操作有疑问，可登录政采云（https：//www.zcygov.cn/），点击右侧咨询小采，获取采小蜜智能服务管家帮助，或拨打政采云服务热线</w:t>
      </w:r>
      <w:r>
        <w:rPr>
          <w:rFonts w:hint="eastAsia"/>
          <w:color w:val="000000" w:themeColor="text1"/>
          <w:lang w:eastAsia="zh-CN"/>
        </w:rPr>
        <w:t>95763</w:t>
      </w:r>
      <w:r>
        <w:rPr>
          <w:rFonts w:hint="eastAsia"/>
          <w:color w:val="000000" w:themeColor="text1"/>
        </w:rPr>
        <w:t>获取热线服务帮助。</w:t>
      </w:r>
    </w:p>
    <w:p w14:paraId="472D0A68">
      <w:pPr>
        <w:ind w:firstLine="480"/>
        <w:rPr>
          <w:color w:val="000000" w:themeColor="text1"/>
        </w:rPr>
      </w:pPr>
      <w:r>
        <w:rPr>
          <w:rFonts w:hint="eastAsia"/>
          <w:color w:val="000000" w:themeColor="text1"/>
        </w:rPr>
        <w:t>CA问题联系电话（人工）：汇信CA 400-888-4636；天谷CA 400-087-8198。</w:t>
      </w:r>
    </w:p>
    <w:p w14:paraId="2BA728A9">
      <w:pPr>
        <w:widowControl/>
        <w:spacing w:line="240" w:lineRule="auto"/>
        <w:ind w:firstLine="0" w:firstLineChars="0"/>
        <w:jc w:val="left"/>
        <w:rPr>
          <w:color w:val="000000" w:themeColor="text1"/>
        </w:rPr>
      </w:pPr>
      <w:r>
        <w:rPr>
          <w:color w:val="000000" w:themeColor="text1"/>
        </w:rPr>
        <w:br w:type="page"/>
      </w:r>
    </w:p>
    <w:p w14:paraId="6B78DCEE">
      <w:pPr>
        <w:pStyle w:val="3"/>
        <w:rPr>
          <w:color w:val="000000" w:themeColor="text1"/>
        </w:rPr>
      </w:pPr>
      <w:bookmarkStart w:id="19" w:name="_Toc28047"/>
      <w:r>
        <w:rPr>
          <w:rFonts w:hint="eastAsia"/>
          <w:color w:val="000000" w:themeColor="text1"/>
        </w:rPr>
        <w:t>第二章  投标人须知前附表</w:t>
      </w:r>
      <w:bookmarkEnd w:id="19"/>
    </w:p>
    <w:tbl>
      <w:tblPr>
        <w:tblStyle w:val="31"/>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796"/>
        <w:gridCol w:w="6436"/>
      </w:tblGrid>
      <w:tr w14:paraId="7665C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807" w:type="dxa"/>
            <w:vAlign w:val="center"/>
          </w:tcPr>
          <w:p w14:paraId="67C8CB22">
            <w:pPr>
              <w:pStyle w:val="38"/>
              <w:rPr>
                <w:rFonts w:hint="default"/>
                <w:bCs w:val="0"/>
                <w:color w:val="000000" w:themeColor="text1"/>
              </w:rPr>
            </w:pPr>
            <w:r>
              <w:rPr>
                <w:bCs w:val="0"/>
                <w:color w:val="000000" w:themeColor="text1"/>
              </w:rPr>
              <w:t>序号</w:t>
            </w:r>
          </w:p>
        </w:tc>
        <w:tc>
          <w:tcPr>
            <w:tcW w:w="1796" w:type="dxa"/>
            <w:vAlign w:val="center"/>
          </w:tcPr>
          <w:p w14:paraId="2ABC98D1">
            <w:pPr>
              <w:pStyle w:val="38"/>
              <w:rPr>
                <w:rFonts w:hint="default"/>
                <w:bCs w:val="0"/>
                <w:color w:val="000000" w:themeColor="text1"/>
              </w:rPr>
            </w:pPr>
            <w:r>
              <w:rPr>
                <w:bCs w:val="0"/>
                <w:color w:val="000000" w:themeColor="text1"/>
              </w:rPr>
              <w:t>项   目</w:t>
            </w:r>
          </w:p>
        </w:tc>
        <w:tc>
          <w:tcPr>
            <w:tcW w:w="6436" w:type="dxa"/>
            <w:vAlign w:val="center"/>
          </w:tcPr>
          <w:p w14:paraId="77A69358">
            <w:pPr>
              <w:pStyle w:val="38"/>
              <w:rPr>
                <w:rFonts w:hint="default"/>
                <w:bCs w:val="0"/>
                <w:color w:val="000000" w:themeColor="text1"/>
              </w:rPr>
            </w:pPr>
            <w:r>
              <w:rPr>
                <w:bCs w:val="0"/>
                <w:color w:val="000000" w:themeColor="text1"/>
              </w:rPr>
              <w:t>内       容</w:t>
            </w:r>
          </w:p>
        </w:tc>
      </w:tr>
      <w:tr w14:paraId="152D3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75352345">
            <w:pPr>
              <w:pStyle w:val="38"/>
              <w:rPr>
                <w:rFonts w:hint="default"/>
                <w:bCs w:val="0"/>
                <w:color w:val="000000" w:themeColor="text1"/>
              </w:rPr>
            </w:pPr>
            <w:r>
              <w:rPr>
                <w:bCs w:val="0"/>
                <w:color w:val="000000" w:themeColor="text1"/>
              </w:rPr>
              <w:t>1</w:t>
            </w:r>
          </w:p>
        </w:tc>
        <w:tc>
          <w:tcPr>
            <w:tcW w:w="1796" w:type="dxa"/>
            <w:vAlign w:val="center"/>
          </w:tcPr>
          <w:p w14:paraId="53AC46B9">
            <w:pPr>
              <w:pStyle w:val="38"/>
              <w:rPr>
                <w:rFonts w:hint="default"/>
                <w:bCs w:val="0"/>
                <w:color w:val="000000" w:themeColor="text1"/>
              </w:rPr>
            </w:pPr>
            <w:r>
              <w:rPr>
                <w:bCs w:val="0"/>
                <w:color w:val="000000" w:themeColor="text1"/>
              </w:rPr>
              <w:t>采购人</w:t>
            </w:r>
          </w:p>
        </w:tc>
        <w:tc>
          <w:tcPr>
            <w:tcW w:w="6436" w:type="dxa"/>
            <w:vAlign w:val="center"/>
          </w:tcPr>
          <w:p w14:paraId="4AE978CD">
            <w:pPr>
              <w:pStyle w:val="38"/>
              <w:rPr>
                <w:rFonts w:hint="default"/>
                <w:bCs w:val="0"/>
                <w:color w:val="000000" w:themeColor="text1"/>
              </w:rPr>
            </w:pPr>
            <w:r>
              <w:rPr>
                <w:bCs w:val="0"/>
                <w:color w:val="000000" w:themeColor="text1"/>
              </w:rPr>
              <w:t>采购人：龙游县公安局交通警察大队</w:t>
            </w:r>
          </w:p>
          <w:p w14:paraId="4FDC4D0B">
            <w:pPr>
              <w:pStyle w:val="38"/>
              <w:rPr>
                <w:rFonts w:hint="default"/>
                <w:bCs w:val="0"/>
                <w:color w:val="000000" w:themeColor="text1"/>
              </w:rPr>
            </w:pPr>
            <w:r>
              <w:rPr>
                <w:bCs w:val="0"/>
                <w:color w:val="000000" w:themeColor="text1"/>
              </w:rPr>
              <w:t>地址：</w:t>
            </w:r>
            <w:r>
              <w:rPr>
                <w:color w:val="000000" w:themeColor="text1"/>
              </w:rPr>
              <w:t>龙游县东华街道荣昌东路99号</w:t>
            </w:r>
          </w:p>
          <w:p w14:paraId="6A430614">
            <w:pPr>
              <w:pStyle w:val="38"/>
              <w:rPr>
                <w:rFonts w:hint="default"/>
                <w:bCs w:val="0"/>
                <w:color w:val="000000" w:themeColor="text1"/>
              </w:rPr>
            </w:pPr>
            <w:r>
              <w:rPr>
                <w:bCs w:val="0"/>
                <w:color w:val="000000" w:themeColor="text1"/>
              </w:rPr>
              <w:t>联系人：</w:t>
            </w:r>
            <w:r>
              <w:rPr>
                <w:color w:val="000000" w:themeColor="text1"/>
              </w:rPr>
              <w:t>胡主任</w:t>
            </w:r>
          </w:p>
          <w:p w14:paraId="38A5ECE1">
            <w:pPr>
              <w:pStyle w:val="38"/>
              <w:rPr>
                <w:rFonts w:hint="default"/>
                <w:bCs w:val="0"/>
                <w:color w:val="000000" w:themeColor="text1"/>
              </w:rPr>
            </w:pPr>
            <w:r>
              <w:rPr>
                <w:bCs w:val="0"/>
                <w:color w:val="000000" w:themeColor="text1"/>
              </w:rPr>
              <w:t>电话：0570-7016135</w:t>
            </w:r>
          </w:p>
        </w:tc>
      </w:tr>
      <w:tr w14:paraId="10026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653F280B">
            <w:pPr>
              <w:pStyle w:val="38"/>
              <w:rPr>
                <w:rFonts w:hint="default"/>
                <w:bCs w:val="0"/>
                <w:color w:val="000000" w:themeColor="text1"/>
              </w:rPr>
            </w:pPr>
            <w:r>
              <w:rPr>
                <w:bCs w:val="0"/>
                <w:color w:val="000000" w:themeColor="text1"/>
              </w:rPr>
              <w:t>2</w:t>
            </w:r>
          </w:p>
        </w:tc>
        <w:tc>
          <w:tcPr>
            <w:tcW w:w="1796" w:type="dxa"/>
            <w:vAlign w:val="center"/>
          </w:tcPr>
          <w:p w14:paraId="7417AF89">
            <w:pPr>
              <w:pStyle w:val="38"/>
              <w:rPr>
                <w:rFonts w:hint="default"/>
                <w:bCs w:val="0"/>
                <w:color w:val="000000" w:themeColor="text1"/>
              </w:rPr>
            </w:pPr>
            <w:r>
              <w:rPr>
                <w:bCs w:val="0"/>
                <w:color w:val="000000" w:themeColor="text1"/>
              </w:rPr>
              <w:t>采购代理机构</w:t>
            </w:r>
          </w:p>
        </w:tc>
        <w:tc>
          <w:tcPr>
            <w:tcW w:w="6436" w:type="dxa"/>
            <w:vAlign w:val="center"/>
          </w:tcPr>
          <w:p w14:paraId="0B73ED63">
            <w:pPr>
              <w:pStyle w:val="38"/>
              <w:rPr>
                <w:rFonts w:hint="default"/>
                <w:bCs w:val="0"/>
                <w:color w:val="000000" w:themeColor="text1"/>
              </w:rPr>
            </w:pPr>
            <w:r>
              <w:rPr>
                <w:bCs w:val="0"/>
                <w:color w:val="000000" w:themeColor="text1"/>
              </w:rPr>
              <w:t>代理机构：龙游久圆工程管理有限公司</w:t>
            </w:r>
          </w:p>
          <w:p w14:paraId="0FD9630C">
            <w:pPr>
              <w:pStyle w:val="38"/>
              <w:rPr>
                <w:rFonts w:hint="default"/>
                <w:bCs w:val="0"/>
                <w:color w:val="000000" w:themeColor="text1"/>
              </w:rPr>
            </w:pPr>
            <w:r>
              <w:rPr>
                <w:bCs w:val="0"/>
                <w:color w:val="000000" w:themeColor="text1"/>
              </w:rPr>
              <w:t>地址：龙游县东华街道永安路60号</w:t>
            </w:r>
          </w:p>
          <w:p w14:paraId="7CA51FA8">
            <w:pPr>
              <w:pStyle w:val="38"/>
              <w:rPr>
                <w:rFonts w:hint="default"/>
                <w:bCs w:val="0"/>
                <w:color w:val="000000" w:themeColor="text1"/>
              </w:rPr>
            </w:pPr>
            <w:r>
              <w:rPr>
                <w:bCs w:val="0"/>
                <w:color w:val="000000" w:themeColor="text1"/>
              </w:rPr>
              <w:t>联系人：李女士</w:t>
            </w:r>
          </w:p>
          <w:p w14:paraId="1559038F">
            <w:pPr>
              <w:pStyle w:val="38"/>
              <w:rPr>
                <w:rFonts w:hint="default"/>
                <w:bCs w:val="0"/>
                <w:color w:val="000000" w:themeColor="text1"/>
              </w:rPr>
            </w:pPr>
            <w:r>
              <w:rPr>
                <w:bCs w:val="0"/>
                <w:color w:val="000000" w:themeColor="text1"/>
              </w:rPr>
              <w:t>电话：15968860235</w:t>
            </w:r>
          </w:p>
          <w:p w14:paraId="4B3EB6D1">
            <w:pPr>
              <w:pStyle w:val="38"/>
              <w:rPr>
                <w:rFonts w:hint="default"/>
                <w:bCs w:val="0"/>
                <w:color w:val="000000" w:themeColor="text1"/>
              </w:rPr>
            </w:pPr>
            <w:r>
              <w:rPr>
                <w:bCs w:val="0"/>
                <w:color w:val="000000" w:themeColor="text1"/>
              </w:rPr>
              <w:t>电子邮箱：549607085@qq.com</w:t>
            </w:r>
          </w:p>
        </w:tc>
      </w:tr>
      <w:tr w14:paraId="19832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131736DB">
            <w:pPr>
              <w:pStyle w:val="38"/>
              <w:rPr>
                <w:rFonts w:hint="default"/>
                <w:bCs w:val="0"/>
                <w:color w:val="000000" w:themeColor="text1"/>
              </w:rPr>
            </w:pPr>
            <w:r>
              <w:rPr>
                <w:bCs w:val="0"/>
                <w:color w:val="000000" w:themeColor="text1"/>
              </w:rPr>
              <w:t>3</w:t>
            </w:r>
          </w:p>
        </w:tc>
        <w:tc>
          <w:tcPr>
            <w:tcW w:w="1796" w:type="dxa"/>
            <w:vAlign w:val="center"/>
          </w:tcPr>
          <w:p w14:paraId="31364561">
            <w:pPr>
              <w:pStyle w:val="38"/>
              <w:rPr>
                <w:rFonts w:hint="default"/>
                <w:bCs w:val="0"/>
                <w:color w:val="000000" w:themeColor="text1"/>
              </w:rPr>
            </w:pPr>
            <w:r>
              <w:rPr>
                <w:bCs w:val="0"/>
                <w:color w:val="000000" w:themeColor="text1"/>
              </w:rPr>
              <w:t>采购活动流程</w:t>
            </w:r>
          </w:p>
        </w:tc>
        <w:tc>
          <w:tcPr>
            <w:tcW w:w="6436" w:type="dxa"/>
            <w:vAlign w:val="center"/>
          </w:tcPr>
          <w:p w14:paraId="6BF181C6">
            <w:pPr>
              <w:pStyle w:val="38"/>
              <w:rPr>
                <w:rFonts w:hint="default"/>
                <w:bCs w:val="0"/>
                <w:color w:val="000000" w:themeColor="text1"/>
              </w:rPr>
            </w:pPr>
            <w:r>
              <w:rPr>
                <w:bCs w:val="0"/>
                <w:color w:val="000000" w:themeColor="text1"/>
              </w:rPr>
              <w:t>电子招标、投标、开标、评标的全流程电子化</w:t>
            </w:r>
          </w:p>
        </w:tc>
      </w:tr>
      <w:tr w14:paraId="40044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34F4D0E1">
            <w:pPr>
              <w:pStyle w:val="38"/>
              <w:rPr>
                <w:rFonts w:hint="default"/>
                <w:bCs w:val="0"/>
                <w:color w:val="000000" w:themeColor="text1"/>
              </w:rPr>
            </w:pPr>
            <w:r>
              <w:rPr>
                <w:bCs w:val="0"/>
                <w:color w:val="000000" w:themeColor="text1"/>
              </w:rPr>
              <w:t>4</w:t>
            </w:r>
          </w:p>
        </w:tc>
        <w:tc>
          <w:tcPr>
            <w:tcW w:w="1796" w:type="dxa"/>
            <w:vAlign w:val="center"/>
          </w:tcPr>
          <w:p w14:paraId="17D44832">
            <w:pPr>
              <w:pStyle w:val="38"/>
              <w:rPr>
                <w:rFonts w:hint="default"/>
                <w:bCs w:val="0"/>
                <w:color w:val="000000" w:themeColor="text1"/>
              </w:rPr>
            </w:pPr>
            <w:r>
              <w:rPr>
                <w:bCs w:val="0"/>
                <w:color w:val="000000" w:themeColor="text1"/>
              </w:rPr>
              <w:t>答疑会</w:t>
            </w:r>
          </w:p>
        </w:tc>
        <w:tc>
          <w:tcPr>
            <w:tcW w:w="6436" w:type="dxa"/>
            <w:vAlign w:val="center"/>
          </w:tcPr>
          <w:p w14:paraId="4298AB40">
            <w:pPr>
              <w:pStyle w:val="38"/>
              <w:rPr>
                <w:rFonts w:hint="default"/>
                <w:bCs w:val="0"/>
                <w:color w:val="000000" w:themeColor="text1"/>
              </w:rPr>
            </w:pPr>
            <w:r>
              <w:rPr>
                <w:bCs w:val="0"/>
                <w:color w:val="000000" w:themeColor="text1"/>
              </w:rPr>
              <w:t>不召开</w:t>
            </w:r>
          </w:p>
        </w:tc>
      </w:tr>
      <w:tr w14:paraId="1E4F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5837FCAD">
            <w:pPr>
              <w:pStyle w:val="38"/>
              <w:rPr>
                <w:rFonts w:hint="default"/>
                <w:bCs w:val="0"/>
                <w:color w:val="000000" w:themeColor="text1"/>
              </w:rPr>
            </w:pPr>
            <w:r>
              <w:rPr>
                <w:bCs w:val="0"/>
                <w:color w:val="000000" w:themeColor="text1"/>
              </w:rPr>
              <w:t>5</w:t>
            </w:r>
          </w:p>
        </w:tc>
        <w:tc>
          <w:tcPr>
            <w:tcW w:w="1796" w:type="dxa"/>
            <w:vAlign w:val="center"/>
          </w:tcPr>
          <w:p w14:paraId="3F8117ED">
            <w:pPr>
              <w:pStyle w:val="38"/>
              <w:rPr>
                <w:rFonts w:hint="default"/>
                <w:bCs w:val="0"/>
                <w:color w:val="000000" w:themeColor="text1"/>
              </w:rPr>
            </w:pPr>
            <w:r>
              <w:rPr>
                <w:bCs w:val="0"/>
                <w:color w:val="000000" w:themeColor="text1"/>
              </w:rPr>
              <w:t>评标办法</w:t>
            </w:r>
          </w:p>
        </w:tc>
        <w:tc>
          <w:tcPr>
            <w:tcW w:w="6436" w:type="dxa"/>
            <w:vAlign w:val="center"/>
          </w:tcPr>
          <w:p w14:paraId="1BF95A8A">
            <w:pPr>
              <w:pStyle w:val="38"/>
              <w:rPr>
                <w:rFonts w:hint="default"/>
                <w:bCs w:val="0"/>
                <w:color w:val="000000" w:themeColor="text1"/>
              </w:rPr>
            </w:pPr>
            <w:r>
              <w:rPr>
                <w:bCs w:val="0"/>
                <w:color w:val="000000" w:themeColor="text1"/>
              </w:rPr>
              <w:t>综合评分法</w:t>
            </w:r>
          </w:p>
        </w:tc>
      </w:tr>
      <w:tr w14:paraId="672E8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095AA306">
            <w:pPr>
              <w:pStyle w:val="38"/>
              <w:rPr>
                <w:rFonts w:hint="default"/>
                <w:bCs w:val="0"/>
                <w:color w:val="000000" w:themeColor="text1"/>
              </w:rPr>
            </w:pPr>
            <w:r>
              <w:rPr>
                <w:bCs w:val="0"/>
                <w:color w:val="000000" w:themeColor="text1"/>
              </w:rPr>
              <w:t>6</w:t>
            </w:r>
          </w:p>
        </w:tc>
        <w:tc>
          <w:tcPr>
            <w:tcW w:w="1796" w:type="dxa"/>
            <w:vAlign w:val="center"/>
          </w:tcPr>
          <w:p w14:paraId="2EC572A2">
            <w:pPr>
              <w:pStyle w:val="38"/>
              <w:rPr>
                <w:rFonts w:hint="default"/>
                <w:bCs w:val="0"/>
                <w:color w:val="000000" w:themeColor="text1"/>
              </w:rPr>
            </w:pPr>
            <w:r>
              <w:rPr>
                <w:bCs w:val="0"/>
                <w:color w:val="000000" w:themeColor="text1"/>
              </w:rPr>
              <w:t>评审小组人员</w:t>
            </w:r>
          </w:p>
        </w:tc>
        <w:tc>
          <w:tcPr>
            <w:tcW w:w="6436" w:type="dxa"/>
            <w:vAlign w:val="center"/>
          </w:tcPr>
          <w:p w14:paraId="219F2A90">
            <w:pPr>
              <w:pStyle w:val="38"/>
              <w:rPr>
                <w:rFonts w:hint="default"/>
                <w:bCs w:val="0"/>
                <w:color w:val="000000" w:themeColor="text1"/>
              </w:rPr>
            </w:pPr>
            <w:r>
              <w:rPr>
                <w:bCs w:val="0"/>
                <w:color w:val="000000" w:themeColor="text1"/>
              </w:rPr>
              <w:t>共5人组成</w:t>
            </w:r>
          </w:p>
        </w:tc>
      </w:tr>
      <w:tr w14:paraId="498BC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5CB8C681">
            <w:pPr>
              <w:pStyle w:val="38"/>
              <w:rPr>
                <w:rFonts w:hint="default"/>
                <w:bCs w:val="0"/>
                <w:color w:val="000000" w:themeColor="text1"/>
              </w:rPr>
            </w:pPr>
            <w:r>
              <w:rPr>
                <w:bCs w:val="0"/>
                <w:color w:val="000000" w:themeColor="text1"/>
              </w:rPr>
              <w:t>7</w:t>
            </w:r>
          </w:p>
        </w:tc>
        <w:tc>
          <w:tcPr>
            <w:tcW w:w="1796" w:type="dxa"/>
            <w:vAlign w:val="center"/>
          </w:tcPr>
          <w:p w14:paraId="53304A89">
            <w:pPr>
              <w:pStyle w:val="38"/>
              <w:rPr>
                <w:rFonts w:hint="default"/>
                <w:bCs w:val="0"/>
                <w:color w:val="000000" w:themeColor="text1"/>
              </w:rPr>
            </w:pPr>
            <w:r>
              <w:rPr>
                <w:bCs w:val="0"/>
                <w:color w:val="000000" w:themeColor="text1"/>
              </w:rPr>
              <w:t>投标有效期</w:t>
            </w:r>
          </w:p>
        </w:tc>
        <w:tc>
          <w:tcPr>
            <w:tcW w:w="6436" w:type="dxa"/>
            <w:vAlign w:val="center"/>
          </w:tcPr>
          <w:p w14:paraId="0F6E4972">
            <w:pPr>
              <w:pStyle w:val="38"/>
              <w:rPr>
                <w:rFonts w:hint="default"/>
                <w:bCs w:val="0"/>
                <w:color w:val="000000" w:themeColor="text1"/>
              </w:rPr>
            </w:pPr>
            <w:r>
              <w:rPr>
                <w:bCs w:val="0"/>
                <w:color w:val="000000" w:themeColor="text1"/>
              </w:rPr>
              <w:t>自开启投标文件之日起90个日历天</w:t>
            </w:r>
          </w:p>
        </w:tc>
      </w:tr>
      <w:tr w14:paraId="428E1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5B054E8C">
            <w:pPr>
              <w:pStyle w:val="38"/>
              <w:rPr>
                <w:rFonts w:hint="default"/>
                <w:bCs w:val="0"/>
                <w:color w:val="000000" w:themeColor="text1"/>
              </w:rPr>
            </w:pPr>
            <w:r>
              <w:rPr>
                <w:bCs w:val="0"/>
                <w:color w:val="000000" w:themeColor="text1"/>
              </w:rPr>
              <w:t>8</w:t>
            </w:r>
          </w:p>
        </w:tc>
        <w:tc>
          <w:tcPr>
            <w:tcW w:w="1796" w:type="dxa"/>
            <w:vAlign w:val="center"/>
          </w:tcPr>
          <w:p w14:paraId="5FE56D95">
            <w:pPr>
              <w:pStyle w:val="38"/>
              <w:rPr>
                <w:rFonts w:hint="default"/>
                <w:bCs w:val="0"/>
                <w:color w:val="000000" w:themeColor="text1"/>
              </w:rPr>
            </w:pPr>
            <w:r>
              <w:rPr>
                <w:bCs w:val="0"/>
                <w:color w:val="000000" w:themeColor="text1"/>
              </w:rPr>
              <w:t>分包情况</w:t>
            </w:r>
          </w:p>
        </w:tc>
        <w:tc>
          <w:tcPr>
            <w:tcW w:w="6436" w:type="dxa"/>
            <w:vAlign w:val="center"/>
          </w:tcPr>
          <w:p w14:paraId="43123E4A">
            <w:pPr>
              <w:pStyle w:val="38"/>
              <w:rPr>
                <w:rFonts w:hint="default"/>
                <w:bCs w:val="0"/>
                <w:color w:val="000000" w:themeColor="text1"/>
              </w:rPr>
            </w:pPr>
            <w:r>
              <w:rPr>
                <w:bCs w:val="0"/>
                <w:color w:val="000000" w:themeColor="text1"/>
              </w:rPr>
              <w:t>不允许</w:t>
            </w:r>
          </w:p>
        </w:tc>
      </w:tr>
      <w:tr w14:paraId="36A0E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27B3575E">
            <w:pPr>
              <w:pStyle w:val="38"/>
              <w:rPr>
                <w:rFonts w:hint="default"/>
                <w:bCs w:val="0"/>
                <w:color w:val="000000" w:themeColor="text1"/>
              </w:rPr>
            </w:pPr>
            <w:r>
              <w:rPr>
                <w:bCs w:val="0"/>
                <w:color w:val="000000" w:themeColor="text1"/>
              </w:rPr>
              <w:t>9</w:t>
            </w:r>
          </w:p>
        </w:tc>
        <w:tc>
          <w:tcPr>
            <w:tcW w:w="1796" w:type="dxa"/>
            <w:vAlign w:val="center"/>
          </w:tcPr>
          <w:p w14:paraId="34FCB19E">
            <w:pPr>
              <w:pStyle w:val="38"/>
              <w:rPr>
                <w:rFonts w:hint="default"/>
                <w:bCs w:val="0"/>
                <w:color w:val="000000" w:themeColor="text1"/>
              </w:rPr>
            </w:pPr>
            <w:r>
              <w:rPr>
                <w:bCs w:val="0"/>
                <w:color w:val="000000" w:themeColor="text1"/>
              </w:rPr>
              <w:t>投标保证金</w:t>
            </w:r>
          </w:p>
        </w:tc>
        <w:tc>
          <w:tcPr>
            <w:tcW w:w="6436" w:type="dxa"/>
            <w:vAlign w:val="center"/>
          </w:tcPr>
          <w:p w14:paraId="2073D5C2">
            <w:pPr>
              <w:pStyle w:val="38"/>
              <w:rPr>
                <w:rFonts w:hint="default"/>
                <w:bCs w:val="0"/>
                <w:color w:val="000000" w:themeColor="text1"/>
              </w:rPr>
            </w:pPr>
            <w:r>
              <w:rPr>
                <w:bCs w:val="0"/>
                <w:color w:val="000000" w:themeColor="text1"/>
              </w:rPr>
              <w:t>不收取</w:t>
            </w:r>
          </w:p>
        </w:tc>
      </w:tr>
      <w:tr w14:paraId="396FA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15DAAB11">
            <w:pPr>
              <w:pStyle w:val="38"/>
              <w:rPr>
                <w:rFonts w:hint="default"/>
                <w:bCs w:val="0"/>
                <w:color w:val="000000" w:themeColor="text1"/>
              </w:rPr>
            </w:pPr>
            <w:r>
              <w:rPr>
                <w:bCs w:val="0"/>
                <w:color w:val="000000" w:themeColor="text1"/>
              </w:rPr>
              <w:t>10</w:t>
            </w:r>
          </w:p>
        </w:tc>
        <w:tc>
          <w:tcPr>
            <w:tcW w:w="1796" w:type="dxa"/>
            <w:vAlign w:val="center"/>
          </w:tcPr>
          <w:p w14:paraId="78F86310">
            <w:pPr>
              <w:pStyle w:val="38"/>
              <w:rPr>
                <w:rFonts w:hint="default"/>
                <w:bCs w:val="0"/>
                <w:color w:val="000000" w:themeColor="text1"/>
              </w:rPr>
            </w:pPr>
            <w:r>
              <w:rPr>
                <w:bCs w:val="0"/>
                <w:color w:val="000000" w:themeColor="text1"/>
              </w:rPr>
              <w:t>踏勘现场</w:t>
            </w:r>
          </w:p>
        </w:tc>
        <w:tc>
          <w:tcPr>
            <w:tcW w:w="6436" w:type="dxa"/>
            <w:vAlign w:val="center"/>
          </w:tcPr>
          <w:p w14:paraId="78879361">
            <w:pPr>
              <w:pStyle w:val="38"/>
              <w:rPr>
                <w:rFonts w:hint="default"/>
                <w:bCs w:val="0"/>
                <w:color w:val="000000" w:themeColor="text1"/>
              </w:rPr>
            </w:pPr>
            <w:r>
              <w:rPr>
                <w:bCs w:val="0"/>
                <w:color w:val="000000" w:themeColor="text1"/>
              </w:rPr>
              <w:t>采购人不组织现场踏勘。</w:t>
            </w:r>
          </w:p>
        </w:tc>
      </w:tr>
      <w:tr w14:paraId="0FE17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458C2037">
            <w:pPr>
              <w:pStyle w:val="38"/>
              <w:rPr>
                <w:rFonts w:hint="default"/>
                <w:bCs w:val="0"/>
                <w:color w:val="000000" w:themeColor="text1"/>
              </w:rPr>
            </w:pPr>
            <w:r>
              <w:rPr>
                <w:bCs w:val="0"/>
                <w:color w:val="000000" w:themeColor="text1"/>
              </w:rPr>
              <w:t>11</w:t>
            </w:r>
          </w:p>
        </w:tc>
        <w:tc>
          <w:tcPr>
            <w:tcW w:w="1796" w:type="dxa"/>
            <w:vAlign w:val="center"/>
          </w:tcPr>
          <w:p w14:paraId="7FCB4145">
            <w:pPr>
              <w:pStyle w:val="38"/>
              <w:rPr>
                <w:rFonts w:hint="default"/>
                <w:bCs w:val="0"/>
                <w:color w:val="000000" w:themeColor="text1"/>
              </w:rPr>
            </w:pPr>
            <w:r>
              <w:rPr>
                <w:bCs w:val="0"/>
                <w:color w:val="000000" w:themeColor="text1"/>
              </w:rPr>
              <w:t>构成招标文件的其他材料</w:t>
            </w:r>
          </w:p>
        </w:tc>
        <w:tc>
          <w:tcPr>
            <w:tcW w:w="6436" w:type="dxa"/>
            <w:vAlign w:val="center"/>
          </w:tcPr>
          <w:p w14:paraId="7D0C3863">
            <w:pPr>
              <w:pStyle w:val="38"/>
              <w:rPr>
                <w:rFonts w:hint="default"/>
                <w:bCs w:val="0"/>
                <w:color w:val="000000" w:themeColor="text1"/>
              </w:rPr>
            </w:pPr>
            <w:r>
              <w:rPr>
                <w:bCs w:val="0"/>
                <w:color w:val="000000" w:themeColor="text1"/>
              </w:rPr>
              <w:t>补充、更正公告</w:t>
            </w:r>
          </w:p>
        </w:tc>
      </w:tr>
      <w:tr w14:paraId="38266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7E852D7B">
            <w:pPr>
              <w:pStyle w:val="38"/>
              <w:rPr>
                <w:rFonts w:hint="default"/>
                <w:bCs w:val="0"/>
                <w:color w:val="000000" w:themeColor="text1"/>
              </w:rPr>
            </w:pPr>
            <w:r>
              <w:rPr>
                <w:bCs w:val="0"/>
                <w:color w:val="000000" w:themeColor="text1"/>
              </w:rPr>
              <w:t>12</w:t>
            </w:r>
          </w:p>
        </w:tc>
        <w:tc>
          <w:tcPr>
            <w:tcW w:w="1796" w:type="dxa"/>
            <w:vAlign w:val="center"/>
          </w:tcPr>
          <w:p w14:paraId="069D51AC">
            <w:pPr>
              <w:pStyle w:val="38"/>
              <w:rPr>
                <w:rFonts w:hint="default"/>
                <w:bCs w:val="0"/>
                <w:color w:val="000000" w:themeColor="text1"/>
              </w:rPr>
            </w:pPr>
            <w:r>
              <w:rPr>
                <w:bCs w:val="0"/>
                <w:color w:val="000000" w:themeColor="text1"/>
              </w:rPr>
              <w:t>资格审查方式</w:t>
            </w:r>
          </w:p>
        </w:tc>
        <w:tc>
          <w:tcPr>
            <w:tcW w:w="6436" w:type="dxa"/>
            <w:vAlign w:val="center"/>
          </w:tcPr>
          <w:p w14:paraId="3F1E4520">
            <w:pPr>
              <w:pStyle w:val="38"/>
              <w:rPr>
                <w:rFonts w:hint="default"/>
                <w:bCs w:val="0"/>
                <w:color w:val="000000" w:themeColor="text1"/>
              </w:rPr>
            </w:pPr>
            <w:r>
              <w:rPr>
                <w:bCs w:val="0"/>
                <w:color w:val="000000" w:themeColor="text1"/>
              </w:rPr>
              <w:t>资格后审。</w:t>
            </w:r>
          </w:p>
          <w:p w14:paraId="52D1E13B">
            <w:pPr>
              <w:pStyle w:val="38"/>
              <w:rPr>
                <w:rFonts w:hint="default"/>
                <w:bCs w:val="0"/>
                <w:color w:val="000000" w:themeColor="text1"/>
              </w:rPr>
            </w:pPr>
            <w:r>
              <w:rPr>
                <w:bCs w:val="0"/>
                <w:color w:val="000000" w:themeColor="text1"/>
              </w:rPr>
              <w:t>资格后审是指在开标后由采购人或采购代理机构代表根据采购文件的规定对投标人资格性符合性进行审查，资格后审不合格的投标人，其投标作无效标处理。</w:t>
            </w:r>
          </w:p>
        </w:tc>
      </w:tr>
      <w:tr w14:paraId="361A4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661CE71A">
            <w:pPr>
              <w:pStyle w:val="38"/>
              <w:rPr>
                <w:rFonts w:hint="default"/>
                <w:bCs w:val="0"/>
                <w:color w:val="000000" w:themeColor="text1"/>
              </w:rPr>
            </w:pPr>
            <w:r>
              <w:rPr>
                <w:bCs w:val="0"/>
                <w:color w:val="000000" w:themeColor="text1"/>
              </w:rPr>
              <w:t>13</w:t>
            </w:r>
          </w:p>
        </w:tc>
        <w:tc>
          <w:tcPr>
            <w:tcW w:w="1796" w:type="dxa"/>
            <w:vAlign w:val="center"/>
          </w:tcPr>
          <w:p w14:paraId="54906058">
            <w:pPr>
              <w:pStyle w:val="38"/>
              <w:rPr>
                <w:rFonts w:hint="default"/>
                <w:bCs w:val="0"/>
                <w:color w:val="000000" w:themeColor="text1"/>
              </w:rPr>
            </w:pPr>
            <w:r>
              <w:rPr>
                <w:bCs w:val="0"/>
                <w:color w:val="000000" w:themeColor="text1"/>
              </w:rPr>
              <w:t>询问与答复</w:t>
            </w:r>
          </w:p>
        </w:tc>
        <w:tc>
          <w:tcPr>
            <w:tcW w:w="6436" w:type="dxa"/>
            <w:vAlign w:val="center"/>
          </w:tcPr>
          <w:p w14:paraId="14305879">
            <w:pPr>
              <w:pStyle w:val="38"/>
              <w:rPr>
                <w:rFonts w:hint="default"/>
                <w:bCs w:val="0"/>
                <w:color w:val="000000" w:themeColor="text1"/>
              </w:rPr>
            </w:pPr>
            <w:r>
              <w:rPr>
                <w:bCs w:val="0"/>
                <w:color w:val="000000" w:themeColor="text1"/>
              </w:rPr>
              <w:t>潜在投标人对招标公告、招标文件有疑问的，在</w:t>
            </w:r>
            <w:r>
              <w:rPr>
                <w:rFonts w:hint="eastAsia"/>
                <w:bCs w:val="0"/>
                <w:color w:val="000000" w:themeColor="text1"/>
                <w:lang w:eastAsia="zh-CN"/>
              </w:rPr>
              <w:t>2025年</w:t>
            </w:r>
            <w:r>
              <w:rPr>
                <w:rFonts w:hint="eastAsia"/>
                <w:bCs w:val="0"/>
                <w:color w:val="000000" w:themeColor="text1"/>
                <w:lang w:val="en-US" w:eastAsia="zh-CN"/>
              </w:rPr>
              <w:t>7</w:t>
            </w:r>
            <w:r>
              <w:rPr>
                <w:bCs w:val="0"/>
                <w:color w:val="000000" w:themeColor="text1"/>
              </w:rPr>
              <w:t>月</w:t>
            </w:r>
            <w:r>
              <w:rPr>
                <w:rFonts w:hint="eastAsia"/>
                <w:bCs w:val="0"/>
                <w:color w:val="000000" w:themeColor="text1"/>
                <w:lang w:val="en-US" w:eastAsia="zh-CN"/>
              </w:rPr>
              <w:t>23</w:t>
            </w:r>
            <w:r>
              <w:rPr>
                <w:bCs w:val="0"/>
                <w:color w:val="000000" w:themeColor="text1"/>
              </w:rPr>
              <w:t>日12:00时前以书面形式向采购人和采购代理机构提出询问，逾期提出不予受理。如需修改或补充的，采购代理机构以补充公告形式于</w:t>
            </w:r>
            <w:r>
              <w:rPr>
                <w:rFonts w:hint="eastAsia"/>
                <w:bCs w:val="0"/>
                <w:color w:val="000000" w:themeColor="text1"/>
                <w:lang w:eastAsia="zh-CN"/>
              </w:rPr>
              <w:t>2025年</w:t>
            </w:r>
            <w:r>
              <w:rPr>
                <w:rFonts w:hint="eastAsia"/>
                <w:bCs w:val="0"/>
                <w:color w:val="000000" w:themeColor="text1"/>
                <w:lang w:val="en-US" w:eastAsia="zh-CN"/>
              </w:rPr>
              <w:t>7</w:t>
            </w:r>
            <w:r>
              <w:rPr>
                <w:bCs w:val="0"/>
                <w:color w:val="000000" w:themeColor="text1"/>
              </w:rPr>
              <w:t>月</w:t>
            </w:r>
            <w:r>
              <w:rPr>
                <w:rFonts w:hint="eastAsia"/>
                <w:bCs w:val="0"/>
                <w:color w:val="000000" w:themeColor="text1"/>
                <w:lang w:val="en-US" w:eastAsia="zh-CN"/>
              </w:rPr>
              <w:t>23</w:t>
            </w:r>
            <w:r>
              <w:rPr>
                <w:bCs w:val="0"/>
                <w:color w:val="000000" w:themeColor="text1"/>
              </w:rPr>
              <w:t>日17:00时在浙江政府采购网公告。</w:t>
            </w:r>
          </w:p>
        </w:tc>
      </w:tr>
      <w:tr w14:paraId="5B023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7E5700BF">
            <w:pPr>
              <w:pStyle w:val="38"/>
              <w:rPr>
                <w:rFonts w:hint="default"/>
                <w:bCs w:val="0"/>
                <w:color w:val="000000" w:themeColor="text1"/>
              </w:rPr>
            </w:pPr>
            <w:r>
              <w:rPr>
                <w:bCs w:val="0"/>
                <w:color w:val="000000" w:themeColor="text1"/>
              </w:rPr>
              <w:t>14</w:t>
            </w:r>
          </w:p>
        </w:tc>
        <w:tc>
          <w:tcPr>
            <w:tcW w:w="1796" w:type="dxa"/>
            <w:vAlign w:val="center"/>
          </w:tcPr>
          <w:p w14:paraId="6DF99A70">
            <w:pPr>
              <w:pStyle w:val="38"/>
              <w:rPr>
                <w:rFonts w:hint="default"/>
                <w:bCs w:val="0"/>
                <w:color w:val="000000" w:themeColor="text1"/>
              </w:rPr>
            </w:pPr>
            <w:r>
              <w:rPr>
                <w:bCs w:val="0"/>
                <w:color w:val="000000" w:themeColor="text1"/>
              </w:rPr>
              <w:t>最高限价（元）</w:t>
            </w:r>
          </w:p>
        </w:tc>
        <w:tc>
          <w:tcPr>
            <w:tcW w:w="6436" w:type="dxa"/>
            <w:vAlign w:val="center"/>
          </w:tcPr>
          <w:p w14:paraId="0F88BA28">
            <w:pPr>
              <w:pStyle w:val="38"/>
              <w:rPr>
                <w:rFonts w:hint="default"/>
                <w:bCs w:val="0"/>
                <w:color w:val="000000" w:themeColor="text1"/>
              </w:rPr>
            </w:pPr>
            <w:r>
              <w:rPr>
                <w:rFonts w:hint="eastAsia"/>
                <w:bCs w:val="0"/>
                <w:color w:val="000000" w:themeColor="text1"/>
                <w:lang w:val="en-US" w:eastAsia="zh-CN"/>
              </w:rPr>
              <w:t>450000</w:t>
            </w:r>
            <w:r>
              <w:rPr>
                <w:bCs w:val="0"/>
                <w:color w:val="000000" w:themeColor="text1"/>
              </w:rPr>
              <w:t>元</w:t>
            </w:r>
          </w:p>
        </w:tc>
      </w:tr>
      <w:tr w14:paraId="280AB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0FA194F1">
            <w:pPr>
              <w:pStyle w:val="38"/>
              <w:rPr>
                <w:rFonts w:hint="default"/>
                <w:bCs w:val="0"/>
                <w:color w:val="000000" w:themeColor="text1"/>
              </w:rPr>
            </w:pPr>
            <w:r>
              <w:rPr>
                <w:bCs w:val="0"/>
                <w:color w:val="000000" w:themeColor="text1"/>
              </w:rPr>
              <w:t>15</w:t>
            </w:r>
          </w:p>
        </w:tc>
        <w:tc>
          <w:tcPr>
            <w:tcW w:w="1796" w:type="dxa"/>
            <w:vAlign w:val="center"/>
          </w:tcPr>
          <w:p w14:paraId="0070E5F4">
            <w:pPr>
              <w:pStyle w:val="38"/>
              <w:rPr>
                <w:rFonts w:hint="default"/>
                <w:bCs w:val="0"/>
                <w:color w:val="000000" w:themeColor="text1"/>
              </w:rPr>
            </w:pPr>
            <w:r>
              <w:rPr>
                <w:bCs w:val="0"/>
                <w:color w:val="000000" w:themeColor="text1"/>
              </w:rPr>
              <w:t>投标报价范围</w:t>
            </w:r>
          </w:p>
        </w:tc>
        <w:tc>
          <w:tcPr>
            <w:tcW w:w="6436" w:type="dxa"/>
            <w:vAlign w:val="center"/>
          </w:tcPr>
          <w:p w14:paraId="3B460DA0">
            <w:pPr>
              <w:pStyle w:val="38"/>
              <w:rPr>
                <w:rFonts w:hint="default"/>
                <w:bCs w:val="0"/>
                <w:color w:val="000000" w:themeColor="text1"/>
              </w:rPr>
            </w:pPr>
            <w:r>
              <w:t>是指投标人在正确地完全履行合同义务后采购人应支付服务价格，包括人工工资、社会保险、福利、节假日加班费用、行政办公费用、法定税费、其他费用等一切费用。实行总价包干，供应商应根据自身实际报价时予以考虑，如有漏项，视同已包含在其它项目中，价格不作调整，合同签订后不允许擅自改变服务内容、质量标准、期限和追加项目费用。</w:t>
            </w:r>
          </w:p>
        </w:tc>
      </w:tr>
      <w:tr w14:paraId="43B43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46B98D43">
            <w:pPr>
              <w:pStyle w:val="38"/>
              <w:rPr>
                <w:rFonts w:hint="default"/>
                <w:bCs w:val="0"/>
                <w:color w:val="000000" w:themeColor="text1"/>
              </w:rPr>
            </w:pPr>
            <w:r>
              <w:rPr>
                <w:bCs w:val="0"/>
                <w:color w:val="000000" w:themeColor="text1"/>
              </w:rPr>
              <w:t>16</w:t>
            </w:r>
          </w:p>
        </w:tc>
        <w:tc>
          <w:tcPr>
            <w:tcW w:w="1796" w:type="dxa"/>
            <w:vAlign w:val="center"/>
          </w:tcPr>
          <w:p w14:paraId="6D71A194">
            <w:pPr>
              <w:pStyle w:val="38"/>
              <w:rPr>
                <w:rFonts w:hint="default"/>
                <w:bCs w:val="0"/>
                <w:color w:val="000000" w:themeColor="text1"/>
              </w:rPr>
            </w:pPr>
            <w:r>
              <w:rPr>
                <w:bCs w:val="0"/>
                <w:color w:val="000000" w:themeColor="text1"/>
              </w:rPr>
              <w:t>投标报价次数</w:t>
            </w:r>
          </w:p>
        </w:tc>
        <w:tc>
          <w:tcPr>
            <w:tcW w:w="6436" w:type="dxa"/>
            <w:vAlign w:val="center"/>
          </w:tcPr>
          <w:p w14:paraId="3E6C5F42">
            <w:pPr>
              <w:pStyle w:val="38"/>
              <w:rPr>
                <w:rFonts w:hint="default"/>
                <w:bCs w:val="0"/>
                <w:color w:val="000000" w:themeColor="text1"/>
              </w:rPr>
            </w:pPr>
            <w:r>
              <w:rPr>
                <w:bCs w:val="0"/>
                <w:color w:val="000000" w:themeColor="text1"/>
              </w:rPr>
              <w:t>本次投标报价为一次不得更改报价，投标人只有一次报价的机会。投标报价不得有选择性报价和附有条件，且不得高于最高限价。</w:t>
            </w:r>
          </w:p>
        </w:tc>
      </w:tr>
      <w:tr w14:paraId="39188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7E1B6B89">
            <w:pPr>
              <w:pStyle w:val="38"/>
              <w:rPr>
                <w:rFonts w:hint="default"/>
                <w:bCs w:val="0"/>
                <w:color w:val="000000" w:themeColor="text1"/>
              </w:rPr>
            </w:pPr>
            <w:r>
              <w:rPr>
                <w:bCs w:val="0"/>
                <w:color w:val="000000" w:themeColor="text1"/>
              </w:rPr>
              <w:t>17</w:t>
            </w:r>
          </w:p>
        </w:tc>
        <w:tc>
          <w:tcPr>
            <w:tcW w:w="1796" w:type="dxa"/>
            <w:vAlign w:val="center"/>
          </w:tcPr>
          <w:p w14:paraId="7F517DAA">
            <w:pPr>
              <w:pStyle w:val="38"/>
              <w:rPr>
                <w:rFonts w:hint="default"/>
                <w:bCs w:val="0"/>
                <w:color w:val="000000" w:themeColor="text1"/>
              </w:rPr>
            </w:pPr>
            <w:r>
              <w:rPr>
                <w:bCs w:val="0"/>
                <w:color w:val="000000" w:themeColor="text1"/>
              </w:rPr>
              <w:t>投标文件形式、制作</w:t>
            </w:r>
          </w:p>
        </w:tc>
        <w:tc>
          <w:tcPr>
            <w:tcW w:w="6436" w:type="dxa"/>
            <w:vAlign w:val="center"/>
          </w:tcPr>
          <w:p w14:paraId="242B0B6D">
            <w:pPr>
              <w:pStyle w:val="38"/>
              <w:rPr>
                <w:rFonts w:hint="default"/>
                <w:bCs w:val="0"/>
                <w:color w:val="000000" w:themeColor="text1"/>
              </w:rPr>
            </w:pPr>
            <w:r>
              <w:rPr>
                <w:bCs w:val="0"/>
                <w:color w:val="000000" w:themeColor="text1"/>
              </w:rPr>
              <w:t>1.形式：电子投标文件</w:t>
            </w:r>
          </w:p>
          <w:p w14:paraId="3D49041B">
            <w:pPr>
              <w:pStyle w:val="38"/>
              <w:rPr>
                <w:rFonts w:hint="default"/>
                <w:bCs w:val="0"/>
                <w:color w:val="000000" w:themeColor="text1"/>
              </w:rPr>
            </w:pPr>
            <w:r>
              <w:rPr>
                <w:bCs w:val="0"/>
                <w:color w:val="000000" w:themeColor="text1"/>
              </w:rPr>
              <w:t>2.制作：</w:t>
            </w:r>
          </w:p>
          <w:p w14:paraId="0EF555C3">
            <w:pPr>
              <w:pStyle w:val="47"/>
              <w:rPr>
                <w:color w:val="000000" w:themeColor="text1"/>
              </w:rPr>
            </w:pPr>
            <w:r>
              <w:rPr>
                <w:color w:val="000000" w:themeColor="text1"/>
              </w:rPr>
              <w:t>2.1</w:t>
            </w:r>
            <w:r>
              <w:rPr>
                <w:rFonts w:hint="eastAsia"/>
                <w:color w:val="000000" w:themeColor="text1"/>
              </w:rPr>
              <w:t>政采云电子交易客户端：通过浙江政府采购网（网址：</w:t>
            </w:r>
          </w:p>
          <w:p w14:paraId="76F44500">
            <w:pPr>
              <w:pStyle w:val="38"/>
              <w:rPr>
                <w:rFonts w:hint="default"/>
                <w:bCs w:val="0"/>
                <w:color w:val="000000" w:themeColor="text1"/>
              </w:rPr>
            </w:pPr>
            <w:r>
              <w:rPr>
                <w:color w:val="000000" w:themeColor="text1"/>
              </w:rPr>
              <w:t>https://zfcg.czt.zj.gov.cn/bidClientTemplate/2021-01-07/12975.html）-下载专区下载并安装。</w:t>
            </w:r>
          </w:p>
          <w:p w14:paraId="03483BAD">
            <w:pPr>
              <w:pStyle w:val="38"/>
              <w:rPr>
                <w:rFonts w:hint="default"/>
                <w:bCs w:val="0"/>
                <w:color w:val="000000" w:themeColor="text1"/>
              </w:rPr>
            </w:pPr>
            <w:r>
              <w:rPr>
                <w:bCs w:val="0"/>
                <w:color w:val="000000" w:themeColor="text1"/>
              </w:rPr>
              <w:t>2.2投标文件制作：按照本招标文件和政采云平台的要求，通过政采云电子交易客户端制作并加密投标文件。制作投标文件，响应文件制作：按照本竞争性磋商文件和政采云平台的要求，通过政采云电子交易客户端制作并加密响应文件。制作响应文件，电子投标工具下载网站：https：//zfcg.czt.zj.gov.cn/bidClientTemplate/2019-09-24/12975.html</w:t>
            </w:r>
          </w:p>
          <w:p w14:paraId="3E1E8C8D">
            <w:pPr>
              <w:pStyle w:val="38"/>
              <w:rPr>
                <w:rFonts w:hint="default"/>
                <w:bCs w:val="0"/>
                <w:color w:val="000000" w:themeColor="text1"/>
              </w:rPr>
            </w:pPr>
            <w:r>
              <w:rPr>
                <w:bCs w:val="0"/>
                <w:color w:val="000000" w:themeColor="text1"/>
              </w:rPr>
              <w:t>2.3签章：CA电子签单</w:t>
            </w:r>
          </w:p>
          <w:p w14:paraId="2FD96615">
            <w:pPr>
              <w:pStyle w:val="38"/>
              <w:rPr>
                <w:rFonts w:hint="default"/>
                <w:bCs w:val="0"/>
                <w:color w:val="000000" w:themeColor="text1"/>
              </w:rPr>
            </w:pPr>
            <w:r>
              <w:rPr>
                <w:bCs w:val="0"/>
                <w:color w:val="000000" w:themeColor="text1"/>
              </w:rPr>
              <w:t>3.幅面规格：采用A4纸规格（图页除外）</w:t>
            </w:r>
          </w:p>
        </w:tc>
      </w:tr>
      <w:tr w14:paraId="2463D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2A9F28C0">
            <w:pPr>
              <w:pStyle w:val="38"/>
              <w:rPr>
                <w:rFonts w:hint="default"/>
                <w:bCs w:val="0"/>
                <w:color w:val="000000" w:themeColor="text1"/>
              </w:rPr>
            </w:pPr>
            <w:r>
              <w:rPr>
                <w:bCs w:val="0"/>
                <w:color w:val="000000" w:themeColor="text1"/>
              </w:rPr>
              <w:t>18</w:t>
            </w:r>
          </w:p>
        </w:tc>
        <w:tc>
          <w:tcPr>
            <w:tcW w:w="1796" w:type="dxa"/>
            <w:vAlign w:val="center"/>
          </w:tcPr>
          <w:p w14:paraId="2C50E18C">
            <w:pPr>
              <w:pStyle w:val="38"/>
              <w:rPr>
                <w:rFonts w:hint="default"/>
                <w:bCs w:val="0"/>
                <w:color w:val="000000" w:themeColor="text1"/>
              </w:rPr>
            </w:pPr>
            <w:r>
              <w:rPr>
                <w:bCs w:val="0"/>
                <w:color w:val="000000" w:themeColor="text1"/>
              </w:rPr>
              <w:t>投标文件提交</w:t>
            </w:r>
          </w:p>
        </w:tc>
        <w:tc>
          <w:tcPr>
            <w:tcW w:w="6436" w:type="dxa"/>
            <w:vAlign w:val="center"/>
          </w:tcPr>
          <w:p w14:paraId="16416C33">
            <w:pPr>
              <w:pStyle w:val="38"/>
              <w:rPr>
                <w:rFonts w:hint="default"/>
                <w:bCs w:val="0"/>
                <w:color w:val="000000" w:themeColor="text1"/>
              </w:rPr>
            </w:pPr>
            <w:r>
              <w:rPr>
                <w:bCs w:val="0"/>
                <w:color w:val="000000" w:themeColor="text1"/>
              </w:rPr>
              <w:t>1.截止时间：</w:t>
            </w:r>
            <w:r>
              <w:rPr>
                <w:rFonts w:hint="eastAsia"/>
                <w:bCs w:val="0"/>
                <w:color w:val="000000" w:themeColor="text1"/>
                <w:lang w:val="en-US" w:eastAsia="zh-CN"/>
              </w:rPr>
              <w:t>2025年8月5日15:00时</w:t>
            </w:r>
            <w:r>
              <w:rPr>
                <w:bCs w:val="0"/>
                <w:color w:val="000000" w:themeColor="text1"/>
              </w:rPr>
              <w:t>（北京时间）前完成投标文件的上传提交。响应截止时间前未完成上传的，视为撤回投标文件。</w:t>
            </w:r>
          </w:p>
          <w:p w14:paraId="03907104">
            <w:pPr>
              <w:pStyle w:val="38"/>
              <w:rPr>
                <w:rFonts w:hint="default"/>
                <w:bCs w:val="0"/>
                <w:color w:val="000000" w:themeColor="text1"/>
              </w:rPr>
            </w:pPr>
            <w:r>
              <w:rPr>
                <w:bCs w:val="0"/>
                <w:color w:val="000000" w:themeColor="text1"/>
              </w:rPr>
              <w:t>2.地址：政采云平台。</w:t>
            </w:r>
          </w:p>
        </w:tc>
      </w:tr>
      <w:tr w14:paraId="309E9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0F7BE3FD">
            <w:pPr>
              <w:pStyle w:val="38"/>
              <w:rPr>
                <w:rFonts w:hint="default"/>
                <w:bCs w:val="0"/>
                <w:color w:val="000000" w:themeColor="text1"/>
              </w:rPr>
            </w:pPr>
            <w:r>
              <w:rPr>
                <w:bCs w:val="0"/>
                <w:color w:val="000000" w:themeColor="text1"/>
              </w:rPr>
              <w:t>19</w:t>
            </w:r>
          </w:p>
        </w:tc>
        <w:tc>
          <w:tcPr>
            <w:tcW w:w="1796" w:type="dxa"/>
            <w:vAlign w:val="center"/>
          </w:tcPr>
          <w:p w14:paraId="141443DA">
            <w:pPr>
              <w:pStyle w:val="38"/>
              <w:rPr>
                <w:rFonts w:hint="default"/>
                <w:bCs w:val="0"/>
                <w:color w:val="000000" w:themeColor="text1"/>
              </w:rPr>
            </w:pPr>
            <w:r>
              <w:rPr>
                <w:bCs w:val="0"/>
                <w:color w:val="000000" w:themeColor="text1"/>
              </w:rPr>
              <w:t>备份投标文件提交</w:t>
            </w:r>
          </w:p>
        </w:tc>
        <w:tc>
          <w:tcPr>
            <w:tcW w:w="6436" w:type="dxa"/>
            <w:vAlign w:val="center"/>
          </w:tcPr>
          <w:p w14:paraId="0C409CBC">
            <w:pPr>
              <w:pStyle w:val="38"/>
              <w:rPr>
                <w:rFonts w:hint="default"/>
                <w:bCs w:val="0"/>
                <w:color w:val="000000" w:themeColor="text1"/>
              </w:rPr>
            </w:pPr>
            <w:r>
              <w:rPr>
                <w:bCs w:val="0"/>
                <w:color w:val="000000" w:themeColor="text1"/>
              </w:rPr>
              <w:t>投标人可以在响应截止时间前将备份投标文件（经政采云电子交易客户端和CA驱动制作出的后缀名为“BFBS”的加密备份投标文件）发送至邮箱：549607085@qq.com，邮件内容写上单位名称，逾期发送或发错后缀名的备份投标文件将被视为无效；备份投标文件的提交不作强制要求，若因投标人未提供备份投标文件而造成响应无效等一切后果和风险由投标人自行承担。</w:t>
            </w:r>
          </w:p>
        </w:tc>
      </w:tr>
      <w:tr w14:paraId="1EC27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79FDE350">
            <w:pPr>
              <w:pStyle w:val="38"/>
              <w:rPr>
                <w:rFonts w:hint="default"/>
                <w:bCs w:val="0"/>
                <w:color w:val="000000" w:themeColor="text1"/>
              </w:rPr>
            </w:pPr>
            <w:r>
              <w:rPr>
                <w:bCs w:val="0"/>
                <w:color w:val="000000" w:themeColor="text1"/>
              </w:rPr>
              <w:t>20</w:t>
            </w:r>
          </w:p>
        </w:tc>
        <w:tc>
          <w:tcPr>
            <w:tcW w:w="1796" w:type="dxa"/>
            <w:vAlign w:val="center"/>
          </w:tcPr>
          <w:p w14:paraId="476FA0B1">
            <w:pPr>
              <w:pStyle w:val="38"/>
              <w:rPr>
                <w:rFonts w:hint="default"/>
                <w:bCs w:val="0"/>
                <w:color w:val="000000" w:themeColor="text1"/>
              </w:rPr>
            </w:pPr>
            <w:r>
              <w:rPr>
                <w:bCs w:val="0"/>
                <w:color w:val="000000" w:themeColor="text1"/>
              </w:rPr>
              <w:t>开标时间和地址</w:t>
            </w:r>
          </w:p>
        </w:tc>
        <w:tc>
          <w:tcPr>
            <w:tcW w:w="6436" w:type="dxa"/>
            <w:vAlign w:val="center"/>
          </w:tcPr>
          <w:p w14:paraId="7EA0C155">
            <w:pPr>
              <w:pStyle w:val="38"/>
              <w:rPr>
                <w:rFonts w:hint="default"/>
                <w:bCs w:val="0"/>
                <w:color w:val="000000" w:themeColor="text1"/>
              </w:rPr>
            </w:pPr>
            <w:r>
              <w:rPr>
                <w:bCs w:val="0"/>
                <w:color w:val="000000" w:themeColor="text1"/>
              </w:rPr>
              <w:t>1.时间：</w:t>
            </w:r>
            <w:r>
              <w:rPr>
                <w:rFonts w:hint="eastAsia"/>
                <w:bCs w:val="0"/>
                <w:color w:val="000000" w:themeColor="text1"/>
                <w:lang w:eastAsia="zh-CN"/>
              </w:rPr>
              <w:t>2025年8月5日15:00时</w:t>
            </w:r>
            <w:r>
              <w:rPr>
                <w:bCs w:val="0"/>
                <w:color w:val="000000" w:themeColor="text1"/>
              </w:rPr>
              <w:t>（北京时间）</w:t>
            </w:r>
          </w:p>
          <w:p w14:paraId="79625F42">
            <w:pPr>
              <w:pStyle w:val="38"/>
              <w:rPr>
                <w:rFonts w:hint="default"/>
                <w:bCs w:val="0"/>
                <w:color w:val="000000" w:themeColor="text1"/>
              </w:rPr>
            </w:pPr>
            <w:r>
              <w:rPr>
                <w:bCs w:val="0"/>
                <w:color w:val="000000" w:themeColor="text1"/>
              </w:rPr>
              <w:t>2.地址：政采云平台</w:t>
            </w:r>
          </w:p>
          <w:p w14:paraId="32248FC3">
            <w:pPr>
              <w:pStyle w:val="38"/>
              <w:rPr>
                <w:rFonts w:hint="default"/>
                <w:bCs w:val="0"/>
                <w:color w:val="000000" w:themeColor="text1"/>
              </w:rPr>
            </w:pPr>
            <w:r>
              <w:rPr>
                <w:bCs w:val="0"/>
                <w:color w:val="000000" w:themeColor="text1"/>
              </w:rPr>
              <w:t>3.注意事项：本项目不要求投标人到开标现场开标，但投标人应由法定代表人或委托代理人在线准时出席电子开标会议，随时关注开标进度，如在开标过程中有电子询标，应在规定的时间内对电子询标函进行澄清、答复。否则视同认可开标结果，不得对开标过程及开标结果提出质疑。</w:t>
            </w:r>
          </w:p>
        </w:tc>
      </w:tr>
      <w:tr w14:paraId="42934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5B1C2070">
            <w:pPr>
              <w:pStyle w:val="38"/>
              <w:rPr>
                <w:rFonts w:hint="default"/>
                <w:bCs w:val="0"/>
                <w:color w:val="000000" w:themeColor="text1"/>
              </w:rPr>
            </w:pPr>
            <w:r>
              <w:rPr>
                <w:bCs w:val="0"/>
                <w:color w:val="000000" w:themeColor="text1"/>
              </w:rPr>
              <w:t>21</w:t>
            </w:r>
          </w:p>
        </w:tc>
        <w:tc>
          <w:tcPr>
            <w:tcW w:w="1796" w:type="dxa"/>
            <w:vAlign w:val="center"/>
          </w:tcPr>
          <w:p w14:paraId="01EBE6B1">
            <w:pPr>
              <w:pStyle w:val="38"/>
              <w:rPr>
                <w:rFonts w:hint="default"/>
                <w:bCs w:val="0"/>
                <w:color w:val="000000" w:themeColor="text1"/>
              </w:rPr>
            </w:pPr>
            <w:r>
              <w:rPr>
                <w:bCs w:val="0"/>
                <w:color w:val="000000" w:themeColor="text1"/>
              </w:rPr>
              <w:t>投标文件的效力</w:t>
            </w:r>
          </w:p>
        </w:tc>
        <w:tc>
          <w:tcPr>
            <w:tcW w:w="6436" w:type="dxa"/>
            <w:vAlign w:val="center"/>
          </w:tcPr>
          <w:p w14:paraId="06618AF8">
            <w:pPr>
              <w:pStyle w:val="38"/>
              <w:rPr>
                <w:rFonts w:hint="default"/>
                <w:bCs w:val="0"/>
                <w:color w:val="000000" w:themeColor="text1"/>
              </w:rPr>
            </w:pPr>
            <w:r>
              <w:rPr>
                <w:bCs w:val="0"/>
                <w:color w:val="000000" w:themeColor="text1"/>
              </w:rPr>
              <w:t>投标文件的启用顺序：首先是投标文件，其次是备份投标文件。因网络或者其他非投标人自身问题造成投标文件无法正常解密，才能启用备份投标文件。备份投标文件一旦启用，则投标文件失效，不予启用。</w:t>
            </w:r>
          </w:p>
        </w:tc>
      </w:tr>
      <w:tr w14:paraId="0392C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77142A13">
            <w:pPr>
              <w:pStyle w:val="38"/>
              <w:rPr>
                <w:rFonts w:hint="default"/>
                <w:bCs w:val="0"/>
                <w:color w:val="000000" w:themeColor="text1"/>
              </w:rPr>
            </w:pPr>
            <w:r>
              <w:rPr>
                <w:bCs w:val="0"/>
                <w:color w:val="000000" w:themeColor="text1"/>
              </w:rPr>
              <w:t>22</w:t>
            </w:r>
          </w:p>
        </w:tc>
        <w:tc>
          <w:tcPr>
            <w:tcW w:w="1796" w:type="dxa"/>
            <w:vAlign w:val="center"/>
          </w:tcPr>
          <w:p w14:paraId="3931BBC8">
            <w:pPr>
              <w:pStyle w:val="38"/>
              <w:rPr>
                <w:rFonts w:hint="default"/>
                <w:bCs w:val="0"/>
                <w:color w:val="000000" w:themeColor="text1"/>
              </w:rPr>
            </w:pPr>
            <w:r>
              <w:rPr>
                <w:bCs w:val="0"/>
                <w:color w:val="000000" w:themeColor="text1"/>
              </w:rPr>
              <w:t>中标原则</w:t>
            </w:r>
          </w:p>
        </w:tc>
        <w:tc>
          <w:tcPr>
            <w:tcW w:w="6436" w:type="dxa"/>
            <w:vAlign w:val="center"/>
          </w:tcPr>
          <w:p w14:paraId="7D6F6091">
            <w:pPr>
              <w:pStyle w:val="38"/>
              <w:rPr>
                <w:rFonts w:hint="default"/>
                <w:bCs w:val="0"/>
                <w:color w:val="000000" w:themeColor="text1"/>
              </w:rPr>
            </w:pPr>
            <w:r>
              <w:rPr>
                <w:bCs w:val="0"/>
                <w:color w:val="000000" w:themeColor="text1"/>
              </w:rPr>
              <w:t>在评审报告提出的中标候选投标人中，按照综合得分由高到低的原则确定1个中标人。但出现下列情形之一的，采购单位可以直接确定排名第二的候选人为中标人。（1）排名第一的候选人，因自身原因放弃中标或因不可抗力不能履行合同的；（2）经质疑，采购人或采购代理机构审查确认因排名第一的候选人在本次采购活动中存在违法违规行为或其他原因使质疑成立的。</w:t>
            </w:r>
          </w:p>
        </w:tc>
      </w:tr>
      <w:tr w14:paraId="7D353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299C2AD2">
            <w:pPr>
              <w:pStyle w:val="38"/>
              <w:rPr>
                <w:rFonts w:hint="default"/>
                <w:bCs w:val="0"/>
                <w:color w:val="000000" w:themeColor="text1"/>
              </w:rPr>
            </w:pPr>
            <w:r>
              <w:rPr>
                <w:bCs w:val="0"/>
                <w:color w:val="000000" w:themeColor="text1"/>
              </w:rPr>
              <w:t>23</w:t>
            </w:r>
          </w:p>
        </w:tc>
        <w:tc>
          <w:tcPr>
            <w:tcW w:w="1796" w:type="dxa"/>
            <w:vAlign w:val="center"/>
          </w:tcPr>
          <w:p w14:paraId="59DF7333">
            <w:pPr>
              <w:pStyle w:val="38"/>
              <w:rPr>
                <w:rFonts w:hint="default"/>
                <w:bCs w:val="0"/>
                <w:color w:val="000000" w:themeColor="text1"/>
              </w:rPr>
            </w:pPr>
            <w:r>
              <w:rPr>
                <w:bCs w:val="0"/>
                <w:color w:val="000000" w:themeColor="text1"/>
              </w:rPr>
              <w:t>中标结果公告</w:t>
            </w:r>
          </w:p>
        </w:tc>
        <w:tc>
          <w:tcPr>
            <w:tcW w:w="6436" w:type="dxa"/>
            <w:vAlign w:val="center"/>
          </w:tcPr>
          <w:p w14:paraId="672BD86C">
            <w:pPr>
              <w:pStyle w:val="38"/>
              <w:rPr>
                <w:rFonts w:hint="default"/>
                <w:bCs w:val="0"/>
                <w:color w:val="000000" w:themeColor="text1"/>
              </w:rPr>
            </w:pPr>
            <w:r>
              <w:rPr>
                <w:bCs w:val="0"/>
                <w:color w:val="000000" w:themeColor="text1"/>
              </w:rPr>
              <w:t>在浙江政府采购网公告，公告期限为1个工作日</w:t>
            </w:r>
          </w:p>
        </w:tc>
      </w:tr>
      <w:tr w14:paraId="0B78B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5D084CB9">
            <w:pPr>
              <w:pStyle w:val="38"/>
              <w:rPr>
                <w:rFonts w:hint="default"/>
                <w:bCs w:val="0"/>
                <w:color w:val="000000" w:themeColor="text1"/>
              </w:rPr>
            </w:pPr>
            <w:r>
              <w:rPr>
                <w:bCs w:val="0"/>
                <w:color w:val="000000" w:themeColor="text1"/>
              </w:rPr>
              <w:t>24</w:t>
            </w:r>
          </w:p>
        </w:tc>
        <w:tc>
          <w:tcPr>
            <w:tcW w:w="1796" w:type="dxa"/>
            <w:vAlign w:val="center"/>
          </w:tcPr>
          <w:p w14:paraId="61CB2F7F">
            <w:pPr>
              <w:pStyle w:val="38"/>
              <w:rPr>
                <w:rFonts w:hint="default"/>
                <w:bCs w:val="0"/>
                <w:color w:val="000000" w:themeColor="text1"/>
                <w:highlight w:val="none"/>
              </w:rPr>
            </w:pPr>
            <w:r>
              <w:rPr>
                <w:bCs w:val="0"/>
                <w:color w:val="000000" w:themeColor="text1"/>
                <w:highlight w:val="none"/>
              </w:rPr>
              <w:t>履约保证金</w:t>
            </w:r>
          </w:p>
        </w:tc>
        <w:tc>
          <w:tcPr>
            <w:tcW w:w="6436" w:type="dxa"/>
            <w:vAlign w:val="center"/>
          </w:tcPr>
          <w:p w14:paraId="1B3AE160">
            <w:pPr>
              <w:pStyle w:val="38"/>
              <w:rPr>
                <w:rFonts w:hint="default"/>
                <w:bCs w:val="0"/>
                <w:color w:val="000000" w:themeColor="text1"/>
                <w:highlight w:val="none"/>
              </w:rPr>
            </w:pPr>
            <w:r>
              <w:rPr>
                <w:bCs w:val="0"/>
                <w:color w:val="000000" w:themeColor="text1"/>
                <w:highlight w:val="none"/>
              </w:rPr>
              <w:t>本项目无履约保证金</w:t>
            </w:r>
          </w:p>
        </w:tc>
      </w:tr>
      <w:tr w14:paraId="4B4E0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1E98B1C3">
            <w:pPr>
              <w:pStyle w:val="38"/>
              <w:rPr>
                <w:rFonts w:hint="default"/>
                <w:bCs w:val="0"/>
                <w:color w:val="000000" w:themeColor="text1"/>
              </w:rPr>
            </w:pPr>
            <w:r>
              <w:rPr>
                <w:bCs w:val="0"/>
                <w:color w:val="000000" w:themeColor="text1"/>
              </w:rPr>
              <w:t>25</w:t>
            </w:r>
          </w:p>
        </w:tc>
        <w:tc>
          <w:tcPr>
            <w:tcW w:w="1796" w:type="dxa"/>
            <w:vAlign w:val="center"/>
          </w:tcPr>
          <w:p w14:paraId="6E7792A7">
            <w:pPr>
              <w:pStyle w:val="38"/>
              <w:rPr>
                <w:rFonts w:hint="default"/>
                <w:bCs w:val="0"/>
                <w:color w:val="000000" w:themeColor="text1"/>
              </w:rPr>
            </w:pPr>
            <w:r>
              <w:rPr>
                <w:bCs w:val="0"/>
                <w:color w:val="000000" w:themeColor="text1"/>
              </w:rPr>
              <w:t>签订合同时间</w:t>
            </w:r>
          </w:p>
        </w:tc>
        <w:tc>
          <w:tcPr>
            <w:tcW w:w="6436" w:type="dxa"/>
            <w:vAlign w:val="center"/>
          </w:tcPr>
          <w:p w14:paraId="10223388">
            <w:pPr>
              <w:pStyle w:val="38"/>
              <w:rPr>
                <w:rFonts w:hint="default"/>
                <w:bCs w:val="0"/>
                <w:color w:val="000000" w:themeColor="text1"/>
              </w:rPr>
            </w:pPr>
            <w:r>
              <w:rPr>
                <w:bCs w:val="0"/>
                <w:color w:val="000000" w:themeColor="text1"/>
              </w:rPr>
              <w:t>中标通知书发出之日起30日内签订政府采购合同</w:t>
            </w:r>
          </w:p>
        </w:tc>
      </w:tr>
      <w:tr w14:paraId="341F6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733125A8">
            <w:pPr>
              <w:pStyle w:val="38"/>
              <w:rPr>
                <w:rFonts w:hint="default"/>
                <w:bCs w:val="0"/>
                <w:color w:val="000000" w:themeColor="text1"/>
              </w:rPr>
            </w:pPr>
            <w:r>
              <w:rPr>
                <w:bCs w:val="0"/>
                <w:color w:val="000000" w:themeColor="text1"/>
              </w:rPr>
              <w:t>26</w:t>
            </w:r>
          </w:p>
        </w:tc>
        <w:tc>
          <w:tcPr>
            <w:tcW w:w="1796" w:type="dxa"/>
            <w:vAlign w:val="center"/>
          </w:tcPr>
          <w:p w14:paraId="3E8E3D72">
            <w:pPr>
              <w:pStyle w:val="38"/>
              <w:rPr>
                <w:rFonts w:hint="default"/>
                <w:bCs w:val="0"/>
                <w:color w:val="000000" w:themeColor="text1"/>
              </w:rPr>
            </w:pPr>
            <w:r>
              <w:rPr>
                <w:bCs w:val="0"/>
                <w:color w:val="000000" w:themeColor="text1"/>
              </w:rPr>
              <w:t>公告发布媒体</w:t>
            </w:r>
          </w:p>
        </w:tc>
        <w:tc>
          <w:tcPr>
            <w:tcW w:w="6436" w:type="dxa"/>
            <w:vAlign w:val="center"/>
          </w:tcPr>
          <w:p w14:paraId="10411565">
            <w:pPr>
              <w:pStyle w:val="38"/>
              <w:rPr>
                <w:rFonts w:hint="default"/>
                <w:bCs w:val="0"/>
                <w:color w:val="000000" w:themeColor="text1"/>
              </w:rPr>
            </w:pPr>
            <w:r>
              <w:rPr>
                <w:bCs w:val="0"/>
                <w:color w:val="000000" w:themeColor="text1"/>
              </w:rPr>
              <w:t>浙江政府采购网（http：//zfcg.czt.zj.gov.cn）</w:t>
            </w:r>
          </w:p>
        </w:tc>
      </w:tr>
      <w:tr w14:paraId="72365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0157EB72">
            <w:pPr>
              <w:pStyle w:val="38"/>
              <w:rPr>
                <w:rFonts w:hint="default"/>
                <w:bCs w:val="0"/>
                <w:color w:val="000000" w:themeColor="text1"/>
              </w:rPr>
            </w:pPr>
            <w:r>
              <w:rPr>
                <w:bCs w:val="0"/>
                <w:color w:val="000000" w:themeColor="text1"/>
              </w:rPr>
              <w:t>27</w:t>
            </w:r>
          </w:p>
        </w:tc>
        <w:tc>
          <w:tcPr>
            <w:tcW w:w="1796" w:type="dxa"/>
            <w:vAlign w:val="center"/>
          </w:tcPr>
          <w:p w14:paraId="1C34AC51">
            <w:pPr>
              <w:pStyle w:val="38"/>
              <w:rPr>
                <w:rFonts w:hint="default"/>
                <w:bCs w:val="0"/>
                <w:color w:val="000000" w:themeColor="text1"/>
              </w:rPr>
            </w:pPr>
            <w:r>
              <w:rPr>
                <w:bCs w:val="0"/>
                <w:color w:val="000000" w:themeColor="text1"/>
              </w:rPr>
              <w:t>其他补充事宜</w:t>
            </w:r>
          </w:p>
        </w:tc>
        <w:tc>
          <w:tcPr>
            <w:tcW w:w="6436" w:type="dxa"/>
            <w:vAlign w:val="center"/>
          </w:tcPr>
          <w:p w14:paraId="11831E2B">
            <w:pPr>
              <w:pStyle w:val="38"/>
              <w:rPr>
                <w:rFonts w:hint="default"/>
                <w:bCs w:val="0"/>
                <w:color w:val="000000" w:themeColor="text1"/>
              </w:rPr>
            </w:pPr>
            <w:r>
              <w:rPr>
                <w:bCs w:val="0"/>
                <w:color w:val="000000" w:themeColor="text1"/>
              </w:rPr>
              <w:t>1.投标文件解密时投标人须打开“政采云电子投标客户端”进行解密，使用解密的CA和加密的CA必须是同一把，在开始解密后30分钟内完成投标文件解密。若因投标人自身原因造成投标文件无法解密读取的，取消投标资格。</w:t>
            </w:r>
          </w:p>
          <w:p w14:paraId="3C2D8B29">
            <w:pPr>
              <w:pStyle w:val="38"/>
              <w:rPr>
                <w:rFonts w:hint="default"/>
                <w:bCs w:val="0"/>
                <w:color w:val="000000" w:themeColor="text1"/>
              </w:rPr>
            </w:pPr>
            <w:r>
              <w:rPr>
                <w:bCs w:val="0"/>
                <w:color w:val="000000" w:themeColor="text1"/>
              </w:rPr>
              <w:t>2.CA证书办理：CA驱动和申领流程，登录浙江政府采购网-下载专区-政采云电子交易客户端版块（网址：http：//zfcg.czt.zj.gov.cn/bidClientTemplate/2019-05-27/12945.html）。潜在投标人应在投标文件提交截止前完成CA数字证书办理，完成CA证书办理预计7天左右，建议潜在投标人抓紧时间办理。因未注册入库、未办理CA数字证书等原因造成无法参加本次采购活动或投标失败等后果由潜在投标人自行承担。</w:t>
            </w:r>
          </w:p>
          <w:p w14:paraId="280CADA9">
            <w:pPr>
              <w:pStyle w:val="38"/>
              <w:rPr>
                <w:rFonts w:hint="default"/>
                <w:bCs w:val="0"/>
                <w:color w:val="000000" w:themeColor="text1"/>
              </w:rPr>
            </w:pPr>
            <w:r>
              <w:rPr>
                <w:bCs w:val="0"/>
                <w:color w:val="000000" w:themeColor="text1"/>
              </w:rPr>
              <w:t>3.本项目采购活动全流程实行电子化，在使用系统进行投标的过程中遇到涉及平台使用的任何问题，致电政采云平台技术支持咨询（电话95763）。</w:t>
            </w:r>
          </w:p>
        </w:tc>
      </w:tr>
      <w:tr w14:paraId="20820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108F8341">
            <w:pPr>
              <w:pStyle w:val="38"/>
              <w:rPr>
                <w:rFonts w:hint="default"/>
                <w:bCs w:val="0"/>
                <w:color w:val="000000" w:themeColor="text1"/>
              </w:rPr>
            </w:pPr>
            <w:r>
              <w:rPr>
                <w:bCs w:val="0"/>
                <w:color w:val="000000" w:themeColor="text1"/>
              </w:rPr>
              <w:t>28</w:t>
            </w:r>
          </w:p>
        </w:tc>
        <w:tc>
          <w:tcPr>
            <w:tcW w:w="1796" w:type="dxa"/>
            <w:vAlign w:val="center"/>
          </w:tcPr>
          <w:p w14:paraId="6F14D54F">
            <w:pPr>
              <w:pStyle w:val="38"/>
              <w:rPr>
                <w:rFonts w:hint="default"/>
                <w:bCs w:val="0"/>
                <w:color w:val="000000" w:themeColor="text1"/>
              </w:rPr>
            </w:pPr>
            <w:r>
              <w:rPr>
                <w:bCs w:val="0"/>
                <w:color w:val="000000" w:themeColor="text1"/>
              </w:rPr>
              <w:t>解释权</w:t>
            </w:r>
          </w:p>
        </w:tc>
        <w:tc>
          <w:tcPr>
            <w:tcW w:w="6436" w:type="dxa"/>
            <w:vAlign w:val="center"/>
          </w:tcPr>
          <w:p w14:paraId="7E810565">
            <w:pPr>
              <w:pStyle w:val="38"/>
              <w:rPr>
                <w:rFonts w:hint="default"/>
                <w:bCs w:val="0"/>
                <w:color w:val="000000" w:themeColor="text1"/>
              </w:rPr>
            </w:pPr>
            <w:r>
              <w:rPr>
                <w:bCs w:val="0"/>
                <w:color w:val="000000" w:themeColor="text1"/>
              </w:rPr>
              <w:t>本招标文件的解释权属于采购人</w:t>
            </w:r>
          </w:p>
        </w:tc>
      </w:tr>
      <w:tr w14:paraId="22A74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2410CEA0">
            <w:pPr>
              <w:pStyle w:val="38"/>
              <w:rPr>
                <w:rFonts w:hint="default"/>
                <w:bCs w:val="0"/>
                <w:color w:val="000000" w:themeColor="text1"/>
              </w:rPr>
            </w:pPr>
            <w:r>
              <w:rPr>
                <w:bCs w:val="0"/>
                <w:color w:val="000000" w:themeColor="text1"/>
              </w:rPr>
              <w:t>29</w:t>
            </w:r>
          </w:p>
        </w:tc>
        <w:tc>
          <w:tcPr>
            <w:tcW w:w="1796" w:type="dxa"/>
            <w:vAlign w:val="center"/>
          </w:tcPr>
          <w:p w14:paraId="58207E72">
            <w:pPr>
              <w:pStyle w:val="38"/>
              <w:rPr>
                <w:rFonts w:hint="default"/>
                <w:bCs w:val="0"/>
                <w:color w:val="000000" w:themeColor="text1"/>
              </w:rPr>
            </w:pPr>
            <w:r>
              <w:rPr>
                <w:bCs w:val="0"/>
                <w:color w:val="000000" w:themeColor="text1"/>
              </w:rPr>
              <w:t>备注</w:t>
            </w:r>
          </w:p>
        </w:tc>
        <w:tc>
          <w:tcPr>
            <w:tcW w:w="6436" w:type="dxa"/>
            <w:vAlign w:val="center"/>
          </w:tcPr>
          <w:p w14:paraId="30C32182">
            <w:pPr>
              <w:pStyle w:val="38"/>
              <w:rPr>
                <w:rFonts w:hint="default"/>
                <w:bCs w:val="0"/>
                <w:color w:val="000000" w:themeColor="text1"/>
              </w:rPr>
            </w:pPr>
            <w:r>
              <w:rPr>
                <w:bCs w:val="0"/>
                <w:color w:val="000000" w:themeColor="text1"/>
              </w:rPr>
              <w:t>中标人应在中标公告发出后领取中标通知书前提供与电子投标文件内容一致的纸质投标文件一正二副，装订成册，采用胶订或线订，不得采用活页夹等可随时拆换的方式装订。（胶订或线订以外装订形式视为活页装订），邮寄至招标代理机构。</w:t>
            </w:r>
          </w:p>
          <w:p w14:paraId="041E3A65">
            <w:pPr>
              <w:pStyle w:val="38"/>
              <w:rPr>
                <w:rFonts w:hint="default"/>
                <w:bCs w:val="0"/>
                <w:color w:val="000000" w:themeColor="text1"/>
              </w:rPr>
            </w:pPr>
            <w:r>
              <w:rPr>
                <w:bCs w:val="0"/>
                <w:color w:val="000000" w:themeColor="text1"/>
              </w:rPr>
              <w:t>邮寄地址：衢州市龙游县东华街道永安路60号，接收人：李女士，电话：15968860235）</w:t>
            </w:r>
          </w:p>
        </w:tc>
      </w:tr>
    </w:tbl>
    <w:p w14:paraId="0B7350E4">
      <w:pPr>
        <w:ind w:firstLine="480"/>
        <w:rPr>
          <w:color w:val="000000" w:themeColor="text1"/>
        </w:rPr>
      </w:pPr>
      <w:r>
        <w:rPr>
          <w:color w:val="000000" w:themeColor="text1"/>
        </w:rPr>
        <w:br w:type="page"/>
      </w:r>
    </w:p>
    <w:p w14:paraId="79E03C72">
      <w:pPr>
        <w:pStyle w:val="3"/>
        <w:rPr>
          <w:color w:val="000000" w:themeColor="text1"/>
        </w:rPr>
      </w:pPr>
      <w:bookmarkStart w:id="20" w:name="_Toc14641"/>
      <w:r>
        <w:rPr>
          <w:rFonts w:hint="eastAsia"/>
          <w:b w:val="0"/>
          <w:color w:val="000000" w:themeColor="text1"/>
        </w:rPr>
        <w:t>第三</w:t>
      </w:r>
      <w:r>
        <w:rPr>
          <w:color w:val="000000" w:themeColor="text1"/>
        </w:rPr>
        <w:t>章</w:t>
      </w:r>
      <w:r>
        <w:rPr>
          <w:rFonts w:hint="eastAsia"/>
          <w:color w:val="000000" w:themeColor="text1"/>
        </w:rPr>
        <w:t xml:space="preserve">  投标人须知</w:t>
      </w:r>
      <w:bookmarkEnd w:id="20"/>
    </w:p>
    <w:p w14:paraId="181B033D">
      <w:pPr>
        <w:pStyle w:val="4"/>
        <w:rPr>
          <w:color w:val="000000" w:themeColor="text1"/>
        </w:rPr>
      </w:pPr>
      <w:bookmarkStart w:id="21" w:name="_Toc22312"/>
      <w:bookmarkStart w:id="22" w:name="_Toc25730"/>
      <w:bookmarkStart w:id="23" w:name="_Toc11674"/>
      <w:bookmarkStart w:id="24" w:name="_Toc31559"/>
      <w:bookmarkStart w:id="25" w:name="_Toc15313"/>
      <w:bookmarkStart w:id="26" w:name="_Toc391298955"/>
      <w:bookmarkStart w:id="27" w:name="_Toc7425"/>
      <w:bookmarkStart w:id="28" w:name="_Toc13238"/>
      <w:bookmarkStart w:id="29" w:name="_Toc22382"/>
      <w:bookmarkStart w:id="30" w:name="_Toc2431"/>
      <w:bookmarkStart w:id="31" w:name="_Toc24478"/>
      <w:bookmarkStart w:id="32" w:name="_Toc7852"/>
      <w:bookmarkStart w:id="33" w:name="_Toc19715"/>
      <w:bookmarkStart w:id="34" w:name="_Toc18083"/>
      <w:bookmarkStart w:id="35" w:name="_Toc16257"/>
      <w:bookmarkStart w:id="36" w:name="_Toc24419"/>
      <w:bookmarkStart w:id="37" w:name="_Toc15985"/>
      <w:bookmarkStart w:id="38" w:name="_Toc30649"/>
      <w:bookmarkStart w:id="39" w:name="_Toc15292"/>
      <w:bookmarkStart w:id="40" w:name="_Toc25996"/>
      <w:bookmarkStart w:id="41" w:name="_Toc22729"/>
      <w:bookmarkStart w:id="42" w:name="_Toc17098"/>
      <w:bookmarkStart w:id="43" w:name="_Toc556"/>
      <w:r>
        <w:rPr>
          <w:rFonts w:hint="eastAsia"/>
          <w:color w:val="000000" w:themeColor="text1"/>
        </w:rPr>
        <w:t>一、</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Pr>
          <w:rFonts w:hint="eastAsia"/>
          <w:color w:val="000000" w:themeColor="text1"/>
        </w:rPr>
        <w:t>总则</w:t>
      </w:r>
      <w:bookmarkEnd w:id="43"/>
    </w:p>
    <w:p w14:paraId="34726D99">
      <w:pPr>
        <w:ind w:firstLine="480"/>
        <w:rPr>
          <w:rFonts w:ascii="宋体" w:hAnsi="宋体" w:cs="宋体"/>
          <w:color w:val="000000" w:themeColor="text1"/>
        </w:rPr>
      </w:pPr>
      <w:r>
        <w:rPr>
          <w:rFonts w:hint="eastAsia" w:ascii="宋体" w:hAnsi="宋体" w:cs="宋体"/>
          <w:color w:val="000000" w:themeColor="text1"/>
        </w:rPr>
        <w:t>1.编制依据</w:t>
      </w:r>
    </w:p>
    <w:p w14:paraId="275E024C">
      <w:pPr>
        <w:ind w:firstLine="480"/>
        <w:rPr>
          <w:rFonts w:ascii="宋体" w:hAnsi="宋体" w:cs="宋体"/>
          <w:color w:val="000000" w:themeColor="text1"/>
        </w:rPr>
      </w:pPr>
      <w:r>
        <w:rPr>
          <w:rFonts w:hint="eastAsia" w:ascii="宋体" w:hAnsi="宋体" w:cs="宋体"/>
          <w:color w:val="000000" w:themeColor="text1"/>
        </w:rPr>
        <w:t>根据《中华人民共和国政府采购法》《中华人民共和国政府采购法实施条例》《政府采购货物和服务招标投标管理办法》（财政部令第87号）等有关政府采购管理的规定，编制本招标文件。</w:t>
      </w:r>
    </w:p>
    <w:p w14:paraId="301B3DE4">
      <w:pPr>
        <w:ind w:firstLine="480"/>
        <w:rPr>
          <w:rFonts w:ascii="宋体" w:hAnsi="宋体" w:cs="宋体"/>
          <w:color w:val="000000" w:themeColor="text1"/>
        </w:rPr>
      </w:pPr>
      <w:r>
        <w:rPr>
          <w:rFonts w:hint="eastAsia" w:ascii="宋体" w:hAnsi="宋体" w:cs="宋体"/>
          <w:color w:val="000000" w:themeColor="text1"/>
        </w:rPr>
        <w:t>2.定义</w:t>
      </w:r>
    </w:p>
    <w:p w14:paraId="2247D610">
      <w:pPr>
        <w:ind w:firstLine="480"/>
        <w:rPr>
          <w:rFonts w:ascii="宋体" w:hAnsi="宋体" w:cs="宋体"/>
          <w:color w:val="000000" w:themeColor="text1"/>
          <w:lang w:val="zh-CN"/>
        </w:rPr>
      </w:pPr>
      <w:r>
        <w:rPr>
          <w:rFonts w:hint="eastAsia" w:ascii="宋体" w:hAnsi="宋体" w:cs="宋体"/>
          <w:color w:val="000000" w:themeColor="text1"/>
        </w:rPr>
        <w:t>2.1“</w:t>
      </w:r>
      <w:r>
        <w:rPr>
          <w:rFonts w:hint="eastAsia" w:ascii="宋体" w:hAnsi="宋体" w:cs="宋体"/>
          <w:color w:val="000000" w:themeColor="text1"/>
          <w:lang w:val="zh-CN"/>
        </w:rPr>
        <w:t>采购人”系指“</w:t>
      </w:r>
      <w:r>
        <w:rPr>
          <w:rFonts w:hint="eastAsia" w:ascii="宋体" w:hAnsi="宋体" w:cs="宋体"/>
          <w:color w:val="000000" w:themeColor="text1"/>
        </w:rPr>
        <w:t>龙游县公安局交通警察大队</w:t>
      </w:r>
      <w:r>
        <w:rPr>
          <w:rFonts w:hint="eastAsia" w:ascii="宋体" w:hAnsi="宋体" w:cs="宋体"/>
          <w:color w:val="000000" w:themeColor="text1"/>
          <w:lang w:val="zh-CN"/>
        </w:rPr>
        <w:t>”。</w:t>
      </w:r>
    </w:p>
    <w:p w14:paraId="1E19C6E0">
      <w:pPr>
        <w:ind w:firstLine="480"/>
        <w:rPr>
          <w:rFonts w:ascii="宋体" w:hAnsi="宋体" w:cs="宋体"/>
          <w:color w:val="000000" w:themeColor="text1"/>
        </w:rPr>
      </w:pPr>
      <w:r>
        <w:rPr>
          <w:rFonts w:hint="eastAsia" w:ascii="宋体" w:hAnsi="宋体" w:cs="宋体"/>
          <w:color w:val="000000" w:themeColor="text1"/>
        </w:rPr>
        <w:t>2.2“</w:t>
      </w:r>
      <w:r>
        <w:rPr>
          <w:rFonts w:hint="eastAsia" w:ascii="宋体" w:hAnsi="宋体" w:cs="宋体"/>
          <w:color w:val="000000" w:themeColor="text1"/>
          <w:lang w:val="zh-CN"/>
        </w:rPr>
        <w:t>投标人</w:t>
      </w:r>
      <w:r>
        <w:rPr>
          <w:rFonts w:hint="eastAsia" w:ascii="宋体" w:hAnsi="宋体" w:cs="宋体"/>
          <w:color w:val="000000" w:themeColor="text1"/>
        </w:rPr>
        <w:t>”系指向</w:t>
      </w:r>
      <w:r>
        <w:rPr>
          <w:rFonts w:hint="eastAsia" w:ascii="宋体" w:hAnsi="宋体" w:cs="宋体"/>
          <w:color w:val="000000" w:themeColor="text1"/>
          <w:lang w:val="zh-CN"/>
        </w:rPr>
        <w:t>采购人</w:t>
      </w:r>
      <w:r>
        <w:rPr>
          <w:rFonts w:hint="eastAsia" w:ascii="宋体" w:hAnsi="宋体" w:cs="宋体"/>
          <w:color w:val="000000" w:themeColor="text1"/>
        </w:rPr>
        <w:t>提交</w:t>
      </w:r>
      <w:r>
        <w:rPr>
          <w:rFonts w:hint="eastAsia" w:ascii="宋体" w:hAnsi="宋体" w:cs="宋体"/>
          <w:color w:val="000000" w:themeColor="text1"/>
          <w:lang w:val="zh-CN"/>
        </w:rPr>
        <w:t>投标文件</w:t>
      </w:r>
      <w:r>
        <w:rPr>
          <w:rFonts w:hint="eastAsia" w:ascii="宋体" w:hAnsi="宋体" w:cs="宋体"/>
          <w:color w:val="000000" w:themeColor="text1"/>
        </w:rPr>
        <w:t>的投标人。</w:t>
      </w:r>
    </w:p>
    <w:p w14:paraId="3A4AC5A2">
      <w:pPr>
        <w:ind w:firstLine="480"/>
        <w:rPr>
          <w:rFonts w:ascii="宋体" w:hAnsi="宋体" w:cs="宋体"/>
          <w:color w:val="000000" w:themeColor="text1"/>
        </w:rPr>
      </w:pPr>
      <w:r>
        <w:rPr>
          <w:rFonts w:hint="eastAsia" w:ascii="宋体" w:hAnsi="宋体" w:cs="宋体"/>
          <w:color w:val="000000" w:themeColor="text1"/>
        </w:rPr>
        <w:t>2.3</w:t>
      </w:r>
      <w:r>
        <w:rPr>
          <w:rFonts w:hint="eastAsia" w:ascii="宋体" w:hAnsi="宋体" w:cs="宋体"/>
          <w:color w:val="000000" w:themeColor="text1"/>
          <w:lang w:val="zh-CN"/>
        </w:rPr>
        <w:t>“采购代理机构”系指“</w:t>
      </w:r>
      <w:r>
        <w:rPr>
          <w:rFonts w:hint="eastAsia" w:ascii="宋体" w:hAnsi="宋体" w:cs="宋体"/>
          <w:color w:val="000000" w:themeColor="text1"/>
        </w:rPr>
        <w:t>龙游久圆工程管理有限公司</w:t>
      </w:r>
      <w:r>
        <w:rPr>
          <w:rFonts w:hint="eastAsia" w:ascii="宋体" w:hAnsi="宋体" w:cs="宋体"/>
          <w:color w:val="000000" w:themeColor="text1"/>
          <w:lang w:val="zh-CN"/>
        </w:rPr>
        <w:t>”。</w:t>
      </w:r>
    </w:p>
    <w:p w14:paraId="6C49999E">
      <w:pPr>
        <w:ind w:firstLine="480"/>
        <w:rPr>
          <w:rFonts w:ascii="宋体" w:hAnsi="宋体" w:cs="宋体"/>
          <w:color w:val="000000" w:themeColor="text1"/>
          <w:lang w:val="zh-CN"/>
        </w:rPr>
      </w:pPr>
      <w:r>
        <w:rPr>
          <w:rFonts w:hint="eastAsia" w:ascii="宋体" w:hAnsi="宋体" w:cs="宋体"/>
          <w:color w:val="000000" w:themeColor="text1"/>
        </w:rPr>
        <w:t>2.4</w:t>
      </w:r>
      <w:r>
        <w:rPr>
          <w:rFonts w:hint="eastAsia" w:ascii="宋体" w:hAnsi="宋体" w:cs="宋体"/>
          <w:color w:val="000000" w:themeColor="text1"/>
          <w:lang w:val="zh-CN"/>
        </w:rPr>
        <w:t>“服务”系指按本招标文件规定，中标候选人须承担的</w:t>
      </w:r>
      <w:r>
        <w:rPr>
          <w:rFonts w:hint="eastAsia" w:ascii="宋体" w:hAnsi="宋体" w:cs="宋体"/>
          <w:color w:val="000000" w:themeColor="text1"/>
          <w:u w:val="single"/>
          <w:lang w:eastAsia="zh-CN"/>
        </w:rPr>
        <w:t>2025年度龙游县公安局交通警察大队食堂（大队机关、城区中队）劳务外包服务采购项目</w:t>
      </w:r>
      <w:r>
        <w:rPr>
          <w:rFonts w:hint="eastAsia" w:ascii="宋体" w:hAnsi="宋体" w:cs="宋体"/>
          <w:color w:val="000000" w:themeColor="text1"/>
          <w:lang w:val="zh-CN"/>
        </w:rPr>
        <w:t>工作。</w:t>
      </w:r>
    </w:p>
    <w:p w14:paraId="71F13F98">
      <w:pPr>
        <w:ind w:firstLine="480"/>
        <w:rPr>
          <w:rFonts w:ascii="宋体" w:hAnsi="宋体" w:cs="宋体"/>
          <w:color w:val="000000" w:themeColor="text1"/>
        </w:rPr>
      </w:pPr>
      <w:r>
        <w:rPr>
          <w:rFonts w:hint="eastAsia" w:ascii="宋体" w:hAnsi="宋体" w:cs="宋体"/>
          <w:color w:val="000000" w:themeColor="text1"/>
          <w:lang w:val="zh-CN"/>
        </w:rPr>
        <w:t>“</w:t>
      </w:r>
      <w:r>
        <w:rPr>
          <w:rFonts w:hint="eastAsia" w:ascii="宋体" w:hAnsi="宋体" w:cs="宋体"/>
          <w:color w:val="000000" w:themeColor="text1"/>
        </w:rPr>
        <w:t>▲</w:t>
      </w:r>
      <w:r>
        <w:rPr>
          <w:rFonts w:hint="eastAsia" w:ascii="宋体" w:hAnsi="宋体" w:cs="宋体"/>
          <w:color w:val="000000" w:themeColor="text1"/>
          <w:lang w:val="zh-CN"/>
        </w:rPr>
        <w:t>”系指按本招标文件要求投标人必须实质性响应的条款，有任何一项缺失或非实质性响应即刻取消其投标资格。</w:t>
      </w:r>
      <w:r>
        <w:rPr>
          <w:rFonts w:hint="eastAsia" w:ascii="宋体" w:hAnsi="宋体" w:cs="宋体"/>
          <w:color w:val="000000" w:themeColor="text1"/>
        </w:rPr>
        <w:t>投标人自行承担其参加投标所涉及的一切费用。</w:t>
      </w:r>
    </w:p>
    <w:p w14:paraId="15524C79">
      <w:pPr>
        <w:ind w:firstLine="480"/>
        <w:rPr>
          <w:rFonts w:ascii="宋体" w:hAnsi="宋体" w:cs="宋体"/>
          <w:color w:val="000000" w:themeColor="text1"/>
        </w:rPr>
      </w:pPr>
      <w:r>
        <w:rPr>
          <w:rFonts w:hint="eastAsia" w:ascii="宋体" w:hAnsi="宋体" w:cs="宋体"/>
          <w:color w:val="000000" w:themeColor="text1"/>
        </w:rPr>
        <w:t>3.采购方式</w:t>
      </w:r>
    </w:p>
    <w:p w14:paraId="752F009C">
      <w:pPr>
        <w:ind w:firstLine="480"/>
        <w:rPr>
          <w:rFonts w:ascii="宋体" w:hAnsi="宋体" w:cs="宋体"/>
          <w:color w:val="000000" w:themeColor="text1"/>
        </w:rPr>
      </w:pPr>
      <w:r>
        <w:rPr>
          <w:rFonts w:hint="eastAsia" w:ascii="宋体" w:hAnsi="宋体" w:cs="宋体"/>
          <w:color w:val="000000" w:themeColor="text1"/>
        </w:rPr>
        <w:t>3.1采购组织形式分散采购委托代理。</w:t>
      </w:r>
    </w:p>
    <w:p w14:paraId="08D765E4">
      <w:pPr>
        <w:ind w:firstLine="480"/>
        <w:rPr>
          <w:rFonts w:ascii="宋体" w:hAnsi="宋体" w:cs="宋体"/>
          <w:color w:val="000000" w:themeColor="text1"/>
        </w:rPr>
      </w:pPr>
      <w:r>
        <w:rPr>
          <w:rFonts w:hint="eastAsia" w:ascii="宋体" w:hAnsi="宋体" w:cs="宋体"/>
          <w:color w:val="000000" w:themeColor="text1"/>
        </w:rPr>
        <w:t>3.2采取公开招标方式。</w:t>
      </w:r>
    </w:p>
    <w:p w14:paraId="451B68B3">
      <w:pPr>
        <w:ind w:firstLine="480"/>
        <w:rPr>
          <w:rFonts w:ascii="宋体" w:hAnsi="宋体" w:cs="宋体"/>
          <w:color w:val="000000" w:themeColor="text1"/>
        </w:rPr>
      </w:pPr>
      <w:r>
        <w:rPr>
          <w:rFonts w:hint="eastAsia" w:ascii="宋体" w:hAnsi="宋体" w:cs="宋体"/>
          <w:color w:val="000000" w:themeColor="text1"/>
        </w:rPr>
        <w:t>4.▲合格的投标人</w:t>
      </w:r>
    </w:p>
    <w:p w14:paraId="170382E0">
      <w:pPr>
        <w:ind w:firstLine="480"/>
        <w:rPr>
          <w:rFonts w:ascii="宋体" w:hAnsi="宋体" w:cs="宋体"/>
          <w:color w:val="000000" w:themeColor="text1"/>
        </w:rPr>
      </w:pPr>
      <w:r>
        <w:rPr>
          <w:rFonts w:hint="eastAsia" w:ascii="宋体" w:hAnsi="宋体" w:cs="宋体"/>
          <w:color w:val="000000" w:themeColor="text1"/>
        </w:rPr>
        <w:t>合格的投标人应具备以下条件：</w:t>
      </w:r>
    </w:p>
    <w:p w14:paraId="4BAB1696">
      <w:pPr>
        <w:ind w:firstLine="480"/>
        <w:rPr>
          <w:rFonts w:ascii="宋体" w:hAnsi="宋体" w:cs="宋体"/>
          <w:color w:val="000000" w:themeColor="text1"/>
        </w:rPr>
      </w:pPr>
      <w:r>
        <w:rPr>
          <w:rFonts w:hint="eastAsia" w:ascii="宋体" w:hAnsi="宋体" w:cs="宋体"/>
          <w:color w:val="000000" w:themeColor="text1"/>
        </w:rPr>
        <w:t>4.1具备法律法规和本采购文件规定的资格条件；</w:t>
      </w:r>
    </w:p>
    <w:p w14:paraId="47825D02">
      <w:pPr>
        <w:ind w:firstLine="480"/>
        <w:rPr>
          <w:rFonts w:ascii="宋体" w:hAnsi="宋体" w:cs="宋体"/>
          <w:color w:val="000000" w:themeColor="text1"/>
        </w:rPr>
      </w:pPr>
      <w:r>
        <w:rPr>
          <w:rFonts w:hint="eastAsia" w:ascii="宋体" w:hAnsi="宋体" w:cs="宋体"/>
          <w:color w:val="000000" w:themeColor="text1"/>
        </w:rPr>
        <w:t>4.2不属于限制参加本项目采购活动的投标人；</w:t>
      </w:r>
    </w:p>
    <w:p w14:paraId="171A4510">
      <w:pPr>
        <w:ind w:firstLine="480"/>
        <w:rPr>
          <w:rFonts w:ascii="宋体" w:hAnsi="宋体" w:cs="宋体"/>
          <w:color w:val="000000" w:themeColor="text1"/>
        </w:rPr>
      </w:pPr>
      <w:r>
        <w:rPr>
          <w:rFonts w:hint="eastAsia" w:ascii="宋体" w:hAnsi="宋体" w:cs="宋体"/>
          <w:color w:val="000000" w:themeColor="text1"/>
        </w:rPr>
        <w:t>4.3按照规定获取了招标文件，属于实质性参加政府采购活动的投标人。</w:t>
      </w:r>
    </w:p>
    <w:p w14:paraId="16CEDD43">
      <w:pPr>
        <w:ind w:firstLine="480"/>
        <w:rPr>
          <w:rFonts w:ascii="宋体" w:hAnsi="宋体" w:cs="宋体"/>
          <w:color w:val="000000" w:themeColor="text1"/>
        </w:rPr>
      </w:pPr>
      <w:r>
        <w:rPr>
          <w:rFonts w:hint="eastAsia" w:ascii="宋体" w:hAnsi="宋体" w:cs="宋体"/>
          <w:color w:val="000000" w:themeColor="text1"/>
        </w:rPr>
        <w:t>5.回避制度</w:t>
      </w:r>
    </w:p>
    <w:p w14:paraId="3D0055CE">
      <w:pPr>
        <w:ind w:firstLine="480"/>
        <w:rPr>
          <w:rFonts w:ascii="宋体" w:hAnsi="宋体" w:cs="宋体"/>
          <w:color w:val="000000" w:themeColor="text1"/>
        </w:rPr>
      </w:pPr>
      <w:r>
        <w:rPr>
          <w:rFonts w:hint="eastAsia" w:ascii="宋体" w:hAnsi="宋体" w:cs="宋体"/>
          <w:color w:val="000000" w:themeColor="text1"/>
        </w:rPr>
        <w:t>5.1单位负责人为同一人或者存在直接控股、管理关系的不同投标人，不得参加同一合同项下的政府采购活动。</w:t>
      </w:r>
    </w:p>
    <w:p w14:paraId="20C46350">
      <w:pPr>
        <w:ind w:firstLine="480"/>
        <w:rPr>
          <w:rFonts w:ascii="宋体" w:hAnsi="宋体" w:cs="宋体"/>
          <w:color w:val="000000" w:themeColor="text1"/>
        </w:rPr>
      </w:pPr>
      <w:r>
        <w:rPr>
          <w:rFonts w:hint="eastAsia" w:ascii="宋体" w:hAnsi="宋体" w:cs="宋体"/>
          <w:color w:val="000000" w:themeColor="text1"/>
        </w:rPr>
        <w:t>5.2政府采购活动中，采购人员及相关人员与投标人有下列利害关系之一的，应当回避：</w:t>
      </w:r>
    </w:p>
    <w:p w14:paraId="4C6E990F">
      <w:pPr>
        <w:ind w:firstLine="480"/>
        <w:rPr>
          <w:rFonts w:ascii="宋体" w:hAnsi="宋体" w:cs="宋体"/>
          <w:color w:val="000000" w:themeColor="text1"/>
        </w:rPr>
      </w:pPr>
      <w:r>
        <w:rPr>
          <w:rFonts w:hint="eastAsia" w:ascii="宋体" w:hAnsi="宋体" w:cs="宋体"/>
          <w:color w:val="000000" w:themeColor="text1"/>
        </w:rPr>
        <w:t>5.2.1参加采购活动前3年内与投标人存在劳动关系；</w:t>
      </w:r>
    </w:p>
    <w:p w14:paraId="1EB92184">
      <w:pPr>
        <w:ind w:firstLine="480"/>
        <w:rPr>
          <w:rFonts w:ascii="宋体" w:hAnsi="宋体" w:cs="宋体"/>
          <w:color w:val="000000" w:themeColor="text1"/>
        </w:rPr>
      </w:pPr>
      <w:r>
        <w:rPr>
          <w:rFonts w:hint="eastAsia" w:ascii="宋体" w:hAnsi="宋体" w:cs="宋体"/>
          <w:color w:val="000000" w:themeColor="text1"/>
        </w:rPr>
        <w:t>5.2.2参加采购活动前3年内担任投标人的董事、监事；</w:t>
      </w:r>
    </w:p>
    <w:p w14:paraId="1F46CA3D">
      <w:pPr>
        <w:ind w:firstLine="480"/>
        <w:rPr>
          <w:rFonts w:ascii="宋体" w:hAnsi="宋体" w:cs="宋体"/>
          <w:color w:val="000000" w:themeColor="text1"/>
        </w:rPr>
      </w:pPr>
      <w:r>
        <w:rPr>
          <w:rFonts w:hint="eastAsia" w:ascii="宋体" w:hAnsi="宋体" w:cs="宋体"/>
          <w:color w:val="000000" w:themeColor="text1"/>
        </w:rPr>
        <w:t>5.2.3参加采购活动前3年内是投标人的控股股东或者实际控制人；</w:t>
      </w:r>
    </w:p>
    <w:p w14:paraId="3D339CF1">
      <w:pPr>
        <w:ind w:firstLine="480"/>
        <w:rPr>
          <w:rFonts w:ascii="宋体" w:hAnsi="宋体" w:cs="宋体"/>
          <w:color w:val="000000" w:themeColor="text1"/>
        </w:rPr>
      </w:pPr>
      <w:r>
        <w:rPr>
          <w:rFonts w:hint="eastAsia" w:ascii="宋体" w:hAnsi="宋体" w:cs="宋体"/>
          <w:color w:val="000000" w:themeColor="text1"/>
        </w:rPr>
        <w:t>5.2.4与投标人的法定代表人或者负责人有夫妻、直系血亲、三代以内旁系血亲或者近姻亲关系；</w:t>
      </w:r>
    </w:p>
    <w:p w14:paraId="4B8CCC1D">
      <w:pPr>
        <w:ind w:firstLine="480"/>
        <w:rPr>
          <w:rFonts w:ascii="宋体" w:hAnsi="宋体" w:cs="宋体"/>
          <w:color w:val="000000" w:themeColor="text1"/>
        </w:rPr>
      </w:pPr>
      <w:r>
        <w:rPr>
          <w:rFonts w:hint="eastAsia" w:ascii="宋体" w:hAnsi="宋体" w:cs="宋体"/>
          <w:color w:val="000000" w:themeColor="text1"/>
        </w:rPr>
        <w:t>5.2.5存在共同直接或间接投资设立子公司、联营企业和合营企业情况；</w:t>
      </w:r>
    </w:p>
    <w:p w14:paraId="5BD2AECA">
      <w:pPr>
        <w:ind w:firstLine="480"/>
        <w:rPr>
          <w:rFonts w:ascii="宋体" w:hAnsi="宋体" w:cs="宋体"/>
          <w:color w:val="000000" w:themeColor="text1"/>
        </w:rPr>
      </w:pPr>
      <w:r>
        <w:rPr>
          <w:rFonts w:hint="eastAsia" w:ascii="宋体" w:hAnsi="宋体" w:cs="宋体"/>
          <w:color w:val="000000" w:themeColor="text1"/>
        </w:rPr>
        <w:t>5.2.6与投标人有其他可能影响政府采购活动公平、公正进行的关系。</w:t>
      </w:r>
    </w:p>
    <w:p w14:paraId="1156BD5E">
      <w:pPr>
        <w:ind w:firstLine="480"/>
        <w:rPr>
          <w:rFonts w:ascii="宋体" w:hAnsi="宋体" w:cs="宋体"/>
          <w:color w:val="000000" w:themeColor="text1"/>
        </w:rPr>
      </w:pPr>
      <w:r>
        <w:rPr>
          <w:rFonts w:hint="eastAsia" w:ascii="宋体" w:hAnsi="宋体" w:cs="宋体"/>
          <w:color w:val="000000" w:themeColor="text1"/>
        </w:rPr>
        <w:t>5.3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审小组成员。</w:t>
      </w:r>
    </w:p>
    <w:p w14:paraId="03B3FC7F">
      <w:pPr>
        <w:ind w:firstLine="480"/>
        <w:rPr>
          <w:rFonts w:ascii="宋体" w:hAnsi="宋体" w:cs="宋体"/>
          <w:color w:val="000000" w:themeColor="text1"/>
        </w:rPr>
      </w:pPr>
      <w:r>
        <w:rPr>
          <w:rFonts w:hint="eastAsia" w:ascii="宋体" w:hAnsi="宋体" w:cs="宋体"/>
          <w:color w:val="000000" w:themeColor="text1"/>
        </w:rPr>
        <w:t>5.4投标人认为采购人员及相关人员与其他投标人有利害关系的，可以向采购代理机构书面提出回避申请，并说明理由。采购代理机构将及时询问被申请回避人员，有利害关系的被申请回避人员应当回避。</w:t>
      </w:r>
    </w:p>
    <w:p w14:paraId="62E41721">
      <w:pPr>
        <w:ind w:firstLine="480"/>
        <w:rPr>
          <w:rFonts w:ascii="宋体" w:hAnsi="宋体" w:cs="宋体"/>
          <w:color w:val="000000" w:themeColor="text1"/>
        </w:rPr>
      </w:pPr>
      <w:r>
        <w:rPr>
          <w:rFonts w:hint="eastAsia" w:ascii="宋体" w:hAnsi="宋体" w:cs="宋体"/>
          <w:color w:val="000000" w:themeColor="text1"/>
        </w:rPr>
        <w:t>5.5为证明投标人拥有的业绩、荣誉、知识产权、项目案例等而在投标文件中提供的证明材料为投标人自身所有。投标产品非投标人本单位制造的，相关证明材料可以由原厂商提供并加盖原厂公章。</w:t>
      </w:r>
    </w:p>
    <w:p w14:paraId="1245D35A">
      <w:pPr>
        <w:ind w:firstLine="480"/>
        <w:rPr>
          <w:rFonts w:ascii="宋体" w:hAnsi="宋体" w:cs="宋体"/>
          <w:color w:val="000000" w:themeColor="text1"/>
        </w:rPr>
      </w:pPr>
      <w:r>
        <w:rPr>
          <w:rFonts w:hint="eastAsia" w:ascii="宋体" w:hAnsi="宋体" w:cs="宋体"/>
          <w:color w:val="000000" w:themeColor="text1"/>
        </w:rPr>
        <w:t>6.资格审查</w:t>
      </w:r>
    </w:p>
    <w:p w14:paraId="57543B0E">
      <w:pPr>
        <w:ind w:firstLine="480"/>
        <w:rPr>
          <w:rFonts w:ascii="宋体" w:hAnsi="宋体" w:cs="宋体"/>
          <w:color w:val="000000" w:themeColor="text1"/>
        </w:rPr>
      </w:pPr>
      <w:r>
        <w:rPr>
          <w:rFonts w:hint="eastAsia" w:ascii="宋体" w:hAnsi="宋体" w:cs="宋体"/>
          <w:color w:val="000000" w:themeColor="text1"/>
        </w:rPr>
        <w:t>本次采取资格后审，代理机构不保证所有报名或依法获取招标文件并报名的投标人都符合合格投标人资格要求。</w:t>
      </w:r>
    </w:p>
    <w:p w14:paraId="3B8E80C8">
      <w:pPr>
        <w:ind w:firstLine="480"/>
        <w:rPr>
          <w:rFonts w:ascii="宋体" w:hAnsi="宋体" w:cs="宋体"/>
          <w:color w:val="000000" w:themeColor="text1"/>
        </w:rPr>
      </w:pPr>
      <w:r>
        <w:rPr>
          <w:rFonts w:hint="eastAsia" w:ascii="宋体" w:hAnsi="宋体" w:cs="宋体"/>
          <w:color w:val="000000" w:themeColor="text1"/>
        </w:rPr>
        <w:t>7.语言文字</w:t>
      </w:r>
    </w:p>
    <w:p w14:paraId="16567E67">
      <w:pPr>
        <w:ind w:firstLine="480"/>
        <w:rPr>
          <w:rFonts w:ascii="宋体" w:hAnsi="宋体" w:cs="宋体"/>
          <w:color w:val="000000" w:themeColor="text1"/>
        </w:rPr>
      </w:pPr>
      <w:r>
        <w:rPr>
          <w:rFonts w:hint="eastAsia" w:ascii="宋体" w:hAnsi="宋体" w:cs="宋体"/>
          <w:color w:val="000000" w:themeColor="text1"/>
        </w:rPr>
        <w:t>7.1投标文件以及投标人与采购人就有关招标事宜的所有来往函电，均应以中文汉语书写。除签名、盖章、专用名称等特殊情形外，以中文汉语以外的文字表述的投标文件视同未提供。</w:t>
      </w:r>
    </w:p>
    <w:p w14:paraId="0AFCB60F">
      <w:pPr>
        <w:ind w:firstLine="480"/>
        <w:rPr>
          <w:rFonts w:ascii="宋体" w:hAnsi="宋体" w:cs="宋体"/>
          <w:color w:val="000000" w:themeColor="text1"/>
        </w:rPr>
      </w:pPr>
      <w:r>
        <w:rPr>
          <w:rFonts w:hint="eastAsia" w:ascii="宋体" w:hAnsi="宋体" w:cs="宋体"/>
          <w:color w:val="000000" w:themeColor="text1"/>
        </w:rPr>
        <w:t>7.2外文专用术语应附有中文注释。招投标文件及相关往来文件中有外文资料的（如质疑函、进口产品厂商授权书等），资料提供方应当将其翻译为中文，注明翻译人员姓名、工作单位、联系方式等信息，并对译文的完整性、客观性、真实性负责。</w:t>
      </w:r>
    </w:p>
    <w:p w14:paraId="61A5211C">
      <w:pPr>
        <w:ind w:firstLine="480"/>
        <w:rPr>
          <w:rFonts w:ascii="宋体" w:hAnsi="宋体" w:cs="宋体"/>
          <w:color w:val="000000" w:themeColor="text1"/>
        </w:rPr>
      </w:pPr>
      <w:r>
        <w:rPr>
          <w:rFonts w:hint="eastAsia" w:ascii="宋体" w:hAnsi="宋体" w:cs="宋体"/>
          <w:color w:val="000000" w:themeColor="text1"/>
        </w:rPr>
        <w:t>8.计量单位</w:t>
      </w:r>
    </w:p>
    <w:p w14:paraId="7232DBC0">
      <w:pPr>
        <w:ind w:firstLine="480"/>
        <w:rPr>
          <w:rFonts w:ascii="宋体" w:hAnsi="宋体" w:cs="宋体"/>
          <w:color w:val="000000" w:themeColor="text1"/>
        </w:rPr>
      </w:pPr>
      <w:r>
        <w:rPr>
          <w:rFonts w:hint="eastAsia" w:ascii="宋体" w:hAnsi="宋体" w:cs="宋体"/>
          <w:color w:val="000000" w:themeColor="text1"/>
        </w:rPr>
        <w:t>除投标文件中另有规定外，计量均应采用中华人民共和国法定计量单位；所有报价一律使用人民币，货币单位为“元”。</w:t>
      </w:r>
    </w:p>
    <w:p w14:paraId="0A19EF8A">
      <w:pPr>
        <w:ind w:firstLine="480"/>
        <w:rPr>
          <w:rFonts w:ascii="宋体" w:hAnsi="宋体" w:cs="宋体"/>
          <w:color w:val="000000" w:themeColor="text1"/>
        </w:rPr>
      </w:pPr>
      <w:r>
        <w:rPr>
          <w:rFonts w:hint="eastAsia" w:ascii="宋体" w:hAnsi="宋体" w:cs="宋体"/>
          <w:color w:val="000000" w:themeColor="text1"/>
        </w:rPr>
        <w:t>9.保密</w:t>
      </w:r>
    </w:p>
    <w:p w14:paraId="1F95F526">
      <w:pPr>
        <w:ind w:firstLine="480"/>
        <w:rPr>
          <w:rFonts w:ascii="宋体" w:hAnsi="宋体" w:cs="宋体"/>
          <w:color w:val="000000" w:themeColor="text1"/>
        </w:rPr>
      </w:pPr>
      <w:r>
        <w:rPr>
          <w:rFonts w:hint="eastAsia" w:ascii="宋体" w:hAnsi="宋体" w:cs="宋体"/>
          <w:color w:val="000000" w:themeColor="text1"/>
        </w:rPr>
        <w:t>参与投标活动的当事人应对招标文件和投标文件中的商业和技术等秘密保密，违者应对由此造成的后果承担法律责任。</w:t>
      </w:r>
    </w:p>
    <w:p w14:paraId="1F5C3146">
      <w:pPr>
        <w:ind w:firstLine="480"/>
        <w:rPr>
          <w:rFonts w:ascii="宋体" w:hAnsi="宋体" w:cs="宋体"/>
          <w:color w:val="000000" w:themeColor="text1"/>
        </w:rPr>
      </w:pPr>
      <w:r>
        <w:rPr>
          <w:rFonts w:hint="eastAsia" w:ascii="宋体" w:hAnsi="宋体" w:cs="宋体"/>
          <w:color w:val="000000" w:themeColor="text1"/>
        </w:rPr>
        <w:t>10.投标费用</w:t>
      </w:r>
    </w:p>
    <w:p w14:paraId="0B1D6044">
      <w:pPr>
        <w:ind w:firstLine="480"/>
        <w:rPr>
          <w:rFonts w:ascii="宋体" w:hAnsi="宋体" w:cs="宋体"/>
          <w:color w:val="000000" w:themeColor="text1"/>
        </w:rPr>
      </w:pPr>
      <w:r>
        <w:rPr>
          <w:rFonts w:hint="eastAsia" w:ascii="宋体" w:hAnsi="宋体" w:cs="宋体"/>
          <w:color w:val="000000" w:themeColor="text1"/>
        </w:rPr>
        <w:t>不论投标的结果如何，投标人均自行承担所有与参加本次投标有关的费用。</w:t>
      </w:r>
    </w:p>
    <w:p w14:paraId="241E2A48">
      <w:pPr>
        <w:ind w:firstLine="480"/>
        <w:rPr>
          <w:rFonts w:ascii="宋体" w:hAnsi="宋体" w:cs="宋体"/>
          <w:color w:val="000000" w:themeColor="text1"/>
        </w:rPr>
      </w:pPr>
      <w:r>
        <w:rPr>
          <w:rFonts w:hint="eastAsia" w:ascii="宋体" w:hAnsi="宋体" w:cs="宋体"/>
          <w:color w:val="000000" w:themeColor="text1"/>
        </w:rPr>
        <w:t>11.投标有效期</w:t>
      </w:r>
    </w:p>
    <w:p w14:paraId="557A548C">
      <w:pPr>
        <w:ind w:firstLine="480"/>
        <w:rPr>
          <w:rFonts w:ascii="宋体" w:hAnsi="宋体" w:cs="宋体"/>
          <w:color w:val="000000" w:themeColor="text1"/>
        </w:rPr>
      </w:pPr>
      <w:r>
        <w:rPr>
          <w:rFonts w:hint="eastAsia" w:ascii="宋体" w:hAnsi="宋体" w:cs="宋体"/>
          <w:color w:val="000000" w:themeColor="text1"/>
        </w:rPr>
        <w:t>11.1在投标人须知前附表规定的投标有效期内，投标文件以及其补充、承诺等部分均保持有效。</w:t>
      </w:r>
    </w:p>
    <w:p w14:paraId="783162BA">
      <w:pPr>
        <w:ind w:firstLine="480"/>
        <w:rPr>
          <w:rFonts w:ascii="宋体" w:hAnsi="宋体" w:cs="宋体"/>
          <w:color w:val="000000" w:themeColor="text1"/>
        </w:rPr>
      </w:pPr>
      <w:r>
        <w:rPr>
          <w:rFonts w:hint="eastAsia" w:ascii="宋体" w:hAnsi="宋体" w:cs="宋体"/>
          <w:color w:val="000000" w:themeColor="text1"/>
        </w:rPr>
        <w:t>11.2在招标文件规定的投标文件有效期满之前，如果出现特殊情况，采购人或者采购代理机构可在投标有效期内要求投标人延长有效期，要求与答复均以书面通知为准并作为招标文件和投标文件的组成部分。</w:t>
      </w:r>
    </w:p>
    <w:p w14:paraId="793B4A65">
      <w:pPr>
        <w:ind w:firstLine="480"/>
        <w:rPr>
          <w:rFonts w:ascii="宋体" w:hAnsi="宋体" w:cs="宋体"/>
          <w:color w:val="000000" w:themeColor="text1"/>
        </w:rPr>
      </w:pPr>
      <w:r>
        <w:rPr>
          <w:rFonts w:hint="eastAsia" w:ascii="宋体" w:hAnsi="宋体" w:cs="宋体"/>
          <w:color w:val="000000" w:themeColor="text1"/>
        </w:rPr>
        <w:t>12.分包与转包</w:t>
      </w:r>
    </w:p>
    <w:p w14:paraId="1FBBB503">
      <w:pPr>
        <w:ind w:firstLine="480"/>
        <w:rPr>
          <w:rFonts w:ascii="宋体" w:hAnsi="宋体" w:cs="宋体"/>
          <w:color w:val="000000" w:themeColor="text1"/>
        </w:rPr>
      </w:pPr>
      <w:r>
        <w:rPr>
          <w:rFonts w:hint="eastAsia" w:ascii="宋体" w:hAnsi="宋体" w:cs="宋体"/>
          <w:color w:val="000000" w:themeColor="text1"/>
        </w:rPr>
        <w:t>本项目不允许分包和转包。</w:t>
      </w:r>
    </w:p>
    <w:p w14:paraId="43783452">
      <w:pPr>
        <w:ind w:firstLine="480"/>
        <w:rPr>
          <w:rFonts w:ascii="宋体" w:hAnsi="宋体" w:cs="宋体"/>
          <w:color w:val="000000" w:themeColor="text1"/>
        </w:rPr>
      </w:pPr>
      <w:r>
        <w:rPr>
          <w:rFonts w:hint="eastAsia" w:ascii="宋体" w:hAnsi="宋体" w:cs="宋体"/>
          <w:color w:val="000000" w:themeColor="text1"/>
        </w:rPr>
        <w:t>13.现场勘察</w:t>
      </w:r>
    </w:p>
    <w:p w14:paraId="39DE95AD">
      <w:pPr>
        <w:ind w:firstLine="480"/>
        <w:rPr>
          <w:rFonts w:ascii="宋体" w:hAnsi="宋体" w:cs="宋体"/>
          <w:color w:val="000000" w:themeColor="text1"/>
        </w:rPr>
      </w:pPr>
      <w:r>
        <w:rPr>
          <w:rFonts w:hint="eastAsia" w:ascii="宋体" w:hAnsi="宋体" w:cs="宋体"/>
          <w:color w:val="000000" w:themeColor="text1"/>
        </w:rPr>
        <w:t>投标人自行现场勘察以获取有关编制投标文件和签署合同所涉及现场的资料，但需经采购人允许方可为勘察目的进入采购人的项目现场。不得因现场勘察而使采购人承担有关的责任和蒙受损失，投标人应承担现场勘察的责任和风险以及承担现场勘察所发生的费用。</w:t>
      </w:r>
    </w:p>
    <w:p w14:paraId="7695A344">
      <w:pPr>
        <w:ind w:firstLine="480"/>
        <w:rPr>
          <w:rFonts w:ascii="宋体" w:hAnsi="宋体" w:cs="宋体"/>
          <w:color w:val="000000" w:themeColor="text1"/>
        </w:rPr>
      </w:pPr>
      <w:r>
        <w:rPr>
          <w:rFonts w:hint="eastAsia" w:ascii="宋体" w:hAnsi="宋体" w:cs="宋体"/>
          <w:color w:val="000000" w:themeColor="text1"/>
        </w:rPr>
        <w:t>14.知识产权</w:t>
      </w:r>
    </w:p>
    <w:p w14:paraId="7A6F6BAA">
      <w:pPr>
        <w:ind w:firstLine="480"/>
        <w:rPr>
          <w:rFonts w:ascii="宋体" w:hAnsi="宋体" w:cs="宋体"/>
          <w:color w:val="000000" w:themeColor="text1"/>
        </w:rPr>
      </w:pPr>
      <w:r>
        <w:rPr>
          <w:rFonts w:hint="eastAsia" w:ascii="宋体" w:hAnsi="宋体" w:cs="宋体"/>
          <w:color w:val="000000" w:themeColor="text1"/>
        </w:rPr>
        <w:t>14.1投标人应保证在本项目中使用的任何产品和服务（包括部分使用），不会产生因第三方提出侵犯其专利权、商标权或其它知识产权而引起的法律和经济纠纷，如因专利权、商标权或其它知识产权而引起法律和经济纠纷，由投标人承担所有相关责任。</w:t>
      </w:r>
    </w:p>
    <w:p w14:paraId="7C5AC744">
      <w:pPr>
        <w:ind w:firstLine="480"/>
        <w:rPr>
          <w:rFonts w:ascii="宋体" w:hAnsi="宋体" w:cs="宋体"/>
          <w:color w:val="000000" w:themeColor="text1"/>
        </w:rPr>
      </w:pPr>
      <w:r>
        <w:rPr>
          <w:rFonts w:hint="eastAsia" w:ascii="宋体" w:hAnsi="宋体" w:cs="宋体"/>
          <w:color w:val="000000" w:themeColor="text1"/>
        </w:rPr>
        <w:t>14.2除非招标文件特别规定，采购人享有本项目实施过程中产生的知识成果及知识产权。</w:t>
      </w:r>
    </w:p>
    <w:p w14:paraId="14BD3B84">
      <w:pPr>
        <w:ind w:firstLine="480"/>
        <w:rPr>
          <w:rFonts w:ascii="宋体" w:hAnsi="宋体" w:cs="宋体"/>
          <w:color w:val="000000" w:themeColor="text1"/>
        </w:rPr>
      </w:pPr>
      <w:r>
        <w:rPr>
          <w:rFonts w:hint="eastAsia" w:ascii="宋体" w:hAnsi="宋体" w:cs="宋体"/>
          <w:color w:val="000000" w:themeColor="text1"/>
        </w:rPr>
        <w:t>14.3投标人将在采购项目实施过程中采用自有或者第三方知识成果的，应当在投标文件中载明，并提供相关知识产权证明文件。</w:t>
      </w:r>
    </w:p>
    <w:p w14:paraId="7407E5E6">
      <w:pPr>
        <w:ind w:firstLine="480"/>
        <w:rPr>
          <w:rFonts w:ascii="宋体" w:hAnsi="宋体" w:cs="宋体"/>
          <w:color w:val="000000" w:themeColor="text1"/>
        </w:rPr>
      </w:pPr>
      <w:r>
        <w:rPr>
          <w:rFonts w:hint="eastAsia" w:ascii="宋体" w:hAnsi="宋体" w:cs="宋体"/>
          <w:color w:val="000000" w:themeColor="text1"/>
        </w:rPr>
        <w:t>14.4如采用投标人所不拥有的知识产权，则在投标报价中必须包括合法获取该知识产权的相关费用。</w:t>
      </w:r>
    </w:p>
    <w:p w14:paraId="79900AFD">
      <w:pPr>
        <w:ind w:firstLine="480"/>
        <w:rPr>
          <w:rFonts w:ascii="宋体" w:hAnsi="宋体" w:cs="宋体"/>
          <w:color w:val="000000" w:themeColor="text1"/>
        </w:rPr>
      </w:pPr>
      <w:r>
        <w:rPr>
          <w:rFonts w:hint="eastAsia" w:ascii="宋体" w:hAnsi="宋体" w:cs="宋体"/>
          <w:color w:val="000000" w:themeColor="text1"/>
        </w:rPr>
        <w:t>15.特别说明</w:t>
      </w:r>
    </w:p>
    <w:p w14:paraId="0D36F044">
      <w:pPr>
        <w:ind w:firstLine="480"/>
        <w:rPr>
          <w:rFonts w:ascii="宋体" w:hAnsi="宋体" w:cs="宋体"/>
          <w:color w:val="000000" w:themeColor="text1"/>
        </w:rPr>
      </w:pPr>
      <w:r>
        <w:rPr>
          <w:rFonts w:hint="eastAsia" w:ascii="宋体" w:hAnsi="宋体" w:cs="宋体"/>
          <w:color w:val="000000" w:themeColor="text1"/>
        </w:rPr>
        <w:t>15.1投标人应仔细阅读招标文件的所有内容，按照招标文件的要求提交投标文件，并对所提供的全部资料的真实性承担法律责任。</w:t>
      </w:r>
    </w:p>
    <w:p w14:paraId="72211956">
      <w:pPr>
        <w:ind w:firstLine="480"/>
        <w:rPr>
          <w:rFonts w:ascii="宋体" w:hAnsi="宋体" w:cs="宋体"/>
          <w:color w:val="000000" w:themeColor="text1"/>
        </w:rPr>
      </w:pPr>
      <w:r>
        <w:rPr>
          <w:rFonts w:hint="eastAsia" w:ascii="宋体" w:hAnsi="宋体" w:cs="宋体"/>
          <w:color w:val="000000" w:themeColor="text1"/>
        </w:rPr>
        <w:t>15.2经营者提供商品或者服务有欺诈行为的，依照《中华人民共和国消费者权益保护法（2013年修正）》有关规定处理。</w:t>
      </w:r>
    </w:p>
    <w:p w14:paraId="014E3C8F">
      <w:pPr>
        <w:ind w:firstLine="480"/>
        <w:rPr>
          <w:rFonts w:ascii="宋体" w:hAnsi="宋体" w:cs="宋体"/>
          <w:color w:val="000000" w:themeColor="text1"/>
        </w:rPr>
      </w:pPr>
      <w:r>
        <w:rPr>
          <w:rFonts w:hint="eastAsia" w:ascii="宋体" w:hAnsi="宋体" w:cs="宋体"/>
          <w:color w:val="000000" w:themeColor="text1"/>
        </w:rPr>
        <w:t>15.3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采购人可以拒绝其投标文件。</w:t>
      </w:r>
    </w:p>
    <w:p w14:paraId="6A38749C">
      <w:pPr>
        <w:ind w:firstLine="480"/>
      </w:pPr>
      <w:r>
        <w:t>16.采购代理费用</w:t>
      </w:r>
    </w:p>
    <w:p w14:paraId="37AAB503">
      <w:pPr>
        <w:ind w:firstLine="480"/>
        <w:rPr>
          <w:rFonts w:ascii="宋体" w:hAnsi="宋体" w:cs="宋体"/>
          <w:color w:val="000000" w:themeColor="text1"/>
        </w:rPr>
      </w:pPr>
      <w:r>
        <w:rPr>
          <w:rFonts w:hint="eastAsia" w:ascii="宋体" w:hAnsi="宋体" w:cs="宋体"/>
        </w:rPr>
        <w:t>16.1本项目代理费按照国家发展计划委员会文件《计价格〔2002〕1980号》和发改办价格[2011]534号规</w:t>
      </w:r>
      <w:r>
        <w:rPr>
          <w:rFonts w:hint="eastAsia" w:ascii="宋体" w:hAnsi="宋体" w:cs="宋体"/>
          <w:color w:val="000000" w:themeColor="text1"/>
        </w:rPr>
        <w:t>定收取，由中标人在领取成交通知书前一次性支付给采购代理机构。</w:t>
      </w:r>
    </w:p>
    <w:p w14:paraId="37057EA7">
      <w:pPr>
        <w:ind w:firstLine="480"/>
        <w:rPr>
          <w:rFonts w:ascii="宋体" w:hAnsi="宋体" w:cs="宋体"/>
          <w:color w:val="000000" w:themeColor="text1"/>
        </w:rPr>
      </w:pPr>
      <w:r>
        <w:rPr>
          <w:rFonts w:hint="eastAsia" w:ascii="宋体" w:hAnsi="宋体" w:cs="宋体"/>
          <w:color w:val="000000" w:themeColor="text1"/>
        </w:rPr>
        <w:t>16.2评审费（按实结算），由采购人支付。</w:t>
      </w:r>
    </w:p>
    <w:p w14:paraId="19B7FB0A">
      <w:pPr>
        <w:ind w:firstLine="480"/>
        <w:rPr>
          <w:rFonts w:ascii="宋体" w:hAnsi="宋体"/>
          <w:color w:val="000000" w:themeColor="text1"/>
          <w:sz w:val="21"/>
          <w:szCs w:val="21"/>
        </w:rPr>
      </w:pPr>
      <w:r>
        <w:rPr>
          <w:rFonts w:hint="eastAsia" w:ascii="宋体" w:hAnsi="宋体" w:cs="宋体"/>
          <w:color w:val="000000" w:themeColor="text1"/>
        </w:rPr>
        <w:t>16.3若出现终止采购情形的，采购代理服务费由采购人支付。</w:t>
      </w:r>
    </w:p>
    <w:p w14:paraId="3EF6213B">
      <w:pPr>
        <w:pStyle w:val="4"/>
        <w:rPr>
          <w:color w:val="000000" w:themeColor="text1"/>
        </w:rPr>
      </w:pPr>
      <w:bookmarkStart w:id="44" w:name="_Toc28973"/>
      <w:bookmarkStart w:id="45" w:name="_Toc7104"/>
      <w:bookmarkStart w:id="46" w:name="_Toc16021"/>
      <w:bookmarkStart w:id="47" w:name="_Toc1600"/>
      <w:bookmarkStart w:id="48" w:name="_Toc4162"/>
      <w:bookmarkStart w:id="49" w:name="_Toc9386"/>
      <w:bookmarkStart w:id="50" w:name="_Toc9348"/>
      <w:bookmarkStart w:id="51" w:name="_Toc3017"/>
      <w:bookmarkStart w:id="52" w:name="_Toc18943"/>
      <w:bookmarkStart w:id="53" w:name="_Toc1391"/>
      <w:bookmarkStart w:id="54" w:name="_Toc29806"/>
      <w:bookmarkStart w:id="55" w:name="_Toc24650"/>
      <w:bookmarkStart w:id="56" w:name="_Toc391298956"/>
      <w:bookmarkStart w:id="57" w:name="_Toc31879"/>
      <w:bookmarkStart w:id="58" w:name="_Toc23284"/>
      <w:bookmarkStart w:id="59" w:name="_Toc7878"/>
      <w:bookmarkStart w:id="60" w:name="_Toc31258"/>
      <w:bookmarkStart w:id="61" w:name="_Toc25527"/>
      <w:bookmarkStart w:id="62" w:name="_Toc17087"/>
      <w:bookmarkStart w:id="63" w:name="_Toc11300"/>
      <w:bookmarkStart w:id="64" w:name="_Toc8831"/>
      <w:bookmarkStart w:id="65" w:name="_Toc1767"/>
      <w:bookmarkStart w:id="66" w:name="_Toc4956"/>
      <w:r>
        <w:rPr>
          <w:rFonts w:hint="eastAsia"/>
          <w:color w:val="000000" w:themeColor="text1"/>
        </w:rPr>
        <w:t>二、招标文件</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0A530422">
      <w:pPr>
        <w:ind w:firstLine="480"/>
        <w:rPr>
          <w:color w:val="000000" w:themeColor="text1"/>
        </w:rPr>
      </w:pPr>
      <w:r>
        <w:rPr>
          <w:rFonts w:hint="eastAsia"/>
          <w:color w:val="000000" w:themeColor="text1"/>
        </w:rPr>
        <w:t>17.招标文件的组成</w:t>
      </w:r>
    </w:p>
    <w:p w14:paraId="76902695">
      <w:pPr>
        <w:ind w:firstLine="480"/>
        <w:rPr>
          <w:color w:val="000000" w:themeColor="text1"/>
        </w:rPr>
      </w:pPr>
      <w:r>
        <w:rPr>
          <w:rFonts w:hint="eastAsia"/>
          <w:color w:val="000000" w:themeColor="text1"/>
        </w:rPr>
        <w:t>（1）招标公告</w:t>
      </w:r>
    </w:p>
    <w:p w14:paraId="5ED070EC">
      <w:pPr>
        <w:ind w:firstLine="480"/>
        <w:rPr>
          <w:color w:val="000000" w:themeColor="text1"/>
        </w:rPr>
      </w:pPr>
      <w:r>
        <w:rPr>
          <w:rFonts w:hint="eastAsia"/>
          <w:color w:val="000000" w:themeColor="text1"/>
        </w:rPr>
        <w:t>（2）投标人须知前附表</w:t>
      </w:r>
    </w:p>
    <w:p w14:paraId="3FD7B9B6">
      <w:pPr>
        <w:ind w:firstLine="480"/>
        <w:rPr>
          <w:color w:val="000000" w:themeColor="text1"/>
        </w:rPr>
      </w:pPr>
      <w:r>
        <w:rPr>
          <w:rFonts w:hint="eastAsia"/>
          <w:color w:val="000000" w:themeColor="text1"/>
        </w:rPr>
        <w:t>（3）投标人须知</w:t>
      </w:r>
    </w:p>
    <w:p w14:paraId="76E73084">
      <w:pPr>
        <w:ind w:firstLine="480"/>
        <w:rPr>
          <w:color w:val="000000" w:themeColor="text1"/>
        </w:rPr>
      </w:pPr>
      <w:r>
        <w:rPr>
          <w:rFonts w:hint="eastAsia"/>
          <w:color w:val="000000" w:themeColor="text1"/>
        </w:rPr>
        <w:t>（4）采购需求</w:t>
      </w:r>
    </w:p>
    <w:p w14:paraId="2C35463A">
      <w:pPr>
        <w:ind w:firstLine="480"/>
        <w:rPr>
          <w:color w:val="000000" w:themeColor="text1"/>
        </w:rPr>
      </w:pPr>
      <w:bookmarkStart w:id="67" w:name="_Toc430422413"/>
      <w:bookmarkStart w:id="68" w:name="_Toc430488644"/>
      <w:bookmarkStart w:id="69" w:name="_Toc430490612"/>
      <w:bookmarkStart w:id="70" w:name="_Toc430488851"/>
      <w:bookmarkStart w:id="71" w:name="_Toc430492126"/>
      <w:bookmarkStart w:id="72" w:name="_Toc430489119"/>
      <w:bookmarkStart w:id="73" w:name="_Toc415567497"/>
      <w:r>
        <w:rPr>
          <w:rFonts w:hint="eastAsia"/>
          <w:color w:val="000000" w:themeColor="text1"/>
        </w:rPr>
        <w:t>（5）合同</w:t>
      </w:r>
    </w:p>
    <w:p w14:paraId="50F2F914">
      <w:pPr>
        <w:ind w:firstLine="480"/>
        <w:rPr>
          <w:color w:val="000000" w:themeColor="text1"/>
        </w:rPr>
      </w:pPr>
      <w:r>
        <w:rPr>
          <w:rFonts w:hint="eastAsia"/>
          <w:color w:val="000000" w:themeColor="text1"/>
        </w:rPr>
        <w:t>（6）评审办法和评分标准</w:t>
      </w:r>
    </w:p>
    <w:p w14:paraId="07695035">
      <w:pPr>
        <w:ind w:firstLine="480"/>
        <w:rPr>
          <w:color w:val="000000" w:themeColor="text1"/>
        </w:rPr>
      </w:pPr>
      <w:r>
        <w:rPr>
          <w:rFonts w:hint="eastAsia"/>
          <w:color w:val="000000" w:themeColor="text1"/>
        </w:rPr>
        <w:t>（7）投标文件格式</w:t>
      </w:r>
    </w:p>
    <w:p w14:paraId="7D6D5DCC">
      <w:pPr>
        <w:ind w:firstLine="480"/>
        <w:rPr>
          <w:color w:val="000000" w:themeColor="text1"/>
        </w:rPr>
      </w:pPr>
      <w:r>
        <w:rPr>
          <w:rFonts w:hint="eastAsia"/>
          <w:color w:val="000000" w:themeColor="text1"/>
        </w:rPr>
        <w:t>（8）本项目招标文件的澄清、答复、修改、补充的内容</w:t>
      </w:r>
    </w:p>
    <w:bookmarkEnd w:id="67"/>
    <w:bookmarkEnd w:id="68"/>
    <w:bookmarkEnd w:id="69"/>
    <w:bookmarkEnd w:id="70"/>
    <w:bookmarkEnd w:id="71"/>
    <w:bookmarkEnd w:id="72"/>
    <w:bookmarkEnd w:id="73"/>
    <w:p w14:paraId="05DC972B">
      <w:pPr>
        <w:ind w:firstLine="480"/>
        <w:rPr>
          <w:color w:val="000000" w:themeColor="text1"/>
        </w:rPr>
      </w:pPr>
      <w:r>
        <w:rPr>
          <w:rFonts w:hint="eastAsia"/>
          <w:color w:val="000000" w:themeColor="text1"/>
        </w:rPr>
        <w:t>18.招标文件的澄清与修改</w:t>
      </w:r>
    </w:p>
    <w:p w14:paraId="1129BB6E">
      <w:pPr>
        <w:ind w:firstLine="480"/>
        <w:rPr>
          <w:color w:val="000000" w:themeColor="text1"/>
        </w:rPr>
      </w:pPr>
      <w:r>
        <w:rPr>
          <w:rFonts w:hint="eastAsia"/>
          <w:color w:val="000000" w:themeColor="text1"/>
        </w:rPr>
        <w:t>18.1在提交投标文件截止时间前，采购人、采购代理机构可以对招标文件进行澄清或者修改。</w:t>
      </w:r>
    </w:p>
    <w:p w14:paraId="6DF8F9C2">
      <w:pPr>
        <w:ind w:firstLine="480"/>
        <w:rPr>
          <w:color w:val="000000" w:themeColor="text1"/>
        </w:rPr>
      </w:pPr>
      <w:r>
        <w:rPr>
          <w:rFonts w:hint="eastAsia"/>
          <w:color w:val="000000" w:themeColor="text1"/>
        </w:rPr>
        <w:t>18.2采购人、采购代理机构可以对已发出的招标文件进行澄清或者修改，将澄清或者修改的内容通知依法获取了招标文件的投标人，同时在浙江政府采购网发布更正公告。</w:t>
      </w:r>
    </w:p>
    <w:p w14:paraId="25B36238">
      <w:pPr>
        <w:ind w:firstLine="480"/>
        <w:rPr>
          <w:color w:val="000000" w:themeColor="text1"/>
        </w:rPr>
      </w:pPr>
      <w:r>
        <w:rPr>
          <w:rFonts w:hint="eastAsia"/>
          <w:color w:val="000000" w:themeColor="text1"/>
        </w:rPr>
        <w:t>18.3投标人在招标文件规定的询疑截止时间前未对招标文件提出疑问的，采购人、采购代理机构将视其对招标文件无异议。采购人、采购代理机构有权对逾期收到疑问将不予受理、答复。</w:t>
      </w:r>
    </w:p>
    <w:p w14:paraId="53CE4418">
      <w:pPr>
        <w:ind w:firstLine="480"/>
        <w:rPr>
          <w:color w:val="000000" w:themeColor="text1"/>
        </w:rPr>
      </w:pPr>
      <w:r>
        <w:rPr>
          <w:rFonts w:hint="eastAsia"/>
          <w:color w:val="000000" w:themeColor="text1"/>
        </w:rPr>
        <w:t>18.4澄清、修改补充文件发布后，原则上不改变招标文件规定的投标截止时间及开标时间。投标人如认为澄清、修改补充文件内容影响投标文件编制，须延长投标截止时间的，否则，采购人、采购代理机构视投标人完全接受并有足够的时间编制投标文件且按规定时间进行投标。</w:t>
      </w:r>
    </w:p>
    <w:p w14:paraId="26F1B698">
      <w:pPr>
        <w:ind w:firstLine="480"/>
        <w:rPr>
          <w:rFonts w:ascii="宋体" w:hAnsi="宋体"/>
          <w:color w:val="000000" w:themeColor="text1"/>
          <w:szCs w:val="21"/>
        </w:rPr>
      </w:pPr>
      <w:r>
        <w:rPr>
          <w:rFonts w:hint="eastAsia"/>
          <w:color w:val="000000" w:themeColor="text1"/>
        </w:rPr>
        <w:t>18.5招标文件的澄清、修改内容作为招标文件的组成部分。当招标文件与澄清、修改的就同一内容的表述不一致时，以最后发出的文件为准。</w:t>
      </w:r>
    </w:p>
    <w:p w14:paraId="5EBE0663">
      <w:pPr>
        <w:pStyle w:val="4"/>
        <w:rPr>
          <w:color w:val="000000" w:themeColor="text1"/>
        </w:rPr>
      </w:pPr>
      <w:bookmarkStart w:id="74" w:name="_Toc10810"/>
      <w:bookmarkStart w:id="75" w:name="_Toc7126"/>
      <w:bookmarkStart w:id="76" w:name="_Toc11093"/>
      <w:bookmarkStart w:id="77" w:name="_Toc18702"/>
      <w:bookmarkStart w:id="78" w:name="_Toc1828"/>
      <w:bookmarkStart w:id="79" w:name="_Toc24622"/>
      <w:bookmarkStart w:id="80" w:name="_Toc14650"/>
      <w:bookmarkStart w:id="81" w:name="_Toc6273"/>
      <w:bookmarkStart w:id="82" w:name="_Toc10669"/>
      <w:bookmarkStart w:id="83" w:name="_Toc26603"/>
      <w:bookmarkStart w:id="84" w:name="_Toc1729"/>
      <w:bookmarkStart w:id="85" w:name="_Toc11692"/>
      <w:bookmarkStart w:id="86" w:name="_Toc11669"/>
      <w:bookmarkStart w:id="87" w:name="_Toc8860"/>
      <w:bookmarkStart w:id="88" w:name="_Toc26027"/>
      <w:bookmarkStart w:id="89" w:name="_Toc23135"/>
      <w:bookmarkStart w:id="90" w:name="_Toc23975"/>
      <w:bookmarkStart w:id="91" w:name="_Toc391298957"/>
      <w:bookmarkStart w:id="92" w:name="_Toc1202"/>
      <w:bookmarkStart w:id="93" w:name="_Toc6457"/>
      <w:bookmarkStart w:id="94" w:name="_Toc31748"/>
      <w:bookmarkStart w:id="95" w:name="_Toc6079"/>
      <w:bookmarkStart w:id="96" w:name="_Toc17092"/>
      <w:r>
        <w:rPr>
          <w:rFonts w:hint="eastAsia"/>
          <w:color w:val="000000" w:themeColor="text1"/>
        </w:rPr>
        <w:t>三、</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Pr>
          <w:rFonts w:hint="eastAsia"/>
          <w:color w:val="000000" w:themeColor="text1"/>
        </w:rPr>
        <w:t>投标文件</w:t>
      </w:r>
      <w:bookmarkEnd w:id="96"/>
    </w:p>
    <w:p w14:paraId="122C1863">
      <w:pPr>
        <w:ind w:firstLine="480"/>
        <w:rPr>
          <w:color w:val="000000" w:themeColor="text1"/>
        </w:rPr>
      </w:pPr>
      <w:r>
        <w:rPr>
          <w:color w:val="000000" w:themeColor="text1"/>
        </w:rPr>
        <w:t>19.投标文件</w:t>
      </w:r>
      <w:r>
        <w:rPr>
          <w:rFonts w:hint="eastAsia"/>
          <w:color w:val="000000" w:themeColor="text1"/>
        </w:rPr>
        <w:t>的组成</w:t>
      </w:r>
    </w:p>
    <w:p w14:paraId="3F9FB23B">
      <w:pPr>
        <w:ind w:firstLine="480"/>
        <w:rPr>
          <w:color w:val="000000" w:themeColor="text1"/>
        </w:rPr>
      </w:pPr>
      <w:r>
        <w:rPr>
          <w:color w:val="000000" w:themeColor="text1"/>
        </w:rPr>
        <w:t>19.1投标人应按照</w:t>
      </w:r>
      <w:r>
        <w:rPr>
          <w:rFonts w:hint="eastAsia"/>
          <w:color w:val="000000" w:themeColor="text1"/>
        </w:rPr>
        <w:t>招标</w:t>
      </w:r>
      <w:r>
        <w:rPr>
          <w:color w:val="000000" w:themeColor="text1"/>
        </w:rPr>
        <w:t>文件的要求以及格式编制投标文件并做出实质性响应，保证其合法性、真实性、准确性和完整性。</w:t>
      </w:r>
    </w:p>
    <w:p w14:paraId="7B9F3810">
      <w:pPr>
        <w:ind w:firstLine="480"/>
        <w:rPr>
          <w:color w:val="000000" w:themeColor="text1"/>
        </w:rPr>
      </w:pPr>
      <w:r>
        <w:rPr>
          <w:color w:val="000000" w:themeColor="text1"/>
        </w:rPr>
        <w:t>19.2投标文件由【资格审查文件】【</w:t>
      </w:r>
      <w:r>
        <w:rPr>
          <w:rFonts w:hint="eastAsia"/>
          <w:color w:val="000000" w:themeColor="text1"/>
          <w:lang w:val="en-US" w:eastAsia="zh-CN"/>
        </w:rPr>
        <w:t>资信</w:t>
      </w:r>
      <w:r>
        <w:rPr>
          <w:color w:val="000000" w:themeColor="text1"/>
        </w:rPr>
        <w:t>技术文件】</w:t>
      </w:r>
      <w:r>
        <w:rPr>
          <w:rFonts w:hint="eastAsia"/>
          <w:color w:val="000000" w:themeColor="text1"/>
        </w:rPr>
        <w:t>【</w:t>
      </w:r>
      <w:r>
        <w:rPr>
          <w:rFonts w:hint="eastAsia"/>
          <w:color w:val="000000" w:themeColor="text1"/>
          <w:lang w:val="en-US" w:eastAsia="zh-CN"/>
        </w:rPr>
        <w:t>报价</w:t>
      </w:r>
      <w:r>
        <w:rPr>
          <w:rFonts w:hint="eastAsia"/>
          <w:color w:val="000000" w:themeColor="text1"/>
        </w:rPr>
        <w:t>文件】三</w:t>
      </w:r>
      <w:r>
        <w:rPr>
          <w:color w:val="000000" w:themeColor="text1"/>
        </w:rPr>
        <w:t>部分内容组成，其中</w:t>
      </w:r>
    </w:p>
    <w:p w14:paraId="229E305D">
      <w:pPr>
        <w:ind w:firstLine="480"/>
        <w:rPr>
          <w:rFonts w:hint="eastAsia" w:eastAsia="宋体"/>
          <w:color w:val="000000" w:themeColor="text1"/>
          <w:lang w:eastAsia="zh-CN"/>
        </w:rPr>
      </w:pPr>
      <w:r>
        <w:rPr>
          <w:color w:val="000000" w:themeColor="text1"/>
        </w:rPr>
        <w:t>19.2.1资格审查文件</w:t>
      </w:r>
      <w:r>
        <w:rPr>
          <w:rFonts w:hint="eastAsia"/>
          <w:color w:val="000000" w:themeColor="text1"/>
          <w:lang w:eastAsia="zh-CN"/>
        </w:rPr>
        <w:t>，</w:t>
      </w:r>
      <w:r>
        <w:rPr>
          <w:rFonts w:hint="default" w:ascii="Plantagenet Cherokee" w:hAnsi="Plantagenet Cherokee" w:cs="Plantagenet Cherokee"/>
          <w:b/>
          <w:bCs w:val="0"/>
          <w:color w:val="auto"/>
          <w:lang w:eastAsia="zh-CN"/>
        </w:rPr>
        <w:t>包括但不限于下列内容：</w:t>
      </w:r>
    </w:p>
    <w:p w14:paraId="56E85994">
      <w:pPr>
        <w:bidi w:val="0"/>
      </w:pPr>
      <w:r>
        <w:rPr>
          <w:rFonts w:hint="eastAsia"/>
        </w:rPr>
        <w:t>（</w:t>
      </w:r>
      <w:r>
        <w:t>1</w:t>
      </w:r>
      <w:r>
        <w:rPr>
          <w:rFonts w:hint="eastAsia"/>
        </w:rPr>
        <w:t>）▲投标人基本情况表（附件</w:t>
      </w:r>
      <w:r>
        <w:t>1</w:t>
      </w:r>
      <w:r>
        <w:rPr>
          <w:rFonts w:hint="eastAsia"/>
        </w:rPr>
        <w:t>）</w:t>
      </w:r>
    </w:p>
    <w:p w14:paraId="51ADDF6D">
      <w:pPr>
        <w:bidi w:val="0"/>
        <w:rPr>
          <w:rFonts w:hint="default" w:eastAsia="宋体"/>
          <w:lang w:val="en-US" w:eastAsia="zh-CN"/>
        </w:rPr>
      </w:pPr>
      <w:r>
        <w:rPr>
          <w:rFonts w:hint="eastAsia"/>
        </w:rPr>
        <w:t>（</w:t>
      </w:r>
      <w:r>
        <w:t>2</w:t>
      </w:r>
      <w:r>
        <w:rPr>
          <w:rFonts w:hint="eastAsia"/>
        </w:rPr>
        <w:t>）▲</w:t>
      </w:r>
      <w:r>
        <w:rPr>
          <w:rFonts w:hint="default"/>
        </w:rPr>
        <w:t>提供有效《营业执照》或者《事业单位法人证书》扫描件</w:t>
      </w:r>
      <w:r>
        <w:rPr>
          <w:rFonts w:hint="eastAsia"/>
          <w:lang w:val="en-US" w:eastAsia="zh-CN"/>
        </w:rPr>
        <w:t>并加盖公章</w:t>
      </w:r>
    </w:p>
    <w:p w14:paraId="2CFAE6EF">
      <w:pPr>
        <w:bidi w:val="0"/>
        <w:rPr>
          <w:rFonts w:hint="default" w:ascii="Plantagenet Cherokee" w:hAnsi="Plantagenet Cherokee" w:eastAsia="宋体" w:cs="Plantagenet Cherokee"/>
          <w:color w:val="auto"/>
          <w:szCs w:val="22"/>
          <w:lang w:val="en-US" w:eastAsia="zh-CN"/>
        </w:rPr>
      </w:pPr>
      <w:r>
        <w:rPr>
          <w:rFonts w:hint="eastAsia"/>
          <w:lang w:eastAsia="zh-CN"/>
        </w:rPr>
        <w:t>（</w:t>
      </w:r>
      <w:r>
        <w:rPr>
          <w:rFonts w:hint="eastAsia"/>
          <w:lang w:val="en-US" w:eastAsia="zh-CN"/>
        </w:rPr>
        <w:t>3）</w:t>
      </w:r>
      <w:r>
        <w:rPr>
          <w:rFonts w:hint="default"/>
        </w:rPr>
        <w:t>▲法定资格要求：提供符合参加</w:t>
      </w:r>
      <w:r>
        <w:rPr>
          <w:rFonts w:hint="eastAsia"/>
          <w:lang w:val="en-US" w:eastAsia="zh-CN"/>
        </w:rPr>
        <w:t>政府</w:t>
      </w:r>
      <w:r>
        <w:rPr>
          <w:rFonts w:hint="default"/>
        </w:rPr>
        <w:t>采购活动应当具备的一般条件承诺函（附件2）</w:t>
      </w:r>
    </w:p>
    <w:p w14:paraId="2672B966">
      <w:pPr>
        <w:ind w:firstLine="480"/>
        <w:rPr>
          <w:rFonts w:hint="default"/>
        </w:rPr>
      </w:pPr>
      <w:r>
        <w:rPr>
          <w:rFonts w:hint="eastAsia"/>
        </w:rPr>
        <w:t>（</w:t>
      </w:r>
      <w:r>
        <w:rPr>
          <w:rFonts w:hint="eastAsia"/>
          <w:lang w:val="en-US" w:eastAsia="zh-CN"/>
        </w:rPr>
        <w:t>4</w:t>
      </w:r>
      <w:r>
        <w:rPr>
          <w:rFonts w:hint="eastAsia"/>
        </w:rPr>
        <w:t>）</w:t>
      </w:r>
      <w:r>
        <w:rPr>
          <w:rFonts w:hint="default"/>
        </w:rPr>
        <w:t>▲</w:t>
      </w:r>
      <w:r>
        <w:rPr>
          <w:rFonts w:hint="eastAsia"/>
        </w:rPr>
        <w:t>落实政府采购政策需满足的资格要求：</w:t>
      </w:r>
      <w:r>
        <w:rPr>
          <w:rFonts w:hint="eastAsia"/>
          <w:lang w:val="en-US" w:eastAsia="zh-CN"/>
        </w:rPr>
        <w:t>提供《</w:t>
      </w:r>
      <w:r>
        <w:rPr>
          <w:rFonts w:hint="eastAsia"/>
        </w:rPr>
        <w:t>中小企业声明函</w:t>
      </w:r>
      <w:r>
        <w:rPr>
          <w:rFonts w:hint="eastAsia"/>
          <w:lang w:eastAsia="zh-CN"/>
        </w:rPr>
        <w:t>（</w:t>
      </w:r>
      <w:r>
        <w:rPr>
          <w:rFonts w:hint="eastAsia"/>
          <w:lang w:val="en-US" w:eastAsia="zh-CN"/>
        </w:rPr>
        <w:t>服务）》</w:t>
      </w:r>
      <w:r>
        <w:rPr>
          <w:rFonts w:hint="default"/>
        </w:rPr>
        <w:t>（附件</w:t>
      </w:r>
      <w:r>
        <w:rPr>
          <w:rFonts w:hint="eastAsia"/>
          <w:lang w:val="en-US" w:eastAsia="zh-CN"/>
        </w:rPr>
        <w:t>3</w:t>
      </w:r>
      <w:r>
        <w:rPr>
          <w:rFonts w:hint="default"/>
        </w:rPr>
        <w:t>）</w:t>
      </w:r>
      <w:r>
        <w:rPr>
          <w:rFonts w:hint="eastAsia"/>
          <w:lang w:val="en-US" w:eastAsia="zh-CN"/>
        </w:rPr>
        <w:t>；或《</w:t>
      </w:r>
      <w:r>
        <w:rPr>
          <w:rFonts w:hint="eastAsia"/>
        </w:rPr>
        <w:t>监狱企业声明函</w:t>
      </w:r>
      <w:r>
        <w:rPr>
          <w:rFonts w:hint="eastAsia"/>
          <w:lang w:eastAsia="zh-CN"/>
        </w:rPr>
        <w:t>》</w:t>
      </w:r>
      <w:r>
        <w:rPr>
          <w:rFonts w:hint="default"/>
        </w:rPr>
        <w:t>（附件</w:t>
      </w:r>
      <w:r>
        <w:rPr>
          <w:rFonts w:hint="eastAsia"/>
          <w:lang w:val="en-US" w:eastAsia="zh-CN"/>
        </w:rPr>
        <w:t>4</w:t>
      </w:r>
      <w:r>
        <w:rPr>
          <w:rFonts w:hint="default"/>
        </w:rPr>
        <w:t>）</w:t>
      </w:r>
      <w:r>
        <w:rPr>
          <w:rFonts w:hint="eastAsia"/>
          <w:lang w:eastAsia="zh-CN"/>
        </w:rPr>
        <w:t>；</w:t>
      </w:r>
      <w:r>
        <w:rPr>
          <w:rFonts w:hint="eastAsia"/>
          <w:lang w:val="en-US" w:eastAsia="zh-CN"/>
        </w:rPr>
        <w:t>或</w:t>
      </w:r>
      <w:r>
        <w:rPr>
          <w:rFonts w:hint="eastAsia"/>
          <w:lang w:eastAsia="zh-CN"/>
        </w:rPr>
        <w:t>《</w:t>
      </w:r>
      <w:r>
        <w:rPr>
          <w:rFonts w:hint="eastAsia"/>
        </w:rPr>
        <w:t>残疾人福利性单位声明函</w:t>
      </w:r>
      <w:r>
        <w:rPr>
          <w:rFonts w:hint="eastAsia"/>
          <w:lang w:eastAsia="zh-CN"/>
        </w:rPr>
        <w:t>》</w:t>
      </w:r>
      <w:r>
        <w:rPr>
          <w:rFonts w:hint="default"/>
        </w:rPr>
        <w:t>（附件</w:t>
      </w:r>
      <w:r>
        <w:rPr>
          <w:rFonts w:hint="eastAsia"/>
          <w:lang w:val="en-US" w:eastAsia="zh-CN"/>
        </w:rPr>
        <w:t>5</w:t>
      </w:r>
      <w:r>
        <w:rPr>
          <w:rFonts w:hint="default"/>
        </w:rPr>
        <w:t>）</w:t>
      </w:r>
    </w:p>
    <w:p w14:paraId="145A08C1">
      <w:pPr>
        <w:ind w:firstLine="480"/>
        <w:rPr>
          <w:rFonts w:ascii="宋体" w:hAnsi="宋体" w:cs="宋体"/>
          <w:color w:val="000000" w:themeColor="text1"/>
        </w:rPr>
      </w:pPr>
      <w:r>
        <w:rPr>
          <w:rFonts w:hint="eastAsia" w:ascii="宋体" w:hAnsi="宋体" w:cs="宋体"/>
          <w:color w:val="000000" w:themeColor="text1"/>
        </w:rPr>
        <w:t>19.2.2</w:t>
      </w:r>
      <w:r>
        <w:rPr>
          <w:rFonts w:hint="eastAsia" w:ascii="宋体" w:hAnsi="宋体" w:cs="宋体"/>
          <w:color w:val="000000" w:themeColor="text1"/>
          <w:lang w:val="en-US" w:eastAsia="zh-CN"/>
        </w:rPr>
        <w:t>资信</w:t>
      </w:r>
      <w:r>
        <w:rPr>
          <w:rFonts w:hint="eastAsia" w:ascii="宋体" w:hAnsi="宋体" w:cs="宋体"/>
          <w:color w:val="000000" w:themeColor="text1"/>
        </w:rPr>
        <w:t>技术文件</w:t>
      </w:r>
    </w:p>
    <w:p w14:paraId="1A043C8A">
      <w:pPr>
        <w:bidi w:val="0"/>
      </w:pPr>
      <w:r>
        <w:rPr>
          <w:rFonts w:hint="eastAsia"/>
        </w:rPr>
        <w:t>（</w:t>
      </w:r>
      <w:r>
        <w:rPr>
          <w:rFonts w:hint="eastAsia"/>
          <w:lang w:val="en-US" w:eastAsia="zh-CN"/>
        </w:rPr>
        <w:t>1</w:t>
      </w:r>
      <w:r>
        <w:rPr>
          <w:rFonts w:hint="eastAsia"/>
        </w:rPr>
        <w:t>）▲投标声明函（附件</w:t>
      </w:r>
      <w:r>
        <w:rPr>
          <w:rFonts w:hint="eastAsia"/>
          <w:lang w:val="en-US" w:eastAsia="zh-CN"/>
        </w:rPr>
        <w:t>6</w:t>
      </w:r>
      <w:r>
        <w:rPr>
          <w:rFonts w:hint="eastAsia"/>
        </w:rPr>
        <w:t>）</w:t>
      </w:r>
    </w:p>
    <w:p w14:paraId="67437E45">
      <w:pPr>
        <w:bidi w:val="0"/>
      </w:pPr>
      <w:r>
        <w:rPr>
          <w:rFonts w:hint="eastAsia"/>
        </w:rPr>
        <w:t>（</w:t>
      </w:r>
      <w:r>
        <w:rPr>
          <w:rFonts w:hint="eastAsia"/>
          <w:lang w:val="en-US" w:eastAsia="zh-CN"/>
        </w:rPr>
        <w:t>2</w:t>
      </w:r>
      <w:r>
        <w:rPr>
          <w:rFonts w:hint="eastAsia"/>
        </w:rPr>
        <w:t>）▲授权委托书（附件</w:t>
      </w:r>
      <w:r>
        <w:rPr>
          <w:rFonts w:hint="eastAsia"/>
          <w:lang w:val="en-US" w:eastAsia="zh-CN"/>
        </w:rPr>
        <w:t>7</w:t>
      </w:r>
      <w:r>
        <w:rPr>
          <w:rFonts w:hint="eastAsia"/>
        </w:rPr>
        <w:t>）</w:t>
      </w:r>
    </w:p>
    <w:p w14:paraId="1DB12477">
      <w:pPr>
        <w:bidi w:val="0"/>
      </w:pPr>
      <w:r>
        <w:rPr>
          <w:rFonts w:hint="eastAsia"/>
        </w:rPr>
        <w:t>（</w:t>
      </w:r>
      <w:r>
        <w:rPr>
          <w:rFonts w:hint="eastAsia"/>
          <w:lang w:val="en-US" w:eastAsia="zh-CN"/>
        </w:rPr>
        <w:t>3</w:t>
      </w:r>
      <w:r>
        <w:rPr>
          <w:rFonts w:hint="eastAsia"/>
        </w:rPr>
        <w:t>）同类项目业绩一览表；（附件</w:t>
      </w:r>
      <w:r>
        <w:rPr>
          <w:rFonts w:hint="eastAsia"/>
          <w:lang w:val="en-US" w:eastAsia="zh-CN"/>
        </w:rPr>
        <w:t>8</w:t>
      </w:r>
      <w:r>
        <w:rPr>
          <w:rFonts w:hint="eastAsia"/>
        </w:rPr>
        <w:t>）</w:t>
      </w:r>
    </w:p>
    <w:p w14:paraId="1D514730">
      <w:pPr>
        <w:bidi w:val="0"/>
        <w:rPr>
          <w:rFonts w:hint="default"/>
          <w:lang w:val="en-US" w:eastAsia="zh-CN"/>
        </w:rPr>
      </w:pPr>
      <w:r>
        <w:rPr>
          <w:rFonts w:hint="eastAsia"/>
          <w:lang w:eastAsia="zh-CN"/>
        </w:rPr>
        <w:t>（</w:t>
      </w:r>
      <w:r>
        <w:rPr>
          <w:rFonts w:hint="eastAsia"/>
          <w:lang w:val="en-US" w:eastAsia="zh-CN"/>
        </w:rPr>
        <w:t>4）</w:t>
      </w:r>
      <w:r>
        <w:t>认证</w:t>
      </w:r>
      <w:r>
        <w:rPr>
          <w:rFonts w:hint="eastAsia"/>
          <w:lang w:val="en-US" w:eastAsia="zh-CN"/>
        </w:rPr>
        <w:t>证书；（格式自拟）</w:t>
      </w:r>
    </w:p>
    <w:p w14:paraId="7BD05993">
      <w:pPr>
        <w:bidi w:val="0"/>
        <w:rPr>
          <w:rFonts w:hint="default"/>
          <w:lang w:val="en-US" w:eastAsia="zh-CN"/>
        </w:rPr>
      </w:pPr>
      <w:r>
        <w:rPr>
          <w:rFonts w:hint="eastAsia"/>
          <w:lang w:eastAsia="zh-CN"/>
        </w:rPr>
        <w:t>（</w:t>
      </w:r>
      <w:r>
        <w:rPr>
          <w:rFonts w:hint="eastAsia"/>
          <w:lang w:val="en-US" w:eastAsia="zh-CN"/>
        </w:rPr>
        <w:t>5）</w:t>
      </w:r>
      <w:r>
        <w:t>服务承诺</w:t>
      </w:r>
      <w:r>
        <w:rPr>
          <w:rFonts w:hint="eastAsia"/>
          <w:lang w:val="en-US" w:eastAsia="zh-CN"/>
        </w:rPr>
        <w:t>；（格式自拟）</w:t>
      </w:r>
    </w:p>
    <w:p w14:paraId="494C1903">
      <w:pPr>
        <w:bidi w:val="0"/>
        <w:rPr>
          <w:rFonts w:hint="default"/>
          <w:lang w:val="en-US"/>
        </w:rPr>
      </w:pPr>
      <w:r>
        <w:rPr>
          <w:rFonts w:hint="eastAsia"/>
        </w:rPr>
        <w:t>（6）</w:t>
      </w:r>
      <w:r>
        <w:rPr>
          <w:rFonts w:hint="default"/>
        </w:rPr>
        <w:t>食堂管理目标、原则及工作思路</w:t>
      </w:r>
      <w:r>
        <w:rPr>
          <w:rFonts w:hint="eastAsia"/>
          <w:lang w:val="en-US" w:eastAsia="zh-CN"/>
        </w:rPr>
        <w:t>；（格式自拟）</w:t>
      </w:r>
    </w:p>
    <w:p w14:paraId="2A9BF732">
      <w:pPr>
        <w:bidi w:val="0"/>
      </w:pPr>
      <w:r>
        <w:rPr>
          <w:rFonts w:hint="eastAsia"/>
        </w:rPr>
        <w:t>（7）</w:t>
      </w:r>
      <w:r>
        <w:rPr>
          <w:rFonts w:hint="default"/>
        </w:rPr>
        <w:t>针对本项目制定的人员管理考核制度</w:t>
      </w:r>
      <w:r>
        <w:rPr>
          <w:rFonts w:hint="eastAsia"/>
          <w:lang w:val="en-US" w:eastAsia="zh-CN"/>
        </w:rPr>
        <w:t>；（格式自拟）</w:t>
      </w:r>
    </w:p>
    <w:p w14:paraId="175ADDDA">
      <w:pPr>
        <w:bidi w:val="0"/>
        <w:rPr>
          <w:lang w:val="zh-CN"/>
        </w:rPr>
      </w:pPr>
      <w:r>
        <w:rPr>
          <w:rFonts w:hint="eastAsia"/>
        </w:rPr>
        <w:t>（8）</w:t>
      </w:r>
      <w:r>
        <w:rPr>
          <w:rFonts w:hint="default"/>
        </w:rPr>
        <w:t>重大活动、突发事件的保障措施</w:t>
      </w:r>
      <w:r>
        <w:rPr>
          <w:rFonts w:hint="eastAsia"/>
          <w:lang w:val="en-US" w:eastAsia="zh-CN"/>
        </w:rPr>
        <w:t>；（格式自拟）</w:t>
      </w:r>
    </w:p>
    <w:p w14:paraId="1EC46E91">
      <w:pPr>
        <w:bidi w:val="0"/>
      </w:pPr>
      <w:r>
        <w:rPr>
          <w:rFonts w:hint="eastAsia"/>
        </w:rPr>
        <w:t>（9）</w:t>
      </w:r>
      <w:r>
        <w:t>食堂管理服务方案</w:t>
      </w:r>
      <w:r>
        <w:rPr>
          <w:rFonts w:hint="eastAsia"/>
          <w:lang w:val="en-US" w:eastAsia="zh-CN"/>
        </w:rPr>
        <w:t>；（格式自拟）</w:t>
      </w:r>
    </w:p>
    <w:p w14:paraId="0DA87558">
      <w:pPr>
        <w:bidi w:val="0"/>
        <w:rPr>
          <w:rFonts w:hint="eastAsia"/>
        </w:rPr>
      </w:pPr>
      <w:r>
        <w:rPr>
          <w:rFonts w:hint="eastAsia"/>
        </w:rPr>
        <w:t>（10）</w:t>
      </w:r>
      <w:r>
        <w:t>拟投入本项目的人员安排分配情况</w:t>
      </w:r>
      <w:r>
        <w:rPr>
          <w:rFonts w:hint="eastAsia"/>
          <w:lang w:val="en-US" w:eastAsia="zh-CN"/>
        </w:rPr>
        <w:t>；（格式自拟）</w:t>
      </w:r>
    </w:p>
    <w:p w14:paraId="04505F97">
      <w:pPr>
        <w:bidi w:val="0"/>
        <w:rPr>
          <w:rFonts w:hint="eastAsia"/>
          <w:lang w:val="en-US" w:eastAsia="zh-CN"/>
        </w:rPr>
      </w:pPr>
      <w:r>
        <w:rPr>
          <w:rFonts w:hint="eastAsia"/>
          <w:lang w:eastAsia="zh-CN"/>
        </w:rPr>
        <w:t>（</w:t>
      </w:r>
      <w:r>
        <w:rPr>
          <w:rFonts w:hint="eastAsia"/>
          <w:lang w:val="en-US" w:eastAsia="zh-CN"/>
        </w:rPr>
        <w:t>11）</w:t>
      </w:r>
      <w:r>
        <w:t>菜谱制定</w:t>
      </w:r>
      <w:r>
        <w:rPr>
          <w:rFonts w:hint="eastAsia"/>
          <w:lang w:val="en-US" w:eastAsia="zh-CN"/>
        </w:rPr>
        <w:t>；（格式自拟）</w:t>
      </w:r>
    </w:p>
    <w:p w14:paraId="3E361FB5">
      <w:pPr>
        <w:bidi w:val="0"/>
        <w:rPr>
          <w:rFonts w:hint="eastAsia"/>
          <w:lang w:val="en-US" w:eastAsia="zh-CN"/>
        </w:rPr>
      </w:pPr>
      <w:r>
        <w:rPr>
          <w:rFonts w:hint="eastAsia"/>
          <w:lang w:val="en-US" w:eastAsia="zh-CN"/>
        </w:rPr>
        <w:t>（12）</w:t>
      </w:r>
      <w:r>
        <w:t>安全预防及投诉处理方案</w:t>
      </w:r>
      <w:r>
        <w:rPr>
          <w:rFonts w:hint="eastAsia"/>
          <w:lang w:val="en-US" w:eastAsia="zh-CN"/>
        </w:rPr>
        <w:t>；（格式自拟）</w:t>
      </w:r>
    </w:p>
    <w:p w14:paraId="46060F72">
      <w:pPr>
        <w:bidi w:val="0"/>
        <w:rPr>
          <w:rFonts w:hint="eastAsia"/>
          <w:lang w:val="en-US" w:eastAsia="zh-CN"/>
        </w:rPr>
      </w:pPr>
      <w:r>
        <w:rPr>
          <w:rFonts w:hint="eastAsia"/>
          <w:lang w:val="en-US" w:eastAsia="zh-CN"/>
        </w:rPr>
        <w:t>（13）</w:t>
      </w:r>
      <w:r>
        <w:rPr>
          <w:rFonts w:hint="eastAsia"/>
        </w:rPr>
        <w:t>合理化建议</w:t>
      </w:r>
      <w:r>
        <w:rPr>
          <w:rFonts w:hint="eastAsia"/>
          <w:lang w:val="en-US" w:eastAsia="zh-CN"/>
        </w:rPr>
        <w:t>；（格式自拟）</w:t>
      </w:r>
    </w:p>
    <w:p w14:paraId="27799FB8">
      <w:pPr>
        <w:bidi w:val="0"/>
        <w:rPr>
          <w:rFonts w:hint="eastAsia"/>
          <w:lang w:val="en-US" w:eastAsia="zh-CN"/>
        </w:rPr>
      </w:pPr>
      <w:r>
        <w:rPr>
          <w:rFonts w:hint="eastAsia"/>
          <w:lang w:val="en-US" w:eastAsia="zh-CN"/>
        </w:rPr>
        <w:t>（14）</w:t>
      </w:r>
      <w:r>
        <w:t>应急预案</w:t>
      </w:r>
      <w:r>
        <w:rPr>
          <w:rFonts w:hint="eastAsia"/>
          <w:lang w:val="en-US" w:eastAsia="zh-CN"/>
        </w:rPr>
        <w:t>；（格式自拟）</w:t>
      </w:r>
    </w:p>
    <w:p w14:paraId="63F3C798">
      <w:pPr>
        <w:bidi w:val="0"/>
        <w:rPr>
          <w:rFonts w:ascii="宋体" w:hAnsi="宋体" w:cs="宋体"/>
          <w:color w:val="000000" w:themeColor="text1"/>
        </w:rPr>
      </w:pPr>
      <w:r>
        <w:rPr>
          <w:rFonts w:hint="eastAsia"/>
        </w:rPr>
        <w:t>投标人承诺给予采购人的各种优惠条件（如</w:t>
      </w:r>
      <w:r>
        <w:rPr>
          <w:rFonts w:hint="eastAsia" w:ascii="宋体" w:hAnsi="宋体" w:cs="宋体"/>
          <w:color w:val="000000" w:themeColor="text1"/>
        </w:rPr>
        <w:t>有，优惠条件事项不能包括采购项目本身所包括涉及的采购事项。投标人不能以“赠送、赠予”等任何名义提供货物和服务以规避招标文件的约束。否则，投标人提供的投标文件将作为无效投标处理，即使中标也将取消中标资格）</w:t>
      </w:r>
    </w:p>
    <w:p w14:paraId="379EFFF3">
      <w:pPr>
        <w:pStyle w:val="28"/>
        <w:spacing w:after="0"/>
        <w:ind w:firstLine="480"/>
        <w:rPr>
          <w:rFonts w:ascii="宋体" w:hAnsi="宋体" w:cs="宋体"/>
          <w:color w:val="000000" w:themeColor="text1"/>
        </w:rPr>
      </w:pPr>
      <w:r>
        <w:rPr>
          <w:rFonts w:hint="eastAsia" w:ascii="宋体" w:hAnsi="宋体" w:cs="宋体"/>
          <w:color w:val="000000" w:themeColor="text1"/>
        </w:rPr>
        <w:t>19.2.3</w:t>
      </w:r>
      <w:r>
        <w:rPr>
          <w:rFonts w:hint="eastAsia" w:ascii="宋体" w:hAnsi="宋体" w:cs="宋体"/>
          <w:color w:val="000000" w:themeColor="text1"/>
          <w:lang w:val="en-US" w:eastAsia="zh-CN"/>
        </w:rPr>
        <w:t>报价</w:t>
      </w:r>
      <w:r>
        <w:rPr>
          <w:rFonts w:hint="eastAsia" w:ascii="宋体" w:hAnsi="宋体" w:cs="宋体"/>
          <w:color w:val="000000" w:themeColor="text1"/>
        </w:rPr>
        <w:t>文件</w:t>
      </w:r>
    </w:p>
    <w:p w14:paraId="63D5EA3C">
      <w:pPr>
        <w:bidi w:val="0"/>
      </w:pPr>
      <w:r>
        <w:rPr>
          <w:rFonts w:hint="eastAsia"/>
          <w:lang w:eastAsia="zh-CN"/>
        </w:rPr>
        <w:t>（</w:t>
      </w:r>
      <w:r>
        <w:rPr>
          <w:rFonts w:hint="eastAsia"/>
          <w:lang w:val="en-US" w:eastAsia="zh-CN"/>
        </w:rPr>
        <w:t>1）</w:t>
      </w:r>
      <w:r>
        <w:rPr>
          <w:rFonts w:hint="eastAsia"/>
        </w:rPr>
        <w:t>▲报价一览表（附件</w:t>
      </w:r>
      <w:r>
        <w:rPr>
          <w:rFonts w:hint="eastAsia"/>
          <w:lang w:val="en-US" w:eastAsia="zh-CN"/>
        </w:rPr>
        <w:t>9</w:t>
      </w:r>
      <w:r>
        <w:rPr>
          <w:rFonts w:hint="eastAsia"/>
        </w:rPr>
        <w:t>）</w:t>
      </w:r>
    </w:p>
    <w:p w14:paraId="0B67915B">
      <w:pPr>
        <w:pStyle w:val="14"/>
        <w:spacing w:line="312" w:lineRule="auto"/>
        <w:ind w:firstLine="480" w:firstLineChars="200"/>
        <w:jc w:val="left"/>
        <w:rPr>
          <w:rFonts w:hAnsi="宋体" w:cs="宋体"/>
          <w:color w:val="000000" w:themeColor="text1"/>
          <w:sz w:val="24"/>
        </w:rPr>
      </w:pPr>
      <w:r>
        <w:rPr>
          <w:rFonts w:hint="eastAsia" w:hAnsi="宋体" w:cs="宋体"/>
          <w:color w:val="000000" w:themeColor="text1"/>
          <w:sz w:val="24"/>
        </w:rPr>
        <w:t>以上文件组成投标文件。投标方应对招标文件做出实质性响应，该项内容将作为投标的重要指标。一旦开标后，经审核确定投标资格和技术能力不能响应招标文件要求，则投标方即刻被废标或被拒绝进入商务报价阶段。</w:t>
      </w:r>
    </w:p>
    <w:p w14:paraId="14626225">
      <w:pPr>
        <w:ind w:firstLine="480"/>
        <w:rPr>
          <w:rFonts w:ascii="宋体" w:hAnsi="宋体" w:cs="宋体"/>
          <w:color w:val="000000" w:themeColor="text1"/>
        </w:rPr>
      </w:pPr>
      <w:r>
        <w:rPr>
          <w:rFonts w:hint="eastAsia" w:ascii="宋体" w:hAnsi="宋体" w:cs="宋体"/>
          <w:color w:val="000000" w:themeColor="text1"/>
        </w:rPr>
        <w:t>20.投标报价</w:t>
      </w:r>
    </w:p>
    <w:p w14:paraId="29922FCA">
      <w:pPr>
        <w:ind w:firstLine="480"/>
        <w:rPr>
          <w:rFonts w:ascii="宋体" w:hAnsi="宋体" w:cs="宋体"/>
          <w:color w:val="000000" w:themeColor="text1"/>
        </w:rPr>
      </w:pPr>
      <w:r>
        <w:rPr>
          <w:rFonts w:hint="eastAsia" w:ascii="宋体" w:hAnsi="宋体" w:cs="宋体"/>
          <w:color w:val="000000" w:themeColor="text1"/>
        </w:rPr>
        <w:t>20.1最高限价：详见投标人须知前附表，投标报价高于最高限价的为无效报价。</w:t>
      </w:r>
    </w:p>
    <w:p w14:paraId="36D9D779">
      <w:pPr>
        <w:ind w:firstLine="480"/>
        <w:rPr>
          <w:rFonts w:ascii="宋体" w:hAnsi="宋体" w:cs="宋体"/>
          <w:color w:val="000000" w:themeColor="text1"/>
        </w:rPr>
      </w:pPr>
      <w:r>
        <w:rPr>
          <w:rFonts w:hint="eastAsia" w:ascii="宋体" w:hAnsi="宋体" w:cs="宋体"/>
          <w:color w:val="000000" w:themeColor="text1"/>
        </w:rPr>
        <w:t>20.2投标报价范围：见投标人须知前附表。</w:t>
      </w:r>
    </w:p>
    <w:p w14:paraId="531678FA">
      <w:pPr>
        <w:ind w:firstLine="480"/>
        <w:rPr>
          <w:rFonts w:ascii="宋体" w:hAnsi="宋体" w:cs="宋体"/>
          <w:color w:val="000000" w:themeColor="text1"/>
        </w:rPr>
      </w:pPr>
      <w:r>
        <w:rPr>
          <w:rFonts w:hint="eastAsia" w:ascii="宋体" w:hAnsi="宋体" w:cs="宋体"/>
          <w:color w:val="000000" w:themeColor="text1"/>
        </w:rPr>
        <w:t>20.3投标报价次数：见投标人须知前附表。</w:t>
      </w:r>
    </w:p>
    <w:p w14:paraId="4E3BEE21">
      <w:pPr>
        <w:ind w:firstLine="480"/>
        <w:rPr>
          <w:rFonts w:ascii="宋体" w:hAnsi="宋体" w:cs="宋体"/>
          <w:color w:val="000000" w:themeColor="text1"/>
        </w:rPr>
      </w:pPr>
      <w:r>
        <w:rPr>
          <w:rFonts w:hint="eastAsia" w:ascii="宋体" w:hAnsi="宋体" w:cs="宋体"/>
          <w:color w:val="000000" w:themeColor="text1"/>
        </w:rPr>
        <w:t>20.4投标报价只允许有一个报价，有选择的或有条件的报价均不予接受。</w:t>
      </w:r>
    </w:p>
    <w:p w14:paraId="284DC9CD">
      <w:pPr>
        <w:ind w:firstLine="480"/>
        <w:rPr>
          <w:rFonts w:ascii="宋体" w:hAnsi="宋体" w:cs="宋体"/>
          <w:color w:val="000000" w:themeColor="text1"/>
        </w:rPr>
      </w:pPr>
      <w:r>
        <w:rPr>
          <w:rFonts w:hint="eastAsia" w:ascii="宋体" w:hAnsi="宋体" w:cs="宋体"/>
          <w:color w:val="000000" w:themeColor="text1"/>
        </w:rPr>
        <w:t>21.投标文件格式</w:t>
      </w:r>
    </w:p>
    <w:p w14:paraId="0442E93E">
      <w:pPr>
        <w:ind w:firstLine="480"/>
        <w:rPr>
          <w:rFonts w:ascii="宋体" w:hAnsi="宋体" w:cs="宋体"/>
          <w:color w:val="000000" w:themeColor="text1"/>
        </w:rPr>
      </w:pPr>
      <w:r>
        <w:rPr>
          <w:rFonts w:hint="eastAsia" w:ascii="宋体" w:hAnsi="宋体" w:cs="宋体"/>
          <w:color w:val="000000" w:themeColor="text1"/>
        </w:rPr>
        <w:t>21.1招标文件提供固定格式的，投标人须按照固定格式制作投标文件，详见本招标文件第七章。</w:t>
      </w:r>
    </w:p>
    <w:p w14:paraId="6795E945">
      <w:pPr>
        <w:ind w:firstLine="480"/>
        <w:rPr>
          <w:rFonts w:ascii="宋体" w:hAnsi="宋体" w:cs="宋体"/>
          <w:color w:val="000000" w:themeColor="text1"/>
        </w:rPr>
      </w:pPr>
      <w:r>
        <w:rPr>
          <w:rFonts w:hint="eastAsia" w:ascii="宋体" w:hAnsi="宋体" w:cs="宋体"/>
          <w:color w:val="000000" w:themeColor="text1"/>
        </w:rPr>
        <w:t>21.2招标文件没有格式要求的由投标人自行编写。</w:t>
      </w:r>
    </w:p>
    <w:p w14:paraId="0274EEA7">
      <w:pPr>
        <w:ind w:firstLine="480"/>
        <w:rPr>
          <w:rFonts w:ascii="宋体" w:hAnsi="宋体" w:cs="宋体"/>
          <w:color w:val="000000" w:themeColor="text1"/>
        </w:rPr>
      </w:pPr>
      <w:r>
        <w:rPr>
          <w:rFonts w:hint="eastAsia" w:ascii="宋体" w:hAnsi="宋体" w:cs="宋体"/>
          <w:color w:val="000000" w:themeColor="text1"/>
        </w:rPr>
        <w:t>22.投标文件制作、加密和提交</w:t>
      </w:r>
    </w:p>
    <w:p w14:paraId="7E691403">
      <w:pPr>
        <w:ind w:firstLine="480"/>
        <w:rPr>
          <w:rFonts w:ascii="宋体" w:hAnsi="宋体" w:cs="宋体"/>
          <w:color w:val="000000" w:themeColor="text1"/>
        </w:rPr>
      </w:pPr>
      <w:r>
        <w:rPr>
          <w:rFonts w:hint="eastAsia" w:ascii="宋体" w:hAnsi="宋体" w:cs="宋体"/>
          <w:color w:val="000000" w:themeColor="text1"/>
        </w:rPr>
        <w:t>22.1▲制作、加密和提交：按投标人须知前附表要求。</w:t>
      </w:r>
    </w:p>
    <w:p w14:paraId="08D7EE7C">
      <w:pPr>
        <w:ind w:firstLine="480"/>
        <w:rPr>
          <w:rFonts w:ascii="宋体" w:hAnsi="宋体" w:cs="宋体"/>
          <w:color w:val="000000" w:themeColor="text1"/>
        </w:rPr>
      </w:pPr>
      <w:r>
        <w:rPr>
          <w:rFonts w:hint="eastAsia" w:ascii="宋体" w:hAnsi="宋体" w:cs="宋体"/>
          <w:color w:val="000000" w:themeColor="text1"/>
        </w:rPr>
        <w:t>22.2▲签章：招标文件注明需签字盖章部位、资格商务证明材料扫描件，以及任何行间插字、涂改或增删位置和澄清说明函等均须采用CA电子签章。</w:t>
      </w:r>
    </w:p>
    <w:p w14:paraId="6E1AC7A6">
      <w:pPr>
        <w:ind w:firstLine="480"/>
        <w:rPr>
          <w:rFonts w:ascii="宋体" w:hAnsi="宋体" w:cs="宋体"/>
          <w:color w:val="000000" w:themeColor="text1"/>
        </w:rPr>
      </w:pPr>
      <w:r>
        <w:rPr>
          <w:rFonts w:hint="eastAsia" w:ascii="宋体" w:hAnsi="宋体" w:cs="宋体"/>
          <w:color w:val="000000" w:themeColor="text1"/>
        </w:rPr>
        <w:t>23.备份投标文件制作、密封和提交</w:t>
      </w:r>
    </w:p>
    <w:p w14:paraId="3B1D4AE2">
      <w:pPr>
        <w:ind w:firstLine="480"/>
        <w:rPr>
          <w:rFonts w:ascii="宋体" w:hAnsi="宋体" w:cs="宋体"/>
          <w:color w:val="000000" w:themeColor="text1"/>
        </w:rPr>
      </w:pPr>
      <w:r>
        <w:rPr>
          <w:rFonts w:hint="eastAsia" w:ascii="宋体" w:hAnsi="宋体" w:cs="宋体"/>
          <w:color w:val="000000" w:themeColor="text1"/>
        </w:rPr>
        <w:t>制作、密封和提交详见投标人须知前附表。</w:t>
      </w:r>
    </w:p>
    <w:p w14:paraId="7DAC15F9">
      <w:pPr>
        <w:ind w:firstLine="480"/>
        <w:rPr>
          <w:rFonts w:ascii="宋体" w:hAnsi="宋体" w:cs="宋体"/>
          <w:color w:val="000000" w:themeColor="text1"/>
        </w:rPr>
      </w:pPr>
      <w:r>
        <w:rPr>
          <w:rFonts w:hint="eastAsia" w:ascii="宋体" w:hAnsi="宋体" w:cs="宋体"/>
          <w:color w:val="000000" w:themeColor="text1"/>
        </w:rPr>
        <w:t>24.修改与撤回</w:t>
      </w:r>
    </w:p>
    <w:p w14:paraId="6F61DDF6">
      <w:pPr>
        <w:ind w:firstLine="480"/>
        <w:rPr>
          <w:rFonts w:ascii="宋体" w:hAnsi="宋体" w:cs="宋体"/>
          <w:color w:val="000000" w:themeColor="text1"/>
        </w:rPr>
      </w:pPr>
      <w:r>
        <w:rPr>
          <w:rFonts w:hint="eastAsia" w:ascii="宋体" w:hAnsi="宋体" w:cs="宋体"/>
          <w:color w:val="000000" w:themeColor="text1"/>
        </w:rPr>
        <w:t>24.1在响应截止时间前投标人可以对已提交投标文件进行补充、修改或撤回，补充或者修改投标文件的，应当先行撤回原文件，补充、修改后重新传输递交。响应截止时间前未完成传输的，视为撤回投标文件。响应截止时间后递交的投标文件，政采云平台拒收。</w:t>
      </w:r>
    </w:p>
    <w:p w14:paraId="199CA41D">
      <w:pPr>
        <w:ind w:firstLine="480"/>
        <w:rPr>
          <w:rFonts w:ascii="宋体" w:hAnsi="宋体" w:cs="宋体"/>
          <w:color w:val="000000" w:themeColor="text1"/>
        </w:rPr>
      </w:pPr>
      <w:r>
        <w:rPr>
          <w:rFonts w:hint="eastAsia" w:ascii="宋体" w:hAnsi="宋体" w:cs="宋体"/>
          <w:color w:val="000000" w:themeColor="text1"/>
        </w:rPr>
        <w:t>24.2响应截止时间后，投标人不得撤回、修改投标文件。</w:t>
      </w:r>
    </w:p>
    <w:p w14:paraId="44704AE8">
      <w:pPr>
        <w:ind w:firstLine="480"/>
        <w:rPr>
          <w:rFonts w:ascii="宋体" w:hAnsi="宋体" w:cs="宋体"/>
          <w:color w:val="000000" w:themeColor="text1"/>
          <w:sz w:val="21"/>
          <w:szCs w:val="21"/>
        </w:rPr>
      </w:pPr>
      <w:r>
        <w:rPr>
          <w:rFonts w:hint="eastAsia" w:ascii="宋体" w:hAnsi="宋体" w:cs="宋体"/>
          <w:color w:val="000000" w:themeColor="text1"/>
        </w:rPr>
        <w:t>24.3修改后重新提交的投标文件应当符合上述第22条、第23条规定。</w:t>
      </w:r>
    </w:p>
    <w:p w14:paraId="1C5F3540">
      <w:pPr>
        <w:pStyle w:val="4"/>
        <w:rPr>
          <w:color w:val="000000" w:themeColor="text1"/>
        </w:rPr>
      </w:pPr>
      <w:bookmarkStart w:id="97" w:name="_Toc28821"/>
      <w:r>
        <w:rPr>
          <w:color w:val="000000" w:themeColor="text1"/>
        </w:rPr>
        <w:t>四</w:t>
      </w:r>
      <w:r>
        <w:rPr>
          <w:rFonts w:hint="eastAsia"/>
          <w:color w:val="000000" w:themeColor="text1"/>
        </w:rPr>
        <w:t>、开标</w:t>
      </w:r>
      <w:bookmarkEnd w:id="97"/>
    </w:p>
    <w:p w14:paraId="78887000">
      <w:pPr>
        <w:ind w:firstLine="480"/>
        <w:rPr>
          <w:color w:val="000000" w:themeColor="text1"/>
        </w:rPr>
      </w:pPr>
      <w:r>
        <w:rPr>
          <w:rFonts w:hint="eastAsia"/>
          <w:color w:val="000000" w:themeColor="text1"/>
        </w:rPr>
        <w:t>25.开标时间及地点</w:t>
      </w:r>
    </w:p>
    <w:p w14:paraId="01A86498">
      <w:pPr>
        <w:ind w:firstLine="480"/>
        <w:rPr>
          <w:color w:val="000000" w:themeColor="text1"/>
        </w:rPr>
      </w:pPr>
      <w:r>
        <w:rPr>
          <w:rFonts w:hint="eastAsia"/>
          <w:color w:val="000000" w:themeColor="text1"/>
        </w:rPr>
        <w:t>采购组织机构按照投标人须知前附表规定的开标时间及地点进行公开开标。</w:t>
      </w:r>
    </w:p>
    <w:p w14:paraId="3C0D1869">
      <w:pPr>
        <w:ind w:firstLine="480"/>
        <w:rPr>
          <w:color w:val="000000" w:themeColor="text1"/>
        </w:rPr>
      </w:pPr>
      <w:r>
        <w:rPr>
          <w:rFonts w:hint="eastAsia"/>
          <w:color w:val="000000" w:themeColor="text1"/>
        </w:rPr>
        <w:t>26.开评标程序</w:t>
      </w:r>
    </w:p>
    <w:p w14:paraId="7B072C86">
      <w:pPr>
        <w:ind w:firstLine="480"/>
        <w:rPr>
          <w:color w:val="000000" w:themeColor="text1"/>
        </w:rPr>
      </w:pPr>
      <w:r>
        <w:rPr>
          <w:rFonts w:hint="eastAsia"/>
          <w:color w:val="000000" w:themeColor="text1"/>
        </w:rPr>
        <w:t>26.1本项目原则上采用政采云电子招投标开标及评审程序。若投标人的投标文件因非自身原因在规定时间内无法解密或解密失败，工作人员将开启该投标人提交的备份投标文件，以完成开标。</w:t>
      </w:r>
    </w:p>
    <w:p w14:paraId="48F86E76">
      <w:pPr>
        <w:ind w:firstLine="480"/>
        <w:rPr>
          <w:color w:val="000000" w:themeColor="text1"/>
        </w:rPr>
      </w:pPr>
      <w:r>
        <w:rPr>
          <w:rFonts w:hint="eastAsia"/>
          <w:color w:val="000000" w:themeColor="text1"/>
        </w:rPr>
        <w:t>26.2电子投标开标及评审程序</w:t>
      </w:r>
    </w:p>
    <w:p w14:paraId="076C9056">
      <w:pPr>
        <w:ind w:firstLine="480"/>
        <w:rPr>
          <w:color w:val="000000" w:themeColor="text1"/>
        </w:rPr>
      </w:pPr>
      <w:r>
        <w:rPr>
          <w:rFonts w:hint="eastAsia"/>
          <w:color w:val="000000" w:themeColor="text1"/>
        </w:rPr>
        <w:t>（1）开启投标文件，投标截止时间后，投标人登录政采云平台，用“项目采购-开标评标”功能对电子投标文件进行在线解密。</w:t>
      </w:r>
    </w:p>
    <w:p w14:paraId="4C765A67">
      <w:pPr>
        <w:ind w:firstLine="480"/>
        <w:rPr>
          <w:color w:val="000000" w:themeColor="text1"/>
        </w:rPr>
      </w:pPr>
      <w:r>
        <w:rPr>
          <w:rFonts w:hint="eastAsia"/>
          <w:color w:val="000000" w:themeColor="text1"/>
        </w:rPr>
        <w:t>（2）由评标委员会对投标人资格进行审查和商务部分评审。</w:t>
      </w:r>
    </w:p>
    <w:p w14:paraId="25BE4BB8">
      <w:pPr>
        <w:ind w:firstLine="480"/>
        <w:rPr>
          <w:color w:val="000000" w:themeColor="text1"/>
        </w:rPr>
      </w:pPr>
      <w:r>
        <w:rPr>
          <w:rFonts w:hint="eastAsia"/>
          <w:color w:val="000000" w:themeColor="text1"/>
        </w:rPr>
        <w:t>（3）在系统上公开资格审查和商务评审结果。</w:t>
      </w:r>
    </w:p>
    <w:p w14:paraId="6C85A1B4">
      <w:pPr>
        <w:ind w:firstLine="480"/>
        <w:rPr>
          <w:color w:val="000000" w:themeColor="text1"/>
        </w:rPr>
      </w:pPr>
      <w:r>
        <w:rPr>
          <w:rFonts w:hint="eastAsia"/>
          <w:color w:val="000000" w:themeColor="text1"/>
        </w:rPr>
        <w:t>（4）在系统上公开投标人报价。</w:t>
      </w:r>
    </w:p>
    <w:p w14:paraId="054FB8DB">
      <w:pPr>
        <w:ind w:firstLine="480"/>
        <w:rPr>
          <w:color w:val="000000" w:themeColor="text1"/>
        </w:rPr>
      </w:pPr>
      <w:r>
        <w:rPr>
          <w:rFonts w:hint="eastAsia"/>
          <w:color w:val="000000" w:themeColor="text1"/>
        </w:rPr>
        <w:t>（5）由评标委员会对报价文件进行评审。</w:t>
      </w:r>
    </w:p>
    <w:p w14:paraId="49BA8CB4">
      <w:pPr>
        <w:ind w:firstLine="480"/>
        <w:rPr>
          <w:color w:val="000000" w:themeColor="text1"/>
        </w:rPr>
      </w:pPr>
      <w:r>
        <w:rPr>
          <w:rFonts w:hint="eastAsia"/>
          <w:color w:val="000000" w:themeColor="text1"/>
        </w:rPr>
        <w:t>（6）在系统上公布评审结果。</w:t>
      </w:r>
    </w:p>
    <w:p w14:paraId="7424FCB3">
      <w:pPr>
        <w:ind w:firstLine="480"/>
        <w:rPr>
          <w:color w:val="000000" w:themeColor="text1"/>
        </w:rPr>
      </w:pPr>
      <w:r>
        <w:rPr>
          <w:rFonts w:hint="eastAsia"/>
          <w:color w:val="000000" w:themeColor="text1"/>
        </w:rPr>
        <w:t>注：政采云公司如对电子化开标及评审程序有调整的，按调整后的程序操作。</w:t>
      </w:r>
    </w:p>
    <w:p w14:paraId="26DBB02A">
      <w:pPr>
        <w:ind w:firstLine="480"/>
        <w:rPr>
          <w:rFonts w:ascii="宋体" w:hAnsi="宋体" w:cs="宋体"/>
          <w:color w:val="000000" w:themeColor="text1"/>
          <w:szCs w:val="21"/>
        </w:rPr>
      </w:pPr>
      <w:r>
        <w:rPr>
          <w:rFonts w:hint="eastAsia"/>
          <w:color w:val="000000" w:themeColor="text1"/>
        </w:rPr>
        <w:t>26.3开标会议结束。</w:t>
      </w:r>
    </w:p>
    <w:p w14:paraId="7EC9A638">
      <w:pPr>
        <w:pStyle w:val="4"/>
        <w:rPr>
          <w:color w:val="000000" w:themeColor="text1"/>
        </w:rPr>
      </w:pPr>
      <w:bookmarkStart w:id="98" w:name="_Toc28808"/>
      <w:bookmarkStart w:id="99" w:name="_Toc26039"/>
      <w:bookmarkStart w:id="100" w:name="_Toc18327"/>
      <w:bookmarkStart w:id="101" w:name="_Toc18925"/>
      <w:bookmarkStart w:id="102" w:name="_Toc8659"/>
      <w:bookmarkStart w:id="103" w:name="_Toc19539"/>
      <w:bookmarkStart w:id="104" w:name="_Toc13658"/>
      <w:bookmarkStart w:id="105" w:name="_Toc5384"/>
      <w:bookmarkStart w:id="106" w:name="_Toc24840"/>
      <w:bookmarkStart w:id="107" w:name="_Toc22776"/>
      <w:bookmarkStart w:id="108" w:name="_Toc9789"/>
      <w:bookmarkStart w:id="109" w:name="_Toc31543"/>
      <w:bookmarkStart w:id="110" w:name="_Toc15320"/>
      <w:bookmarkStart w:id="111" w:name="_Toc17465"/>
      <w:r>
        <w:rPr>
          <w:rFonts w:hint="eastAsia"/>
          <w:color w:val="000000" w:themeColor="text1"/>
          <w:lang w:val="zh-CN"/>
        </w:rPr>
        <w:t>五、</w:t>
      </w:r>
      <w:bookmarkEnd w:id="98"/>
      <w:bookmarkEnd w:id="99"/>
      <w:bookmarkEnd w:id="100"/>
      <w:bookmarkEnd w:id="101"/>
      <w:bookmarkEnd w:id="102"/>
      <w:bookmarkEnd w:id="103"/>
      <w:bookmarkEnd w:id="104"/>
      <w:bookmarkEnd w:id="105"/>
      <w:bookmarkEnd w:id="106"/>
      <w:bookmarkEnd w:id="107"/>
      <w:bookmarkEnd w:id="108"/>
      <w:bookmarkEnd w:id="109"/>
      <w:bookmarkEnd w:id="110"/>
      <w:r>
        <w:rPr>
          <w:rFonts w:hint="eastAsia"/>
          <w:color w:val="000000" w:themeColor="text1"/>
          <w:lang w:val="zh-CN"/>
        </w:rPr>
        <w:t>评标</w:t>
      </w:r>
      <w:bookmarkEnd w:id="111"/>
    </w:p>
    <w:p w14:paraId="01675070">
      <w:pPr>
        <w:ind w:firstLine="480"/>
        <w:rPr>
          <w:color w:val="000000" w:themeColor="text1"/>
        </w:rPr>
      </w:pPr>
      <w:r>
        <w:rPr>
          <w:rFonts w:hint="eastAsia"/>
          <w:color w:val="000000" w:themeColor="text1"/>
        </w:rPr>
        <w:t>27.评标委员会的组建及其评审、评标工作按照有关法律制度和本文件第六章的规定进行。</w:t>
      </w:r>
    </w:p>
    <w:p w14:paraId="4D6A6F24">
      <w:pPr>
        <w:pStyle w:val="4"/>
        <w:rPr>
          <w:color w:val="000000" w:themeColor="text1"/>
        </w:rPr>
      </w:pPr>
      <w:bookmarkStart w:id="112" w:name="_Toc22005"/>
      <w:r>
        <w:rPr>
          <w:rFonts w:hint="eastAsia"/>
          <w:color w:val="000000" w:themeColor="text1"/>
        </w:rPr>
        <w:t>六、定标</w:t>
      </w:r>
      <w:bookmarkEnd w:id="112"/>
    </w:p>
    <w:p w14:paraId="30970EE7">
      <w:pPr>
        <w:ind w:firstLine="480"/>
        <w:rPr>
          <w:color w:val="000000" w:themeColor="text1"/>
        </w:rPr>
      </w:pPr>
      <w:r>
        <w:rPr>
          <w:rFonts w:hint="eastAsia"/>
          <w:color w:val="000000" w:themeColor="text1"/>
        </w:rPr>
        <w:t>28.确定中标人</w:t>
      </w:r>
    </w:p>
    <w:p w14:paraId="4509A2D6">
      <w:pPr>
        <w:ind w:firstLine="480"/>
        <w:rPr>
          <w:color w:val="000000" w:themeColor="text1"/>
        </w:rPr>
      </w:pPr>
      <w:r>
        <w:rPr>
          <w:rFonts w:hint="eastAsia"/>
          <w:color w:val="000000" w:themeColor="text1"/>
        </w:rPr>
        <w:t>28.1采购代理机构自评审结束后2个工作日内将评标报告及有关资料送交采购人。</w:t>
      </w:r>
    </w:p>
    <w:p w14:paraId="161B799A">
      <w:pPr>
        <w:ind w:firstLine="480"/>
        <w:rPr>
          <w:color w:val="000000" w:themeColor="text1"/>
        </w:rPr>
      </w:pPr>
      <w:r>
        <w:rPr>
          <w:rFonts w:hint="eastAsia"/>
          <w:color w:val="000000" w:themeColor="text1"/>
        </w:rPr>
        <w:t>28.2采购人应当自收到评审报告及有关资料之日起5个工作日内在评审报告推荐的中标候选人中，按照得分由高到低排序确定1家中标人。但出现下列情形之一的，采购单位可以直接确定排名第二的候选人为中标人。（1）排名第一的候选人，因自身原因放弃中标或因不可抗力不能履行合同的；（2）经质疑，采购人或采购代理机构审查确认因排名第一的候选人在本次采购活动中存在违法违规行为或其他原因使质疑成立的。采购人逾期未确定中标候选人且不提出异议的，视为确定评审报告提出的排序第一的投标人为中标候选人。</w:t>
      </w:r>
    </w:p>
    <w:p w14:paraId="5C1D90C6">
      <w:pPr>
        <w:ind w:firstLine="480"/>
        <w:rPr>
          <w:color w:val="000000" w:themeColor="text1"/>
        </w:rPr>
      </w:pPr>
      <w:r>
        <w:rPr>
          <w:rFonts w:hint="eastAsia"/>
          <w:color w:val="000000" w:themeColor="text1"/>
        </w:rPr>
        <w:t>28.3采购人确定中标人过程中，发现中标人有下列情形之一的，应当不予确定其为中标人：</w:t>
      </w:r>
    </w:p>
    <w:p w14:paraId="65489952">
      <w:pPr>
        <w:ind w:firstLine="480"/>
        <w:rPr>
          <w:color w:val="000000" w:themeColor="text1"/>
        </w:rPr>
      </w:pPr>
      <w:r>
        <w:rPr>
          <w:rFonts w:hint="eastAsia"/>
          <w:color w:val="000000" w:themeColor="text1"/>
        </w:rPr>
        <w:t>（1）发现中标人存在禁止参加本项目采购活动的违法行为的；</w:t>
      </w:r>
    </w:p>
    <w:p w14:paraId="4A538FFD">
      <w:pPr>
        <w:ind w:firstLine="480"/>
        <w:rPr>
          <w:color w:val="000000" w:themeColor="text1"/>
        </w:rPr>
      </w:pPr>
      <w:r>
        <w:rPr>
          <w:rFonts w:hint="eastAsia"/>
          <w:color w:val="000000" w:themeColor="text1"/>
        </w:rPr>
        <w:t>（2）中标人因不可抗力，不能继续参加政府采购活动的；</w:t>
      </w:r>
    </w:p>
    <w:p w14:paraId="18B705A5">
      <w:pPr>
        <w:ind w:firstLine="480"/>
        <w:rPr>
          <w:color w:val="000000" w:themeColor="text1"/>
        </w:rPr>
      </w:pPr>
      <w:r>
        <w:rPr>
          <w:rFonts w:hint="eastAsia"/>
          <w:color w:val="000000" w:themeColor="text1"/>
        </w:rPr>
        <w:t>（3）中标人提供虚假材料的；</w:t>
      </w:r>
    </w:p>
    <w:p w14:paraId="60FCF8AA">
      <w:pPr>
        <w:ind w:firstLine="480"/>
        <w:rPr>
          <w:color w:val="000000" w:themeColor="text1"/>
        </w:rPr>
      </w:pPr>
      <w:r>
        <w:rPr>
          <w:rFonts w:hint="eastAsia"/>
          <w:color w:val="000000" w:themeColor="text1"/>
        </w:rPr>
        <w:t>（4）中标人恶意串通的。</w:t>
      </w:r>
    </w:p>
    <w:p w14:paraId="4F2E54D3">
      <w:pPr>
        <w:ind w:firstLine="480"/>
        <w:rPr>
          <w:color w:val="000000" w:themeColor="text1"/>
        </w:rPr>
      </w:pPr>
      <w:r>
        <w:rPr>
          <w:rFonts w:hint="eastAsia"/>
          <w:color w:val="000000" w:themeColor="text1"/>
        </w:rPr>
        <w:t>中标人有本条情形之一的，采购人可以确定后一位中标候选人为中标人，但须符合法定家数。无法确定中标人的，应当重新组织采购。</w:t>
      </w:r>
    </w:p>
    <w:p w14:paraId="6E7712FF">
      <w:pPr>
        <w:ind w:firstLine="480"/>
        <w:rPr>
          <w:color w:val="000000" w:themeColor="text1"/>
        </w:rPr>
      </w:pPr>
      <w:r>
        <w:rPr>
          <w:rFonts w:hint="eastAsia"/>
          <w:color w:val="000000" w:themeColor="text1"/>
        </w:rPr>
        <w:t>29.中标通知书</w:t>
      </w:r>
    </w:p>
    <w:p w14:paraId="633142CA">
      <w:pPr>
        <w:ind w:firstLine="480"/>
        <w:rPr>
          <w:color w:val="000000" w:themeColor="text1"/>
        </w:rPr>
      </w:pPr>
      <w:r>
        <w:rPr>
          <w:rFonts w:hint="eastAsia"/>
          <w:color w:val="000000" w:themeColor="text1"/>
        </w:rPr>
        <w:t>29.1采购代理机构应当自中标人确定之日起2个工作日内，发出中标通知书，并在投标人须知前附表指定的媒体上公告中标结果。</w:t>
      </w:r>
    </w:p>
    <w:p w14:paraId="6330459C">
      <w:pPr>
        <w:ind w:firstLine="480"/>
        <w:rPr>
          <w:color w:val="000000" w:themeColor="text1"/>
        </w:rPr>
      </w:pPr>
      <w:r>
        <w:rPr>
          <w:rFonts w:hint="eastAsia"/>
          <w:color w:val="000000" w:themeColor="text1"/>
        </w:rPr>
        <w:t>29.2中标通知书发出后，中标人须于2个工作日内到采购代理机构领取中标通知书，拒绝领取中标通知书的，将视为放弃中标，取消其中标资格。采购人不得违法改变中标结果，中标人无正当理由不得放弃中标，否则将承担相应的法律责任。</w:t>
      </w:r>
    </w:p>
    <w:p w14:paraId="3F7839A3">
      <w:pPr>
        <w:ind w:firstLine="480"/>
        <w:rPr>
          <w:color w:val="000000" w:themeColor="text1"/>
        </w:rPr>
      </w:pPr>
      <w:r>
        <w:rPr>
          <w:rFonts w:hint="eastAsia"/>
          <w:color w:val="000000" w:themeColor="text1"/>
        </w:rPr>
        <w:t>29.3中标人的投标文件本应作为投标无效处理或者有政府采购法律法规、规章规定的中标无效情形的，经查实，取消其中标资格，收回发出的中标通知书（中标人应当缴回），由排名之后的中标候选投标人替补，或者重新开展采购活动。</w:t>
      </w:r>
    </w:p>
    <w:p w14:paraId="0AE7D163">
      <w:pPr>
        <w:ind w:firstLine="480"/>
        <w:rPr>
          <w:rFonts w:ascii="宋体" w:hAnsi="宋体" w:cs="宋体"/>
          <w:color w:val="000000" w:themeColor="text1"/>
          <w:szCs w:val="21"/>
        </w:rPr>
      </w:pPr>
      <w:r>
        <w:rPr>
          <w:rFonts w:hint="eastAsia"/>
          <w:color w:val="000000" w:themeColor="text1"/>
        </w:rPr>
        <w:t>29.4中标通知书为签订采购合同的依据之一，是合同的有效组成部分。</w:t>
      </w:r>
    </w:p>
    <w:p w14:paraId="576EC628">
      <w:pPr>
        <w:pStyle w:val="4"/>
        <w:rPr>
          <w:color w:val="000000" w:themeColor="text1"/>
        </w:rPr>
      </w:pPr>
      <w:bookmarkStart w:id="113" w:name="_Toc23386"/>
      <w:bookmarkStart w:id="114" w:name="_Toc15745"/>
      <w:bookmarkStart w:id="115" w:name="_Toc10296"/>
      <w:bookmarkStart w:id="116" w:name="_Toc5727"/>
      <w:bookmarkStart w:id="117" w:name="_Toc3135"/>
      <w:bookmarkStart w:id="118" w:name="_Toc32620"/>
      <w:bookmarkStart w:id="119" w:name="_Toc18103"/>
      <w:bookmarkStart w:id="120" w:name="_Toc3174"/>
      <w:bookmarkStart w:id="121" w:name="_Toc11752"/>
      <w:bookmarkStart w:id="122" w:name="_Toc7411"/>
      <w:bookmarkStart w:id="123" w:name="_Toc2742"/>
      <w:bookmarkStart w:id="124" w:name="_Toc3812"/>
      <w:bookmarkStart w:id="125" w:name="_Toc6938"/>
      <w:bookmarkStart w:id="126" w:name="_Toc20217"/>
      <w:r>
        <w:rPr>
          <w:rFonts w:hint="eastAsia"/>
          <w:color w:val="000000" w:themeColor="text1"/>
        </w:rPr>
        <w:t>七、</w:t>
      </w:r>
      <w:bookmarkEnd w:id="113"/>
      <w:bookmarkEnd w:id="114"/>
      <w:bookmarkEnd w:id="115"/>
      <w:bookmarkEnd w:id="116"/>
      <w:bookmarkEnd w:id="117"/>
      <w:bookmarkEnd w:id="118"/>
      <w:bookmarkEnd w:id="119"/>
      <w:bookmarkEnd w:id="120"/>
      <w:bookmarkEnd w:id="121"/>
      <w:bookmarkEnd w:id="122"/>
      <w:bookmarkEnd w:id="123"/>
      <w:bookmarkEnd w:id="124"/>
      <w:bookmarkEnd w:id="125"/>
      <w:r>
        <w:rPr>
          <w:rFonts w:hint="eastAsia"/>
          <w:color w:val="000000" w:themeColor="text1"/>
        </w:rPr>
        <w:t>合同事项</w:t>
      </w:r>
      <w:bookmarkEnd w:id="126"/>
    </w:p>
    <w:p w14:paraId="16484CBE">
      <w:pPr>
        <w:ind w:firstLine="480"/>
        <w:rPr>
          <w:color w:val="000000" w:themeColor="text1"/>
        </w:rPr>
      </w:pPr>
      <w:r>
        <w:rPr>
          <w:rFonts w:hint="eastAsia"/>
          <w:color w:val="000000" w:themeColor="text1"/>
        </w:rPr>
        <w:t>30.履约保证金</w:t>
      </w:r>
    </w:p>
    <w:p w14:paraId="4E09D85B">
      <w:pPr>
        <w:ind w:firstLine="480"/>
        <w:rPr>
          <w:color w:val="000000" w:themeColor="text1"/>
        </w:rPr>
      </w:pPr>
      <w:r>
        <w:rPr>
          <w:rFonts w:hint="eastAsia"/>
          <w:color w:val="000000" w:themeColor="text1"/>
        </w:rPr>
        <w:t>30.1中标人应在本项目合同签订前按投标人须知前附表规定交纳足额履约保证金（不交纳除外）。</w:t>
      </w:r>
    </w:p>
    <w:p w14:paraId="54F48B8C">
      <w:pPr>
        <w:ind w:firstLine="480"/>
        <w:rPr>
          <w:color w:val="000000" w:themeColor="text1"/>
        </w:rPr>
      </w:pPr>
      <w:r>
        <w:rPr>
          <w:rFonts w:hint="eastAsia"/>
          <w:color w:val="000000" w:themeColor="text1"/>
        </w:rPr>
        <w:t>30.2如中标人未按规定交纳履约保证金，且又无正当理由的，将视为放弃中标。</w:t>
      </w:r>
    </w:p>
    <w:p w14:paraId="1808F59E">
      <w:pPr>
        <w:ind w:firstLine="480"/>
        <w:rPr>
          <w:color w:val="000000" w:themeColor="text1"/>
        </w:rPr>
      </w:pPr>
      <w:r>
        <w:rPr>
          <w:rFonts w:hint="eastAsia"/>
          <w:color w:val="000000" w:themeColor="text1"/>
        </w:rPr>
        <w:t>31.合同签订</w:t>
      </w:r>
    </w:p>
    <w:p w14:paraId="4A141B99">
      <w:pPr>
        <w:ind w:firstLine="480"/>
        <w:rPr>
          <w:color w:val="000000" w:themeColor="text1"/>
        </w:rPr>
      </w:pPr>
      <w:r>
        <w:rPr>
          <w:rFonts w:hint="eastAsia"/>
          <w:color w:val="000000" w:themeColor="text1"/>
        </w:rPr>
        <w:t>31.1中标人须按照投标人须知前附表规定的时间、地点与采购人签订采购合同。由于中标人的原因逾期未与采购人签订采购合同的，将视为放弃中标，取消其中标资格并将按相关规定进行处理。</w:t>
      </w:r>
    </w:p>
    <w:p w14:paraId="2289DC8A">
      <w:pPr>
        <w:ind w:firstLine="480"/>
        <w:rPr>
          <w:color w:val="000000" w:themeColor="text1"/>
        </w:rPr>
      </w:pPr>
      <w:r>
        <w:rPr>
          <w:rFonts w:hint="eastAsia"/>
          <w:color w:val="000000" w:themeColor="text1"/>
        </w:rPr>
        <w:t>31.2中标通知书、招标文件、澄清文件及中标人的投标文件等均为签订合同的依据。</w:t>
      </w:r>
    </w:p>
    <w:p w14:paraId="47DDA9A4">
      <w:pPr>
        <w:ind w:firstLine="480"/>
        <w:rPr>
          <w:color w:val="000000" w:themeColor="text1"/>
        </w:rPr>
      </w:pPr>
      <w:r>
        <w:rPr>
          <w:rFonts w:hint="eastAsia"/>
          <w:color w:val="000000" w:themeColor="text1"/>
        </w:rPr>
        <w:t>31.3采购人不得向中标人提出任何不合理的要求，作为签订合同的条件，不得与中标人私下签订背离合同实质性内容的任何协议，所签订的合同不得对招标文件和中标人投标文件确定的事项进行修改。</w:t>
      </w:r>
    </w:p>
    <w:p w14:paraId="7754B645">
      <w:pPr>
        <w:ind w:firstLine="480"/>
        <w:rPr>
          <w:color w:val="000000" w:themeColor="text1"/>
        </w:rPr>
      </w:pPr>
      <w:r>
        <w:rPr>
          <w:rFonts w:hint="eastAsia"/>
          <w:color w:val="000000" w:themeColor="text1"/>
        </w:rPr>
        <w:t>31.4中标候选人因自身原因放弃成交或因不可抗力不能履行合同的或者违反法律法规、招标文件规定的，在符合法律法规规定下采购人可以与排位在中标候选人之后的中变候选人签订政府采购合同，或者重新组织采购。</w:t>
      </w:r>
    </w:p>
    <w:p w14:paraId="4EFF5C07">
      <w:pPr>
        <w:ind w:firstLine="480"/>
        <w:rPr>
          <w:color w:val="000000" w:themeColor="text1"/>
        </w:rPr>
      </w:pPr>
      <w:r>
        <w:rPr>
          <w:rFonts w:hint="eastAsia"/>
          <w:color w:val="000000" w:themeColor="text1"/>
        </w:rPr>
        <w:t>32.补充合同</w:t>
      </w:r>
    </w:p>
    <w:p w14:paraId="34C8619C">
      <w:pPr>
        <w:ind w:firstLine="480"/>
        <w:rPr>
          <w:color w:val="000000" w:themeColor="text1"/>
        </w:rPr>
      </w:pPr>
      <w:r>
        <w:rPr>
          <w:rFonts w:hint="eastAsia"/>
          <w:color w:val="000000" w:themeColor="text1"/>
        </w:rPr>
        <w:t>采购合同履行中，采购人需要追加与合同标的相同的货物或者服务的，在不改变合同其他条款的前提下，可以与中标人签订补充合同，但所有补充合同的采购金额不得超过原合同采购金额的百分之十，该补充合同应当在原采购合同履行过程中，不得在原采购合同履行结束后，且采购货物、工程和服务的名称、价格、履行方式、验收标准等必须与原采购合同一致。</w:t>
      </w:r>
    </w:p>
    <w:p w14:paraId="391A3991">
      <w:pPr>
        <w:ind w:firstLine="480"/>
        <w:rPr>
          <w:color w:val="000000" w:themeColor="text1"/>
        </w:rPr>
      </w:pPr>
      <w:r>
        <w:rPr>
          <w:rFonts w:hint="eastAsia"/>
          <w:color w:val="000000" w:themeColor="text1"/>
        </w:rPr>
        <w:t>33.合同公告</w:t>
      </w:r>
    </w:p>
    <w:p w14:paraId="6E081D54">
      <w:pPr>
        <w:ind w:firstLine="480"/>
        <w:rPr>
          <w:color w:val="000000" w:themeColor="text1"/>
        </w:rPr>
      </w:pPr>
      <w:r>
        <w:rPr>
          <w:rFonts w:hint="eastAsia"/>
          <w:color w:val="000000" w:themeColor="text1"/>
        </w:rPr>
        <w:t>采购人应当自采购合同签订（双方当事人均已签字盖章）之日起2个工作日内，将采购合同在政府采购网公告，但采购合同中涉及国家秘密、商业秘密的内容除外。</w:t>
      </w:r>
    </w:p>
    <w:p w14:paraId="0E558CF8">
      <w:pPr>
        <w:ind w:firstLine="480"/>
        <w:rPr>
          <w:color w:val="000000" w:themeColor="text1"/>
        </w:rPr>
      </w:pPr>
      <w:r>
        <w:rPr>
          <w:rFonts w:hint="eastAsia"/>
          <w:color w:val="000000" w:themeColor="text1"/>
        </w:rPr>
        <w:t>34.合同备案</w:t>
      </w:r>
    </w:p>
    <w:p w14:paraId="682114EE">
      <w:pPr>
        <w:ind w:firstLine="480"/>
        <w:rPr>
          <w:color w:val="000000" w:themeColor="text1"/>
        </w:rPr>
      </w:pPr>
      <w:r>
        <w:rPr>
          <w:rFonts w:hint="eastAsia"/>
          <w:color w:val="000000" w:themeColor="text1"/>
        </w:rPr>
        <w:t>34.1中标人与采购人签订合同后，合同双方应严格执行合同条款，履行合同规定的义务，保证合同的顺利完成。</w:t>
      </w:r>
    </w:p>
    <w:p w14:paraId="04343C35">
      <w:pPr>
        <w:ind w:firstLine="480"/>
        <w:rPr>
          <w:color w:val="000000" w:themeColor="text1"/>
          <w:szCs w:val="21"/>
        </w:rPr>
      </w:pPr>
      <w:r>
        <w:rPr>
          <w:rFonts w:hint="eastAsia"/>
          <w:color w:val="000000" w:themeColor="text1"/>
        </w:rPr>
        <w:t>34.2在合同履行过程中，如发生合同纠纷，合同双方应按照《</w:t>
      </w:r>
      <w:r>
        <w:rPr>
          <w:rFonts w:hint="eastAsia"/>
          <w:color w:val="000000" w:themeColor="text1"/>
          <w:lang w:val="en-US" w:eastAsia="zh-CN"/>
        </w:rPr>
        <w:t>中华人民共和国</w:t>
      </w:r>
      <w:r>
        <w:rPr>
          <w:rFonts w:hint="eastAsia"/>
          <w:color w:val="000000" w:themeColor="text1"/>
        </w:rPr>
        <w:t>民法典》的有关规定进行处理。</w:t>
      </w:r>
    </w:p>
    <w:p w14:paraId="600756DB">
      <w:pPr>
        <w:pStyle w:val="4"/>
        <w:rPr>
          <w:color w:val="000000" w:themeColor="text1"/>
        </w:rPr>
      </w:pPr>
      <w:bookmarkStart w:id="127" w:name="_Toc15246"/>
      <w:bookmarkStart w:id="128" w:name="_Toc28121"/>
      <w:bookmarkStart w:id="129" w:name="_Toc13561"/>
      <w:bookmarkStart w:id="130" w:name="_Toc19713"/>
      <w:bookmarkStart w:id="131" w:name="_Toc19293"/>
      <w:bookmarkStart w:id="132" w:name="_Toc6377"/>
      <w:bookmarkStart w:id="133" w:name="_Toc15767"/>
      <w:bookmarkStart w:id="134" w:name="_Toc20271"/>
      <w:bookmarkStart w:id="135" w:name="_Toc1528"/>
      <w:bookmarkStart w:id="136" w:name="_Toc11181"/>
      <w:bookmarkStart w:id="137" w:name="_Toc22060"/>
      <w:bookmarkStart w:id="138" w:name="_Toc17192"/>
      <w:bookmarkStart w:id="139" w:name="_Toc25660"/>
      <w:bookmarkStart w:id="140" w:name="_Toc7343"/>
      <w:r>
        <w:rPr>
          <w:rFonts w:hint="eastAsia"/>
          <w:color w:val="000000" w:themeColor="text1"/>
        </w:rPr>
        <w:t>八、</w:t>
      </w:r>
      <w:bookmarkEnd w:id="127"/>
      <w:bookmarkEnd w:id="128"/>
      <w:bookmarkEnd w:id="129"/>
      <w:bookmarkEnd w:id="130"/>
      <w:bookmarkEnd w:id="131"/>
      <w:bookmarkEnd w:id="132"/>
      <w:bookmarkEnd w:id="133"/>
      <w:bookmarkEnd w:id="134"/>
      <w:bookmarkEnd w:id="135"/>
      <w:bookmarkEnd w:id="136"/>
      <w:bookmarkEnd w:id="137"/>
      <w:bookmarkEnd w:id="138"/>
      <w:bookmarkEnd w:id="139"/>
      <w:r>
        <w:rPr>
          <w:rFonts w:hint="eastAsia"/>
          <w:color w:val="000000" w:themeColor="text1"/>
        </w:rPr>
        <w:t>质疑与投诉</w:t>
      </w:r>
      <w:bookmarkEnd w:id="140"/>
    </w:p>
    <w:p w14:paraId="1D15E9B5">
      <w:pPr>
        <w:ind w:firstLine="480"/>
        <w:rPr>
          <w:color w:val="000000" w:themeColor="text1"/>
        </w:rPr>
      </w:pPr>
      <w:r>
        <w:rPr>
          <w:rFonts w:hint="eastAsia"/>
          <w:color w:val="000000" w:themeColor="text1"/>
        </w:rPr>
        <w:t>35.质疑提出</w:t>
      </w:r>
    </w:p>
    <w:p w14:paraId="3E18ABBE">
      <w:pPr>
        <w:ind w:firstLine="480"/>
        <w:rPr>
          <w:color w:val="000000" w:themeColor="text1"/>
        </w:rPr>
      </w:pPr>
      <w:r>
        <w:rPr>
          <w:rFonts w:hint="eastAsia"/>
          <w:color w:val="000000" w:themeColor="text1"/>
        </w:rPr>
        <w:t>35.1符合《中华人民共和国政府采购法》《中华人民共和国政府采购法实施条例》《政府采购质疑和投诉办法》（财政部令第94号）等有关法律法规规定。</w:t>
      </w:r>
    </w:p>
    <w:p w14:paraId="1A2AD732">
      <w:pPr>
        <w:ind w:firstLine="480"/>
        <w:rPr>
          <w:color w:val="000000" w:themeColor="text1"/>
        </w:rPr>
      </w:pPr>
      <w:r>
        <w:rPr>
          <w:rFonts w:hint="eastAsia"/>
          <w:color w:val="000000" w:themeColor="text1"/>
        </w:rPr>
        <w:t>35.2提交的质疑函应符合财政部《政府采购投标人质疑函范本》要求。</w:t>
      </w:r>
    </w:p>
    <w:p w14:paraId="2BA5104C">
      <w:pPr>
        <w:ind w:firstLine="480"/>
        <w:rPr>
          <w:color w:val="000000" w:themeColor="text1"/>
        </w:rPr>
      </w:pPr>
      <w:r>
        <w:rPr>
          <w:rFonts w:hint="eastAsia"/>
          <w:color w:val="000000" w:themeColor="text1"/>
        </w:rPr>
        <w:t>35.3投标人认为采购文件、采购过程和中标结果使自己的权益受到损害的，可以在知道或者应知其权益受到损害之日起7个工作日内，以书面形式向采购人、采购代理机构提出质疑。投标人在法定质疑期内应一次性提出针对同一采购程序环节的质疑。</w:t>
      </w:r>
    </w:p>
    <w:p w14:paraId="1C9AD8C4">
      <w:pPr>
        <w:ind w:firstLine="480"/>
        <w:rPr>
          <w:color w:val="000000" w:themeColor="text1"/>
        </w:rPr>
      </w:pPr>
      <w:r>
        <w:rPr>
          <w:rFonts w:hint="eastAsia"/>
          <w:color w:val="000000" w:themeColor="text1"/>
        </w:rPr>
        <w:t>35.4潜在投标人已依法获取采购文件，可以对该文件提出质疑。采购人拒绝受理未提交投标文件的投标人对采购过程和中标结果提出质疑。</w:t>
      </w:r>
    </w:p>
    <w:p w14:paraId="2997E770">
      <w:pPr>
        <w:ind w:firstLine="480"/>
        <w:rPr>
          <w:color w:val="000000" w:themeColor="text1"/>
        </w:rPr>
      </w:pPr>
      <w:r>
        <w:rPr>
          <w:rFonts w:hint="eastAsia"/>
          <w:color w:val="000000" w:themeColor="text1"/>
        </w:rPr>
        <w:t>35.5质疑提出起算日期</w:t>
      </w:r>
    </w:p>
    <w:p w14:paraId="0E809DC8">
      <w:pPr>
        <w:ind w:firstLine="480"/>
        <w:rPr>
          <w:color w:val="000000" w:themeColor="text1"/>
        </w:rPr>
      </w:pPr>
      <w:r>
        <w:rPr>
          <w:rFonts w:hint="eastAsia"/>
          <w:color w:val="000000" w:themeColor="text1"/>
        </w:rPr>
        <w:t>（1）对采购文件提出质疑的，自投标人获取招标文件之日起或者公告届满之日起开始计算，且应当在开标时间前24小时前提出，否则，被质疑人可不予受理。</w:t>
      </w:r>
    </w:p>
    <w:p w14:paraId="6A873713">
      <w:pPr>
        <w:ind w:firstLine="480"/>
        <w:rPr>
          <w:color w:val="000000" w:themeColor="text1"/>
        </w:rPr>
      </w:pPr>
      <w:r>
        <w:rPr>
          <w:rFonts w:hint="eastAsia"/>
          <w:color w:val="000000" w:themeColor="text1"/>
        </w:rPr>
        <w:t>（2）对采购过程提出质疑的，质疑期限自各采购程序环节结束之日起计算。</w:t>
      </w:r>
    </w:p>
    <w:p w14:paraId="6C74298F">
      <w:pPr>
        <w:ind w:firstLine="480"/>
        <w:rPr>
          <w:color w:val="000000" w:themeColor="text1"/>
        </w:rPr>
      </w:pPr>
      <w:r>
        <w:rPr>
          <w:rFonts w:hint="eastAsia"/>
          <w:color w:val="000000" w:themeColor="text1"/>
        </w:rPr>
        <w:t>（3）对采购结果提出质疑的，质疑期限自采购结果公告期限届满（包括公示、预公告、结果变更公告等）之日起计算。</w:t>
      </w:r>
    </w:p>
    <w:p w14:paraId="5E4E30DB">
      <w:pPr>
        <w:ind w:firstLine="480"/>
        <w:rPr>
          <w:color w:val="000000" w:themeColor="text1"/>
        </w:rPr>
      </w:pPr>
      <w:r>
        <w:rPr>
          <w:rFonts w:hint="eastAsia"/>
          <w:color w:val="000000" w:themeColor="text1"/>
        </w:rPr>
        <w:t>（4）投标人逾期提出质疑的，采购人或采购代理机构均不予受理和答复。</w:t>
      </w:r>
    </w:p>
    <w:p w14:paraId="0E94FA5A">
      <w:pPr>
        <w:ind w:firstLine="480"/>
        <w:rPr>
          <w:color w:val="000000" w:themeColor="text1"/>
        </w:rPr>
      </w:pPr>
      <w:r>
        <w:rPr>
          <w:rFonts w:hint="eastAsia"/>
          <w:color w:val="000000" w:themeColor="text1"/>
        </w:rPr>
        <w:t>36.质疑答复</w:t>
      </w:r>
    </w:p>
    <w:p w14:paraId="0A5B9024">
      <w:pPr>
        <w:ind w:firstLine="480"/>
        <w:rPr>
          <w:color w:val="000000" w:themeColor="text1"/>
        </w:rPr>
      </w:pPr>
      <w:r>
        <w:rPr>
          <w:rFonts w:hint="eastAsia"/>
          <w:color w:val="000000" w:themeColor="text1"/>
        </w:rPr>
        <w:t>采购人应当在收到投标人的书面质疑后7个工作日内作出答复，并以书面形式通知质疑投标人和其他与质疑处理结果有利害关系的采购当事人，但答复的内容不得涉及商业秘密。</w:t>
      </w:r>
    </w:p>
    <w:p w14:paraId="7E2A3169">
      <w:pPr>
        <w:ind w:firstLine="480"/>
        <w:rPr>
          <w:color w:val="000000" w:themeColor="text1"/>
        </w:rPr>
      </w:pPr>
      <w:r>
        <w:rPr>
          <w:rFonts w:hint="eastAsia"/>
          <w:color w:val="000000" w:themeColor="text1"/>
        </w:rPr>
        <w:t>37.投诉</w:t>
      </w:r>
    </w:p>
    <w:p w14:paraId="25C4BE44">
      <w:pPr>
        <w:ind w:firstLine="480"/>
        <w:rPr>
          <w:color w:val="000000" w:themeColor="text1"/>
        </w:rPr>
      </w:pPr>
      <w:r>
        <w:rPr>
          <w:rFonts w:hint="eastAsia"/>
          <w:color w:val="000000" w:themeColor="text1"/>
        </w:rPr>
        <w:t>37.1质疑投标人对采购人未在规定时间内作出答复的，可以在答复期满后15个工作日内向龙游县财政局投诉。</w:t>
      </w:r>
    </w:p>
    <w:p w14:paraId="2718C6C9">
      <w:pPr>
        <w:ind w:firstLine="480"/>
        <w:rPr>
          <w:rFonts w:ascii="宋体" w:hAnsi="宋体" w:cs="宋体"/>
          <w:color w:val="000000" w:themeColor="text1"/>
          <w:szCs w:val="21"/>
        </w:rPr>
      </w:pPr>
      <w:r>
        <w:rPr>
          <w:rFonts w:hint="eastAsia"/>
          <w:color w:val="000000" w:themeColor="text1"/>
        </w:rPr>
        <w:t>37.2投标人提交的投诉书应符合财政部《政府采购投标人投诉书范本》要求。</w:t>
      </w:r>
    </w:p>
    <w:p w14:paraId="13D02F3F">
      <w:pPr>
        <w:pStyle w:val="4"/>
        <w:rPr>
          <w:color w:val="000000" w:themeColor="text1"/>
        </w:rPr>
      </w:pPr>
      <w:bookmarkStart w:id="141" w:name="_Toc12178"/>
      <w:bookmarkStart w:id="142" w:name="_Toc15353"/>
      <w:bookmarkStart w:id="143" w:name="_Toc11384"/>
      <w:bookmarkStart w:id="144" w:name="_Toc3101"/>
      <w:bookmarkStart w:id="145" w:name="_Toc32460"/>
      <w:bookmarkStart w:id="146" w:name="_Toc19656"/>
      <w:bookmarkStart w:id="147" w:name="_Toc25612"/>
      <w:bookmarkStart w:id="148" w:name="_Toc17403"/>
      <w:bookmarkStart w:id="149" w:name="_Toc15929"/>
      <w:bookmarkStart w:id="150" w:name="_Toc27803"/>
      <w:bookmarkStart w:id="151" w:name="_Toc13845"/>
      <w:bookmarkStart w:id="152" w:name="_Toc9643"/>
      <w:bookmarkStart w:id="153" w:name="_Toc32505"/>
      <w:r>
        <w:rPr>
          <w:rFonts w:hint="eastAsia"/>
          <w:color w:val="000000" w:themeColor="text1"/>
        </w:rPr>
        <w:t>九、</w:t>
      </w:r>
      <w:bookmarkEnd w:id="141"/>
      <w:bookmarkEnd w:id="142"/>
      <w:bookmarkEnd w:id="143"/>
      <w:bookmarkEnd w:id="144"/>
      <w:bookmarkEnd w:id="145"/>
      <w:bookmarkEnd w:id="146"/>
      <w:bookmarkEnd w:id="147"/>
      <w:bookmarkEnd w:id="148"/>
      <w:bookmarkEnd w:id="149"/>
      <w:bookmarkEnd w:id="150"/>
      <w:bookmarkEnd w:id="151"/>
      <w:bookmarkEnd w:id="152"/>
      <w:r>
        <w:rPr>
          <w:rFonts w:hint="eastAsia"/>
          <w:color w:val="000000" w:themeColor="text1"/>
        </w:rPr>
        <w:t>投标纪律要求</w:t>
      </w:r>
      <w:bookmarkEnd w:id="153"/>
    </w:p>
    <w:p w14:paraId="2CEB522F">
      <w:pPr>
        <w:ind w:firstLine="480"/>
        <w:rPr>
          <w:color w:val="000000" w:themeColor="text1"/>
        </w:rPr>
      </w:pPr>
      <w:r>
        <w:rPr>
          <w:rFonts w:hint="eastAsia"/>
          <w:color w:val="000000" w:themeColor="text1"/>
        </w:rPr>
        <w:t>38.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同时将取消中标资格或者认定中标无效：</w:t>
      </w:r>
    </w:p>
    <w:p w14:paraId="59101EBD">
      <w:pPr>
        <w:ind w:firstLine="480"/>
        <w:rPr>
          <w:color w:val="000000" w:themeColor="text1"/>
        </w:rPr>
      </w:pPr>
      <w:r>
        <w:rPr>
          <w:rFonts w:hint="eastAsia"/>
          <w:color w:val="000000" w:themeColor="text1"/>
        </w:rPr>
        <w:t>38.1提供虚假材料谋取中标；</w:t>
      </w:r>
    </w:p>
    <w:p w14:paraId="45478860">
      <w:pPr>
        <w:ind w:firstLine="480"/>
        <w:rPr>
          <w:color w:val="000000" w:themeColor="text1"/>
        </w:rPr>
      </w:pPr>
      <w:r>
        <w:rPr>
          <w:rFonts w:hint="eastAsia"/>
          <w:color w:val="000000" w:themeColor="text1"/>
        </w:rPr>
        <w:t>38.2采取不正当手段诋毁、排挤其他投标人；</w:t>
      </w:r>
    </w:p>
    <w:p w14:paraId="6E0F3ED6">
      <w:pPr>
        <w:ind w:firstLine="480"/>
        <w:rPr>
          <w:color w:val="000000" w:themeColor="text1"/>
        </w:rPr>
      </w:pPr>
      <w:r>
        <w:rPr>
          <w:rFonts w:hint="eastAsia"/>
          <w:color w:val="000000" w:themeColor="text1"/>
        </w:rPr>
        <w:t>38.3与采购人、其他投标人恶意串通；</w:t>
      </w:r>
    </w:p>
    <w:p w14:paraId="210E8BCA">
      <w:pPr>
        <w:ind w:firstLine="480"/>
        <w:rPr>
          <w:color w:val="000000" w:themeColor="text1"/>
        </w:rPr>
      </w:pPr>
      <w:r>
        <w:rPr>
          <w:rFonts w:hint="eastAsia"/>
          <w:color w:val="000000" w:themeColor="text1"/>
        </w:rPr>
        <w:t>38.4向采购人、评标会员会成员行贿或者提供其他不正当利益；</w:t>
      </w:r>
    </w:p>
    <w:p w14:paraId="087C32F2">
      <w:pPr>
        <w:ind w:firstLine="480"/>
        <w:rPr>
          <w:color w:val="000000" w:themeColor="text1"/>
        </w:rPr>
      </w:pPr>
      <w:r>
        <w:rPr>
          <w:rFonts w:hint="eastAsia"/>
          <w:color w:val="000000" w:themeColor="text1"/>
        </w:rPr>
        <w:t>38.5在招标过程中与采购人进行协商谈判；</w:t>
      </w:r>
    </w:p>
    <w:p w14:paraId="45D5B333">
      <w:pPr>
        <w:ind w:firstLine="480"/>
        <w:rPr>
          <w:color w:val="000000" w:themeColor="text1"/>
        </w:rPr>
      </w:pPr>
      <w:r>
        <w:rPr>
          <w:rFonts w:hint="eastAsia"/>
          <w:color w:val="000000" w:themeColor="text1"/>
        </w:rPr>
        <w:t>38.6中标候选人无正当理由拖延或者不与采购人采购合同；</w:t>
      </w:r>
    </w:p>
    <w:p w14:paraId="5D853EFB">
      <w:pPr>
        <w:ind w:firstLine="480"/>
        <w:rPr>
          <w:color w:val="000000" w:themeColor="text1"/>
        </w:rPr>
      </w:pPr>
      <w:r>
        <w:rPr>
          <w:rFonts w:hint="eastAsia"/>
          <w:color w:val="000000" w:themeColor="text1"/>
        </w:rPr>
        <w:t>38.7未按照采购文件确定的事项签订采购合同；</w:t>
      </w:r>
    </w:p>
    <w:p w14:paraId="4A690E2C">
      <w:pPr>
        <w:ind w:firstLine="480"/>
        <w:rPr>
          <w:color w:val="000000" w:themeColor="text1"/>
        </w:rPr>
      </w:pPr>
      <w:r>
        <w:rPr>
          <w:rFonts w:hint="eastAsia"/>
          <w:color w:val="000000" w:themeColor="text1"/>
        </w:rPr>
        <w:t>38.8将采购合同转包或者违规分包；</w:t>
      </w:r>
    </w:p>
    <w:p w14:paraId="0F5FE42F">
      <w:pPr>
        <w:ind w:firstLine="480"/>
        <w:rPr>
          <w:color w:val="000000" w:themeColor="text1"/>
        </w:rPr>
      </w:pPr>
      <w:r>
        <w:rPr>
          <w:rFonts w:hint="eastAsia"/>
          <w:color w:val="000000" w:themeColor="text1"/>
        </w:rPr>
        <w:t>38.9提供假冒伪劣产品；</w:t>
      </w:r>
    </w:p>
    <w:p w14:paraId="4FADF88A">
      <w:pPr>
        <w:ind w:firstLine="480"/>
        <w:rPr>
          <w:color w:val="000000" w:themeColor="text1"/>
        </w:rPr>
      </w:pPr>
      <w:r>
        <w:rPr>
          <w:rFonts w:hint="eastAsia"/>
          <w:color w:val="000000" w:themeColor="text1"/>
        </w:rPr>
        <w:t>38.10擅自变更、中止或者终止采购合同；</w:t>
      </w:r>
    </w:p>
    <w:p w14:paraId="5CD700BE">
      <w:pPr>
        <w:ind w:firstLine="480"/>
        <w:rPr>
          <w:color w:val="000000" w:themeColor="text1"/>
        </w:rPr>
      </w:pPr>
      <w:r>
        <w:rPr>
          <w:rFonts w:hint="eastAsia"/>
          <w:color w:val="000000" w:themeColor="text1"/>
        </w:rPr>
        <w:t>38.11拒绝有关部门的监督检查或者向监督检查部门提供虚假情况；</w:t>
      </w:r>
    </w:p>
    <w:p w14:paraId="0F2C9F35">
      <w:pPr>
        <w:ind w:firstLine="480"/>
        <w:rPr>
          <w:rFonts w:ascii="宋体" w:hAnsi="宋体" w:cs="宋体"/>
          <w:color w:val="000000" w:themeColor="text1"/>
          <w:szCs w:val="21"/>
        </w:rPr>
      </w:pPr>
      <w:r>
        <w:rPr>
          <w:rFonts w:hint="eastAsia"/>
          <w:color w:val="000000" w:themeColor="text1"/>
        </w:rPr>
        <w:t>38.12法律法规规定的其他情形。</w:t>
      </w:r>
    </w:p>
    <w:p w14:paraId="5551147E">
      <w:pPr>
        <w:pStyle w:val="4"/>
        <w:rPr>
          <w:color w:val="000000" w:themeColor="text1"/>
        </w:rPr>
      </w:pPr>
      <w:bookmarkStart w:id="154" w:name="_Toc21705"/>
      <w:r>
        <w:rPr>
          <w:rFonts w:hint="eastAsia"/>
          <w:color w:val="000000" w:themeColor="text1"/>
        </w:rPr>
        <w:t>十、落实政府采购政策需满足的要求</w:t>
      </w:r>
      <w:bookmarkEnd w:id="154"/>
    </w:p>
    <w:p w14:paraId="288E4625">
      <w:pPr>
        <w:snapToGrid w:val="0"/>
        <w:ind w:firstLine="480"/>
        <w:rPr>
          <w:rFonts w:ascii="宋体" w:hAnsi="宋体" w:cs="宋体"/>
          <w:color w:val="000000" w:themeColor="text1"/>
        </w:rPr>
      </w:pPr>
      <w:r>
        <w:rPr>
          <w:rFonts w:hint="eastAsia" w:ascii="宋体" w:hAnsi="宋体" w:cs="宋体"/>
          <w:color w:val="000000" w:themeColor="text1"/>
        </w:rPr>
        <w:t>39.小微企业</w:t>
      </w:r>
    </w:p>
    <w:p w14:paraId="3472E8ED">
      <w:pPr>
        <w:snapToGrid w:val="0"/>
        <w:ind w:firstLine="480"/>
        <w:rPr>
          <w:rFonts w:ascii="宋体" w:hAnsi="宋体" w:cs="宋体"/>
          <w:color w:val="000000" w:themeColor="text1"/>
        </w:rPr>
      </w:pPr>
      <w:r>
        <w:rPr>
          <w:rFonts w:hint="eastAsia" w:ascii="宋体" w:hAnsi="宋体" w:cs="宋体"/>
          <w:color w:val="000000" w:themeColor="text1"/>
        </w:rPr>
        <w:t>根据财政工信部《关于印发（政府采购促进中小企业发展管理办法）的通知》财库（2020）46号的相关规定，</w:t>
      </w:r>
      <w:r>
        <w:rPr>
          <w:rFonts w:hint="eastAsia"/>
        </w:rPr>
        <w:t>本项目属于专门面向中小企业/小微企业</w:t>
      </w:r>
      <w:r>
        <w:rPr>
          <w:rFonts w:hint="eastAsia" w:ascii="宋体" w:hAnsi="宋体" w:cs="宋体"/>
          <w:color w:val="000000" w:themeColor="text1"/>
        </w:rPr>
        <w:t>。</w:t>
      </w:r>
    </w:p>
    <w:p w14:paraId="5C4E3039">
      <w:pPr>
        <w:snapToGrid w:val="0"/>
        <w:ind w:firstLine="480"/>
        <w:rPr>
          <w:rFonts w:ascii="宋体" w:hAnsi="宋体" w:cs="宋体"/>
          <w:color w:val="000000" w:themeColor="text1"/>
        </w:rPr>
      </w:pPr>
      <w:r>
        <w:rPr>
          <w:rFonts w:hint="eastAsia" w:ascii="宋体" w:hAnsi="宋体" w:cs="宋体"/>
          <w:color w:val="000000" w:themeColor="text1"/>
        </w:rPr>
        <w:t>39.1小型微型企业划型标准</w:t>
      </w:r>
    </w:p>
    <w:p w14:paraId="1D898E58">
      <w:pPr>
        <w:snapToGrid w:val="0"/>
        <w:ind w:firstLine="480"/>
        <w:rPr>
          <w:rFonts w:ascii="宋体" w:hAnsi="宋体" w:cs="宋体"/>
          <w:color w:val="000000" w:themeColor="text1"/>
        </w:rPr>
      </w:pPr>
      <w:r>
        <w:rPr>
          <w:rFonts w:hint="eastAsia" w:ascii="宋体" w:hAnsi="宋体" w:cs="宋体"/>
          <w:color w:val="000000" w:themeColor="text1"/>
        </w:rPr>
        <w:t>39.1.1在中华人民共和国境内依法设立，依据《关于印发中小企业划型标准规定的通知》（工信部联企业〔2011〕300号）确定的小型企业和微型企业，但与中型或大企业的负责人为同一人，或者与中型、大企业存在直接控股、管理关系的除外。</w:t>
      </w:r>
    </w:p>
    <w:p w14:paraId="310CBDDF">
      <w:pPr>
        <w:snapToGrid w:val="0"/>
        <w:ind w:firstLine="480"/>
        <w:rPr>
          <w:rFonts w:ascii="宋体" w:hAnsi="宋体" w:cs="宋体"/>
          <w:color w:val="000000" w:themeColor="text1"/>
        </w:rPr>
      </w:pPr>
      <w:r>
        <w:rPr>
          <w:rFonts w:hint="eastAsia" w:ascii="宋体" w:hAnsi="宋体" w:cs="宋体"/>
          <w:color w:val="000000" w:themeColor="text1"/>
        </w:rPr>
        <w:t>符合中小企业划分标准的个体工商户，在政府采购活动中视同小型企业和微型企业。</w:t>
      </w:r>
    </w:p>
    <w:p w14:paraId="2808761D">
      <w:pPr>
        <w:snapToGrid w:val="0"/>
        <w:ind w:firstLine="480"/>
        <w:rPr>
          <w:rFonts w:ascii="宋体" w:hAnsi="宋体" w:cs="宋体"/>
          <w:color w:val="000000" w:themeColor="text1"/>
        </w:rPr>
      </w:pPr>
      <w:r>
        <w:rPr>
          <w:rFonts w:hint="eastAsia" w:ascii="宋体" w:hAnsi="宋体" w:cs="宋体"/>
          <w:color w:val="000000" w:themeColor="text1"/>
        </w:rPr>
        <w:t>39.1.2</w:t>
      </w:r>
      <w:r>
        <w:rPr>
          <w:rFonts w:hint="eastAsia"/>
        </w:rPr>
        <w:t>所属行业：其他未列明行业。从业人员300人以下的为中小微型企业。其中，从业人员100人及以上的为中型企业；从业人员10人及以上的为小型企业；从业人员10人以下的为微型企业</w:t>
      </w:r>
      <w:r>
        <w:rPr>
          <w:rFonts w:hint="eastAsia"/>
          <w:color w:val="000000" w:themeColor="text1"/>
        </w:rPr>
        <w:t>。</w:t>
      </w:r>
    </w:p>
    <w:p w14:paraId="242E5EDB">
      <w:pPr>
        <w:snapToGrid w:val="0"/>
        <w:ind w:firstLine="480"/>
        <w:rPr>
          <w:rFonts w:ascii="宋体" w:hAnsi="宋体" w:cs="宋体"/>
          <w:color w:val="000000" w:themeColor="text1"/>
        </w:rPr>
      </w:pPr>
      <w:r>
        <w:rPr>
          <w:rFonts w:hint="eastAsia" w:ascii="宋体" w:hAnsi="宋体" w:cs="宋体"/>
          <w:color w:val="000000" w:themeColor="text1"/>
        </w:rPr>
        <w:t>39.2享受小微企业价格折扣的投标人，应当提供《中小企业声明函》，未提供或者提供的材料不符合规定的不予价格扣除。</w:t>
      </w:r>
    </w:p>
    <w:p w14:paraId="3A26F271">
      <w:pPr>
        <w:snapToGrid w:val="0"/>
        <w:ind w:firstLine="480"/>
        <w:rPr>
          <w:rFonts w:ascii="宋体" w:hAnsi="宋体" w:cs="宋体"/>
          <w:color w:val="000000" w:themeColor="text1"/>
        </w:rPr>
      </w:pPr>
      <w:r>
        <w:rPr>
          <w:rFonts w:hint="eastAsia" w:ascii="宋体" w:hAnsi="宋体" w:cs="宋体"/>
          <w:color w:val="000000" w:themeColor="text1"/>
        </w:rPr>
        <w:t>监狱其他、残疾人福利性单位属于小型微型企业的，不重复享受小微企业优惠政策。</w:t>
      </w:r>
    </w:p>
    <w:p w14:paraId="7F13ED18">
      <w:pPr>
        <w:snapToGrid w:val="0"/>
        <w:ind w:firstLine="480"/>
        <w:rPr>
          <w:rFonts w:ascii="宋体" w:hAnsi="宋体" w:cs="宋体"/>
          <w:color w:val="000000" w:themeColor="text1"/>
        </w:rPr>
      </w:pPr>
      <w:r>
        <w:rPr>
          <w:rFonts w:hint="eastAsia" w:ascii="宋体" w:hAnsi="宋体" w:cs="宋体"/>
          <w:color w:val="000000" w:themeColor="text1"/>
        </w:rPr>
        <w:t>40.监狱企业</w:t>
      </w:r>
    </w:p>
    <w:p w14:paraId="0AF7EDC1">
      <w:pPr>
        <w:snapToGrid w:val="0"/>
        <w:ind w:firstLine="480"/>
        <w:rPr>
          <w:rFonts w:ascii="宋体" w:hAnsi="宋体" w:cs="宋体"/>
          <w:color w:val="000000" w:themeColor="text1"/>
        </w:rPr>
      </w:pPr>
      <w:r>
        <w:rPr>
          <w:rFonts w:hint="eastAsia" w:ascii="宋体" w:hAnsi="宋体" w:cs="宋体"/>
          <w:color w:val="000000" w:themeColor="text1"/>
        </w:rPr>
        <w:t>根据财政部、司法部《关于政府采购支持监狱企业发展有关问题的通知》（财库[2014]68号）的规定，监狱企业视同小微企业。</w:t>
      </w:r>
    </w:p>
    <w:p w14:paraId="59593ACA">
      <w:pPr>
        <w:snapToGrid w:val="0"/>
        <w:ind w:firstLine="480"/>
        <w:rPr>
          <w:rFonts w:ascii="宋体" w:hAnsi="宋体" w:cs="宋体"/>
          <w:color w:val="000000" w:themeColor="text1"/>
        </w:rPr>
      </w:pPr>
      <w:r>
        <w:rPr>
          <w:rFonts w:hint="eastAsia" w:ascii="宋体" w:hAnsi="宋体" w:cs="宋体"/>
          <w:color w:val="000000" w:themeColor="text1"/>
        </w:rPr>
        <w:t>监狱企业应当提供《监狱企业声明函》及由省级以上监狱管理局、戒毒管理局（含新疆生产建设兵团）出具的属于监狱企业证明文件的，否则不予认可。</w:t>
      </w:r>
    </w:p>
    <w:p w14:paraId="4F4958A6">
      <w:pPr>
        <w:snapToGrid w:val="0"/>
        <w:ind w:firstLine="480"/>
        <w:rPr>
          <w:rFonts w:ascii="宋体" w:hAnsi="宋体" w:cs="宋体"/>
          <w:color w:val="000000" w:themeColor="text1"/>
        </w:rPr>
      </w:pPr>
      <w:r>
        <w:rPr>
          <w:rFonts w:hint="eastAsia" w:ascii="宋体" w:hAnsi="宋体" w:cs="宋体"/>
          <w:color w:val="000000" w:themeColor="text1"/>
        </w:rPr>
        <w:t>41.残疾人福利性单位</w:t>
      </w:r>
    </w:p>
    <w:p w14:paraId="0F37366A">
      <w:pPr>
        <w:snapToGrid w:val="0"/>
        <w:ind w:firstLine="480"/>
        <w:rPr>
          <w:rFonts w:ascii="宋体" w:hAnsi="宋体" w:cs="宋体"/>
          <w:color w:val="000000" w:themeColor="text1"/>
        </w:rPr>
      </w:pPr>
      <w:r>
        <w:rPr>
          <w:rFonts w:hint="eastAsia" w:ascii="宋体" w:hAnsi="宋体" w:cs="宋体"/>
          <w:color w:val="000000" w:themeColor="text1"/>
        </w:rPr>
        <w:t>根据财政部、民政部、中国残疾人联合会《关于促进残疾人就业政府采购政策的通知》（财库〔2017〕141号）规定，残疾人福利性单位视同小型微型企业。</w:t>
      </w:r>
    </w:p>
    <w:p w14:paraId="4EDE9BAF">
      <w:pPr>
        <w:snapToGrid w:val="0"/>
        <w:ind w:firstLine="480"/>
        <w:rPr>
          <w:rFonts w:ascii="宋体" w:hAnsi="宋体" w:cs="宋体"/>
          <w:color w:val="000000" w:themeColor="text1"/>
        </w:rPr>
      </w:pPr>
      <w:r>
        <w:rPr>
          <w:rFonts w:hint="eastAsia" w:ascii="宋体" w:hAnsi="宋体" w:cs="宋体"/>
          <w:color w:val="000000" w:themeColor="text1"/>
        </w:rPr>
        <w:t>残疾人福利性单位应当提供《残疾人福利性单位声明函》，否则不予认可。</w:t>
      </w:r>
    </w:p>
    <w:p w14:paraId="116BBF96">
      <w:pPr>
        <w:pStyle w:val="4"/>
        <w:rPr>
          <w:color w:val="000000" w:themeColor="text1"/>
        </w:rPr>
      </w:pPr>
      <w:bookmarkStart w:id="155" w:name="_Toc22501"/>
      <w:bookmarkStart w:id="156" w:name="_Toc18234"/>
      <w:bookmarkStart w:id="157" w:name="_Toc21327"/>
      <w:bookmarkStart w:id="158" w:name="_Toc31762"/>
      <w:bookmarkStart w:id="159" w:name="_Toc25686"/>
      <w:bookmarkStart w:id="160" w:name="_Toc13414"/>
      <w:bookmarkStart w:id="161" w:name="_Toc24213"/>
      <w:bookmarkStart w:id="162" w:name="_Toc28565"/>
      <w:bookmarkStart w:id="163" w:name="_Toc18464"/>
      <w:bookmarkStart w:id="164" w:name="_Toc8615"/>
      <w:bookmarkStart w:id="165" w:name="_Toc125"/>
      <w:bookmarkStart w:id="166" w:name="_Toc16029"/>
      <w:bookmarkStart w:id="167" w:name="_Toc23835"/>
      <w:bookmarkStart w:id="168" w:name="_Toc24773"/>
      <w:r>
        <w:rPr>
          <w:rFonts w:hint="eastAsia"/>
          <w:color w:val="000000" w:themeColor="text1"/>
        </w:rPr>
        <w:t>十一、其他</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48061E6D">
      <w:pPr>
        <w:ind w:firstLine="480"/>
        <w:rPr>
          <w:color w:val="000000" w:themeColor="text1"/>
        </w:rPr>
      </w:pPr>
      <w:r>
        <w:rPr>
          <w:rFonts w:hint="eastAsia"/>
          <w:color w:val="000000" w:themeColor="text1"/>
        </w:rPr>
        <w:t>42.解释权：本招标文件是依据《政府采购法》及有关规定编制的，解释权属采购人。</w:t>
      </w:r>
    </w:p>
    <w:p w14:paraId="25F2E2FF">
      <w:pPr>
        <w:ind w:firstLine="480"/>
        <w:rPr>
          <w:color w:val="000000" w:themeColor="text1"/>
        </w:rPr>
      </w:pPr>
      <w:r>
        <w:rPr>
          <w:rFonts w:hint="eastAsia"/>
          <w:color w:val="000000" w:themeColor="text1"/>
        </w:rPr>
        <w:t>43.联系方式：所有与招标有关的函电请按下面联系，其他任何方式或信息来源均无效。</w:t>
      </w:r>
    </w:p>
    <w:p w14:paraId="487D4CE7">
      <w:pPr>
        <w:ind w:firstLine="480"/>
        <w:rPr>
          <w:color w:val="000000" w:themeColor="text1"/>
        </w:rPr>
      </w:pPr>
      <w:r>
        <w:rPr>
          <w:rFonts w:hint="eastAsia"/>
          <w:color w:val="000000" w:themeColor="text1"/>
        </w:rPr>
        <w:t>通讯地址：龙游久圆工程管理有限公司（龙游县东华街道永安路60号）</w:t>
      </w:r>
    </w:p>
    <w:p w14:paraId="6C284BB9">
      <w:pPr>
        <w:ind w:firstLine="480"/>
        <w:rPr>
          <w:color w:val="000000" w:themeColor="text1"/>
        </w:rPr>
      </w:pPr>
      <w:r>
        <w:rPr>
          <w:rFonts w:hint="eastAsia"/>
          <w:color w:val="000000" w:themeColor="text1"/>
        </w:rPr>
        <w:t>项目联系人：李女士</w:t>
      </w:r>
    </w:p>
    <w:p w14:paraId="7814A2C2">
      <w:pPr>
        <w:ind w:firstLine="480"/>
        <w:rPr>
          <w:color w:val="000000" w:themeColor="text1"/>
        </w:rPr>
      </w:pPr>
      <w:r>
        <w:rPr>
          <w:rFonts w:hint="eastAsia"/>
          <w:color w:val="000000" w:themeColor="text1"/>
        </w:rPr>
        <w:t>答疑咨询电话：0570-7032353</w:t>
      </w:r>
    </w:p>
    <w:p w14:paraId="244FE5C9">
      <w:pPr>
        <w:ind w:firstLine="480"/>
        <w:rPr>
          <w:rFonts w:ascii="宋体" w:hAnsi="宋体" w:cs="宋体"/>
          <w:color w:val="000000" w:themeColor="text1"/>
        </w:rPr>
      </w:pPr>
      <w:r>
        <w:rPr>
          <w:rFonts w:hint="eastAsia"/>
          <w:color w:val="000000" w:themeColor="text1"/>
        </w:rPr>
        <w:t>公告网址：</w:t>
      </w:r>
      <w:r>
        <w:rPr>
          <w:color w:val="000000" w:themeColor="text1"/>
        </w:rPr>
        <w:t>www.zjzfcg.gov.cn（浙江省政府采购网）</w:t>
      </w:r>
    </w:p>
    <w:p w14:paraId="2BC4F2E4">
      <w:pPr>
        <w:pStyle w:val="3"/>
        <w:rPr>
          <w:color w:val="000000" w:themeColor="text1"/>
        </w:rPr>
        <w:sectPr>
          <w:footerReference r:id="rId13" w:type="default"/>
          <w:pgSz w:w="11906" w:h="16838"/>
          <w:pgMar w:top="1440" w:right="1800" w:bottom="1440" w:left="1800" w:header="964" w:footer="850" w:gutter="0"/>
          <w:cols w:space="425" w:num="1"/>
          <w:docGrid w:type="lines" w:linePitch="326" w:charSpace="0"/>
        </w:sectPr>
      </w:pPr>
    </w:p>
    <w:p w14:paraId="644CCEDE">
      <w:pPr>
        <w:pStyle w:val="3"/>
        <w:rPr>
          <w:color w:val="000000" w:themeColor="text1"/>
        </w:rPr>
      </w:pPr>
      <w:bookmarkStart w:id="169" w:name="_Toc19562"/>
      <w:r>
        <w:rPr>
          <w:color w:val="000000" w:themeColor="text1"/>
        </w:rPr>
        <w:t>第四章</w:t>
      </w:r>
      <w:r>
        <w:rPr>
          <w:rFonts w:hint="eastAsia"/>
          <w:color w:val="000000" w:themeColor="text1"/>
        </w:rPr>
        <w:t xml:space="preserve">  采购需求</w:t>
      </w:r>
      <w:bookmarkEnd w:id="169"/>
    </w:p>
    <w:p w14:paraId="5722B86A">
      <w:pPr>
        <w:pStyle w:val="4"/>
        <w:rPr>
          <w:rFonts w:ascii="宋体" w:hAnsi="宋体" w:cs="宋体"/>
          <w:szCs w:val="21"/>
        </w:rPr>
      </w:pPr>
      <w:bookmarkStart w:id="170" w:name="_Toc29682"/>
      <w:bookmarkStart w:id="171" w:name="_Toc14396"/>
      <w:bookmarkStart w:id="172" w:name="_Toc16307"/>
      <w:bookmarkStart w:id="173" w:name="_Toc24267"/>
      <w:r>
        <w:rPr>
          <w:rFonts w:hint="eastAsia"/>
          <w:color w:val="000000" w:themeColor="text1"/>
        </w:rPr>
        <w:t>一、</w:t>
      </w:r>
      <w:bookmarkEnd w:id="170"/>
      <w:r>
        <w:rPr>
          <w:rFonts w:hint="eastAsia" w:ascii="宋体" w:hAnsi="宋体" w:cs="宋体"/>
          <w:szCs w:val="21"/>
        </w:rPr>
        <w:t>项目基本情况</w:t>
      </w:r>
      <w:bookmarkEnd w:id="171"/>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2679"/>
        <w:gridCol w:w="960"/>
        <w:gridCol w:w="1273"/>
        <w:gridCol w:w="1256"/>
        <w:gridCol w:w="1700"/>
      </w:tblGrid>
      <w:tr w14:paraId="289ED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82" w:type="pct"/>
            <w:vAlign w:val="center"/>
          </w:tcPr>
          <w:p w14:paraId="7B96FE5E">
            <w:pPr>
              <w:spacing w:line="240" w:lineRule="auto"/>
              <w:ind w:firstLine="0" w:firstLineChars="0"/>
            </w:pPr>
            <w:r>
              <w:rPr>
                <w:rFonts w:hint="eastAsia"/>
              </w:rPr>
              <w:t>序号</w:t>
            </w:r>
          </w:p>
        </w:tc>
        <w:tc>
          <w:tcPr>
            <w:tcW w:w="1572" w:type="pct"/>
            <w:vAlign w:val="center"/>
          </w:tcPr>
          <w:p w14:paraId="7C177821">
            <w:pPr>
              <w:spacing w:line="240" w:lineRule="auto"/>
              <w:ind w:firstLine="0" w:firstLineChars="0"/>
            </w:pPr>
            <w:r>
              <w:rPr>
                <w:rFonts w:hint="eastAsia"/>
              </w:rPr>
              <w:t>标项内容</w:t>
            </w:r>
          </w:p>
        </w:tc>
        <w:tc>
          <w:tcPr>
            <w:tcW w:w="563" w:type="pct"/>
            <w:vAlign w:val="center"/>
          </w:tcPr>
          <w:p w14:paraId="609B0F6A">
            <w:pPr>
              <w:spacing w:line="240" w:lineRule="auto"/>
              <w:ind w:firstLine="0" w:firstLineChars="0"/>
            </w:pPr>
            <w:r>
              <w:rPr>
                <w:rFonts w:hint="eastAsia"/>
              </w:rPr>
              <w:t>服务期</w:t>
            </w:r>
          </w:p>
        </w:tc>
        <w:tc>
          <w:tcPr>
            <w:tcW w:w="747" w:type="pct"/>
            <w:vAlign w:val="center"/>
          </w:tcPr>
          <w:p w14:paraId="472F43C0">
            <w:pPr>
              <w:spacing w:line="240" w:lineRule="auto"/>
              <w:ind w:firstLine="0" w:firstLineChars="0"/>
            </w:pPr>
            <w:r>
              <w:rPr>
                <w:rFonts w:hint="eastAsia"/>
              </w:rPr>
              <w:t>预算金额</w:t>
            </w:r>
          </w:p>
        </w:tc>
        <w:tc>
          <w:tcPr>
            <w:tcW w:w="737" w:type="pct"/>
            <w:vAlign w:val="center"/>
          </w:tcPr>
          <w:p w14:paraId="0C7662B3">
            <w:pPr>
              <w:spacing w:line="240" w:lineRule="auto"/>
              <w:ind w:firstLine="0" w:firstLineChars="0"/>
            </w:pPr>
            <w:r>
              <w:rPr>
                <w:rFonts w:hint="eastAsia"/>
              </w:rPr>
              <w:t>报价上限</w:t>
            </w:r>
          </w:p>
        </w:tc>
        <w:tc>
          <w:tcPr>
            <w:tcW w:w="997" w:type="pct"/>
            <w:vAlign w:val="center"/>
          </w:tcPr>
          <w:p w14:paraId="7728ED15">
            <w:pPr>
              <w:spacing w:line="240" w:lineRule="auto"/>
              <w:ind w:firstLine="0" w:firstLineChars="0"/>
            </w:pPr>
            <w:r>
              <w:rPr>
                <w:rFonts w:hint="eastAsia"/>
              </w:rPr>
              <w:t>服务地点</w:t>
            </w:r>
          </w:p>
        </w:tc>
      </w:tr>
      <w:tr w14:paraId="3F0AC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382" w:type="pct"/>
            <w:vAlign w:val="center"/>
          </w:tcPr>
          <w:p w14:paraId="20BAFCA6">
            <w:pPr>
              <w:spacing w:line="240" w:lineRule="auto"/>
              <w:ind w:firstLine="0" w:firstLineChars="0"/>
            </w:pPr>
            <w:r>
              <w:rPr>
                <w:rFonts w:hint="eastAsia"/>
              </w:rPr>
              <w:t>1</w:t>
            </w:r>
          </w:p>
        </w:tc>
        <w:tc>
          <w:tcPr>
            <w:tcW w:w="1572" w:type="pct"/>
            <w:vAlign w:val="center"/>
          </w:tcPr>
          <w:p w14:paraId="03FCDCD7">
            <w:pPr>
              <w:spacing w:line="240" w:lineRule="auto"/>
              <w:ind w:firstLine="0" w:firstLineChars="0"/>
              <w:rPr>
                <w:rFonts w:hint="eastAsia" w:eastAsia="宋体"/>
                <w:lang w:eastAsia="zh-CN"/>
              </w:rPr>
            </w:pPr>
            <w:r>
              <w:rPr>
                <w:rFonts w:hint="eastAsia"/>
                <w:lang w:eastAsia="zh-CN"/>
              </w:rPr>
              <w:t>2025年度龙游县公安局交通警察大队食堂（大队机关、城区中队）劳务外包服务采购项目</w:t>
            </w:r>
          </w:p>
        </w:tc>
        <w:tc>
          <w:tcPr>
            <w:tcW w:w="563" w:type="pct"/>
            <w:vAlign w:val="center"/>
          </w:tcPr>
          <w:p w14:paraId="64FDB63F">
            <w:pPr>
              <w:spacing w:line="240" w:lineRule="auto"/>
              <w:ind w:firstLine="0" w:firstLineChars="0"/>
            </w:pPr>
            <w:r>
              <w:rPr>
                <w:rFonts w:hint="eastAsia"/>
                <w:lang w:val="en-US" w:eastAsia="zh-CN"/>
              </w:rPr>
              <w:t>一</w:t>
            </w:r>
            <w:r>
              <w:rPr>
                <w:rFonts w:hint="eastAsia"/>
              </w:rPr>
              <w:t>年</w:t>
            </w:r>
          </w:p>
        </w:tc>
        <w:tc>
          <w:tcPr>
            <w:tcW w:w="747" w:type="pct"/>
            <w:vAlign w:val="center"/>
          </w:tcPr>
          <w:p w14:paraId="374AF732">
            <w:pPr>
              <w:spacing w:line="240" w:lineRule="auto"/>
              <w:ind w:firstLine="0" w:firstLineChars="0"/>
            </w:pPr>
            <w:r>
              <w:rPr>
                <w:rFonts w:hint="eastAsia"/>
                <w:lang w:val="en-US" w:eastAsia="zh-CN"/>
              </w:rPr>
              <w:t>45</w:t>
            </w:r>
            <w:r>
              <w:rPr>
                <w:rFonts w:hint="eastAsia"/>
              </w:rPr>
              <w:t>万元</w:t>
            </w:r>
          </w:p>
        </w:tc>
        <w:tc>
          <w:tcPr>
            <w:tcW w:w="737" w:type="pct"/>
            <w:vAlign w:val="center"/>
          </w:tcPr>
          <w:p w14:paraId="6C23145F">
            <w:pPr>
              <w:spacing w:line="240" w:lineRule="auto"/>
              <w:ind w:firstLine="0" w:firstLineChars="0"/>
            </w:pPr>
            <w:r>
              <w:rPr>
                <w:rFonts w:hint="eastAsia"/>
                <w:lang w:val="en-US" w:eastAsia="zh-CN"/>
              </w:rPr>
              <w:t>45</w:t>
            </w:r>
            <w:r>
              <w:rPr>
                <w:rFonts w:hint="eastAsia"/>
              </w:rPr>
              <w:t>万元</w:t>
            </w:r>
          </w:p>
        </w:tc>
        <w:tc>
          <w:tcPr>
            <w:tcW w:w="997" w:type="pct"/>
            <w:vAlign w:val="center"/>
          </w:tcPr>
          <w:p w14:paraId="51DFB9DE">
            <w:pPr>
              <w:spacing w:line="240" w:lineRule="auto"/>
              <w:ind w:firstLine="0" w:firstLineChars="0"/>
            </w:pPr>
            <w:r>
              <w:rPr>
                <w:rFonts w:hint="eastAsia"/>
              </w:rPr>
              <w:t>大队部食堂及城区中队食堂</w:t>
            </w:r>
          </w:p>
        </w:tc>
      </w:tr>
    </w:tbl>
    <w:p w14:paraId="24066E31">
      <w:pPr>
        <w:pStyle w:val="4"/>
      </w:pPr>
      <w:bookmarkStart w:id="174" w:name="_Toc4073"/>
      <w:r>
        <w:rPr>
          <w:rFonts w:hint="eastAsia"/>
        </w:rPr>
        <w:t>二、项目概况</w:t>
      </w:r>
      <w:bookmarkEnd w:id="174"/>
    </w:p>
    <w:p w14:paraId="09394A62">
      <w:pPr>
        <w:ind w:firstLine="480"/>
      </w:pPr>
      <w:r>
        <w:rPr>
          <w:rFonts w:hint="eastAsia"/>
        </w:rPr>
        <w:t>1.食堂概况：本次龙游县公安局交通警察大队</w:t>
      </w:r>
      <w:r>
        <w:rPr>
          <w:rFonts w:hint="eastAsia"/>
          <w:lang w:val="zh-CN"/>
        </w:rPr>
        <w:t>食堂劳务外包服务由</w:t>
      </w:r>
      <w:r>
        <w:rPr>
          <w:rFonts w:hint="eastAsia"/>
        </w:rPr>
        <w:t>2处食堂组成，分别为大队部食堂：食堂全天就餐人数1</w:t>
      </w:r>
      <w:r>
        <w:rPr>
          <w:rFonts w:hint="eastAsia"/>
          <w:lang w:val="en-US" w:eastAsia="zh-CN"/>
        </w:rPr>
        <w:t>3</w:t>
      </w:r>
      <w:r>
        <w:t>0</w:t>
      </w:r>
      <w:r>
        <w:rPr>
          <w:rFonts w:hint="eastAsia"/>
        </w:rPr>
        <w:t>人左右；城区中队食堂：食堂全天就餐人数</w:t>
      </w:r>
      <w:r>
        <w:rPr>
          <w:rFonts w:hint="eastAsia"/>
          <w:lang w:val="en-US" w:eastAsia="zh-CN"/>
        </w:rPr>
        <w:t>4</w:t>
      </w:r>
      <w:r>
        <w:rPr>
          <w:rFonts w:hint="eastAsia"/>
        </w:rPr>
        <w:t>0人左右，2个食堂总全天就餐人数200人左右。</w:t>
      </w:r>
    </w:p>
    <w:p w14:paraId="18948C51">
      <w:pPr>
        <w:ind w:firstLine="480"/>
      </w:pPr>
      <w:r>
        <w:rPr>
          <w:rFonts w:hint="eastAsia"/>
        </w:rPr>
        <w:t>2.管理方式：劳务外包的方式。即：中标方提供专业的管理和服务团队（主要包括厨师队伍、面点师、服务人员等工作人员，并负责主副食的加工供应以及食堂的清洁等工作，但不负责原材料的采购。</w:t>
      </w:r>
      <w:r>
        <w:rPr>
          <w:rFonts w:hint="eastAsia"/>
          <w:lang w:val="en-US" w:eastAsia="zh-CN"/>
        </w:rPr>
        <w:t>采购人</w:t>
      </w:r>
      <w:r>
        <w:rPr>
          <w:rFonts w:hint="eastAsia"/>
        </w:rPr>
        <w:t>免费提供厨房、餐厅、仓库、全套厨房设备、餐具等，并承担食堂所有的水、电、燃气及其他必要的基础设施的正常维修。</w:t>
      </w:r>
    </w:p>
    <w:p w14:paraId="2AA5BA76">
      <w:pPr>
        <w:ind w:firstLine="480"/>
      </w:pPr>
      <w:r>
        <w:rPr>
          <w:rFonts w:hint="eastAsia"/>
        </w:rPr>
        <w:t>3.用餐时间与人数：</w:t>
      </w:r>
    </w:p>
    <w:p w14:paraId="2589DBA0">
      <w:pPr>
        <w:ind w:firstLine="480"/>
      </w:pPr>
      <w:r>
        <w:rPr>
          <w:rFonts w:hint="eastAsia"/>
        </w:rPr>
        <w:t>（1）早餐开餐时间：</w:t>
      </w:r>
      <w:r>
        <w:rPr>
          <w:rFonts w:hint="eastAsia"/>
          <w:lang w:val="zh-CN"/>
        </w:rPr>
        <w:t>按采购人要求执行，具体为：（每年10月1日起至次年4月30日止）早上7:20—8:25；中餐12:00—13:00；晚餐：17:00—18:00。（每年5月1日起至9月30日止）早上7:20—8:25；中餐12:00—13:00；晚餐：17:30—18:30。如有变化，根据实际调整</w:t>
      </w:r>
      <w:r>
        <w:rPr>
          <w:rFonts w:hint="eastAsia"/>
        </w:rPr>
        <w:t>。</w:t>
      </w:r>
    </w:p>
    <w:p w14:paraId="40EB8B2B">
      <w:pPr>
        <w:ind w:firstLine="480"/>
        <w:rPr>
          <w:rFonts w:ascii="宋体" w:hAnsi="宋体" w:cs="宋体"/>
          <w:b/>
          <w:bCs/>
          <w:szCs w:val="21"/>
        </w:rPr>
      </w:pPr>
      <w:r>
        <w:rPr>
          <w:rFonts w:hint="eastAsia"/>
        </w:rPr>
        <w:t>（2）日均就餐人数：</w:t>
      </w:r>
      <w:r>
        <w:rPr>
          <w:rFonts w:hint="eastAsia"/>
          <w:lang w:val="en-US" w:eastAsia="zh-CN"/>
        </w:rPr>
        <w:t>17</w:t>
      </w:r>
      <w:r>
        <w:rPr>
          <w:rFonts w:hint="eastAsia"/>
        </w:rPr>
        <w:t>0人左右，具体就餐人数以实际就餐人数为准。法定节假日及周末采购人值班、备勤人员，食堂需提供保障（若遇安保统一行动特殊情况及招待餐，中标人必须正常提供服务，费用包含在合同总价中，中标</w:t>
      </w:r>
      <w:r>
        <w:rPr>
          <w:rFonts w:hint="eastAsia"/>
          <w:lang w:val="en-US" w:eastAsia="zh-CN"/>
        </w:rPr>
        <w:t>人</w:t>
      </w:r>
      <w:r>
        <w:rPr>
          <w:rFonts w:hint="eastAsia"/>
        </w:rPr>
        <w:t>不再另行主张费用）。</w:t>
      </w:r>
    </w:p>
    <w:p w14:paraId="3CF15EE0">
      <w:pPr>
        <w:pStyle w:val="4"/>
        <w:rPr>
          <w:lang w:val="zh-CN"/>
        </w:rPr>
      </w:pPr>
      <w:bookmarkStart w:id="175" w:name="_Toc22953"/>
      <w:r>
        <w:rPr>
          <w:rFonts w:hint="eastAsia"/>
          <w:lang w:val="zh-CN"/>
        </w:rPr>
        <w:t>三、具体要求</w:t>
      </w:r>
      <w:bookmarkEnd w:id="175"/>
    </w:p>
    <w:p w14:paraId="19B89CF9">
      <w:pPr>
        <w:ind w:firstLine="480"/>
      </w:pPr>
      <w:r>
        <w:rPr>
          <w:rFonts w:hint="eastAsia"/>
        </w:rPr>
        <w:t>1.中标人要以“大队满意”、“就餐民警职工满意”为目标，做到“管理制度化”、服务精细化”、“制作标准化”，严格执行采购人所制订的各项规章制度，自觉服从采购人日常监督管理，并制订配套的内部管理制度，内容应涵盖食品安全、环境卫生、人员管理、成本管理、请销假制度等。</w:t>
      </w:r>
    </w:p>
    <w:p w14:paraId="003D768D">
      <w:pPr>
        <w:ind w:firstLine="480"/>
      </w:pPr>
      <w:r>
        <w:rPr>
          <w:rFonts w:hint="eastAsia"/>
        </w:rPr>
        <w:t>2.中标人应根据采购人的要求，于每周四前制订好下一周食谱，报采购人审定后实施。食谱的制订应按照应时、应地、应人的原则，倡导少油、少糖、少盐的健康理念，做到周周有创新。具体要求如下：</w:t>
      </w:r>
    </w:p>
    <w:p w14:paraId="79131F45">
      <w:pPr>
        <w:ind w:firstLine="480"/>
        <w:rPr>
          <w:lang w:val="zh-CN"/>
        </w:rPr>
      </w:pPr>
      <w:r>
        <w:rPr>
          <w:rFonts w:hint="eastAsia"/>
          <w:lang w:val="zh-CN"/>
        </w:rPr>
        <w:t>食堂早餐须提供粥、面条、豆浆、馄饨、包子等早点，花色品种不少于</w:t>
      </w:r>
      <w:r>
        <w:rPr>
          <w:rFonts w:hint="eastAsia"/>
        </w:rPr>
        <w:t>6</w:t>
      </w:r>
      <w:r>
        <w:rPr>
          <w:rFonts w:hint="eastAsia"/>
          <w:lang w:val="zh-CN"/>
        </w:rPr>
        <w:t>个，要求</w:t>
      </w:r>
      <w:r>
        <w:rPr>
          <w:rFonts w:hint="eastAsia"/>
        </w:rPr>
        <w:t>一周内同一品种不重复2次。</w:t>
      </w:r>
      <w:r>
        <w:rPr>
          <w:rFonts w:hint="eastAsia"/>
          <w:lang w:val="zh-CN"/>
        </w:rPr>
        <w:t>另要每日早餐有</w:t>
      </w:r>
      <w:r>
        <w:rPr>
          <w:rFonts w:hint="eastAsia"/>
        </w:rPr>
        <w:t>2</w:t>
      </w:r>
      <w:r>
        <w:rPr>
          <w:rFonts w:hint="eastAsia"/>
          <w:lang w:val="zh-CN"/>
        </w:rPr>
        <w:t>种以上的小菜，一周不重复两次。</w:t>
      </w:r>
    </w:p>
    <w:p w14:paraId="08A6B436">
      <w:pPr>
        <w:ind w:firstLine="480"/>
      </w:pPr>
      <w:r>
        <w:rPr>
          <w:rFonts w:hint="eastAsia"/>
          <w:lang w:val="zh-CN"/>
        </w:rPr>
        <w:t>每天中餐菜肴不少于</w:t>
      </w:r>
      <w:r>
        <w:rPr>
          <w:rFonts w:hint="eastAsia"/>
        </w:rPr>
        <w:t>5</w:t>
      </w:r>
      <w:r>
        <w:rPr>
          <w:rFonts w:hint="eastAsia"/>
          <w:lang w:val="zh-CN"/>
        </w:rPr>
        <w:t>个品种，晚餐菜肴不少于</w:t>
      </w:r>
      <w:r>
        <w:rPr>
          <w:rFonts w:hint="eastAsia"/>
        </w:rPr>
        <w:t>3</w:t>
      </w:r>
      <w:r>
        <w:rPr>
          <w:rFonts w:hint="eastAsia"/>
          <w:lang w:val="zh-CN"/>
        </w:rPr>
        <w:t>个品种，主打菜一周内不重复</w:t>
      </w:r>
      <w:r>
        <w:rPr>
          <w:rFonts w:hint="eastAsia"/>
        </w:rPr>
        <w:t>，外加一个汤，天气炎热期间，再提供至少一种冷饮（如绿豆汤、白木耳汤等）。</w:t>
      </w:r>
    </w:p>
    <w:p w14:paraId="2B32E6A0">
      <w:pPr>
        <w:ind w:firstLine="480"/>
      </w:pPr>
      <w:r>
        <w:rPr>
          <w:rFonts w:hint="eastAsia"/>
        </w:rPr>
        <w:t>3.中标人根据就餐人数和食材成本及有关损耗，与采购人指定的管理人员一起确定每天食材采购清单。菜品的安排既要让就餐人员吃得好，又要保证采购人每月不发生亏损。</w:t>
      </w:r>
    </w:p>
    <w:p w14:paraId="7FE21FE6">
      <w:pPr>
        <w:ind w:firstLine="480"/>
      </w:pPr>
      <w:r>
        <w:rPr>
          <w:rFonts w:hint="eastAsia"/>
        </w:rPr>
        <w:t>4.原材料的采购由采购人负责，油、米、调料及低值易耗品也由采购人提供。</w:t>
      </w:r>
    </w:p>
    <w:p w14:paraId="77848DE5">
      <w:pPr>
        <w:ind w:firstLine="480"/>
      </w:pPr>
      <w:r>
        <w:rPr>
          <w:rFonts w:hint="eastAsia"/>
        </w:rPr>
        <w:t>5.中标人要爱护采购人提供的房产和餐饮炊具设备等，负责日常养护管理，如中标人人为原因造成的设备设施损坏、遗失，中标人应照价赔偿，在合同签订时双方书面明确设备清单及价格并作为合同附件。</w:t>
      </w:r>
    </w:p>
    <w:p w14:paraId="1307AC56">
      <w:pPr>
        <w:ind w:firstLine="480"/>
      </w:pPr>
      <w:r>
        <w:rPr>
          <w:rFonts w:hint="eastAsia"/>
        </w:rPr>
        <w:t>6.中标人要落实好《食品安全法》、“五四”卫生制度。负责好食堂的饮食安全卫生，签约时需与</w:t>
      </w:r>
      <w:r>
        <w:rPr>
          <w:rFonts w:hint="eastAsia"/>
          <w:lang w:val="en-US" w:eastAsia="zh-CN"/>
        </w:rPr>
        <w:t>采购人</w:t>
      </w:r>
      <w:r>
        <w:rPr>
          <w:rFonts w:hint="eastAsia"/>
        </w:rPr>
        <w:t>签订饮食安全卫生责任书。</w:t>
      </w:r>
    </w:p>
    <w:p w14:paraId="3D221423">
      <w:pPr>
        <w:ind w:firstLine="480"/>
      </w:pPr>
      <w:r>
        <w:rPr>
          <w:rFonts w:hint="eastAsia"/>
        </w:rPr>
        <w:t>7.中标人不得储藏、加工、提供变质食品。如在制作过程中因使用变质、腐烂等食材引起食物中毒或因其他原因造成不良后果，损害就餐职工身体健康的现象，中标人必须承担由此造成的一切责任和经济损失，采购人有权单方面终止合同。</w:t>
      </w:r>
    </w:p>
    <w:p w14:paraId="00C45FFA">
      <w:pPr>
        <w:ind w:firstLine="480"/>
      </w:pPr>
      <w:r>
        <w:rPr>
          <w:rFonts w:hint="eastAsia"/>
        </w:rPr>
        <w:t>8.中标人应按照标准制度落实专人对餐厅、加工间等场所进行常态化的环境卫生打扫管理和隔油池、抽油烟管及设备保养清洗。中标人应划分好卫生包干区域，并报采购人审定后实施。</w:t>
      </w:r>
    </w:p>
    <w:p w14:paraId="1B8E99C9">
      <w:pPr>
        <w:ind w:firstLine="480"/>
      </w:pPr>
      <w:r>
        <w:rPr>
          <w:rFonts w:hint="eastAsia"/>
        </w:rPr>
        <w:t>9.中标人应每半年组织所属员工进行健康检查，费用由中标人负责，确保所属人员持有有效健康证；中标人应定期开展职业道德、安全教育、卫生教育和技能培训等，不断提高员工素质；中标人员工应统一着装上岗，上岗时穿戴好工作服、工作帽和口罩、工作服装不得在离开岗位的其他地方穿着，保证工作服装的整洁等；中标人员工如发生偷盗行为的，视情采取罚款、辞退、移送公安机关等措施，直至采购人无条件终止合同，并禁止中标人参加采购人今后组织的类似项目招标。</w:t>
      </w:r>
    </w:p>
    <w:p w14:paraId="30DE34C4">
      <w:pPr>
        <w:ind w:firstLine="480"/>
      </w:pPr>
      <w:r>
        <w:rPr>
          <w:rFonts w:hint="eastAsia"/>
        </w:rPr>
        <w:t>10.中标人自行按时发放所属工作人员的工资、福利、劳保用品和奖金等，按劳动保障部门给所属工作人员缴纳保险，采购人将予以监督，中标人负责对工作人员进行遵纪守法和安全卫生教育，如发生意外伤残、伤亡事故，中标人承担全部责任和经济补偿，采购人不承担任何经济损失和相关责任。</w:t>
      </w:r>
    </w:p>
    <w:p w14:paraId="63BD528A">
      <w:pPr>
        <w:ind w:firstLine="480"/>
      </w:pPr>
      <w:r>
        <w:rPr>
          <w:rFonts w:hint="eastAsia"/>
        </w:rPr>
        <w:t>11.中标人不负责承担食堂在承包期内所有水电燃气费，但是必须做到节约使用。</w:t>
      </w:r>
    </w:p>
    <w:p w14:paraId="033D7028">
      <w:pPr>
        <w:ind w:firstLine="480"/>
      </w:pPr>
      <w:r>
        <w:rPr>
          <w:rFonts w:hint="eastAsia"/>
        </w:rPr>
        <w:t>12.中标人工作人员在食堂就餐，按</w:t>
      </w:r>
      <w:r>
        <w:rPr>
          <w:rFonts w:hint="eastAsia"/>
          <w:lang w:val="en-US" w:eastAsia="zh-CN"/>
        </w:rPr>
        <w:t>3</w:t>
      </w:r>
      <w:r>
        <w:t>00</w:t>
      </w:r>
      <w:r>
        <w:rPr>
          <w:rFonts w:hint="eastAsia"/>
        </w:rPr>
        <w:t>元/月/人标准向采购人缴纳伙食费，要求在签订合同后每个月以转账方式将伙食费打入采购人食堂账户（一</w:t>
      </w:r>
      <w:r>
        <w:rPr>
          <w:rFonts w:hint="eastAsia"/>
          <w:lang w:val="en-US" w:eastAsia="zh-CN"/>
        </w:rPr>
        <w:t>月</w:t>
      </w:r>
      <w:r>
        <w:rPr>
          <w:rFonts w:hint="eastAsia"/>
        </w:rPr>
        <w:t>一付）。</w:t>
      </w:r>
    </w:p>
    <w:p w14:paraId="0B18D389">
      <w:pPr>
        <w:ind w:firstLine="480"/>
      </w:pPr>
      <w:r>
        <w:rPr>
          <w:rFonts w:hint="eastAsia"/>
        </w:rPr>
        <w:t>13.中标人在承包期间不得变更房产结构，不得变换基本设施，若因经营服务需要，对经营场所进行装修，需书面报告采购人同意后方可实施。</w:t>
      </w:r>
    </w:p>
    <w:p w14:paraId="28B73F81">
      <w:pPr>
        <w:ind w:firstLine="480"/>
      </w:pPr>
      <w:r>
        <w:rPr>
          <w:rFonts w:hint="eastAsia"/>
        </w:rPr>
        <w:t>14.中标人必须按期上报食堂运营的相关数据。（具体根据采购人实际情况而定）</w:t>
      </w:r>
    </w:p>
    <w:p w14:paraId="15E1F63B">
      <w:pPr>
        <w:ind w:firstLine="480"/>
      </w:pPr>
      <w:r>
        <w:rPr>
          <w:rFonts w:hint="eastAsia"/>
        </w:rPr>
        <w:t>15.中标人须根据采购人规定时间按时为就餐民警职工提供优质服务，不得提前或延迟开饭时间（特殊情况如开会、接待、会餐、培训及有特殊工作任务等要服从大队指定的时间），坚持服务第一的宗旨，做到热情服务、文明待人。</w:t>
      </w:r>
    </w:p>
    <w:p w14:paraId="3198A6A6">
      <w:pPr>
        <w:ind w:firstLine="480"/>
      </w:pPr>
      <w:r>
        <w:rPr>
          <w:rFonts w:hint="eastAsia"/>
        </w:rPr>
        <w:t>16.中标人所聘人员不符合采购人要求，必须及时调整，否则采购人有权扣除相应费用，直至终止合同。中标人应保证全员在岗，如因员工辞职，请假等原因出现缺勤情况，中标人应</w:t>
      </w:r>
      <w:r>
        <w:rPr>
          <w:rFonts w:hint="eastAsia"/>
          <w:lang w:val="en-US" w:eastAsia="zh-CN"/>
        </w:rPr>
        <w:t>当天</w:t>
      </w:r>
      <w:r>
        <w:rPr>
          <w:rFonts w:hint="eastAsia"/>
        </w:rPr>
        <w:t>调整、补充人员，</w:t>
      </w:r>
      <w:r>
        <w:rPr>
          <w:rFonts w:hint="eastAsia"/>
          <w:lang w:val="en-US" w:eastAsia="zh-CN"/>
        </w:rPr>
        <w:t>确保食堂正常运行，</w:t>
      </w:r>
      <w:r>
        <w:rPr>
          <w:rFonts w:hint="eastAsia"/>
        </w:rPr>
        <w:t>否则采购人有权按缺勤天数和人数扣除相应合同金额。</w:t>
      </w:r>
    </w:p>
    <w:p w14:paraId="16AC9A51">
      <w:pPr>
        <w:ind w:firstLine="480"/>
      </w:pPr>
      <w:r>
        <w:rPr>
          <w:rFonts w:hint="eastAsia"/>
        </w:rPr>
        <w:t>17.中标人需保障采购人的会议、培训和接待用餐，不另外支付费用（双方另行协商除外）。</w:t>
      </w:r>
    </w:p>
    <w:p w14:paraId="4A6C7BD3">
      <w:pPr>
        <w:ind w:firstLine="480"/>
      </w:pPr>
      <w:r>
        <w:rPr>
          <w:rFonts w:hint="eastAsia"/>
        </w:rPr>
        <w:t>18.中标人须严格履行合同要求，不得转包给其他运营者，否则采购人将单方面终止合同，由此产生的后果和损失均由中标人负责。</w:t>
      </w:r>
    </w:p>
    <w:p w14:paraId="1F95F08E">
      <w:pPr>
        <w:ind w:firstLine="480"/>
      </w:pPr>
      <w:r>
        <w:rPr>
          <w:rFonts w:hint="eastAsia"/>
        </w:rPr>
        <w:t>19.有关考核办法：详见《龙游县公安局交通警察大队食堂管理考核标准与考核办法》。</w:t>
      </w:r>
    </w:p>
    <w:p w14:paraId="2D5D9EDB">
      <w:pPr>
        <w:ind w:firstLine="480"/>
      </w:pPr>
      <w:r>
        <w:rPr>
          <w:rFonts w:hint="eastAsia"/>
        </w:rPr>
        <w:t>20.中标人提供餐饮服务时，一切安全事故责任均自行承担，事故责任和损失</w:t>
      </w:r>
      <w:r>
        <w:rPr>
          <w:rFonts w:hint="eastAsia"/>
          <w:lang w:val="en-US" w:eastAsia="zh-CN"/>
        </w:rPr>
        <w:t>均</w:t>
      </w:r>
      <w:r>
        <w:rPr>
          <w:rFonts w:hint="eastAsia"/>
        </w:rPr>
        <w:t>由中标人承担。</w:t>
      </w:r>
    </w:p>
    <w:p w14:paraId="44AA62D4">
      <w:pPr>
        <w:ind w:firstLine="480"/>
      </w:pPr>
      <w:r>
        <w:rPr>
          <w:rFonts w:hint="eastAsia"/>
        </w:rPr>
        <w:t>21.合同期限内，食堂消防、安全、卫生、环境由中标人负责，如因中标人责任发生的火灾、食物中毒、环境污染、安全事故等，所有的损失均由中标人负责，并依照法律追究中标人责任。</w:t>
      </w:r>
    </w:p>
    <w:p w14:paraId="2686D9A5">
      <w:pPr>
        <w:ind w:firstLine="480"/>
      </w:pPr>
      <w:r>
        <w:rPr>
          <w:rFonts w:hint="eastAsia"/>
        </w:rPr>
        <w:t>22.未经采购人同意，中标人不得有下列行为：不得转包他人，擅自安排人员到本食堂学习、考察和培训等；擅自调动本项目工作人员外出工作；擅自安排人员到本项目食堂免费用餐。上述行为一经发现，采购人有权视情节进行扣款处罚（100～1000元），处罚金额从下个月承包服务费中直接扣除。</w:t>
      </w:r>
    </w:p>
    <w:p w14:paraId="34F147A8">
      <w:pPr>
        <w:ind w:firstLine="480"/>
      </w:pPr>
      <w:r>
        <w:rPr>
          <w:rFonts w:hint="eastAsia"/>
        </w:rPr>
        <w:t>23.如中标人有违反上述条款和相关规定，或因不服从采购人管理监督造成双方矛盾激化，被采购人解除合同的，具体解除合同时间由采购人确定，中标人不得私自带团队撤离，如私自带团队撤离，采购人有权按合同价的百分之二十向中标人进行索赔，如中标人不履行的，采购人可向龙游县仲裁委申请仲裁。</w:t>
      </w:r>
    </w:p>
    <w:p w14:paraId="299512A0">
      <w:pPr>
        <w:ind w:firstLine="480"/>
      </w:pPr>
      <w:r>
        <w:rPr>
          <w:rFonts w:hint="eastAsia"/>
        </w:rPr>
        <w:t>24.合同期满后，中标人应服从采购人安排，由采购人确定撤离时间，不得私自带团队撤离，如私自带团队撤离，影响食堂正常工作的，采购人有权按合同价的百分之二十向中标人进行索赔，如中标人不履行的，采购人可向龙游县仲裁委申请仲裁。</w:t>
      </w:r>
    </w:p>
    <w:p w14:paraId="71C1FC74">
      <w:pPr>
        <w:ind w:firstLine="480"/>
        <w:rPr>
          <w:rFonts w:ascii="宋体" w:hAnsi="宋体" w:cs="宋体"/>
          <w:szCs w:val="21"/>
        </w:rPr>
      </w:pPr>
      <w:r>
        <w:rPr>
          <w:rFonts w:hint="eastAsia"/>
        </w:rPr>
        <w:t>25.合同期限内，若因不确定因素致采购人就餐人数变动较大时，其费用双方另行协商。</w:t>
      </w:r>
    </w:p>
    <w:p w14:paraId="0E1F579E">
      <w:pPr>
        <w:pStyle w:val="4"/>
      </w:pPr>
      <w:bookmarkStart w:id="176" w:name="_Toc25472"/>
      <w:r>
        <w:rPr>
          <w:rFonts w:hint="eastAsia"/>
        </w:rPr>
        <w:t>四、人员配置要求</w:t>
      </w:r>
      <w:bookmarkEnd w:id="176"/>
    </w:p>
    <w:tbl>
      <w:tblPr>
        <w:tblStyle w:val="31"/>
        <w:tblW w:w="88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2892"/>
        <w:gridCol w:w="825"/>
        <w:gridCol w:w="1782"/>
        <w:gridCol w:w="2594"/>
      </w:tblGrid>
      <w:tr w14:paraId="44FE3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blHeader/>
        </w:trPr>
        <w:tc>
          <w:tcPr>
            <w:tcW w:w="769" w:type="dxa"/>
            <w:vAlign w:val="center"/>
          </w:tcPr>
          <w:p w14:paraId="447E1089">
            <w:pPr>
              <w:spacing w:line="240" w:lineRule="auto"/>
              <w:ind w:firstLine="0" w:firstLineChars="0"/>
            </w:pPr>
            <w:r>
              <w:rPr>
                <w:rFonts w:hint="eastAsia"/>
              </w:rPr>
              <w:t>序号</w:t>
            </w:r>
          </w:p>
        </w:tc>
        <w:tc>
          <w:tcPr>
            <w:tcW w:w="2892" w:type="dxa"/>
            <w:vAlign w:val="center"/>
          </w:tcPr>
          <w:p w14:paraId="00B28631">
            <w:pPr>
              <w:spacing w:line="240" w:lineRule="auto"/>
              <w:ind w:firstLine="0" w:firstLineChars="0"/>
            </w:pPr>
            <w:r>
              <w:rPr>
                <w:rFonts w:hint="eastAsia"/>
              </w:rPr>
              <w:t>岗位名称</w:t>
            </w:r>
          </w:p>
        </w:tc>
        <w:tc>
          <w:tcPr>
            <w:tcW w:w="825" w:type="dxa"/>
            <w:vAlign w:val="center"/>
          </w:tcPr>
          <w:p w14:paraId="0246A4E5">
            <w:pPr>
              <w:spacing w:line="240" w:lineRule="auto"/>
              <w:ind w:firstLine="0" w:firstLineChars="0"/>
            </w:pPr>
            <w:r>
              <w:rPr>
                <w:rFonts w:hint="eastAsia"/>
              </w:rPr>
              <w:t>人数</w:t>
            </w:r>
          </w:p>
        </w:tc>
        <w:tc>
          <w:tcPr>
            <w:tcW w:w="1782" w:type="dxa"/>
            <w:vAlign w:val="center"/>
          </w:tcPr>
          <w:p w14:paraId="2DA2F4B6">
            <w:pPr>
              <w:spacing w:line="240" w:lineRule="auto"/>
              <w:ind w:firstLine="0" w:firstLineChars="0"/>
            </w:pPr>
            <w:r>
              <w:rPr>
                <w:rFonts w:hint="eastAsia"/>
                <w:lang w:val="en-US" w:eastAsia="zh-CN"/>
              </w:rPr>
              <w:t>身体</w:t>
            </w:r>
            <w:r>
              <w:rPr>
                <w:rFonts w:hint="eastAsia"/>
              </w:rPr>
              <w:t>年龄要求</w:t>
            </w:r>
          </w:p>
        </w:tc>
        <w:tc>
          <w:tcPr>
            <w:tcW w:w="2594" w:type="dxa"/>
            <w:vAlign w:val="center"/>
          </w:tcPr>
          <w:p w14:paraId="104D5FDE">
            <w:pPr>
              <w:spacing w:line="240" w:lineRule="auto"/>
              <w:ind w:firstLine="0" w:firstLineChars="0"/>
            </w:pPr>
            <w:r>
              <w:rPr>
                <w:rFonts w:hint="eastAsia"/>
              </w:rPr>
              <w:t>其他要求</w:t>
            </w:r>
          </w:p>
        </w:tc>
      </w:tr>
      <w:tr w14:paraId="43B30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9" w:type="dxa"/>
            <w:vAlign w:val="center"/>
          </w:tcPr>
          <w:p w14:paraId="5184290B">
            <w:pPr>
              <w:spacing w:line="240" w:lineRule="auto"/>
              <w:ind w:firstLine="0" w:firstLineChars="0"/>
            </w:pPr>
            <w:r>
              <w:rPr>
                <w:rFonts w:hint="eastAsia"/>
              </w:rPr>
              <w:t>1</w:t>
            </w:r>
          </w:p>
        </w:tc>
        <w:tc>
          <w:tcPr>
            <w:tcW w:w="2892" w:type="dxa"/>
            <w:vAlign w:val="center"/>
          </w:tcPr>
          <w:p w14:paraId="699A2535">
            <w:pPr>
              <w:spacing w:line="240" w:lineRule="auto"/>
              <w:ind w:firstLine="0" w:firstLineChars="0"/>
            </w:pPr>
            <w:r>
              <w:rPr>
                <w:rFonts w:hint="eastAsia"/>
              </w:rPr>
              <w:t>厨师长</w:t>
            </w:r>
          </w:p>
        </w:tc>
        <w:tc>
          <w:tcPr>
            <w:tcW w:w="825" w:type="dxa"/>
            <w:vAlign w:val="center"/>
          </w:tcPr>
          <w:p w14:paraId="35ACD905">
            <w:pPr>
              <w:spacing w:line="240" w:lineRule="auto"/>
              <w:ind w:firstLine="0" w:firstLineChars="0"/>
            </w:pPr>
            <w:r>
              <w:rPr>
                <w:rFonts w:hint="eastAsia"/>
              </w:rPr>
              <w:t>1人</w:t>
            </w:r>
          </w:p>
        </w:tc>
        <w:tc>
          <w:tcPr>
            <w:tcW w:w="1782" w:type="dxa"/>
            <w:vMerge w:val="restart"/>
            <w:vAlign w:val="center"/>
          </w:tcPr>
          <w:p w14:paraId="4C8E55E3">
            <w:pPr>
              <w:spacing w:line="240" w:lineRule="auto"/>
              <w:ind w:firstLine="0" w:firstLineChars="0"/>
              <w:rPr>
                <w:rFonts w:hint="default" w:eastAsia="宋体"/>
                <w:lang w:val="en-US" w:eastAsia="zh-CN"/>
              </w:rPr>
            </w:pPr>
            <w:r>
              <w:rPr>
                <w:rFonts w:hint="eastAsia"/>
                <w:lang w:val="en-US" w:eastAsia="zh-CN"/>
              </w:rPr>
              <w:t>有当年体检报告并且身体健康、政审合格。</w:t>
            </w:r>
          </w:p>
        </w:tc>
        <w:tc>
          <w:tcPr>
            <w:tcW w:w="2594" w:type="dxa"/>
            <w:vMerge w:val="restart"/>
            <w:vAlign w:val="center"/>
          </w:tcPr>
          <w:p w14:paraId="083EB2E9">
            <w:pPr>
              <w:spacing w:line="240" w:lineRule="auto"/>
              <w:ind w:firstLine="0" w:firstLineChars="0"/>
            </w:pPr>
            <w:r>
              <w:rPr>
                <w:rFonts w:hint="eastAsia"/>
              </w:rPr>
              <w:t>需精通龙游本地菜系</w:t>
            </w:r>
          </w:p>
        </w:tc>
      </w:tr>
      <w:tr w14:paraId="04DD6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9" w:type="dxa"/>
            <w:vAlign w:val="center"/>
          </w:tcPr>
          <w:p w14:paraId="1773904C">
            <w:pPr>
              <w:spacing w:line="240" w:lineRule="auto"/>
              <w:ind w:firstLine="0" w:firstLineChars="0"/>
            </w:pPr>
            <w:r>
              <w:rPr>
                <w:rFonts w:hint="eastAsia"/>
              </w:rPr>
              <w:t>2</w:t>
            </w:r>
          </w:p>
        </w:tc>
        <w:tc>
          <w:tcPr>
            <w:tcW w:w="2892" w:type="dxa"/>
            <w:vAlign w:val="center"/>
          </w:tcPr>
          <w:p w14:paraId="7EBBC233">
            <w:pPr>
              <w:spacing w:line="240" w:lineRule="auto"/>
              <w:ind w:firstLine="0" w:firstLineChars="0"/>
            </w:pPr>
            <w:r>
              <w:rPr>
                <w:rFonts w:hint="eastAsia"/>
              </w:rPr>
              <w:t>厨师</w:t>
            </w:r>
          </w:p>
        </w:tc>
        <w:tc>
          <w:tcPr>
            <w:tcW w:w="825" w:type="dxa"/>
            <w:vAlign w:val="center"/>
          </w:tcPr>
          <w:p w14:paraId="035F4E8E">
            <w:pPr>
              <w:spacing w:line="240" w:lineRule="auto"/>
              <w:ind w:firstLine="0" w:firstLineChars="0"/>
            </w:pPr>
            <w:r>
              <w:rPr>
                <w:rFonts w:hint="eastAsia"/>
              </w:rPr>
              <w:t>1人</w:t>
            </w:r>
          </w:p>
        </w:tc>
        <w:tc>
          <w:tcPr>
            <w:tcW w:w="1782" w:type="dxa"/>
            <w:vMerge w:val="continue"/>
            <w:vAlign w:val="center"/>
          </w:tcPr>
          <w:p w14:paraId="43DB197B">
            <w:pPr>
              <w:spacing w:line="240" w:lineRule="auto"/>
              <w:ind w:firstLine="480"/>
            </w:pPr>
          </w:p>
        </w:tc>
        <w:tc>
          <w:tcPr>
            <w:tcW w:w="2594" w:type="dxa"/>
            <w:vMerge w:val="continue"/>
            <w:vAlign w:val="center"/>
          </w:tcPr>
          <w:p w14:paraId="11C57DBF">
            <w:pPr>
              <w:spacing w:line="240" w:lineRule="auto"/>
              <w:ind w:firstLine="0" w:firstLineChars="0"/>
            </w:pPr>
          </w:p>
        </w:tc>
      </w:tr>
      <w:tr w14:paraId="43AB1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69" w:type="dxa"/>
            <w:vAlign w:val="center"/>
          </w:tcPr>
          <w:p w14:paraId="2A617455">
            <w:pPr>
              <w:spacing w:line="240" w:lineRule="auto"/>
              <w:ind w:firstLine="0" w:firstLineChars="0"/>
            </w:pPr>
            <w:r>
              <w:rPr>
                <w:rFonts w:hint="eastAsia"/>
              </w:rPr>
              <w:t>3</w:t>
            </w:r>
          </w:p>
        </w:tc>
        <w:tc>
          <w:tcPr>
            <w:tcW w:w="2892" w:type="dxa"/>
            <w:vAlign w:val="center"/>
          </w:tcPr>
          <w:p w14:paraId="1FADDFF7">
            <w:pPr>
              <w:spacing w:line="240" w:lineRule="auto"/>
              <w:ind w:firstLine="0" w:firstLineChars="0"/>
            </w:pPr>
            <w:r>
              <w:rPr>
                <w:rFonts w:hint="eastAsia"/>
              </w:rPr>
              <w:t>面点师</w:t>
            </w:r>
          </w:p>
        </w:tc>
        <w:tc>
          <w:tcPr>
            <w:tcW w:w="825" w:type="dxa"/>
            <w:vAlign w:val="center"/>
          </w:tcPr>
          <w:p w14:paraId="15092C88">
            <w:pPr>
              <w:spacing w:line="240" w:lineRule="auto"/>
              <w:ind w:firstLine="0" w:firstLineChars="0"/>
            </w:pPr>
            <w:r>
              <w:rPr>
                <w:rFonts w:hint="eastAsia"/>
              </w:rPr>
              <w:t>2人</w:t>
            </w:r>
          </w:p>
        </w:tc>
        <w:tc>
          <w:tcPr>
            <w:tcW w:w="1782" w:type="dxa"/>
            <w:vMerge w:val="continue"/>
            <w:vAlign w:val="center"/>
          </w:tcPr>
          <w:p w14:paraId="0184ED0B">
            <w:pPr>
              <w:spacing w:line="240" w:lineRule="auto"/>
              <w:ind w:firstLine="480"/>
            </w:pPr>
          </w:p>
        </w:tc>
        <w:tc>
          <w:tcPr>
            <w:tcW w:w="2594" w:type="dxa"/>
            <w:vAlign w:val="center"/>
          </w:tcPr>
          <w:p w14:paraId="59F0B8D6">
            <w:pPr>
              <w:spacing w:line="240" w:lineRule="auto"/>
              <w:ind w:firstLine="0" w:firstLineChars="0"/>
            </w:pPr>
            <w:r>
              <w:rPr>
                <w:rFonts w:hint="eastAsia"/>
              </w:rPr>
              <w:t>会制作汤面、炒糕、馒头、包子、生煎包、食饼筒等特色小吃</w:t>
            </w:r>
          </w:p>
        </w:tc>
      </w:tr>
      <w:tr w14:paraId="3E4C4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69" w:type="dxa"/>
            <w:vAlign w:val="center"/>
          </w:tcPr>
          <w:p w14:paraId="065A42C2">
            <w:pPr>
              <w:spacing w:line="240" w:lineRule="auto"/>
              <w:ind w:firstLine="0" w:firstLineChars="0"/>
            </w:pPr>
            <w:r>
              <w:rPr>
                <w:rFonts w:hint="eastAsia"/>
              </w:rPr>
              <w:t>4</w:t>
            </w:r>
          </w:p>
        </w:tc>
        <w:tc>
          <w:tcPr>
            <w:tcW w:w="2892" w:type="dxa"/>
            <w:vAlign w:val="center"/>
          </w:tcPr>
          <w:p w14:paraId="030763C3">
            <w:pPr>
              <w:spacing w:line="240" w:lineRule="auto"/>
              <w:ind w:firstLine="0" w:firstLineChars="0"/>
            </w:pPr>
            <w:r>
              <w:rPr>
                <w:rFonts w:hint="eastAsia"/>
              </w:rPr>
              <w:t>服务人员（含切配、洗菜）</w:t>
            </w:r>
          </w:p>
        </w:tc>
        <w:tc>
          <w:tcPr>
            <w:tcW w:w="825" w:type="dxa"/>
            <w:vAlign w:val="center"/>
          </w:tcPr>
          <w:p w14:paraId="089F8D48">
            <w:pPr>
              <w:spacing w:line="240" w:lineRule="auto"/>
              <w:ind w:firstLine="0" w:firstLineChars="0"/>
            </w:pPr>
            <w:r>
              <w:rPr>
                <w:rFonts w:hint="eastAsia"/>
                <w:lang w:val="en-US" w:eastAsia="zh-CN"/>
              </w:rPr>
              <w:t>3</w:t>
            </w:r>
            <w:r>
              <w:rPr>
                <w:rFonts w:hint="eastAsia"/>
              </w:rPr>
              <w:t>人</w:t>
            </w:r>
          </w:p>
        </w:tc>
        <w:tc>
          <w:tcPr>
            <w:tcW w:w="1782" w:type="dxa"/>
            <w:vMerge w:val="continue"/>
            <w:vAlign w:val="center"/>
          </w:tcPr>
          <w:p w14:paraId="167515C8">
            <w:pPr>
              <w:spacing w:line="240" w:lineRule="auto"/>
              <w:ind w:firstLine="0" w:firstLineChars="0"/>
            </w:pPr>
          </w:p>
        </w:tc>
        <w:tc>
          <w:tcPr>
            <w:tcW w:w="2594" w:type="dxa"/>
            <w:vAlign w:val="center"/>
          </w:tcPr>
          <w:p w14:paraId="66284D43">
            <w:pPr>
              <w:spacing w:line="240" w:lineRule="auto"/>
              <w:ind w:firstLine="0" w:firstLineChars="0"/>
            </w:pPr>
          </w:p>
        </w:tc>
      </w:tr>
      <w:tr w14:paraId="41A35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69" w:type="dxa"/>
            <w:vAlign w:val="center"/>
          </w:tcPr>
          <w:p w14:paraId="4AE70473">
            <w:pPr>
              <w:spacing w:line="240" w:lineRule="auto"/>
              <w:ind w:firstLine="0" w:firstLineChars="0"/>
            </w:pPr>
            <w:r>
              <w:rPr>
                <w:rFonts w:hint="eastAsia"/>
              </w:rPr>
              <w:t>5</w:t>
            </w:r>
          </w:p>
        </w:tc>
        <w:tc>
          <w:tcPr>
            <w:tcW w:w="8093" w:type="dxa"/>
            <w:gridSpan w:val="4"/>
            <w:vAlign w:val="center"/>
          </w:tcPr>
          <w:p w14:paraId="2DE6BC27">
            <w:pPr>
              <w:spacing w:line="240" w:lineRule="auto"/>
              <w:ind w:firstLine="0" w:firstLineChars="0"/>
            </w:pPr>
            <w:r>
              <w:rPr>
                <w:rFonts w:hint="eastAsia"/>
              </w:rPr>
              <w:t>备注：以上厨师长、厨师、面点师均要求具有相应的国家劳动保障部门或劳动部门颁发的职业资格或技术等级证书。</w:t>
            </w:r>
          </w:p>
        </w:tc>
      </w:tr>
    </w:tbl>
    <w:p w14:paraId="615514D2">
      <w:pPr>
        <w:ind w:firstLine="480"/>
        <w:rPr>
          <w:highlight w:val="none"/>
        </w:rPr>
      </w:pPr>
      <w:r>
        <w:rPr>
          <w:rFonts w:hint="eastAsia"/>
          <w:highlight w:val="none"/>
        </w:rPr>
        <w:t>注：1</w:t>
      </w:r>
      <w:r>
        <w:rPr>
          <w:rFonts w:hint="eastAsia"/>
          <w:highlight w:val="none"/>
          <w:lang w:val="en-US" w:eastAsia="zh-CN"/>
        </w:rPr>
        <w:t>.中标人</w:t>
      </w:r>
      <w:r>
        <w:rPr>
          <w:rFonts w:hint="eastAsia"/>
          <w:highlight w:val="none"/>
        </w:rPr>
        <w:t>所聘人员上岗前必须将人员身份信息向采购人报备，并同时备案健康证，保险情况，无以上证件不得上岗。</w:t>
      </w:r>
    </w:p>
    <w:p w14:paraId="7C36D3E2">
      <w:pPr>
        <w:ind w:firstLine="480"/>
        <w:rPr>
          <w:highlight w:val="none"/>
        </w:rPr>
      </w:pPr>
      <w:r>
        <w:rPr>
          <w:rFonts w:hint="eastAsia"/>
          <w:highlight w:val="none"/>
        </w:rPr>
        <w:t>2.食堂主要工作人员变动，须经采购人同意。</w:t>
      </w:r>
    </w:p>
    <w:p w14:paraId="505662E6">
      <w:pPr>
        <w:ind w:firstLine="480"/>
        <w:rPr>
          <w:highlight w:val="none"/>
        </w:rPr>
      </w:pPr>
      <w:r>
        <w:rPr>
          <w:rFonts w:hint="eastAsia"/>
          <w:highlight w:val="none"/>
        </w:rPr>
        <w:t>3.厨师及厨师长满意度测评在70分以下的，必须及时更换，直至采购人满意。</w:t>
      </w:r>
    </w:p>
    <w:p w14:paraId="74A9CEE5">
      <w:pPr>
        <w:ind w:firstLine="480"/>
      </w:pPr>
      <w:r>
        <w:rPr>
          <w:rFonts w:hint="eastAsia"/>
          <w:highlight w:val="none"/>
        </w:rPr>
        <w:t>4.因年龄不能缴纳社会保险的，必须投保雇主责任险，猝死赔付不低于5万，死亡、伤残赔付限额不低于60万，医药费赔付限额不低于7万，赔付比例不低于90%。</w:t>
      </w:r>
    </w:p>
    <w:p w14:paraId="436A899E">
      <w:pPr>
        <w:pStyle w:val="4"/>
      </w:pPr>
      <w:bookmarkStart w:id="177" w:name="_Toc17504"/>
      <w:r>
        <w:rPr>
          <w:rFonts w:hint="eastAsia"/>
        </w:rPr>
        <w:t>五、商务需求</w:t>
      </w:r>
      <w:bookmarkEnd w:id="177"/>
    </w:p>
    <w:p w14:paraId="3C17A6B4">
      <w:pPr>
        <w:ind w:firstLine="480"/>
      </w:pPr>
      <w:r>
        <w:rPr>
          <w:rFonts w:hint="eastAsia"/>
        </w:rPr>
        <w:t>1.服务期：</w:t>
      </w:r>
      <w:r>
        <w:rPr>
          <w:rFonts w:hint="eastAsia"/>
          <w:lang w:val="en-US" w:eastAsia="zh-CN"/>
        </w:rPr>
        <w:t>1</w:t>
      </w:r>
      <w:r>
        <w:rPr>
          <w:rFonts w:hint="eastAsia"/>
        </w:rPr>
        <w:t>年。</w:t>
      </w:r>
    </w:p>
    <w:p w14:paraId="242A01FF">
      <w:pPr>
        <w:ind w:firstLine="480"/>
      </w:pPr>
      <w:r>
        <w:rPr>
          <w:rFonts w:hint="eastAsia"/>
        </w:rPr>
        <w:t>2.本次承包方式实行费用包干制，中标价格即为合同价格，服务费用包括：人工工资、社会保险、福利、节假日加班费用、行政办公费用、法定税费、其他费用等一切费用。</w:t>
      </w:r>
    </w:p>
    <w:p w14:paraId="19D4AB1C">
      <w:pPr>
        <w:ind w:firstLine="480"/>
      </w:pPr>
      <w:r>
        <w:rPr>
          <w:rFonts w:hint="eastAsia"/>
        </w:rPr>
        <w:t>3.服务费结算方式：</w:t>
      </w:r>
      <w:r>
        <w:rPr>
          <w:rFonts w:hint="eastAsia"/>
          <w:lang w:val="en-US" w:eastAsia="zh-CN"/>
        </w:rPr>
        <w:t>2025年9月</w:t>
      </w:r>
      <w:r>
        <w:rPr>
          <w:rFonts w:hint="eastAsia"/>
        </w:rPr>
        <w:t>支付1</w:t>
      </w:r>
      <w:r>
        <w:rPr>
          <w:rFonts w:hint="eastAsia"/>
          <w:lang w:val="en-US" w:eastAsia="zh-CN"/>
        </w:rPr>
        <w:t>4</w:t>
      </w:r>
      <w:r>
        <w:rPr>
          <w:rFonts w:hint="eastAsia"/>
        </w:rPr>
        <w:t>万元，</w:t>
      </w:r>
      <w:r>
        <w:rPr>
          <w:rFonts w:hint="eastAsia"/>
          <w:lang w:val="en-US" w:eastAsia="zh-CN"/>
        </w:rPr>
        <w:t>2025年11月</w:t>
      </w:r>
      <w:r>
        <w:rPr>
          <w:rFonts w:hint="eastAsia"/>
        </w:rPr>
        <w:t>支付1</w:t>
      </w:r>
      <w:r>
        <w:rPr>
          <w:rFonts w:hint="eastAsia"/>
          <w:lang w:val="en-US" w:eastAsia="zh-CN"/>
        </w:rPr>
        <w:t>4</w:t>
      </w:r>
      <w:r>
        <w:rPr>
          <w:rFonts w:hint="eastAsia"/>
        </w:rPr>
        <w:t>万元，</w:t>
      </w:r>
      <w:r>
        <w:rPr>
          <w:rFonts w:hint="eastAsia"/>
          <w:lang w:val="en-US" w:eastAsia="zh-CN"/>
        </w:rPr>
        <w:t>2026年5月</w:t>
      </w:r>
      <w:r>
        <w:rPr>
          <w:rFonts w:hint="eastAsia"/>
        </w:rPr>
        <w:t>支付1</w:t>
      </w:r>
      <w:r>
        <w:rPr>
          <w:rFonts w:hint="eastAsia"/>
          <w:lang w:val="en-US" w:eastAsia="zh-CN"/>
        </w:rPr>
        <w:t>0</w:t>
      </w:r>
      <w:r>
        <w:rPr>
          <w:rFonts w:hint="eastAsia"/>
        </w:rPr>
        <w:t>万元，</w:t>
      </w:r>
      <w:r>
        <w:rPr>
          <w:rFonts w:hint="eastAsia"/>
          <w:lang w:val="en-US" w:eastAsia="zh-CN"/>
        </w:rPr>
        <w:t>合同结束并员工工资支付完成后</w:t>
      </w:r>
      <w:r>
        <w:rPr>
          <w:rFonts w:hint="eastAsia"/>
        </w:rPr>
        <w:t>支付剩余尾款（不计息）。</w:t>
      </w:r>
    </w:p>
    <w:p w14:paraId="494CAA04">
      <w:pPr>
        <w:ind w:firstLine="480"/>
        <w:rPr>
          <w:rFonts w:ascii="宋体" w:hAnsi="宋体"/>
        </w:rPr>
      </w:pPr>
      <w:r>
        <w:rPr>
          <w:rFonts w:hint="eastAsia" w:ascii="宋体" w:hAnsi="宋体"/>
        </w:rPr>
        <w:br w:type="page"/>
      </w:r>
    </w:p>
    <w:p w14:paraId="153AAF4B">
      <w:pPr>
        <w:spacing w:line="560" w:lineRule="exact"/>
        <w:ind w:firstLine="480"/>
        <w:rPr>
          <w:rFonts w:ascii="宋体" w:hAnsi="宋体"/>
        </w:rPr>
      </w:pPr>
      <w:r>
        <w:rPr>
          <w:rFonts w:hint="eastAsia" w:ascii="宋体" w:hAnsi="宋体"/>
        </w:rPr>
        <w:t>附件：</w:t>
      </w:r>
    </w:p>
    <w:p w14:paraId="36F0528C">
      <w:pPr>
        <w:pStyle w:val="4"/>
        <w:jc w:val="center"/>
      </w:pPr>
      <w:bookmarkStart w:id="178" w:name="_Toc19332"/>
      <w:r>
        <w:rPr>
          <w:rFonts w:hint="eastAsia"/>
        </w:rPr>
        <w:t>龙游县公安局交通警察大队食堂管理考核办法</w:t>
      </w:r>
      <w:bookmarkEnd w:id="178"/>
    </w:p>
    <w:p w14:paraId="0D983476">
      <w:pPr>
        <w:ind w:firstLine="480"/>
      </w:pPr>
      <w:r>
        <w:rPr>
          <w:rFonts w:hint="eastAsia"/>
        </w:rPr>
        <w:t>为进一步加强对食堂工作的管理，确保饮食安全，更好地为民警、职工提供优质、规范的服务，现结合实际制定本考核办法：</w:t>
      </w:r>
    </w:p>
    <w:p w14:paraId="1237D3B2">
      <w:pPr>
        <w:ind w:firstLine="482"/>
      </w:pPr>
      <w:r>
        <w:rPr>
          <w:rFonts w:hint="eastAsia"/>
          <w:b/>
          <w:bCs/>
        </w:rPr>
        <w:t>一、考核人员组成</w:t>
      </w:r>
    </w:p>
    <w:p w14:paraId="4F8F1166">
      <w:pPr>
        <w:ind w:firstLine="480"/>
      </w:pPr>
      <w:r>
        <w:rPr>
          <w:rFonts w:hint="eastAsia"/>
        </w:rPr>
        <w:t>由食堂管理委员会成员及民警、职工代表参加。</w:t>
      </w:r>
    </w:p>
    <w:p w14:paraId="1133BBB5">
      <w:pPr>
        <w:ind w:firstLine="482"/>
      </w:pPr>
      <w:r>
        <w:rPr>
          <w:rFonts w:hint="eastAsia"/>
          <w:b/>
          <w:bCs/>
        </w:rPr>
        <w:t>二、考核范围</w:t>
      </w:r>
    </w:p>
    <w:p w14:paraId="5133AAF5">
      <w:pPr>
        <w:ind w:firstLine="480"/>
      </w:pPr>
      <w:r>
        <w:rPr>
          <w:rFonts w:hint="eastAsia"/>
        </w:rPr>
        <w:t>1、食堂日常工作考核：包括响应程度、菜肴质量、服务质量、食品安全与环境卫生、食堂管理等（见附表一）。</w:t>
      </w:r>
    </w:p>
    <w:p w14:paraId="1AE1A808">
      <w:pPr>
        <w:ind w:firstLine="480"/>
      </w:pPr>
      <w:r>
        <w:rPr>
          <w:rFonts w:hint="eastAsia"/>
        </w:rPr>
        <w:t>2、食堂满意度调查：包括饭菜质量、服务态度、卫生状况、饭菜分量等（见附表二）。</w:t>
      </w:r>
    </w:p>
    <w:p w14:paraId="6E7E1A0D">
      <w:pPr>
        <w:ind w:firstLine="482"/>
      </w:pPr>
      <w:r>
        <w:rPr>
          <w:rFonts w:hint="eastAsia"/>
          <w:b/>
          <w:bCs/>
        </w:rPr>
        <w:t>三、考核办法</w:t>
      </w:r>
    </w:p>
    <w:p w14:paraId="7DED4055">
      <w:pPr>
        <w:ind w:firstLine="480"/>
      </w:pPr>
      <w:r>
        <w:rPr>
          <w:rFonts w:hint="eastAsia"/>
        </w:rPr>
        <w:t>1、定期考核：每月组织一次食堂管理考核，食堂管理委员会成员到食堂实际检查，并对照《食堂管理考核细则》量化打分；每季度组织一次食堂满意度调查，就餐人员代表填写《食堂满意度调查表》进行打分。</w:t>
      </w:r>
    </w:p>
    <w:p w14:paraId="5D7CC8A5">
      <w:pPr>
        <w:ind w:firstLine="480"/>
      </w:pPr>
      <w:r>
        <w:rPr>
          <w:rFonts w:hint="eastAsia"/>
        </w:rPr>
        <w:t>2、不定期考核：根据就餐员工意见，由食堂管理委员会牵头，随时对食堂工作进行检查。</w:t>
      </w:r>
    </w:p>
    <w:p w14:paraId="4816A5CA">
      <w:pPr>
        <w:ind w:firstLine="482"/>
      </w:pPr>
      <w:r>
        <w:rPr>
          <w:rFonts w:hint="eastAsia"/>
          <w:b/>
          <w:bCs/>
        </w:rPr>
        <w:t>四、考核结果的运用</w:t>
      </w:r>
    </w:p>
    <w:p w14:paraId="5AA4BC79">
      <w:pPr>
        <w:ind w:firstLine="480"/>
      </w:pPr>
      <w:r>
        <w:rPr>
          <w:rFonts w:hint="eastAsia"/>
        </w:rPr>
        <w:t>1、在日常检查考核中，检查结果在80分以下的，对食堂工作人员进行批评教育，并限期整改。中标方应对存在的问题及时落实整改，大队有权要求中标方更换相关人员。</w:t>
      </w:r>
    </w:p>
    <w:p w14:paraId="44CBD89F">
      <w:pPr>
        <w:ind w:firstLine="480"/>
      </w:pPr>
      <w:r>
        <w:rPr>
          <w:rFonts w:hint="eastAsia"/>
        </w:rPr>
        <w:t>2、在满意度调查考核中，（1）当员工满意度调查低于80分，对食堂工作人员进行警告，并限期整改，中标方应对存在的问题及时落实整改；（2）当员工满意度调查低于70分的对中标方扣除2000元金额的违约金、低于60分的对中标方扣除</w:t>
      </w:r>
      <w:r>
        <w:t>50</w:t>
      </w:r>
      <w:r>
        <w:rPr>
          <w:rFonts w:hint="eastAsia"/>
        </w:rPr>
        <w:t>00元金额的违约金，并责令食堂工作人员对员工所提意见限期整改，中标方应对存在的问题及时落实整改，大队有权要求中标方更换相关人员。</w:t>
      </w:r>
    </w:p>
    <w:p w14:paraId="5099205B">
      <w:pPr>
        <w:ind w:firstLine="480"/>
      </w:pPr>
      <w:r>
        <w:rPr>
          <w:rFonts w:hint="eastAsia"/>
        </w:rPr>
        <w:t>3、连续两个月或者半年内累计三次日常检查考核分数低于</w:t>
      </w:r>
      <w:r>
        <w:t>70</w:t>
      </w:r>
      <w:r>
        <w:rPr>
          <w:rFonts w:hint="eastAsia"/>
        </w:rPr>
        <w:t>分的，或者累计两次满意度调查考核，考核分数低于</w:t>
      </w:r>
      <w:r>
        <w:t>6</w:t>
      </w:r>
      <w:r>
        <w:rPr>
          <w:rFonts w:hint="eastAsia"/>
        </w:rPr>
        <w:t>0分的，采购人有权单方面终止合同，并禁止中标人参加</w:t>
      </w:r>
      <w:r>
        <w:rPr>
          <w:rFonts w:hint="eastAsia"/>
          <w:lang w:val="en-US" w:eastAsia="zh-CN"/>
        </w:rPr>
        <w:t>采购人</w:t>
      </w:r>
      <w:r>
        <w:rPr>
          <w:rFonts w:hint="eastAsia"/>
        </w:rPr>
        <w:t>今后组织的类似项目招标。</w:t>
      </w:r>
    </w:p>
    <w:p w14:paraId="31F794FE">
      <w:pPr>
        <w:ind w:firstLine="482"/>
        <w:rPr>
          <w:rFonts w:ascii="宋体" w:hAnsi="宋体" w:cs="宋体"/>
        </w:rPr>
      </w:pPr>
      <w:r>
        <w:rPr>
          <w:rFonts w:hint="eastAsia"/>
          <w:b/>
          <w:bCs/>
        </w:rPr>
        <w:t>五、本办法自发布之日起实行，由大队食堂管理委员会负责解释。</w:t>
      </w:r>
    </w:p>
    <w:p w14:paraId="64553C6E">
      <w:pPr>
        <w:ind w:firstLine="480"/>
        <w:rPr>
          <w:rFonts w:ascii="宋体" w:hAnsi="宋体" w:cs="宋体"/>
        </w:rPr>
      </w:pPr>
      <w:r>
        <w:rPr>
          <w:rFonts w:hint="eastAsia" w:ascii="宋体" w:hAnsi="宋体" w:cs="宋体"/>
        </w:rPr>
        <w:br w:type="page"/>
      </w:r>
    </w:p>
    <w:p w14:paraId="05A0B1CA">
      <w:pPr>
        <w:pStyle w:val="4"/>
        <w:jc w:val="center"/>
      </w:pPr>
      <w:bookmarkStart w:id="179" w:name="_Toc2561"/>
      <w:r>
        <w:rPr>
          <w:rFonts w:hint="eastAsia"/>
        </w:rPr>
        <w:t>附表一：食堂管理考核细则</w:t>
      </w:r>
      <w:bookmarkEnd w:id="179"/>
    </w:p>
    <w:tbl>
      <w:tblPr>
        <w:tblStyle w:val="31"/>
        <w:tblW w:w="9798"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780"/>
        <w:gridCol w:w="4110"/>
        <w:gridCol w:w="2370"/>
        <w:gridCol w:w="780"/>
        <w:gridCol w:w="716"/>
      </w:tblGrid>
      <w:tr w14:paraId="5A19E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042" w:type="dxa"/>
            <w:vAlign w:val="center"/>
          </w:tcPr>
          <w:p w14:paraId="52D12072">
            <w:pPr>
              <w:spacing w:line="240" w:lineRule="auto"/>
              <w:ind w:firstLine="0" w:firstLineChars="0"/>
              <w:rPr>
                <w:b/>
                <w:bCs/>
              </w:rPr>
            </w:pPr>
            <w:r>
              <w:rPr>
                <w:rFonts w:hint="eastAsia"/>
                <w:b/>
                <w:bCs/>
              </w:rPr>
              <w:t>项目</w:t>
            </w:r>
          </w:p>
        </w:tc>
        <w:tc>
          <w:tcPr>
            <w:tcW w:w="4890" w:type="dxa"/>
            <w:gridSpan w:val="2"/>
            <w:vAlign w:val="center"/>
          </w:tcPr>
          <w:p w14:paraId="3098C64B">
            <w:pPr>
              <w:spacing w:line="240" w:lineRule="auto"/>
              <w:ind w:firstLine="0" w:firstLineChars="0"/>
              <w:rPr>
                <w:b/>
                <w:bCs/>
              </w:rPr>
            </w:pPr>
            <w:r>
              <w:rPr>
                <w:rFonts w:hint="eastAsia"/>
                <w:b/>
                <w:bCs/>
              </w:rPr>
              <w:t>检查具体内容</w:t>
            </w:r>
          </w:p>
        </w:tc>
        <w:tc>
          <w:tcPr>
            <w:tcW w:w="2370" w:type="dxa"/>
            <w:vAlign w:val="center"/>
          </w:tcPr>
          <w:p w14:paraId="30FD6948">
            <w:pPr>
              <w:spacing w:line="240" w:lineRule="auto"/>
              <w:ind w:firstLine="0" w:firstLineChars="0"/>
              <w:rPr>
                <w:b/>
                <w:bCs/>
              </w:rPr>
            </w:pPr>
            <w:r>
              <w:rPr>
                <w:rFonts w:hint="eastAsia"/>
                <w:b/>
                <w:bCs/>
              </w:rPr>
              <w:t>评分标准</w:t>
            </w:r>
          </w:p>
        </w:tc>
        <w:tc>
          <w:tcPr>
            <w:tcW w:w="780" w:type="dxa"/>
            <w:vAlign w:val="center"/>
          </w:tcPr>
          <w:p w14:paraId="3BB725D2">
            <w:pPr>
              <w:spacing w:line="240" w:lineRule="auto"/>
              <w:ind w:firstLine="0" w:firstLineChars="0"/>
              <w:rPr>
                <w:b/>
                <w:bCs/>
              </w:rPr>
            </w:pPr>
            <w:r>
              <w:rPr>
                <w:rFonts w:hint="eastAsia"/>
                <w:b/>
                <w:bCs/>
              </w:rPr>
              <w:t>分值</w:t>
            </w:r>
          </w:p>
        </w:tc>
        <w:tc>
          <w:tcPr>
            <w:tcW w:w="716" w:type="dxa"/>
            <w:vAlign w:val="center"/>
          </w:tcPr>
          <w:p w14:paraId="2C976FBF">
            <w:pPr>
              <w:spacing w:line="240" w:lineRule="auto"/>
              <w:ind w:firstLine="0" w:firstLineChars="0"/>
              <w:rPr>
                <w:b/>
                <w:bCs/>
              </w:rPr>
            </w:pPr>
            <w:r>
              <w:rPr>
                <w:rFonts w:hint="eastAsia"/>
                <w:b/>
                <w:bCs/>
              </w:rPr>
              <w:t>得分</w:t>
            </w:r>
          </w:p>
        </w:tc>
      </w:tr>
      <w:tr w14:paraId="1A19F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42" w:type="dxa"/>
            <w:vAlign w:val="center"/>
          </w:tcPr>
          <w:p w14:paraId="44710BE0">
            <w:pPr>
              <w:spacing w:line="240" w:lineRule="auto"/>
              <w:ind w:firstLine="0" w:firstLineChars="0"/>
            </w:pPr>
            <w:r>
              <w:rPr>
                <w:rFonts w:hint="eastAsia"/>
              </w:rPr>
              <w:t>响应程度20分</w:t>
            </w:r>
          </w:p>
        </w:tc>
        <w:tc>
          <w:tcPr>
            <w:tcW w:w="4890" w:type="dxa"/>
            <w:gridSpan w:val="2"/>
            <w:vAlign w:val="center"/>
          </w:tcPr>
          <w:p w14:paraId="64ED0C9C">
            <w:pPr>
              <w:spacing w:line="240" w:lineRule="auto"/>
              <w:ind w:firstLine="0" w:firstLineChars="0"/>
            </w:pPr>
            <w:r>
              <w:rPr>
                <w:rFonts w:hint="eastAsia"/>
              </w:rPr>
              <w:t>1.遇到突发情况时能迅速、及时响应，无条件保质保量完成任务；</w:t>
            </w:r>
          </w:p>
          <w:p w14:paraId="567A4F1B">
            <w:pPr>
              <w:spacing w:line="240" w:lineRule="auto"/>
              <w:ind w:firstLine="0" w:firstLineChars="0"/>
            </w:pPr>
            <w:r>
              <w:rPr>
                <w:rFonts w:hint="eastAsia"/>
              </w:rPr>
              <w:t>2.遇到大型活动就餐保障任务时，能高效响应，无条件保质保量完成任务。</w:t>
            </w:r>
          </w:p>
        </w:tc>
        <w:tc>
          <w:tcPr>
            <w:tcW w:w="2370" w:type="dxa"/>
            <w:vAlign w:val="center"/>
          </w:tcPr>
          <w:p w14:paraId="20B69369">
            <w:pPr>
              <w:spacing w:line="240" w:lineRule="auto"/>
              <w:ind w:firstLine="0" w:firstLineChars="0"/>
            </w:pPr>
            <w:r>
              <w:rPr>
                <w:rFonts w:hint="eastAsia"/>
              </w:rPr>
              <w:t>未能完成的一次扣1-5分；完成质量不高的一次扣1-3分</w:t>
            </w:r>
          </w:p>
        </w:tc>
        <w:tc>
          <w:tcPr>
            <w:tcW w:w="780" w:type="dxa"/>
            <w:vAlign w:val="center"/>
          </w:tcPr>
          <w:p w14:paraId="1A45B5C4">
            <w:pPr>
              <w:spacing w:line="240" w:lineRule="auto"/>
              <w:ind w:firstLine="0" w:firstLineChars="0"/>
            </w:pPr>
            <w:r>
              <w:rPr>
                <w:rFonts w:hint="eastAsia"/>
              </w:rPr>
              <w:t>20</w:t>
            </w:r>
          </w:p>
        </w:tc>
        <w:tc>
          <w:tcPr>
            <w:tcW w:w="716" w:type="dxa"/>
            <w:vAlign w:val="center"/>
          </w:tcPr>
          <w:p w14:paraId="79AAE460">
            <w:pPr>
              <w:spacing w:line="240" w:lineRule="auto"/>
              <w:ind w:firstLine="0" w:firstLineChars="0"/>
            </w:pPr>
          </w:p>
        </w:tc>
      </w:tr>
      <w:tr w14:paraId="4C54C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042" w:type="dxa"/>
            <w:vMerge w:val="restart"/>
            <w:vAlign w:val="center"/>
          </w:tcPr>
          <w:p w14:paraId="3278150C">
            <w:pPr>
              <w:spacing w:line="240" w:lineRule="auto"/>
              <w:ind w:firstLine="0" w:firstLineChars="0"/>
            </w:pPr>
            <w:r>
              <w:rPr>
                <w:rFonts w:hint="eastAsia"/>
              </w:rPr>
              <w:t>菜肴质量20分</w:t>
            </w:r>
          </w:p>
        </w:tc>
        <w:tc>
          <w:tcPr>
            <w:tcW w:w="780" w:type="dxa"/>
            <w:vAlign w:val="center"/>
          </w:tcPr>
          <w:p w14:paraId="05A83C69">
            <w:pPr>
              <w:spacing w:line="240" w:lineRule="auto"/>
              <w:ind w:firstLine="0" w:firstLineChars="0"/>
            </w:pPr>
            <w:r>
              <w:rPr>
                <w:rFonts w:hint="eastAsia"/>
              </w:rPr>
              <w:t>基本质量</w:t>
            </w:r>
          </w:p>
        </w:tc>
        <w:tc>
          <w:tcPr>
            <w:tcW w:w="4110" w:type="dxa"/>
          </w:tcPr>
          <w:p w14:paraId="1D756166">
            <w:pPr>
              <w:spacing w:line="240" w:lineRule="auto"/>
              <w:ind w:firstLine="0" w:firstLineChars="0"/>
            </w:pPr>
            <w:r>
              <w:rPr>
                <w:rFonts w:hint="eastAsia"/>
              </w:rPr>
              <w:t>1.饭菜不热或口感较差（过老、过生）现象；</w:t>
            </w:r>
          </w:p>
          <w:p w14:paraId="1E5ABCC4">
            <w:pPr>
              <w:spacing w:line="240" w:lineRule="auto"/>
              <w:ind w:firstLine="0" w:firstLineChars="0"/>
            </w:pPr>
            <w:r>
              <w:rPr>
                <w:rFonts w:hint="eastAsia"/>
              </w:rPr>
              <w:t>2.饭菜内发现异物、杂物；</w:t>
            </w:r>
          </w:p>
          <w:p w14:paraId="1EFF4F47">
            <w:pPr>
              <w:spacing w:line="240" w:lineRule="auto"/>
              <w:ind w:firstLine="0" w:firstLineChars="0"/>
            </w:pPr>
            <w:r>
              <w:rPr>
                <w:rFonts w:hint="eastAsia"/>
              </w:rPr>
              <w:t>3.供应隔夜饭菜。</w:t>
            </w:r>
          </w:p>
        </w:tc>
        <w:tc>
          <w:tcPr>
            <w:tcW w:w="2370" w:type="dxa"/>
            <w:vAlign w:val="center"/>
          </w:tcPr>
          <w:p w14:paraId="6D42718E">
            <w:pPr>
              <w:spacing w:line="240" w:lineRule="auto"/>
              <w:ind w:firstLine="0" w:firstLineChars="0"/>
            </w:pPr>
            <w:r>
              <w:rPr>
                <w:rFonts w:hint="eastAsia"/>
              </w:rPr>
              <w:t>发现一次或者有人举报（经核实后）扣1分</w:t>
            </w:r>
          </w:p>
        </w:tc>
        <w:tc>
          <w:tcPr>
            <w:tcW w:w="780" w:type="dxa"/>
            <w:vMerge w:val="restart"/>
            <w:vAlign w:val="center"/>
          </w:tcPr>
          <w:p w14:paraId="1EA968DA">
            <w:pPr>
              <w:spacing w:line="240" w:lineRule="auto"/>
              <w:ind w:firstLine="0" w:firstLineChars="0"/>
            </w:pPr>
            <w:r>
              <w:rPr>
                <w:rFonts w:hint="eastAsia"/>
              </w:rPr>
              <w:t>20</w:t>
            </w:r>
          </w:p>
        </w:tc>
        <w:tc>
          <w:tcPr>
            <w:tcW w:w="716" w:type="dxa"/>
            <w:vAlign w:val="center"/>
          </w:tcPr>
          <w:p w14:paraId="21BEC6B3">
            <w:pPr>
              <w:spacing w:line="240" w:lineRule="auto"/>
              <w:ind w:firstLine="0" w:firstLineChars="0"/>
            </w:pPr>
          </w:p>
        </w:tc>
      </w:tr>
      <w:tr w14:paraId="3BC77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042" w:type="dxa"/>
            <w:vMerge w:val="continue"/>
            <w:vAlign w:val="center"/>
          </w:tcPr>
          <w:p w14:paraId="0D504723">
            <w:pPr>
              <w:spacing w:line="240" w:lineRule="auto"/>
              <w:ind w:firstLine="0" w:firstLineChars="0"/>
            </w:pPr>
          </w:p>
        </w:tc>
        <w:tc>
          <w:tcPr>
            <w:tcW w:w="780" w:type="dxa"/>
            <w:vAlign w:val="center"/>
          </w:tcPr>
          <w:p w14:paraId="43E720C2">
            <w:pPr>
              <w:spacing w:line="240" w:lineRule="auto"/>
              <w:ind w:firstLine="0" w:firstLineChars="0"/>
            </w:pPr>
            <w:r>
              <w:rPr>
                <w:rFonts w:hint="eastAsia"/>
              </w:rPr>
              <w:t>口味</w:t>
            </w:r>
          </w:p>
        </w:tc>
        <w:tc>
          <w:tcPr>
            <w:tcW w:w="4110" w:type="dxa"/>
            <w:vAlign w:val="center"/>
          </w:tcPr>
          <w:p w14:paraId="5D5A1DE9">
            <w:pPr>
              <w:spacing w:line="240" w:lineRule="auto"/>
              <w:ind w:firstLine="0" w:firstLineChars="0"/>
            </w:pPr>
            <w:r>
              <w:rPr>
                <w:rFonts w:hint="eastAsia"/>
              </w:rPr>
              <w:t>1.实际饭菜是否与菜谱吻合；</w:t>
            </w:r>
          </w:p>
          <w:p w14:paraId="5D0F19BD">
            <w:pPr>
              <w:spacing w:line="240" w:lineRule="auto"/>
              <w:ind w:firstLine="0" w:firstLineChars="0"/>
            </w:pPr>
            <w:r>
              <w:rPr>
                <w:rFonts w:hint="eastAsia"/>
              </w:rPr>
              <w:t>2.菜谱单一，缺乏变化；</w:t>
            </w:r>
          </w:p>
          <w:p w14:paraId="0286857C">
            <w:pPr>
              <w:spacing w:line="240" w:lineRule="auto"/>
              <w:ind w:firstLine="0" w:firstLineChars="0"/>
            </w:pPr>
            <w:r>
              <w:rPr>
                <w:rFonts w:hint="eastAsia"/>
              </w:rPr>
              <w:t>3.菜品不可口，厨艺不精。</w:t>
            </w:r>
          </w:p>
        </w:tc>
        <w:tc>
          <w:tcPr>
            <w:tcW w:w="2370" w:type="dxa"/>
            <w:vAlign w:val="center"/>
          </w:tcPr>
          <w:p w14:paraId="35ABDBAC">
            <w:pPr>
              <w:spacing w:line="240" w:lineRule="auto"/>
              <w:ind w:firstLine="0" w:firstLineChars="0"/>
            </w:pPr>
            <w:r>
              <w:rPr>
                <w:rFonts w:hint="eastAsia"/>
              </w:rPr>
              <w:t>实际饭菜与菜谱不吻合，一次扣1分；菜品口感不佳，反映强烈的，一次扣2分。</w:t>
            </w:r>
          </w:p>
        </w:tc>
        <w:tc>
          <w:tcPr>
            <w:tcW w:w="780" w:type="dxa"/>
            <w:vMerge w:val="continue"/>
            <w:vAlign w:val="center"/>
          </w:tcPr>
          <w:p w14:paraId="0E07429D">
            <w:pPr>
              <w:spacing w:line="240" w:lineRule="auto"/>
              <w:ind w:firstLine="0" w:firstLineChars="0"/>
            </w:pPr>
          </w:p>
        </w:tc>
        <w:tc>
          <w:tcPr>
            <w:tcW w:w="716" w:type="dxa"/>
            <w:vAlign w:val="center"/>
          </w:tcPr>
          <w:p w14:paraId="545BB29D">
            <w:pPr>
              <w:spacing w:line="240" w:lineRule="auto"/>
              <w:ind w:firstLine="0" w:firstLineChars="0"/>
            </w:pPr>
          </w:p>
        </w:tc>
      </w:tr>
      <w:tr w14:paraId="58E7A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1042" w:type="dxa"/>
            <w:vMerge w:val="restart"/>
            <w:vAlign w:val="center"/>
          </w:tcPr>
          <w:p w14:paraId="793E3BA0">
            <w:pPr>
              <w:spacing w:line="240" w:lineRule="auto"/>
              <w:ind w:firstLine="0" w:firstLineChars="0"/>
            </w:pPr>
            <w:r>
              <w:rPr>
                <w:rFonts w:hint="eastAsia"/>
              </w:rPr>
              <w:t>服务质量10分</w:t>
            </w:r>
          </w:p>
        </w:tc>
        <w:tc>
          <w:tcPr>
            <w:tcW w:w="780" w:type="dxa"/>
            <w:vAlign w:val="center"/>
          </w:tcPr>
          <w:p w14:paraId="192A4CBD">
            <w:pPr>
              <w:spacing w:line="240" w:lineRule="auto"/>
              <w:ind w:firstLine="0" w:firstLineChars="0"/>
            </w:pPr>
            <w:r>
              <w:rPr>
                <w:rFonts w:hint="eastAsia"/>
              </w:rPr>
              <w:t>仪容仪表</w:t>
            </w:r>
          </w:p>
        </w:tc>
        <w:tc>
          <w:tcPr>
            <w:tcW w:w="4110" w:type="dxa"/>
          </w:tcPr>
          <w:p w14:paraId="77963249">
            <w:pPr>
              <w:spacing w:line="240" w:lineRule="auto"/>
              <w:ind w:firstLine="0" w:firstLineChars="0"/>
            </w:pPr>
            <w:r>
              <w:rPr>
                <w:rFonts w:hint="eastAsia"/>
              </w:rPr>
              <w:t>1.员工工作期间需着整洁干净的工作服；</w:t>
            </w:r>
          </w:p>
          <w:p w14:paraId="2A3C3B98">
            <w:pPr>
              <w:spacing w:line="240" w:lineRule="auto"/>
              <w:ind w:firstLine="0" w:firstLineChars="0"/>
            </w:pPr>
            <w:r>
              <w:rPr>
                <w:rFonts w:hint="eastAsia"/>
              </w:rPr>
              <w:t>2.员工必须保持整洁，手、腕部不允许佩戴首饰、双手干净；</w:t>
            </w:r>
          </w:p>
          <w:p w14:paraId="498DBF10">
            <w:pPr>
              <w:spacing w:line="240" w:lineRule="auto"/>
              <w:ind w:firstLine="0" w:firstLineChars="0"/>
            </w:pPr>
            <w:r>
              <w:rPr>
                <w:rFonts w:hint="eastAsia"/>
              </w:rPr>
              <w:t>3.食堂工作区、用餐区禁止吸烟；</w:t>
            </w:r>
          </w:p>
          <w:p w14:paraId="3743DA05">
            <w:pPr>
              <w:spacing w:line="240" w:lineRule="auto"/>
              <w:ind w:firstLine="0" w:firstLineChars="0"/>
            </w:pPr>
            <w:r>
              <w:rPr>
                <w:rFonts w:hint="eastAsia"/>
              </w:rPr>
              <w:t>4.供应食品时不能用手直接接触食品；</w:t>
            </w:r>
          </w:p>
          <w:p w14:paraId="173B8673">
            <w:pPr>
              <w:spacing w:line="240" w:lineRule="auto"/>
              <w:ind w:firstLine="0" w:firstLineChars="0"/>
            </w:pPr>
            <w:r>
              <w:rPr>
                <w:rFonts w:hint="eastAsia"/>
              </w:rPr>
              <w:t>5.员工工作期间需佩戴口罩和帽子。</w:t>
            </w:r>
          </w:p>
          <w:p w14:paraId="23CD4402">
            <w:pPr>
              <w:spacing w:line="240" w:lineRule="auto"/>
              <w:ind w:firstLine="0" w:firstLineChars="0"/>
            </w:pPr>
            <w:r>
              <w:rPr>
                <w:rFonts w:hint="eastAsia"/>
              </w:rPr>
              <w:t>6.员工按照《人员配置》表配置（包括年龄、资格证要求）</w:t>
            </w:r>
          </w:p>
        </w:tc>
        <w:tc>
          <w:tcPr>
            <w:tcW w:w="2370" w:type="dxa"/>
            <w:vAlign w:val="center"/>
          </w:tcPr>
          <w:p w14:paraId="20669BC5">
            <w:pPr>
              <w:spacing w:line="240" w:lineRule="auto"/>
              <w:ind w:firstLine="0" w:firstLineChars="0"/>
            </w:pPr>
            <w:r>
              <w:rPr>
                <w:rFonts w:hint="eastAsia"/>
              </w:rPr>
              <w:t>发现一次扣1分</w:t>
            </w:r>
          </w:p>
        </w:tc>
        <w:tc>
          <w:tcPr>
            <w:tcW w:w="780" w:type="dxa"/>
            <w:vMerge w:val="restart"/>
            <w:vAlign w:val="center"/>
          </w:tcPr>
          <w:p w14:paraId="492F53C9">
            <w:pPr>
              <w:spacing w:line="240" w:lineRule="auto"/>
              <w:ind w:firstLine="0" w:firstLineChars="0"/>
            </w:pPr>
            <w:r>
              <w:rPr>
                <w:rFonts w:hint="eastAsia"/>
              </w:rPr>
              <w:t>10</w:t>
            </w:r>
          </w:p>
        </w:tc>
        <w:tc>
          <w:tcPr>
            <w:tcW w:w="716" w:type="dxa"/>
            <w:vMerge w:val="restart"/>
            <w:vAlign w:val="center"/>
          </w:tcPr>
          <w:p w14:paraId="35E169F6">
            <w:pPr>
              <w:spacing w:line="240" w:lineRule="auto"/>
              <w:ind w:firstLine="0" w:firstLineChars="0"/>
            </w:pPr>
          </w:p>
        </w:tc>
      </w:tr>
      <w:tr w14:paraId="37275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1042" w:type="dxa"/>
            <w:vMerge w:val="continue"/>
          </w:tcPr>
          <w:p w14:paraId="7CE816CF">
            <w:pPr>
              <w:spacing w:line="240" w:lineRule="auto"/>
              <w:ind w:firstLine="0" w:firstLineChars="0"/>
            </w:pPr>
          </w:p>
        </w:tc>
        <w:tc>
          <w:tcPr>
            <w:tcW w:w="780" w:type="dxa"/>
          </w:tcPr>
          <w:p w14:paraId="210B508B">
            <w:pPr>
              <w:spacing w:line="240" w:lineRule="auto"/>
              <w:ind w:firstLine="0" w:firstLineChars="0"/>
            </w:pPr>
          </w:p>
          <w:p w14:paraId="0DC402ED">
            <w:pPr>
              <w:spacing w:line="240" w:lineRule="auto"/>
              <w:ind w:firstLine="0" w:firstLineChars="0"/>
            </w:pPr>
            <w:r>
              <w:rPr>
                <w:rFonts w:hint="eastAsia"/>
              </w:rPr>
              <w:t>服务</w:t>
            </w:r>
          </w:p>
        </w:tc>
        <w:tc>
          <w:tcPr>
            <w:tcW w:w="4110" w:type="dxa"/>
          </w:tcPr>
          <w:p w14:paraId="31887718">
            <w:pPr>
              <w:spacing w:line="240" w:lineRule="auto"/>
              <w:ind w:firstLine="0" w:firstLineChars="0"/>
            </w:pPr>
            <w:r>
              <w:rPr>
                <w:rFonts w:hint="eastAsia"/>
              </w:rPr>
              <w:t>1.食堂服务人员要微笑、文明服务；</w:t>
            </w:r>
          </w:p>
          <w:p w14:paraId="55417E85">
            <w:pPr>
              <w:spacing w:line="240" w:lineRule="auto"/>
              <w:ind w:firstLine="0" w:firstLineChars="0"/>
            </w:pPr>
            <w:r>
              <w:rPr>
                <w:rFonts w:hint="eastAsia"/>
              </w:rPr>
              <w:t>2.不得发生吵架、打骂不文明行为；</w:t>
            </w:r>
          </w:p>
          <w:p w14:paraId="351A7E8A">
            <w:pPr>
              <w:spacing w:line="240" w:lineRule="auto"/>
              <w:ind w:firstLine="0" w:firstLineChars="0"/>
            </w:pPr>
            <w:r>
              <w:rPr>
                <w:rFonts w:hint="eastAsia"/>
              </w:rPr>
              <w:t>3.遇到突发情况，不能擅自处置，及时与校方沟通、汇报。</w:t>
            </w:r>
          </w:p>
        </w:tc>
        <w:tc>
          <w:tcPr>
            <w:tcW w:w="2370" w:type="dxa"/>
            <w:vAlign w:val="center"/>
          </w:tcPr>
          <w:p w14:paraId="1AE46957">
            <w:pPr>
              <w:spacing w:line="240" w:lineRule="auto"/>
              <w:ind w:firstLine="0" w:firstLineChars="0"/>
            </w:pPr>
            <w:r>
              <w:rPr>
                <w:rFonts w:hint="eastAsia"/>
              </w:rPr>
              <w:t>发现一次扣2分</w:t>
            </w:r>
          </w:p>
        </w:tc>
        <w:tc>
          <w:tcPr>
            <w:tcW w:w="780" w:type="dxa"/>
            <w:vMerge w:val="continue"/>
            <w:vAlign w:val="center"/>
          </w:tcPr>
          <w:p w14:paraId="6C9823C9">
            <w:pPr>
              <w:spacing w:line="240" w:lineRule="auto"/>
              <w:ind w:firstLine="0" w:firstLineChars="0"/>
            </w:pPr>
          </w:p>
        </w:tc>
        <w:tc>
          <w:tcPr>
            <w:tcW w:w="716" w:type="dxa"/>
            <w:vMerge w:val="continue"/>
            <w:vAlign w:val="center"/>
          </w:tcPr>
          <w:p w14:paraId="00B432BB">
            <w:pPr>
              <w:spacing w:line="240" w:lineRule="auto"/>
              <w:ind w:firstLine="0" w:firstLineChars="0"/>
            </w:pPr>
          </w:p>
        </w:tc>
      </w:tr>
      <w:tr w14:paraId="0E500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1042" w:type="dxa"/>
            <w:vMerge w:val="restart"/>
            <w:vAlign w:val="center"/>
          </w:tcPr>
          <w:p w14:paraId="5189E5B7">
            <w:pPr>
              <w:spacing w:line="240" w:lineRule="auto"/>
              <w:ind w:firstLine="0" w:firstLineChars="0"/>
            </w:pPr>
            <w:r>
              <w:rPr>
                <w:rFonts w:hint="eastAsia"/>
              </w:rPr>
              <w:t>食品安全与环境卫生</w:t>
            </w:r>
          </w:p>
          <w:p w14:paraId="64D64DE9">
            <w:pPr>
              <w:spacing w:line="240" w:lineRule="auto"/>
              <w:ind w:firstLine="0" w:firstLineChars="0"/>
            </w:pPr>
            <w:r>
              <w:rPr>
                <w:rFonts w:hint="eastAsia"/>
              </w:rPr>
              <w:t>40分</w:t>
            </w:r>
          </w:p>
        </w:tc>
        <w:tc>
          <w:tcPr>
            <w:tcW w:w="780" w:type="dxa"/>
            <w:vAlign w:val="center"/>
          </w:tcPr>
          <w:p w14:paraId="3BF6E0B7">
            <w:pPr>
              <w:spacing w:line="240" w:lineRule="auto"/>
              <w:ind w:firstLine="0" w:firstLineChars="0"/>
            </w:pPr>
            <w:r>
              <w:rPr>
                <w:rFonts w:hint="eastAsia"/>
              </w:rPr>
              <w:t>制作</w:t>
            </w:r>
          </w:p>
        </w:tc>
        <w:tc>
          <w:tcPr>
            <w:tcW w:w="4110" w:type="dxa"/>
          </w:tcPr>
          <w:p w14:paraId="041BBA0B">
            <w:pPr>
              <w:spacing w:line="240" w:lineRule="auto"/>
              <w:ind w:firstLine="0" w:firstLineChars="0"/>
            </w:pPr>
            <w:r>
              <w:rPr>
                <w:rFonts w:hint="eastAsia"/>
              </w:rPr>
              <w:t>1.原料、半成品、成品的加工，存放及使用容器是否存在交叉污染并有明显的区分标志；</w:t>
            </w:r>
          </w:p>
          <w:p w14:paraId="18E13AF7">
            <w:pPr>
              <w:spacing w:line="240" w:lineRule="auto"/>
              <w:ind w:firstLine="0" w:firstLineChars="0"/>
            </w:pPr>
            <w:r>
              <w:rPr>
                <w:rFonts w:hint="eastAsia"/>
              </w:rPr>
              <w:t>2.生熟食品分开；</w:t>
            </w:r>
          </w:p>
          <w:p w14:paraId="6DB11E10">
            <w:pPr>
              <w:spacing w:line="240" w:lineRule="auto"/>
              <w:ind w:firstLine="0" w:firstLineChars="0"/>
            </w:pPr>
            <w:r>
              <w:rPr>
                <w:rFonts w:hint="eastAsia"/>
              </w:rPr>
              <w:t>3.食品存放分类分架；</w:t>
            </w:r>
          </w:p>
          <w:p w14:paraId="0DB43DE0">
            <w:pPr>
              <w:spacing w:line="240" w:lineRule="auto"/>
              <w:ind w:firstLine="0" w:firstLineChars="0"/>
            </w:pPr>
            <w:r>
              <w:rPr>
                <w:rFonts w:hint="eastAsia"/>
              </w:rPr>
              <w:t>4.无过期、变质食品原材料。</w:t>
            </w:r>
          </w:p>
        </w:tc>
        <w:tc>
          <w:tcPr>
            <w:tcW w:w="2370" w:type="dxa"/>
            <w:vAlign w:val="center"/>
          </w:tcPr>
          <w:p w14:paraId="3CBAFD5D">
            <w:pPr>
              <w:spacing w:line="240" w:lineRule="auto"/>
              <w:ind w:firstLine="0" w:firstLineChars="0"/>
            </w:pPr>
            <w:r>
              <w:rPr>
                <w:rFonts w:hint="eastAsia"/>
              </w:rPr>
              <w:t>发现一处扣2-3分</w:t>
            </w:r>
          </w:p>
        </w:tc>
        <w:tc>
          <w:tcPr>
            <w:tcW w:w="780" w:type="dxa"/>
            <w:vAlign w:val="center"/>
          </w:tcPr>
          <w:p w14:paraId="369C1A71">
            <w:pPr>
              <w:spacing w:line="240" w:lineRule="auto"/>
              <w:ind w:firstLine="0" w:firstLineChars="0"/>
            </w:pPr>
            <w:r>
              <w:rPr>
                <w:rFonts w:hint="eastAsia"/>
              </w:rPr>
              <w:t>10</w:t>
            </w:r>
          </w:p>
        </w:tc>
        <w:tc>
          <w:tcPr>
            <w:tcW w:w="716" w:type="dxa"/>
            <w:vAlign w:val="center"/>
          </w:tcPr>
          <w:p w14:paraId="73D917E2">
            <w:pPr>
              <w:spacing w:line="240" w:lineRule="auto"/>
              <w:ind w:firstLine="0" w:firstLineChars="0"/>
            </w:pPr>
          </w:p>
        </w:tc>
      </w:tr>
      <w:tr w14:paraId="54C1F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042" w:type="dxa"/>
            <w:vMerge w:val="continue"/>
          </w:tcPr>
          <w:p w14:paraId="4BCFB18E">
            <w:pPr>
              <w:spacing w:line="240" w:lineRule="auto"/>
              <w:ind w:firstLine="0" w:firstLineChars="0"/>
            </w:pPr>
          </w:p>
        </w:tc>
        <w:tc>
          <w:tcPr>
            <w:tcW w:w="780" w:type="dxa"/>
            <w:vAlign w:val="center"/>
          </w:tcPr>
          <w:p w14:paraId="46195E9B">
            <w:pPr>
              <w:spacing w:line="240" w:lineRule="auto"/>
              <w:ind w:firstLine="0" w:firstLineChars="0"/>
            </w:pPr>
            <w:r>
              <w:rPr>
                <w:rFonts w:hint="eastAsia"/>
              </w:rPr>
              <w:t>厨房</w:t>
            </w:r>
          </w:p>
        </w:tc>
        <w:tc>
          <w:tcPr>
            <w:tcW w:w="4110" w:type="dxa"/>
          </w:tcPr>
          <w:p w14:paraId="0CE9B3B6">
            <w:pPr>
              <w:spacing w:line="240" w:lineRule="auto"/>
              <w:ind w:firstLine="0" w:firstLineChars="0"/>
            </w:pPr>
            <w:r>
              <w:rPr>
                <w:rFonts w:hint="eastAsia"/>
              </w:rPr>
              <w:t>1.灯管、风扇、抽烟机、排风扇、墙壁、抽烟机干净；无油污、灰尘、蜘蛛网；</w:t>
            </w:r>
          </w:p>
          <w:p w14:paraId="380D548E">
            <w:pPr>
              <w:spacing w:line="240" w:lineRule="auto"/>
              <w:ind w:firstLine="0" w:firstLineChars="0"/>
            </w:pPr>
            <w:r>
              <w:rPr>
                <w:rFonts w:hint="eastAsia"/>
              </w:rPr>
              <w:t>2.各种蒸饭、煲汤炉具整洁、里外干净光亮、饭盘无饭粒；</w:t>
            </w:r>
          </w:p>
          <w:p w14:paraId="63DCEC2B">
            <w:pPr>
              <w:spacing w:line="240" w:lineRule="auto"/>
              <w:ind w:firstLine="0" w:firstLineChars="0"/>
            </w:pPr>
            <w:r>
              <w:rPr>
                <w:rFonts w:hint="eastAsia"/>
              </w:rPr>
              <w:t>3.工作间地面干净、无积水、无杂物；</w:t>
            </w:r>
          </w:p>
          <w:p w14:paraId="3943EB9C">
            <w:pPr>
              <w:spacing w:line="240" w:lineRule="auto"/>
              <w:ind w:firstLine="0" w:firstLineChars="0"/>
            </w:pPr>
            <w:r>
              <w:rPr>
                <w:rFonts w:hint="eastAsia"/>
              </w:rPr>
              <w:t>4.货架经常擦拭，保持干净，各种刀具手套摆放整齐；</w:t>
            </w:r>
          </w:p>
          <w:p w14:paraId="0C0AA897">
            <w:pPr>
              <w:spacing w:line="240" w:lineRule="auto"/>
              <w:ind w:firstLine="0" w:firstLineChars="0"/>
            </w:pPr>
            <w:r>
              <w:rPr>
                <w:rFonts w:hint="eastAsia"/>
              </w:rPr>
              <w:t>5.操作台、灶台及售饭台干净整洁；</w:t>
            </w:r>
          </w:p>
          <w:p w14:paraId="552FE5B4">
            <w:pPr>
              <w:spacing w:line="240" w:lineRule="auto"/>
              <w:ind w:firstLine="0" w:firstLineChars="0"/>
            </w:pPr>
            <w:r>
              <w:rPr>
                <w:rFonts w:hint="eastAsia"/>
              </w:rPr>
              <w:t>6.洗菜池、餐具、热食容器定期消毒并保持清洁，做到“一洗二净三冲四消毒”；</w:t>
            </w:r>
          </w:p>
          <w:p w14:paraId="40F06CED">
            <w:pPr>
              <w:spacing w:line="240" w:lineRule="auto"/>
              <w:ind w:firstLine="0" w:firstLineChars="0"/>
            </w:pPr>
            <w:r>
              <w:rPr>
                <w:rFonts w:hint="eastAsia"/>
              </w:rPr>
              <w:t>7.各种机器设备保持整洁，标识清晰。</w:t>
            </w:r>
          </w:p>
        </w:tc>
        <w:tc>
          <w:tcPr>
            <w:tcW w:w="2370" w:type="dxa"/>
            <w:vAlign w:val="center"/>
          </w:tcPr>
          <w:p w14:paraId="389E6B77">
            <w:pPr>
              <w:spacing w:line="240" w:lineRule="auto"/>
              <w:ind w:firstLine="0" w:firstLineChars="0"/>
            </w:pPr>
            <w:r>
              <w:rPr>
                <w:rFonts w:hint="eastAsia"/>
              </w:rPr>
              <w:t>发现一处不清洁扣1分；无消毒扣2分；不按食品安全工作规定执行扣一次扣3分。</w:t>
            </w:r>
          </w:p>
        </w:tc>
        <w:tc>
          <w:tcPr>
            <w:tcW w:w="780" w:type="dxa"/>
            <w:vAlign w:val="center"/>
          </w:tcPr>
          <w:p w14:paraId="7362D2F1">
            <w:pPr>
              <w:spacing w:line="240" w:lineRule="auto"/>
              <w:ind w:firstLine="0" w:firstLineChars="0"/>
            </w:pPr>
            <w:r>
              <w:rPr>
                <w:rFonts w:hint="eastAsia"/>
              </w:rPr>
              <w:t>20</w:t>
            </w:r>
          </w:p>
        </w:tc>
        <w:tc>
          <w:tcPr>
            <w:tcW w:w="716" w:type="dxa"/>
            <w:vAlign w:val="center"/>
          </w:tcPr>
          <w:p w14:paraId="0B801065">
            <w:pPr>
              <w:spacing w:line="240" w:lineRule="auto"/>
              <w:ind w:firstLine="0" w:firstLineChars="0"/>
            </w:pPr>
          </w:p>
        </w:tc>
      </w:tr>
      <w:tr w14:paraId="5BDD6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042" w:type="dxa"/>
            <w:vMerge w:val="continue"/>
          </w:tcPr>
          <w:p w14:paraId="79C711E6">
            <w:pPr>
              <w:spacing w:line="240" w:lineRule="auto"/>
              <w:ind w:firstLine="0" w:firstLineChars="0"/>
            </w:pPr>
          </w:p>
        </w:tc>
        <w:tc>
          <w:tcPr>
            <w:tcW w:w="780" w:type="dxa"/>
            <w:vAlign w:val="center"/>
          </w:tcPr>
          <w:p w14:paraId="1381D142">
            <w:pPr>
              <w:spacing w:line="240" w:lineRule="auto"/>
              <w:ind w:firstLine="0" w:firstLineChars="0"/>
            </w:pPr>
            <w:r>
              <w:rPr>
                <w:rFonts w:hint="eastAsia"/>
              </w:rPr>
              <w:t>餐厅</w:t>
            </w:r>
          </w:p>
        </w:tc>
        <w:tc>
          <w:tcPr>
            <w:tcW w:w="4110" w:type="dxa"/>
          </w:tcPr>
          <w:p w14:paraId="6E3BE390">
            <w:pPr>
              <w:spacing w:line="240" w:lineRule="auto"/>
              <w:ind w:firstLine="0" w:firstLineChars="0"/>
            </w:pPr>
            <w:r>
              <w:rPr>
                <w:rFonts w:hint="eastAsia"/>
              </w:rPr>
              <w:t>1.餐厅地面每日清扫，地面清洁；每月至少对食堂进行一次卫生大扫除；</w:t>
            </w:r>
          </w:p>
          <w:p w14:paraId="651FE587">
            <w:pPr>
              <w:spacing w:line="240" w:lineRule="auto"/>
              <w:ind w:firstLine="0" w:firstLineChars="0"/>
            </w:pPr>
            <w:r>
              <w:rPr>
                <w:rFonts w:hint="eastAsia"/>
              </w:rPr>
              <w:t>2.餐桌摆成一条线，民警就餐期间及时清理，做到干净整洁无污渍；</w:t>
            </w:r>
          </w:p>
          <w:p w14:paraId="2C1435EC">
            <w:pPr>
              <w:spacing w:line="240" w:lineRule="auto"/>
              <w:ind w:firstLine="0" w:firstLineChars="0"/>
            </w:pPr>
            <w:r>
              <w:rPr>
                <w:rFonts w:hint="eastAsia"/>
              </w:rPr>
              <w:t>3.餐余回收处干燥整洁无残渣。</w:t>
            </w:r>
          </w:p>
        </w:tc>
        <w:tc>
          <w:tcPr>
            <w:tcW w:w="2370" w:type="dxa"/>
            <w:vAlign w:val="center"/>
          </w:tcPr>
          <w:p w14:paraId="20990110">
            <w:pPr>
              <w:spacing w:line="240" w:lineRule="auto"/>
              <w:ind w:firstLine="0" w:firstLineChars="0"/>
            </w:pPr>
            <w:r>
              <w:rPr>
                <w:rFonts w:hint="eastAsia"/>
              </w:rPr>
              <w:t>发现一次扣1分</w:t>
            </w:r>
          </w:p>
        </w:tc>
        <w:tc>
          <w:tcPr>
            <w:tcW w:w="780" w:type="dxa"/>
            <w:vMerge w:val="restart"/>
            <w:vAlign w:val="center"/>
          </w:tcPr>
          <w:p w14:paraId="20572B72">
            <w:pPr>
              <w:spacing w:line="240" w:lineRule="auto"/>
              <w:ind w:firstLine="0" w:firstLineChars="0"/>
            </w:pPr>
            <w:r>
              <w:rPr>
                <w:rFonts w:hint="eastAsia"/>
              </w:rPr>
              <w:t>10</w:t>
            </w:r>
          </w:p>
        </w:tc>
        <w:tc>
          <w:tcPr>
            <w:tcW w:w="716" w:type="dxa"/>
            <w:vMerge w:val="restart"/>
            <w:vAlign w:val="center"/>
          </w:tcPr>
          <w:p w14:paraId="08166B3F">
            <w:pPr>
              <w:spacing w:line="240" w:lineRule="auto"/>
              <w:ind w:firstLine="0" w:firstLineChars="0"/>
            </w:pPr>
          </w:p>
        </w:tc>
      </w:tr>
      <w:tr w14:paraId="0436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042" w:type="dxa"/>
            <w:vMerge w:val="continue"/>
          </w:tcPr>
          <w:p w14:paraId="1EADC556">
            <w:pPr>
              <w:spacing w:line="240" w:lineRule="auto"/>
              <w:ind w:firstLine="0" w:firstLineChars="0"/>
            </w:pPr>
          </w:p>
        </w:tc>
        <w:tc>
          <w:tcPr>
            <w:tcW w:w="780" w:type="dxa"/>
            <w:vAlign w:val="center"/>
          </w:tcPr>
          <w:p w14:paraId="1643C23A">
            <w:pPr>
              <w:spacing w:line="240" w:lineRule="auto"/>
              <w:ind w:firstLine="0" w:firstLineChars="0"/>
            </w:pPr>
            <w:r>
              <w:rPr>
                <w:rFonts w:hint="eastAsia"/>
              </w:rPr>
              <w:t>库房</w:t>
            </w:r>
          </w:p>
        </w:tc>
        <w:tc>
          <w:tcPr>
            <w:tcW w:w="4110" w:type="dxa"/>
          </w:tcPr>
          <w:p w14:paraId="4541993C">
            <w:pPr>
              <w:spacing w:line="240" w:lineRule="auto"/>
              <w:ind w:firstLine="0" w:firstLineChars="0"/>
            </w:pPr>
            <w:r>
              <w:rPr>
                <w:rFonts w:hint="eastAsia"/>
              </w:rPr>
              <w:t>1.地面保持清洁；</w:t>
            </w:r>
          </w:p>
          <w:p w14:paraId="1C1824BF">
            <w:pPr>
              <w:spacing w:line="240" w:lineRule="auto"/>
              <w:ind w:firstLine="0" w:firstLineChars="0"/>
            </w:pPr>
            <w:r>
              <w:rPr>
                <w:rFonts w:hint="eastAsia"/>
              </w:rPr>
              <w:t>2.所有食物必须上架，禁止随意摆放；</w:t>
            </w:r>
          </w:p>
          <w:p w14:paraId="694E4BCA">
            <w:pPr>
              <w:spacing w:line="240" w:lineRule="auto"/>
              <w:ind w:firstLine="0" w:firstLineChars="0"/>
            </w:pPr>
            <w:r>
              <w:rPr>
                <w:rFonts w:hint="eastAsia"/>
              </w:rPr>
              <w:t>3.夏季须保持通风透气，库房无异味，保持蔬菜新鲜；</w:t>
            </w:r>
          </w:p>
          <w:p w14:paraId="4383EE4C">
            <w:pPr>
              <w:spacing w:line="240" w:lineRule="auto"/>
              <w:ind w:firstLine="0" w:firstLineChars="0"/>
            </w:pPr>
            <w:r>
              <w:rPr>
                <w:rFonts w:hint="eastAsia"/>
              </w:rPr>
              <w:t>4.冰箱责任落实到人，定期做整理、清洗，标志、温控清楚；外表整洁、生熟分开、标识清晰。</w:t>
            </w:r>
          </w:p>
        </w:tc>
        <w:tc>
          <w:tcPr>
            <w:tcW w:w="2370" w:type="dxa"/>
            <w:vAlign w:val="center"/>
          </w:tcPr>
          <w:p w14:paraId="57374683">
            <w:pPr>
              <w:spacing w:line="240" w:lineRule="auto"/>
              <w:ind w:firstLine="0" w:firstLineChars="0"/>
            </w:pPr>
            <w:r>
              <w:rPr>
                <w:rFonts w:hint="eastAsia"/>
              </w:rPr>
              <w:t>发现一次扣2分</w:t>
            </w:r>
          </w:p>
        </w:tc>
        <w:tc>
          <w:tcPr>
            <w:tcW w:w="780" w:type="dxa"/>
            <w:vMerge w:val="continue"/>
            <w:vAlign w:val="center"/>
          </w:tcPr>
          <w:p w14:paraId="061A242F">
            <w:pPr>
              <w:spacing w:line="240" w:lineRule="auto"/>
              <w:ind w:firstLine="0" w:firstLineChars="0"/>
            </w:pPr>
          </w:p>
        </w:tc>
        <w:tc>
          <w:tcPr>
            <w:tcW w:w="716" w:type="dxa"/>
            <w:vMerge w:val="continue"/>
            <w:vAlign w:val="center"/>
          </w:tcPr>
          <w:p w14:paraId="0EB6B4B6">
            <w:pPr>
              <w:spacing w:line="240" w:lineRule="auto"/>
              <w:ind w:firstLine="0" w:firstLineChars="0"/>
            </w:pPr>
          </w:p>
        </w:tc>
      </w:tr>
      <w:tr w14:paraId="6629D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042" w:type="dxa"/>
            <w:vAlign w:val="center"/>
          </w:tcPr>
          <w:p w14:paraId="34900470">
            <w:pPr>
              <w:spacing w:line="240" w:lineRule="auto"/>
              <w:ind w:firstLine="0" w:firstLineChars="0"/>
            </w:pPr>
            <w:r>
              <w:rPr>
                <w:rFonts w:hint="eastAsia"/>
              </w:rPr>
              <w:t>食堂  管理   10分</w:t>
            </w:r>
          </w:p>
        </w:tc>
        <w:tc>
          <w:tcPr>
            <w:tcW w:w="780" w:type="dxa"/>
            <w:vAlign w:val="center"/>
          </w:tcPr>
          <w:p w14:paraId="5C51932B">
            <w:pPr>
              <w:spacing w:line="240" w:lineRule="auto"/>
              <w:ind w:firstLine="0" w:firstLineChars="0"/>
            </w:pPr>
          </w:p>
        </w:tc>
        <w:tc>
          <w:tcPr>
            <w:tcW w:w="4110" w:type="dxa"/>
            <w:vAlign w:val="center"/>
          </w:tcPr>
          <w:p w14:paraId="5C22EDDB">
            <w:pPr>
              <w:spacing w:line="240" w:lineRule="auto"/>
              <w:ind w:firstLine="0" w:firstLineChars="0"/>
            </w:pPr>
            <w:r>
              <w:rPr>
                <w:rFonts w:hint="eastAsia"/>
              </w:rPr>
              <w:t>1.严禁非食堂人员随意进入食堂的食品加工操作间及原料仓库；</w:t>
            </w:r>
          </w:p>
          <w:p w14:paraId="1AE4313B">
            <w:pPr>
              <w:spacing w:line="240" w:lineRule="auto"/>
              <w:ind w:firstLine="0" w:firstLineChars="0"/>
            </w:pPr>
            <w:r>
              <w:rPr>
                <w:rFonts w:hint="eastAsia"/>
              </w:rPr>
              <w:t>2.超过规定用餐时间继续供应饭菜；</w:t>
            </w:r>
          </w:p>
          <w:p w14:paraId="117E55D7">
            <w:pPr>
              <w:spacing w:line="240" w:lineRule="auto"/>
              <w:ind w:firstLine="0" w:firstLineChars="0"/>
            </w:pPr>
            <w:r>
              <w:rPr>
                <w:rFonts w:hint="eastAsia"/>
              </w:rPr>
              <w:t>3.为无就餐卡或就餐券的人提供饭菜；</w:t>
            </w:r>
          </w:p>
          <w:p w14:paraId="0258EBF0">
            <w:pPr>
              <w:spacing w:line="240" w:lineRule="auto"/>
              <w:ind w:firstLine="0" w:firstLineChars="0"/>
            </w:pPr>
            <w:r>
              <w:rPr>
                <w:rFonts w:hint="eastAsia"/>
              </w:rPr>
              <w:t>4.未及时关闭燃气阀门、水龙头、电源，造成安全隐患、水电浪费；</w:t>
            </w:r>
          </w:p>
          <w:p w14:paraId="33C26DC7">
            <w:pPr>
              <w:spacing w:line="240" w:lineRule="auto"/>
              <w:ind w:firstLine="0" w:firstLineChars="0"/>
            </w:pPr>
            <w:r>
              <w:rPr>
                <w:rFonts w:hint="eastAsia"/>
              </w:rPr>
              <w:t>5.发现擅自外带食品；</w:t>
            </w:r>
          </w:p>
          <w:p w14:paraId="1DD4F87F">
            <w:pPr>
              <w:spacing w:line="240" w:lineRule="auto"/>
              <w:ind w:firstLine="0" w:firstLineChars="0"/>
            </w:pPr>
            <w:r>
              <w:rPr>
                <w:rFonts w:hint="eastAsia"/>
              </w:rPr>
              <w:t>6.各类食堂台账未做到及时、完整登记；</w:t>
            </w:r>
          </w:p>
          <w:p w14:paraId="79F66913">
            <w:pPr>
              <w:spacing w:line="240" w:lineRule="auto"/>
              <w:ind w:firstLine="0" w:firstLineChars="0"/>
            </w:pPr>
            <w:r>
              <w:rPr>
                <w:rFonts w:hint="eastAsia"/>
              </w:rPr>
              <w:t>7.爱护食堂各项设备、做好日常使用和养护工作；</w:t>
            </w:r>
          </w:p>
          <w:p w14:paraId="199BBEE4">
            <w:pPr>
              <w:spacing w:line="240" w:lineRule="auto"/>
              <w:ind w:firstLine="0" w:firstLineChars="0"/>
            </w:pPr>
            <w:r>
              <w:rPr>
                <w:rFonts w:hint="eastAsia"/>
              </w:rPr>
              <w:t>8.未按规定留样，并做好登记的。</w:t>
            </w:r>
          </w:p>
        </w:tc>
        <w:tc>
          <w:tcPr>
            <w:tcW w:w="2370" w:type="dxa"/>
            <w:vAlign w:val="center"/>
          </w:tcPr>
          <w:p w14:paraId="6418BA97">
            <w:pPr>
              <w:spacing w:line="240" w:lineRule="auto"/>
              <w:ind w:firstLine="0" w:firstLineChars="0"/>
            </w:pPr>
            <w:r>
              <w:rPr>
                <w:rFonts w:hint="eastAsia"/>
              </w:rPr>
              <w:t>发现一次扣2分，第8条发现一次该项不得分。</w:t>
            </w:r>
          </w:p>
        </w:tc>
        <w:tc>
          <w:tcPr>
            <w:tcW w:w="780" w:type="dxa"/>
            <w:vAlign w:val="center"/>
          </w:tcPr>
          <w:p w14:paraId="7D19615F">
            <w:pPr>
              <w:spacing w:line="240" w:lineRule="auto"/>
              <w:ind w:firstLine="0" w:firstLineChars="0"/>
            </w:pPr>
            <w:r>
              <w:rPr>
                <w:rFonts w:hint="eastAsia"/>
              </w:rPr>
              <w:t>10</w:t>
            </w:r>
          </w:p>
        </w:tc>
        <w:tc>
          <w:tcPr>
            <w:tcW w:w="716" w:type="dxa"/>
            <w:vAlign w:val="center"/>
          </w:tcPr>
          <w:p w14:paraId="1B4B33C3">
            <w:pPr>
              <w:spacing w:line="240" w:lineRule="auto"/>
              <w:ind w:firstLine="0" w:firstLineChars="0"/>
            </w:pPr>
          </w:p>
        </w:tc>
      </w:tr>
    </w:tbl>
    <w:p w14:paraId="108CBAAC">
      <w:pPr>
        <w:ind w:firstLine="120" w:firstLineChars="50"/>
        <w:rPr>
          <w:rFonts w:ascii="宋体" w:hAnsi="宋体" w:cs="宋体"/>
        </w:rPr>
      </w:pPr>
      <w:r>
        <w:rPr>
          <w:rFonts w:hint="eastAsia" w:ascii="宋体" w:hAnsi="宋体" w:cs="宋体"/>
          <w:bCs/>
          <w:color w:val="565656"/>
          <w:kern w:val="0"/>
        </w:rPr>
        <w:t>检查部门：             检查人：           总得分：           日期：</w:t>
      </w:r>
    </w:p>
    <w:p w14:paraId="19335343">
      <w:pPr>
        <w:spacing w:line="400" w:lineRule="exact"/>
        <w:ind w:firstLine="120" w:firstLineChars="50"/>
        <w:rPr>
          <w:rFonts w:ascii="宋体" w:hAnsi="宋体" w:cs="宋体"/>
        </w:rPr>
      </w:pPr>
    </w:p>
    <w:p w14:paraId="6CEDB03F">
      <w:pPr>
        <w:spacing w:line="400" w:lineRule="exact"/>
        <w:ind w:firstLine="0" w:firstLineChars="0"/>
        <w:rPr>
          <w:rFonts w:ascii="宋体" w:hAnsi="宋体" w:cs="宋体"/>
        </w:rPr>
      </w:pPr>
    </w:p>
    <w:p w14:paraId="50159729">
      <w:pPr>
        <w:spacing w:line="400" w:lineRule="exact"/>
        <w:ind w:firstLine="120" w:firstLineChars="50"/>
        <w:rPr>
          <w:rFonts w:ascii="宋体" w:hAnsi="宋体" w:cs="宋体"/>
        </w:rPr>
      </w:pPr>
    </w:p>
    <w:p w14:paraId="6180594C">
      <w:pPr>
        <w:pStyle w:val="49"/>
        <w:rPr>
          <w:rFonts w:cs="宋体"/>
          <w:szCs w:val="24"/>
        </w:rPr>
      </w:pPr>
    </w:p>
    <w:p w14:paraId="51C7AB49">
      <w:pPr>
        <w:pStyle w:val="49"/>
        <w:rPr>
          <w:rFonts w:cs="宋体"/>
          <w:szCs w:val="24"/>
        </w:rPr>
      </w:pPr>
    </w:p>
    <w:p w14:paraId="550EF77C">
      <w:pPr>
        <w:pStyle w:val="49"/>
        <w:rPr>
          <w:rFonts w:cs="宋体"/>
          <w:szCs w:val="24"/>
        </w:rPr>
      </w:pPr>
    </w:p>
    <w:p w14:paraId="5655F082">
      <w:pPr>
        <w:pStyle w:val="49"/>
        <w:rPr>
          <w:rFonts w:cs="宋体"/>
          <w:szCs w:val="24"/>
        </w:rPr>
      </w:pPr>
    </w:p>
    <w:p w14:paraId="64596C91">
      <w:pPr>
        <w:pStyle w:val="4"/>
        <w:jc w:val="center"/>
      </w:pPr>
      <w:bookmarkStart w:id="180" w:name="_Toc8001"/>
      <w:r>
        <w:rPr>
          <w:rFonts w:hint="eastAsia"/>
        </w:rPr>
        <w:t>附表二：食堂满意度调查表</w:t>
      </w:r>
      <w:bookmarkEnd w:id="180"/>
    </w:p>
    <w:tbl>
      <w:tblPr>
        <w:tblStyle w:val="32"/>
        <w:tblW w:w="10095" w:type="dxa"/>
        <w:tblInd w:w="-6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705"/>
        <w:gridCol w:w="960"/>
        <w:gridCol w:w="720"/>
        <w:gridCol w:w="720"/>
        <w:gridCol w:w="975"/>
        <w:gridCol w:w="735"/>
        <w:gridCol w:w="750"/>
        <w:gridCol w:w="1005"/>
        <w:gridCol w:w="780"/>
        <w:gridCol w:w="720"/>
        <w:gridCol w:w="1256"/>
      </w:tblGrid>
      <w:tr w14:paraId="68BA4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2434" w:type="dxa"/>
            <w:gridSpan w:val="3"/>
            <w:vAlign w:val="center"/>
          </w:tcPr>
          <w:p w14:paraId="35B298CB">
            <w:pPr>
              <w:spacing w:line="240" w:lineRule="auto"/>
              <w:ind w:firstLine="0" w:firstLineChars="0"/>
              <w:rPr>
                <w:b/>
                <w:bCs/>
              </w:rPr>
            </w:pPr>
            <w:r>
              <w:rPr>
                <w:rFonts w:hint="eastAsia"/>
                <w:b/>
                <w:bCs/>
              </w:rPr>
              <w:t>饭菜质量30分</w:t>
            </w:r>
          </w:p>
        </w:tc>
        <w:tc>
          <w:tcPr>
            <w:tcW w:w="2415" w:type="dxa"/>
            <w:gridSpan w:val="3"/>
            <w:vAlign w:val="center"/>
          </w:tcPr>
          <w:p w14:paraId="4E426B49">
            <w:pPr>
              <w:spacing w:line="240" w:lineRule="auto"/>
              <w:ind w:firstLine="0" w:firstLineChars="0"/>
              <w:rPr>
                <w:b/>
                <w:bCs/>
              </w:rPr>
            </w:pPr>
            <w:r>
              <w:rPr>
                <w:rFonts w:hint="eastAsia"/>
                <w:b/>
                <w:bCs/>
              </w:rPr>
              <w:t>服务态度30分</w:t>
            </w:r>
          </w:p>
        </w:tc>
        <w:tc>
          <w:tcPr>
            <w:tcW w:w="2490" w:type="dxa"/>
            <w:gridSpan w:val="3"/>
            <w:vAlign w:val="center"/>
          </w:tcPr>
          <w:p w14:paraId="4111A21F">
            <w:pPr>
              <w:spacing w:line="240" w:lineRule="auto"/>
              <w:ind w:firstLine="0" w:firstLineChars="0"/>
              <w:rPr>
                <w:b/>
                <w:bCs/>
              </w:rPr>
            </w:pPr>
            <w:r>
              <w:rPr>
                <w:rFonts w:hint="eastAsia"/>
                <w:b/>
                <w:bCs/>
              </w:rPr>
              <w:t>卫生状况30分</w:t>
            </w:r>
          </w:p>
        </w:tc>
        <w:tc>
          <w:tcPr>
            <w:tcW w:w="2756" w:type="dxa"/>
            <w:gridSpan w:val="3"/>
            <w:vAlign w:val="center"/>
          </w:tcPr>
          <w:p w14:paraId="7A9BA01F">
            <w:pPr>
              <w:spacing w:line="240" w:lineRule="auto"/>
              <w:ind w:firstLine="0" w:firstLineChars="0"/>
              <w:rPr>
                <w:b/>
                <w:bCs/>
              </w:rPr>
            </w:pPr>
            <w:r>
              <w:rPr>
                <w:rFonts w:hint="eastAsia"/>
                <w:b/>
                <w:bCs/>
              </w:rPr>
              <w:t>饭菜份量10分</w:t>
            </w:r>
          </w:p>
        </w:tc>
      </w:tr>
      <w:tr w14:paraId="40D1F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69" w:type="dxa"/>
            <w:vAlign w:val="center"/>
          </w:tcPr>
          <w:p w14:paraId="443DD7A7">
            <w:pPr>
              <w:spacing w:line="240" w:lineRule="auto"/>
              <w:ind w:firstLine="0" w:firstLineChars="0"/>
            </w:pPr>
            <w:r>
              <w:rPr>
                <w:rFonts w:hint="eastAsia"/>
              </w:rPr>
              <w:t>满意</w:t>
            </w:r>
          </w:p>
        </w:tc>
        <w:tc>
          <w:tcPr>
            <w:tcW w:w="705" w:type="dxa"/>
            <w:vAlign w:val="center"/>
          </w:tcPr>
          <w:p w14:paraId="14B9DF64">
            <w:pPr>
              <w:spacing w:line="240" w:lineRule="auto"/>
              <w:ind w:firstLine="0" w:firstLineChars="0"/>
            </w:pPr>
            <w:r>
              <w:rPr>
                <w:rFonts w:hint="eastAsia"/>
              </w:rPr>
              <w:t>基本满意</w:t>
            </w:r>
          </w:p>
        </w:tc>
        <w:tc>
          <w:tcPr>
            <w:tcW w:w="960" w:type="dxa"/>
            <w:vAlign w:val="center"/>
          </w:tcPr>
          <w:p w14:paraId="0C020DB5">
            <w:pPr>
              <w:spacing w:line="240" w:lineRule="auto"/>
              <w:ind w:firstLine="0" w:firstLineChars="0"/>
            </w:pPr>
            <w:r>
              <w:rPr>
                <w:rFonts w:hint="eastAsia"/>
              </w:rPr>
              <w:t>不满意</w:t>
            </w:r>
          </w:p>
        </w:tc>
        <w:tc>
          <w:tcPr>
            <w:tcW w:w="720" w:type="dxa"/>
            <w:vAlign w:val="center"/>
          </w:tcPr>
          <w:p w14:paraId="7D82A8E8">
            <w:pPr>
              <w:spacing w:line="240" w:lineRule="auto"/>
              <w:ind w:firstLine="0" w:firstLineChars="0"/>
            </w:pPr>
            <w:r>
              <w:rPr>
                <w:rFonts w:hint="eastAsia"/>
              </w:rPr>
              <w:t>满意</w:t>
            </w:r>
          </w:p>
        </w:tc>
        <w:tc>
          <w:tcPr>
            <w:tcW w:w="720" w:type="dxa"/>
            <w:vAlign w:val="center"/>
          </w:tcPr>
          <w:p w14:paraId="58B795CB">
            <w:pPr>
              <w:spacing w:line="240" w:lineRule="auto"/>
              <w:ind w:firstLine="0" w:firstLineChars="0"/>
            </w:pPr>
            <w:r>
              <w:rPr>
                <w:rFonts w:hint="eastAsia"/>
              </w:rPr>
              <w:t>基本满意</w:t>
            </w:r>
          </w:p>
        </w:tc>
        <w:tc>
          <w:tcPr>
            <w:tcW w:w="975" w:type="dxa"/>
            <w:vAlign w:val="center"/>
          </w:tcPr>
          <w:p w14:paraId="783470E5">
            <w:pPr>
              <w:spacing w:line="240" w:lineRule="auto"/>
              <w:ind w:firstLine="0" w:firstLineChars="0"/>
            </w:pPr>
            <w:r>
              <w:rPr>
                <w:rFonts w:hint="eastAsia"/>
              </w:rPr>
              <w:t>不满意</w:t>
            </w:r>
          </w:p>
        </w:tc>
        <w:tc>
          <w:tcPr>
            <w:tcW w:w="735" w:type="dxa"/>
            <w:vAlign w:val="center"/>
          </w:tcPr>
          <w:p w14:paraId="1C77220A">
            <w:pPr>
              <w:spacing w:line="240" w:lineRule="auto"/>
              <w:ind w:firstLine="0" w:firstLineChars="0"/>
            </w:pPr>
            <w:r>
              <w:rPr>
                <w:rFonts w:hint="eastAsia"/>
              </w:rPr>
              <w:t>满意</w:t>
            </w:r>
          </w:p>
        </w:tc>
        <w:tc>
          <w:tcPr>
            <w:tcW w:w="750" w:type="dxa"/>
            <w:vAlign w:val="center"/>
          </w:tcPr>
          <w:p w14:paraId="02D7BBA5">
            <w:pPr>
              <w:spacing w:line="240" w:lineRule="auto"/>
              <w:ind w:firstLine="0" w:firstLineChars="0"/>
            </w:pPr>
            <w:r>
              <w:rPr>
                <w:rFonts w:hint="eastAsia"/>
              </w:rPr>
              <w:t>基本满意</w:t>
            </w:r>
          </w:p>
        </w:tc>
        <w:tc>
          <w:tcPr>
            <w:tcW w:w="1005" w:type="dxa"/>
            <w:vAlign w:val="center"/>
          </w:tcPr>
          <w:p w14:paraId="4FE10505">
            <w:pPr>
              <w:spacing w:line="240" w:lineRule="auto"/>
              <w:ind w:firstLine="0" w:firstLineChars="0"/>
            </w:pPr>
            <w:r>
              <w:rPr>
                <w:rFonts w:hint="eastAsia"/>
              </w:rPr>
              <w:t>不满意</w:t>
            </w:r>
          </w:p>
        </w:tc>
        <w:tc>
          <w:tcPr>
            <w:tcW w:w="780" w:type="dxa"/>
            <w:vAlign w:val="center"/>
          </w:tcPr>
          <w:p w14:paraId="73F6582F">
            <w:pPr>
              <w:spacing w:line="240" w:lineRule="auto"/>
              <w:ind w:firstLine="0" w:firstLineChars="0"/>
            </w:pPr>
            <w:r>
              <w:rPr>
                <w:rFonts w:hint="eastAsia"/>
              </w:rPr>
              <w:t>满意</w:t>
            </w:r>
          </w:p>
        </w:tc>
        <w:tc>
          <w:tcPr>
            <w:tcW w:w="720" w:type="dxa"/>
            <w:vAlign w:val="center"/>
          </w:tcPr>
          <w:p w14:paraId="1FB30882">
            <w:pPr>
              <w:spacing w:line="240" w:lineRule="auto"/>
              <w:ind w:firstLine="0" w:firstLineChars="0"/>
            </w:pPr>
            <w:r>
              <w:rPr>
                <w:rFonts w:hint="eastAsia"/>
              </w:rPr>
              <w:t>基本满意</w:t>
            </w:r>
          </w:p>
        </w:tc>
        <w:tc>
          <w:tcPr>
            <w:tcW w:w="1256" w:type="dxa"/>
            <w:vAlign w:val="center"/>
          </w:tcPr>
          <w:p w14:paraId="5D45BEC7">
            <w:pPr>
              <w:spacing w:line="240" w:lineRule="auto"/>
              <w:ind w:firstLine="0" w:firstLineChars="0"/>
            </w:pPr>
            <w:r>
              <w:rPr>
                <w:rFonts w:hint="eastAsia"/>
              </w:rPr>
              <w:t>不满意</w:t>
            </w:r>
          </w:p>
        </w:tc>
      </w:tr>
      <w:tr w14:paraId="05266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769" w:type="dxa"/>
            <w:vAlign w:val="center"/>
          </w:tcPr>
          <w:p w14:paraId="363D13A6">
            <w:pPr>
              <w:spacing w:line="240" w:lineRule="auto"/>
              <w:ind w:firstLine="0" w:firstLineChars="0"/>
            </w:pPr>
            <w:r>
              <w:rPr>
                <w:rFonts w:hint="eastAsia"/>
              </w:rPr>
              <w:t>30－25</w:t>
            </w:r>
          </w:p>
        </w:tc>
        <w:tc>
          <w:tcPr>
            <w:tcW w:w="705" w:type="dxa"/>
            <w:vAlign w:val="center"/>
          </w:tcPr>
          <w:p w14:paraId="0D143873">
            <w:pPr>
              <w:spacing w:line="240" w:lineRule="auto"/>
              <w:ind w:firstLine="0" w:firstLineChars="0"/>
            </w:pPr>
            <w:r>
              <w:rPr>
                <w:rFonts w:hint="eastAsia"/>
              </w:rPr>
              <w:t>25－20</w:t>
            </w:r>
          </w:p>
        </w:tc>
        <w:tc>
          <w:tcPr>
            <w:tcW w:w="960" w:type="dxa"/>
            <w:vAlign w:val="center"/>
          </w:tcPr>
          <w:p w14:paraId="58C542CF">
            <w:pPr>
              <w:spacing w:line="240" w:lineRule="auto"/>
              <w:ind w:firstLine="0" w:firstLineChars="0"/>
            </w:pPr>
            <w:r>
              <w:rPr>
                <w:rFonts w:hint="eastAsia"/>
              </w:rPr>
              <w:t>20分以下</w:t>
            </w:r>
          </w:p>
        </w:tc>
        <w:tc>
          <w:tcPr>
            <w:tcW w:w="720" w:type="dxa"/>
            <w:vAlign w:val="center"/>
          </w:tcPr>
          <w:p w14:paraId="3A917C28">
            <w:pPr>
              <w:spacing w:line="240" w:lineRule="auto"/>
              <w:ind w:firstLine="0" w:firstLineChars="0"/>
            </w:pPr>
            <w:r>
              <w:rPr>
                <w:rFonts w:hint="eastAsia"/>
              </w:rPr>
              <w:t>30－25</w:t>
            </w:r>
          </w:p>
        </w:tc>
        <w:tc>
          <w:tcPr>
            <w:tcW w:w="720" w:type="dxa"/>
            <w:vAlign w:val="center"/>
          </w:tcPr>
          <w:p w14:paraId="09F1324E">
            <w:pPr>
              <w:spacing w:line="240" w:lineRule="auto"/>
              <w:ind w:firstLine="0" w:firstLineChars="0"/>
            </w:pPr>
            <w:r>
              <w:rPr>
                <w:rFonts w:hint="eastAsia"/>
              </w:rPr>
              <w:t>25－20</w:t>
            </w:r>
          </w:p>
        </w:tc>
        <w:tc>
          <w:tcPr>
            <w:tcW w:w="975" w:type="dxa"/>
            <w:vAlign w:val="center"/>
          </w:tcPr>
          <w:p w14:paraId="0C4B95AD">
            <w:pPr>
              <w:spacing w:line="240" w:lineRule="auto"/>
              <w:ind w:firstLine="0" w:firstLineChars="0"/>
            </w:pPr>
            <w:r>
              <w:rPr>
                <w:rFonts w:hint="eastAsia"/>
              </w:rPr>
              <w:t>20分以下</w:t>
            </w:r>
          </w:p>
        </w:tc>
        <w:tc>
          <w:tcPr>
            <w:tcW w:w="735" w:type="dxa"/>
            <w:vAlign w:val="center"/>
          </w:tcPr>
          <w:p w14:paraId="3F66C4F3">
            <w:pPr>
              <w:spacing w:line="240" w:lineRule="auto"/>
              <w:ind w:firstLine="0" w:firstLineChars="0"/>
            </w:pPr>
            <w:r>
              <w:rPr>
                <w:rFonts w:hint="eastAsia"/>
              </w:rPr>
              <w:t>30－25</w:t>
            </w:r>
          </w:p>
        </w:tc>
        <w:tc>
          <w:tcPr>
            <w:tcW w:w="750" w:type="dxa"/>
            <w:vAlign w:val="center"/>
          </w:tcPr>
          <w:p w14:paraId="286B539D">
            <w:pPr>
              <w:spacing w:line="240" w:lineRule="auto"/>
              <w:ind w:firstLine="0" w:firstLineChars="0"/>
            </w:pPr>
            <w:r>
              <w:rPr>
                <w:rFonts w:hint="eastAsia"/>
              </w:rPr>
              <w:t>25－20</w:t>
            </w:r>
          </w:p>
        </w:tc>
        <w:tc>
          <w:tcPr>
            <w:tcW w:w="1005" w:type="dxa"/>
            <w:vAlign w:val="center"/>
          </w:tcPr>
          <w:p w14:paraId="5CAF5E88">
            <w:pPr>
              <w:spacing w:line="240" w:lineRule="auto"/>
              <w:ind w:firstLine="0" w:firstLineChars="0"/>
            </w:pPr>
            <w:r>
              <w:rPr>
                <w:rFonts w:hint="eastAsia"/>
              </w:rPr>
              <w:t>20分以下</w:t>
            </w:r>
          </w:p>
        </w:tc>
        <w:tc>
          <w:tcPr>
            <w:tcW w:w="780" w:type="dxa"/>
            <w:vAlign w:val="center"/>
          </w:tcPr>
          <w:p w14:paraId="471FA9BD">
            <w:pPr>
              <w:spacing w:line="240" w:lineRule="auto"/>
              <w:ind w:firstLine="0" w:firstLineChars="0"/>
            </w:pPr>
            <w:r>
              <w:rPr>
                <w:rFonts w:hint="eastAsia"/>
              </w:rPr>
              <w:t>10－8</w:t>
            </w:r>
          </w:p>
        </w:tc>
        <w:tc>
          <w:tcPr>
            <w:tcW w:w="720" w:type="dxa"/>
            <w:vAlign w:val="center"/>
          </w:tcPr>
          <w:p w14:paraId="25109FFA">
            <w:pPr>
              <w:spacing w:line="240" w:lineRule="auto"/>
              <w:ind w:firstLine="0" w:firstLineChars="0"/>
            </w:pPr>
            <w:r>
              <w:rPr>
                <w:rFonts w:hint="eastAsia"/>
              </w:rPr>
              <w:t>8－5</w:t>
            </w:r>
          </w:p>
        </w:tc>
        <w:tc>
          <w:tcPr>
            <w:tcW w:w="1256" w:type="dxa"/>
            <w:vAlign w:val="center"/>
          </w:tcPr>
          <w:p w14:paraId="4FF1C097">
            <w:pPr>
              <w:spacing w:line="240" w:lineRule="auto"/>
              <w:ind w:firstLine="0" w:firstLineChars="0"/>
            </w:pPr>
            <w:r>
              <w:rPr>
                <w:rFonts w:hint="eastAsia"/>
              </w:rPr>
              <w:t>5分以下</w:t>
            </w:r>
          </w:p>
        </w:tc>
      </w:tr>
      <w:tr w14:paraId="5431C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69" w:type="dxa"/>
            <w:vAlign w:val="center"/>
          </w:tcPr>
          <w:p w14:paraId="690242AC">
            <w:pPr>
              <w:spacing w:line="240" w:lineRule="auto"/>
              <w:ind w:firstLine="0" w:firstLineChars="0"/>
            </w:pPr>
          </w:p>
        </w:tc>
        <w:tc>
          <w:tcPr>
            <w:tcW w:w="705" w:type="dxa"/>
            <w:vAlign w:val="center"/>
          </w:tcPr>
          <w:p w14:paraId="7F5F44D8">
            <w:pPr>
              <w:spacing w:line="240" w:lineRule="auto"/>
              <w:ind w:firstLine="0" w:firstLineChars="0"/>
            </w:pPr>
          </w:p>
        </w:tc>
        <w:tc>
          <w:tcPr>
            <w:tcW w:w="960" w:type="dxa"/>
            <w:vAlign w:val="center"/>
          </w:tcPr>
          <w:p w14:paraId="4DF07731">
            <w:pPr>
              <w:spacing w:line="240" w:lineRule="auto"/>
              <w:ind w:firstLine="0" w:firstLineChars="0"/>
            </w:pPr>
          </w:p>
        </w:tc>
        <w:tc>
          <w:tcPr>
            <w:tcW w:w="720" w:type="dxa"/>
            <w:vAlign w:val="center"/>
          </w:tcPr>
          <w:p w14:paraId="5504A786">
            <w:pPr>
              <w:spacing w:line="240" w:lineRule="auto"/>
              <w:ind w:firstLine="0" w:firstLineChars="0"/>
            </w:pPr>
          </w:p>
        </w:tc>
        <w:tc>
          <w:tcPr>
            <w:tcW w:w="720" w:type="dxa"/>
            <w:vAlign w:val="center"/>
          </w:tcPr>
          <w:p w14:paraId="0520BDC2">
            <w:pPr>
              <w:spacing w:line="240" w:lineRule="auto"/>
              <w:ind w:firstLine="0" w:firstLineChars="0"/>
            </w:pPr>
          </w:p>
        </w:tc>
        <w:tc>
          <w:tcPr>
            <w:tcW w:w="975" w:type="dxa"/>
            <w:vAlign w:val="center"/>
          </w:tcPr>
          <w:p w14:paraId="49414796">
            <w:pPr>
              <w:spacing w:line="240" w:lineRule="auto"/>
              <w:ind w:firstLine="0" w:firstLineChars="0"/>
            </w:pPr>
          </w:p>
        </w:tc>
        <w:tc>
          <w:tcPr>
            <w:tcW w:w="735" w:type="dxa"/>
            <w:vAlign w:val="center"/>
          </w:tcPr>
          <w:p w14:paraId="63A0074F">
            <w:pPr>
              <w:spacing w:line="240" w:lineRule="auto"/>
              <w:ind w:firstLine="0" w:firstLineChars="0"/>
            </w:pPr>
          </w:p>
        </w:tc>
        <w:tc>
          <w:tcPr>
            <w:tcW w:w="750" w:type="dxa"/>
            <w:vAlign w:val="center"/>
          </w:tcPr>
          <w:p w14:paraId="3600C685">
            <w:pPr>
              <w:spacing w:line="240" w:lineRule="auto"/>
              <w:ind w:firstLine="0" w:firstLineChars="0"/>
            </w:pPr>
          </w:p>
        </w:tc>
        <w:tc>
          <w:tcPr>
            <w:tcW w:w="1005" w:type="dxa"/>
            <w:vAlign w:val="center"/>
          </w:tcPr>
          <w:p w14:paraId="18E80804">
            <w:pPr>
              <w:spacing w:line="240" w:lineRule="auto"/>
              <w:ind w:firstLine="0" w:firstLineChars="0"/>
            </w:pPr>
          </w:p>
        </w:tc>
        <w:tc>
          <w:tcPr>
            <w:tcW w:w="780" w:type="dxa"/>
            <w:vAlign w:val="center"/>
          </w:tcPr>
          <w:p w14:paraId="19CE3775">
            <w:pPr>
              <w:spacing w:line="240" w:lineRule="auto"/>
              <w:ind w:firstLine="0" w:firstLineChars="0"/>
            </w:pPr>
          </w:p>
        </w:tc>
        <w:tc>
          <w:tcPr>
            <w:tcW w:w="720" w:type="dxa"/>
            <w:vAlign w:val="center"/>
          </w:tcPr>
          <w:p w14:paraId="73275BB6">
            <w:pPr>
              <w:spacing w:line="240" w:lineRule="auto"/>
              <w:ind w:firstLine="0" w:firstLineChars="0"/>
            </w:pPr>
          </w:p>
        </w:tc>
        <w:tc>
          <w:tcPr>
            <w:tcW w:w="1256" w:type="dxa"/>
            <w:vAlign w:val="center"/>
          </w:tcPr>
          <w:p w14:paraId="73B3CE19">
            <w:pPr>
              <w:spacing w:line="240" w:lineRule="auto"/>
              <w:ind w:firstLine="0" w:firstLineChars="0"/>
            </w:pPr>
          </w:p>
        </w:tc>
      </w:tr>
      <w:tr w14:paraId="22E4F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trPr>
        <w:tc>
          <w:tcPr>
            <w:tcW w:w="769" w:type="dxa"/>
            <w:vAlign w:val="center"/>
          </w:tcPr>
          <w:p w14:paraId="2B116364">
            <w:pPr>
              <w:spacing w:line="240" w:lineRule="auto"/>
              <w:ind w:firstLine="0" w:firstLineChars="0"/>
            </w:pPr>
          </w:p>
        </w:tc>
        <w:tc>
          <w:tcPr>
            <w:tcW w:w="705" w:type="dxa"/>
            <w:vAlign w:val="center"/>
          </w:tcPr>
          <w:p w14:paraId="05E58E94">
            <w:pPr>
              <w:spacing w:line="240" w:lineRule="auto"/>
              <w:ind w:firstLine="0" w:firstLineChars="0"/>
            </w:pPr>
          </w:p>
        </w:tc>
        <w:tc>
          <w:tcPr>
            <w:tcW w:w="960" w:type="dxa"/>
            <w:vAlign w:val="center"/>
          </w:tcPr>
          <w:p w14:paraId="33343216">
            <w:pPr>
              <w:spacing w:line="240" w:lineRule="auto"/>
              <w:ind w:firstLine="0" w:firstLineChars="0"/>
            </w:pPr>
          </w:p>
        </w:tc>
        <w:tc>
          <w:tcPr>
            <w:tcW w:w="720" w:type="dxa"/>
            <w:vAlign w:val="center"/>
          </w:tcPr>
          <w:p w14:paraId="7476F926">
            <w:pPr>
              <w:spacing w:line="240" w:lineRule="auto"/>
              <w:ind w:firstLine="0" w:firstLineChars="0"/>
            </w:pPr>
          </w:p>
        </w:tc>
        <w:tc>
          <w:tcPr>
            <w:tcW w:w="720" w:type="dxa"/>
            <w:vAlign w:val="center"/>
          </w:tcPr>
          <w:p w14:paraId="11976E11">
            <w:pPr>
              <w:spacing w:line="240" w:lineRule="auto"/>
              <w:ind w:firstLine="0" w:firstLineChars="0"/>
            </w:pPr>
          </w:p>
        </w:tc>
        <w:tc>
          <w:tcPr>
            <w:tcW w:w="975" w:type="dxa"/>
            <w:vAlign w:val="center"/>
          </w:tcPr>
          <w:p w14:paraId="4BD69B0D">
            <w:pPr>
              <w:spacing w:line="240" w:lineRule="auto"/>
              <w:ind w:firstLine="0" w:firstLineChars="0"/>
            </w:pPr>
          </w:p>
        </w:tc>
        <w:tc>
          <w:tcPr>
            <w:tcW w:w="735" w:type="dxa"/>
            <w:vAlign w:val="center"/>
          </w:tcPr>
          <w:p w14:paraId="78893169">
            <w:pPr>
              <w:spacing w:line="240" w:lineRule="auto"/>
              <w:ind w:firstLine="0" w:firstLineChars="0"/>
            </w:pPr>
          </w:p>
        </w:tc>
        <w:tc>
          <w:tcPr>
            <w:tcW w:w="750" w:type="dxa"/>
            <w:vAlign w:val="center"/>
          </w:tcPr>
          <w:p w14:paraId="01C5ABCA">
            <w:pPr>
              <w:spacing w:line="240" w:lineRule="auto"/>
              <w:ind w:firstLine="0" w:firstLineChars="0"/>
            </w:pPr>
          </w:p>
        </w:tc>
        <w:tc>
          <w:tcPr>
            <w:tcW w:w="1005" w:type="dxa"/>
            <w:vAlign w:val="center"/>
          </w:tcPr>
          <w:p w14:paraId="7DFF05C8">
            <w:pPr>
              <w:spacing w:line="240" w:lineRule="auto"/>
              <w:ind w:firstLine="0" w:firstLineChars="0"/>
            </w:pPr>
          </w:p>
        </w:tc>
        <w:tc>
          <w:tcPr>
            <w:tcW w:w="780" w:type="dxa"/>
            <w:vAlign w:val="center"/>
          </w:tcPr>
          <w:p w14:paraId="0A175F04">
            <w:pPr>
              <w:spacing w:line="240" w:lineRule="auto"/>
              <w:ind w:firstLine="0" w:firstLineChars="0"/>
            </w:pPr>
          </w:p>
        </w:tc>
        <w:tc>
          <w:tcPr>
            <w:tcW w:w="720" w:type="dxa"/>
            <w:vAlign w:val="center"/>
          </w:tcPr>
          <w:p w14:paraId="4C90148B">
            <w:pPr>
              <w:spacing w:line="240" w:lineRule="auto"/>
              <w:ind w:firstLine="0" w:firstLineChars="0"/>
            </w:pPr>
          </w:p>
        </w:tc>
        <w:tc>
          <w:tcPr>
            <w:tcW w:w="1256" w:type="dxa"/>
            <w:vAlign w:val="center"/>
          </w:tcPr>
          <w:p w14:paraId="1D0A04CD">
            <w:pPr>
              <w:spacing w:line="240" w:lineRule="auto"/>
              <w:ind w:firstLine="0" w:firstLineChars="0"/>
            </w:pPr>
          </w:p>
        </w:tc>
      </w:tr>
      <w:tr w14:paraId="2315D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69" w:type="dxa"/>
            <w:vAlign w:val="center"/>
          </w:tcPr>
          <w:p w14:paraId="0F00B30D">
            <w:pPr>
              <w:spacing w:line="240" w:lineRule="auto"/>
              <w:ind w:firstLine="0" w:firstLineChars="0"/>
            </w:pPr>
          </w:p>
        </w:tc>
        <w:tc>
          <w:tcPr>
            <w:tcW w:w="705" w:type="dxa"/>
            <w:vAlign w:val="center"/>
          </w:tcPr>
          <w:p w14:paraId="2CD2D10F">
            <w:pPr>
              <w:spacing w:line="240" w:lineRule="auto"/>
              <w:ind w:firstLine="0" w:firstLineChars="0"/>
            </w:pPr>
          </w:p>
        </w:tc>
        <w:tc>
          <w:tcPr>
            <w:tcW w:w="960" w:type="dxa"/>
            <w:vAlign w:val="center"/>
          </w:tcPr>
          <w:p w14:paraId="042B563D">
            <w:pPr>
              <w:spacing w:line="240" w:lineRule="auto"/>
              <w:ind w:firstLine="0" w:firstLineChars="0"/>
            </w:pPr>
          </w:p>
        </w:tc>
        <w:tc>
          <w:tcPr>
            <w:tcW w:w="720" w:type="dxa"/>
            <w:vAlign w:val="center"/>
          </w:tcPr>
          <w:p w14:paraId="2EFFFA52">
            <w:pPr>
              <w:spacing w:line="240" w:lineRule="auto"/>
              <w:ind w:firstLine="0" w:firstLineChars="0"/>
            </w:pPr>
          </w:p>
        </w:tc>
        <w:tc>
          <w:tcPr>
            <w:tcW w:w="720" w:type="dxa"/>
            <w:vAlign w:val="center"/>
          </w:tcPr>
          <w:p w14:paraId="15B65BAC">
            <w:pPr>
              <w:spacing w:line="240" w:lineRule="auto"/>
              <w:ind w:firstLine="0" w:firstLineChars="0"/>
            </w:pPr>
          </w:p>
        </w:tc>
        <w:tc>
          <w:tcPr>
            <w:tcW w:w="975" w:type="dxa"/>
            <w:vAlign w:val="center"/>
          </w:tcPr>
          <w:p w14:paraId="03D39B3E">
            <w:pPr>
              <w:spacing w:line="240" w:lineRule="auto"/>
              <w:ind w:firstLine="0" w:firstLineChars="0"/>
            </w:pPr>
          </w:p>
        </w:tc>
        <w:tc>
          <w:tcPr>
            <w:tcW w:w="735" w:type="dxa"/>
            <w:vAlign w:val="center"/>
          </w:tcPr>
          <w:p w14:paraId="1C84093F">
            <w:pPr>
              <w:spacing w:line="240" w:lineRule="auto"/>
              <w:ind w:firstLine="0" w:firstLineChars="0"/>
            </w:pPr>
          </w:p>
        </w:tc>
        <w:tc>
          <w:tcPr>
            <w:tcW w:w="750" w:type="dxa"/>
            <w:vAlign w:val="center"/>
          </w:tcPr>
          <w:p w14:paraId="064D5C76">
            <w:pPr>
              <w:spacing w:line="240" w:lineRule="auto"/>
              <w:ind w:firstLine="0" w:firstLineChars="0"/>
            </w:pPr>
          </w:p>
        </w:tc>
        <w:tc>
          <w:tcPr>
            <w:tcW w:w="1005" w:type="dxa"/>
            <w:vAlign w:val="center"/>
          </w:tcPr>
          <w:p w14:paraId="30C2D4E3">
            <w:pPr>
              <w:spacing w:line="240" w:lineRule="auto"/>
              <w:ind w:firstLine="0" w:firstLineChars="0"/>
            </w:pPr>
          </w:p>
        </w:tc>
        <w:tc>
          <w:tcPr>
            <w:tcW w:w="780" w:type="dxa"/>
            <w:vAlign w:val="center"/>
          </w:tcPr>
          <w:p w14:paraId="2AAB3154">
            <w:pPr>
              <w:spacing w:line="240" w:lineRule="auto"/>
              <w:ind w:firstLine="0" w:firstLineChars="0"/>
            </w:pPr>
          </w:p>
        </w:tc>
        <w:tc>
          <w:tcPr>
            <w:tcW w:w="720" w:type="dxa"/>
            <w:vAlign w:val="center"/>
          </w:tcPr>
          <w:p w14:paraId="6C7E01CB">
            <w:pPr>
              <w:spacing w:line="240" w:lineRule="auto"/>
              <w:ind w:firstLine="0" w:firstLineChars="0"/>
            </w:pPr>
          </w:p>
        </w:tc>
        <w:tc>
          <w:tcPr>
            <w:tcW w:w="1256" w:type="dxa"/>
            <w:vAlign w:val="center"/>
          </w:tcPr>
          <w:p w14:paraId="414D4111">
            <w:pPr>
              <w:spacing w:line="240" w:lineRule="auto"/>
              <w:ind w:firstLine="0" w:firstLineChars="0"/>
            </w:pPr>
          </w:p>
        </w:tc>
      </w:tr>
      <w:tr w14:paraId="0E7BA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69" w:type="dxa"/>
            <w:vAlign w:val="center"/>
          </w:tcPr>
          <w:p w14:paraId="2CDAD6F7">
            <w:pPr>
              <w:spacing w:line="240" w:lineRule="auto"/>
              <w:ind w:firstLine="0" w:firstLineChars="0"/>
            </w:pPr>
          </w:p>
        </w:tc>
        <w:tc>
          <w:tcPr>
            <w:tcW w:w="705" w:type="dxa"/>
            <w:vAlign w:val="center"/>
          </w:tcPr>
          <w:p w14:paraId="352EF686">
            <w:pPr>
              <w:spacing w:line="240" w:lineRule="auto"/>
              <w:ind w:firstLine="0" w:firstLineChars="0"/>
            </w:pPr>
          </w:p>
        </w:tc>
        <w:tc>
          <w:tcPr>
            <w:tcW w:w="960" w:type="dxa"/>
            <w:vAlign w:val="center"/>
          </w:tcPr>
          <w:p w14:paraId="2F7A998D">
            <w:pPr>
              <w:spacing w:line="240" w:lineRule="auto"/>
              <w:ind w:firstLine="0" w:firstLineChars="0"/>
            </w:pPr>
          </w:p>
        </w:tc>
        <w:tc>
          <w:tcPr>
            <w:tcW w:w="720" w:type="dxa"/>
            <w:vAlign w:val="center"/>
          </w:tcPr>
          <w:p w14:paraId="5F67C47B">
            <w:pPr>
              <w:spacing w:line="240" w:lineRule="auto"/>
              <w:ind w:firstLine="0" w:firstLineChars="0"/>
            </w:pPr>
          </w:p>
        </w:tc>
        <w:tc>
          <w:tcPr>
            <w:tcW w:w="720" w:type="dxa"/>
            <w:vAlign w:val="center"/>
          </w:tcPr>
          <w:p w14:paraId="1262A79B">
            <w:pPr>
              <w:spacing w:line="240" w:lineRule="auto"/>
              <w:ind w:firstLine="0" w:firstLineChars="0"/>
            </w:pPr>
          </w:p>
        </w:tc>
        <w:tc>
          <w:tcPr>
            <w:tcW w:w="975" w:type="dxa"/>
            <w:vAlign w:val="center"/>
          </w:tcPr>
          <w:p w14:paraId="5D85231B">
            <w:pPr>
              <w:spacing w:line="240" w:lineRule="auto"/>
              <w:ind w:firstLine="0" w:firstLineChars="0"/>
            </w:pPr>
          </w:p>
        </w:tc>
        <w:tc>
          <w:tcPr>
            <w:tcW w:w="735" w:type="dxa"/>
            <w:vAlign w:val="center"/>
          </w:tcPr>
          <w:p w14:paraId="3F6B61DB">
            <w:pPr>
              <w:spacing w:line="240" w:lineRule="auto"/>
              <w:ind w:firstLine="0" w:firstLineChars="0"/>
            </w:pPr>
          </w:p>
        </w:tc>
        <w:tc>
          <w:tcPr>
            <w:tcW w:w="750" w:type="dxa"/>
            <w:vAlign w:val="center"/>
          </w:tcPr>
          <w:p w14:paraId="43893647">
            <w:pPr>
              <w:spacing w:line="240" w:lineRule="auto"/>
              <w:ind w:firstLine="0" w:firstLineChars="0"/>
            </w:pPr>
          </w:p>
        </w:tc>
        <w:tc>
          <w:tcPr>
            <w:tcW w:w="1005" w:type="dxa"/>
            <w:vAlign w:val="center"/>
          </w:tcPr>
          <w:p w14:paraId="4B195C8C">
            <w:pPr>
              <w:spacing w:line="240" w:lineRule="auto"/>
              <w:ind w:firstLine="0" w:firstLineChars="0"/>
            </w:pPr>
          </w:p>
        </w:tc>
        <w:tc>
          <w:tcPr>
            <w:tcW w:w="780" w:type="dxa"/>
            <w:vAlign w:val="center"/>
          </w:tcPr>
          <w:p w14:paraId="3D6EA40E">
            <w:pPr>
              <w:spacing w:line="240" w:lineRule="auto"/>
              <w:ind w:firstLine="0" w:firstLineChars="0"/>
            </w:pPr>
          </w:p>
        </w:tc>
        <w:tc>
          <w:tcPr>
            <w:tcW w:w="720" w:type="dxa"/>
            <w:vAlign w:val="center"/>
          </w:tcPr>
          <w:p w14:paraId="7A12B23F">
            <w:pPr>
              <w:spacing w:line="240" w:lineRule="auto"/>
              <w:ind w:firstLine="0" w:firstLineChars="0"/>
            </w:pPr>
          </w:p>
        </w:tc>
        <w:tc>
          <w:tcPr>
            <w:tcW w:w="1256" w:type="dxa"/>
            <w:vAlign w:val="center"/>
          </w:tcPr>
          <w:p w14:paraId="236D90D3">
            <w:pPr>
              <w:spacing w:line="240" w:lineRule="auto"/>
              <w:ind w:firstLine="0" w:firstLineChars="0"/>
            </w:pPr>
          </w:p>
        </w:tc>
      </w:tr>
      <w:tr w14:paraId="28BBB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434" w:type="dxa"/>
            <w:gridSpan w:val="3"/>
            <w:vAlign w:val="center"/>
          </w:tcPr>
          <w:p w14:paraId="777ED931">
            <w:pPr>
              <w:spacing w:line="240" w:lineRule="auto"/>
              <w:ind w:firstLine="0" w:firstLineChars="0"/>
            </w:pPr>
            <w:r>
              <w:rPr>
                <w:rFonts w:hint="eastAsia"/>
              </w:rPr>
              <w:t>得分</w:t>
            </w:r>
          </w:p>
        </w:tc>
        <w:tc>
          <w:tcPr>
            <w:tcW w:w="2415" w:type="dxa"/>
            <w:gridSpan w:val="3"/>
            <w:vAlign w:val="center"/>
          </w:tcPr>
          <w:p w14:paraId="1780772F">
            <w:pPr>
              <w:spacing w:line="240" w:lineRule="auto"/>
              <w:ind w:firstLine="0" w:firstLineChars="0"/>
            </w:pPr>
            <w:r>
              <w:rPr>
                <w:rFonts w:hint="eastAsia"/>
              </w:rPr>
              <w:t>得分</w:t>
            </w:r>
          </w:p>
        </w:tc>
        <w:tc>
          <w:tcPr>
            <w:tcW w:w="2490" w:type="dxa"/>
            <w:gridSpan w:val="3"/>
            <w:vAlign w:val="center"/>
          </w:tcPr>
          <w:p w14:paraId="45FF19E8">
            <w:pPr>
              <w:spacing w:line="240" w:lineRule="auto"/>
              <w:ind w:firstLine="0" w:firstLineChars="0"/>
            </w:pPr>
            <w:r>
              <w:rPr>
                <w:rFonts w:hint="eastAsia"/>
              </w:rPr>
              <w:t>得分</w:t>
            </w:r>
          </w:p>
        </w:tc>
        <w:tc>
          <w:tcPr>
            <w:tcW w:w="2756" w:type="dxa"/>
            <w:gridSpan w:val="3"/>
            <w:vAlign w:val="center"/>
          </w:tcPr>
          <w:p w14:paraId="7AF71980">
            <w:pPr>
              <w:spacing w:line="240" w:lineRule="auto"/>
              <w:ind w:firstLine="0" w:firstLineChars="0"/>
            </w:pPr>
            <w:r>
              <w:rPr>
                <w:rFonts w:hint="eastAsia"/>
              </w:rPr>
              <w:t>得分</w:t>
            </w:r>
          </w:p>
        </w:tc>
      </w:tr>
      <w:tr w14:paraId="2A76E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434" w:type="dxa"/>
            <w:gridSpan w:val="3"/>
            <w:vAlign w:val="center"/>
          </w:tcPr>
          <w:p w14:paraId="68B536C5">
            <w:pPr>
              <w:spacing w:line="240" w:lineRule="auto"/>
              <w:ind w:firstLine="0" w:firstLineChars="0"/>
            </w:pPr>
          </w:p>
        </w:tc>
        <w:tc>
          <w:tcPr>
            <w:tcW w:w="2415" w:type="dxa"/>
            <w:gridSpan w:val="3"/>
            <w:vAlign w:val="center"/>
          </w:tcPr>
          <w:p w14:paraId="64017583">
            <w:pPr>
              <w:spacing w:line="240" w:lineRule="auto"/>
              <w:ind w:firstLine="0" w:firstLineChars="0"/>
            </w:pPr>
          </w:p>
        </w:tc>
        <w:tc>
          <w:tcPr>
            <w:tcW w:w="2490" w:type="dxa"/>
            <w:gridSpan w:val="3"/>
            <w:vAlign w:val="center"/>
          </w:tcPr>
          <w:p w14:paraId="013F9FE2">
            <w:pPr>
              <w:spacing w:line="240" w:lineRule="auto"/>
              <w:ind w:firstLine="0" w:firstLineChars="0"/>
            </w:pPr>
          </w:p>
        </w:tc>
        <w:tc>
          <w:tcPr>
            <w:tcW w:w="2756" w:type="dxa"/>
            <w:gridSpan w:val="3"/>
            <w:vAlign w:val="center"/>
          </w:tcPr>
          <w:p w14:paraId="268463D4">
            <w:pPr>
              <w:spacing w:line="240" w:lineRule="auto"/>
              <w:ind w:firstLine="0" w:firstLineChars="0"/>
            </w:pPr>
          </w:p>
        </w:tc>
      </w:tr>
    </w:tbl>
    <w:p w14:paraId="05BACBC5">
      <w:pPr>
        <w:pStyle w:val="49"/>
        <w:rPr>
          <w:rFonts w:cs="宋体"/>
          <w:b/>
          <w:bCs/>
          <w:szCs w:val="24"/>
        </w:rPr>
      </w:pPr>
    </w:p>
    <w:p w14:paraId="009ADC44">
      <w:pPr>
        <w:ind w:firstLine="480"/>
        <w:rPr>
          <w:rFonts w:ascii="宋体" w:hAnsi="宋体" w:cs="宋体"/>
        </w:rPr>
      </w:pPr>
      <w:r>
        <w:rPr>
          <w:rFonts w:hint="eastAsia" w:ascii="宋体" w:hAnsi="宋体" w:cs="宋体"/>
          <w:bCs/>
          <w:color w:val="565656"/>
          <w:kern w:val="0"/>
        </w:rPr>
        <w:t>调查人：              总得分：                  日 期：</w:t>
      </w:r>
    </w:p>
    <w:p w14:paraId="6A38D2FD">
      <w:pPr>
        <w:spacing w:line="240" w:lineRule="atLeast"/>
        <w:ind w:firstLine="480"/>
        <w:jc w:val="left"/>
        <w:rPr>
          <w:rFonts w:ascii="宋体" w:hAnsi="宋体" w:cs="宋体"/>
        </w:rPr>
      </w:pPr>
    </w:p>
    <w:p w14:paraId="0D4581D4">
      <w:pPr>
        <w:spacing w:line="240" w:lineRule="atLeast"/>
        <w:ind w:firstLine="0" w:firstLineChars="0"/>
        <w:jc w:val="left"/>
        <w:rPr>
          <w:rFonts w:ascii="宋体" w:hAnsi="宋体" w:cs="宋体"/>
        </w:rPr>
      </w:pPr>
    </w:p>
    <w:p w14:paraId="39CB2EDB">
      <w:pPr>
        <w:spacing w:line="240" w:lineRule="atLeast"/>
        <w:ind w:firstLine="480"/>
        <w:jc w:val="left"/>
        <w:rPr>
          <w:rFonts w:ascii="宋体" w:hAnsi="宋体" w:cs="宋体"/>
        </w:rPr>
      </w:pPr>
    </w:p>
    <w:p w14:paraId="1883591A">
      <w:pPr>
        <w:spacing w:line="240" w:lineRule="atLeast"/>
        <w:ind w:firstLine="480"/>
        <w:jc w:val="left"/>
        <w:rPr>
          <w:rFonts w:ascii="宋体" w:hAnsi="宋体" w:cs="宋体"/>
        </w:rPr>
      </w:pPr>
    </w:p>
    <w:p w14:paraId="0AFE271C">
      <w:pPr>
        <w:spacing w:line="240" w:lineRule="atLeast"/>
        <w:ind w:firstLine="480"/>
        <w:jc w:val="left"/>
        <w:rPr>
          <w:rFonts w:ascii="宋体" w:hAnsi="宋体" w:cs="宋体"/>
        </w:rPr>
      </w:pPr>
      <w:r>
        <w:rPr>
          <w:rFonts w:hint="eastAsia" w:ascii="宋体" w:hAnsi="宋体" w:cs="宋体"/>
        </w:rPr>
        <w:t>您对食堂的意见和建议：</w:t>
      </w:r>
    </w:p>
    <w:p w14:paraId="71CFF6D3">
      <w:pPr>
        <w:spacing w:line="240" w:lineRule="atLeast"/>
        <w:ind w:firstLine="480"/>
        <w:rPr>
          <w:rFonts w:ascii="宋体" w:hAnsi="宋体" w:cs="宋体"/>
        </w:rPr>
      </w:pPr>
    </w:p>
    <w:p w14:paraId="37DA1AC3">
      <w:pPr>
        <w:spacing w:line="240" w:lineRule="atLeast"/>
        <w:ind w:firstLine="480"/>
        <w:rPr>
          <w:rFonts w:ascii="宋体" w:hAnsi="宋体" w:cs="宋体"/>
          <w:u w:val="single"/>
          <w:bdr w:val="single" w:color="auto" w:sz="4" w:space="0"/>
        </w:rPr>
      </w:pPr>
      <w:r>
        <w:rPr>
          <w:rFonts w:hint="eastAsia" w:ascii="宋体" w:hAnsi="宋体" w:cs="宋体"/>
        </w:rPr>
        <w:t>1、</w:t>
      </w:r>
      <w:r>
        <w:rPr>
          <w:rFonts w:hint="eastAsia" w:ascii="宋体" w:hAnsi="宋体" w:cs="宋体"/>
          <w:u w:val="single"/>
          <w:bdr w:val="single" w:color="auto" w:sz="4" w:space="0"/>
        </w:rPr>
        <w:t xml:space="preserve">                                                             </w:t>
      </w:r>
    </w:p>
    <w:p w14:paraId="77641ECC">
      <w:pPr>
        <w:spacing w:line="240" w:lineRule="atLeast"/>
        <w:ind w:firstLine="480"/>
        <w:rPr>
          <w:rFonts w:ascii="宋体" w:hAnsi="宋体" w:cs="宋体"/>
        </w:rPr>
      </w:pPr>
    </w:p>
    <w:p w14:paraId="2AB613A5">
      <w:pPr>
        <w:spacing w:line="240" w:lineRule="atLeast"/>
        <w:ind w:firstLine="480"/>
        <w:rPr>
          <w:rFonts w:ascii="宋体" w:hAnsi="宋体" w:cs="宋体"/>
          <w:u w:val="single"/>
        </w:rPr>
      </w:pPr>
      <w:r>
        <w:rPr>
          <w:rFonts w:hint="eastAsia" w:ascii="宋体" w:hAnsi="宋体" w:cs="宋体"/>
        </w:rPr>
        <w:t>2、</w:t>
      </w:r>
      <w:r>
        <w:rPr>
          <w:rFonts w:hint="eastAsia" w:ascii="宋体" w:hAnsi="宋体" w:cs="宋体"/>
          <w:u w:val="single"/>
        </w:rPr>
        <w:t xml:space="preserve">                                                             </w:t>
      </w:r>
    </w:p>
    <w:p w14:paraId="5F7B1115">
      <w:pPr>
        <w:spacing w:line="240" w:lineRule="atLeast"/>
        <w:ind w:firstLine="480"/>
        <w:rPr>
          <w:rFonts w:ascii="宋体" w:hAnsi="宋体" w:cs="宋体"/>
        </w:rPr>
      </w:pPr>
    </w:p>
    <w:p w14:paraId="7176E97C">
      <w:pPr>
        <w:ind w:firstLine="480"/>
      </w:pPr>
      <w:r>
        <w:rPr>
          <w:rFonts w:hint="eastAsia" w:ascii="宋体" w:hAnsi="宋体" w:cs="宋体"/>
        </w:rPr>
        <w:t>3、</w:t>
      </w:r>
      <w:r>
        <w:rPr>
          <w:rFonts w:hint="eastAsia" w:ascii="宋体" w:hAnsi="宋体" w:cs="宋体"/>
          <w:u w:val="single"/>
        </w:rPr>
        <w:t xml:space="preserve">                                                             </w:t>
      </w:r>
    </w:p>
    <w:p w14:paraId="6AE0AF06">
      <w:pPr>
        <w:ind w:firstLine="480"/>
        <w:rPr>
          <w:color w:val="000000" w:themeColor="text1"/>
        </w:rPr>
      </w:pPr>
    </w:p>
    <w:p w14:paraId="632C5BD8">
      <w:pPr>
        <w:pStyle w:val="5"/>
        <w:sectPr>
          <w:pgSz w:w="11906" w:h="16838"/>
          <w:pgMar w:top="1440" w:right="1800" w:bottom="1440" w:left="1800" w:header="1049" w:footer="879" w:gutter="0"/>
          <w:cols w:space="425" w:num="1"/>
          <w:docGrid w:type="lines" w:linePitch="326" w:charSpace="0"/>
        </w:sectPr>
      </w:pPr>
    </w:p>
    <w:bookmarkEnd w:id="172"/>
    <w:bookmarkEnd w:id="173"/>
    <w:p w14:paraId="4DF44243">
      <w:pPr>
        <w:pStyle w:val="3"/>
        <w:rPr>
          <w:color w:val="000000" w:themeColor="text1"/>
        </w:rPr>
      </w:pPr>
      <w:bookmarkStart w:id="181" w:name="_Toc18444"/>
      <w:r>
        <w:rPr>
          <w:color w:val="000000" w:themeColor="text1"/>
        </w:rPr>
        <w:t>第</w:t>
      </w:r>
      <w:r>
        <w:rPr>
          <w:rFonts w:hint="eastAsia"/>
          <w:color w:val="000000" w:themeColor="text1"/>
        </w:rPr>
        <w:t>五</w:t>
      </w:r>
      <w:r>
        <w:rPr>
          <w:color w:val="000000" w:themeColor="text1"/>
        </w:rPr>
        <w:t>章</w:t>
      </w:r>
      <w:r>
        <w:rPr>
          <w:rFonts w:hint="eastAsia"/>
          <w:color w:val="000000" w:themeColor="text1"/>
        </w:rPr>
        <w:t xml:space="preserve">  合同</w:t>
      </w:r>
      <w:bookmarkEnd w:id="181"/>
    </w:p>
    <w:p w14:paraId="61B8B2ED">
      <w:pPr>
        <w:spacing w:line="560" w:lineRule="exact"/>
        <w:ind w:firstLine="0" w:firstLineChars="0"/>
        <w:jc w:val="center"/>
        <w:rPr>
          <w:rFonts w:ascii="宋体" w:hAnsi="宋体" w:cs="宋体"/>
          <w:color w:val="000000" w:themeColor="text1"/>
        </w:rPr>
      </w:pPr>
      <w:r>
        <w:rPr>
          <w:rFonts w:hint="eastAsia" w:ascii="宋体" w:hAnsi="宋体" w:cs="宋体"/>
          <w:color w:val="000000" w:themeColor="text1"/>
        </w:rPr>
        <w:t>浙江省政府采购合同指引</w:t>
      </w:r>
    </w:p>
    <w:p w14:paraId="0BBBC0BF">
      <w:pPr>
        <w:spacing w:line="560" w:lineRule="exact"/>
        <w:ind w:left="1680" w:leftChars="200" w:hanging="1200" w:hangingChars="500"/>
        <w:jc w:val="left"/>
        <w:rPr>
          <w:rFonts w:hint="eastAsia" w:ascii="宋体" w:hAnsi="宋体" w:eastAsia="宋体" w:cs="宋体"/>
          <w:color w:val="000000" w:themeColor="text1"/>
          <w:lang w:val="zh-CN" w:eastAsia="zh-CN"/>
        </w:rPr>
      </w:pPr>
      <w:r>
        <w:rPr>
          <w:rFonts w:hint="eastAsia" w:ascii="宋体" w:hAnsi="宋体" w:cs="宋体"/>
          <w:color w:val="000000" w:themeColor="text1"/>
          <w:lang w:val="zh-CN"/>
        </w:rPr>
        <w:t>项目名称：</w:t>
      </w:r>
      <w:r>
        <w:rPr>
          <w:rFonts w:hint="eastAsia" w:ascii="宋体" w:hAnsi="宋体" w:cs="宋体"/>
          <w:color w:val="000000" w:themeColor="text1"/>
          <w:lang w:eastAsia="zh-CN"/>
        </w:rPr>
        <w:t>2025年度龙游县公安局交通警察大队食堂（大队机关、城区中队）劳务外包服务采购项目</w:t>
      </w:r>
    </w:p>
    <w:p w14:paraId="3A5BAD20">
      <w:pPr>
        <w:spacing w:line="560" w:lineRule="exact"/>
        <w:ind w:firstLine="480"/>
        <w:jc w:val="left"/>
        <w:rPr>
          <w:rFonts w:hint="eastAsia" w:ascii="宋体" w:hAnsi="宋体" w:cs="宋体"/>
          <w:color w:val="000000" w:themeColor="text1"/>
          <w:lang w:val="zh-CN"/>
        </w:rPr>
      </w:pPr>
      <w:r>
        <w:rPr>
          <w:rFonts w:hint="eastAsia" w:ascii="宋体" w:hAnsi="宋体" w:cs="宋体"/>
          <w:color w:val="000000" w:themeColor="text1"/>
          <w:lang w:val="zh-CN"/>
        </w:rPr>
        <w:t>项目编号：LYJY2025052</w:t>
      </w:r>
    </w:p>
    <w:p w14:paraId="18CD05A6">
      <w:pPr>
        <w:spacing w:line="560" w:lineRule="exact"/>
        <w:ind w:firstLine="480"/>
        <w:jc w:val="left"/>
        <w:rPr>
          <w:rFonts w:ascii="宋体" w:hAnsi="宋体" w:cs="宋体"/>
          <w:color w:val="000000" w:themeColor="text1"/>
          <w:lang w:val="zh-CN"/>
        </w:rPr>
      </w:pPr>
      <w:r>
        <w:rPr>
          <w:rFonts w:hint="eastAsia" w:ascii="宋体" w:hAnsi="宋体" w:cs="宋体"/>
          <w:color w:val="000000" w:themeColor="text1"/>
          <w:lang w:val="zh-CN"/>
        </w:rPr>
        <w:t>甲  方：龙游县公安局交通警察大队</w:t>
      </w:r>
    </w:p>
    <w:p w14:paraId="6B7AFD4C">
      <w:pPr>
        <w:spacing w:line="560" w:lineRule="exact"/>
        <w:ind w:firstLine="480"/>
        <w:jc w:val="left"/>
        <w:rPr>
          <w:rFonts w:ascii="宋体" w:hAnsi="宋体" w:cs="宋体"/>
          <w:color w:val="000000" w:themeColor="text1"/>
          <w:lang w:val="zh-CN"/>
        </w:rPr>
      </w:pPr>
      <w:r>
        <w:rPr>
          <w:rFonts w:hint="eastAsia" w:ascii="宋体" w:hAnsi="宋体" w:cs="宋体"/>
          <w:color w:val="000000" w:themeColor="text1"/>
          <w:lang w:val="zh-CN"/>
        </w:rPr>
        <w:t>乙  方：</w:t>
      </w:r>
    </w:p>
    <w:p w14:paraId="6AF238C3">
      <w:pPr>
        <w:pStyle w:val="4"/>
      </w:pPr>
      <w:bookmarkStart w:id="182" w:name="_Toc25027"/>
      <w:bookmarkStart w:id="183" w:name="_Toc17399"/>
      <w:r>
        <w:rPr>
          <w:rFonts w:hint="eastAsia"/>
        </w:rPr>
        <w:t>一、说明</w:t>
      </w:r>
      <w:bookmarkEnd w:id="182"/>
      <w:bookmarkEnd w:id="183"/>
    </w:p>
    <w:p w14:paraId="4F3D65D9">
      <w:pPr>
        <w:ind w:firstLine="480"/>
      </w:pPr>
      <w:r>
        <w:rPr>
          <w:rFonts w:hint="eastAsia"/>
        </w:rPr>
        <w:t>1.合同基本条款是指采购人（以下简称甲方）和中标人（以下简称乙方）应共同遵守的基本原则，并作为双方签约的依据。对于合同的其他条款，双方应本着互谅互让的精神协商解决。</w:t>
      </w:r>
    </w:p>
    <w:p w14:paraId="67A003CF">
      <w:pPr>
        <w:ind w:firstLine="480"/>
        <w:rPr>
          <w:rFonts w:ascii="宋体" w:hAnsi="宋体" w:cs="宋体"/>
        </w:rPr>
      </w:pPr>
      <w:r>
        <w:rPr>
          <w:rFonts w:hint="eastAsia"/>
        </w:rPr>
        <w:t>2.制定“合同主要条款”的依据是《中华人民共和国民法典》。</w:t>
      </w:r>
    </w:p>
    <w:p w14:paraId="2AE5D9C9">
      <w:pPr>
        <w:pStyle w:val="4"/>
      </w:pPr>
      <w:bookmarkStart w:id="184" w:name="_Toc7548"/>
      <w:bookmarkStart w:id="185" w:name="_Toc32674"/>
      <w:r>
        <w:rPr>
          <w:rFonts w:hint="eastAsia"/>
        </w:rPr>
        <w:t>二、中标金额</w:t>
      </w:r>
      <w:bookmarkEnd w:id="184"/>
      <w:bookmarkEnd w:id="185"/>
    </w:p>
    <w:p w14:paraId="5AAFB026">
      <w:pPr>
        <w:ind w:firstLine="480"/>
      </w:pPr>
      <w:bookmarkStart w:id="186" w:name="_Toc29631"/>
      <w:r>
        <w:rPr>
          <w:rFonts w:hint="eastAsia"/>
        </w:rPr>
        <w:t>本合同中标价为（大写）：      （小写</w:t>
      </w:r>
      <w:r>
        <w:rPr>
          <w:rFonts w:hint="eastAsia"/>
          <w:lang w:eastAsia="zh-CN"/>
        </w:rPr>
        <w:t>：¥</w:t>
      </w:r>
      <w:r>
        <w:rPr>
          <w:rFonts w:hint="eastAsia"/>
        </w:rPr>
        <w:t xml:space="preserve">    ）人民币。</w:t>
      </w:r>
    </w:p>
    <w:p w14:paraId="496BA1F1">
      <w:pPr>
        <w:pStyle w:val="4"/>
      </w:pPr>
      <w:bookmarkStart w:id="187" w:name="_Toc22672"/>
      <w:r>
        <w:rPr>
          <w:rFonts w:hint="eastAsia"/>
        </w:rPr>
        <w:t>三、</w:t>
      </w:r>
      <w:bookmarkEnd w:id="186"/>
      <w:r>
        <w:rPr>
          <w:rFonts w:hint="eastAsia"/>
        </w:rPr>
        <w:t>项目概况</w:t>
      </w:r>
      <w:bookmarkEnd w:id="187"/>
    </w:p>
    <w:p w14:paraId="6E95D6E1">
      <w:pPr>
        <w:ind w:firstLine="480"/>
      </w:pPr>
      <w:r>
        <w:rPr>
          <w:rFonts w:hint="eastAsia"/>
        </w:rPr>
        <w:t>1.食堂概况：本次龙游县公安局交通警察大队</w:t>
      </w:r>
      <w:r>
        <w:rPr>
          <w:rFonts w:hint="eastAsia"/>
          <w:lang w:val="zh-CN"/>
        </w:rPr>
        <w:t>食堂劳务外包服务由</w:t>
      </w:r>
      <w:r>
        <w:rPr>
          <w:rFonts w:hint="eastAsia"/>
        </w:rPr>
        <w:t>2处食堂组成，分别为大队部食堂：食堂全天就餐人数1</w:t>
      </w:r>
      <w:r>
        <w:rPr>
          <w:rFonts w:hint="eastAsia"/>
          <w:lang w:val="en-US" w:eastAsia="zh-CN"/>
        </w:rPr>
        <w:t>3</w:t>
      </w:r>
      <w:r>
        <w:t>0</w:t>
      </w:r>
      <w:r>
        <w:rPr>
          <w:rFonts w:hint="eastAsia"/>
        </w:rPr>
        <w:t>人左右；城区中队食堂：食堂全天就餐人数</w:t>
      </w:r>
      <w:r>
        <w:rPr>
          <w:rFonts w:hint="eastAsia"/>
          <w:lang w:val="en-US" w:eastAsia="zh-CN"/>
        </w:rPr>
        <w:t>4</w:t>
      </w:r>
      <w:r>
        <w:rPr>
          <w:rFonts w:hint="eastAsia"/>
        </w:rPr>
        <w:t>0人左右，2个食堂总全天就餐人数200人左右。</w:t>
      </w:r>
    </w:p>
    <w:p w14:paraId="485D0D10">
      <w:pPr>
        <w:ind w:firstLine="480"/>
      </w:pPr>
      <w:r>
        <w:rPr>
          <w:rFonts w:hint="eastAsia"/>
        </w:rPr>
        <w:t>2.管理方式：劳务外包的方式。即：乙方提供专业的管理和服务团队（主要包括厨师队伍、面点师、服务人员等工作人员，并负责主副食的加工供应以及食堂的清洁等工作，但不负责原材料的采购。</w:t>
      </w:r>
      <w:r>
        <w:rPr>
          <w:rFonts w:hint="eastAsia"/>
          <w:lang w:val="en-US" w:eastAsia="zh-CN"/>
        </w:rPr>
        <w:t>甲方</w:t>
      </w:r>
      <w:r>
        <w:rPr>
          <w:rFonts w:hint="eastAsia"/>
        </w:rPr>
        <w:t>免费提供厨房、餐厅、仓库、全套厨房设备、餐具等，并承担食堂所有的水、电、燃气及其他必要的基础设施的正常维修。</w:t>
      </w:r>
    </w:p>
    <w:p w14:paraId="03F29EA9">
      <w:pPr>
        <w:ind w:firstLine="480"/>
      </w:pPr>
      <w:r>
        <w:rPr>
          <w:rFonts w:hint="eastAsia"/>
        </w:rPr>
        <w:t>3.用餐时间与人数：</w:t>
      </w:r>
    </w:p>
    <w:p w14:paraId="74A7A000">
      <w:pPr>
        <w:ind w:firstLine="480"/>
      </w:pPr>
      <w:r>
        <w:rPr>
          <w:rFonts w:hint="eastAsia"/>
        </w:rPr>
        <w:t>（1）早餐开餐时间：</w:t>
      </w:r>
      <w:r>
        <w:rPr>
          <w:rFonts w:hint="eastAsia"/>
          <w:lang w:val="zh-CN"/>
        </w:rPr>
        <w:t>按甲方要求执行，具体为：（每年10月1日起至次年4月30日止）早上7:20—8:25；中餐12:00—13:00；晚餐：17:00—18:00。（每年5月1日起至9月30日止）早上7:20—8:25；中餐12:00—13:00；晚餐：17:30—18:30。如有变化，根据实际调整</w:t>
      </w:r>
      <w:r>
        <w:rPr>
          <w:rFonts w:hint="eastAsia"/>
        </w:rPr>
        <w:t>。</w:t>
      </w:r>
    </w:p>
    <w:p w14:paraId="4E8EA4DF">
      <w:pPr>
        <w:ind w:firstLine="480"/>
        <w:rPr>
          <w:rFonts w:ascii="宋体" w:hAnsi="宋体" w:cs="宋体"/>
          <w:b/>
          <w:bCs/>
          <w:szCs w:val="21"/>
        </w:rPr>
      </w:pPr>
      <w:r>
        <w:rPr>
          <w:rFonts w:hint="eastAsia"/>
        </w:rPr>
        <w:t>（2）日均就餐人数：</w:t>
      </w:r>
      <w:r>
        <w:rPr>
          <w:rFonts w:hint="eastAsia"/>
          <w:lang w:val="en-US" w:eastAsia="zh-CN"/>
        </w:rPr>
        <w:t>17</w:t>
      </w:r>
      <w:r>
        <w:rPr>
          <w:rFonts w:hint="eastAsia"/>
        </w:rPr>
        <w:t>0人左右，具体就餐人数以实际就餐人数为准。法定节假日及周末采购人值班、备勤人员，食堂需提供保障（若遇安保统一行动特殊情况及招待餐，乙方必须正常提供服务，费用包含在合同总价中，乙方不再另行主张费用）。</w:t>
      </w:r>
    </w:p>
    <w:p w14:paraId="6C68917E">
      <w:pPr>
        <w:pStyle w:val="4"/>
        <w:rPr>
          <w:lang w:val="zh-CN"/>
        </w:rPr>
      </w:pPr>
      <w:bookmarkStart w:id="188" w:name="_Toc546"/>
      <w:r>
        <w:rPr>
          <w:rFonts w:hint="eastAsia"/>
        </w:rPr>
        <w:t>四</w:t>
      </w:r>
      <w:r>
        <w:rPr>
          <w:rFonts w:hint="eastAsia"/>
          <w:lang w:val="zh-CN"/>
        </w:rPr>
        <w:t>、具体要求</w:t>
      </w:r>
      <w:bookmarkEnd w:id="188"/>
    </w:p>
    <w:p w14:paraId="0212A161">
      <w:pPr>
        <w:ind w:firstLine="480"/>
      </w:pPr>
      <w:r>
        <w:rPr>
          <w:rFonts w:hint="eastAsia"/>
        </w:rPr>
        <w:t>1.乙方要以“大队满意”、“就餐民警职工满意”为目标，做到“管理制度化”、服务精细化”、“制作标准化”，严格执行甲方所制订的各项规章制度，自觉服从甲方日常监督管理，并制订配套的内部管理制度，内容应涵盖食品安全、环境卫生、人员管理、成本管理、请销假制度等。</w:t>
      </w:r>
    </w:p>
    <w:p w14:paraId="1CE2566D">
      <w:pPr>
        <w:ind w:firstLine="480"/>
      </w:pPr>
      <w:r>
        <w:rPr>
          <w:rFonts w:hint="eastAsia"/>
        </w:rPr>
        <w:t>2.乙方应根据采购人的要求，于每周四前制订好下一周食谱，报甲方审定后实施。食谱的制订应按照应时、应地、应人的原则，倡导少油、少糖、少盐的健康理念，做到周周有创新。具体要求如下：</w:t>
      </w:r>
    </w:p>
    <w:p w14:paraId="7AE04DB2">
      <w:pPr>
        <w:ind w:firstLine="480"/>
        <w:rPr>
          <w:lang w:val="zh-CN"/>
        </w:rPr>
      </w:pPr>
      <w:r>
        <w:rPr>
          <w:rFonts w:hint="eastAsia"/>
          <w:lang w:val="zh-CN"/>
        </w:rPr>
        <w:t>食堂早餐须提供粥、面条、豆浆、馄饨、包子等早点，花色品种不少于</w:t>
      </w:r>
      <w:r>
        <w:rPr>
          <w:rFonts w:hint="eastAsia"/>
        </w:rPr>
        <w:t>6</w:t>
      </w:r>
      <w:r>
        <w:rPr>
          <w:rFonts w:hint="eastAsia"/>
          <w:lang w:val="zh-CN"/>
        </w:rPr>
        <w:t>个，要求</w:t>
      </w:r>
      <w:r>
        <w:rPr>
          <w:rFonts w:hint="eastAsia"/>
        </w:rPr>
        <w:t>一周内同一品种不重复2次。</w:t>
      </w:r>
      <w:r>
        <w:rPr>
          <w:rFonts w:hint="eastAsia"/>
          <w:lang w:val="zh-CN"/>
        </w:rPr>
        <w:t>另要每日早餐有</w:t>
      </w:r>
      <w:r>
        <w:rPr>
          <w:rFonts w:hint="eastAsia"/>
        </w:rPr>
        <w:t>2</w:t>
      </w:r>
      <w:r>
        <w:rPr>
          <w:rFonts w:hint="eastAsia"/>
          <w:lang w:val="zh-CN"/>
        </w:rPr>
        <w:t>种以上的小菜，一周不重复两次。</w:t>
      </w:r>
    </w:p>
    <w:p w14:paraId="2C870E36">
      <w:pPr>
        <w:ind w:firstLine="480"/>
      </w:pPr>
      <w:r>
        <w:rPr>
          <w:rFonts w:hint="eastAsia"/>
          <w:lang w:val="zh-CN"/>
        </w:rPr>
        <w:t>每天中餐菜肴不少于</w:t>
      </w:r>
      <w:r>
        <w:rPr>
          <w:rFonts w:hint="eastAsia"/>
        </w:rPr>
        <w:t>5</w:t>
      </w:r>
      <w:r>
        <w:rPr>
          <w:rFonts w:hint="eastAsia"/>
          <w:lang w:val="zh-CN"/>
        </w:rPr>
        <w:t>个品种，晚餐菜肴不少于</w:t>
      </w:r>
      <w:r>
        <w:rPr>
          <w:rFonts w:hint="eastAsia"/>
        </w:rPr>
        <w:t>3</w:t>
      </w:r>
      <w:r>
        <w:rPr>
          <w:rFonts w:hint="eastAsia"/>
          <w:lang w:val="zh-CN"/>
        </w:rPr>
        <w:t>个品种，主打菜一周内不重复</w:t>
      </w:r>
      <w:r>
        <w:rPr>
          <w:rFonts w:hint="eastAsia"/>
        </w:rPr>
        <w:t>，外加一个汤，天气炎热期间，再提供至少一种冷饮（如绿豆汤、白木耳汤等）。</w:t>
      </w:r>
    </w:p>
    <w:p w14:paraId="56D57C39">
      <w:pPr>
        <w:ind w:firstLine="480"/>
      </w:pPr>
      <w:r>
        <w:rPr>
          <w:rFonts w:hint="eastAsia"/>
        </w:rPr>
        <w:t>3.乙方根据就餐人数和食材成本及有关损耗，与甲方指定的管理人员一起确定每天食材采购清单。菜品的安排既要让就餐人员吃得好，又要保证甲方每月不发生亏损。</w:t>
      </w:r>
    </w:p>
    <w:p w14:paraId="3DE745E2">
      <w:pPr>
        <w:ind w:firstLine="480"/>
      </w:pPr>
      <w:r>
        <w:rPr>
          <w:rFonts w:hint="eastAsia"/>
        </w:rPr>
        <w:t>4.原材料的采购由甲方负责，油、米、调料及低值易耗品也由甲方提供。</w:t>
      </w:r>
    </w:p>
    <w:p w14:paraId="48C36EB4">
      <w:pPr>
        <w:ind w:firstLine="480"/>
      </w:pPr>
      <w:r>
        <w:rPr>
          <w:rFonts w:hint="eastAsia"/>
        </w:rPr>
        <w:t>5.乙方要爱护甲方提供的房产和餐饮炊具设备等，负责日常养护管理，如乙方人为原因造成的设备设施损坏、遗失，乙方应照价赔偿，在合同签订时双方书面明确设备清单及价格并作为合同附件。</w:t>
      </w:r>
    </w:p>
    <w:p w14:paraId="5EC364FF">
      <w:pPr>
        <w:ind w:firstLine="480"/>
      </w:pPr>
      <w:r>
        <w:rPr>
          <w:rFonts w:hint="eastAsia"/>
        </w:rPr>
        <w:t>6. 乙方要落实好《食品安全法》、“五四”卫生制度。负责好食堂的饮食安全卫生，签约时需与甲方签订饮食安全卫生责任书。</w:t>
      </w:r>
    </w:p>
    <w:p w14:paraId="3EC52B92">
      <w:pPr>
        <w:ind w:firstLine="480"/>
      </w:pPr>
      <w:r>
        <w:rPr>
          <w:rFonts w:hint="eastAsia"/>
        </w:rPr>
        <w:t>7.乙方不得储藏、加工、提供变质食品。如在制作过程中因使用变质、腐烂等食材引起食物中毒或因其他原因造成不良后果，损害就餐职工身体健康的现象，乙方必须承担由此造成的一切责任和经济损失，甲方有权单方面终止合同。</w:t>
      </w:r>
    </w:p>
    <w:p w14:paraId="01324689">
      <w:pPr>
        <w:ind w:firstLine="480"/>
      </w:pPr>
      <w:r>
        <w:rPr>
          <w:rFonts w:hint="eastAsia"/>
        </w:rPr>
        <w:t>8.乙方应按照标准制度落实专人对餐厅、加工间等场所进行常态化的环境卫生打扫管理和隔油池、抽油烟管及设备保养清洗</w:t>
      </w:r>
      <w:r>
        <w:rPr>
          <w:rFonts w:hint="eastAsia"/>
          <w:lang w:eastAsia="zh-CN"/>
        </w:rPr>
        <w:t>，</w:t>
      </w:r>
      <w:r>
        <w:rPr>
          <w:rFonts w:hint="eastAsia"/>
          <w:lang w:val="en-US" w:eastAsia="zh-CN"/>
        </w:rPr>
        <w:t>餐厨垃圾每天清理到交警大队指定地点，</w:t>
      </w:r>
      <w:r>
        <w:rPr>
          <w:rFonts w:hint="eastAsia"/>
        </w:rPr>
        <w:t>乙方应划分好卫生包干区域，并报甲方审定后实施。</w:t>
      </w:r>
    </w:p>
    <w:p w14:paraId="3DB77F27">
      <w:pPr>
        <w:ind w:firstLine="480"/>
      </w:pPr>
      <w:r>
        <w:rPr>
          <w:rFonts w:hint="eastAsia"/>
        </w:rPr>
        <w:t>9.乙方应每半年组织所属员工进行健康检查，费用由乙方负责，确保所属人员持有有效健康证；乙方应定期开展职业道德、安全教育、卫生教育和技能培训等，不断提高员工素质；乙方人员工应统一着装上岗，上岗时穿戴好工作服、工作帽和口罩、工作服装不得在离开岗位的其他地方穿着，保证工作服装的整洁等；乙方人员工如发生偷盗行为的，视情采取罚款、辞退、移送公安机关等措施，直至甲方无条件终止合同，并禁止乙方参加甲方今后组织的类似项目招标。</w:t>
      </w:r>
    </w:p>
    <w:p w14:paraId="538CB239">
      <w:pPr>
        <w:ind w:firstLine="480"/>
      </w:pPr>
      <w:r>
        <w:rPr>
          <w:rFonts w:hint="eastAsia"/>
        </w:rPr>
        <w:t>10.乙方自行按时发放所属工作人员的工资、福利、劳保用品和奖金等，按劳动保障部门给所属工作人员缴纳保险，甲方将予以监督，乙方负责对工作人员进行遵纪守法和安全卫生教育，如发生意外伤残、伤亡事故，乙方承担全部责任和经济补偿，甲方不承担任何经济损失和相关责任。</w:t>
      </w:r>
    </w:p>
    <w:p w14:paraId="52425FE3">
      <w:pPr>
        <w:ind w:firstLine="480"/>
      </w:pPr>
      <w:r>
        <w:rPr>
          <w:rFonts w:hint="eastAsia"/>
        </w:rPr>
        <w:t>11.乙方不负责承担食堂在承包期内所有水电燃气费，但是必须做到节约使用。</w:t>
      </w:r>
    </w:p>
    <w:p w14:paraId="34EF96A1">
      <w:pPr>
        <w:ind w:firstLine="480"/>
      </w:pPr>
      <w:r>
        <w:rPr>
          <w:rFonts w:hint="eastAsia"/>
        </w:rPr>
        <w:t>12.乙方工作人员在食堂就餐，按</w:t>
      </w:r>
      <w:r>
        <w:rPr>
          <w:rFonts w:hint="eastAsia"/>
          <w:lang w:val="en-US" w:eastAsia="zh-CN"/>
        </w:rPr>
        <w:t>3</w:t>
      </w:r>
      <w:r>
        <w:t>00</w:t>
      </w:r>
      <w:r>
        <w:rPr>
          <w:rFonts w:hint="eastAsia"/>
        </w:rPr>
        <w:t>元/月/人标准向甲方缴纳伙食费，要求在签订合同后每月以转账方式将伙食费打入甲方食堂账户（一</w:t>
      </w:r>
      <w:r>
        <w:rPr>
          <w:rFonts w:hint="eastAsia"/>
          <w:lang w:val="en-US" w:eastAsia="zh-CN"/>
        </w:rPr>
        <w:t>月</w:t>
      </w:r>
      <w:r>
        <w:rPr>
          <w:rFonts w:hint="eastAsia"/>
        </w:rPr>
        <w:t>一付）。</w:t>
      </w:r>
    </w:p>
    <w:p w14:paraId="6B0388BA">
      <w:pPr>
        <w:ind w:firstLine="480"/>
      </w:pPr>
      <w:r>
        <w:rPr>
          <w:rFonts w:hint="eastAsia"/>
        </w:rPr>
        <w:t>13.乙方在承包期间不得变更房产结构，不得变换基本设施，若因经营服务需要，对经营场所进行装修，需书面报告甲方同意后方可实施。</w:t>
      </w:r>
    </w:p>
    <w:p w14:paraId="6584B5BC">
      <w:pPr>
        <w:ind w:firstLine="480"/>
      </w:pPr>
      <w:r>
        <w:rPr>
          <w:rFonts w:hint="eastAsia"/>
        </w:rPr>
        <w:t>14.乙方必须按期上报食堂运营的相关数据。（具体根据甲方实际情况而定）</w:t>
      </w:r>
    </w:p>
    <w:p w14:paraId="1763CE72">
      <w:pPr>
        <w:ind w:firstLine="480"/>
      </w:pPr>
      <w:r>
        <w:rPr>
          <w:rFonts w:hint="eastAsia"/>
        </w:rPr>
        <w:t>15.乙方须根据甲方规定时间按时为就餐民警职工提供优质服务，不得提前或延迟开饭时间（特殊情况如开会、接待、会餐、培训及有特殊工作任务等要服从大队指定的时间），坚持服务第一的宗旨，做到热情服务、文明待人。</w:t>
      </w:r>
    </w:p>
    <w:p w14:paraId="5CD2B96A">
      <w:pPr>
        <w:ind w:firstLine="480"/>
      </w:pPr>
      <w:r>
        <w:rPr>
          <w:rFonts w:hint="eastAsia"/>
        </w:rPr>
        <w:t>16.乙方所聘人员不符合甲方要求，必须及时调整，否则甲方有权扣除相应费用，直至终止合同。乙方应保证全员在岗，如因员工辞职，请假等原因出现缺勤情况，乙方应</w:t>
      </w:r>
      <w:r>
        <w:rPr>
          <w:rFonts w:hint="eastAsia"/>
          <w:lang w:val="en-US" w:eastAsia="zh-CN"/>
        </w:rPr>
        <w:t>当天</w:t>
      </w:r>
      <w:r>
        <w:rPr>
          <w:rFonts w:hint="eastAsia"/>
        </w:rPr>
        <w:t>调整、补充人员，</w:t>
      </w:r>
      <w:r>
        <w:rPr>
          <w:rFonts w:hint="eastAsia"/>
          <w:lang w:val="en-US" w:eastAsia="zh-CN"/>
        </w:rPr>
        <w:t>确保食堂正常运行，</w:t>
      </w:r>
      <w:r>
        <w:rPr>
          <w:rFonts w:hint="eastAsia"/>
        </w:rPr>
        <w:t>否则甲方有权按缺勤天数和人数扣除相应合同金额。</w:t>
      </w:r>
    </w:p>
    <w:p w14:paraId="77344C7A">
      <w:pPr>
        <w:ind w:firstLine="480"/>
      </w:pPr>
      <w:r>
        <w:rPr>
          <w:rFonts w:hint="eastAsia"/>
        </w:rPr>
        <w:t>17.乙方需保障甲方的会议、培训和接待用餐，不另外支付费用（双方另行协商除外）。</w:t>
      </w:r>
    </w:p>
    <w:p w14:paraId="2A1D2F54">
      <w:pPr>
        <w:ind w:firstLine="480"/>
      </w:pPr>
      <w:r>
        <w:rPr>
          <w:rFonts w:hint="eastAsia"/>
        </w:rPr>
        <w:t>18.乙方须严格履行合同要求，不得转包给其他运营者，否则甲方将单方面终止合同，由此产生的后果和损失均由乙方负责。</w:t>
      </w:r>
    </w:p>
    <w:p w14:paraId="551F3CB1">
      <w:pPr>
        <w:ind w:firstLine="480"/>
      </w:pPr>
      <w:r>
        <w:rPr>
          <w:rFonts w:hint="eastAsia"/>
        </w:rPr>
        <w:t>19.有关考核办法：详见《龙游县公安局交通警察大队食堂管理考核标准与考核办法》。</w:t>
      </w:r>
    </w:p>
    <w:p w14:paraId="531498F8">
      <w:pPr>
        <w:ind w:firstLine="480"/>
      </w:pPr>
      <w:r>
        <w:rPr>
          <w:rFonts w:hint="eastAsia"/>
        </w:rPr>
        <w:t>20.乙方提供餐饮服务时，因自身原因发生的一切安全事故责任均自行承担，事故责任和损失</w:t>
      </w:r>
      <w:r>
        <w:rPr>
          <w:rFonts w:hint="eastAsia"/>
          <w:lang w:val="en-US" w:eastAsia="zh-CN"/>
        </w:rPr>
        <w:t>均</w:t>
      </w:r>
      <w:r>
        <w:rPr>
          <w:rFonts w:hint="eastAsia"/>
        </w:rPr>
        <w:t>由乙方承担。</w:t>
      </w:r>
    </w:p>
    <w:p w14:paraId="07EEED70">
      <w:pPr>
        <w:ind w:firstLine="480"/>
      </w:pPr>
      <w:r>
        <w:rPr>
          <w:rFonts w:hint="eastAsia"/>
        </w:rPr>
        <w:t>21.合同期限内，食堂消防、安全、卫生、环境由乙方负责，如因乙方责任发生的火灾、食物中毒、环境污染、安全事故等，所有的损失均由乙方负责，并依照法律追究乙方责任。</w:t>
      </w:r>
    </w:p>
    <w:p w14:paraId="6EE9E68A">
      <w:pPr>
        <w:ind w:firstLine="480"/>
      </w:pPr>
      <w:r>
        <w:rPr>
          <w:rFonts w:hint="eastAsia"/>
        </w:rPr>
        <w:t>22.未经甲方同意，乙方不得有下列行为：不得转包他人，擅自安排人员到本食堂学习、考察和培训等；擅自调动本项目工作人员外出工作；擅自安排人员到本项目食堂免费用餐。上述行为一经发现，甲方有权视情节进行扣款处罚（100～1000元），处罚金额从下个月承包服务费中直接扣除。</w:t>
      </w:r>
    </w:p>
    <w:p w14:paraId="08E92535">
      <w:pPr>
        <w:ind w:firstLine="480"/>
      </w:pPr>
      <w:r>
        <w:rPr>
          <w:rFonts w:hint="eastAsia"/>
        </w:rPr>
        <w:t>23.如乙方有违反上述条款和相关规定，或因不服从甲方管理监督造成双方矛盾激化，被甲方解除合同的，具体解除合同时间由甲方确定，乙方不得私自带团队撤离，如私自带团队撤离，甲方有权按合同价的百分之二十向乙方进行索赔，如乙方不履行的，甲方可向龙游县仲裁委申请仲裁。</w:t>
      </w:r>
    </w:p>
    <w:p w14:paraId="476D0C25">
      <w:pPr>
        <w:ind w:firstLine="480"/>
      </w:pPr>
      <w:r>
        <w:rPr>
          <w:rFonts w:hint="eastAsia"/>
        </w:rPr>
        <w:t>24.合同期满后，乙方应服从甲方安排，由甲方确定撤离时间，不得私自带团队撤离，如私自带团队撤离，影响食堂正常工作的，甲方有权按合同价的百分之二十向乙方进行索赔，如乙方不履行的，甲方可向龙游县仲裁委申请仲裁。</w:t>
      </w:r>
    </w:p>
    <w:p w14:paraId="11BC2A08">
      <w:pPr>
        <w:ind w:firstLine="480"/>
        <w:rPr>
          <w:rFonts w:ascii="宋体" w:hAnsi="宋体" w:cs="宋体"/>
          <w:szCs w:val="21"/>
        </w:rPr>
      </w:pPr>
      <w:r>
        <w:rPr>
          <w:rFonts w:hint="eastAsia"/>
        </w:rPr>
        <w:t>25.合同期限内，若因不确定因素致甲方就餐人数变动较大时，其费用双方另行协商。</w:t>
      </w:r>
    </w:p>
    <w:p w14:paraId="4148061B">
      <w:pPr>
        <w:pStyle w:val="4"/>
      </w:pPr>
      <w:bookmarkStart w:id="189" w:name="_Toc8178"/>
      <w:r>
        <w:rPr>
          <w:rFonts w:hint="eastAsia"/>
        </w:rPr>
        <w:t>五、人员配置要求</w:t>
      </w:r>
      <w:bookmarkEnd w:id="189"/>
    </w:p>
    <w:tbl>
      <w:tblPr>
        <w:tblStyle w:val="31"/>
        <w:tblW w:w="88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2967"/>
        <w:gridCol w:w="840"/>
        <w:gridCol w:w="1717"/>
        <w:gridCol w:w="2569"/>
      </w:tblGrid>
      <w:tr w14:paraId="314F9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blHeader/>
        </w:trPr>
        <w:tc>
          <w:tcPr>
            <w:tcW w:w="769" w:type="dxa"/>
            <w:vAlign w:val="center"/>
          </w:tcPr>
          <w:p w14:paraId="749DFE71">
            <w:pPr>
              <w:spacing w:line="240" w:lineRule="auto"/>
              <w:ind w:firstLine="0" w:firstLineChars="0"/>
            </w:pPr>
            <w:bookmarkStart w:id="190" w:name="_Toc21908"/>
            <w:bookmarkStart w:id="191" w:name="_Toc19216"/>
            <w:bookmarkStart w:id="192" w:name="_Toc11232"/>
            <w:bookmarkStart w:id="193" w:name="_Toc30098"/>
            <w:r>
              <w:rPr>
                <w:rFonts w:hint="eastAsia"/>
              </w:rPr>
              <w:t>序号</w:t>
            </w:r>
          </w:p>
        </w:tc>
        <w:tc>
          <w:tcPr>
            <w:tcW w:w="2967" w:type="dxa"/>
            <w:vAlign w:val="center"/>
          </w:tcPr>
          <w:p w14:paraId="41BF1931">
            <w:pPr>
              <w:spacing w:line="240" w:lineRule="auto"/>
              <w:ind w:firstLine="0" w:firstLineChars="0"/>
            </w:pPr>
            <w:r>
              <w:rPr>
                <w:rFonts w:hint="eastAsia"/>
              </w:rPr>
              <w:t>岗位名称</w:t>
            </w:r>
          </w:p>
        </w:tc>
        <w:tc>
          <w:tcPr>
            <w:tcW w:w="840" w:type="dxa"/>
            <w:vAlign w:val="center"/>
          </w:tcPr>
          <w:p w14:paraId="4A97CB29">
            <w:pPr>
              <w:spacing w:line="240" w:lineRule="auto"/>
              <w:ind w:firstLine="0" w:firstLineChars="0"/>
            </w:pPr>
            <w:r>
              <w:rPr>
                <w:rFonts w:hint="eastAsia"/>
              </w:rPr>
              <w:t>人数</w:t>
            </w:r>
          </w:p>
        </w:tc>
        <w:tc>
          <w:tcPr>
            <w:tcW w:w="1717" w:type="dxa"/>
            <w:vAlign w:val="center"/>
          </w:tcPr>
          <w:p w14:paraId="4874F1F8">
            <w:pPr>
              <w:spacing w:line="240" w:lineRule="auto"/>
              <w:ind w:firstLine="0" w:firstLineChars="0"/>
            </w:pPr>
            <w:r>
              <w:rPr>
                <w:rFonts w:hint="eastAsia"/>
                <w:lang w:val="en-US" w:eastAsia="zh-CN"/>
              </w:rPr>
              <w:t>身体</w:t>
            </w:r>
            <w:r>
              <w:rPr>
                <w:rFonts w:hint="eastAsia"/>
              </w:rPr>
              <w:t>年龄要求</w:t>
            </w:r>
          </w:p>
        </w:tc>
        <w:tc>
          <w:tcPr>
            <w:tcW w:w="2569" w:type="dxa"/>
            <w:vAlign w:val="center"/>
          </w:tcPr>
          <w:p w14:paraId="4BEEEA21">
            <w:pPr>
              <w:spacing w:line="240" w:lineRule="auto"/>
              <w:ind w:firstLine="0" w:firstLineChars="0"/>
            </w:pPr>
            <w:r>
              <w:rPr>
                <w:rFonts w:hint="eastAsia"/>
              </w:rPr>
              <w:t>其他要求</w:t>
            </w:r>
          </w:p>
        </w:tc>
      </w:tr>
      <w:tr w14:paraId="125D3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9" w:type="dxa"/>
            <w:vAlign w:val="center"/>
          </w:tcPr>
          <w:p w14:paraId="50D0D560">
            <w:pPr>
              <w:spacing w:line="240" w:lineRule="auto"/>
              <w:ind w:firstLine="0" w:firstLineChars="0"/>
            </w:pPr>
            <w:r>
              <w:rPr>
                <w:rFonts w:hint="eastAsia"/>
              </w:rPr>
              <w:t>1</w:t>
            </w:r>
          </w:p>
        </w:tc>
        <w:tc>
          <w:tcPr>
            <w:tcW w:w="2967" w:type="dxa"/>
            <w:vAlign w:val="center"/>
          </w:tcPr>
          <w:p w14:paraId="13C39A25">
            <w:pPr>
              <w:spacing w:line="240" w:lineRule="auto"/>
              <w:ind w:firstLine="0" w:firstLineChars="0"/>
            </w:pPr>
            <w:r>
              <w:rPr>
                <w:rFonts w:hint="eastAsia"/>
              </w:rPr>
              <w:t>厨师长</w:t>
            </w:r>
          </w:p>
        </w:tc>
        <w:tc>
          <w:tcPr>
            <w:tcW w:w="840" w:type="dxa"/>
            <w:vAlign w:val="center"/>
          </w:tcPr>
          <w:p w14:paraId="5E360A78">
            <w:pPr>
              <w:spacing w:line="240" w:lineRule="auto"/>
              <w:ind w:firstLine="0" w:firstLineChars="0"/>
            </w:pPr>
            <w:r>
              <w:rPr>
                <w:rFonts w:hint="eastAsia"/>
              </w:rPr>
              <w:t>1人</w:t>
            </w:r>
          </w:p>
        </w:tc>
        <w:tc>
          <w:tcPr>
            <w:tcW w:w="1717" w:type="dxa"/>
            <w:vMerge w:val="restart"/>
            <w:vAlign w:val="center"/>
          </w:tcPr>
          <w:p w14:paraId="0C4AF7EE">
            <w:pPr>
              <w:spacing w:line="240" w:lineRule="auto"/>
              <w:ind w:firstLine="0" w:firstLineChars="0"/>
            </w:pPr>
            <w:r>
              <w:rPr>
                <w:rFonts w:hint="eastAsia"/>
                <w:lang w:val="en-US" w:eastAsia="zh-CN"/>
              </w:rPr>
              <w:t>有当年体检报告并且身体健康、政审合格。</w:t>
            </w:r>
          </w:p>
        </w:tc>
        <w:tc>
          <w:tcPr>
            <w:tcW w:w="2569" w:type="dxa"/>
            <w:vMerge w:val="restart"/>
            <w:vAlign w:val="center"/>
          </w:tcPr>
          <w:p w14:paraId="7DA0495D">
            <w:pPr>
              <w:spacing w:line="240" w:lineRule="auto"/>
              <w:ind w:firstLine="0" w:firstLineChars="0"/>
            </w:pPr>
            <w:r>
              <w:rPr>
                <w:rFonts w:hint="eastAsia"/>
              </w:rPr>
              <w:t>需精通龙游本地菜系</w:t>
            </w:r>
          </w:p>
        </w:tc>
      </w:tr>
      <w:tr w14:paraId="4CAB0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9" w:type="dxa"/>
            <w:vAlign w:val="center"/>
          </w:tcPr>
          <w:p w14:paraId="76E5C49A">
            <w:pPr>
              <w:spacing w:line="240" w:lineRule="auto"/>
              <w:ind w:firstLine="0" w:firstLineChars="0"/>
            </w:pPr>
            <w:r>
              <w:rPr>
                <w:rFonts w:hint="eastAsia"/>
              </w:rPr>
              <w:t>2</w:t>
            </w:r>
          </w:p>
        </w:tc>
        <w:tc>
          <w:tcPr>
            <w:tcW w:w="2967" w:type="dxa"/>
            <w:vAlign w:val="center"/>
          </w:tcPr>
          <w:p w14:paraId="7D053E08">
            <w:pPr>
              <w:spacing w:line="240" w:lineRule="auto"/>
              <w:ind w:firstLine="0" w:firstLineChars="0"/>
            </w:pPr>
            <w:r>
              <w:rPr>
                <w:rFonts w:hint="eastAsia"/>
              </w:rPr>
              <w:t>厨师</w:t>
            </w:r>
          </w:p>
        </w:tc>
        <w:tc>
          <w:tcPr>
            <w:tcW w:w="840" w:type="dxa"/>
            <w:vAlign w:val="center"/>
          </w:tcPr>
          <w:p w14:paraId="72FEF292">
            <w:pPr>
              <w:spacing w:line="240" w:lineRule="auto"/>
              <w:ind w:firstLine="0" w:firstLineChars="0"/>
            </w:pPr>
            <w:r>
              <w:rPr>
                <w:rFonts w:hint="eastAsia"/>
              </w:rPr>
              <w:t>1人</w:t>
            </w:r>
          </w:p>
        </w:tc>
        <w:tc>
          <w:tcPr>
            <w:tcW w:w="1717" w:type="dxa"/>
            <w:vMerge w:val="continue"/>
            <w:vAlign w:val="center"/>
          </w:tcPr>
          <w:p w14:paraId="02B5155E">
            <w:pPr>
              <w:spacing w:line="240" w:lineRule="auto"/>
              <w:ind w:firstLine="480"/>
            </w:pPr>
          </w:p>
        </w:tc>
        <w:tc>
          <w:tcPr>
            <w:tcW w:w="2569" w:type="dxa"/>
            <w:vMerge w:val="continue"/>
            <w:vAlign w:val="center"/>
          </w:tcPr>
          <w:p w14:paraId="52384043">
            <w:pPr>
              <w:spacing w:line="240" w:lineRule="auto"/>
              <w:ind w:firstLine="0" w:firstLineChars="0"/>
            </w:pPr>
          </w:p>
        </w:tc>
      </w:tr>
      <w:tr w14:paraId="0C328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69" w:type="dxa"/>
            <w:vAlign w:val="center"/>
          </w:tcPr>
          <w:p w14:paraId="69F2C32B">
            <w:pPr>
              <w:spacing w:line="240" w:lineRule="auto"/>
              <w:ind w:firstLine="0" w:firstLineChars="0"/>
            </w:pPr>
            <w:r>
              <w:rPr>
                <w:rFonts w:hint="eastAsia"/>
              </w:rPr>
              <w:t>3</w:t>
            </w:r>
          </w:p>
        </w:tc>
        <w:tc>
          <w:tcPr>
            <w:tcW w:w="2967" w:type="dxa"/>
            <w:vAlign w:val="center"/>
          </w:tcPr>
          <w:p w14:paraId="2B9957AF">
            <w:pPr>
              <w:spacing w:line="240" w:lineRule="auto"/>
              <w:ind w:firstLine="0" w:firstLineChars="0"/>
            </w:pPr>
            <w:r>
              <w:rPr>
                <w:rFonts w:hint="eastAsia"/>
              </w:rPr>
              <w:t>面点师</w:t>
            </w:r>
          </w:p>
        </w:tc>
        <w:tc>
          <w:tcPr>
            <w:tcW w:w="840" w:type="dxa"/>
            <w:vAlign w:val="center"/>
          </w:tcPr>
          <w:p w14:paraId="02AAEA54">
            <w:pPr>
              <w:spacing w:line="240" w:lineRule="auto"/>
              <w:ind w:firstLine="0" w:firstLineChars="0"/>
            </w:pPr>
            <w:r>
              <w:rPr>
                <w:rFonts w:hint="eastAsia"/>
              </w:rPr>
              <w:t>2人</w:t>
            </w:r>
          </w:p>
        </w:tc>
        <w:tc>
          <w:tcPr>
            <w:tcW w:w="1717" w:type="dxa"/>
            <w:vMerge w:val="continue"/>
            <w:vAlign w:val="center"/>
          </w:tcPr>
          <w:p w14:paraId="55BB0846">
            <w:pPr>
              <w:spacing w:line="240" w:lineRule="auto"/>
              <w:ind w:firstLine="480"/>
            </w:pPr>
          </w:p>
        </w:tc>
        <w:tc>
          <w:tcPr>
            <w:tcW w:w="2569" w:type="dxa"/>
            <w:vAlign w:val="center"/>
          </w:tcPr>
          <w:p w14:paraId="0E4557CD">
            <w:pPr>
              <w:spacing w:line="240" w:lineRule="auto"/>
              <w:ind w:firstLine="0" w:firstLineChars="0"/>
            </w:pPr>
            <w:r>
              <w:rPr>
                <w:rFonts w:hint="eastAsia"/>
              </w:rPr>
              <w:t>会制作汤面、炒糕、馒头、包子、生煎包、食饼筒等特色小吃</w:t>
            </w:r>
          </w:p>
        </w:tc>
      </w:tr>
      <w:tr w14:paraId="648CF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69" w:type="dxa"/>
            <w:vAlign w:val="center"/>
          </w:tcPr>
          <w:p w14:paraId="17167F2C">
            <w:pPr>
              <w:spacing w:line="240" w:lineRule="auto"/>
              <w:ind w:firstLine="0" w:firstLineChars="0"/>
            </w:pPr>
            <w:r>
              <w:rPr>
                <w:rFonts w:hint="eastAsia"/>
              </w:rPr>
              <w:t>4</w:t>
            </w:r>
          </w:p>
        </w:tc>
        <w:tc>
          <w:tcPr>
            <w:tcW w:w="2967" w:type="dxa"/>
            <w:vAlign w:val="center"/>
          </w:tcPr>
          <w:p w14:paraId="1C9FF83C">
            <w:pPr>
              <w:spacing w:line="240" w:lineRule="auto"/>
              <w:ind w:firstLine="0" w:firstLineChars="0"/>
            </w:pPr>
            <w:r>
              <w:rPr>
                <w:rFonts w:hint="eastAsia"/>
              </w:rPr>
              <w:t>服务人员（含切配、洗菜）</w:t>
            </w:r>
          </w:p>
        </w:tc>
        <w:tc>
          <w:tcPr>
            <w:tcW w:w="840" w:type="dxa"/>
            <w:vAlign w:val="center"/>
          </w:tcPr>
          <w:p w14:paraId="413F0738">
            <w:pPr>
              <w:spacing w:line="240" w:lineRule="auto"/>
              <w:ind w:firstLine="0" w:firstLineChars="0"/>
            </w:pPr>
            <w:r>
              <w:rPr>
                <w:rFonts w:hint="eastAsia"/>
                <w:lang w:val="en-US" w:eastAsia="zh-CN"/>
              </w:rPr>
              <w:t>3</w:t>
            </w:r>
            <w:r>
              <w:rPr>
                <w:rFonts w:hint="eastAsia"/>
              </w:rPr>
              <w:t>人</w:t>
            </w:r>
          </w:p>
        </w:tc>
        <w:tc>
          <w:tcPr>
            <w:tcW w:w="1717" w:type="dxa"/>
            <w:vMerge w:val="continue"/>
            <w:vAlign w:val="center"/>
          </w:tcPr>
          <w:p w14:paraId="06391126">
            <w:pPr>
              <w:spacing w:line="240" w:lineRule="auto"/>
              <w:ind w:firstLine="0" w:firstLineChars="0"/>
            </w:pPr>
          </w:p>
        </w:tc>
        <w:tc>
          <w:tcPr>
            <w:tcW w:w="2569" w:type="dxa"/>
            <w:vAlign w:val="center"/>
          </w:tcPr>
          <w:p w14:paraId="4A38B3B2">
            <w:pPr>
              <w:spacing w:line="240" w:lineRule="auto"/>
              <w:ind w:firstLine="0" w:firstLineChars="0"/>
            </w:pPr>
          </w:p>
        </w:tc>
      </w:tr>
      <w:tr w14:paraId="0D502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69" w:type="dxa"/>
            <w:vAlign w:val="center"/>
          </w:tcPr>
          <w:p w14:paraId="3058D875">
            <w:pPr>
              <w:spacing w:line="240" w:lineRule="auto"/>
              <w:ind w:firstLine="0" w:firstLineChars="0"/>
            </w:pPr>
            <w:r>
              <w:rPr>
                <w:rFonts w:hint="eastAsia"/>
              </w:rPr>
              <w:t>5</w:t>
            </w:r>
          </w:p>
        </w:tc>
        <w:tc>
          <w:tcPr>
            <w:tcW w:w="8093" w:type="dxa"/>
            <w:gridSpan w:val="4"/>
            <w:vAlign w:val="center"/>
          </w:tcPr>
          <w:p w14:paraId="60F48FD1">
            <w:pPr>
              <w:spacing w:line="240" w:lineRule="auto"/>
              <w:ind w:firstLine="0" w:firstLineChars="0"/>
            </w:pPr>
            <w:r>
              <w:rPr>
                <w:rFonts w:hint="eastAsia"/>
              </w:rPr>
              <w:t>备注：以上厨师长、厨师、面点师均要求具有相应的国家劳动保障部门或劳动部门颁发的职业资格或技术等级证书。</w:t>
            </w:r>
          </w:p>
        </w:tc>
      </w:tr>
    </w:tbl>
    <w:p w14:paraId="738B6236">
      <w:pPr>
        <w:ind w:firstLine="480"/>
        <w:rPr>
          <w:highlight w:val="none"/>
        </w:rPr>
      </w:pPr>
      <w:r>
        <w:rPr>
          <w:rFonts w:hint="eastAsia"/>
          <w:highlight w:val="none"/>
        </w:rPr>
        <w:t>注：1.</w:t>
      </w:r>
      <w:r>
        <w:rPr>
          <w:rFonts w:hint="eastAsia"/>
          <w:highlight w:val="none"/>
          <w:lang w:val="en-US" w:eastAsia="zh-CN"/>
        </w:rPr>
        <w:t>乙方</w:t>
      </w:r>
      <w:r>
        <w:rPr>
          <w:rFonts w:hint="eastAsia"/>
          <w:highlight w:val="none"/>
        </w:rPr>
        <w:t>所聘人员上岗前必须将人员身份信息向</w:t>
      </w:r>
      <w:r>
        <w:rPr>
          <w:rFonts w:hint="eastAsia"/>
          <w:highlight w:val="none"/>
          <w:lang w:val="en-US" w:eastAsia="zh-CN"/>
        </w:rPr>
        <w:t>甲方</w:t>
      </w:r>
      <w:r>
        <w:rPr>
          <w:rFonts w:hint="eastAsia"/>
          <w:highlight w:val="none"/>
        </w:rPr>
        <w:t>报备，并同时备案健康证，保险情况，无以上证件不得上岗。</w:t>
      </w:r>
    </w:p>
    <w:p w14:paraId="0B8E50D3">
      <w:pPr>
        <w:bidi w:val="0"/>
      </w:pPr>
      <w:r>
        <w:rPr>
          <w:rFonts w:hint="eastAsia"/>
        </w:rPr>
        <w:t>2.食堂主要工作人员变动，须经</w:t>
      </w:r>
      <w:r>
        <w:rPr>
          <w:rFonts w:hint="eastAsia"/>
          <w:lang w:val="en-US" w:eastAsia="zh-CN"/>
        </w:rPr>
        <w:t>甲方</w:t>
      </w:r>
      <w:r>
        <w:rPr>
          <w:rFonts w:hint="eastAsia"/>
        </w:rPr>
        <w:t>同意。</w:t>
      </w:r>
    </w:p>
    <w:p w14:paraId="089256CC">
      <w:pPr>
        <w:bidi w:val="0"/>
      </w:pPr>
      <w:r>
        <w:rPr>
          <w:rFonts w:hint="eastAsia"/>
        </w:rPr>
        <w:t>3.厨师及厨师长满意度测评在70分以下的，必须及时更换，直至</w:t>
      </w:r>
      <w:r>
        <w:rPr>
          <w:rFonts w:hint="eastAsia"/>
          <w:lang w:val="en-US" w:eastAsia="zh-CN"/>
        </w:rPr>
        <w:t>甲方</w:t>
      </w:r>
      <w:r>
        <w:rPr>
          <w:rFonts w:hint="eastAsia"/>
        </w:rPr>
        <w:t>满意。</w:t>
      </w:r>
    </w:p>
    <w:p w14:paraId="33A5E846">
      <w:pPr>
        <w:bidi w:val="0"/>
      </w:pPr>
      <w:r>
        <w:rPr>
          <w:rFonts w:hint="eastAsia"/>
        </w:rPr>
        <w:t>4.因年龄不能缴纳社会保险的，必须投保雇主责任险，猝死赔付不低于5万，死亡、伤残赔付限额不低于60万，医药费赔付限额不低于7万，赔付比例不低于90%。</w:t>
      </w:r>
    </w:p>
    <w:p w14:paraId="272D0BEB">
      <w:pPr>
        <w:pStyle w:val="4"/>
      </w:pPr>
      <w:bookmarkStart w:id="194" w:name="_Toc13855"/>
      <w:r>
        <w:rPr>
          <w:rFonts w:hint="eastAsia"/>
        </w:rPr>
        <w:t>六、</w:t>
      </w:r>
      <w:bookmarkEnd w:id="190"/>
      <w:bookmarkEnd w:id="191"/>
      <w:bookmarkEnd w:id="192"/>
      <w:bookmarkEnd w:id="193"/>
      <w:r>
        <w:rPr>
          <w:rFonts w:hint="eastAsia"/>
        </w:rPr>
        <w:t>服务期</w:t>
      </w:r>
      <w:bookmarkEnd w:id="194"/>
    </w:p>
    <w:p w14:paraId="01F98078">
      <w:pPr>
        <w:ind w:firstLine="480"/>
        <w:rPr>
          <w:rFonts w:hint="eastAsia" w:eastAsia="宋体"/>
          <w:color w:val="000000" w:themeColor="text1"/>
          <w:lang w:val="en-US" w:eastAsia="zh-CN"/>
        </w:rPr>
      </w:pPr>
      <w:r>
        <w:rPr>
          <w:rFonts w:hint="eastAsia"/>
          <w:color w:val="000000" w:themeColor="text1"/>
          <w:lang w:val="en-US" w:eastAsia="zh-CN"/>
        </w:rPr>
        <w:t>一</w:t>
      </w:r>
      <w:r>
        <w:rPr>
          <w:rFonts w:hint="eastAsia"/>
          <w:color w:val="000000" w:themeColor="text1"/>
        </w:rPr>
        <w:t>年。</w:t>
      </w:r>
      <w:r>
        <w:rPr>
          <w:rFonts w:hint="eastAsia"/>
          <w:color w:val="000000" w:themeColor="text1"/>
          <w:lang w:eastAsia="zh-CN"/>
        </w:rPr>
        <w:t>2025年</w:t>
      </w:r>
      <w:r>
        <w:rPr>
          <w:rFonts w:hint="eastAsia"/>
          <w:color w:val="000000" w:themeColor="text1"/>
        </w:rPr>
        <w:t xml:space="preserve">  月  日至202</w:t>
      </w:r>
      <w:r>
        <w:rPr>
          <w:rFonts w:hint="eastAsia"/>
          <w:color w:val="000000" w:themeColor="text1"/>
          <w:lang w:val="en-US" w:eastAsia="zh-CN"/>
        </w:rPr>
        <w:t>6</w:t>
      </w:r>
      <w:r>
        <w:rPr>
          <w:rFonts w:hint="eastAsia"/>
          <w:color w:val="000000" w:themeColor="text1"/>
        </w:rPr>
        <w:t>年  月  日</w:t>
      </w:r>
      <w:r>
        <w:rPr>
          <w:rFonts w:hint="eastAsia"/>
          <w:color w:val="000000" w:themeColor="text1"/>
          <w:lang w:eastAsia="zh-CN"/>
        </w:rPr>
        <w:t>。</w:t>
      </w:r>
    </w:p>
    <w:p w14:paraId="68572ABC">
      <w:pPr>
        <w:pStyle w:val="4"/>
      </w:pPr>
      <w:bookmarkStart w:id="195" w:name="_Toc8859"/>
      <w:bookmarkStart w:id="196" w:name="_Toc14557"/>
      <w:bookmarkStart w:id="197" w:name="_Toc10030"/>
      <w:r>
        <w:rPr>
          <w:rFonts w:hint="eastAsia"/>
        </w:rPr>
        <w:t>七、履约保证金</w:t>
      </w:r>
      <w:bookmarkEnd w:id="195"/>
      <w:bookmarkEnd w:id="196"/>
      <w:bookmarkEnd w:id="197"/>
    </w:p>
    <w:p w14:paraId="64A5C7CC">
      <w:pPr>
        <w:ind w:firstLine="480"/>
      </w:pPr>
      <w:r>
        <w:rPr>
          <w:rFonts w:hint="eastAsia"/>
        </w:rPr>
        <w:t>无。</w:t>
      </w:r>
    </w:p>
    <w:p w14:paraId="4ED2BD9C">
      <w:pPr>
        <w:pStyle w:val="4"/>
      </w:pPr>
      <w:bookmarkStart w:id="198" w:name="_Toc12003"/>
      <w:bookmarkStart w:id="199" w:name="_Toc29166"/>
      <w:bookmarkStart w:id="200" w:name="_Toc12129"/>
      <w:r>
        <w:rPr>
          <w:rFonts w:hint="eastAsia"/>
        </w:rPr>
        <w:t>八、转包或分包</w:t>
      </w:r>
      <w:bookmarkEnd w:id="198"/>
      <w:bookmarkEnd w:id="199"/>
      <w:bookmarkEnd w:id="200"/>
    </w:p>
    <w:p w14:paraId="717C0EAC">
      <w:pPr>
        <w:ind w:firstLine="480"/>
      </w:pPr>
      <w:r>
        <w:rPr>
          <w:rFonts w:hint="eastAsia"/>
        </w:rPr>
        <w:t>1.本合同范围的货物和服务，应由乙方直接承接服务供应，不得向他人转让，也不得肢解后分别向他人转让。</w:t>
      </w:r>
    </w:p>
    <w:p w14:paraId="43D69192">
      <w:pPr>
        <w:ind w:firstLine="480"/>
        <w:rPr>
          <w:color w:val="000000" w:themeColor="text1"/>
        </w:rPr>
      </w:pPr>
      <w:r>
        <w:rPr>
          <w:rFonts w:hint="eastAsia"/>
        </w:rPr>
        <w:t>2.如有转让和未经甲方同意的分包行为，甲方有权解除合同并追究乙方的违约责任。</w:t>
      </w:r>
    </w:p>
    <w:p w14:paraId="580B84FD">
      <w:pPr>
        <w:pStyle w:val="4"/>
        <w:tabs>
          <w:tab w:val="right" w:pos="8306"/>
        </w:tabs>
        <w:rPr>
          <w:color w:val="000000" w:themeColor="text1"/>
        </w:rPr>
      </w:pPr>
      <w:bookmarkStart w:id="201" w:name="_Toc20210"/>
      <w:bookmarkStart w:id="202" w:name="_Toc19926"/>
      <w:r>
        <w:rPr>
          <w:rFonts w:hint="eastAsia"/>
          <w:color w:val="000000" w:themeColor="text1"/>
        </w:rPr>
        <w:t>九、款项支付</w:t>
      </w:r>
      <w:bookmarkEnd w:id="201"/>
      <w:bookmarkEnd w:id="202"/>
    </w:p>
    <w:p w14:paraId="1E9E421C">
      <w:pPr>
        <w:bidi w:val="0"/>
      </w:pPr>
      <w:r>
        <w:rPr>
          <w:rFonts w:hint="eastAsia"/>
        </w:rPr>
        <w:t>服务费结算方式：</w:t>
      </w:r>
      <w:r>
        <w:rPr>
          <w:rFonts w:hint="eastAsia"/>
          <w:lang w:val="en-US" w:eastAsia="zh-CN"/>
        </w:rPr>
        <w:t>2025年9月</w:t>
      </w:r>
      <w:r>
        <w:rPr>
          <w:rFonts w:hint="eastAsia"/>
        </w:rPr>
        <w:t>支付1</w:t>
      </w:r>
      <w:r>
        <w:rPr>
          <w:rFonts w:hint="eastAsia"/>
          <w:lang w:val="en-US" w:eastAsia="zh-CN"/>
        </w:rPr>
        <w:t>4</w:t>
      </w:r>
      <w:r>
        <w:rPr>
          <w:rFonts w:hint="eastAsia"/>
        </w:rPr>
        <w:t>万元，</w:t>
      </w:r>
      <w:r>
        <w:rPr>
          <w:rFonts w:hint="eastAsia"/>
          <w:lang w:val="en-US" w:eastAsia="zh-CN"/>
        </w:rPr>
        <w:t>2025年11月</w:t>
      </w:r>
      <w:r>
        <w:rPr>
          <w:rFonts w:hint="eastAsia"/>
        </w:rPr>
        <w:t>支付1</w:t>
      </w:r>
      <w:r>
        <w:rPr>
          <w:rFonts w:hint="eastAsia"/>
          <w:lang w:val="en-US" w:eastAsia="zh-CN"/>
        </w:rPr>
        <w:t>4</w:t>
      </w:r>
      <w:r>
        <w:rPr>
          <w:rFonts w:hint="eastAsia"/>
        </w:rPr>
        <w:t>万元，</w:t>
      </w:r>
      <w:r>
        <w:rPr>
          <w:rFonts w:hint="eastAsia"/>
          <w:lang w:val="en-US" w:eastAsia="zh-CN"/>
        </w:rPr>
        <w:t>2026年5月</w:t>
      </w:r>
      <w:r>
        <w:rPr>
          <w:rFonts w:hint="eastAsia"/>
        </w:rPr>
        <w:t>支付1</w:t>
      </w:r>
      <w:r>
        <w:rPr>
          <w:rFonts w:hint="eastAsia"/>
          <w:lang w:val="en-US" w:eastAsia="zh-CN"/>
        </w:rPr>
        <w:t>0</w:t>
      </w:r>
      <w:r>
        <w:rPr>
          <w:rFonts w:hint="eastAsia"/>
        </w:rPr>
        <w:t>万元，</w:t>
      </w:r>
      <w:r>
        <w:rPr>
          <w:rFonts w:hint="eastAsia"/>
          <w:lang w:val="en-US" w:eastAsia="zh-CN"/>
        </w:rPr>
        <w:t>合同结束并支付完员工工资后</w:t>
      </w:r>
      <w:r>
        <w:rPr>
          <w:rFonts w:hint="eastAsia"/>
        </w:rPr>
        <w:t>支付剩余尾款（不计息）。</w:t>
      </w:r>
    </w:p>
    <w:p w14:paraId="02A345D4">
      <w:pPr>
        <w:bidi w:val="0"/>
        <w:rPr>
          <w:rFonts w:ascii="宋体" w:hAnsi="宋体" w:cs="宋体"/>
          <w:szCs w:val="21"/>
        </w:rPr>
      </w:pPr>
      <w:r>
        <w:rPr>
          <w:rFonts w:hint="eastAsia"/>
          <w:lang w:val="en-US" w:eastAsia="zh-CN"/>
        </w:rPr>
        <w:t>注：</w:t>
      </w:r>
      <w:r>
        <w:rPr>
          <w:rFonts w:hint="eastAsia"/>
        </w:rPr>
        <w:t>合同实施期间，乙方工作人员在食堂就餐，按</w:t>
      </w:r>
      <w:r>
        <w:rPr>
          <w:rFonts w:hint="eastAsia"/>
          <w:lang w:val="en-US" w:eastAsia="zh-CN"/>
        </w:rPr>
        <w:t>3</w:t>
      </w:r>
      <w:r>
        <w:t>00</w:t>
      </w:r>
      <w:r>
        <w:rPr>
          <w:rFonts w:hint="eastAsia"/>
        </w:rPr>
        <w:t>元/月/人标准向甲方缴纳伙食费，要求在签订合同后每月以转账方式将伙食费打入甲方食堂账户（一</w:t>
      </w:r>
      <w:r>
        <w:rPr>
          <w:rFonts w:hint="eastAsia"/>
          <w:lang w:val="en-US" w:eastAsia="zh-CN"/>
        </w:rPr>
        <w:t>月</w:t>
      </w:r>
      <w:r>
        <w:rPr>
          <w:rFonts w:hint="eastAsia"/>
        </w:rPr>
        <w:t>一付）。</w:t>
      </w:r>
    </w:p>
    <w:p w14:paraId="1F88DFDD">
      <w:pPr>
        <w:ind w:firstLine="482"/>
      </w:pPr>
      <w:r>
        <w:rPr>
          <w:rFonts w:hint="eastAsia"/>
          <w:b/>
          <w:bCs/>
        </w:rPr>
        <w:t>乙方必须提供给甲方合法、有效的增值税发票，否则甲方有权延期付款，直至收到乙方相应增值税发票为止。</w:t>
      </w:r>
    </w:p>
    <w:p w14:paraId="4B1D25DA">
      <w:pPr>
        <w:pStyle w:val="4"/>
        <w:rPr>
          <w:color w:val="000000" w:themeColor="text1"/>
        </w:rPr>
      </w:pPr>
      <w:bookmarkStart w:id="203" w:name="_Toc31300"/>
      <w:bookmarkStart w:id="204" w:name="_Toc976"/>
      <w:r>
        <w:rPr>
          <w:rFonts w:hint="eastAsia"/>
          <w:color w:val="000000" w:themeColor="text1"/>
        </w:rPr>
        <w:t>十、税费</w:t>
      </w:r>
      <w:bookmarkEnd w:id="203"/>
      <w:bookmarkEnd w:id="204"/>
    </w:p>
    <w:p w14:paraId="6AB68CAA">
      <w:pPr>
        <w:ind w:firstLine="480"/>
        <w:rPr>
          <w:color w:val="000000" w:themeColor="text1"/>
        </w:rPr>
      </w:pPr>
      <w:r>
        <w:rPr>
          <w:rFonts w:hint="eastAsia"/>
          <w:color w:val="000000" w:themeColor="text1"/>
        </w:rPr>
        <w:t>本合同执行中相关的一切税费均由乙方负担。（须按照甲方要求开具相应的发票）</w:t>
      </w:r>
    </w:p>
    <w:p w14:paraId="376E52CC">
      <w:pPr>
        <w:pStyle w:val="4"/>
      </w:pPr>
      <w:bookmarkStart w:id="205" w:name="_Toc8906"/>
      <w:bookmarkStart w:id="206" w:name="_Toc1835"/>
      <w:bookmarkStart w:id="207" w:name="_Toc19003"/>
      <w:r>
        <w:rPr>
          <w:rFonts w:hint="eastAsia"/>
        </w:rPr>
        <w:t>十一、合同修改与解除</w:t>
      </w:r>
      <w:bookmarkEnd w:id="205"/>
      <w:bookmarkEnd w:id="206"/>
      <w:bookmarkEnd w:id="207"/>
    </w:p>
    <w:p w14:paraId="3EECAA9C">
      <w:pPr>
        <w:ind w:firstLine="480"/>
      </w:pPr>
      <w:r>
        <w:rPr>
          <w:rFonts w:hint="eastAsia"/>
        </w:rPr>
        <w:t>1.本合同供需双方的任何一方无权对合同内容进行修改，本合同如需修改，必须达成书面协议，并作为该合同的有效组成部分。</w:t>
      </w:r>
    </w:p>
    <w:p w14:paraId="4BD6E63F">
      <w:pPr>
        <w:ind w:firstLine="480"/>
      </w:pPr>
      <w:r>
        <w:rPr>
          <w:rFonts w:hint="eastAsia"/>
        </w:rPr>
        <w:t>2.协议期满后，如甲方需乙方延续提供服务的，乙方应按照本协议要求继续提供相关服务，服务费用按照本协议约定金额的日均费用计算，延续服务期不得超出本协议合同款项的10%，服务费由甲方在延续服务期满后一个月内一次性支付乙方。</w:t>
      </w:r>
    </w:p>
    <w:p w14:paraId="69966EB0">
      <w:pPr>
        <w:ind w:firstLine="480"/>
        <w:rPr>
          <w:rFonts w:hAnsi="宋体" w:cs="宋体"/>
        </w:rPr>
      </w:pPr>
      <w:r>
        <w:rPr>
          <w:rFonts w:hint="eastAsia"/>
        </w:rPr>
        <w:t>3.合同可以经双方协商一致解除，或按照《中华人民共和国民法典》的规定单方解除。</w:t>
      </w:r>
    </w:p>
    <w:p w14:paraId="214ED9C0">
      <w:pPr>
        <w:pStyle w:val="4"/>
      </w:pPr>
      <w:bookmarkStart w:id="208" w:name="_Toc11684"/>
      <w:bookmarkStart w:id="209" w:name="_Toc16416"/>
      <w:bookmarkStart w:id="210" w:name="_Toc27922"/>
      <w:r>
        <w:rPr>
          <w:rFonts w:hint="eastAsia"/>
        </w:rPr>
        <w:t>十二、违约责任</w:t>
      </w:r>
      <w:bookmarkEnd w:id="208"/>
      <w:bookmarkEnd w:id="209"/>
      <w:bookmarkEnd w:id="210"/>
    </w:p>
    <w:p w14:paraId="6ECF84F5">
      <w:pPr>
        <w:ind w:firstLine="480"/>
      </w:pPr>
      <w:r>
        <w:rPr>
          <w:rFonts w:hint="eastAsia"/>
        </w:rPr>
        <w:t>1.甲方无正当理由拒绝接受服务的，甲方向乙方偿付合同款项百分之五作为违约金。</w:t>
      </w:r>
    </w:p>
    <w:p w14:paraId="50BCD926">
      <w:pPr>
        <w:ind w:firstLine="480"/>
      </w:pPr>
      <w:r>
        <w:rPr>
          <w:rFonts w:hint="eastAsia"/>
        </w:rPr>
        <w:t>2.甲方无故逾期验收和办理款项支付手续的，甲方应按逾期付款总额每日万分之五向乙方支付违约金。</w:t>
      </w:r>
    </w:p>
    <w:p w14:paraId="6CE0E8E5">
      <w:pPr>
        <w:ind w:firstLine="480"/>
      </w:pPr>
      <w:r>
        <w:rPr>
          <w:rFonts w:hint="eastAsia"/>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百分之五的违约金，如造成甲方损失超过违约金的，超出部分由乙方继续承担赔偿责任。</w:t>
      </w:r>
    </w:p>
    <w:p w14:paraId="68A2D90A">
      <w:pPr>
        <w:ind w:firstLine="480"/>
      </w:pPr>
      <w:r>
        <w:rPr>
          <w:rFonts w:hint="eastAsia"/>
        </w:rPr>
        <w:t>4.在服务质量保证期内，乙方应对出现的质量及安全问题负责处理解决并承担一切费用。</w:t>
      </w:r>
    </w:p>
    <w:p w14:paraId="6F49273C">
      <w:pPr>
        <w:pStyle w:val="4"/>
      </w:pPr>
      <w:bookmarkStart w:id="211" w:name="_Toc10748"/>
      <w:bookmarkStart w:id="212" w:name="_Toc21728"/>
      <w:bookmarkStart w:id="213" w:name="_Toc20578"/>
      <w:r>
        <w:rPr>
          <w:rFonts w:hint="eastAsia"/>
        </w:rPr>
        <w:t>十三、不可抗力事件处理</w:t>
      </w:r>
      <w:bookmarkEnd w:id="211"/>
      <w:bookmarkEnd w:id="212"/>
      <w:bookmarkEnd w:id="213"/>
    </w:p>
    <w:p w14:paraId="6830D27C">
      <w:pPr>
        <w:ind w:firstLine="480"/>
      </w:pPr>
      <w:r>
        <w:rPr>
          <w:rFonts w:hint="eastAsia"/>
        </w:rPr>
        <w:t>1.在合同有效期内，任何一方因不可抗力事件导致不能履行合同，则合同履行期可延长，其延长期与不可抗力影响期相同。</w:t>
      </w:r>
    </w:p>
    <w:p w14:paraId="25B16682">
      <w:pPr>
        <w:ind w:firstLine="480"/>
      </w:pPr>
      <w:r>
        <w:rPr>
          <w:rFonts w:hint="eastAsia"/>
        </w:rPr>
        <w:t>2.不可抗力事件发生后，应立即通知对方，并寄送有关权威机构出具的证明。</w:t>
      </w:r>
    </w:p>
    <w:p w14:paraId="0ABD6A46">
      <w:pPr>
        <w:ind w:firstLine="480"/>
        <w:rPr>
          <w:rFonts w:ascii="宋体" w:hAnsi="宋体" w:cs="宋体"/>
        </w:rPr>
      </w:pPr>
      <w:r>
        <w:rPr>
          <w:rFonts w:hint="eastAsia"/>
        </w:rPr>
        <w:t>3.不可抗力事件延续120天以上，双方应通过友好协商，确定是否继续履行合同。</w:t>
      </w:r>
    </w:p>
    <w:p w14:paraId="383015A2">
      <w:pPr>
        <w:pStyle w:val="4"/>
      </w:pPr>
      <w:bookmarkStart w:id="214" w:name="_Toc15300"/>
      <w:bookmarkStart w:id="215" w:name="_Toc10762"/>
      <w:bookmarkStart w:id="216" w:name="_Toc28266"/>
      <w:r>
        <w:rPr>
          <w:rFonts w:hint="eastAsia"/>
        </w:rPr>
        <w:t>十四、诉讼</w:t>
      </w:r>
      <w:bookmarkEnd w:id="214"/>
      <w:bookmarkEnd w:id="215"/>
      <w:bookmarkEnd w:id="216"/>
    </w:p>
    <w:p w14:paraId="1130D986">
      <w:pPr>
        <w:ind w:firstLine="480"/>
        <w:rPr>
          <w:rFonts w:ascii="宋体" w:hAnsi="宋体" w:cs="宋体"/>
        </w:rPr>
      </w:pPr>
      <w:r>
        <w:rPr>
          <w:rFonts w:hint="eastAsia"/>
        </w:rPr>
        <w:t>双方在执行合同中所发生的一切争议，应通过协商解决。如协商不成，可向甲方所在地法院起诉。</w:t>
      </w:r>
    </w:p>
    <w:p w14:paraId="0FEBC9DF">
      <w:pPr>
        <w:pStyle w:val="4"/>
      </w:pPr>
      <w:bookmarkStart w:id="217" w:name="_Toc5468"/>
      <w:bookmarkStart w:id="218" w:name="_Toc31225"/>
      <w:bookmarkStart w:id="219" w:name="_Toc15721"/>
      <w:r>
        <w:rPr>
          <w:rFonts w:hint="eastAsia"/>
        </w:rPr>
        <w:t>十五、合同生效及其它</w:t>
      </w:r>
      <w:bookmarkEnd w:id="217"/>
      <w:bookmarkEnd w:id="218"/>
      <w:bookmarkEnd w:id="219"/>
    </w:p>
    <w:p w14:paraId="46F2D445">
      <w:pPr>
        <w:ind w:firstLine="480"/>
      </w:pPr>
      <w:r>
        <w:rPr>
          <w:rFonts w:hint="eastAsia"/>
        </w:rPr>
        <w:t>1.合同经双方法定代表人或授权代表签字并加盖单位公章，龙游久圆工程管理有限公司加盖鉴证章后生效。</w:t>
      </w:r>
    </w:p>
    <w:p w14:paraId="1FE7E76F">
      <w:pPr>
        <w:ind w:firstLine="480"/>
      </w:pPr>
      <w:r>
        <w:rPr>
          <w:rFonts w:hint="eastAsia"/>
        </w:rPr>
        <w:t>2.本合同未尽事宜，遵照《中华人民共和国民法典》有关条文执行。</w:t>
      </w:r>
    </w:p>
    <w:p w14:paraId="1AC96A89">
      <w:pPr>
        <w:spacing w:line="264" w:lineRule="auto"/>
        <w:ind w:firstLine="480"/>
        <w:rPr>
          <w:color w:val="000000" w:themeColor="text1"/>
        </w:rPr>
      </w:pPr>
      <w:r>
        <w:rPr>
          <w:rFonts w:hint="eastAsia"/>
        </w:rPr>
        <w:t>3.本合同正本一式七份，具有同等法律效力，甲乙双方各执三份，龙游久圆工程管理有限公司执一份。</w:t>
      </w:r>
    </w:p>
    <w:p w14:paraId="104CAFCB">
      <w:pPr>
        <w:ind w:firstLine="480"/>
        <w:rPr>
          <w:rFonts w:ascii="宋体" w:hAnsi="宋体" w:cs="宋体"/>
          <w:color w:val="000000" w:themeColor="text1"/>
        </w:rPr>
      </w:pPr>
      <w:r>
        <w:rPr>
          <w:rFonts w:ascii="宋体" w:hAnsi="宋体" w:cs="宋体"/>
          <w:color w:val="000000" w:themeColor="text1"/>
        </w:rPr>
        <w:t>附件：</w:t>
      </w:r>
      <w:r>
        <w:rPr>
          <w:rFonts w:hint="eastAsia"/>
        </w:rPr>
        <w:t>龙游县公安局交通警察大队食堂管理考核办法</w:t>
      </w:r>
    </w:p>
    <w:p w14:paraId="7F20D6B5">
      <w:pPr>
        <w:ind w:firstLine="480"/>
        <w:rPr>
          <w:rFonts w:ascii="宋体" w:hAnsi="宋体" w:cs="宋体"/>
          <w:color w:val="000000" w:themeColor="text1"/>
        </w:rPr>
      </w:pPr>
      <w:r>
        <w:rPr>
          <w:rFonts w:ascii="宋体" w:hAnsi="宋体" w:cs="宋体"/>
          <w:color w:val="000000" w:themeColor="text1"/>
        </w:rPr>
        <w:t>附件一：食堂管理考核细则</w:t>
      </w:r>
    </w:p>
    <w:p w14:paraId="3A1BF01F">
      <w:pPr>
        <w:pStyle w:val="2"/>
        <w:ind w:firstLine="420"/>
      </w:pPr>
      <w:r>
        <w:t>附件二：食堂满意度调查表</w:t>
      </w:r>
    </w:p>
    <w:p w14:paraId="2DE554EC">
      <w:pPr>
        <w:pStyle w:val="10"/>
        <w:ind w:firstLine="480"/>
      </w:pPr>
    </w:p>
    <w:p w14:paraId="50C81B30">
      <w:pPr>
        <w:pStyle w:val="2"/>
        <w:snapToGrid w:val="0"/>
        <w:spacing w:after="0" w:line="360" w:lineRule="auto"/>
        <w:ind w:firstLine="0" w:firstLineChars="0"/>
        <w:rPr>
          <w:rFonts w:ascii="宋体" w:hAnsi="宋体" w:eastAsia="宋体" w:cs="宋体"/>
          <w:color w:val="000000" w:themeColor="text1"/>
          <w:sz w:val="24"/>
        </w:rPr>
      </w:pPr>
      <w:r>
        <w:rPr>
          <w:rFonts w:hint="eastAsia" w:ascii="宋体" w:hAnsi="宋体" w:eastAsia="宋体" w:cs="宋体"/>
          <w:color w:val="000000" w:themeColor="text1"/>
          <w:sz w:val="24"/>
        </w:rPr>
        <w:t>甲方（盖章）：                          乙方（盖章）：</w:t>
      </w:r>
    </w:p>
    <w:p w14:paraId="7559D4FB">
      <w:pPr>
        <w:spacing w:line="360" w:lineRule="auto"/>
        <w:ind w:firstLine="0" w:firstLineChars="0"/>
        <w:rPr>
          <w:rFonts w:ascii="宋体" w:hAnsi="宋体" w:cs="宋体"/>
          <w:color w:val="000000" w:themeColor="text1"/>
        </w:rPr>
      </w:pPr>
      <w:r>
        <w:rPr>
          <w:rFonts w:hint="eastAsia" w:ascii="宋体" w:hAnsi="宋体" w:cs="宋体"/>
          <w:color w:val="000000" w:themeColor="text1"/>
        </w:rPr>
        <w:t>法定代表人或委托                        法定代表人或委托</w:t>
      </w:r>
    </w:p>
    <w:p w14:paraId="2C7B596C">
      <w:pPr>
        <w:spacing w:line="360" w:lineRule="auto"/>
        <w:ind w:firstLine="0" w:firstLineChars="0"/>
        <w:rPr>
          <w:color w:val="000000" w:themeColor="text1"/>
        </w:rPr>
      </w:pPr>
      <w:r>
        <w:rPr>
          <w:rFonts w:hint="eastAsia"/>
          <w:color w:val="000000" w:themeColor="text1"/>
        </w:rPr>
        <w:t>代理人（签字或盖章）：                  代理人（签字或盖章）：</w:t>
      </w:r>
    </w:p>
    <w:p w14:paraId="5EB8CB2D">
      <w:pPr>
        <w:pStyle w:val="2"/>
        <w:snapToGrid w:val="0"/>
        <w:spacing w:after="0" w:line="360" w:lineRule="auto"/>
        <w:ind w:firstLine="0" w:firstLineChars="0"/>
        <w:rPr>
          <w:rFonts w:ascii="宋体" w:hAnsi="宋体" w:eastAsia="宋体" w:cs="宋体"/>
          <w:color w:val="000000" w:themeColor="text1"/>
          <w:sz w:val="24"/>
        </w:rPr>
      </w:pPr>
      <w:r>
        <w:rPr>
          <w:rFonts w:hint="eastAsia" w:ascii="宋体" w:hAnsi="宋体" w:eastAsia="宋体" w:cs="宋体"/>
          <w:color w:val="000000" w:themeColor="text1"/>
          <w:sz w:val="24"/>
        </w:rPr>
        <w:t>地址：                                  地址：</w:t>
      </w:r>
    </w:p>
    <w:p w14:paraId="300B28F6">
      <w:pPr>
        <w:spacing w:line="360" w:lineRule="auto"/>
        <w:ind w:firstLine="0" w:firstLineChars="0"/>
        <w:rPr>
          <w:color w:val="000000" w:themeColor="text1"/>
        </w:rPr>
      </w:pPr>
      <w:r>
        <w:rPr>
          <w:rFonts w:hint="eastAsia" w:ascii="宋体" w:hAnsi="宋体" w:cs="宋体"/>
          <w:color w:val="000000" w:themeColor="text1"/>
        </w:rPr>
        <w:t>联系方式：                              联系方式：</w:t>
      </w:r>
    </w:p>
    <w:p w14:paraId="4CF9BCA8">
      <w:pPr>
        <w:pStyle w:val="2"/>
        <w:snapToGrid w:val="0"/>
        <w:spacing w:after="0" w:line="360" w:lineRule="auto"/>
        <w:ind w:firstLine="0" w:firstLineChars="0"/>
        <w:rPr>
          <w:rFonts w:ascii="宋体" w:hAnsi="宋体" w:eastAsia="宋体" w:cs="宋体"/>
          <w:color w:val="000000" w:themeColor="text1"/>
          <w:sz w:val="24"/>
        </w:rPr>
      </w:pPr>
      <w:r>
        <w:rPr>
          <w:rFonts w:hint="eastAsia" w:ascii="宋体" w:hAnsi="宋体" w:eastAsia="宋体" w:cs="宋体"/>
          <w:color w:val="000000" w:themeColor="text1"/>
          <w:sz w:val="24"/>
        </w:rPr>
        <w:t>签订日期：  年  月  日                  签订日期：  年  月  日</w:t>
      </w:r>
    </w:p>
    <w:p w14:paraId="13E55952">
      <w:pPr>
        <w:pStyle w:val="28"/>
        <w:spacing w:after="0" w:line="360" w:lineRule="auto"/>
        <w:ind w:firstLine="480"/>
        <w:rPr>
          <w:rFonts w:ascii="宋体" w:hAnsi="宋体" w:cs="宋体"/>
          <w:color w:val="000000" w:themeColor="text1"/>
        </w:rPr>
      </w:pPr>
    </w:p>
    <w:p w14:paraId="561C871A">
      <w:pPr>
        <w:pStyle w:val="28"/>
        <w:spacing w:after="0" w:line="360" w:lineRule="auto"/>
        <w:ind w:firstLine="480"/>
        <w:rPr>
          <w:rFonts w:ascii="宋体" w:hAnsi="宋体" w:cs="宋体"/>
          <w:color w:val="000000" w:themeColor="text1"/>
        </w:rPr>
      </w:pPr>
    </w:p>
    <w:p w14:paraId="2CD6A8D8">
      <w:pPr>
        <w:pStyle w:val="14"/>
        <w:snapToGrid w:val="0"/>
        <w:spacing w:line="360" w:lineRule="auto"/>
        <w:rPr>
          <w:rFonts w:hAnsi="宋体" w:cs="宋体"/>
          <w:color w:val="000000" w:themeColor="text1"/>
          <w:sz w:val="24"/>
        </w:rPr>
      </w:pPr>
      <w:r>
        <w:rPr>
          <w:rFonts w:hint="eastAsia" w:hAnsi="宋体" w:cs="宋体"/>
          <w:color w:val="000000" w:themeColor="text1"/>
          <w:sz w:val="24"/>
        </w:rPr>
        <w:t xml:space="preserve">合同鉴证方： 龙游久圆工程管理有限公司 </w:t>
      </w:r>
    </w:p>
    <w:p w14:paraId="6934DD76">
      <w:pPr>
        <w:pStyle w:val="14"/>
        <w:snapToGrid w:val="0"/>
        <w:spacing w:line="360" w:lineRule="auto"/>
        <w:rPr>
          <w:b/>
          <w:color w:val="000000" w:themeColor="text1"/>
          <w:sz w:val="44"/>
          <w:szCs w:val="20"/>
        </w:rPr>
      </w:pPr>
      <w:r>
        <w:rPr>
          <w:rFonts w:hint="eastAsia" w:hAnsi="宋体" w:cs="宋体"/>
          <w:color w:val="000000" w:themeColor="text1"/>
          <w:sz w:val="24"/>
        </w:rPr>
        <w:t>鉴证日期：</w:t>
      </w:r>
      <w:r>
        <w:rPr>
          <w:rFonts w:hint="eastAsia" w:hAnsi="宋体" w:cs="宋体"/>
          <w:color w:val="000000" w:themeColor="text1"/>
          <w:sz w:val="24"/>
          <w:lang w:val="zh-CN"/>
        </w:rPr>
        <w:t xml:space="preserve">    年  月  日</w:t>
      </w:r>
      <w:r>
        <w:rPr>
          <w:color w:val="000000" w:themeColor="text1"/>
        </w:rPr>
        <w:br w:type="page"/>
      </w:r>
    </w:p>
    <w:p w14:paraId="27751899">
      <w:pPr>
        <w:spacing w:line="560" w:lineRule="exact"/>
        <w:ind w:firstLine="480"/>
        <w:rPr>
          <w:rFonts w:ascii="宋体" w:hAnsi="宋体"/>
        </w:rPr>
      </w:pPr>
      <w:r>
        <w:rPr>
          <w:rFonts w:hint="eastAsia" w:ascii="宋体" w:hAnsi="宋体"/>
        </w:rPr>
        <w:t>附件：</w:t>
      </w:r>
    </w:p>
    <w:p w14:paraId="772D0A16">
      <w:pPr>
        <w:pStyle w:val="4"/>
        <w:jc w:val="center"/>
      </w:pPr>
      <w:bookmarkStart w:id="220" w:name="_Toc32009"/>
      <w:r>
        <w:rPr>
          <w:rFonts w:hint="eastAsia"/>
        </w:rPr>
        <w:t>龙游县公安局交通警察大队食堂管理考核办法</w:t>
      </w:r>
      <w:bookmarkEnd w:id="220"/>
    </w:p>
    <w:p w14:paraId="2B11D6F1">
      <w:pPr>
        <w:ind w:firstLine="480"/>
      </w:pPr>
      <w:r>
        <w:rPr>
          <w:rFonts w:hint="eastAsia"/>
        </w:rPr>
        <w:t>为进一步加强对食堂工作的管理，确保饮食安全，更好地为民警、职工提供优质、规范的服务，现结合实际制定本考核办法：</w:t>
      </w:r>
    </w:p>
    <w:p w14:paraId="12645E2A">
      <w:pPr>
        <w:ind w:firstLine="482"/>
      </w:pPr>
      <w:r>
        <w:rPr>
          <w:rFonts w:hint="eastAsia"/>
          <w:b/>
          <w:bCs/>
        </w:rPr>
        <w:t>一、考核人员组成</w:t>
      </w:r>
    </w:p>
    <w:p w14:paraId="2B16248C">
      <w:pPr>
        <w:ind w:firstLine="480"/>
      </w:pPr>
      <w:r>
        <w:rPr>
          <w:rFonts w:hint="eastAsia"/>
        </w:rPr>
        <w:t>由食堂管理委员会成员及民警、职工代表参加。</w:t>
      </w:r>
    </w:p>
    <w:p w14:paraId="4B71B25F">
      <w:pPr>
        <w:ind w:firstLine="482"/>
      </w:pPr>
      <w:r>
        <w:rPr>
          <w:rFonts w:hint="eastAsia"/>
          <w:b/>
          <w:bCs/>
        </w:rPr>
        <w:t>二、考核范围</w:t>
      </w:r>
    </w:p>
    <w:p w14:paraId="4B3649DA">
      <w:pPr>
        <w:ind w:firstLine="480"/>
      </w:pPr>
      <w:r>
        <w:rPr>
          <w:rFonts w:hint="eastAsia"/>
        </w:rPr>
        <w:t>1、食堂日常工作考核：包括响应程度、菜肴质量、服务质量、食品安全与环境卫生、食堂管理等（见附表一）。</w:t>
      </w:r>
    </w:p>
    <w:p w14:paraId="429D0D2F">
      <w:pPr>
        <w:ind w:firstLine="480"/>
      </w:pPr>
      <w:r>
        <w:rPr>
          <w:rFonts w:hint="eastAsia"/>
        </w:rPr>
        <w:t>2、食堂满意度调查：包括饭菜质量、服务态度、卫生状况、饭菜分量等（见附表二）。</w:t>
      </w:r>
    </w:p>
    <w:p w14:paraId="414B9508">
      <w:pPr>
        <w:ind w:firstLine="482"/>
      </w:pPr>
      <w:r>
        <w:rPr>
          <w:rFonts w:hint="eastAsia"/>
          <w:b/>
          <w:bCs/>
        </w:rPr>
        <w:t>三、考核办法</w:t>
      </w:r>
    </w:p>
    <w:p w14:paraId="1E0A088A">
      <w:pPr>
        <w:ind w:firstLine="480"/>
      </w:pPr>
      <w:r>
        <w:rPr>
          <w:rFonts w:hint="eastAsia"/>
        </w:rPr>
        <w:t>1、定期考核：每月组织一次食堂管理考核，食堂管理委员会成员到食堂实际检查，并对照《食堂管理考核细则》量化打分；每季度组织一次食堂满意度调查，就餐人员代表填写《食堂满意度调查表》进行打分。</w:t>
      </w:r>
    </w:p>
    <w:p w14:paraId="706B1A43">
      <w:pPr>
        <w:ind w:firstLine="480"/>
      </w:pPr>
      <w:r>
        <w:rPr>
          <w:rFonts w:hint="eastAsia"/>
        </w:rPr>
        <w:t>2、不定期考核：根据就餐员工意见，由食堂管理委员会牵头，随时对食堂工作进行检查。</w:t>
      </w:r>
    </w:p>
    <w:p w14:paraId="1AFCEFD2">
      <w:pPr>
        <w:ind w:firstLine="482"/>
      </w:pPr>
      <w:r>
        <w:rPr>
          <w:rFonts w:hint="eastAsia"/>
          <w:b/>
          <w:bCs/>
        </w:rPr>
        <w:t>四、考核结果的运用</w:t>
      </w:r>
    </w:p>
    <w:p w14:paraId="208854E6">
      <w:pPr>
        <w:ind w:firstLine="480"/>
      </w:pPr>
      <w:r>
        <w:rPr>
          <w:rFonts w:hint="eastAsia"/>
        </w:rPr>
        <w:t>1、在日常检查考核中，检查结果在80分以下的，对食堂工作人员进行批评教育，并限期整改。中标方应对存在的问题及时落实整改，大队有权要求中标方更换相关人员。</w:t>
      </w:r>
    </w:p>
    <w:p w14:paraId="1A523579">
      <w:pPr>
        <w:ind w:firstLine="480"/>
      </w:pPr>
      <w:r>
        <w:rPr>
          <w:rFonts w:hint="eastAsia"/>
        </w:rPr>
        <w:t>2、在满意度调查考核中，（1）当员工满意度调查低于80分，对食堂工作人员进行警告，并限期整改，中标方应对存在的问题及时落实整改；（2）当员工满意度调查低于70分的对中标方扣除2000元金额的违约金、低于60分的对中标方扣除</w:t>
      </w:r>
      <w:r>
        <w:t>50</w:t>
      </w:r>
      <w:r>
        <w:rPr>
          <w:rFonts w:hint="eastAsia"/>
        </w:rPr>
        <w:t>00元金额的违约金，并责令食堂工作人员对员工所提意见限期整改，中标方应对存在的问题及时落实整改，大队有权要求中标方更换相关人员。</w:t>
      </w:r>
    </w:p>
    <w:p w14:paraId="4102DF9E">
      <w:pPr>
        <w:ind w:firstLine="480"/>
      </w:pPr>
      <w:r>
        <w:rPr>
          <w:rFonts w:hint="eastAsia"/>
        </w:rPr>
        <w:t>3、连续两个月或者半年内累计三次日常检查考核分数低于</w:t>
      </w:r>
      <w:r>
        <w:t>70</w:t>
      </w:r>
      <w:r>
        <w:rPr>
          <w:rFonts w:hint="eastAsia"/>
        </w:rPr>
        <w:t>分的，或者累计两次满意度调查考核，考核分数低于</w:t>
      </w:r>
      <w:r>
        <w:t>6</w:t>
      </w:r>
      <w:r>
        <w:rPr>
          <w:rFonts w:hint="eastAsia"/>
        </w:rPr>
        <w:t>0分的，采购人有权单方面终止合同，并禁止中标人参加</w:t>
      </w:r>
      <w:r>
        <w:rPr>
          <w:rFonts w:hint="eastAsia"/>
          <w:lang w:val="en-US" w:eastAsia="zh-CN"/>
        </w:rPr>
        <w:t>采购人</w:t>
      </w:r>
      <w:r>
        <w:rPr>
          <w:rFonts w:hint="eastAsia"/>
        </w:rPr>
        <w:t>今后组织的类似项目招标。</w:t>
      </w:r>
    </w:p>
    <w:p w14:paraId="2FA627BC">
      <w:pPr>
        <w:ind w:firstLine="480"/>
      </w:pPr>
      <w:r>
        <w:rPr>
          <w:rFonts w:hint="eastAsia"/>
        </w:rPr>
        <w:t>五、本办法自发布之日起实行，由大队食堂管理委员会负责解释。</w:t>
      </w:r>
      <w:r>
        <w:br w:type="page"/>
      </w:r>
    </w:p>
    <w:p w14:paraId="64B79EB9">
      <w:pPr>
        <w:pStyle w:val="4"/>
        <w:jc w:val="center"/>
      </w:pPr>
      <w:bookmarkStart w:id="221" w:name="_Toc16015"/>
      <w:r>
        <w:rPr>
          <w:rFonts w:hint="eastAsia"/>
        </w:rPr>
        <w:t>附表一：食堂管理考核细则</w:t>
      </w:r>
      <w:bookmarkEnd w:id="221"/>
    </w:p>
    <w:tbl>
      <w:tblPr>
        <w:tblStyle w:val="31"/>
        <w:tblW w:w="9798"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780"/>
        <w:gridCol w:w="4110"/>
        <w:gridCol w:w="2370"/>
        <w:gridCol w:w="780"/>
        <w:gridCol w:w="716"/>
      </w:tblGrid>
      <w:tr w14:paraId="3E425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042" w:type="dxa"/>
            <w:vAlign w:val="center"/>
          </w:tcPr>
          <w:p w14:paraId="6FB3C1CD">
            <w:pPr>
              <w:spacing w:line="240" w:lineRule="auto"/>
              <w:ind w:firstLine="0" w:firstLineChars="0"/>
              <w:rPr>
                <w:b/>
                <w:bCs/>
              </w:rPr>
            </w:pPr>
            <w:r>
              <w:rPr>
                <w:rFonts w:hint="eastAsia"/>
                <w:b/>
                <w:bCs/>
              </w:rPr>
              <w:t>项目</w:t>
            </w:r>
          </w:p>
        </w:tc>
        <w:tc>
          <w:tcPr>
            <w:tcW w:w="4890" w:type="dxa"/>
            <w:gridSpan w:val="2"/>
            <w:vAlign w:val="center"/>
          </w:tcPr>
          <w:p w14:paraId="2A27F1FE">
            <w:pPr>
              <w:spacing w:line="240" w:lineRule="auto"/>
              <w:ind w:firstLine="0" w:firstLineChars="0"/>
              <w:rPr>
                <w:b/>
                <w:bCs/>
              </w:rPr>
            </w:pPr>
            <w:r>
              <w:rPr>
                <w:rFonts w:hint="eastAsia"/>
                <w:b/>
                <w:bCs/>
              </w:rPr>
              <w:t>检查具体内容</w:t>
            </w:r>
          </w:p>
        </w:tc>
        <w:tc>
          <w:tcPr>
            <w:tcW w:w="2370" w:type="dxa"/>
            <w:vAlign w:val="center"/>
          </w:tcPr>
          <w:p w14:paraId="6257B4A5">
            <w:pPr>
              <w:spacing w:line="240" w:lineRule="auto"/>
              <w:ind w:firstLine="0" w:firstLineChars="0"/>
              <w:rPr>
                <w:b/>
                <w:bCs/>
              </w:rPr>
            </w:pPr>
            <w:r>
              <w:rPr>
                <w:rFonts w:hint="eastAsia"/>
                <w:b/>
                <w:bCs/>
              </w:rPr>
              <w:t>评分标准</w:t>
            </w:r>
          </w:p>
        </w:tc>
        <w:tc>
          <w:tcPr>
            <w:tcW w:w="780" w:type="dxa"/>
            <w:vAlign w:val="center"/>
          </w:tcPr>
          <w:p w14:paraId="39F667A2">
            <w:pPr>
              <w:spacing w:line="240" w:lineRule="auto"/>
              <w:ind w:firstLine="0" w:firstLineChars="0"/>
              <w:rPr>
                <w:b/>
                <w:bCs/>
              </w:rPr>
            </w:pPr>
            <w:r>
              <w:rPr>
                <w:rFonts w:hint="eastAsia"/>
                <w:b/>
                <w:bCs/>
              </w:rPr>
              <w:t>分值</w:t>
            </w:r>
          </w:p>
        </w:tc>
        <w:tc>
          <w:tcPr>
            <w:tcW w:w="716" w:type="dxa"/>
            <w:vAlign w:val="center"/>
          </w:tcPr>
          <w:p w14:paraId="51763D94">
            <w:pPr>
              <w:spacing w:line="240" w:lineRule="auto"/>
              <w:ind w:firstLine="0" w:firstLineChars="0"/>
              <w:rPr>
                <w:b/>
                <w:bCs/>
              </w:rPr>
            </w:pPr>
            <w:r>
              <w:rPr>
                <w:rFonts w:hint="eastAsia"/>
                <w:b/>
                <w:bCs/>
              </w:rPr>
              <w:t>得分</w:t>
            </w:r>
          </w:p>
        </w:tc>
      </w:tr>
      <w:tr w14:paraId="6EDE0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42" w:type="dxa"/>
            <w:vAlign w:val="center"/>
          </w:tcPr>
          <w:p w14:paraId="663983A8">
            <w:pPr>
              <w:spacing w:line="240" w:lineRule="auto"/>
              <w:ind w:firstLine="0" w:firstLineChars="0"/>
            </w:pPr>
            <w:r>
              <w:rPr>
                <w:rFonts w:hint="eastAsia"/>
              </w:rPr>
              <w:t>响应程度20分</w:t>
            </w:r>
          </w:p>
        </w:tc>
        <w:tc>
          <w:tcPr>
            <w:tcW w:w="4890" w:type="dxa"/>
            <w:gridSpan w:val="2"/>
            <w:vAlign w:val="center"/>
          </w:tcPr>
          <w:p w14:paraId="5C0C81FA">
            <w:pPr>
              <w:spacing w:line="240" w:lineRule="auto"/>
              <w:ind w:firstLine="0" w:firstLineChars="0"/>
            </w:pPr>
            <w:r>
              <w:rPr>
                <w:rFonts w:hint="eastAsia"/>
              </w:rPr>
              <w:t>1.遇到突发情况时能迅速、及时响应，无条件保质保量完成任务；</w:t>
            </w:r>
          </w:p>
          <w:p w14:paraId="3CCD5E2B">
            <w:pPr>
              <w:spacing w:line="240" w:lineRule="auto"/>
              <w:ind w:firstLine="0" w:firstLineChars="0"/>
            </w:pPr>
            <w:r>
              <w:rPr>
                <w:rFonts w:hint="eastAsia"/>
              </w:rPr>
              <w:t>2.遇到大型活动就餐保障任务时，能高效响应，无条件保质保量完成任务。</w:t>
            </w:r>
          </w:p>
        </w:tc>
        <w:tc>
          <w:tcPr>
            <w:tcW w:w="2370" w:type="dxa"/>
            <w:vAlign w:val="center"/>
          </w:tcPr>
          <w:p w14:paraId="3F306F1A">
            <w:pPr>
              <w:spacing w:line="240" w:lineRule="auto"/>
              <w:ind w:firstLine="0" w:firstLineChars="0"/>
            </w:pPr>
            <w:r>
              <w:rPr>
                <w:rFonts w:hint="eastAsia"/>
              </w:rPr>
              <w:t>未能完成的一次扣1-5分；完成质量不高的一次扣1-3分</w:t>
            </w:r>
          </w:p>
        </w:tc>
        <w:tc>
          <w:tcPr>
            <w:tcW w:w="780" w:type="dxa"/>
            <w:vAlign w:val="center"/>
          </w:tcPr>
          <w:p w14:paraId="4EAE92D6">
            <w:pPr>
              <w:spacing w:line="240" w:lineRule="auto"/>
              <w:ind w:firstLine="0" w:firstLineChars="0"/>
            </w:pPr>
            <w:r>
              <w:rPr>
                <w:rFonts w:hint="eastAsia"/>
              </w:rPr>
              <w:t>20</w:t>
            </w:r>
          </w:p>
        </w:tc>
        <w:tc>
          <w:tcPr>
            <w:tcW w:w="716" w:type="dxa"/>
            <w:vAlign w:val="center"/>
          </w:tcPr>
          <w:p w14:paraId="6E55B47F">
            <w:pPr>
              <w:spacing w:line="240" w:lineRule="auto"/>
              <w:ind w:firstLine="0" w:firstLineChars="0"/>
            </w:pPr>
          </w:p>
        </w:tc>
      </w:tr>
      <w:tr w14:paraId="75E3F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042" w:type="dxa"/>
            <w:vMerge w:val="restart"/>
            <w:vAlign w:val="center"/>
          </w:tcPr>
          <w:p w14:paraId="611055B1">
            <w:pPr>
              <w:spacing w:line="240" w:lineRule="auto"/>
              <w:ind w:firstLine="0" w:firstLineChars="0"/>
            </w:pPr>
            <w:r>
              <w:rPr>
                <w:rFonts w:hint="eastAsia"/>
              </w:rPr>
              <w:t>菜肴质量20分</w:t>
            </w:r>
          </w:p>
        </w:tc>
        <w:tc>
          <w:tcPr>
            <w:tcW w:w="780" w:type="dxa"/>
            <w:vAlign w:val="center"/>
          </w:tcPr>
          <w:p w14:paraId="41179D6A">
            <w:pPr>
              <w:spacing w:line="240" w:lineRule="auto"/>
              <w:ind w:firstLine="0" w:firstLineChars="0"/>
            </w:pPr>
            <w:r>
              <w:rPr>
                <w:rFonts w:hint="eastAsia"/>
              </w:rPr>
              <w:t>基本质量</w:t>
            </w:r>
          </w:p>
        </w:tc>
        <w:tc>
          <w:tcPr>
            <w:tcW w:w="4110" w:type="dxa"/>
          </w:tcPr>
          <w:p w14:paraId="37107382">
            <w:pPr>
              <w:spacing w:line="240" w:lineRule="auto"/>
              <w:ind w:firstLine="0" w:firstLineChars="0"/>
            </w:pPr>
            <w:r>
              <w:rPr>
                <w:rFonts w:hint="eastAsia"/>
              </w:rPr>
              <w:t>1.饭菜不热或口感较差（过老、过生）现象；</w:t>
            </w:r>
          </w:p>
          <w:p w14:paraId="155C9956">
            <w:pPr>
              <w:spacing w:line="240" w:lineRule="auto"/>
              <w:ind w:firstLine="0" w:firstLineChars="0"/>
            </w:pPr>
            <w:r>
              <w:rPr>
                <w:rFonts w:hint="eastAsia"/>
              </w:rPr>
              <w:t>2.饭菜内发现异物、杂物；</w:t>
            </w:r>
          </w:p>
          <w:p w14:paraId="2BC1A659">
            <w:pPr>
              <w:spacing w:line="240" w:lineRule="auto"/>
              <w:ind w:firstLine="0" w:firstLineChars="0"/>
            </w:pPr>
            <w:r>
              <w:rPr>
                <w:rFonts w:hint="eastAsia"/>
              </w:rPr>
              <w:t>3.供应隔夜饭菜。</w:t>
            </w:r>
          </w:p>
        </w:tc>
        <w:tc>
          <w:tcPr>
            <w:tcW w:w="2370" w:type="dxa"/>
            <w:vAlign w:val="center"/>
          </w:tcPr>
          <w:p w14:paraId="056B8530">
            <w:pPr>
              <w:spacing w:line="240" w:lineRule="auto"/>
              <w:ind w:firstLine="0" w:firstLineChars="0"/>
            </w:pPr>
            <w:r>
              <w:rPr>
                <w:rFonts w:hint="eastAsia"/>
              </w:rPr>
              <w:t>发现一次或者有人举报（经核实后）扣1分</w:t>
            </w:r>
          </w:p>
        </w:tc>
        <w:tc>
          <w:tcPr>
            <w:tcW w:w="780" w:type="dxa"/>
            <w:vMerge w:val="restart"/>
            <w:vAlign w:val="center"/>
          </w:tcPr>
          <w:p w14:paraId="495EE565">
            <w:pPr>
              <w:spacing w:line="240" w:lineRule="auto"/>
              <w:ind w:firstLine="0" w:firstLineChars="0"/>
            </w:pPr>
            <w:r>
              <w:rPr>
                <w:rFonts w:hint="eastAsia"/>
              </w:rPr>
              <w:t>20</w:t>
            </w:r>
          </w:p>
        </w:tc>
        <w:tc>
          <w:tcPr>
            <w:tcW w:w="716" w:type="dxa"/>
            <w:vAlign w:val="center"/>
          </w:tcPr>
          <w:p w14:paraId="71CFB7C4">
            <w:pPr>
              <w:spacing w:line="240" w:lineRule="auto"/>
              <w:ind w:firstLine="0" w:firstLineChars="0"/>
            </w:pPr>
          </w:p>
        </w:tc>
      </w:tr>
      <w:tr w14:paraId="44ED9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042" w:type="dxa"/>
            <w:vMerge w:val="continue"/>
            <w:vAlign w:val="center"/>
          </w:tcPr>
          <w:p w14:paraId="3F9437A7">
            <w:pPr>
              <w:spacing w:line="240" w:lineRule="auto"/>
              <w:ind w:firstLine="0" w:firstLineChars="0"/>
            </w:pPr>
          </w:p>
        </w:tc>
        <w:tc>
          <w:tcPr>
            <w:tcW w:w="780" w:type="dxa"/>
            <w:vAlign w:val="center"/>
          </w:tcPr>
          <w:p w14:paraId="4BB9E958">
            <w:pPr>
              <w:spacing w:line="240" w:lineRule="auto"/>
              <w:ind w:firstLine="0" w:firstLineChars="0"/>
            </w:pPr>
            <w:r>
              <w:rPr>
                <w:rFonts w:hint="eastAsia"/>
              </w:rPr>
              <w:t>口味</w:t>
            </w:r>
          </w:p>
        </w:tc>
        <w:tc>
          <w:tcPr>
            <w:tcW w:w="4110" w:type="dxa"/>
            <w:vAlign w:val="center"/>
          </w:tcPr>
          <w:p w14:paraId="3EE768CC">
            <w:pPr>
              <w:spacing w:line="240" w:lineRule="auto"/>
              <w:ind w:firstLine="0" w:firstLineChars="0"/>
            </w:pPr>
            <w:r>
              <w:rPr>
                <w:rFonts w:hint="eastAsia"/>
              </w:rPr>
              <w:t>1.实际饭菜是否与菜谱吻合；</w:t>
            </w:r>
          </w:p>
          <w:p w14:paraId="433A8B10">
            <w:pPr>
              <w:spacing w:line="240" w:lineRule="auto"/>
              <w:ind w:firstLine="0" w:firstLineChars="0"/>
            </w:pPr>
            <w:r>
              <w:rPr>
                <w:rFonts w:hint="eastAsia"/>
              </w:rPr>
              <w:t>2.菜谱单一，缺乏变化；</w:t>
            </w:r>
          </w:p>
          <w:p w14:paraId="0D9D1B78">
            <w:pPr>
              <w:spacing w:line="240" w:lineRule="auto"/>
              <w:ind w:firstLine="0" w:firstLineChars="0"/>
            </w:pPr>
            <w:r>
              <w:rPr>
                <w:rFonts w:hint="eastAsia"/>
              </w:rPr>
              <w:t>3.菜品不可口，厨艺不精。</w:t>
            </w:r>
          </w:p>
        </w:tc>
        <w:tc>
          <w:tcPr>
            <w:tcW w:w="2370" w:type="dxa"/>
            <w:vAlign w:val="center"/>
          </w:tcPr>
          <w:p w14:paraId="4AF4EDFE">
            <w:pPr>
              <w:spacing w:line="240" w:lineRule="auto"/>
              <w:ind w:firstLine="0" w:firstLineChars="0"/>
            </w:pPr>
            <w:r>
              <w:rPr>
                <w:rFonts w:hint="eastAsia"/>
              </w:rPr>
              <w:t>实际饭菜与菜谱不吻合，一次扣1分；菜品口感不佳，反映强烈的，一次扣2分。</w:t>
            </w:r>
          </w:p>
        </w:tc>
        <w:tc>
          <w:tcPr>
            <w:tcW w:w="780" w:type="dxa"/>
            <w:vMerge w:val="continue"/>
            <w:vAlign w:val="center"/>
          </w:tcPr>
          <w:p w14:paraId="1ABF4000">
            <w:pPr>
              <w:spacing w:line="240" w:lineRule="auto"/>
              <w:ind w:firstLine="0" w:firstLineChars="0"/>
            </w:pPr>
          </w:p>
        </w:tc>
        <w:tc>
          <w:tcPr>
            <w:tcW w:w="716" w:type="dxa"/>
            <w:vAlign w:val="center"/>
          </w:tcPr>
          <w:p w14:paraId="38B5EF2A">
            <w:pPr>
              <w:spacing w:line="240" w:lineRule="auto"/>
              <w:ind w:firstLine="0" w:firstLineChars="0"/>
            </w:pPr>
          </w:p>
        </w:tc>
      </w:tr>
      <w:tr w14:paraId="6BAED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1042" w:type="dxa"/>
            <w:vMerge w:val="restart"/>
            <w:vAlign w:val="center"/>
          </w:tcPr>
          <w:p w14:paraId="14EC15E7">
            <w:pPr>
              <w:spacing w:line="240" w:lineRule="auto"/>
              <w:ind w:firstLine="0" w:firstLineChars="0"/>
            </w:pPr>
            <w:r>
              <w:rPr>
                <w:rFonts w:hint="eastAsia"/>
              </w:rPr>
              <w:t>服务质量10分</w:t>
            </w:r>
          </w:p>
        </w:tc>
        <w:tc>
          <w:tcPr>
            <w:tcW w:w="780" w:type="dxa"/>
            <w:vAlign w:val="center"/>
          </w:tcPr>
          <w:p w14:paraId="57BC54A4">
            <w:pPr>
              <w:spacing w:line="240" w:lineRule="auto"/>
              <w:ind w:firstLine="0" w:firstLineChars="0"/>
            </w:pPr>
            <w:r>
              <w:rPr>
                <w:rFonts w:hint="eastAsia"/>
              </w:rPr>
              <w:t>仪容仪表</w:t>
            </w:r>
          </w:p>
        </w:tc>
        <w:tc>
          <w:tcPr>
            <w:tcW w:w="4110" w:type="dxa"/>
          </w:tcPr>
          <w:p w14:paraId="4FA99B3D">
            <w:pPr>
              <w:spacing w:line="240" w:lineRule="auto"/>
              <w:ind w:firstLine="0" w:firstLineChars="0"/>
            </w:pPr>
            <w:r>
              <w:rPr>
                <w:rFonts w:hint="eastAsia"/>
              </w:rPr>
              <w:t>1.员工工作期间需着整洁干净的工作服；</w:t>
            </w:r>
          </w:p>
          <w:p w14:paraId="20706FDE">
            <w:pPr>
              <w:spacing w:line="240" w:lineRule="auto"/>
              <w:ind w:firstLine="0" w:firstLineChars="0"/>
            </w:pPr>
            <w:r>
              <w:rPr>
                <w:rFonts w:hint="eastAsia"/>
              </w:rPr>
              <w:t>2.员工必须保持整洁，手、腕部不允许佩戴首饰、双手干净；</w:t>
            </w:r>
          </w:p>
          <w:p w14:paraId="2BED244E">
            <w:pPr>
              <w:spacing w:line="240" w:lineRule="auto"/>
              <w:ind w:firstLine="0" w:firstLineChars="0"/>
            </w:pPr>
            <w:r>
              <w:rPr>
                <w:rFonts w:hint="eastAsia"/>
              </w:rPr>
              <w:t>3.食堂工作区、用餐区禁止吸烟；</w:t>
            </w:r>
          </w:p>
          <w:p w14:paraId="52646846">
            <w:pPr>
              <w:spacing w:line="240" w:lineRule="auto"/>
              <w:ind w:firstLine="0" w:firstLineChars="0"/>
            </w:pPr>
            <w:r>
              <w:rPr>
                <w:rFonts w:hint="eastAsia"/>
              </w:rPr>
              <w:t>4.供应食品时不能用手直接接触食品；</w:t>
            </w:r>
          </w:p>
          <w:p w14:paraId="4FF58182">
            <w:pPr>
              <w:spacing w:line="240" w:lineRule="auto"/>
              <w:ind w:firstLine="0" w:firstLineChars="0"/>
            </w:pPr>
            <w:r>
              <w:rPr>
                <w:rFonts w:hint="eastAsia"/>
              </w:rPr>
              <w:t>5.员工工作期间需佩戴口罩和帽子。</w:t>
            </w:r>
          </w:p>
          <w:p w14:paraId="55E7A3A0">
            <w:pPr>
              <w:spacing w:line="240" w:lineRule="auto"/>
              <w:ind w:firstLine="0" w:firstLineChars="0"/>
            </w:pPr>
            <w:r>
              <w:rPr>
                <w:rFonts w:hint="eastAsia"/>
              </w:rPr>
              <w:t>6.员工按照《人员配置》表配置（包括年龄、资格证要求）</w:t>
            </w:r>
          </w:p>
        </w:tc>
        <w:tc>
          <w:tcPr>
            <w:tcW w:w="2370" w:type="dxa"/>
            <w:vAlign w:val="center"/>
          </w:tcPr>
          <w:p w14:paraId="73D3C5DB">
            <w:pPr>
              <w:spacing w:line="240" w:lineRule="auto"/>
              <w:ind w:firstLine="0" w:firstLineChars="0"/>
            </w:pPr>
            <w:r>
              <w:rPr>
                <w:rFonts w:hint="eastAsia"/>
              </w:rPr>
              <w:t>发现一次扣1分</w:t>
            </w:r>
          </w:p>
        </w:tc>
        <w:tc>
          <w:tcPr>
            <w:tcW w:w="780" w:type="dxa"/>
            <w:vMerge w:val="restart"/>
            <w:vAlign w:val="center"/>
          </w:tcPr>
          <w:p w14:paraId="4D4D96C2">
            <w:pPr>
              <w:spacing w:line="240" w:lineRule="auto"/>
              <w:ind w:firstLine="0" w:firstLineChars="0"/>
            </w:pPr>
            <w:r>
              <w:rPr>
                <w:rFonts w:hint="eastAsia"/>
              </w:rPr>
              <w:t>10</w:t>
            </w:r>
          </w:p>
        </w:tc>
        <w:tc>
          <w:tcPr>
            <w:tcW w:w="716" w:type="dxa"/>
            <w:vMerge w:val="restart"/>
            <w:vAlign w:val="center"/>
          </w:tcPr>
          <w:p w14:paraId="185E16B1">
            <w:pPr>
              <w:spacing w:line="240" w:lineRule="auto"/>
              <w:ind w:firstLine="0" w:firstLineChars="0"/>
            </w:pPr>
          </w:p>
        </w:tc>
      </w:tr>
      <w:tr w14:paraId="53CFC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1042" w:type="dxa"/>
            <w:vMerge w:val="continue"/>
          </w:tcPr>
          <w:p w14:paraId="6F7704D4">
            <w:pPr>
              <w:spacing w:line="240" w:lineRule="auto"/>
              <w:ind w:firstLine="0" w:firstLineChars="0"/>
            </w:pPr>
          </w:p>
        </w:tc>
        <w:tc>
          <w:tcPr>
            <w:tcW w:w="780" w:type="dxa"/>
          </w:tcPr>
          <w:p w14:paraId="45FB6165">
            <w:pPr>
              <w:spacing w:line="240" w:lineRule="auto"/>
              <w:ind w:firstLine="0" w:firstLineChars="0"/>
            </w:pPr>
          </w:p>
          <w:p w14:paraId="2C2A0CB1">
            <w:pPr>
              <w:spacing w:line="240" w:lineRule="auto"/>
              <w:ind w:firstLine="0" w:firstLineChars="0"/>
            </w:pPr>
            <w:r>
              <w:rPr>
                <w:rFonts w:hint="eastAsia"/>
              </w:rPr>
              <w:t>服务</w:t>
            </w:r>
          </w:p>
        </w:tc>
        <w:tc>
          <w:tcPr>
            <w:tcW w:w="4110" w:type="dxa"/>
          </w:tcPr>
          <w:p w14:paraId="281B67AC">
            <w:pPr>
              <w:spacing w:line="240" w:lineRule="auto"/>
              <w:ind w:firstLine="0" w:firstLineChars="0"/>
            </w:pPr>
            <w:r>
              <w:rPr>
                <w:rFonts w:hint="eastAsia"/>
              </w:rPr>
              <w:t>1.食堂服务人员要微笑、文明服务；</w:t>
            </w:r>
          </w:p>
          <w:p w14:paraId="71404C74">
            <w:pPr>
              <w:spacing w:line="240" w:lineRule="auto"/>
              <w:ind w:firstLine="0" w:firstLineChars="0"/>
            </w:pPr>
            <w:r>
              <w:rPr>
                <w:rFonts w:hint="eastAsia"/>
              </w:rPr>
              <w:t>2.不得发生吵架、打骂不文明行为；</w:t>
            </w:r>
          </w:p>
          <w:p w14:paraId="1BD589BD">
            <w:pPr>
              <w:spacing w:line="240" w:lineRule="auto"/>
              <w:ind w:firstLine="0" w:firstLineChars="0"/>
            </w:pPr>
            <w:r>
              <w:rPr>
                <w:rFonts w:hint="eastAsia"/>
              </w:rPr>
              <w:t>3.遇到突发情况，不能擅自处置，及时与校方沟通、汇报。</w:t>
            </w:r>
          </w:p>
        </w:tc>
        <w:tc>
          <w:tcPr>
            <w:tcW w:w="2370" w:type="dxa"/>
            <w:vAlign w:val="center"/>
          </w:tcPr>
          <w:p w14:paraId="237434F9">
            <w:pPr>
              <w:spacing w:line="240" w:lineRule="auto"/>
              <w:ind w:firstLine="0" w:firstLineChars="0"/>
            </w:pPr>
            <w:r>
              <w:rPr>
                <w:rFonts w:hint="eastAsia"/>
              </w:rPr>
              <w:t>发现一次扣2分</w:t>
            </w:r>
          </w:p>
        </w:tc>
        <w:tc>
          <w:tcPr>
            <w:tcW w:w="780" w:type="dxa"/>
            <w:vMerge w:val="continue"/>
            <w:vAlign w:val="center"/>
          </w:tcPr>
          <w:p w14:paraId="049BA0EF">
            <w:pPr>
              <w:spacing w:line="240" w:lineRule="auto"/>
              <w:ind w:firstLine="0" w:firstLineChars="0"/>
            </w:pPr>
          </w:p>
        </w:tc>
        <w:tc>
          <w:tcPr>
            <w:tcW w:w="716" w:type="dxa"/>
            <w:vMerge w:val="continue"/>
            <w:vAlign w:val="center"/>
          </w:tcPr>
          <w:p w14:paraId="173E73A0">
            <w:pPr>
              <w:spacing w:line="240" w:lineRule="auto"/>
              <w:ind w:firstLine="0" w:firstLineChars="0"/>
            </w:pPr>
          </w:p>
        </w:tc>
      </w:tr>
      <w:tr w14:paraId="0FEDE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1042" w:type="dxa"/>
            <w:vMerge w:val="restart"/>
            <w:vAlign w:val="center"/>
          </w:tcPr>
          <w:p w14:paraId="3987800F">
            <w:pPr>
              <w:spacing w:line="240" w:lineRule="auto"/>
              <w:ind w:firstLine="0" w:firstLineChars="0"/>
            </w:pPr>
            <w:r>
              <w:rPr>
                <w:rFonts w:hint="eastAsia"/>
              </w:rPr>
              <w:t>食品安全与环境卫生</w:t>
            </w:r>
          </w:p>
          <w:p w14:paraId="3E92B6D6">
            <w:pPr>
              <w:spacing w:line="240" w:lineRule="auto"/>
              <w:ind w:firstLine="0" w:firstLineChars="0"/>
            </w:pPr>
            <w:r>
              <w:rPr>
                <w:rFonts w:hint="eastAsia"/>
              </w:rPr>
              <w:t>40分</w:t>
            </w:r>
          </w:p>
        </w:tc>
        <w:tc>
          <w:tcPr>
            <w:tcW w:w="780" w:type="dxa"/>
            <w:vAlign w:val="center"/>
          </w:tcPr>
          <w:p w14:paraId="392DDB89">
            <w:pPr>
              <w:spacing w:line="240" w:lineRule="auto"/>
              <w:ind w:firstLine="0" w:firstLineChars="0"/>
            </w:pPr>
            <w:r>
              <w:rPr>
                <w:rFonts w:hint="eastAsia"/>
              </w:rPr>
              <w:t>制作</w:t>
            </w:r>
          </w:p>
        </w:tc>
        <w:tc>
          <w:tcPr>
            <w:tcW w:w="4110" w:type="dxa"/>
          </w:tcPr>
          <w:p w14:paraId="61D580CB">
            <w:pPr>
              <w:spacing w:line="240" w:lineRule="auto"/>
              <w:ind w:firstLine="0" w:firstLineChars="0"/>
            </w:pPr>
            <w:r>
              <w:rPr>
                <w:rFonts w:hint="eastAsia"/>
              </w:rPr>
              <w:t>1.原料、半成品、成品的加工，存放及使用容器是否存在交叉污染并有明显的区分标志；</w:t>
            </w:r>
          </w:p>
          <w:p w14:paraId="308ACFBF">
            <w:pPr>
              <w:spacing w:line="240" w:lineRule="auto"/>
              <w:ind w:firstLine="0" w:firstLineChars="0"/>
            </w:pPr>
            <w:r>
              <w:rPr>
                <w:rFonts w:hint="eastAsia"/>
              </w:rPr>
              <w:t>2.生熟食品分开；</w:t>
            </w:r>
          </w:p>
          <w:p w14:paraId="59E33877">
            <w:pPr>
              <w:spacing w:line="240" w:lineRule="auto"/>
              <w:ind w:firstLine="0" w:firstLineChars="0"/>
            </w:pPr>
            <w:r>
              <w:rPr>
                <w:rFonts w:hint="eastAsia"/>
              </w:rPr>
              <w:t>3.食品存放分类分架；</w:t>
            </w:r>
          </w:p>
          <w:p w14:paraId="5544CBD2">
            <w:pPr>
              <w:spacing w:line="240" w:lineRule="auto"/>
              <w:ind w:firstLine="0" w:firstLineChars="0"/>
            </w:pPr>
            <w:r>
              <w:rPr>
                <w:rFonts w:hint="eastAsia"/>
              </w:rPr>
              <w:t>4.无过期、变质食品原材料。</w:t>
            </w:r>
          </w:p>
        </w:tc>
        <w:tc>
          <w:tcPr>
            <w:tcW w:w="2370" w:type="dxa"/>
            <w:vAlign w:val="center"/>
          </w:tcPr>
          <w:p w14:paraId="48F34C55">
            <w:pPr>
              <w:spacing w:line="240" w:lineRule="auto"/>
              <w:ind w:firstLine="0" w:firstLineChars="0"/>
            </w:pPr>
            <w:r>
              <w:rPr>
                <w:rFonts w:hint="eastAsia"/>
              </w:rPr>
              <w:t>发现一处扣2-3分</w:t>
            </w:r>
          </w:p>
        </w:tc>
        <w:tc>
          <w:tcPr>
            <w:tcW w:w="780" w:type="dxa"/>
            <w:vAlign w:val="center"/>
          </w:tcPr>
          <w:p w14:paraId="37D42525">
            <w:pPr>
              <w:spacing w:line="240" w:lineRule="auto"/>
              <w:ind w:firstLine="0" w:firstLineChars="0"/>
            </w:pPr>
            <w:r>
              <w:rPr>
                <w:rFonts w:hint="eastAsia"/>
              </w:rPr>
              <w:t>10</w:t>
            </w:r>
          </w:p>
        </w:tc>
        <w:tc>
          <w:tcPr>
            <w:tcW w:w="716" w:type="dxa"/>
            <w:vAlign w:val="center"/>
          </w:tcPr>
          <w:p w14:paraId="53A0FEA2">
            <w:pPr>
              <w:spacing w:line="240" w:lineRule="auto"/>
              <w:ind w:firstLine="0" w:firstLineChars="0"/>
            </w:pPr>
          </w:p>
        </w:tc>
      </w:tr>
      <w:tr w14:paraId="147F8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042" w:type="dxa"/>
            <w:vMerge w:val="continue"/>
          </w:tcPr>
          <w:p w14:paraId="7756F315">
            <w:pPr>
              <w:spacing w:line="240" w:lineRule="auto"/>
              <w:ind w:firstLine="0" w:firstLineChars="0"/>
            </w:pPr>
          </w:p>
        </w:tc>
        <w:tc>
          <w:tcPr>
            <w:tcW w:w="780" w:type="dxa"/>
            <w:vAlign w:val="center"/>
          </w:tcPr>
          <w:p w14:paraId="0FE71446">
            <w:pPr>
              <w:spacing w:line="240" w:lineRule="auto"/>
              <w:ind w:firstLine="0" w:firstLineChars="0"/>
            </w:pPr>
            <w:r>
              <w:rPr>
                <w:rFonts w:hint="eastAsia"/>
              </w:rPr>
              <w:t>厨房</w:t>
            </w:r>
          </w:p>
        </w:tc>
        <w:tc>
          <w:tcPr>
            <w:tcW w:w="4110" w:type="dxa"/>
          </w:tcPr>
          <w:p w14:paraId="283085B9">
            <w:pPr>
              <w:spacing w:line="240" w:lineRule="auto"/>
              <w:ind w:firstLine="0" w:firstLineChars="0"/>
            </w:pPr>
            <w:r>
              <w:rPr>
                <w:rFonts w:hint="eastAsia"/>
              </w:rPr>
              <w:t>1.灯管、风扇、抽烟机、排风扇、墙壁、抽烟机干净；无油污、灰尘、蜘蛛网；</w:t>
            </w:r>
          </w:p>
          <w:p w14:paraId="4B63D861">
            <w:pPr>
              <w:spacing w:line="240" w:lineRule="auto"/>
              <w:ind w:firstLine="0" w:firstLineChars="0"/>
            </w:pPr>
            <w:r>
              <w:rPr>
                <w:rFonts w:hint="eastAsia"/>
              </w:rPr>
              <w:t>2.各种蒸饭、煲汤炉具整洁、里外干净光亮、饭盘无饭粒；</w:t>
            </w:r>
          </w:p>
          <w:p w14:paraId="4778C147">
            <w:pPr>
              <w:spacing w:line="240" w:lineRule="auto"/>
              <w:ind w:firstLine="0" w:firstLineChars="0"/>
            </w:pPr>
            <w:r>
              <w:rPr>
                <w:rFonts w:hint="eastAsia"/>
              </w:rPr>
              <w:t>3.工作间地面干净、无积水、无杂物；</w:t>
            </w:r>
          </w:p>
          <w:p w14:paraId="4D7708EE">
            <w:pPr>
              <w:spacing w:line="240" w:lineRule="auto"/>
              <w:ind w:firstLine="0" w:firstLineChars="0"/>
            </w:pPr>
            <w:r>
              <w:rPr>
                <w:rFonts w:hint="eastAsia"/>
              </w:rPr>
              <w:t>4.货架经常擦拭，保持干净，各种刀具手套摆放整齐；</w:t>
            </w:r>
          </w:p>
          <w:p w14:paraId="5CBF9708">
            <w:pPr>
              <w:spacing w:line="240" w:lineRule="auto"/>
              <w:ind w:firstLine="0" w:firstLineChars="0"/>
            </w:pPr>
            <w:r>
              <w:rPr>
                <w:rFonts w:hint="eastAsia"/>
              </w:rPr>
              <w:t>5.操作台、灶台及售饭台干净整洁；</w:t>
            </w:r>
          </w:p>
          <w:p w14:paraId="07BAB811">
            <w:pPr>
              <w:spacing w:line="240" w:lineRule="auto"/>
              <w:ind w:firstLine="0" w:firstLineChars="0"/>
            </w:pPr>
            <w:r>
              <w:rPr>
                <w:rFonts w:hint="eastAsia"/>
              </w:rPr>
              <w:t>6.洗菜池、餐具、热食容器定期消毒并保持清洁，做到“一洗二净三冲四消毒”；</w:t>
            </w:r>
          </w:p>
          <w:p w14:paraId="269C8988">
            <w:pPr>
              <w:spacing w:line="240" w:lineRule="auto"/>
              <w:ind w:firstLine="0" w:firstLineChars="0"/>
            </w:pPr>
            <w:r>
              <w:rPr>
                <w:rFonts w:hint="eastAsia"/>
              </w:rPr>
              <w:t>7.各种机器设备保持整洁，标识清晰。</w:t>
            </w:r>
          </w:p>
        </w:tc>
        <w:tc>
          <w:tcPr>
            <w:tcW w:w="2370" w:type="dxa"/>
            <w:vAlign w:val="center"/>
          </w:tcPr>
          <w:p w14:paraId="02A10458">
            <w:pPr>
              <w:spacing w:line="240" w:lineRule="auto"/>
              <w:ind w:firstLine="0" w:firstLineChars="0"/>
            </w:pPr>
            <w:r>
              <w:rPr>
                <w:rFonts w:hint="eastAsia"/>
              </w:rPr>
              <w:t>发现一处不清洁扣1分；无消毒扣2分；不按食品安全工作规定执行扣一次扣3分。</w:t>
            </w:r>
          </w:p>
        </w:tc>
        <w:tc>
          <w:tcPr>
            <w:tcW w:w="780" w:type="dxa"/>
            <w:vAlign w:val="center"/>
          </w:tcPr>
          <w:p w14:paraId="1CE9D8FD">
            <w:pPr>
              <w:spacing w:line="240" w:lineRule="auto"/>
              <w:ind w:firstLine="0" w:firstLineChars="0"/>
            </w:pPr>
            <w:r>
              <w:rPr>
                <w:rFonts w:hint="eastAsia"/>
              </w:rPr>
              <w:t>20</w:t>
            </w:r>
          </w:p>
        </w:tc>
        <w:tc>
          <w:tcPr>
            <w:tcW w:w="716" w:type="dxa"/>
            <w:vAlign w:val="center"/>
          </w:tcPr>
          <w:p w14:paraId="44689F4E">
            <w:pPr>
              <w:spacing w:line="240" w:lineRule="auto"/>
              <w:ind w:firstLine="0" w:firstLineChars="0"/>
            </w:pPr>
          </w:p>
        </w:tc>
      </w:tr>
      <w:tr w14:paraId="5F64F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042" w:type="dxa"/>
            <w:vMerge w:val="continue"/>
          </w:tcPr>
          <w:p w14:paraId="20629D54">
            <w:pPr>
              <w:spacing w:line="240" w:lineRule="auto"/>
              <w:ind w:firstLine="0" w:firstLineChars="0"/>
            </w:pPr>
          </w:p>
        </w:tc>
        <w:tc>
          <w:tcPr>
            <w:tcW w:w="780" w:type="dxa"/>
            <w:vAlign w:val="center"/>
          </w:tcPr>
          <w:p w14:paraId="58F846E5">
            <w:pPr>
              <w:spacing w:line="240" w:lineRule="auto"/>
              <w:ind w:firstLine="0" w:firstLineChars="0"/>
            </w:pPr>
            <w:r>
              <w:rPr>
                <w:rFonts w:hint="eastAsia"/>
              </w:rPr>
              <w:t>餐厅</w:t>
            </w:r>
          </w:p>
        </w:tc>
        <w:tc>
          <w:tcPr>
            <w:tcW w:w="4110" w:type="dxa"/>
          </w:tcPr>
          <w:p w14:paraId="655C21DB">
            <w:pPr>
              <w:spacing w:line="240" w:lineRule="auto"/>
              <w:ind w:firstLine="0" w:firstLineChars="0"/>
            </w:pPr>
            <w:r>
              <w:rPr>
                <w:rFonts w:hint="eastAsia"/>
              </w:rPr>
              <w:t>1.餐厅地面每日清扫，地面清洁；每月至少对食堂进行一次卫生大扫除；</w:t>
            </w:r>
          </w:p>
          <w:p w14:paraId="03F1F3C4">
            <w:pPr>
              <w:spacing w:line="240" w:lineRule="auto"/>
              <w:ind w:firstLine="0" w:firstLineChars="0"/>
            </w:pPr>
            <w:r>
              <w:rPr>
                <w:rFonts w:hint="eastAsia"/>
              </w:rPr>
              <w:t>2.餐桌摆成一条线，民警就餐期间及时清理，做到干净整洁无污渍；</w:t>
            </w:r>
          </w:p>
          <w:p w14:paraId="61DAA2DD">
            <w:pPr>
              <w:spacing w:line="240" w:lineRule="auto"/>
              <w:ind w:firstLine="0" w:firstLineChars="0"/>
            </w:pPr>
            <w:r>
              <w:rPr>
                <w:rFonts w:hint="eastAsia"/>
              </w:rPr>
              <w:t>3.餐余回收处干燥整洁无残渣。</w:t>
            </w:r>
          </w:p>
        </w:tc>
        <w:tc>
          <w:tcPr>
            <w:tcW w:w="2370" w:type="dxa"/>
            <w:vAlign w:val="center"/>
          </w:tcPr>
          <w:p w14:paraId="5CF3359B">
            <w:pPr>
              <w:spacing w:line="240" w:lineRule="auto"/>
              <w:ind w:firstLine="0" w:firstLineChars="0"/>
            </w:pPr>
            <w:r>
              <w:rPr>
                <w:rFonts w:hint="eastAsia"/>
              </w:rPr>
              <w:t>发现一次扣1分</w:t>
            </w:r>
          </w:p>
        </w:tc>
        <w:tc>
          <w:tcPr>
            <w:tcW w:w="780" w:type="dxa"/>
            <w:vMerge w:val="restart"/>
            <w:vAlign w:val="center"/>
          </w:tcPr>
          <w:p w14:paraId="684DBBC2">
            <w:pPr>
              <w:spacing w:line="240" w:lineRule="auto"/>
              <w:ind w:firstLine="0" w:firstLineChars="0"/>
            </w:pPr>
            <w:r>
              <w:rPr>
                <w:rFonts w:hint="eastAsia"/>
              </w:rPr>
              <w:t>10</w:t>
            </w:r>
          </w:p>
        </w:tc>
        <w:tc>
          <w:tcPr>
            <w:tcW w:w="716" w:type="dxa"/>
            <w:vMerge w:val="restart"/>
            <w:vAlign w:val="center"/>
          </w:tcPr>
          <w:p w14:paraId="412277E2">
            <w:pPr>
              <w:spacing w:line="240" w:lineRule="auto"/>
              <w:ind w:firstLine="0" w:firstLineChars="0"/>
            </w:pPr>
          </w:p>
        </w:tc>
      </w:tr>
      <w:tr w14:paraId="1FEA2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042" w:type="dxa"/>
            <w:vMerge w:val="continue"/>
          </w:tcPr>
          <w:p w14:paraId="1FF048B3">
            <w:pPr>
              <w:spacing w:line="240" w:lineRule="auto"/>
              <w:ind w:firstLine="0" w:firstLineChars="0"/>
            </w:pPr>
          </w:p>
        </w:tc>
        <w:tc>
          <w:tcPr>
            <w:tcW w:w="780" w:type="dxa"/>
            <w:vAlign w:val="center"/>
          </w:tcPr>
          <w:p w14:paraId="511E5A0E">
            <w:pPr>
              <w:spacing w:line="240" w:lineRule="auto"/>
              <w:ind w:firstLine="0" w:firstLineChars="0"/>
            </w:pPr>
            <w:r>
              <w:rPr>
                <w:rFonts w:hint="eastAsia"/>
              </w:rPr>
              <w:t>库房</w:t>
            </w:r>
          </w:p>
        </w:tc>
        <w:tc>
          <w:tcPr>
            <w:tcW w:w="4110" w:type="dxa"/>
          </w:tcPr>
          <w:p w14:paraId="61A8859D">
            <w:pPr>
              <w:spacing w:line="240" w:lineRule="auto"/>
              <w:ind w:firstLine="0" w:firstLineChars="0"/>
            </w:pPr>
            <w:r>
              <w:rPr>
                <w:rFonts w:hint="eastAsia"/>
              </w:rPr>
              <w:t>1.地面保持清洁；</w:t>
            </w:r>
          </w:p>
          <w:p w14:paraId="4A355135">
            <w:pPr>
              <w:spacing w:line="240" w:lineRule="auto"/>
              <w:ind w:firstLine="0" w:firstLineChars="0"/>
            </w:pPr>
            <w:r>
              <w:rPr>
                <w:rFonts w:hint="eastAsia"/>
              </w:rPr>
              <w:t>2.所有食物必须上架，禁止随意摆放；</w:t>
            </w:r>
          </w:p>
          <w:p w14:paraId="5841F204">
            <w:pPr>
              <w:spacing w:line="240" w:lineRule="auto"/>
              <w:ind w:firstLine="0" w:firstLineChars="0"/>
            </w:pPr>
            <w:r>
              <w:rPr>
                <w:rFonts w:hint="eastAsia"/>
              </w:rPr>
              <w:t>3.夏季须保持通风透气，库房无异味，保持蔬菜新鲜；</w:t>
            </w:r>
          </w:p>
          <w:p w14:paraId="36879B14">
            <w:pPr>
              <w:spacing w:line="240" w:lineRule="auto"/>
              <w:ind w:firstLine="0" w:firstLineChars="0"/>
            </w:pPr>
            <w:r>
              <w:rPr>
                <w:rFonts w:hint="eastAsia"/>
              </w:rPr>
              <w:t>4.冰箱责任落实到人，定期做整理、清洗，标志、温控清楚；外表整洁、生熟分开、标识清晰。</w:t>
            </w:r>
          </w:p>
        </w:tc>
        <w:tc>
          <w:tcPr>
            <w:tcW w:w="2370" w:type="dxa"/>
            <w:vAlign w:val="center"/>
          </w:tcPr>
          <w:p w14:paraId="4ED2F7CD">
            <w:pPr>
              <w:spacing w:line="240" w:lineRule="auto"/>
              <w:ind w:firstLine="0" w:firstLineChars="0"/>
            </w:pPr>
            <w:r>
              <w:rPr>
                <w:rFonts w:hint="eastAsia"/>
              </w:rPr>
              <w:t>发现一次扣2分</w:t>
            </w:r>
          </w:p>
        </w:tc>
        <w:tc>
          <w:tcPr>
            <w:tcW w:w="780" w:type="dxa"/>
            <w:vMerge w:val="continue"/>
            <w:vAlign w:val="center"/>
          </w:tcPr>
          <w:p w14:paraId="507E436E">
            <w:pPr>
              <w:spacing w:line="240" w:lineRule="auto"/>
              <w:ind w:firstLine="0" w:firstLineChars="0"/>
            </w:pPr>
          </w:p>
        </w:tc>
        <w:tc>
          <w:tcPr>
            <w:tcW w:w="716" w:type="dxa"/>
            <w:vMerge w:val="continue"/>
            <w:vAlign w:val="center"/>
          </w:tcPr>
          <w:p w14:paraId="183B1048">
            <w:pPr>
              <w:spacing w:line="240" w:lineRule="auto"/>
              <w:ind w:firstLine="0" w:firstLineChars="0"/>
            </w:pPr>
          </w:p>
        </w:tc>
      </w:tr>
      <w:tr w14:paraId="1E089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042" w:type="dxa"/>
            <w:vAlign w:val="center"/>
          </w:tcPr>
          <w:p w14:paraId="1B637BB3">
            <w:pPr>
              <w:spacing w:line="240" w:lineRule="auto"/>
              <w:ind w:firstLine="0" w:firstLineChars="0"/>
            </w:pPr>
            <w:r>
              <w:rPr>
                <w:rFonts w:hint="eastAsia"/>
              </w:rPr>
              <w:t>食堂  管理   10分</w:t>
            </w:r>
          </w:p>
        </w:tc>
        <w:tc>
          <w:tcPr>
            <w:tcW w:w="780" w:type="dxa"/>
            <w:vAlign w:val="center"/>
          </w:tcPr>
          <w:p w14:paraId="737FE54D">
            <w:pPr>
              <w:spacing w:line="240" w:lineRule="auto"/>
              <w:ind w:firstLine="0" w:firstLineChars="0"/>
            </w:pPr>
          </w:p>
        </w:tc>
        <w:tc>
          <w:tcPr>
            <w:tcW w:w="4110" w:type="dxa"/>
            <w:vAlign w:val="center"/>
          </w:tcPr>
          <w:p w14:paraId="760E2843">
            <w:pPr>
              <w:spacing w:line="240" w:lineRule="auto"/>
              <w:ind w:firstLine="0" w:firstLineChars="0"/>
            </w:pPr>
            <w:r>
              <w:rPr>
                <w:rFonts w:hint="eastAsia"/>
              </w:rPr>
              <w:t>1.严禁非食堂人员随意进入食堂的食品加工操作间及原料仓库；</w:t>
            </w:r>
          </w:p>
          <w:p w14:paraId="0DE501E5">
            <w:pPr>
              <w:spacing w:line="240" w:lineRule="auto"/>
              <w:ind w:firstLine="0" w:firstLineChars="0"/>
            </w:pPr>
            <w:r>
              <w:rPr>
                <w:rFonts w:hint="eastAsia"/>
              </w:rPr>
              <w:t>2.超过规定用餐时间继续供应饭菜；</w:t>
            </w:r>
          </w:p>
          <w:p w14:paraId="78D2AE31">
            <w:pPr>
              <w:spacing w:line="240" w:lineRule="auto"/>
              <w:ind w:firstLine="0" w:firstLineChars="0"/>
            </w:pPr>
            <w:r>
              <w:rPr>
                <w:rFonts w:hint="eastAsia"/>
              </w:rPr>
              <w:t>3.为无就餐卡或就餐券的人提供饭菜；</w:t>
            </w:r>
          </w:p>
          <w:p w14:paraId="28F3ED25">
            <w:pPr>
              <w:spacing w:line="240" w:lineRule="auto"/>
              <w:ind w:firstLine="0" w:firstLineChars="0"/>
            </w:pPr>
            <w:r>
              <w:rPr>
                <w:rFonts w:hint="eastAsia"/>
              </w:rPr>
              <w:t>4.未及时关闭燃气阀门、水龙头、电源，造成安全隐患、水电浪费；</w:t>
            </w:r>
          </w:p>
          <w:p w14:paraId="02EE490C">
            <w:pPr>
              <w:spacing w:line="240" w:lineRule="auto"/>
              <w:ind w:firstLine="0" w:firstLineChars="0"/>
            </w:pPr>
            <w:r>
              <w:rPr>
                <w:rFonts w:hint="eastAsia"/>
              </w:rPr>
              <w:t>5.发现擅自外带食品；</w:t>
            </w:r>
          </w:p>
          <w:p w14:paraId="76E17B38">
            <w:pPr>
              <w:spacing w:line="240" w:lineRule="auto"/>
              <w:ind w:firstLine="0" w:firstLineChars="0"/>
            </w:pPr>
            <w:r>
              <w:rPr>
                <w:rFonts w:hint="eastAsia"/>
              </w:rPr>
              <w:t>6.各类食堂台账未做到及时、完整登记；</w:t>
            </w:r>
          </w:p>
          <w:p w14:paraId="39E43DE7">
            <w:pPr>
              <w:spacing w:line="240" w:lineRule="auto"/>
              <w:ind w:firstLine="0" w:firstLineChars="0"/>
            </w:pPr>
            <w:r>
              <w:rPr>
                <w:rFonts w:hint="eastAsia"/>
              </w:rPr>
              <w:t>7.爱护食堂各项设备、做好日常使用和养护工作；</w:t>
            </w:r>
          </w:p>
          <w:p w14:paraId="43B46462">
            <w:pPr>
              <w:spacing w:line="240" w:lineRule="auto"/>
              <w:ind w:firstLine="0" w:firstLineChars="0"/>
            </w:pPr>
            <w:r>
              <w:rPr>
                <w:rFonts w:hint="eastAsia"/>
              </w:rPr>
              <w:t>8.未按规定留样，并做好登记的。</w:t>
            </w:r>
          </w:p>
        </w:tc>
        <w:tc>
          <w:tcPr>
            <w:tcW w:w="2370" w:type="dxa"/>
            <w:vAlign w:val="center"/>
          </w:tcPr>
          <w:p w14:paraId="16659EB6">
            <w:pPr>
              <w:spacing w:line="240" w:lineRule="auto"/>
              <w:ind w:firstLine="0" w:firstLineChars="0"/>
            </w:pPr>
            <w:r>
              <w:rPr>
                <w:rFonts w:hint="eastAsia"/>
              </w:rPr>
              <w:t>发现一次扣2分，第8条发现一次该项不得分。</w:t>
            </w:r>
          </w:p>
        </w:tc>
        <w:tc>
          <w:tcPr>
            <w:tcW w:w="780" w:type="dxa"/>
            <w:vAlign w:val="center"/>
          </w:tcPr>
          <w:p w14:paraId="47E69D36">
            <w:pPr>
              <w:spacing w:line="240" w:lineRule="auto"/>
              <w:ind w:firstLine="0" w:firstLineChars="0"/>
            </w:pPr>
            <w:r>
              <w:rPr>
                <w:rFonts w:hint="eastAsia"/>
              </w:rPr>
              <w:t>10</w:t>
            </w:r>
          </w:p>
        </w:tc>
        <w:tc>
          <w:tcPr>
            <w:tcW w:w="716" w:type="dxa"/>
            <w:vAlign w:val="center"/>
          </w:tcPr>
          <w:p w14:paraId="1C86DFB3">
            <w:pPr>
              <w:spacing w:line="240" w:lineRule="auto"/>
              <w:ind w:firstLine="0" w:firstLineChars="0"/>
            </w:pPr>
          </w:p>
        </w:tc>
      </w:tr>
    </w:tbl>
    <w:p w14:paraId="436D150D">
      <w:pPr>
        <w:ind w:firstLine="120" w:firstLineChars="50"/>
        <w:rPr>
          <w:rFonts w:ascii="宋体" w:hAnsi="宋体" w:cs="宋体"/>
        </w:rPr>
      </w:pPr>
      <w:r>
        <w:rPr>
          <w:rFonts w:hint="eastAsia" w:ascii="宋体" w:hAnsi="宋体" w:cs="宋体"/>
          <w:bCs/>
          <w:color w:val="565656"/>
          <w:kern w:val="0"/>
        </w:rPr>
        <w:t>检查部门：             检查人：           总得分：           日期：</w:t>
      </w:r>
    </w:p>
    <w:p w14:paraId="6C7A170F">
      <w:pPr>
        <w:spacing w:line="400" w:lineRule="exact"/>
        <w:ind w:firstLine="120" w:firstLineChars="50"/>
        <w:rPr>
          <w:rFonts w:ascii="宋体" w:hAnsi="宋体" w:cs="宋体"/>
        </w:rPr>
      </w:pPr>
    </w:p>
    <w:p w14:paraId="1E50A736">
      <w:pPr>
        <w:spacing w:line="400" w:lineRule="exact"/>
        <w:ind w:firstLine="0" w:firstLineChars="0"/>
        <w:rPr>
          <w:rFonts w:ascii="宋体" w:hAnsi="宋体" w:cs="宋体"/>
        </w:rPr>
      </w:pPr>
    </w:p>
    <w:p w14:paraId="3D9999EA">
      <w:pPr>
        <w:spacing w:line="400" w:lineRule="exact"/>
        <w:ind w:firstLine="120" w:firstLineChars="50"/>
        <w:rPr>
          <w:rFonts w:ascii="宋体" w:hAnsi="宋体" w:cs="宋体"/>
        </w:rPr>
      </w:pPr>
    </w:p>
    <w:p w14:paraId="4F1FF359">
      <w:pPr>
        <w:pStyle w:val="49"/>
        <w:rPr>
          <w:rFonts w:cs="宋体"/>
          <w:szCs w:val="24"/>
        </w:rPr>
      </w:pPr>
    </w:p>
    <w:p w14:paraId="71132F34">
      <w:pPr>
        <w:pStyle w:val="49"/>
        <w:rPr>
          <w:rFonts w:cs="宋体"/>
          <w:szCs w:val="24"/>
        </w:rPr>
      </w:pPr>
    </w:p>
    <w:p w14:paraId="6DCE6B14">
      <w:pPr>
        <w:pStyle w:val="49"/>
        <w:rPr>
          <w:rFonts w:cs="宋体"/>
          <w:szCs w:val="24"/>
        </w:rPr>
      </w:pPr>
    </w:p>
    <w:p w14:paraId="6848D51B">
      <w:pPr>
        <w:pStyle w:val="49"/>
        <w:rPr>
          <w:rFonts w:cs="宋体"/>
          <w:szCs w:val="24"/>
        </w:rPr>
      </w:pPr>
    </w:p>
    <w:p w14:paraId="7C2823D9">
      <w:pPr>
        <w:pStyle w:val="4"/>
        <w:jc w:val="center"/>
      </w:pPr>
      <w:bookmarkStart w:id="222" w:name="_Toc9741"/>
      <w:r>
        <w:rPr>
          <w:rFonts w:hint="eastAsia"/>
        </w:rPr>
        <w:t>附表二：食堂满意度调查表</w:t>
      </w:r>
      <w:bookmarkEnd w:id="222"/>
    </w:p>
    <w:tbl>
      <w:tblPr>
        <w:tblStyle w:val="32"/>
        <w:tblW w:w="10095" w:type="dxa"/>
        <w:tblInd w:w="-6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705"/>
        <w:gridCol w:w="960"/>
        <w:gridCol w:w="720"/>
        <w:gridCol w:w="720"/>
        <w:gridCol w:w="975"/>
        <w:gridCol w:w="735"/>
        <w:gridCol w:w="750"/>
        <w:gridCol w:w="1005"/>
        <w:gridCol w:w="780"/>
        <w:gridCol w:w="720"/>
        <w:gridCol w:w="1256"/>
      </w:tblGrid>
      <w:tr w14:paraId="2227D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2434" w:type="dxa"/>
            <w:gridSpan w:val="3"/>
            <w:vAlign w:val="center"/>
          </w:tcPr>
          <w:p w14:paraId="2F13B4D0">
            <w:pPr>
              <w:spacing w:line="240" w:lineRule="auto"/>
              <w:ind w:firstLine="0" w:firstLineChars="0"/>
              <w:rPr>
                <w:b/>
                <w:bCs/>
              </w:rPr>
            </w:pPr>
            <w:r>
              <w:rPr>
                <w:rFonts w:hint="eastAsia"/>
                <w:b/>
                <w:bCs/>
              </w:rPr>
              <w:t>饭菜质量30分</w:t>
            </w:r>
          </w:p>
        </w:tc>
        <w:tc>
          <w:tcPr>
            <w:tcW w:w="2415" w:type="dxa"/>
            <w:gridSpan w:val="3"/>
            <w:vAlign w:val="center"/>
          </w:tcPr>
          <w:p w14:paraId="0EF79A18">
            <w:pPr>
              <w:spacing w:line="240" w:lineRule="auto"/>
              <w:ind w:firstLine="0" w:firstLineChars="0"/>
              <w:rPr>
                <w:b/>
                <w:bCs/>
              </w:rPr>
            </w:pPr>
            <w:r>
              <w:rPr>
                <w:rFonts w:hint="eastAsia"/>
                <w:b/>
                <w:bCs/>
              </w:rPr>
              <w:t>服务态度30分</w:t>
            </w:r>
          </w:p>
        </w:tc>
        <w:tc>
          <w:tcPr>
            <w:tcW w:w="2490" w:type="dxa"/>
            <w:gridSpan w:val="3"/>
            <w:vAlign w:val="center"/>
          </w:tcPr>
          <w:p w14:paraId="3684FA1A">
            <w:pPr>
              <w:spacing w:line="240" w:lineRule="auto"/>
              <w:ind w:firstLine="0" w:firstLineChars="0"/>
              <w:rPr>
                <w:b/>
                <w:bCs/>
              </w:rPr>
            </w:pPr>
            <w:r>
              <w:rPr>
                <w:rFonts w:hint="eastAsia"/>
                <w:b/>
                <w:bCs/>
              </w:rPr>
              <w:t>卫生状况30分</w:t>
            </w:r>
          </w:p>
        </w:tc>
        <w:tc>
          <w:tcPr>
            <w:tcW w:w="2756" w:type="dxa"/>
            <w:gridSpan w:val="3"/>
            <w:vAlign w:val="center"/>
          </w:tcPr>
          <w:p w14:paraId="07EE6121">
            <w:pPr>
              <w:spacing w:line="240" w:lineRule="auto"/>
              <w:ind w:firstLine="0" w:firstLineChars="0"/>
              <w:rPr>
                <w:b/>
                <w:bCs/>
              </w:rPr>
            </w:pPr>
            <w:r>
              <w:rPr>
                <w:rFonts w:hint="eastAsia"/>
                <w:b/>
                <w:bCs/>
              </w:rPr>
              <w:t>饭菜份量10分</w:t>
            </w:r>
          </w:p>
        </w:tc>
      </w:tr>
      <w:tr w14:paraId="27AB5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69" w:type="dxa"/>
            <w:vAlign w:val="center"/>
          </w:tcPr>
          <w:p w14:paraId="619F67DF">
            <w:pPr>
              <w:spacing w:line="240" w:lineRule="auto"/>
              <w:ind w:firstLine="0" w:firstLineChars="0"/>
            </w:pPr>
            <w:r>
              <w:rPr>
                <w:rFonts w:hint="eastAsia"/>
              </w:rPr>
              <w:t>满意</w:t>
            </w:r>
          </w:p>
        </w:tc>
        <w:tc>
          <w:tcPr>
            <w:tcW w:w="705" w:type="dxa"/>
            <w:vAlign w:val="center"/>
          </w:tcPr>
          <w:p w14:paraId="5C6029C0">
            <w:pPr>
              <w:spacing w:line="240" w:lineRule="auto"/>
              <w:ind w:firstLine="0" w:firstLineChars="0"/>
            </w:pPr>
            <w:r>
              <w:rPr>
                <w:rFonts w:hint="eastAsia"/>
              </w:rPr>
              <w:t>基本满意</w:t>
            </w:r>
          </w:p>
        </w:tc>
        <w:tc>
          <w:tcPr>
            <w:tcW w:w="960" w:type="dxa"/>
            <w:vAlign w:val="center"/>
          </w:tcPr>
          <w:p w14:paraId="0EF4D9BD">
            <w:pPr>
              <w:spacing w:line="240" w:lineRule="auto"/>
              <w:ind w:firstLine="0" w:firstLineChars="0"/>
            </w:pPr>
            <w:r>
              <w:rPr>
                <w:rFonts w:hint="eastAsia"/>
              </w:rPr>
              <w:t>不满意</w:t>
            </w:r>
          </w:p>
        </w:tc>
        <w:tc>
          <w:tcPr>
            <w:tcW w:w="720" w:type="dxa"/>
            <w:vAlign w:val="center"/>
          </w:tcPr>
          <w:p w14:paraId="2F52A891">
            <w:pPr>
              <w:spacing w:line="240" w:lineRule="auto"/>
              <w:ind w:firstLine="0" w:firstLineChars="0"/>
            </w:pPr>
            <w:r>
              <w:rPr>
                <w:rFonts w:hint="eastAsia"/>
              </w:rPr>
              <w:t>满意</w:t>
            </w:r>
          </w:p>
        </w:tc>
        <w:tc>
          <w:tcPr>
            <w:tcW w:w="720" w:type="dxa"/>
            <w:vAlign w:val="center"/>
          </w:tcPr>
          <w:p w14:paraId="572CA5B0">
            <w:pPr>
              <w:spacing w:line="240" w:lineRule="auto"/>
              <w:ind w:firstLine="0" w:firstLineChars="0"/>
            </w:pPr>
            <w:r>
              <w:rPr>
                <w:rFonts w:hint="eastAsia"/>
              </w:rPr>
              <w:t>基本满意</w:t>
            </w:r>
          </w:p>
        </w:tc>
        <w:tc>
          <w:tcPr>
            <w:tcW w:w="975" w:type="dxa"/>
            <w:vAlign w:val="center"/>
          </w:tcPr>
          <w:p w14:paraId="33F1F2B9">
            <w:pPr>
              <w:spacing w:line="240" w:lineRule="auto"/>
              <w:ind w:firstLine="0" w:firstLineChars="0"/>
            </w:pPr>
            <w:r>
              <w:rPr>
                <w:rFonts w:hint="eastAsia"/>
              </w:rPr>
              <w:t>不满意</w:t>
            </w:r>
          </w:p>
        </w:tc>
        <w:tc>
          <w:tcPr>
            <w:tcW w:w="735" w:type="dxa"/>
            <w:vAlign w:val="center"/>
          </w:tcPr>
          <w:p w14:paraId="353B2464">
            <w:pPr>
              <w:spacing w:line="240" w:lineRule="auto"/>
              <w:ind w:firstLine="0" w:firstLineChars="0"/>
            </w:pPr>
            <w:r>
              <w:rPr>
                <w:rFonts w:hint="eastAsia"/>
              </w:rPr>
              <w:t>满意</w:t>
            </w:r>
          </w:p>
        </w:tc>
        <w:tc>
          <w:tcPr>
            <w:tcW w:w="750" w:type="dxa"/>
            <w:vAlign w:val="center"/>
          </w:tcPr>
          <w:p w14:paraId="063A346D">
            <w:pPr>
              <w:spacing w:line="240" w:lineRule="auto"/>
              <w:ind w:firstLine="0" w:firstLineChars="0"/>
            </w:pPr>
            <w:r>
              <w:rPr>
                <w:rFonts w:hint="eastAsia"/>
              </w:rPr>
              <w:t>基本满意</w:t>
            </w:r>
          </w:p>
        </w:tc>
        <w:tc>
          <w:tcPr>
            <w:tcW w:w="1005" w:type="dxa"/>
            <w:vAlign w:val="center"/>
          </w:tcPr>
          <w:p w14:paraId="5C6E0843">
            <w:pPr>
              <w:spacing w:line="240" w:lineRule="auto"/>
              <w:ind w:firstLine="0" w:firstLineChars="0"/>
            </w:pPr>
            <w:r>
              <w:rPr>
                <w:rFonts w:hint="eastAsia"/>
              </w:rPr>
              <w:t>不满意</w:t>
            </w:r>
          </w:p>
        </w:tc>
        <w:tc>
          <w:tcPr>
            <w:tcW w:w="780" w:type="dxa"/>
            <w:vAlign w:val="center"/>
          </w:tcPr>
          <w:p w14:paraId="4C0A7F29">
            <w:pPr>
              <w:spacing w:line="240" w:lineRule="auto"/>
              <w:ind w:firstLine="0" w:firstLineChars="0"/>
            </w:pPr>
            <w:r>
              <w:rPr>
                <w:rFonts w:hint="eastAsia"/>
              </w:rPr>
              <w:t>满意</w:t>
            </w:r>
          </w:p>
        </w:tc>
        <w:tc>
          <w:tcPr>
            <w:tcW w:w="720" w:type="dxa"/>
            <w:vAlign w:val="center"/>
          </w:tcPr>
          <w:p w14:paraId="2EA8BF78">
            <w:pPr>
              <w:spacing w:line="240" w:lineRule="auto"/>
              <w:ind w:firstLine="0" w:firstLineChars="0"/>
            </w:pPr>
            <w:r>
              <w:rPr>
                <w:rFonts w:hint="eastAsia"/>
              </w:rPr>
              <w:t>基本满意</w:t>
            </w:r>
          </w:p>
        </w:tc>
        <w:tc>
          <w:tcPr>
            <w:tcW w:w="1256" w:type="dxa"/>
            <w:vAlign w:val="center"/>
          </w:tcPr>
          <w:p w14:paraId="427C08B3">
            <w:pPr>
              <w:spacing w:line="240" w:lineRule="auto"/>
              <w:ind w:firstLine="0" w:firstLineChars="0"/>
            </w:pPr>
            <w:r>
              <w:rPr>
                <w:rFonts w:hint="eastAsia"/>
              </w:rPr>
              <w:t>不满意</w:t>
            </w:r>
          </w:p>
        </w:tc>
      </w:tr>
      <w:tr w14:paraId="12808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769" w:type="dxa"/>
            <w:vAlign w:val="center"/>
          </w:tcPr>
          <w:p w14:paraId="6B0925F1">
            <w:pPr>
              <w:spacing w:line="240" w:lineRule="auto"/>
              <w:ind w:firstLine="0" w:firstLineChars="0"/>
            </w:pPr>
            <w:r>
              <w:rPr>
                <w:rFonts w:hint="eastAsia"/>
              </w:rPr>
              <w:t>30－25</w:t>
            </w:r>
          </w:p>
        </w:tc>
        <w:tc>
          <w:tcPr>
            <w:tcW w:w="705" w:type="dxa"/>
            <w:vAlign w:val="center"/>
          </w:tcPr>
          <w:p w14:paraId="11B9FF9A">
            <w:pPr>
              <w:spacing w:line="240" w:lineRule="auto"/>
              <w:ind w:firstLine="0" w:firstLineChars="0"/>
            </w:pPr>
            <w:r>
              <w:rPr>
                <w:rFonts w:hint="eastAsia"/>
              </w:rPr>
              <w:t>25－20</w:t>
            </w:r>
          </w:p>
        </w:tc>
        <w:tc>
          <w:tcPr>
            <w:tcW w:w="960" w:type="dxa"/>
            <w:vAlign w:val="center"/>
          </w:tcPr>
          <w:p w14:paraId="0B2F6AE4">
            <w:pPr>
              <w:spacing w:line="240" w:lineRule="auto"/>
              <w:ind w:firstLine="0" w:firstLineChars="0"/>
            </w:pPr>
            <w:r>
              <w:rPr>
                <w:rFonts w:hint="eastAsia"/>
              </w:rPr>
              <w:t>20分以下</w:t>
            </w:r>
          </w:p>
        </w:tc>
        <w:tc>
          <w:tcPr>
            <w:tcW w:w="720" w:type="dxa"/>
            <w:vAlign w:val="center"/>
          </w:tcPr>
          <w:p w14:paraId="04C9934E">
            <w:pPr>
              <w:spacing w:line="240" w:lineRule="auto"/>
              <w:ind w:firstLine="0" w:firstLineChars="0"/>
            </w:pPr>
            <w:r>
              <w:rPr>
                <w:rFonts w:hint="eastAsia"/>
              </w:rPr>
              <w:t>30－25</w:t>
            </w:r>
          </w:p>
        </w:tc>
        <w:tc>
          <w:tcPr>
            <w:tcW w:w="720" w:type="dxa"/>
            <w:vAlign w:val="center"/>
          </w:tcPr>
          <w:p w14:paraId="6CA6B1A3">
            <w:pPr>
              <w:spacing w:line="240" w:lineRule="auto"/>
              <w:ind w:firstLine="0" w:firstLineChars="0"/>
            </w:pPr>
            <w:r>
              <w:rPr>
                <w:rFonts w:hint="eastAsia"/>
              </w:rPr>
              <w:t>25－20</w:t>
            </w:r>
          </w:p>
        </w:tc>
        <w:tc>
          <w:tcPr>
            <w:tcW w:w="975" w:type="dxa"/>
            <w:vAlign w:val="center"/>
          </w:tcPr>
          <w:p w14:paraId="6459E821">
            <w:pPr>
              <w:spacing w:line="240" w:lineRule="auto"/>
              <w:ind w:firstLine="0" w:firstLineChars="0"/>
            </w:pPr>
            <w:r>
              <w:rPr>
                <w:rFonts w:hint="eastAsia"/>
              </w:rPr>
              <w:t>20分以下</w:t>
            </w:r>
          </w:p>
        </w:tc>
        <w:tc>
          <w:tcPr>
            <w:tcW w:w="735" w:type="dxa"/>
            <w:vAlign w:val="center"/>
          </w:tcPr>
          <w:p w14:paraId="44FC9363">
            <w:pPr>
              <w:spacing w:line="240" w:lineRule="auto"/>
              <w:ind w:firstLine="0" w:firstLineChars="0"/>
            </w:pPr>
            <w:r>
              <w:rPr>
                <w:rFonts w:hint="eastAsia"/>
              </w:rPr>
              <w:t>30－25</w:t>
            </w:r>
          </w:p>
        </w:tc>
        <w:tc>
          <w:tcPr>
            <w:tcW w:w="750" w:type="dxa"/>
            <w:vAlign w:val="center"/>
          </w:tcPr>
          <w:p w14:paraId="317ED800">
            <w:pPr>
              <w:spacing w:line="240" w:lineRule="auto"/>
              <w:ind w:firstLine="0" w:firstLineChars="0"/>
            </w:pPr>
            <w:r>
              <w:rPr>
                <w:rFonts w:hint="eastAsia"/>
              </w:rPr>
              <w:t>25－20</w:t>
            </w:r>
          </w:p>
        </w:tc>
        <w:tc>
          <w:tcPr>
            <w:tcW w:w="1005" w:type="dxa"/>
            <w:vAlign w:val="center"/>
          </w:tcPr>
          <w:p w14:paraId="002A161C">
            <w:pPr>
              <w:spacing w:line="240" w:lineRule="auto"/>
              <w:ind w:firstLine="0" w:firstLineChars="0"/>
            </w:pPr>
            <w:r>
              <w:rPr>
                <w:rFonts w:hint="eastAsia"/>
              </w:rPr>
              <w:t>20分以下</w:t>
            </w:r>
          </w:p>
        </w:tc>
        <w:tc>
          <w:tcPr>
            <w:tcW w:w="780" w:type="dxa"/>
            <w:vAlign w:val="center"/>
          </w:tcPr>
          <w:p w14:paraId="2C58B447">
            <w:pPr>
              <w:spacing w:line="240" w:lineRule="auto"/>
              <w:ind w:firstLine="0" w:firstLineChars="0"/>
            </w:pPr>
            <w:r>
              <w:rPr>
                <w:rFonts w:hint="eastAsia"/>
              </w:rPr>
              <w:t>10－8</w:t>
            </w:r>
          </w:p>
        </w:tc>
        <w:tc>
          <w:tcPr>
            <w:tcW w:w="720" w:type="dxa"/>
            <w:vAlign w:val="center"/>
          </w:tcPr>
          <w:p w14:paraId="3DB07013">
            <w:pPr>
              <w:spacing w:line="240" w:lineRule="auto"/>
              <w:ind w:firstLine="0" w:firstLineChars="0"/>
            </w:pPr>
            <w:r>
              <w:rPr>
                <w:rFonts w:hint="eastAsia"/>
              </w:rPr>
              <w:t>8－5</w:t>
            </w:r>
          </w:p>
        </w:tc>
        <w:tc>
          <w:tcPr>
            <w:tcW w:w="1256" w:type="dxa"/>
            <w:vAlign w:val="center"/>
          </w:tcPr>
          <w:p w14:paraId="61FD737A">
            <w:pPr>
              <w:spacing w:line="240" w:lineRule="auto"/>
              <w:ind w:firstLine="0" w:firstLineChars="0"/>
            </w:pPr>
            <w:r>
              <w:rPr>
                <w:rFonts w:hint="eastAsia"/>
              </w:rPr>
              <w:t>5分以下</w:t>
            </w:r>
          </w:p>
        </w:tc>
      </w:tr>
      <w:tr w14:paraId="65AE3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69" w:type="dxa"/>
            <w:vAlign w:val="center"/>
          </w:tcPr>
          <w:p w14:paraId="78C13035">
            <w:pPr>
              <w:spacing w:line="240" w:lineRule="auto"/>
              <w:ind w:firstLine="0" w:firstLineChars="0"/>
            </w:pPr>
          </w:p>
        </w:tc>
        <w:tc>
          <w:tcPr>
            <w:tcW w:w="705" w:type="dxa"/>
            <w:vAlign w:val="center"/>
          </w:tcPr>
          <w:p w14:paraId="32E836B7">
            <w:pPr>
              <w:spacing w:line="240" w:lineRule="auto"/>
              <w:ind w:firstLine="0" w:firstLineChars="0"/>
            </w:pPr>
          </w:p>
        </w:tc>
        <w:tc>
          <w:tcPr>
            <w:tcW w:w="960" w:type="dxa"/>
            <w:vAlign w:val="center"/>
          </w:tcPr>
          <w:p w14:paraId="6DCEBE21">
            <w:pPr>
              <w:spacing w:line="240" w:lineRule="auto"/>
              <w:ind w:firstLine="0" w:firstLineChars="0"/>
            </w:pPr>
          </w:p>
        </w:tc>
        <w:tc>
          <w:tcPr>
            <w:tcW w:w="720" w:type="dxa"/>
            <w:vAlign w:val="center"/>
          </w:tcPr>
          <w:p w14:paraId="5DF037BA">
            <w:pPr>
              <w:spacing w:line="240" w:lineRule="auto"/>
              <w:ind w:firstLine="0" w:firstLineChars="0"/>
            </w:pPr>
          </w:p>
        </w:tc>
        <w:tc>
          <w:tcPr>
            <w:tcW w:w="720" w:type="dxa"/>
            <w:vAlign w:val="center"/>
          </w:tcPr>
          <w:p w14:paraId="43D6EA29">
            <w:pPr>
              <w:spacing w:line="240" w:lineRule="auto"/>
              <w:ind w:firstLine="0" w:firstLineChars="0"/>
            </w:pPr>
          </w:p>
        </w:tc>
        <w:tc>
          <w:tcPr>
            <w:tcW w:w="975" w:type="dxa"/>
            <w:vAlign w:val="center"/>
          </w:tcPr>
          <w:p w14:paraId="27B61152">
            <w:pPr>
              <w:spacing w:line="240" w:lineRule="auto"/>
              <w:ind w:firstLine="0" w:firstLineChars="0"/>
            </w:pPr>
          </w:p>
        </w:tc>
        <w:tc>
          <w:tcPr>
            <w:tcW w:w="735" w:type="dxa"/>
            <w:vAlign w:val="center"/>
          </w:tcPr>
          <w:p w14:paraId="2AFE1456">
            <w:pPr>
              <w:spacing w:line="240" w:lineRule="auto"/>
              <w:ind w:firstLine="0" w:firstLineChars="0"/>
            </w:pPr>
          </w:p>
        </w:tc>
        <w:tc>
          <w:tcPr>
            <w:tcW w:w="750" w:type="dxa"/>
            <w:vAlign w:val="center"/>
          </w:tcPr>
          <w:p w14:paraId="77EAC89C">
            <w:pPr>
              <w:spacing w:line="240" w:lineRule="auto"/>
              <w:ind w:firstLine="0" w:firstLineChars="0"/>
            </w:pPr>
          </w:p>
        </w:tc>
        <w:tc>
          <w:tcPr>
            <w:tcW w:w="1005" w:type="dxa"/>
            <w:vAlign w:val="center"/>
          </w:tcPr>
          <w:p w14:paraId="2DD1FD82">
            <w:pPr>
              <w:spacing w:line="240" w:lineRule="auto"/>
              <w:ind w:firstLine="0" w:firstLineChars="0"/>
            </w:pPr>
          </w:p>
        </w:tc>
        <w:tc>
          <w:tcPr>
            <w:tcW w:w="780" w:type="dxa"/>
            <w:vAlign w:val="center"/>
          </w:tcPr>
          <w:p w14:paraId="1B93B9EC">
            <w:pPr>
              <w:spacing w:line="240" w:lineRule="auto"/>
              <w:ind w:firstLine="0" w:firstLineChars="0"/>
            </w:pPr>
          </w:p>
        </w:tc>
        <w:tc>
          <w:tcPr>
            <w:tcW w:w="720" w:type="dxa"/>
            <w:vAlign w:val="center"/>
          </w:tcPr>
          <w:p w14:paraId="0D5E960D">
            <w:pPr>
              <w:spacing w:line="240" w:lineRule="auto"/>
              <w:ind w:firstLine="0" w:firstLineChars="0"/>
            </w:pPr>
          </w:p>
        </w:tc>
        <w:tc>
          <w:tcPr>
            <w:tcW w:w="1256" w:type="dxa"/>
            <w:vAlign w:val="center"/>
          </w:tcPr>
          <w:p w14:paraId="56954ECC">
            <w:pPr>
              <w:spacing w:line="240" w:lineRule="auto"/>
              <w:ind w:firstLine="0" w:firstLineChars="0"/>
            </w:pPr>
          </w:p>
        </w:tc>
      </w:tr>
      <w:tr w14:paraId="609B4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69" w:type="dxa"/>
            <w:vAlign w:val="center"/>
          </w:tcPr>
          <w:p w14:paraId="5C2659FD">
            <w:pPr>
              <w:spacing w:line="240" w:lineRule="auto"/>
              <w:ind w:firstLine="0" w:firstLineChars="0"/>
            </w:pPr>
          </w:p>
        </w:tc>
        <w:tc>
          <w:tcPr>
            <w:tcW w:w="705" w:type="dxa"/>
            <w:vAlign w:val="center"/>
          </w:tcPr>
          <w:p w14:paraId="7721B8D4">
            <w:pPr>
              <w:spacing w:line="240" w:lineRule="auto"/>
              <w:ind w:firstLine="0" w:firstLineChars="0"/>
            </w:pPr>
          </w:p>
        </w:tc>
        <w:tc>
          <w:tcPr>
            <w:tcW w:w="960" w:type="dxa"/>
            <w:vAlign w:val="center"/>
          </w:tcPr>
          <w:p w14:paraId="0AED9265">
            <w:pPr>
              <w:spacing w:line="240" w:lineRule="auto"/>
              <w:ind w:firstLine="0" w:firstLineChars="0"/>
            </w:pPr>
          </w:p>
        </w:tc>
        <w:tc>
          <w:tcPr>
            <w:tcW w:w="720" w:type="dxa"/>
            <w:vAlign w:val="center"/>
          </w:tcPr>
          <w:p w14:paraId="6DEED487">
            <w:pPr>
              <w:spacing w:line="240" w:lineRule="auto"/>
              <w:ind w:firstLine="0" w:firstLineChars="0"/>
            </w:pPr>
          </w:p>
        </w:tc>
        <w:tc>
          <w:tcPr>
            <w:tcW w:w="720" w:type="dxa"/>
            <w:vAlign w:val="center"/>
          </w:tcPr>
          <w:p w14:paraId="6FB39F86">
            <w:pPr>
              <w:spacing w:line="240" w:lineRule="auto"/>
              <w:ind w:firstLine="0" w:firstLineChars="0"/>
            </w:pPr>
          </w:p>
        </w:tc>
        <w:tc>
          <w:tcPr>
            <w:tcW w:w="975" w:type="dxa"/>
            <w:vAlign w:val="center"/>
          </w:tcPr>
          <w:p w14:paraId="48C98637">
            <w:pPr>
              <w:spacing w:line="240" w:lineRule="auto"/>
              <w:ind w:firstLine="0" w:firstLineChars="0"/>
            </w:pPr>
          </w:p>
        </w:tc>
        <w:tc>
          <w:tcPr>
            <w:tcW w:w="735" w:type="dxa"/>
            <w:vAlign w:val="center"/>
          </w:tcPr>
          <w:p w14:paraId="57298D7B">
            <w:pPr>
              <w:spacing w:line="240" w:lineRule="auto"/>
              <w:ind w:firstLine="0" w:firstLineChars="0"/>
            </w:pPr>
          </w:p>
        </w:tc>
        <w:tc>
          <w:tcPr>
            <w:tcW w:w="750" w:type="dxa"/>
            <w:vAlign w:val="center"/>
          </w:tcPr>
          <w:p w14:paraId="2C01513D">
            <w:pPr>
              <w:spacing w:line="240" w:lineRule="auto"/>
              <w:ind w:firstLine="0" w:firstLineChars="0"/>
            </w:pPr>
          </w:p>
        </w:tc>
        <w:tc>
          <w:tcPr>
            <w:tcW w:w="1005" w:type="dxa"/>
            <w:vAlign w:val="center"/>
          </w:tcPr>
          <w:p w14:paraId="084F12D0">
            <w:pPr>
              <w:spacing w:line="240" w:lineRule="auto"/>
              <w:ind w:firstLine="0" w:firstLineChars="0"/>
            </w:pPr>
          </w:p>
        </w:tc>
        <w:tc>
          <w:tcPr>
            <w:tcW w:w="780" w:type="dxa"/>
            <w:vAlign w:val="center"/>
          </w:tcPr>
          <w:p w14:paraId="5B177805">
            <w:pPr>
              <w:spacing w:line="240" w:lineRule="auto"/>
              <w:ind w:firstLine="0" w:firstLineChars="0"/>
            </w:pPr>
          </w:p>
        </w:tc>
        <w:tc>
          <w:tcPr>
            <w:tcW w:w="720" w:type="dxa"/>
            <w:vAlign w:val="center"/>
          </w:tcPr>
          <w:p w14:paraId="1F2915C5">
            <w:pPr>
              <w:spacing w:line="240" w:lineRule="auto"/>
              <w:ind w:firstLine="0" w:firstLineChars="0"/>
            </w:pPr>
          </w:p>
        </w:tc>
        <w:tc>
          <w:tcPr>
            <w:tcW w:w="1256" w:type="dxa"/>
            <w:vAlign w:val="center"/>
          </w:tcPr>
          <w:p w14:paraId="42F5569E">
            <w:pPr>
              <w:spacing w:line="240" w:lineRule="auto"/>
              <w:ind w:firstLine="0" w:firstLineChars="0"/>
            </w:pPr>
          </w:p>
        </w:tc>
      </w:tr>
      <w:tr w14:paraId="59449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69" w:type="dxa"/>
            <w:vAlign w:val="center"/>
          </w:tcPr>
          <w:p w14:paraId="21CB75FA">
            <w:pPr>
              <w:spacing w:line="240" w:lineRule="auto"/>
              <w:ind w:firstLine="0" w:firstLineChars="0"/>
            </w:pPr>
          </w:p>
        </w:tc>
        <w:tc>
          <w:tcPr>
            <w:tcW w:w="705" w:type="dxa"/>
            <w:vAlign w:val="center"/>
          </w:tcPr>
          <w:p w14:paraId="1939F203">
            <w:pPr>
              <w:spacing w:line="240" w:lineRule="auto"/>
              <w:ind w:firstLine="0" w:firstLineChars="0"/>
            </w:pPr>
          </w:p>
        </w:tc>
        <w:tc>
          <w:tcPr>
            <w:tcW w:w="960" w:type="dxa"/>
            <w:vAlign w:val="center"/>
          </w:tcPr>
          <w:p w14:paraId="5BE7707F">
            <w:pPr>
              <w:spacing w:line="240" w:lineRule="auto"/>
              <w:ind w:firstLine="0" w:firstLineChars="0"/>
            </w:pPr>
          </w:p>
        </w:tc>
        <w:tc>
          <w:tcPr>
            <w:tcW w:w="720" w:type="dxa"/>
            <w:vAlign w:val="center"/>
          </w:tcPr>
          <w:p w14:paraId="7B7977FE">
            <w:pPr>
              <w:spacing w:line="240" w:lineRule="auto"/>
              <w:ind w:firstLine="0" w:firstLineChars="0"/>
            </w:pPr>
          </w:p>
        </w:tc>
        <w:tc>
          <w:tcPr>
            <w:tcW w:w="720" w:type="dxa"/>
            <w:vAlign w:val="center"/>
          </w:tcPr>
          <w:p w14:paraId="0490C435">
            <w:pPr>
              <w:spacing w:line="240" w:lineRule="auto"/>
              <w:ind w:firstLine="0" w:firstLineChars="0"/>
            </w:pPr>
          </w:p>
        </w:tc>
        <w:tc>
          <w:tcPr>
            <w:tcW w:w="975" w:type="dxa"/>
            <w:vAlign w:val="center"/>
          </w:tcPr>
          <w:p w14:paraId="67477C3A">
            <w:pPr>
              <w:spacing w:line="240" w:lineRule="auto"/>
              <w:ind w:firstLine="0" w:firstLineChars="0"/>
            </w:pPr>
          </w:p>
        </w:tc>
        <w:tc>
          <w:tcPr>
            <w:tcW w:w="735" w:type="dxa"/>
            <w:vAlign w:val="center"/>
          </w:tcPr>
          <w:p w14:paraId="77AD9B2C">
            <w:pPr>
              <w:spacing w:line="240" w:lineRule="auto"/>
              <w:ind w:firstLine="0" w:firstLineChars="0"/>
            </w:pPr>
          </w:p>
        </w:tc>
        <w:tc>
          <w:tcPr>
            <w:tcW w:w="750" w:type="dxa"/>
            <w:vAlign w:val="center"/>
          </w:tcPr>
          <w:p w14:paraId="5DA599D3">
            <w:pPr>
              <w:spacing w:line="240" w:lineRule="auto"/>
              <w:ind w:firstLine="0" w:firstLineChars="0"/>
            </w:pPr>
          </w:p>
        </w:tc>
        <w:tc>
          <w:tcPr>
            <w:tcW w:w="1005" w:type="dxa"/>
            <w:vAlign w:val="center"/>
          </w:tcPr>
          <w:p w14:paraId="2E60B574">
            <w:pPr>
              <w:spacing w:line="240" w:lineRule="auto"/>
              <w:ind w:firstLine="0" w:firstLineChars="0"/>
            </w:pPr>
          </w:p>
        </w:tc>
        <w:tc>
          <w:tcPr>
            <w:tcW w:w="780" w:type="dxa"/>
            <w:vAlign w:val="center"/>
          </w:tcPr>
          <w:p w14:paraId="166F1FD6">
            <w:pPr>
              <w:spacing w:line="240" w:lineRule="auto"/>
              <w:ind w:firstLine="0" w:firstLineChars="0"/>
            </w:pPr>
          </w:p>
        </w:tc>
        <w:tc>
          <w:tcPr>
            <w:tcW w:w="720" w:type="dxa"/>
            <w:vAlign w:val="center"/>
          </w:tcPr>
          <w:p w14:paraId="68855895">
            <w:pPr>
              <w:spacing w:line="240" w:lineRule="auto"/>
              <w:ind w:firstLine="0" w:firstLineChars="0"/>
            </w:pPr>
          </w:p>
        </w:tc>
        <w:tc>
          <w:tcPr>
            <w:tcW w:w="1256" w:type="dxa"/>
            <w:vAlign w:val="center"/>
          </w:tcPr>
          <w:p w14:paraId="4ABE67F3">
            <w:pPr>
              <w:spacing w:line="240" w:lineRule="auto"/>
              <w:ind w:firstLine="0" w:firstLineChars="0"/>
            </w:pPr>
          </w:p>
        </w:tc>
      </w:tr>
      <w:tr w14:paraId="4B9CC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69" w:type="dxa"/>
            <w:vAlign w:val="center"/>
          </w:tcPr>
          <w:p w14:paraId="1DDBFC2D">
            <w:pPr>
              <w:spacing w:line="240" w:lineRule="auto"/>
              <w:ind w:firstLine="0" w:firstLineChars="0"/>
            </w:pPr>
          </w:p>
        </w:tc>
        <w:tc>
          <w:tcPr>
            <w:tcW w:w="705" w:type="dxa"/>
            <w:vAlign w:val="center"/>
          </w:tcPr>
          <w:p w14:paraId="440EA260">
            <w:pPr>
              <w:spacing w:line="240" w:lineRule="auto"/>
              <w:ind w:firstLine="0" w:firstLineChars="0"/>
            </w:pPr>
          </w:p>
        </w:tc>
        <w:tc>
          <w:tcPr>
            <w:tcW w:w="960" w:type="dxa"/>
            <w:vAlign w:val="center"/>
          </w:tcPr>
          <w:p w14:paraId="1FCF97D0">
            <w:pPr>
              <w:spacing w:line="240" w:lineRule="auto"/>
              <w:ind w:firstLine="0" w:firstLineChars="0"/>
            </w:pPr>
          </w:p>
        </w:tc>
        <w:tc>
          <w:tcPr>
            <w:tcW w:w="720" w:type="dxa"/>
            <w:vAlign w:val="center"/>
          </w:tcPr>
          <w:p w14:paraId="52060EDC">
            <w:pPr>
              <w:spacing w:line="240" w:lineRule="auto"/>
              <w:ind w:firstLine="0" w:firstLineChars="0"/>
            </w:pPr>
          </w:p>
        </w:tc>
        <w:tc>
          <w:tcPr>
            <w:tcW w:w="720" w:type="dxa"/>
            <w:vAlign w:val="center"/>
          </w:tcPr>
          <w:p w14:paraId="691A7E28">
            <w:pPr>
              <w:spacing w:line="240" w:lineRule="auto"/>
              <w:ind w:firstLine="0" w:firstLineChars="0"/>
            </w:pPr>
          </w:p>
        </w:tc>
        <w:tc>
          <w:tcPr>
            <w:tcW w:w="975" w:type="dxa"/>
            <w:vAlign w:val="center"/>
          </w:tcPr>
          <w:p w14:paraId="0CDB14AB">
            <w:pPr>
              <w:spacing w:line="240" w:lineRule="auto"/>
              <w:ind w:firstLine="0" w:firstLineChars="0"/>
            </w:pPr>
          </w:p>
        </w:tc>
        <w:tc>
          <w:tcPr>
            <w:tcW w:w="735" w:type="dxa"/>
            <w:vAlign w:val="center"/>
          </w:tcPr>
          <w:p w14:paraId="0CC6C2DA">
            <w:pPr>
              <w:spacing w:line="240" w:lineRule="auto"/>
              <w:ind w:firstLine="0" w:firstLineChars="0"/>
            </w:pPr>
          </w:p>
        </w:tc>
        <w:tc>
          <w:tcPr>
            <w:tcW w:w="750" w:type="dxa"/>
            <w:vAlign w:val="center"/>
          </w:tcPr>
          <w:p w14:paraId="2F5A99F7">
            <w:pPr>
              <w:spacing w:line="240" w:lineRule="auto"/>
              <w:ind w:firstLine="0" w:firstLineChars="0"/>
            </w:pPr>
          </w:p>
        </w:tc>
        <w:tc>
          <w:tcPr>
            <w:tcW w:w="1005" w:type="dxa"/>
            <w:vAlign w:val="center"/>
          </w:tcPr>
          <w:p w14:paraId="2BF2CC59">
            <w:pPr>
              <w:spacing w:line="240" w:lineRule="auto"/>
              <w:ind w:firstLine="0" w:firstLineChars="0"/>
            </w:pPr>
          </w:p>
        </w:tc>
        <w:tc>
          <w:tcPr>
            <w:tcW w:w="780" w:type="dxa"/>
            <w:vAlign w:val="center"/>
          </w:tcPr>
          <w:p w14:paraId="475C7B73">
            <w:pPr>
              <w:spacing w:line="240" w:lineRule="auto"/>
              <w:ind w:firstLine="0" w:firstLineChars="0"/>
            </w:pPr>
          </w:p>
        </w:tc>
        <w:tc>
          <w:tcPr>
            <w:tcW w:w="720" w:type="dxa"/>
            <w:vAlign w:val="center"/>
          </w:tcPr>
          <w:p w14:paraId="13DD13DC">
            <w:pPr>
              <w:spacing w:line="240" w:lineRule="auto"/>
              <w:ind w:firstLine="0" w:firstLineChars="0"/>
            </w:pPr>
          </w:p>
        </w:tc>
        <w:tc>
          <w:tcPr>
            <w:tcW w:w="1256" w:type="dxa"/>
            <w:vAlign w:val="center"/>
          </w:tcPr>
          <w:p w14:paraId="39D270B7">
            <w:pPr>
              <w:spacing w:line="240" w:lineRule="auto"/>
              <w:ind w:firstLine="0" w:firstLineChars="0"/>
            </w:pPr>
          </w:p>
        </w:tc>
      </w:tr>
      <w:tr w14:paraId="03548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434" w:type="dxa"/>
            <w:gridSpan w:val="3"/>
            <w:vAlign w:val="center"/>
          </w:tcPr>
          <w:p w14:paraId="1D28F253">
            <w:pPr>
              <w:spacing w:line="240" w:lineRule="auto"/>
              <w:ind w:firstLine="0" w:firstLineChars="0"/>
            </w:pPr>
            <w:r>
              <w:rPr>
                <w:rFonts w:hint="eastAsia"/>
              </w:rPr>
              <w:t>得分</w:t>
            </w:r>
          </w:p>
        </w:tc>
        <w:tc>
          <w:tcPr>
            <w:tcW w:w="2415" w:type="dxa"/>
            <w:gridSpan w:val="3"/>
            <w:vAlign w:val="center"/>
          </w:tcPr>
          <w:p w14:paraId="0245DD0C">
            <w:pPr>
              <w:spacing w:line="240" w:lineRule="auto"/>
              <w:ind w:firstLine="0" w:firstLineChars="0"/>
            </w:pPr>
            <w:r>
              <w:rPr>
                <w:rFonts w:hint="eastAsia"/>
              </w:rPr>
              <w:t>得分</w:t>
            </w:r>
          </w:p>
        </w:tc>
        <w:tc>
          <w:tcPr>
            <w:tcW w:w="2490" w:type="dxa"/>
            <w:gridSpan w:val="3"/>
            <w:vAlign w:val="center"/>
          </w:tcPr>
          <w:p w14:paraId="67951A51">
            <w:pPr>
              <w:spacing w:line="240" w:lineRule="auto"/>
              <w:ind w:firstLine="0" w:firstLineChars="0"/>
            </w:pPr>
            <w:r>
              <w:rPr>
                <w:rFonts w:hint="eastAsia"/>
              </w:rPr>
              <w:t>得分</w:t>
            </w:r>
          </w:p>
        </w:tc>
        <w:tc>
          <w:tcPr>
            <w:tcW w:w="2756" w:type="dxa"/>
            <w:gridSpan w:val="3"/>
            <w:vAlign w:val="center"/>
          </w:tcPr>
          <w:p w14:paraId="008C4478">
            <w:pPr>
              <w:spacing w:line="240" w:lineRule="auto"/>
              <w:ind w:firstLine="0" w:firstLineChars="0"/>
            </w:pPr>
            <w:r>
              <w:rPr>
                <w:rFonts w:hint="eastAsia"/>
              </w:rPr>
              <w:t>得分</w:t>
            </w:r>
          </w:p>
        </w:tc>
      </w:tr>
      <w:tr w14:paraId="5DB73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434" w:type="dxa"/>
            <w:gridSpan w:val="3"/>
            <w:vAlign w:val="center"/>
          </w:tcPr>
          <w:p w14:paraId="02AC12A0">
            <w:pPr>
              <w:spacing w:line="240" w:lineRule="auto"/>
              <w:ind w:firstLine="0" w:firstLineChars="0"/>
            </w:pPr>
          </w:p>
        </w:tc>
        <w:tc>
          <w:tcPr>
            <w:tcW w:w="2415" w:type="dxa"/>
            <w:gridSpan w:val="3"/>
            <w:vAlign w:val="center"/>
          </w:tcPr>
          <w:p w14:paraId="49A7A094">
            <w:pPr>
              <w:spacing w:line="240" w:lineRule="auto"/>
              <w:ind w:firstLine="0" w:firstLineChars="0"/>
            </w:pPr>
          </w:p>
        </w:tc>
        <w:tc>
          <w:tcPr>
            <w:tcW w:w="2490" w:type="dxa"/>
            <w:gridSpan w:val="3"/>
            <w:vAlign w:val="center"/>
          </w:tcPr>
          <w:p w14:paraId="78F62ADF">
            <w:pPr>
              <w:spacing w:line="240" w:lineRule="auto"/>
              <w:ind w:firstLine="0" w:firstLineChars="0"/>
            </w:pPr>
          </w:p>
        </w:tc>
        <w:tc>
          <w:tcPr>
            <w:tcW w:w="2756" w:type="dxa"/>
            <w:gridSpan w:val="3"/>
            <w:vAlign w:val="center"/>
          </w:tcPr>
          <w:p w14:paraId="5E5950E2">
            <w:pPr>
              <w:spacing w:line="240" w:lineRule="auto"/>
              <w:ind w:firstLine="0" w:firstLineChars="0"/>
            </w:pPr>
          </w:p>
        </w:tc>
      </w:tr>
    </w:tbl>
    <w:p w14:paraId="542140AC">
      <w:pPr>
        <w:pStyle w:val="49"/>
        <w:rPr>
          <w:rFonts w:cs="宋体"/>
          <w:b/>
          <w:bCs/>
          <w:szCs w:val="24"/>
        </w:rPr>
      </w:pPr>
    </w:p>
    <w:p w14:paraId="7B4CA0B5">
      <w:pPr>
        <w:ind w:firstLine="480"/>
        <w:rPr>
          <w:rFonts w:ascii="宋体" w:hAnsi="宋体" w:cs="宋体"/>
        </w:rPr>
      </w:pPr>
      <w:r>
        <w:rPr>
          <w:rFonts w:hint="eastAsia" w:ascii="宋体" w:hAnsi="宋体" w:cs="宋体"/>
          <w:bCs/>
          <w:color w:val="565656"/>
          <w:kern w:val="0"/>
        </w:rPr>
        <w:t>调查人：              总得分：                  日 期：</w:t>
      </w:r>
    </w:p>
    <w:p w14:paraId="304C9354">
      <w:pPr>
        <w:spacing w:line="240" w:lineRule="atLeast"/>
        <w:ind w:firstLine="480"/>
        <w:jc w:val="left"/>
        <w:rPr>
          <w:rFonts w:ascii="宋体" w:hAnsi="宋体" w:cs="宋体"/>
        </w:rPr>
      </w:pPr>
    </w:p>
    <w:p w14:paraId="0F193C47">
      <w:pPr>
        <w:spacing w:line="240" w:lineRule="atLeast"/>
        <w:ind w:firstLine="0" w:firstLineChars="0"/>
        <w:jc w:val="left"/>
        <w:rPr>
          <w:rFonts w:ascii="宋体" w:hAnsi="宋体" w:cs="宋体"/>
        </w:rPr>
      </w:pPr>
    </w:p>
    <w:p w14:paraId="5575BC80">
      <w:pPr>
        <w:spacing w:line="240" w:lineRule="atLeast"/>
        <w:ind w:firstLine="480"/>
        <w:jc w:val="left"/>
        <w:rPr>
          <w:rFonts w:ascii="宋体" w:hAnsi="宋体" w:cs="宋体"/>
        </w:rPr>
      </w:pPr>
    </w:p>
    <w:p w14:paraId="3DB7392C">
      <w:pPr>
        <w:spacing w:line="240" w:lineRule="atLeast"/>
        <w:ind w:firstLine="480"/>
        <w:jc w:val="left"/>
        <w:rPr>
          <w:rFonts w:ascii="宋体" w:hAnsi="宋体" w:cs="宋体"/>
        </w:rPr>
      </w:pPr>
    </w:p>
    <w:p w14:paraId="61126C3E">
      <w:pPr>
        <w:spacing w:line="240" w:lineRule="atLeast"/>
        <w:ind w:firstLine="480"/>
        <w:jc w:val="left"/>
        <w:rPr>
          <w:rFonts w:ascii="宋体" w:hAnsi="宋体" w:cs="宋体"/>
        </w:rPr>
      </w:pPr>
      <w:r>
        <w:rPr>
          <w:rFonts w:hint="eastAsia" w:ascii="宋体" w:hAnsi="宋体" w:cs="宋体"/>
        </w:rPr>
        <w:t>您对食堂的意见和建议：</w:t>
      </w:r>
    </w:p>
    <w:p w14:paraId="78AD15A9">
      <w:pPr>
        <w:spacing w:line="240" w:lineRule="atLeast"/>
        <w:ind w:firstLine="480"/>
        <w:rPr>
          <w:rFonts w:ascii="宋体" w:hAnsi="宋体" w:cs="宋体"/>
        </w:rPr>
      </w:pPr>
    </w:p>
    <w:p w14:paraId="032A7864">
      <w:pPr>
        <w:spacing w:line="240" w:lineRule="atLeast"/>
        <w:ind w:firstLine="480"/>
        <w:rPr>
          <w:rFonts w:ascii="宋体" w:hAnsi="宋体" w:cs="宋体"/>
          <w:u w:val="single"/>
          <w:bdr w:val="single" w:color="auto" w:sz="4" w:space="0"/>
        </w:rPr>
      </w:pPr>
      <w:r>
        <w:rPr>
          <w:rFonts w:hint="eastAsia" w:ascii="宋体" w:hAnsi="宋体" w:cs="宋体"/>
        </w:rPr>
        <w:t>1、</w:t>
      </w:r>
      <w:r>
        <w:rPr>
          <w:rFonts w:hint="eastAsia" w:ascii="宋体" w:hAnsi="宋体" w:cs="宋体"/>
          <w:u w:val="single"/>
          <w:bdr w:val="single" w:color="auto" w:sz="4" w:space="0"/>
        </w:rPr>
        <w:t xml:space="preserve">                                                             </w:t>
      </w:r>
    </w:p>
    <w:p w14:paraId="40A9D37E">
      <w:pPr>
        <w:spacing w:line="240" w:lineRule="atLeast"/>
        <w:ind w:firstLine="480"/>
        <w:rPr>
          <w:rFonts w:ascii="宋体" w:hAnsi="宋体" w:cs="宋体"/>
        </w:rPr>
      </w:pPr>
    </w:p>
    <w:p w14:paraId="27323E6A">
      <w:pPr>
        <w:spacing w:line="240" w:lineRule="atLeast"/>
        <w:ind w:firstLine="480"/>
        <w:rPr>
          <w:rFonts w:ascii="宋体" w:hAnsi="宋体" w:cs="宋体"/>
          <w:u w:val="single"/>
        </w:rPr>
      </w:pPr>
      <w:r>
        <w:rPr>
          <w:rFonts w:hint="eastAsia" w:ascii="宋体" w:hAnsi="宋体" w:cs="宋体"/>
        </w:rPr>
        <w:t>2、</w:t>
      </w:r>
      <w:r>
        <w:rPr>
          <w:rFonts w:hint="eastAsia" w:ascii="宋体" w:hAnsi="宋体" w:cs="宋体"/>
          <w:u w:val="single"/>
        </w:rPr>
        <w:t xml:space="preserve">                                                             </w:t>
      </w:r>
    </w:p>
    <w:p w14:paraId="10DFAB45">
      <w:pPr>
        <w:spacing w:line="240" w:lineRule="atLeast"/>
        <w:ind w:firstLine="480"/>
        <w:rPr>
          <w:rFonts w:ascii="宋体" w:hAnsi="宋体" w:cs="宋体"/>
        </w:rPr>
      </w:pPr>
    </w:p>
    <w:p w14:paraId="7CFAF139">
      <w:pPr>
        <w:ind w:firstLine="480"/>
      </w:pPr>
      <w:r>
        <w:rPr>
          <w:rFonts w:hint="eastAsia" w:ascii="宋体" w:hAnsi="宋体" w:cs="宋体"/>
        </w:rPr>
        <w:t>3、</w:t>
      </w:r>
      <w:r>
        <w:rPr>
          <w:rFonts w:hint="eastAsia" w:ascii="宋体" w:hAnsi="宋体" w:cs="宋体"/>
          <w:u w:val="single"/>
        </w:rPr>
        <w:t xml:space="preserve">                                                             </w:t>
      </w:r>
    </w:p>
    <w:p w14:paraId="221DC8D9">
      <w:pPr>
        <w:bidi w:val="0"/>
      </w:pPr>
      <w:r>
        <w:br w:type="page"/>
      </w:r>
    </w:p>
    <w:p w14:paraId="3045E6C4">
      <w:pPr>
        <w:pStyle w:val="3"/>
        <w:rPr>
          <w:color w:val="000000" w:themeColor="text1"/>
        </w:rPr>
      </w:pPr>
      <w:bookmarkStart w:id="223" w:name="_Toc1748"/>
      <w:r>
        <w:rPr>
          <w:color w:val="000000" w:themeColor="text1"/>
        </w:rPr>
        <w:t>第</w:t>
      </w:r>
      <w:r>
        <w:rPr>
          <w:rFonts w:hint="eastAsia"/>
          <w:color w:val="000000" w:themeColor="text1"/>
        </w:rPr>
        <w:t>六</w:t>
      </w:r>
      <w:r>
        <w:rPr>
          <w:color w:val="000000" w:themeColor="text1"/>
        </w:rPr>
        <w:t>章</w:t>
      </w:r>
      <w:r>
        <w:rPr>
          <w:rFonts w:hint="eastAsia"/>
          <w:color w:val="000000" w:themeColor="text1"/>
        </w:rPr>
        <w:t xml:space="preserve">  评审办法和评分标准</w:t>
      </w:r>
      <w:bookmarkEnd w:id="223"/>
    </w:p>
    <w:p w14:paraId="5DC4BA8A">
      <w:pPr>
        <w:ind w:firstLine="480"/>
        <w:rPr>
          <w:rFonts w:ascii="宋体" w:hAnsi="宋体" w:cs="宋体"/>
          <w:color w:val="000000" w:themeColor="text1"/>
        </w:rPr>
      </w:pPr>
      <w:r>
        <w:rPr>
          <w:rFonts w:hint="eastAsia"/>
          <w:color w:val="000000" w:themeColor="text1"/>
        </w:rPr>
        <w:t>本评审办法遵照《中华人民共和国政府采购法》等有关规定，并结合本项目的具体情况制定。</w:t>
      </w:r>
    </w:p>
    <w:p w14:paraId="14731DE3">
      <w:pPr>
        <w:pStyle w:val="4"/>
        <w:rPr>
          <w:color w:val="000000" w:themeColor="text1"/>
        </w:rPr>
      </w:pPr>
      <w:bookmarkStart w:id="224" w:name="_Toc3184"/>
      <w:r>
        <w:rPr>
          <w:rFonts w:hint="eastAsia"/>
          <w:color w:val="000000" w:themeColor="text1"/>
        </w:rPr>
        <w:t>一、总则</w:t>
      </w:r>
      <w:bookmarkEnd w:id="224"/>
    </w:p>
    <w:p w14:paraId="7C0A004E">
      <w:pPr>
        <w:ind w:firstLine="480"/>
        <w:rPr>
          <w:color w:val="000000" w:themeColor="text1"/>
        </w:rPr>
      </w:pPr>
      <w:r>
        <w:rPr>
          <w:rFonts w:hint="eastAsia"/>
          <w:color w:val="000000" w:themeColor="text1"/>
        </w:rPr>
        <w:t>1.为公正、公平、科学地选择中标候选人，根据《中华人民共和国政府采购法》《中华人民共和国政府采购法实施条例》等有关规定，并结合本项目的实际，制定本办法。</w:t>
      </w:r>
    </w:p>
    <w:p w14:paraId="709E60DC">
      <w:pPr>
        <w:ind w:firstLine="480"/>
        <w:rPr>
          <w:color w:val="000000" w:themeColor="text1"/>
        </w:rPr>
      </w:pPr>
      <w:r>
        <w:rPr>
          <w:rFonts w:hint="eastAsia"/>
          <w:color w:val="000000" w:themeColor="text1"/>
        </w:rPr>
        <w:t>2.评审工作由采购代理机构负责组织，具体评审事务由采购组织机构依法组建的评审小组负责。</w:t>
      </w:r>
    </w:p>
    <w:p w14:paraId="12EA0D74">
      <w:pPr>
        <w:ind w:firstLine="480"/>
        <w:rPr>
          <w:color w:val="000000" w:themeColor="text1"/>
        </w:rPr>
      </w:pPr>
      <w:r>
        <w:rPr>
          <w:rFonts w:hint="eastAsia"/>
          <w:color w:val="000000" w:themeColor="text1"/>
        </w:rPr>
        <w:t>3.评审小组评价投标文件的响应性，对于投标人而言，除评审小组要求其澄清、说明或者更正而提供的资料外，仅依据投标文件本身的内容，不寻求其他外部证据。如投标人提交的资质证明或其他内容不齐全，由此造成的后果由投标人自己负责。</w:t>
      </w:r>
    </w:p>
    <w:p w14:paraId="51AF59A1">
      <w:pPr>
        <w:ind w:firstLine="480"/>
      </w:pPr>
      <w:r>
        <w:rPr>
          <w:rFonts w:hint="eastAsia"/>
        </w:rPr>
        <w:t>4.本项目评标采用不公开方式进行，评标过程独立、保密。投标人非法干预评标评标过程的行为将导致其投标文件作为无效处理。</w:t>
      </w:r>
    </w:p>
    <w:p w14:paraId="2224A5DC">
      <w:pPr>
        <w:ind w:firstLine="480"/>
      </w:pPr>
      <w:r>
        <w:rPr>
          <w:rFonts w:hint="eastAsia"/>
        </w:rPr>
        <w:t>5.本次评标采用综合评分法，总分为100分。合格投标人的评标得分为各项目汇总得分，中标候选资格按评标得分由高到低顺序排列。得分相同的，按投标报价由低到高顺序排列；投标报价相同的，按技术分由高到低顺序排列；均相同时由评委抽签确定排序。评分过程中采用四舍五入法，并保留小数2位。除财政部门另有规定外，投标文件满足采购文件全部实质性要求，且按照评审因素的量化指标评审得分最高的投标人为排名第一的中标候选人，评标委员会推荐依次得分排列前一名的投标人为中标候选人。</w:t>
      </w:r>
    </w:p>
    <w:p w14:paraId="74DCD137">
      <w:pPr>
        <w:pStyle w:val="4"/>
        <w:rPr>
          <w:color w:val="000000" w:themeColor="text1"/>
        </w:rPr>
      </w:pPr>
      <w:bookmarkStart w:id="225" w:name="_Toc31416"/>
      <w:r>
        <w:rPr>
          <w:rFonts w:hint="eastAsia"/>
          <w:color w:val="000000" w:themeColor="text1"/>
        </w:rPr>
        <w:t>二、组建评审小组</w:t>
      </w:r>
      <w:bookmarkEnd w:id="225"/>
    </w:p>
    <w:p w14:paraId="767480F4">
      <w:pPr>
        <w:ind w:firstLine="480"/>
        <w:rPr>
          <w:color w:val="000000" w:themeColor="text1"/>
        </w:rPr>
      </w:pPr>
      <w:r>
        <w:rPr>
          <w:rFonts w:hint="eastAsia"/>
          <w:color w:val="000000" w:themeColor="text1"/>
        </w:rPr>
        <w:t>1.采购人将根据相关规定和采购项目的特点由采购人和技术、经济等方面专家组成评审小组，评审小组成员人数见投标人须知前附表。</w:t>
      </w:r>
    </w:p>
    <w:p w14:paraId="360301BB">
      <w:pPr>
        <w:ind w:firstLine="480"/>
        <w:rPr>
          <w:color w:val="000000" w:themeColor="text1"/>
        </w:rPr>
      </w:pPr>
      <w:r>
        <w:rPr>
          <w:rFonts w:hint="eastAsia"/>
          <w:color w:val="000000" w:themeColor="text1"/>
        </w:rPr>
        <w:t>2.除依法组建的评审小组成员以外，其他任何人不得参加或者替代评审。</w:t>
      </w:r>
    </w:p>
    <w:p w14:paraId="1B8B4DEC">
      <w:pPr>
        <w:pStyle w:val="4"/>
        <w:rPr>
          <w:color w:val="000000" w:themeColor="text1"/>
        </w:rPr>
      </w:pPr>
      <w:bookmarkStart w:id="226" w:name="_Toc3512"/>
      <w:r>
        <w:rPr>
          <w:rFonts w:hint="eastAsia"/>
          <w:color w:val="000000" w:themeColor="text1"/>
        </w:rPr>
        <w:t>三、评审原则</w:t>
      </w:r>
      <w:bookmarkEnd w:id="226"/>
    </w:p>
    <w:p w14:paraId="429B6C81">
      <w:pPr>
        <w:ind w:firstLine="480"/>
        <w:rPr>
          <w:color w:val="000000" w:themeColor="text1"/>
        </w:rPr>
      </w:pPr>
      <w:r>
        <w:rPr>
          <w:rFonts w:hint="eastAsia"/>
          <w:color w:val="000000" w:themeColor="text1"/>
        </w:rPr>
        <w:t>1.公正、客观、审慎的原则。</w:t>
      </w:r>
    </w:p>
    <w:p w14:paraId="7044C3D9">
      <w:pPr>
        <w:ind w:firstLine="480"/>
        <w:rPr>
          <w:color w:val="000000" w:themeColor="text1"/>
        </w:rPr>
      </w:pPr>
      <w:r>
        <w:rPr>
          <w:rFonts w:hint="eastAsia"/>
          <w:color w:val="000000" w:themeColor="text1"/>
        </w:rPr>
        <w:t>2.严格保密原则。评审小组及有关工作人员不得私下与投标人接触。采购人或采购组织机构对评审结果不作任何说明和解释，也不回答任何提问。</w:t>
      </w:r>
    </w:p>
    <w:p w14:paraId="705856C4">
      <w:pPr>
        <w:ind w:firstLine="480"/>
        <w:rPr>
          <w:color w:val="000000" w:themeColor="text1"/>
        </w:rPr>
      </w:pPr>
      <w:r>
        <w:rPr>
          <w:rFonts w:hint="eastAsia"/>
          <w:color w:val="000000" w:themeColor="text1"/>
        </w:rPr>
        <w:t>3.独立评审原则。任何单位和个人不得干扰、影响评审的正常进行。</w:t>
      </w:r>
    </w:p>
    <w:p w14:paraId="270B5FF2">
      <w:pPr>
        <w:ind w:firstLine="480"/>
        <w:rPr>
          <w:rFonts w:ascii="宋体" w:hAnsi="宋体" w:cs="宋体"/>
          <w:color w:val="000000" w:themeColor="text1"/>
        </w:rPr>
      </w:pPr>
      <w:r>
        <w:rPr>
          <w:rFonts w:hint="eastAsia"/>
          <w:color w:val="000000" w:themeColor="text1"/>
        </w:rPr>
        <w:t>4.严格遵守评审方法。根据采购文件规定的评审程序、评审方法和评分标准进行评审，不带任何倾向性和启发性。</w:t>
      </w:r>
    </w:p>
    <w:p w14:paraId="0A06DE5D">
      <w:pPr>
        <w:pStyle w:val="4"/>
        <w:rPr>
          <w:color w:val="000000" w:themeColor="text1"/>
        </w:rPr>
      </w:pPr>
      <w:bookmarkStart w:id="227" w:name="_Toc27039"/>
      <w:r>
        <w:rPr>
          <w:rFonts w:hint="eastAsia"/>
          <w:color w:val="000000" w:themeColor="text1"/>
        </w:rPr>
        <w:t>四、评审小组履行下列职责</w:t>
      </w:r>
      <w:bookmarkEnd w:id="227"/>
    </w:p>
    <w:p w14:paraId="7DE11212">
      <w:pPr>
        <w:ind w:firstLine="480"/>
        <w:rPr>
          <w:color w:val="000000" w:themeColor="text1"/>
        </w:rPr>
      </w:pPr>
      <w:r>
        <w:rPr>
          <w:rFonts w:hint="eastAsia"/>
          <w:color w:val="000000" w:themeColor="text1"/>
        </w:rPr>
        <w:t>1.熟悉和理解招标文件；</w:t>
      </w:r>
    </w:p>
    <w:p w14:paraId="60CD68F8">
      <w:pPr>
        <w:ind w:firstLine="480"/>
        <w:rPr>
          <w:color w:val="000000" w:themeColor="text1"/>
        </w:rPr>
      </w:pPr>
      <w:r>
        <w:rPr>
          <w:rFonts w:hint="eastAsia"/>
          <w:color w:val="000000" w:themeColor="text1"/>
        </w:rPr>
        <w:t>2.审查投标人投标文件等是否满足招标文件要求，并作出评价；</w:t>
      </w:r>
    </w:p>
    <w:p w14:paraId="10C26AAF">
      <w:pPr>
        <w:ind w:firstLine="480"/>
        <w:rPr>
          <w:color w:val="000000" w:themeColor="text1"/>
        </w:rPr>
      </w:pPr>
      <w:r>
        <w:rPr>
          <w:rFonts w:hint="eastAsia"/>
          <w:color w:val="000000" w:themeColor="text1"/>
        </w:rPr>
        <w:t>3.根据需要要求采购人对招标文件作出解释；根据需要要求投标人对投标文件有关事项作出澄清、说明或者更正；</w:t>
      </w:r>
    </w:p>
    <w:p w14:paraId="363DECBD">
      <w:pPr>
        <w:ind w:firstLine="480"/>
        <w:rPr>
          <w:color w:val="000000" w:themeColor="text1"/>
        </w:rPr>
      </w:pPr>
      <w:r>
        <w:rPr>
          <w:rFonts w:hint="eastAsia"/>
          <w:color w:val="000000" w:themeColor="text1"/>
        </w:rPr>
        <w:t>4.推荐中标人；</w:t>
      </w:r>
    </w:p>
    <w:p w14:paraId="3BE0652F">
      <w:pPr>
        <w:ind w:firstLine="480"/>
        <w:rPr>
          <w:color w:val="000000" w:themeColor="text1"/>
        </w:rPr>
      </w:pPr>
      <w:r>
        <w:rPr>
          <w:rFonts w:hint="eastAsia"/>
          <w:color w:val="000000" w:themeColor="text1"/>
        </w:rPr>
        <w:t>5.起草评审报告并进行签署；</w:t>
      </w:r>
    </w:p>
    <w:p w14:paraId="04012171">
      <w:pPr>
        <w:ind w:firstLine="480"/>
        <w:rPr>
          <w:color w:val="000000" w:themeColor="text1"/>
        </w:rPr>
      </w:pPr>
      <w:r>
        <w:rPr>
          <w:rFonts w:hint="eastAsia"/>
          <w:color w:val="000000" w:themeColor="text1"/>
        </w:rPr>
        <w:t>6.向采购人、财政部门或者其他监督部门报告非法干预评审工作的行为；</w:t>
      </w:r>
    </w:p>
    <w:p w14:paraId="045D9398">
      <w:pPr>
        <w:ind w:firstLine="480"/>
        <w:rPr>
          <w:rFonts w:ascii="宋体" w:hAnsi="宋体" w:cs="宋体"/>
          <w:color w:val="000000" w:themeColor="text1"/>
        </w:rPr>
      </w:pPr>
      <w:r>
        <w:rPr>
          <w:rFonts w:hint="eastAsia"/>
          <w:color w:val="000000" w:themeColor="text1"/>
        </w:rPr>
        <w:t>7.法律、法规和规章规定的其他职责。</w:t>
      </w:r>
    </w:p>
    <w:p w14:paraId="6FC9AD88">
      <w:pPr>
        <w:pStyle w:val="4"/>
        <w:rPr>
          <w:color w:val="000000" w:themeColor="text1"/>
        </w:rPr>
      </w:pPr>
      <w:bookmarkStart w:id="228" w:name="_Toc19432"/>
      <w:r>
        <w:rPr>
          <w:rFonts w:hint="eastAsia"/>
          <w:color w:val="000000" w:themeColor="text1"/>
        </w:rPr>
        <w:t>五、评审工作纪律</w:t>
      </w:r>
      <w:bookmarkEnd w:id="228"/>
    </w:p>
    <w:p w14:paraId="0ABC213A">
      <w:pPr>
        <w:ind w:firstLine="480"/>
        <w:rPr>
          <w:color w:val="000000" w:themeColor="text1"/>
        </w:rPr>
      </w:pPr>
      <w:r>
        <w:rPr>
          <w:rFonts w:hint="eastAsia"/>
          <w:color w:val="000000" w:themeColor="text1"/>
        </w:rPr>
        <w:t>评审小组成员要严格遵守评审纪律、保密、回避等相关规定，依法独立履行评审职责，客观、公正、审慎参与评审工作：</w:t>
      </w:r>
    </w:p>
    <w:p w14:paraId="7A6DB483">
      <w:pPr>
        <w:ind w:firstLine="480"/>
        <w:rPr>
          <w:color w:val="000000" w:themeColor="text1"/>
        </w:rPr>
      </w:pPr>
      <w:r>
        <w:rPr>
          <w:rFonts w:hint="eastAsia"/>
          <w:color w:val="000000" w:themeColor="text1"/>
        </w:rPr>
        <w:t>1.严格遵守评审时间，因突发情况确实不能按时参加评审的，应事先告知采购组织机构；</w:t>
      </w:r>
    </w:p>
    <w:p w14:paraId="439D086F">
      <w:pPr>
        <w:ind w:firstLine="480"/>
        <w:rPr>
          <w:color w:val="000000" w:themeColor="text1"/>
        </w:rPr>
      </w:pPr>
      <w:r>
        <w:rPr>
          <w:rFonts w:hint="eastAsia"/>
          <w:color w:val="000000" w:themeColor="text1"/>
        </w:rPr>
        <w:t>2.服从采购组织机构的现场管理，主动出示身份证明，进入评审区域后应主动寄存移动通讯工具；</w:t>
      </w:r>
    </w:p>
    <w:p w14:paraId="0F8E8097">
      <w:pPr>
        <w:ind w:firstLine="480"/>
        <w:rPr>
          <w:color w:val="000000" w:themeColor="text1"/>
        </w:rPr>
      </w:pPr>
      <w:r>
        <w:rPr>
          <w:rFonts w:hint="eastAsia"/>
          <w:color w:val="000000" w:themeColor="text1"/>
        </w:rPr>
        <w:t>3.与投标人或评审小组其他成员存在利害关系的，要主动回避，自觉签订《政府采购评审人员廉洁自律承诺书》；</w:t>
      </w:r>
    </w:p>
    <w:p w14:paraId="1CA28FEB">
      <w:pPr>
        <w:ind w:firstLine="480"/>
        <w:rPr>
          <w:color w:val="000000" w:themeColor="text1"/>
        </w:rPr>
      </w:pPr>
      <w:r>
        <w:rPr>
          <w:rFonts w:hint="eastAsia"/>
          <w:color w:val="000000" w:themeColor="text1"/>
        </w:rPr>
        <w:t>4.保持评审现场安静，不在评审现场随意走动，因发生不可预见情况确需与外界联系或暂时离开评审现场的，应向现场监督员说明情况，征得同意后在监控区域内进行相关活动，并应接受相关工作人员的监督；</w:t>
      </w:r>
    </w:p>
    <w:p w14:paraId="367DD41B">
      <w:pPr>
        <w:ind w:firstLine="480"/>
        <w:rPr>
          <w:color w:val="000000" w:themeColor="text1"/>
        </w:rPr>
      </w:pPr>
      <w:r>
        <w:rPr>
          <w:rFonts w:hint="eastAsia"/>
          <w:color w:val="000000" w:themeColor="text1"/>
        </w:rPr>
        <w:t>5.自觉遵守职业道德，尊重采购人代表和投标人代表，配合采购组织机构回答投标人代表提出的有关异议；</w:t>
      </w:r>
    </w:p>
    <w:p w14:paraId="1BD4A655">
      <w:pPr>
        <w:ind w:firstLine="480"/>
        <w:rPr>
          <w:color w:val="000000" w:themeColor="text1"/>
        </w:rPr>
      </w:pPr>
      <w:r>
        <w:rPr>
          <w:rFonts w:hint="eastAsia"/>
          <w:color w:val="000000" w:themeColor="text1"/>
        </w:rPr>
        <w:t>6.不得将评审过程、结果和投标人的商业秘密透露给任何单位和个人。未公告评审结果前不准泄露评审结果，不准将评审资料带出会场；</w:t>
      </w:r>
    </w:p>
    <w:p w14:paraId="7E534BC1">
      <w:pPr>
        <w:ind w:firstLine="480"/>
        <w:rPr>
          <w:rFonts w:ascii="宋体" w:hAnsi="宋体" w:cs="宋体"/>
          <w:color w:val="000000" w:themeColor="text1"/>
        </w:rPr>
      </w:pPr>
      <w:r>
        <w:rPr>
          <w:rFonts w:hint="eastAsia"/>
          <w:color w:val="000000" w:themeColor="text1"/>
        </w:rPr>
        <w:t>7.评审过程中，涉及到相关法律法规不清楚之处的，由采购监管部门或请示权威部门作出法定解释，涉及到招标文件的由采购人和采购代理机构负责解释。</w:t>
      </w:r>
    </w:p>
    <w:p w14:paraId="2E0DBDB2">
      <w:pPr>
        <w:pStyle w:val="4"/>
        <w:rPr>
          <w:color w:val="000000" w:themeColor="text1"/>
        </w:rPr>
      </w:pPr>
      <w:bookmarkStart w:id="229" w:name="_Toc25854"/>
      <w:r>
        <w:rPr>
          <w:rFonts w:hint="eastAsia"/>
          <w:color w:val="000000" w:themeColor="text1"/>
        </w:rPr>
        <w:t>六、评审程序</w:t>
      </w:r>
      <w:bookmarkEnd w:id="229"/>
    </w:p>
    <w:p w14:paraId="5C924CFC">
      <w:pPr>
        <w:ind w:firstLine="480"/>
        <w:rPr>
          <w:color w:val="000000" w:themeColor="text1"/>
        </w:rPr>
      </w:pPr>
      <w:r>
        <w:rPr>
          <w:rFonts w:hint="eastAsia"/>
          <w:color w:val="000000" w:themeColor="text1"/>
        </w:rPr>
        <w:t>1.推选评审小组组长，优先资深专家担任组长，采购人代表不得担任组长。</w:t>
      </w:r>
    </w:p>
    <w:p w14:paraId="1B123404">
      <w:pPr>
        <w:ind w:firstLine="480"/>
        <w:rPr>
          <w:color w:val="000000" w:themeColor="text1"/>
        </w:rPr>
      </w:pPr>
      <w:r>
        <w:rPr>
          <w:rFonts w:hint="eastAsia"/>
          <w:color w:val="000000" w:themeColor="text1"/>
        </w:rPr>
        <w:t>2.评审小组正式评审前，应当对采购文件进行熟悉和理解，内容主要包括采购文件中投标人资格资质性要求、采购项目技术、服务和商务要求、评审方法和评分标准以及可能涉及签订政府采购合同的内容等。</w:t>
      </w:r>
    </w:p>
    <w:p w14:paraId="26AAF61B">
      <w:pPr>
        <w:ind w:firstLine="480"/>
        <w:rPr>
          <w:color w:val="000000" w:themeColor="text1"/>
        </w:rPr>
      </w:pPr>
      <w:r>
        <w:rPr>
          <w:rFonts w:hint="eastAsia"/>
          <w:color w:val="000000" w:themeColor="text1"/>
        </w:rPr>
        <w:t>3.评审程序：资格性审查→符合性审查→商务技术评分→报价评审→得分汇总→编写评审报告。</w:t>
      </w:r>
    </w:p>
    <w:p w14:paraId="45E55C2A">
      <w:pPr>
        <w:ind w:firstLine="480"/>
        <w:rPr>
          <w:color w:val="000000" w:themeColor="text1"/>
        </w:rPr>
      </w:pPr>
      <w:r>
        <w:rPr>
          <w:rFonts w:hint="eastAsia"/>
          <w:color w:val="000000" w:themeColor="text1"/>
        </w:rPr>
        <w:t>4.资格性审查</w:t>
      </w:r>
    </w:p>
    <w:p w14:paraId="7F88BC32">
      <w:pPr>
        <w:ind w:firstLine="480"/>
        <w:rPr>
          <w:color w:val="000000" w:themeColor="text1"/>
        </w:rPr>
      </w:pPr>
      <w:r>
        <w:rPr>
          <w:rFonts w:hint="eastAsia"/>
          <w:color w:val="000000" w:themeColor="text1"/>
        </w:rPr>
        <w:t>4.1评审小组应依据法律法规和本招标文件的规定对投标人资格进行审查。审查内容包括：</w:t>
      </w:r>
    </w:p>
    <w:p w14:paraId="49811785">
      <w:pPr>
        <w:ind w:firstLine="480"/>
        <w:rPr>
          <w:color w:val="000000" w:themeColor="text1"/>
        </w:rPr>
      </w:pPr>
      <w:r>
        <w:rPr>
          <w:rFonts w:hint="eastAsia"/>
          <w:color w:val="000000" w:themeColor="text1"/>
        </w:rPr>
        <w:t>（1）是否属于禁止参加投标的投标人；</w:t>
      </w:r>
    </w:p>
    <w:p w14:paraId="2F92F037">
      <w:pPr>
        <w:ind w:firstLine="480"/>
        <w:rPr>
          <w:color w:val="000000" w:themeColor="text1"/>
        </w:rPr>
      </w:pPr>
      <w:r>
        <w:rPr>
          <w:rFonts w:hint="eastAsia"/>
          <w:color w:val="000000" w:themeColor="text1"/>
        </w:rPr>
        <w:t>（2）是否按照规定要求提供资格性证明材料；</w:t>
      </w:r>
    </w:p>
    <w:p w14:paraId="402FC5B6">
      <w:pPr>
        <w:ind w:firstLine="480"/>
        <w:rPr>
          <w:color w:val="000000" w:themeColor="text1"/>
        </w:rPr>
      </w:pPr>
      <w:r>
        <w:rPr>
          <w:rFonts w:hint="eastAsia"/>
          <w:color w:val="000000" w:themeColor="text1"/>
        </w:rPr>
        <w:t>（3）法律法规规定的其他资格条件。</w:t>
      </w:r>
    </w:p>
    <w:p w14:paraId="73386497">
      <w:pPr>
        <w:ind w:firstLine="480"/>
        <w:rPr>
          <w:color w:val="000000" w:themeColor="text1"/>
        </w:rPr>
      </w:pPr>
      <w:r>
        <w:rPr>
          <w:rFonts w:hint="eastAsia"/>
          <w:color w:val="000000" w:themeColor="text1"/>
        </w:rPr>
        <w:t>4.2 经资格审查不符合招标文件要求的投标文件，即终止其参与投标资格。不符合的理由由投标人确认，投标人拒绝确认的不影响评标委员会作出的不合格裁定。</w:t>
      </w:r>
    </w:p>
    <w:p w14:paraId="13303153">
      <w:pPr>
        <w:ind w:firstLine="480"/>
        <w:rPr>
          <w:color w:val="000000" w:themeColor="text1"/>
        </w:rPr>
      </w:pPr>
      <w:r>
        <w:rPr>
          <w:rFonts w:hint="eastAsia"/>
          <w:color w:val="000000" w:themeColor="text1"/>
        </w:rPr>
        <w:t>5.符合性审查</w:t>
      </w:r>
    </w:p>
    <w:p w14:paraId="7E5EB270">
      <w:pPr>
        <w:ind w:firstLine="480"/>
        <w:rPr>
          <w:color w:val="000000" w:themeColor="text1"/>
        </w:rPr>
      </w:pPr>
      <w:r>
        <w:rPr>
          <w:rFonts w:hint="eastAsia"/>
          <w:color w:val="000000" w:themeColor="text1"/>
        </w:rPr>
        <w:t>5.1评标委员会根据本招标文件的规定，对资格符合投标人的投标文件进行审查，以认定其是否满足本招标文件的实质性要求。符合性审查事项仅限于本招标文件的明确规定，评标委员会不得臆测符合性审查事项。经符合性审查未实质性响应招标文件要求，以投标无效处理。未实质性响应的理由由投标人确认。投标人拒绝确认的不影响评标委员会作出的不合格裁定。评审小组不再进行后续评审。</w:t>
      </w:r>
    </w:p>
    <w:p w14:paraId="48DD298C">
      <w:pPr>
        <w:ind w:firstLine="480"/>
        <w:rPr>
          <w:color w:val="000000" w:themeColor="text1"/>
        </w:rPr>
      </w:pPr>
      <w:r>
        <w:rPr>
          <w:rFonts w:hint="eastAsia"/>
          <w:color w:val="000000" w:themeColor="text1"/>
        </w:rPr>
        <w:t>5.2如果确定投标人无资格履行合同，其投标将被拒绝。</w:t>
      </w:r>
    </w:p>
    <w:p w14:paraId="7137E69B">
      <w:pPr>
        <w:ind w:firstLine="480"/>
        <w:rPr>
          <w:color w:val="000000" w:themeColor="text1"/>
        </w:rPr>
      </w:pPr>
      <w:r>
        <w:rPr>
          <w:rFonts w:hint="eastAsia"/>
          <w:color w:val="000000" w:themeColor="text1"/>
        </w:rPr>
        <w:t>6.投标文件评审</w:t>
      </w:r>
    </w:p>
    <w:p w14:paraId="555CCEC1">
      <w:pPr>
        <w:ind w:firstLine="480"/>
        <w:rPr>
          <w:color w:val="000000" w:themeColor="text1"/>
        </w:rPr>
      </w:pPr>
      <w:r>
        <w:rPr>
          <w:rFonts w:hint="eastAsia"/>
          <w:color w:val="000000" w:themeColor="text1"/>
        </w:rPr>
        <w:t>评审小组应当按照招标文件中规定的评审方法和评分标准，对有效的投标文件进行商务、技术等方面评估、综合比较与评价（详见本章第十条）。</w:t>
      </w:r>
    </w:p>
    <w:p w14:paraId="78FFF2D1">
      <w:pPr>
        <w:pStyle w:val="4"/>
        <w:rPr>
          <w:color w:val="000000" w:themeColor="text1"/>
        </w:rPr>
      </w:pPr>
      <w:bookmarkStart w:id="230" w:name="_Toc13337"/>
      <w:r>
        <w:rPr>
          <w:rFonts w:hint="eastAsia"/>
          <w:color w:val="000000" w:themeColor="text1"/>
        </w:rPr>
        <w:t>七、澄清、说明或补正</w:t>
      </w:r>
      <w:bookmarkEnd w:id="230"/>
    </w:p>
    <w:p w14:paraId="6E7E41F3">
      <w:pPr>
        <w:ind w:firstLine="480"/>
        <w:rPr>
          <w:color w:val="000000" w:themeColor="text1"/>
        </w:rPr>
      </w:pPr>
      <w:r>
        <w:rPr>
          <w:rFonts w:hint="eastAsia"/>
          <w:color w:val="000000" w:themeColor="text1"/>
        </w:rPr>
        <w:t>1.在评审过程中，投标文件实质性符合招标文件要求的前提下，评标委员会对投标文件中含义不明确、同类问题表述不一致或者有明显文字和计算错误的内容，评标委员会可以要求相关投标人作出必要的澄清、说明或修正。但不得超出招标文件的范围，不得以此让投标人实质改变投标文件的内容，不得影响公平竞争和投标文件的效力。澄清、说明或修正内容是投标文件的组成部分。</w:t>
      </w:r>
    </w:p>
    <w:p w14:paraId="2631F3C6">
      <w:pPr>
        <w:ind w:firstLine="480"/>
        <w:rPr>
          <w:color w:val="000000" w:themeColor="text1"/>
        </w:rPr>
      </w:pPr>
      <w:r>
        <w:rPr>
          <w:rFonts w:hint="eastAsia"/>
          <w:color w:val="000000" w:themeColor="text1"/>
        </w:rPr>
        <w:t>2.投标文件报价出现前后不一致的，按照下列规定修正：</w:t>
      </w:r>
    </w:p>
    <w:p w14:paraId="7044ED4E">
      <w:pPr>
        <w:ind w:firstLine="480"/>
        <w:rPr>
          <w:color w:val="000000" w:themeColor="text1"/>
        </w:rPr>
      </w:pPr>
      <w:r>
        <w:rPr>
          <w:rFonts w:hint="eastAsia"/>
          <w:color w:val="000000" w:themeColor="text1"/>
        </w:rPr>
        <w:t>2.1开标时，投标文件中开标一览表（报价表）内容与投标文件中明细表内容不一致的，以开标一览表（报价表）为准；</w:t>
      </w:r>
    </w:p>
    <w:p w14:paraId="61D67A16">
      <w:pPr>
        <w:ind w:firstLine="480"/>
        <w:rPr>
          <w:color w:val="000000" w:themeColor="text1"/>
        </w:rPr>
      </w:pPr>
      <w:r>
        <w:rPr>
          <w:rFonts w:hint="eastAsia"/>
          <w:color w:val="000000" w:themeColor="text1"/>
        </w:rPr>
        <w:t>2.2大写金额和小写金额不一致的，以大写金额为准；但大写金额出现文字错误，导致金额无法判断的除外；</w:t>
      </w:r>
    </w:p>
    <w:p w14:paraId="1E32CEB2">
      <w:pPr>
        <w:ind w:firstLine="480"/>
        <w:rPr>
          <w:color w:val="000000" w:themeColor="text1"/>
        </w:rPr>
      </w:pPr>
      <w:r>
        <w:rPr>
          <w:rFonts w:hint="eastAsia"/>
          <w:color w:val="000000" w:themeColor="text1"/>
        </w:rPr>
        <w:t>2.3总价金额与按单价汇总金额不一致的，以单价金额计算结果为准；但单价金额出现计算错误、明显人为工作失误的除外；</w:t>
      </w:r>
    </w:p>
    <w:p w14:paraId="6881E81F">
      <w:pPr>
        <w:ind w:firstLine="480"/>
        <w:rPr>
          <w:color w:val="000000" w:themeColor="text1"/>
        </w:rPr>
      </w:pPr>
      <w:r>
        <w:rPr>
          <w:rFonts w:hint="eastAsia"/>
          <w:color w:val="000000" w:themeColor="text1"/>
        </w:rPr>
        <w:t>2.4单价金额小数点有明显错位的，应以总价为准，并修改单价。</w:t>
      </w:r>
    </w:p>
    <w:p w14:paraId="4215121A">
      <w:pPr>
        <w:ind w:firstLine="480"/>
        <w:rPr>
          <w:color w:val="000000" w:themeColor="text1"/>
        </w:rPr>
      </w:pPr>
      <w:r>
        <w:rPr>
          <w:rFonts w:hint="eastAsia"/>
          <w:color w:val="000000" w:themeColor="text1"/>
        </w:rPr>
        <w:t>2.5对不同文字文本投标文件的解释发生异议的，以中文文本为准。</w:t>
      </w:r>
    </w:p>
    <w:p w14:paraId="612231C7">
      <w:pPr>
        <w:ind w:firstLine="480"/>
        <w:rPr>
          <w:color w:val="000000" w:themeColor="text1"/>
        </w:rPr>
      </w:pPr>
      <w:r>
        <w:rPr>
          <w:rFonts w:hint="eastAsia"/>
          <w:color w:val="000000" w:themeColor="text1"/>
        </w:rPr>
        <w:t>2.6出现本条第2.3项规定情形，单价汇总金额比总价金额高，且超过最高限价的，其投标文件应作为无效投标处理；单价汇总金额比总价金额高，但未超过采购预算或者本项目最高限价的，应以单价汇总金额作为价格评分依据。</w:t>
      </w:r>
    </w:p>
    <w:p w14:paraId="70E84803">
      <w:pPr>
        <w:ind w:firstLine="480"/>
        <w:rPr>
          <w:color w:val="000000" w:themeColor="text1"/>
        </w:rPr>
      </w:pPr>
      <w:r>
        <w:rPr>
          <w:rFonts w:hint="eastAsia"/>
          <w:color w:val="000000" w:themeColor="text1"/>
        </w:rPr>
        <w:t>3.澄清说明答复函须由投标人法定代表人或授权代理人签字和盖章。如果投标人不接受对其错误的更正，其投标将被拒绝。</w:t>
      </w:r>
    </w:p>
    <w:p w14:paraId="388E0659">
      <w:pPr>
        <w:ind w:firstLine="480"/>
        <w:rPr>
          <w:rFonts w:ascii="宋体" w:hAnsi="宋体" w:cs="宋体"/>
          <w:color w:val="000000" w:themeColor="text1"/>
        </w:rPr>
      </w:pPr>
      <w:r>
        <w:rPr>
          <w:rFonts w:hint="eastAsia"/>
          <w:color w:val="000000" w:themeColor="text1"/>
        </w:rPr>
        <w:t>4.请投标人在评审期间保持电话畅通，如未及时接听电话，视为放弃澄清、说明或补正的权利，视同默认采购结果，事后不得对采购相关人员、采购过程及结果提出异议，责任由投标人自负。</w:t>
      </w:r>
    </w:p>
    <w:p w14:paraId="386A1CB9">
      <w:pPr>
        <w:pStyle w:val="4"/>
        <w:rPr>
          <w:color w:val="000000" w:themeColor="text1"/>
        </w:rPr>
      </w:pPr>
      <w:bookmarkStart w:id="231" w:name="_Toc10529"/>
      <w:r>
        <w:rPr>
          <w:rFonts w:hint="eastAsia"/>
          <w:color w:val="000000" w:themeColor="text1"/>
        </w:rPr>
        <w:t>八、推荐中标人</w:t>
      </w:r>
      <w:bookmarkEnd w:id="231"/>
    </w:p>
    <w:p w14:paraId="508DBDAE">
      <w:pPr>
        <w:ind w:firstLine="480"/>
        <w:rPr>
          <w:rFonts w:ascii="宋体" w:hAnsi="宋体" w:cs="宋体"/>
          <w:color w:val="000000" w:themeColor="text1"/>
        </w:rPr>
      </w:pPr>
      <w:r>
        <w:rPr>
          <w:rFonts w:hint="eastAsia"/>
          <w:color w:val="000000" w:themeColor="text1"/>
        </w:rPr>
        <w:t>中标结果按评审后得分由高到低顺序排列。得分相同的，按最后报价由低到高顺序排列。得分且最后报价相同的并列，经摇号确定排序。</w:t>
      </w:r>
      <w:r>
        <w:rPr>
          <w:rFonts w:hint="eastAsia"/>
          <w:color w:val="000000" w:themeColor="text1"/>
          <w:lang w:val="en-US" w:eastAsia="zh-CN"/>
        </w:rPr>
        <w:t>依次推荐第一中标候选人、第二中标候选人。</w:t>
      </w:r>
    </w:p>
    <w:p w14:paraId="4DC6F7F4">
      <w:pPr>
        <w:pStyle w:val="4"/>
        <w:rPr>
          <w:color w:val="000000" w:themeColor="text1"/>
        </w:rPr>
      </w:pPr>
      <w:bookmarkStart w:id="232" w:name="_Toc20148"/>
      <w:r>
        <w:rPr>
          <w:rFonts w:hint="eastAsia"/>
          <w:color w:val="000000" w:themeColor="text1"/>
        </w:rPr>
        <w:t>九、评审报告</w:t>
      </w:r>
      <w:bookmarkEnd w:id="232"/>
    </w:p>
    <w:p w14:paraId="0C3C09E9">
      <w:pPr>
        <w:ind w:firstLine="480"/>
        <w:rPr>
          <w:rFonts w:ascii="宋体" w:hAnsi="宋体" w:cs="宋体"/>
          <w:color w:val="000000" w:themeColor="text1"/>
        </w:rPr>
      </w:pPr>
      <w:r>
        <w:rPr>
          <w:rFonts w:hint="eastAsia"/>
          <w:color w:val="000000" w:themeColor="text1"/>
        </w:rPr>
        <w:t>评审小组编写评审报告，评审报告由评审小组成员签字。</w:t>
      </w:r>
    </w:p>
    <w:p w14:paraId="499F217B">
      <w:pPr>
        <w:pStyle w:val="4"/>
        <w:rPr>
          <w:color w:val="000000" w:themeColor="text1"/>
        </w:rPr>
      </w:pPr>
      <w:bookmarkStart w:id="233" w:name="_Toc3307"/>
      <w:r>
        <w:rPr>
          <w:rFonts w:hint="eastAsia"/>
          <w:color w:val="000000" w:themeColor="text1"/>
        </w:rPr>
        <w:t>十、评分细则及标准</w:t>
      </w:r>
      <w:bookmarkEnd w:id="233"/>
    </w:p>
    <w:p w14:paraId="48F92107">
      <w:pPr>
        <w:ind w:firstLine="480"/>
        <w:rPr>
          <w:color w:val="000000" w:themeColor="text1"/>
        </w:rPr>
      </w:pPr>
      <w:r>
        <w:rPr>
          <w:rFonts w:hint="eastAsia"/>
          <w:color w:val="000000" w:themeColor="text1"/>
        </w:rPr>
        <w:t>1.评审小组成员根据本办法，对有效的响应文件进行商务、技术等方面评估，综合比较与评价，由各成员独立评分，打分时保留小数1位，每人一份评分表，并签名。在汇总得分时，如果发现某一单项评分超过评分细则规定的分值范围，则该份评分表无效。</w:t>
      </w:r>
    </w:p>
    <w:p w14:paraId="06D5ACC0">
      <w:pPr>
        <w:ind w:firstLine="480"/>
        <w:rPr>
          <w:color w:val="000000" w:themeColor="text1"/>
        </w:rPr>
      </w:pPr>
      <w:r>
        <w:rPr>
          <w:rFonts w:hint="eastAsia"/>
          <w:color w:val="000000" w:themeColor="text1"/>
        </w:rPr>
        <w:t>2.加权汇总每项评分因素的得分，得出每个有效供应商的总分。商务技术部分得分为各成员的有效评分的算术平均值。计算时保留小数二位（第三位四舍五入）。</w:t>
      </w:r>
    </w:p>
    <w:p w14:paraId="150F9C77">
      <w:pPr>
        <w:ind w:firstLine="480"/>
        <w:rPr>
          <w:color w:val="000000" w:themeColor="text1"/>
        </w:rPr>
      </w:pPr>
      <w:r>
        <w:rPr>
          <w:rFonts w:hint="eastAsia"/>
          <w:color w:val="000000" w:themeColor="text1"/>
        </w:rPr>
        <w:t>3.综合评分明细表</w:t>
      </w:r>
    </w:p>
    <w:tbl>
      <w:tblPr>
        <w:tblStyle w:val="3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00"/>
        <w:gridCol w:w="4813"/>
        <w:gridCol w:w="904"/>
      </w:tblGrid>
      <w:tr w14:paraId="3A4A6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blHeader/>
          <w:jc w:val="center"/>
        </w:trPr>
        <w:tc>
          <w:tcPr>
            <w:tcW w:w="2805" w:type="dxa"/>
            <w:gridSpan w:val="2"/>
            <w:vAlign w:val="center"/>
          </w:tcPr>
          <w:p w14:paraId="6B1B6B46">
            <w:pPr>
              <w:pStyle w:val="38"/>
              <w:rPr>
                <w:rFonts w:hint="default"/>
              </w:rPr>
            </w:pPr>
            <w:r>
              <w:t>评分项目</w:t>
            </w:r>
          </w:p>
        </w:tc>
        <w:tc>
          <w:tcPr>
            <w:tcW w:w="4813" w:type="dxa"/>
            <w:vAlign w:val="center"/>
          </w:tcPr>
          <w:p w14:paraId="37E20C2E">
            <w:pPr>
              <w:pStyle w:val="38"/>
              <w:rPr>
                <w:rFonts w:hint="default"/>
              </w:rPr>
            </w:pPr>
            <w:r>
              <w:t>评分细则</w:t>
            </w:r>
          </w:p>
        </w:tc>
        <w:tc>
          <w:tcPr>
            <w:tcW w:w="904" w:type="dxa"/>
            <w:vAlign w:val="center"/>
          </w:tcPr>
          <w:p w14:paraId="722A4D25">
            <w:pPr>
              <w:pStyle w:val="38"/>
              <w:rPr>
                <w:rFonts w:hint="default"/>
              </w:rPr>
            </w:pPr>
            <w:r>
              <w:t>分值</w:t>
            </w:r>
          </w:p>
        </w:tc>
      </w:tr>
      <w:tr w14:paraId="5B180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905" w:type="dxa"/>
            <w:vAlign w:val="center"/>
          </w:tcPr>
          <w:p w14:paraId="1499F0DF">
            <w:pPr>
              <w:pStyle w:val="38"/>
              <w:rPr>
                <w:rFonts w:hint="default" w:ascii="Times New Roman" w:hAnsi="Times New Roman" w:cs="Times New Roman"/>
                <w:bCs w:val="0"/>
              </w:rPr>
            </w:pPr>
            <w:r>
              <w:rPr>
                <w:rFonts w:ascii="Times New Roman" w:hAnsi="Times New Roman" w:cs="Times New Roman"/>
                <w:bCs w:val="0"/>
              </w:rPr>
              <w:t>报价部分</w:t>
            </w:r>
          </w:p>
          <w:p w14:paraId="011DB5FD">
            <w:pPr>
              <w:pStyle w:val="38"/>
              <w:rPr>
                <w:rFonts w:hint="default"/>
              </w:rPr>
            </w:pPr>
            <w:r>
              <w:rPr>
                <w:rFonts w:ascii="Times New Roman" w:hAnsi="Times New Roman" w:cs="Times New Roman"/>
                <w:bCs w:val="0"/>
              </w:rPr>
              <w:t>（1</w:t>
            </w:r>
            <w:r>
              <w:rPr>
                <w:rFonts w:hint="eastAsia" w:ascii="Times New Roman" w:hAnsi="Times New Roman" w:cs="Times New Roman"/>
                <w:bCs w:val="0"/>
                <w:lang w:val="en-US" w:eastAsia="zh-CN"/>
              </w:rPr>
              <w:t>5</w:t>
            </w:r>
            <w:r>
              <w:rPr>
                <w:rFonts w:ascii="Times New Roman" w:hAnsi="Times New Roman" w:cs="Times New Roman"/>
                <w:bCs w:val="0"/>
              </w:rPr>
              <w:t>分</w:t>
            </w:r>
            <w:r>
              <w:t>）</w:t>
            </w:r>
          </w:p>
        </w:tc>
        <w:tc>
          <w:tcPr>
            <w:tcW w:w="1900" w:type="dxa"/>
            <w:vAlign w:val="center"/>
          </w:tcPr>
          <w:p w14:paraId="3EA4D0E0">
            <w:pPr>
              <w:pStyle w:val="38"/>
              <w:rPr>
                <w:rFonts w:hint="default"/>
              </w:rPr>
            </w:pPr>
            <w:r>
              <w:t>最后报价</w:t>
            </w:r>
          </w:p>
        </w:tc>
        <w:tc>
          <w:tcPr>
            <w:tcW w:w="4813" w:type="dxa"/>
            <w:vAlign w:val="center"/>
          </w:tcPr>
          <w:p w14:paraId="0E24E56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1.价格分采用低价优先法计算，即满足招标文件要求且</w:t>
            </w:r>
            <w:r>
              <w:rPr>
                <w:rFonts w:hint="eastAsia"/>
                <w:lang w:val="en-US" w:eastAsia="zh-CN"/>
              </w:rPr>
              <w:t>投标</w:t>
            </w:r>
            <w:r>
              <w:rPr>
                <w:rFonts w:hint="eastAsia"/>
              </w:rPr>
              <w:t>报价最低的为投标基准价。</w:t>
            </w:r>
          </w:p>
          <w:p w14:paraId="5D8A3113">
            <w:pPr>
              <w:pStyle w:val="38"/>
              <w:rPr>
                <w:rFonts w:hint="default"/>
              </w:rPr>
            </w:pPr>
            <w:r>
              <w:rPr>
                <w:rFonts w:hint="eastAsia"/>
              </w:rPr>
              <w:t>2.投标报价得分＝投标基准价/投标报价*</w:t>
            </w:r>
            <w:r>
              <w:rPr>
                <w:rFonts w:hint="eastAsia"/>
                <w:lang w:val="en-US" w:eastAsia="zh-CN"/>
              </w:rPr>
              <w:t>15</w:t>
            </w:r>
            <w:r>
              <w:rPr>
                <w:rFonts w:hint="eastAsia"/>
              </w:rPr>
              <w:t>（保留小数二位，第三位四舍五入）。</w:t>
            </w:r>
          </w:p>
        </w:tc>
        <w:tc>
          <w:tcPr>
            <w:tcW w:w="904" w:type="dxa"/>
            <w:vAlign w:val="center"/>
          </w:tcPr>
          <w:p w14:paraId="7A542810">
            <w:pPr>
              <w:pStyle w:val="38"/>
              <w:rPr>
                <w:rFonts w:hint="default"/>
              </w:rPr>
            </w:pPr>
            <w:r>
              <w:t>0-1</w:t>
            </w:r>
            <w:r>
              <w:rPr>
                <w:rFonts w:hint="eastAsia"/>
                <w:lang w:val="en-US" w:eastAsia="zh-CN"/>
              </w:rPr>
              <w:t>5</w:t>
            </w:r>
            <w:r>
              <w:t>分</w:t>
            </w:r>
          </w:p>
        </w:tc>
      </w:tr>
      <w:tr w14:paraId="3264E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5" w:type="dxa"/>
            <w:vMerge w:val="restart"/>
            <w:vAlign w:val="center"/>
          </w:tcPr>
          <w:p w14:paraId="4199753A">
            <w:pPr>
              <w:pStyle w:val="38"/>
              <w:rPr>
                <w:rFonts w:hint="default"/>
              </w:rPr>
            </w:pPr>
            <w:r>
              <w:rPr>
                <w:rFonts w:hint="eastAsia"/>
                <w:lang w:val="en-US" w:eastAsia="zh-CN"/>
              </w:rPr>
              <w:t>资信</w:t>
            </w:r>
            <w:r>
              <w:t>技术</w:t>
            </w:r>
          </w:p>
          <w:p w14:paraId="6E6E312A">
            <w:pPr>
              <w:pStyle w:val="38"/>
              <w:rPr>
                <w:rFonts w:hint="default"/>
              </w:rPr>
            </w:pPr>
            <w:r>
              <w:t>（</w:t>
            </w:r>
            <w:r>
              <w:rPr>
                <w:rFonts w:hint="eastAsia"/>
                <w:lang w:val="en-US" w:eastAsia="zh-CN"/>
              </w:rPr>
              <w:t>85</w:t>
            </w:r>
            <w:r>
              <w:t>分）</w:t>
            </w:r>
          </w:p>
        </w:tc>
        <w:tc>
          <w:tcPr>
            <w:tcW w:w="1900" w:type="dxa"/>
            <w:vAlign w:val="center"/>
          </w:tcPr>
          <w:p w14:paraId="16A44AC5">
            <w:pPr>
              <w:pStyle w:val="38"/>
              <w:rPr>
                <w:rFonts w:hint="default"/>
              </w:rPr>
            </w:pPr>
            <w:r>
              <w:t>类似业绩</w:t>
            </w:r>
          </w:p>
        </w:tc>
        <w:tc>
          <w:tcPr>
            <w:tcW w:w="4813" w:type="dxa"/>
            <w:vAlign w:val="center"/>
          </w:tcPr>
          <w:p w14:paraId="157B7C1D">
            <w:pPr>
              <w:pStyle w:val="38"/>
              <w:rPr>
                <w:rFonts w:hint="default"/>
              </w:rPr>
            </w:pPr>
            <w:r>
              <w:t>投标人提供自202</w:t>
            </w:r>
            <w:r>
              <w:rPr>
                <w:rFonts w:hint="eastAsia"/>
                <w:lang w:val="en-US" w:eastAsia="zh-CN"/>
              </w:rPr>
              <w:t>1</w:t>
            </w:r>
            <w:r>
              <w:t>年1月1日（具体以合同签订时间为准）以来，承担过与本项目类似的项目（必须为行政、事业或国企单位服务项目且目前正在运行），每提供一项得0.5分，最高得1分。</w:t>
            </w:r>
          </w:p>
          <w:p w14:paraId="184A4602">
            <w:pPr>
              <w:pStyle w:val="38"/>
              <w:rPr>
                <w:rFonts w:hint="default"/>
              </w:rPr>
            </w:pPr>
            <w:r>
              <w:t>须提供合同</w:t>
            </w:r>
            <w:r>
              <w:rPr>
                <w:rFonts w:hint="eastAsia"/>
                <w:lang w:val="en-US" w:eastAsia="zh-CN"/>
              </w:rPr>
              <w:t>及</w:t>
            </w:r>
            <w:r>
              <w:t>中标通知书扫描件并加盖公章，不提供不得分。本项最高得1分。</w:t>
            </w:r>
          </w:p>
        </w:tc>
        <w:tc>
          <w:tcPr>
            <w:tcW w:w="904" w:type="dxa"/>
            <w:vAlign w:val="center"/>
          </w:tcPr>
          <w:p w14:paraId="72B3DD53">
            <w:pPr>
              <w:pStyle w:val="38"/>
              <w:rPr>
                <w:rFonts w:hint="default"/>
              </w:rPr>
            </w:pPr>
            <w:r>
              <w:t>0-1分</w:t>
            </w:r>
          </w:p>
        </w:tc>
      </w:tr>
      <w:tr w14:paraId="2A6BD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905" w:type="dxa"/>
            <w:vMerge w:val="continue"/>
          </w:tcPr>
          <w:p w14:paraId="2418E5A0">
            <w:pPr>
              <w:pStyle w:val="38"/>
              <w:rPr>
                <w:rFonts w:hint="default"/>
              </w:rPr>
            </w:pPr>
          </w:p>
        </w:tc>
        <w:tc>
          <w:tcPr>
            <w:tcW w:w="1900" w:type="dxa"/>
            <w:vAlign w:val="center"/>
          </w:tcPr>
          <w:p w14:paraId="2AF9D8A1">
            <w:pPr>
              <w:pStyle w:val="38"/>
              <w:rPr>
                <w:rFonts w:hint="default"/>
              </w:rPr>
            </w:pPr>
            <w:r>
              <w:t>认证</w:t>
            </w:r>
            <w:r>
              <w:rPr>
                <w:rFonts w:hint="eastAsia"/>
                <w:lang w:val="en-US" w:eastAsia="zh-CN"/>
              </w:rPr>
              <w:t>证书</w:t>
            </w:r>
          </w:p>
        </w:tc>
        <w:tc>
          <w:tcPr>
            <w:tcW w:w="4813" w:type="dxa"/>
          </w:tcPr>
          <w:p w14:paraId="47A42458">
            <w:pPr>
              <w:pStyle w:val="38"/>
              <w:rPr>
                <w:rFonts w:hint="default"/>
              </w:rPr>
            </w:pPr>
            <w:r>
              <w:t>1.投标人具有有效的质量管理体系认证证书的得</w:t>
            </w:r>
            <w:r>
              <w:rPr>
                <w:rFonts w:hint="eastAsia"/>
                <w:lang w:val="en-US" w:eastAsia="zh-CN"/>
              </w:rPr>
              <w:t>0.5</w:t>
            </w:r>
            <w:r>
              <w:t>分。</w:t>
            </w:r>
          </w:p>
          <w:p w14:paraId="486A9E4A">
            <w:pPr>
              <w:pStyle w:val="38"/>
              <w:rPr>
                <w:rFonts w:hint="default"/>
              </w:rPr>
            </w:pPr>
            <w:r>
              <w:t>2.投标人具有有效的环境管理体系认证证书的得</w:t>
            </w:r>
            <w:r>
              <w:rPr>
                <w:rFonts w:hint="eastAsia"/>
                <w:lang w:val="en-US" w:eastAsia="zh-CN"/>
              </w:rPr>
              <w:t>0.5</w:t>
            </w:r>
            <w:r>
              <w:t>分。</w:t>
            </w:r>
          </w:p>
          <w:p w14:paraId="05F3BC83">
            <w:pPr>
              <w:pStyle w:val="38"/>
              <w:rPr>
                <w:rFonts w:hint="default"/>
              </w:rPr>
            </w:pPr>
            <w:r>
              <w:t>3.投标人具有有效的职业健康安全管理体系认证证书的得</w:t>
            </w:r>
            <w:r>
              <w:rPr>
                <w:rFonts w:hint="eastAsia"/>
                <w:lang w:val="en-US" w:eastAsia="zh-CN"/>
              </w:rPr>
              <w:t>0.5</w:t>
            </w:r>
            <w:r>
              <w:t>分。</w:t>
            </w:r>
          </w:p>
          <w:p w14:paraId="6228CF45">
            <w:pPr>
              <w:pStyle w:val="38"/>
              <w:rPr>
                <w:rFonts w:hint="default"/>
              </w:rPr>
            </w:pPr>
            <w:r>
              <w:t>4.投标人具有有效的食品安全管理体系认证证书的得</w:t>
            </w:r>
            <w:r>
              <w:rPr>
                <w:rFonts w:hint="eastAsia"/>
                <w:lang w:val="en-US" w:eastAsia="zh-CN"/>
              </w:rPr>
              <w:t>0.5</w:t>
            </w:r>
            <w:r>
              <w:t>分。</w:t>
            </w:r>
          </w:p>
          <w:p w14:paraId="7F405A19">
            <w:pPr>
              <w:pStyle w:val="38"/>
              <w:rPr>
                <w:rFonts w:hint="default"/>
              </w:rPr>
            </w:pPr>
            <w:r>
              <w:t>须提供有效期内证书扫描件并加盖公章，不提供不得分，本项最高得</w:t>
            </w:r>
            <w:r>
              <w:rPr>
                <w:rFonts w:hint="eastAsia"/>
                <w:lang w:val="en-US" w:eastAsia="zh-CN"/>
              </w:rPr>
              <w:t>2</w:t>
            </w:r>
            <w:r>
              <w:t>分。</w:t>
            </w:r>
          </w:p>
        </w:tc>
        <w:tc>
          <w:tcPr>
            <w:tcW w:w="904" w:type="dxa"/>
            <w:vAlign w:val="center"/>
          </w:tcPr>
          <w:p w14:paraId="53DB71FD">
            <w:pPr>
              <w:pStyle w:val="38"/>
              <w:rPr>
                <w:rFonts w:hint="default"/>
              </w:rPr>
            </w:pPr>
            <w:r>
              <w:t>0-</w:t>
            </w:r>
            <w:r>
              <w:rPr>
                <w:rFonts w:hint="eastAsia"/>
                <w:lang w:val="en-US" w:eastAsia="zh-CN"/>
              </w:rPr>
              <w:t>2</w:t>
            </w:r>
            <w:r>
              <w:t>分</w:t>
            </w:r>
          </w:p>
        </w:tc>
      </w:tr>
      <w:tr w14:paraId="5EC54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05" w:type="dxa"/>
            <w:vMerge w:val="continue"/>
          </w:tcPr>
          <w:p w14:paraId="4A0ADEEB">
            <w:pPr>
              <w:pStyle w:val="38"/>
              <w:rPr>
                <w:rFonts w:hint="default"/>
              </w:rPr>
            </w:pPr>
          </w:p>
        </w:tc>
        <w:tc>
          <w:tcPr>
            <w:tcW w:w="1900" w:type="dxa"/>
            <w:vMerge w:val="restart"/>
            <w:shd w:val="clear" w:color="auto" w:fill="auto"/>
            <w:vAlign w:val="center"/>
          </w:tcPr>
          <w:p w14:paraId="4B39E990">
            <w:pPr>
              <w:pStyle w:val="38"/>
              <w:ind w:firstLine="0" w:firstLineChars="0"/>
              <w:rPr>
                <w:rFonts w:hint="default" w:ascii="宋体" w:hAnsi="宋体" w:eastAsia="宋体" w:cs="宋体"/>
                <w:bCs/>
                <w:kern w:val="2"/>
                <w:sz w:val="24"/>
                <w:szCs w:val="24"/>
                <w:lang w:val="en-US" w:eastAsia="zh-CN" w:bidi="ar-SA"/>
              </w:rPr>
            </w:pPr>
            <w:r>
              <w:t>服务承诺</w:t>
            </w:r>
          </w:p>
        </w:tc>
        <w:tc>
          <w:tcPr>
            <w:tcW w:w="4813" w:type="dxa"/>
            <w:shd w:val="clear" w:color="auto" w:fill="auto"/>
            <w:vAlign w:val="center"/>
          </w:tcPr>
          <w:p w14:paraId="13FA1826">
            <w:pPr>
              <w:pStyle w:val="38"/>
              <w:rPr>
                <w:rFonts w:hint="eastAsia" w:eastAsia="宋体"/>
                <w:lang w:eastAsia="zh-CN"/>
              </w:rPr>
            </w:pPr>
            <w:r>
              <w:t>投标人承诺在接到采购人临时加菜、非工作日的加班等特殊情况的加班处理，能在20分钟内响应的得3分；能在40分钟内响应的得2分；能在60分钟内响应的得1分</w:t>
            </w:r>
            <w:r>
              <w:rPr>
                <w:rFonts w:hint="eastAsia"/>
                <w:lang w:eastAsia="zh-CN"/>
              </w:rPr>
              <w:t>。</w:t>
            </w:r>
          </w:p>
          <w:p w14:paraId="1E99868E">
            <w:pPr>
              <w:pStyle w:val="38"/>
              <w:rPr>
                <w:rFonts w:hint="default" w:ascii="宋体" w:hAnsi="宋体" w:eastAsia="宋体" w:cs="宋体"/>
                <w:bCs/>
                <w:kern w:val="2"/>
                <w:sz w:val="24"/>
                <w:szCs w:val="24"/>
                <w:lang w:val="zh-CN" w:eastAsia="zh-CN" w:bidi="ar-SA"/>
              </w:rPr>
            </w:pPr>
            <w:r>
              <w:rPr>
                <w:rFonts w:hint="eastAsia"/>
                <w:lang w:val="en-US" w:eastAsia="zh-CN"/>
              </w:rPr>
              <w:t>须提供有效承诺函并盖章，不提供不得分。</w:t>
            </w:r>
          </w:p>
        </w:tc>
        <w:tc>
          <w:tcPr>
            <w:tcW w:w="904" w:type="dxa"/>
            <w:shd w:val="clear" w:color="auto" w:fill="auto"/>
            <w:vAlign w:val="center"/>
          </w:tcPr>
          <w:p w14:paraId="7BFB1AA6">
            <w:pPr>
              <w:pStyle w:val="38"/>
              <w:ind w:firstLine="0" w:firstLineChars="0"/>
              <w:rPr>
                <w:rFonts w:hint="default" w:ascii="宋体" w:hAnsi="宋体" w:eastAsia="宋体" w:cs="宋体"/>
                <w:bCs/>
                <w:kern w:val="2"/>
                <w:sz w:val="24"/>
                <w:szCs w:val="24"/>
                <w:lang w:val="en-US" w:eastAsia="zh-CN" w:bidi="ar-SA"/>
              </w:rPr>
            </w:pPr>
            <w:r>
              <w:t>0-</w:t>
            </w:r>
            <w:r>
              <w:rPr>
                <w:rFonts w:hint="eastAsia"/>
                <w:lang w:val="en-US" w:eastAsia="zh-CN"/>
              </w:rPr>
              <w:t>3</w:t>
            </w:r>
            <w:r>
              <w:t>分</w:t>
            </w:r>
          </w:p>
        </w:tc>
      </w:tr>
      <w:tr w14:paraId="5F335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05" w:type="dxa"/>
            <w:vMerge w:val="continue"/>
          </w:tcPr>
          <w:p w14:paraId="2A7B692E">
            <w:pPr>
              <w:pStyle w:val="38"/>
              <w:rPr>
                <w:rFonts w:hint="default"/>
              </w:rPr>
            </w:pPr>
          </w:p>
        </w:tc>
        <w:tc>
          <w:tcPr>
            <w:tcW w:w="1900" w:type="dxa"/>
            <w:vMerge w:val="continue"/>
            <w:vAlign w:val="center"/>
          </w:tcPr>
          <w:p w14:paraId="0CA40BFC">
            <w:pPr>
              <w:pStyle w:val="38"/>
              <w:rPr>
                <w:rFonts w:hint="default"/>
              </w:rPr>
            </w:pPr>
          </w:p>
        </w:tc>
        <w:tc>
          <w:tcPr>
            <w:tcW w:w="4813" w:type="dxa"/>
            <w:vAlign w:val="center"/>
          </w:tcPr>
          <w:p w14:paraId="15A373DC">
            <w:pPr>
              <w:pStyle w:val="38"/>
              <w:rPr>
                <w:rFonts w:hint="eastAsia"/>
                <w:lang w:eastAsia="zh-CN"/>
              </w:rPr>
            </w:pPr>
            <w:r>
              <w:t>承诺按劳动法的要求对食堂员工进行培训、体检</w:t>
            </w:r>
            <w:r>
              <w:rPr>
                <w:rFonts w:hint="eastAsia"/>
                <w:lang w:val="en-US" w:eastAsia="zh-CN"/>
              </w:rPr>
              <w:t>得2分</w:t>
            </w:r>
            <w:r>
              <w:rPr>
                <w:rFonts w:hint="eastAsia"/>
                <w:lang w:eastAsia="zh-CN"/>
              </w:rPr>
              <w:t>；</w:t>
            </w:r>
          </w:p>
          <w:p w14:paraId="7A422711">
            <w:pPr>
              <w:pStyle w:val="38"/>
              <w:rPr>
                <w:rFonts w:hint="default"/>
              </w:rPr>
            </w:pPr>
            <w:r>
              <w:rPr>
                <w:rFonts w:hint="eastAsia"/>
                <w:lang w:val="en-US" w:eastAsia="zh-CN"/>
              </w:rPr>
              <w:t>须提供有效承诺函并盖章，不提供不得分。</w:t>
            </w:r>
          </w:p>
        </w:tc>
        <w:tc>
          <w:tcPr>
            <w:tcW w:w="904" w:type="dxa"/>
            <w:vAlign w:val="center"/>
          </w:tcPr>
          <w:p w14:paraId="7AFC976A">
            <w:pPr>
              <w:pStyle w:val="38"/>
              <w:rPr>
                <w:rFonts w:hint="default" w:eastAsia="宋体"/>
                <w:lang w:val="en-US" w:eastAsia="zh-CN"/>
              </w:rPr>
            </w:pPr>
            <w:r>
              <w:rPr>
                <w:rFonts w:hint="eastAsia"/>
                <w:lang w:val="en-US" w:eastAsia="zh-CN"/>
              </w:rPr>
              <w:t>0-2分</w:t>
            </w:r>
          </w:p>
        </w:tc>
      </w:tr>
      <w:tr w14:paraId="07E0D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05" w:type="dxa"/>
            <w:vMerge w:val="continue"/>
          </w:tcPr>
          <w:p w14:paraId="18FA04AC">
            <w:pPr>
              <w:pStyle w:val="38"/>
              <w:rPr>
                <w:rFonts w:hint="default"/>
              </w:rPr>
            </w:pPr>
          </w:p>
        </w:tc>
        <w:tc>
          <w:tcPr>
            <w:tcW w:w="1900" w:type="dxa"/>
            <w:vMerge w:val="continue"/>
            <w:vAlign w:val="center"/>
          </w:tcPr>
          <w:p w14:paraId="3626C388">
            <w:pPr>
              <w:pStyle w:val="38"/>
              <w:rPr>
                <w:rFonts w:hint="default"/>
              </w:rPr>
            </w:pPr>
          </w:p>
        </w:tc>
        <w:tc>
          <w:tcPr>
            <w:tcW w:w="4813" w:type="dxa"/>
            <w:vAlign w:val="center"/>
          </w:tcPr>
          <w:p w14:paraId="706D08FB">
            <w:pPr>
              <w:pStyle w:val="38"/>
              <w:rPr>
                <w:rFonts w:hint="eastAsia"/>
                <w:lang w:eastAsia="zh-CN"/>
              </w:rPr>
            </w:pPr>
            <w:r>
              <w:rPr>
                <w:rFonts w:hint="eastAsia"/>
                <w:lang w:val="en-US" w:eastAsia="zh-CN"/>
              </w:rPr>
              <w:t>承诺</w:t>
            </w:r>
            <w:r>
              <w:t>独立解决今后与食堂员工有关的劳资纠纷</w:t>
            </w:r>
            <w:r>
              <w:rPr>
                <w:rFonts w:hint="eastAsia"/>
                <w:lang w:val="en-US" w:eastAsia="zh-CN"/>
              </w:rPr>
              <w:t>得2分</w:t>
            </w:r>
            <w:r>
              <w:rPr>
                <w:rFonts w:hint="eastAsia"/>
                <w:lang w:eastAsia="zh-CN"/>
              </w:rPr>
              <w:t>。</w:t>
            </w:r>
          </w:p>
          <w:p w14:paraId="585482C1">
            <w:pPr>
              <w:pStyle w:val="38"/>
              <w:rPr>
                <w:rFonts w:hint="default"/>
                <w:lang w:eastAsia="zh-CN"/>
              </w:rPr>
            </w:pPr>
            <w:r>
              <w:rPr>
                <w:rFonts w:hint="eastAsia"/>
                <w:lang w:val="en-US" w:eastAsia="zh-CN"/>
              </w:rPr>
              <w:t>须提供有效承诺函并盖章，不提供不得分。</w:t>
            </w:r>
          </w:p>
        </w:tc>
        <w:tc>
          <w:tcPr>
            <w:tcW w:w="904" w:type="dxa"/>
            <w:vAlign w:val="center"/>
          </w:tcPr>
          <w:p w14:paraId="0BD96B3B">
            <w:pPr>
              <w:pStyle w:val="38"/>
              <w:rPr>
                <w:rFonts w:hint="default" w:eastAsia="宋体"/>
                <w:lang w:val="en-US" w:eastAsia="zh-CN"/>
              </w:rPr>
            </w:pPr>
            <w:r>
              <w:rPr>
                <w:rFonts w:hint="eastAsia"/>
                <w:lang w:val="en-US" w:eastAsia="zh-CN"/>
              </w:rPr>
              <w:t>0-2分</w:t>
            </w:r>
          </w:p>
        </w:tc>
      </w:tr>
      <w:tr w14:paraId="04CA4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05" w:type="dxa"/>
            <w:vMerge w:val="continue"/>
          </w:tcPr>
          <w:p w14:paraId="3CBBEED7">
            <w:pPr>
              <w:pStyle w:val="38"/>
              <w:rPr>
                <w:rFonts w:hint="default"/>
              </w:rPr>
            </w:pPr>
          </w:p>
        </w:tc>
        <w:tc>
          <w:tcPr>
            <w:tcW w:w="1900" w:type="dxa"/>
            <w:vAlign w:val="center"/>
          </w:tcPr>
          <w:p w14:paraId="0661360D">
            <w:pPr>
              <w:pStyle w:val="38"/>
              <w:rPr>
                <w:rFonts w:hint="default"/>
              </w:rPr>
            </w:pPr>
            <w:r>
              <w:rPr>
                <w:rFonts w:hint="default"/>
              </w:rPr>
              <w:t>食堂管理目标、原则及工作思路</w:t>
            </w:r>
          </w:p>
        </w:tc>
        <w:tc>
          <w:tcPr>
            <w:tcW w:w="4813" w:type="dxa"/>
            <w:vAlign w:val="center"/>
          </w:tcPr>
          <w:p w14:paraId="0E7C6CC0">
            <w:pPr>
              <w:pStyle w:val="38"/>
              <w:rPr>
                <w:rFonts w:hint="default"/>
              </w:rPr>
            </w:pPr>
            <w:r>
              <w:rPr>
                <w:rFonts w:hint="default"/>
              </w:rPr>
              <w:t>根据投标人对项目理解是否准确、管理目标、工作思路是否科学、可行等方面进行综合评分。</w:t>
            </w:r>
            <w:r>
              <w:rPr>
                <w:rFonts w:hint="eastAsia" w:ascii="宋体" w:hAnsi="宋体" w:eastAsia="宋体" w:cs="宋体"/>
                <w:lang w:val="en-US" w:eastAsia="zh-CN"/>
              </w:rPr>
              <w:t>【评分范围5、4、3、2、1、0】</w:t>
            </w:r>
          </w:p>
        </w:tc>
        <w:tc>
          <w:tcPr>
            <w:tcW w:w="904" w:type="dxa"/>
            <w:vAlign w:val="center"/>
          </w:tcPr>
          <w:p w14:paraId="3E0E65E4">
            <w:pPr>
              <w:pStyle w:val="38"/>
              <w:rPr>
                <w:rFonts w:hint="default"/>
              </w:rPr>
            </w:pPr>
            <w:r>
              <w:t>0-</w:t>
            </w:r>
            <w:r>
              <w:rPr>
                <w:rFonts w:hint="eastAsia"/>
                <w:lang w:val="en-US" w:eastAsia="zh-CN"/>
              </w:rPr>
              <w:t>5</w:t>
            </w:r>
            <w:r>
              <w:t>分</w:t>
            </w:r>
          </w:p>
        </w:tc>
      </w:tr>
      <w:tr w14:paraId="0BABC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905" w:type="dxa"/>
            <w:vMerge w:val="continue"/>
          </w:tcPr>
          <w:p w14:paraId="1944199A">
            <w:pPr>
              <w:pStyle w:val="38"/>
              <w:rPr>
                <w:rFonts w:hint="default"/>
              </w:rPr>
            </w:pPr>
          </w:p>
        </w:tc>
        <w:tc>
          <w:tcPr>
            <w:tcW w:w="1900" w:type="dxa"/>
            <w:vAlign w:val="center"/>
          </w:tcPr>
          <w:p w14:paraId="25C3B1DB">
            <w:pPr>
              <w:pStyle w:val="38"/>
              <w:rPr>
                <w:rFonts w:hint="default"/>
              </w:rPr>
            </w:pPr>
            <w:r>
              <w:rPr>
                <w:rFonts w:hint="default"/>
              </w:rPr>
              <w:t>针对本项目制定的人员管理考核制度</w:t>
            </w:r>
          </w:p>
        </w:tc>
        <w:tc>
          <w:tcPr>
            <w:tcW w:w="4813" w:type="dxa"/>
            <w:vAlign w:val="center"/>
          </w:tcPr>
          <w:p w14:paraId="1487BB5F">
            <w:pPr>
              <w:pStyle w:val="38"/>
              <w:rPr>
                <w:rFonts w:hint="default"/>
              </w:rPr>
            </w:pPr>
            <w:r>
              <w:rPr>
                <w:rFonts w:hint="default"/>
              </w:rPr>
              <w:t>根据管理考核制度的完整性、合理性、可行性等方面进行综合评分。</w:t>
            </w:r>
            <w:r>
              <w:rPr>
                <w:rFonts w:hint="eastAsia" w:ascii="宋体" w:hAnsi="宋体" w:eastAsia="宋体" w:cs="宋体"/>
                <w:lang w:val="en-US" w:eastAsia="zh-CN"/>
              </w:rPr>
              <w:t>【评分范围5、4、3、2、1、0】</w:t>
            </w:r>
          </w:p>
        </w:tc>
        <w:tc>
          <w:tcPr>
            <w:tcW w:w="904" w:type="dxa"/>
            <w:vAlign w:val="center"/>
          </w:tcPr>
          <w:p w14:paraId="060F3264">
            <w:pPr>
              <w:pStyle w:val="38"/>
              <w:rPr>
                <w:rFonts w:hint="default"/>
              </w:rPr>
            </w:pPr>
            <w:r>
              <w:t>0-</w:t>
            </w:r>
            <w:r>
              <w:rPr>
                <w:rFonts w:hint="eastAsia"/>
                <w:lang w:val="en-US" w:eastAsia="zh-CN"/>
              </w:rPr>
              <w:t>5</w:t>
            </w:r>
            <w:r>
              <w:t>分</w:t>
            </w:r>
          </w:p>
        </w:tc>
      </w:tr>
      <w:tr w14:paraId="2269E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05" w:type="dxa"/>
            <w:vMerge w:val="continue"/>
          </w:tcPr>
          <w:p w14:paraId="7504D059">
            <w:pPr>
              <w:pStyle w:val="38"/>
              <w:rPr>
                <w:rFonts w:hint="default"/>
              </w:rPr>
            </w:pPr>
          </w:p>
        </w:tc>
        <w:tc>
          <w:tcPr>
            <w:tcW w:w="1900" w:type="dxa"/>
            <w:vAlign w:val="center"/>
          </w:tcPr>
          <w:p w14:paraId="59DB5A04">
            <w:pPr>
              <w:pStyle w:val="38"/>
              <w:rPr>
                <w:rFonts w:hint="default"/>
              </w:rPr>
            </w:pPr>
            <w:r>
              <w:rPr>
                <w:rFonts w:hint="default"/>
              </w:rPr>
              <w:t>重大活动、突发事件的保障措施</w:t>
            </w:r>
          </w:p>
        </w:tc>
        <w:tc>
          <w:tcPr>
            <w:tcW w:w="4813" w:type="dxa"/>
            <w:vAlign w:val="center"/>
          </w:tcPr>
          <w:p w14:paraId="71B49A1B">
            <w:pPr>
              <w:pStyle w:val="38"/>
              <w:rPr>
                <w:rFonts w:hint="default"/>
              </w:rPr>
            </w:pPr>
            <w:r>
              <w:rPr>
                <w:rFonts w:hint="default"/>
              </w:rPr>
              <w:t>遇有重大活动或突发事件，如何及时组织力量做好各项工作，根据投标人制定的各类事件处理方案的合理性、科学性等方面进行综合评分。</w:t>
            </w:r>
            <w:r>
              <w:rPr>
                <w:rFonts w:hint="eastAsia" w:ascii="宋体" w:hAnsi="宋体" w:eastAsia="宋体" w:cs="宋体"/>
                <w:lang w:val="en-US" w:eastAsia="zh-CN"/>
              </w:rPr>
              <w:t>【评分范围5、4、3、2、1、0】</w:t>
            </w:r>
          </w:p>
        </w:tc>
        <w:tc>
          <w:tcPr>
            <w:tcW w:w="904" w:type="dxa"/>
            <w:vAlign w:val="center"/>
          </w:tcPr>
          <w:p w14:paraId="1DBA1D4D">
            <w:pPr>
              <w:pStyle w:val="38"/>
              <w:rPr>
                <w:rFonts w:hint="default"/>
              </w:rPr>
            </w:pPr>
            <w:r>
              <w:t>0</w:t>
            </w:r>
            <w:r>
              <w:rPr>
                <w:rFonts w:hint="eastAsia"/>
                <w:lang w:val="en-US" w:eastAsia="zh-CN"/>
              </w:rPr>
              <w:t>-5</w:t>
            </w:r>
            <w:r>
              <w:t>分</w:t>
            </w:r>
          </w:p>
        </w:tc>
      </w:tr>
      <w:tr w14:paraId="20FD5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05" w:type="dxa"/>
            <w:vMerge w:val="continue"/>
          </w:tcPr>
          <w:p w14:paraId="0164F1F6">
            <w:pPr>
              <w:pStyle w:val="38"/>
              <w:rPr>
                <w:rFonts w:hint="default"/>
              </w:rPr>
            </w:pPr>
          </w:p>
        </w:tc>
        <w:tc>
          <w:tcPr>
            <w:tcW w:w="1900" w:type="dxa"/>
            <w:vMerge w:val="restart"/>
            <w:vAlign w:val="center"/>
          </w:tcPr>
          <w:p w14:paraId="05662D73">
            <w:pPr>
              <w:pStyle w:val="38"/>
              <w:rPr>
                <w:rFonts w:hint="default"/>
              </w:rPr>
            </w:pPr>
            <w:r>
              <w:t>食堂管理服务方案</w:t>
            </w:r>
          </w:p>
        </w:tc>
        <w:tc>
          <w:tcPr>
            <w:tcW w:w="4813" w:type="dxa"/>
            <w:vAlign w:val="center"/>
          </w:tcPr>
          <w:p w14:paraId="69271912">
            <w:pPr>
              <w:pStyle w:val="38"/>
              <w:rPr>
                <w:rFonts w:hint="default"/>
              </w:rPr>
            </w:pPr>
            <w:r>
              <w:t>根据投标人制定的服务工作计划、流程，劳动力的投入计划等方面进行综合评分。</w:t>
            </w:r>
            <w:r>
              <w:rPr>
                <w:rFonts w:hint="eastAsia" w:ascii="宋体" w:hAnsi="宋体" w:eastAsia="宋体" w:cs="宋体"/>
                <w:lang w:val="en-US" w:eastAsia="zh-CN"/>
              </w:rPr>
              <w:t>【评分范围5、4、3、2、1、0】</w:t>
            </w:r>
          </w:p>
        </w:tc>
        <w:tc>
          <w:tcPr>
            <w:tcW w:w="904" w:type="dxa"/>
            <w:vAlign w:val="center"/>
          </w:tcPr>
          <w:p w14:paraId="7D509A7C">
            <w:pPr>
              <w:pStyle w:val="38"/>
              <w:rPr>
                <w:rFonts w:hint="default"/>
              </w:rPr>
            </w:pPr>
            <w:r>
              <w:t>0-</w:t>
            </w:r>
            <w:r>
              <w:rPr>
                <w:rFonts w:hint="eastAsia"/>
                <w:lang w:val="en-US" w:eastAsia="zh-CN"/>
              </w:rPr>
              <w:t>5</w:t>
            </w:r>
            <w:r>
              <w:t>分</w:t>
            </w:r>
          </w:p>
        </w:tc>
      </w:tr>
      <w:tr w14:paraId="7984A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905" w:type="dxa"/>
            <w:vMerge w:val="continue"/>
          </w:tcPr>
          <w:p w14:paraId="31F0C59A">
            <w:pPr>
              <w:pStyle w:val="38"/>
              <w:rPr>
                <w:rFonts w:hint="default"/>
              </w:rPr>
            </w:pPr>
          </w:p>
        </w:tc>
        <w:tc>
          <w:tcPr>
            <w:tcW w:w="1900" w:type="dxa"/>
            <w:vMerge w:val="continue"/>
            <w:vAlign w:val="center"/>
          </w:tcPr>
          <w:p w14:paraId="60134203">
            <w:pPr>
              <w:pStyle w:val="38"/>
              <w:rPr>
                <w:rFonts w:hint="default"/>
              </w:rPr>
            </w:pPr>
          </w:p>
        </w:tc>
        <w:tc>
          <w:tcPr>
            <w:tcW w:w="4813" w:type="dxa"/>
            <w:vAlign w:val="center"/>
          </w:tcPr>
          <w:p w14:paraId="2E3D29A4">
            <w:pPr>
              <w:pStyle w:val="38"/>
              <w:rPr>
                <w:rFonts w:hint="default"/>
              </w:rPr>
            </w:pPr>
            <w:r>
              <w:t>食堂环境卫生等方面服务内容（包括餐桌、地面、餐具、排水沟、设备设施、工具、员工仪表等）等方面进行综合评分。</w:t>
            </w:r>
            <w:r>
              <w:rPr>
                <w:rFonts w:hint="eastAsia" w:ascii="宋体" w:hAnsi="宋体" w:eastAsia="宋体" w:cs="宋体"/>
                <w:lang w:val="en-US" w:eastAsia="zh-CN"/>
              </w:rPr>
              <w:t>【评分范围5、4、3、2、1、0】</w:t>
            </w:r>
          </w:p>
        </w:tc>
        <w:tc>
          <w:tcPr>
            <w:tcW w:w="904" w:type="dxa"/>
            <w:vAlign w:val="center"/>
          </w:tcPr>
          <w:p w14:paraId="447AF3D0">
            <w:pPr>
              <w:pStyle w:val="38"/>
              <w:rPr>
                <w:rFonts w:hint="default"/>
              </w:rPr>
            </w:pPr>
            <w:r>
              <w:t>0-</w:t>
            </w:r>
            <w:r>
              <w:rPr>
                <w:rFonts w:hint="eastAsia"/>
                <w:lang w:val="en-US" w:eastAsia="zh-CN"/>
              </w:rPr>
              <w:t>5</w:t>
            </w:r>
            <w:r>
              <w:t>分</w:t>
            </w:r>
          </w:p>
        </w:tc>
      </w:tr>
      <w:tr w14:paraId="4F164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905" w:type="dxa"/>
            <w:vMerge w:val="continue"/>
          </w:tcPr>
          <w:p w14:paraId="22DFBD70">
            <w:pPr>
              <w:pStyle w:val="38"/>
              <w:rPr>
                <w:rFonts w:hint="default"/>
              </w:rPr>
            </w:pPr>
          </w:p>
        </w:tc>
        <w:tc>
          <w:tcPr>
            <w:tcW w:w="1900" w:type="dxa"/>
            <w:vMerge w:val="continue"/>
            <w:vAlign w:val="center"/>
          </w:tcPr>
          <w:p w14:paraId="4E01D2D8">
            <w:pPr>
              <w:pStyle w:val="38"/>
              <w:rPr>
                <w:rFonts w:hint="default"/>
              </w:rPr>
            </w:pPr>
          </w:p>
        </w:tc>
        <w:tc>
          <w:tcPr>
            <w:tcW w:w="4813" w:type="dxa"/>
            <w:vAlign w:val="center"/>
          </w:tcPr>
          <w:p w14:paraId="588088D1">
            <w:pPr>
              <w:pStyle w:val="38"/>
              <w:rPr>
                <w:rFonts w:hint="default"/>
              </w:rPr>
            </w:pPr>
            <w:r>
              <w:t>保证员工提供优质服务等方面内容（包括服务质量、服务态度、班次调配、效率等）以及应急就餐方案等方面进行综合评分。</w:t>
            </w:r>
            <w:r>
              <w:rPr>
                <w:rFonts w:hint="eastAsia" w:ascii="宋体" w:hAnsi="宋体" w:eastAsia="宋体" w:cs="宋体"/>
                <w:lang w:val="en-US" w:eastAsia="zh-CN"/>
              </w:rPr>
              <w:t>【评分范围5、4、3、2、1、0】</w:t>
            </w:r>
          </w:p>
        </w:tc>
        <w:tc>
          <w:tcPr>
            <w:tcW w:w="904" w:type="dxa"/>
            <w:vAlign w:val="center"/>
          </w:tcPr>
          <w:p w14:paraId="015B2E4C">
            <w:pPr>
              <w:pStyle w:val="38"/>
              <w:rPr>
                <w:rFonts w:hint="default"/>
              </w:rPr>
            </w:pPr>
            <w:r>
              <w:t>0-</w:t>
            </w:r>
            <w:r>
              <w:rPr>
                <w:rFonts w:hint="eastAsia"/>
                <w:lang w:val="en-US" w:eastAsia="zh-CN"/>
              </w:rPr>
              <w:t>5</w:t>
            </w:r>
            <w:r>
              <w:t>分</w:t>
            </w:r>
          </w:p>
        </w:tc>
      </w:tr>
      <w:tr w14:paraId="0BFD7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905" w:type="dxa"/>
            <w:vMerge w:val="continue"/>
          </w:tcPr>
          <w:p w14:paraId="2C14FA1C">
            <w:pPr>
              <w:pStyle w:val="38"/>
              <w:rPr>
                <w:rFonts w:hint="default"/>
              </w:rPr>
            </w:pPr>
          </w:p>
        </w:tc>
        <w:tc>
          <w:tcPr>
            <w:tcW w:w="1900" w:type="dxa"/>
            <w:vMerge w:val="continue"/>
            <w:vAlign w:val="center"/>
          </w:tcPr>
          <w:p w14:paraId="7EBC3E11">
            <w:pPr>
              <w:pStyle w:val="38"/>
              <w:rPr>
                <w:rFonts w:hint="default"/>
              </w:rPr>
            </w:pPr>
          </w:p>
        </w:tc>
        <w:tc>
          <w:tcPr>
            <w:tcW w:w="4813" w:type="dxa"/>
            <w:vAlign w:val="center"/>
          </w:tcPr>
          <w:p w14:paraId="036574DE">
            <w:pPr>
              <w:pStyle w:val="38"/>
              <w:rPr>
                <w:rFonts w:hint="default"/>
              </w:rPr>
            </w:pPr>
            <w:r>
              <w:t>食堂工作人员及就餐人员的卫生防疫、消防、人身安全保证措施及奖罚承诺等方面进行综合评分。</w:t>
            </w:r>
            <w:r>
              <w:rPr>
                <w:rFonts w:hint="eastAsia" w:ascii="宋体" w:hAnsi="宋体" w:eastAsia="宋体" w:cs="宋体"/>
                <w:lang w:val="en-US" w:eastAsia="zh-CN"/>
              </w:rPr>
              <w:t>【评分范围5、4、3、2、1、0】</w:t>
            </w:r>
          </w:p>
        </w:tc>
        <w:tc>
          <w:tcPr>
            <w:tcW w:w="904" w:type="dxa"/>
            <w:vAlign w:val="center"/>
          </w:tcPr>
          <w:p w14:paraId="4EDBC8D0">
            <w:pPr>
              <w:pStyle w:val="38"/>
              <w:rPr>
                <w:rFonts w:hint="default"/>
              </w:rPr>
            </w:pPr>
            <w:r>
              <w:t>0-</w:t>
            </w:r>
            <w:r>
              <w:rPr>
                <w:rFonts w:hint="eastAsia"/>
                <w:lang w:val="en-US" w:eastAsia="zh-CN"/>
              </w:rPr>
              <w:t>5</w:t>
            </w:r>
            <w:r>
              <w:t>分</w:t>
            </w:r>
          </w:p>
        </w:tc>
      </w:tr>
      <w:tr w14:paraId="57450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05" w:type="dxa"/>
            <w:vMerge w:val="continue"/>
          </w:tcPr>
          <w:p w14:paraId="7131C005">
            <w:pPr>
              <w:pStyle w:val="38"/>
              <w:rPr>
                <w:rFonts w:hint="default"/>
              </w:rPr>
            </w:pPr>
          </w:p>
        </w:tc>
        <w:tc>
          <w:tcPr>
            <w:tcW w:w="1900" w:type="dxa"/>
            <w:vMerge w:val="continue"/>
            <w:vAlign w:val="center"/>
          </w:tcPr>
          <w:p w14:paraId="3768C0BA">
            <w:pPr>
              <w:pStyle w:val="38"/>
              <w:rPr>
                <w:rFonts w:hint="default"/>
              </w:rPr>
            </w:pPr>
          </w:p>
        </w:tc>
        <w:tc>
          <w:tcPr>
            <w:tcW w:w="4813" w:type="dxa"/>
            <w:vAlign w:val="center"/>
          </w:tcPr>
          <w:p w14:paraId="0C09C01C">
            <w:pPr>
              <w:pStyle w:val="38"/>
              <w:rPr>
                <w:rFonts w:hint="default"/>
              </w:rPr>
            </w:pPr>
            <w:r>
              <w:t>管理制度、岗位职责的制定；节能方案等方面进行综合评分。</w:t>
            </w:r>
            <w:r>
              <w:rPr>
                <w:rFonts w:hint="eastAsia" w:ascii="宋体" w:hAnsi="宋体" w:eastAsia="宋体" w:cs="宋体"/>
                <w:lang w:val="en-US" w:eastAsia="zh-CN"/>
              </w:rPr>
              <w:t>【评分范围5、4、3、2、1、0】</w:t>
            </w:r>
          </w:p>
        </w:tc>
        <w:tc>
          <w:tcPr>
            <w:tcW w:w="904" w:type="dxa"/>
            <w:vAlign w:val="center"/>
          </w:tcPr>
          <w:p w14:paraId="513202A2">
            <w:pPr>
              <w:pStyle w:val="38"/>
              <w:rPr>
                <w:rFonts w:hint="default"/>
              </w:rPr>
            </w:pPr>
            <w:r>
              <w:t>0-</w:t>
            </w:r>
            <w:r>
              <w:rPr>
                <w:rFonts w:hint="eastAsia"/>
                <w:lang w:val="en-US" w:eastAsia="zh-CN"/>
              </w:rPr>
              <w:t>5</w:t>
            </w:r>
            <w:r>
              <w:t>分</w:t>
            </w:r>
          </w:p>
        </w:tc>
      </w:tr>
      <w:tr w14:paraId="284D3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05" w:type="dxa"/>
            <w:vMerge w:val="continue"/>
          </w:tcPr>
          <w:p w14:paraId="1338E258">
            <w:pPr>
              <w:pStyle w:val="38"/>
              <w:rPr>
                <w:rFonts w:hint="default"/>
              </w:rPr>
            </w:pPr>
          </w:p>
        </w:tc>
        <w:tc>
          <w:tcPr>
            <w:tcW w:w="1900" w:type="dxa"/>
            <w:vMerge w:val="restart"/>
            <w:vAlign w:val="center"/>
          </w:tcPr>
          <w:p w14:paraId="4B3F8E8F">
            <w:pPr>
              <w:pStyle w:val="38"/>
              <w:rPr>
                <w:rFonts w:hint="default"/>
              </w:rPr>
            </w:pPr>
            <w:r>
              <w:t>拟投入本项目的人员安排分配情况</w:t>
            </w:r>
          </w:p>
        </w:tc>
        <w:tc>
          <w:tcPr>
            <w:tcW w:w="4813" w:type="dxa"/>
            <w:vAlign w:val="center"/>
          </w:tcPr>
          <w:p w14:paraId="51C580F5">
            <w:pPr>
              <w:pStyle w:val="38"/>
              <w:rPr>
                <w:rFonts w:hint="default"/>
              </w:rPr>
            </w:pPr>
            <w:r>
              <w:t>根据投标人提供的人员安排分配情况比较，人员力量和人力资源安排等方面进行综合评分。</w:t>
            </w:r>
            <w:r>
              <w:rPr>
                <w:rFonts w:hint="eastAsia" w:ascii="宋体" w:hAnsi="宋体" w:eastAsia="宋体" w:cs="宋体"/>
                <w:lang w:val="en-US" w:eastAsia="zh-CN"/>
              </w:rPr>
              <w:t>【评分范围5、4、3、2、1、0】</w:t>
            </w:r>
          </w:p>
        </w:tc>
        <w:tc>
          <w:tcPr>
            <w:tcW w:w="904" w:type="dxa"/>
            <w:vAlign w:val="center"/>
          </w:tcPr>
          <w:p w14:paraId="3D48B1F0">
            <w:pPr>
              <w:pStyle w:val="38"/>
              <w:rPr>
                <w:rFonts w:hint="default"/>
              </w:rPr>
            </w:pPr>
            <w:r>
              <w:t>0-</w:t>
            </w:r>
            <w:r>
              <w:rPr>
                <w:rFonts w:hint="eastAsia"/>
                <w:lang w:val="en-US" w:eastAsia="zh-CN"/>
              </w:rPr>
              <w:t>5</w:t>
            </w:r>
            <w:r>
              <w:t>分</w:t>
            </w:r>
          </w:p>
        </w:tc>
      </w:tr>
      <w:tr w14:paraId="50F15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905" w:type="dxa"/>
            <w:vMerge w:val="continue"/>
          </w:tcPr>
          <w:p w14:paraId="714E9F3E">
            <w:pPr>
              <w:pStyle w:val="38"/>
              <w:rPr>
                <w:rFonts w:hint="default"/>
              </w:rPr>
            </w:pPr>
          </w:p>
        </w:tc>
        <w:tc>
          <w:tcPr>
            <w:tcW w:w="1900" w:type="dxa"/>
            <w:vMerge w:val="continue"/>
            <w:vAlign w:val="center"/>
          </w:tcPr>
          <w:p w14:paraId="05922401">
            <w:pPr>
              <w:pStyle w:val="38"/>
              <w:rPr>
                <w:rFonts w:hint="default"/>
              </w:rPr>
            </w:pPr>
          </w:p>
        </w:tc>
        <w:tc>
          <w:tcPr>
            <w:tcW w:w="4813" w:type="dxa"/>
            <w:vAlign w:val="center"/>
          </w:tcPr>
          <w:p w14:paraId="5A48CDE2">
            <w:pPr>
              <w:pStyle w:val="38"/>
              <w:spacing w:line="300" w:lineRule="exact"/>
              <w:rPr>
                <w:rFonts w:hint="default"/>
              </w:rPr>
            </w:pPr>
            <w:r>
              <w:t>拟派项目负责人相关情况（学历、经验）有详细说明等方面进行综合评分。</w:t>
            </w:r>
            <w:r>
              <w:rPr>
                <w:rFonts w:hint="eastAsia" w:ascii="宋体" w:hAnsi="宋体" w:eastAsia="宋体" w:cs="宋体"/>
                <w:lang w:val="en-US" w:eastAsia="zh-CN"/>
              </w:rPr>
              <w:t>【评分范围5、4、3、2、1、0】</w:t>
            </w:r>
          </w:p>
        </w:tc>
        <w:tc>
          <w:tcPr>
            <w:tcW w:w="904" w:type="dxa"/>
            <w:vAlign w:val="center"/>
          </w:tcPr>
          <w:p w14:paraId="718E2968">
            <w:pPr>
              <w:pStyle w:val="38"/>
              <w:rPr>
                <w:rFonts w:hint="default"/>
              </w:rPr>
            </w:pPr>
            <w:r>
              <w:t>0-</w:t>
            </w:r>
            <w:r>
              <w:rPr>
                <w:rFonts w:hint="eastAsia"/>
                <w:lang w:val="en-US" w:eastAsia="zh-CN"/>
              </w:rPr>
              <w:t>5</w:t>
            </w:r>
            <w:r>
              <w:t>分</w:t>
            </w:r>
          </w:p>
        </w:tc>
      </w:tr>
      <w:tr w14:paraId="37D92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05" w:type="dxa"/>
            <w:vMerge w:val="continue"/>
          </w:tcPr>
          <w:p w14:paraId="63651E98">
            <w:pPr>
              <w:pStyle w:val="38"/>
              <w:rPr>
                <w:rFonts w:hint="default"/>
              </w:rPr>
            </w:pPr>
          </w:p>
        </w:tc>
        <w:tc>
          <w:tcPr>
            <w:tcW w:w="1900" w:type="dxa"/>
            <w:vMerge w:val="continue"/>
            <w:vAlign w:val="center"/>
          </w:tcPr>
          <w:p w14:paraId="119E472C">
            <w:pPr>
              <w:pStyle w:val="38"/>
              <w:rPr>
                <w:rFonts w:hint="default"/>
              </w:rPr>
            </w:pPr>
          </w:p>
        </w:tc>
        <w:tc>
          <w:tcPr>
            <w:tcW w:w="4813" w:type="dxa"/>
            <w:vAlign w:val="center"/>
          </w:tcPr>
          <w:p w14:paraId="222F1F30">
            <w:pPr>
              <w:pStyle w:val="38"/>
              <w:spacing w:line="300" w:lineRule="exact"/>
              <w:rPr>
                <w:rFonts w:hint="default"/>
                <w:lang w:val="zh-CN"/>
              </w:rPr>
            </w:pPr>
            <w:r>
              <w:t>其余各工种人员配置及岗位责任制情况，各岗位安排人员的服务流程情况等方面进行综合评分。</w:t>
            </w:r>
            <w:r>
              <w:rPr>
                <w:rFonts w:hint="eastAsia" w:ascii="宋体" w:hAnsi="宋体" w:eastAsia="宋体" w:cs="宋体"/>
                <w:lang w:val="en-US" w:eastAsia="zh-CN"/>
              </w:rPr>
              <w:t>【评分范围5、4、3、2、1、0】</w:t>
            </w:r>
          </w:p>
        </w:tc>
        <w:tc>
          <w:tcPr>
            <w:tcW w:w="904" w:type="dxa"/>
            <w:vAlign w:val="center"/>
          </w:tcPr>
          <w:p w14:paraId="3044FAE0">
            <w:pPr>
              <w:pStyle w:val="38"/>
              <w:rPr>
                <w:rFonts w:hint="default"/>
              </w:rPr>
            </w:pPr>
            <w:r>
              <w:t>0-</w:t>
            </w:r>
            <w:r>
              <w:rPr>
                <w:rFonts w:hint="eastAsia"/>
                <w:lang w:val="en-US" w:eastAsia="zh-CN"/>
              </w:rPr>
              <w:t>5</w:t>
            </w:r>
            <w:r>
              <w:t>分</w:t>
            </w:r>
          </w:p>
        </w:tc>
      </w:tr>
      <w:tr w14:paraId="72372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905" w:type="dxa"/>
            <w:vMerge w:val="continue"/>
          </w:tcPr>
          <w:p w14:paraId="63A631FE">
            <w:pPr>
              <w:pStyle w:val="38"/>
              <w:rPr>
                <w:rFonts w:hint="default"/>
              </w:rPr>
            </w:pPr>
          </w:p>
        </w:tc>
        <w:tc>
          <w:tcPr>
            <w:tcW w:w="1900" w:type="dxa"/>
            <w:vAlign w:val="center"/>
          </w:tcPr>
          <w:p w14:paraId="41E4FC16">
            <w:pPr>
              <w:pStyle w:val="38"/>
              <w:rPr>
                <w:rFonts w:hint="default"/>
              </w:rPr>
            </w:pPr>
            <w:r>
              <w:t>菜谱制定</w:t>
            </w:r>
          </w:p>
        </w:tc>
        <w:tc>
          <w:tcPr>
            <w:tcW w:w="4813" w:type="dxa"/>
            <w:vAlign w:val="center"/>
          </w:tcPr>
          <w:p w14:paraId="129DC20E">
            <w:pPr>
              <w:pStyle w:val="38"/>
              <w:rPr>
                <w:rFonts w:hint="default"/>
                <w:lang w:val="zh-CN"/>
              </w:rPr>
            </w:pPr>
            <w:r>
              <w:t>以安全、营养为原则分别制定一份四季菜谱，每季排一周（5天）12个菜品，荤素搭配均衡</w:t>
            </w:r>
            <w:r>
              <w:rPr>
                <w:rFonts w:hint="eastAsia"/>
                <w:lang w:eastAsia="zh-CN"/>
              </w:rPr>
              <w:t>，</w:t>
            </w:r>
            <w:r>
              <w:t>根据价格、菜谱制定等方面进行综合评分。</w:t>
            </w:r>
            <w:r>
              <w:rPr>
                <w:rFonts w:hint="eastAsia" w:ascii="宋体" w:hAnsi="宋体" w:eastAsia="宋体" w:cs="宋体"/>
                <w:lang w:val="en-US" w:eastAsia="zh-CN"/>
              </w:rPr>
              <w:t>【评分范围5、4、3、2、1、0】</w:t>
            </w:r>
          </w:p>
        </w:tc>
        <w:tc>
          <w:tcPr>
            <w:tcW w:w="904" w:type="dxa"/>
            <w:vAlign w:val="center"/>
          </w:tcPr>
          <w:p w14:paraId="204819E5">
            <w:pPr>
              <w:pStyle w:val="38"/>
              <w:rPr>
                <w:rFonts w:hint="default"/>
              </w:rPr>
            </w:pPr>
            <w:r>
              <w:t>0-</w:t>
            </w:r>
            <w:r>
              <w:rPr>
                <w:rFonts w:hint="eastAsia"/>
                <w:lang w:val="en-US" w:eastAsia="zh-CN"/>
              </w:rPr>
              <w:t>5</w:t>
            </w:r>
            <w:r>
              <w:t>分</w:t>
            </w:r>
          </w:p>
        </w:tc>
      </w:tr>
      <w:tr w14:paraId="3C0D0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905" w:type="dxa"/>
            <w:vMerge w:val="continue"/>
          </w:tcPr>
          <w:p w14:paraId="1ACDCD65">
            <w:pPr>
              <w:pStyle w:val="38"/>
              <w:rPr>
                <w:rFonts w:hint="default"/>
              </w:rPr>
            </w:pPr>
          </w:p>
        </w:tc>
        <w:tc>
          <w:tcPr>
            <w:tcW w:w="1900" w:type="dxa"/>
            <w:shd w:val="clear" w:color="auto" w:fill="auto"/>
            <w:vAlign w:val="center"/>
          </w:tcPr>
          <w:p w14:paraId="718E4E31">
            <w:pPr>
              <w:pStyle w:val="38"/>
              <w:ind w:firstLine="0" w:firstLineChars="0"/>
              <w:rPr>
                <w:rFonts w:hint="default" w:ascii="宋体" w:hAnsi="宋体" w:eastAsia="宋体" w:cs="宋体"/>
                <w:bCs/>
                <w:kern w:val="2"/>
                <w:sz w:val="24"/>
                <w:szCs w:val="24"/>
                <w:lang w:val="en-US" w:eastAsia="zh-CN" w:bidi="ar-SA"/>
              </w:rPr>
            </w:pPr>
            <w:r>
              <w:t>安全预防及投诉处理方案</w:t>
            </w:r>
          </w:p>
        </w:tc>
        <w:tc>
          <w:tcPr>
            <w:tcW w:w="4813" w:type="dxa"/>
            <w:shd w:val="clear" w:color="auto" w:fill="auto"/>
            <w:vAlign w:val="center"/>
          </w:tcPr>
          <w:p w14:paraId="18E116E2">
            <w:pPr>
              <w:pStyle w:val="38"/>
              <w:ind w:firstLine="0" w:firstLineChars="0"/>
              <w:rPr>
                <w:rFonts w:hint="default" w:ascii="宋体" w:hAnsi="宋体" w:eastAsia="宋体" w:cs="宋体"/>
                <w:bCs/>
                <w:kern w:val="2"/>
                <w:sz w:val="24"/>
                <w:szCs w:val="24"/>
                <w:lang w:val="zh-CN" w:eastAsia="zh-CN" w:bidi="ar-SA"/>
              </w:rPr>
            </w:pPr>
            <w:r>
              <w:t>根据投标人提供的食品安全、环境安全、疾病控制预防、事故及投诉处理方案等方面进行综合评分。等方面进行综合评分。</w:t>
            </w:r>
            <w:r>
              <w:rPr>
                <w:rFonts w:hint="eastAsia" w:ascii="宋体" w:hAnsi="宋体" w:eastAsia="宋体" w:cs="宋体"/>
                <w:lang w:val="en-US" w:eastAsia="zh-CN"/>
              </w:rPr>
              <w:t>【评分范围5、4、3、2、1、0】</w:t>
            </w:r>
          </w:p>
        </w:tc>
        <w:tc>
          <w:tcPr>
            <w:tcW w:w="904" w:type="dxa"/>
            <w:shd w:val="clear" w:color="auto" w:fill="auto"/>
            <w:vAlign w:val="center"/>
          </w:tcPr>
          <w:p w14:paraId="646A80E3">
            <w:pPr>
              <w:pStyle w:val="38"/>
              <w:ind w:firstLine="0" w:firstLineChars="0"/>
              <w:rPr>
                <w:rFonts w:hint="default" w:ascii="宋体" w:hAnsi="宋体" w:eastAsia="宋体" w:cs="宋体"/>
                <w:bCs/>
                <w:kern w:val="2"/>
                <w:sz w:val="24"/>
                <w:szCs w:val="24"/>
                <w:lang w:val="en-US" w:eastAsia="zh-CN" w:bidi="ar-SA"/>
              </w:rPr>
            </w:pPr>
            <w:r>
              <w:t>0-</w:t>
            </w:r>
            <w:r>
              <w:rPr>
                <w:rFonts w:hint="eastAsia"/>
                <w:lang w:val="en-US" w:eastAsia="zh-CN"/>
              </w:rPr>
              <w:t>5</w:t>
            </w:r>
            <w:r>
              <w:t>分</w:t>
            </w:r>
          </w:p>
        </w:tc>
      </w:tr>
      <w:tr w14:paraId="15846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05" w:type="dxa"/>
            <w:vMerge w:val="continue"/>
          </w:tcPr>
          <w:p w14:paraId="14C6501C">
            <w:pPr>
              <w:pStyle w:val="38"/>
              <w:rPr>
                <w:rFonts w:hint="default"/>
              </w:rPr>
            </w:pPr>
          </w:p>
        </w:tc>
        <w:tc>
          <w:tcPr>
            <w:tcW w:w="1900" w:type="dxa"/>
            <w:shd w:val="clear" w:color="auto" w:fill="auto"/>
            <w:vAlign w:val="center"/>
          </w:tcPr>
          <w:p w14:paraId="6DC31BCE">
            <w:pPr>
              <w:pStyle w:val="93"/>
              <w:ind w:firstLine="0" w:firstLineChars="0"/>
              <w:rPr>
                <w:rFonts w:hint="eastAsia" w:ascii="宋体" w:hAnsi="宋体" w:eastAsia="宋体" w:cs="宋体"/>
                <w:bCs/>
                <w:kern w:val="2"/>
                <w:sz w:val="24"/>
                <w:szCs w:val="21"/>
                <w:lang w:val="en-US" w:eastAsia="zh-CN" w:bidi="ar-SA"/>
              </w:rPr>
            </w:pPr>
            <w:r>
              <w:rPr>
                <w:rFonts w:hint="eastAsia" w:ascii="宋体" w:hAnsi="宋体" w:eastAsia="宋体" w:cs="宋体"/>
              </w:rPr>
              <w:t>合理化建议</w:t>
            </w:r>
          </w:p>
        </w:tc>
        <w:tc>
          <w:tcPr>
            <w:tcW w:w="4813" w:type="dxa"/>
            <w:shd w:val="clear" w:color="auto" w:fill="auto"/>
            <w:vAlign w:val="center"/>
          </w:tcPr>
          <w:p w14:paraId="5B18906A">
            <w:pPr>
              <w:pStyle w:val="93"/>
              <w:ind w:firstLine="0" w:firstLineChars="0"/>
              <w:rPr>
                <w:rFonts w:hint="eastAsia" w:ascii="宋体" w:hAnsi="宋体" w:eastAsia="宋体" w:cs="宋体"/>
                <w:bCs/>
                <w:kern w:val="2"/>
                <w:sz w:val="24"/>
                <w:szCs w:val="21"/>
                <w:lang w:val="en-US" w:eastAsia="zh-CN" w:bidi="ar-SA"/>
              </w:rPr>
            </w:pPr>
            <w:r>
              <w:rPr>
                <w:rFonts w:hint="eastAsia" w:ascii="宋体" w:hAnsi="宋体" w:eastAsia="宋体" w:cs="宋体"/>
              </w:rPr>
              <w:t>针对本项目提出的合理化建议</w:t>
            </w:r>
            <w:r>
              <w:rPr>
                <w:rFonts w:hint="eastAsia" w:ascii="宋体" w:hAnsi="宋体" w:eastAsia="宋体" w:cs="宋体"/>
                <w:lang w:eastAsia="zh-CN"/>
              </w:rPr>
              <w:t>，</w:t>
            </w:r>
            <w:r>
              <w:rPr>
                <w:rFonts w:hint="eastAsia" w:ascii="宋体" w:hAnsi="宋体" w:eastAsia="宋体" w:cs="宋体"/>
                <w:lang w:val="en-US" w:eastAsia="zh-CN"/>
              </w:rPr>
              <w:t>根据</w:t>
            </w:r>
            <w:r>
              <w:rPr>
                <w:rFonts w:hint="eastAsia" w:ascii="宋体" w:hAnsi="宋体" w:eastAsia="宋体" w:cs="宋体"/>
              </w:rPr>
              <w:t>内容可行</w:t>
            </w:r>
            <w:r>
              <w:rPr>
                <w:rFonts w:hint="eastAsia" w:ascii="宋体" w:hAnsi="宋体" w:eastAsia="宋体" w:cs="宋体"/>
                <w:lang w:val="en-US" w:eastAsia="zh-CN"/>
              </w:rPr>
              <w:t>性</w:t>
            </w:r>
            <w:r>
              <w:rPr>
                <w:rFonts w:hint="eastAsia" w:ascii="宋体" w:hAnsi="宋体" w:eastAsia="宋体" w:cs="宋体"/>
              </w:rPr>
              <w:t>、合理</w:t>
            </w:r>
            <w:r>
              <w:rPr>
                <w:rFonts w:hint="eastAsia" w:ascii="宋体" w:hAnsi="宋体" w:eastAsia="宋体" w:cs="宋体"/>
                <w:lang w:val="en-US" w:eastAsia="zh-CN"/>
              </w:rPr>
              <w:t>性</w:t>
            </w:r>
            <w:r>
              <w:rPr>
                <w:rFonts w:hint="eastAsia" w:ascii="宋体" w:hAnsi="宋体" w:eastAsia="宋体" w:cs="宋体"/>
              </w:rPr>
              <w:t>等方面进行综合评分。</w:t>
            </w:r>
            <w:r>
              <w:rPr>
                <w:rFonts w:hint="eastAsia" w:ascii="宋体" w:hAnsi="宋体" w:eastAsia="宋体" w:cs="宋体"/>
                <w:lang w:val="en-US" w:eastAsia="zh-CN"/>
              </w:rPr>
              <w:t>【评分范围5、4、3、2、1、0】</w:t>
            </w:r>
          </w:p>
        </w:tc>
        <w:tc>
          <w:tcPr>
            <w:tcW w:w="904" w:type="dxa"/>
            <w:shd w:val="clear" w:color="auto" w:fill="auto"/>
            <w:vAlign w:val="top"/>
          </w:tcPr>
          <w:p w14:paraId="237DB2F2">
            <w:pPr>
              <w:pStyle w:val="93"/>
              <w:ind w:firstLine="0" w:firstLineChars="0"/>
              <w:rPr>
                <w:rFonts w:hint="eastAsia" w:ascii="宋体" w:hAnsi="宋体" w:eastAsia="宋体" w:cs="宋体"/>
                <w:bCs/>
                <w:kern w:val="2"/>
                <w:sz w:val="24"/>
                <w:szCs w:val="21"/>
                <w:lang w:val="en-US" w:eastAsia="zh-CN" w:bidi="ar-SA"/>
              </w:rPr>
            </w:pPr>
            <w:r>
              <w:rPr>
                <w:rFonts w:hint="eastAsia"/>
                <w:lang w:val="en-US" w:eastAsia="zh-CN"/>
              </w:rPr>
              <w:t>0-5分</w:t>
            </w:r>
          </w:p>
        </w:tc>
      </w:tr>
      <w:tr w14:paraId="40F3C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905" w:type="dxa"/>
            <w:vMerge w:val="continue"/>
          </w:tcPr>
          <w:p w14:paraId="1ACAD258">
            <w:pPr>
              <w:pStyle w:val="38"/>
              <w:rPr>
                <w:rFonts w:hint="default"/>
              </w:rPr>
            </w:pPr>
          </w:p>
        </w:tc>
        <w:tc>
          <w:tcPr>
            <w:tcW w:w="1900" w:type="dxa"/>
            <w:shd w:val="clear" w:color="auto" w:fill="auto"/>
            <w:vAlign w:val="center"/>
          </w:tcPr>
          <w:p w14:paraId="493E7E52">
            <w:pPr>
              <w:pStyle w:val="38"/>
              <w:ind w:firstLine="0" w:firstLineChars="0"/>
              <w:rPr>
                <w:rFonts w:hint="default" w:ascii="宋体" w:hAnsi="宋体" w:eastAsia="宋体" w:cs="宋体"/>
                <w:bCs/>
                <w:kern w:val="2"/>
                <w:sz w:val="24"/>
                <w:szCs w:val="24"/>
                <w:lang w:val="en-US" w:eastAsia="zh-CN" w:bidi="ar-SA"/>
              </w:rPr>
            </w:pPr>
            <w:r>
              <w:t>应急预案</w:t>
            </w:r>
          </w:p>
        </w:tc>
        <w:tc>
          <w:tcPr>
            <w:tcW w:w="4813" w:type="dxa"/>
            <w:shd w:val="clear" w:color="auto" w:fill="auto"/>
            <w:vAlign w:val="center"/>
          </w:tcPr>
          <w:p w14:paraId="2C81045D">
            <w:pPr>
              <w:pStyle w:val="38"/>
              <w:ind w:firstLine="0" w:firstLineChars="0"/>
              <w:rPr>
                <w:rFonts w:hint="default" w:ascii="宋体" w:hAnsi="宋体" w:eastAsia="宋体" w:cs="宋体"/>
                <w:bCs/>
                <w:kern w:val="2"/>
                <w:sz w:val="24"/>
                <w:szCs w:val="24"/>
                <w:lang w:val="zh-CN" w:eastAsia="zh-CN" w:bidi="ar-SA"/>
              </w:rPr>
            </w:pPr>
            <w:r>
              <w:t>根据</w:t>
            </w:r>
            <w:r>
              <w:rPr>
                <w:rFonts w:hint="eastAsia"/>
                <w:lang w:val="en-US" w:eastAsia="zh-CN"/>
              </w:rPr>
              <w:t>项目需求，投标人</w:t>
            </w:r>
            <w:r>
              <w:t>提供应急预案</w:t>
            </w:r>
            <w:r>
              <w:rPr>
                <w:rFonts w:hint="eastAsia"/>
                <w:lang w:eastAsia="zh-CN"/>
              </w:rPr>
              <w:t>，</w:t>
            </w:r>
            <w:r>
              <w:rPr>
                <w:rFonts w:hint="eastAsia"/>
                <w:lang w:val="en-US" w:eastAsia="zh-CN"/>
              </w:rPr>
              <w:t>预案</w:t>
            </w:r>
            <w:r>
              <w:t>的科学性、合理性、高效性等方面进行综合评分。</w:t>
            </w:r>
            <w:r>
              <w:rPr>
                <w:rFonts w:hint="eastAsia" w:ascii="宋体" w:hAnsi="宋体" w:eastAsia="宋体" w:cs="宋体"/>
                <w:lang w:val="en-US" w:eastAsia="zh-CN"/>
              </w:rPr>
              <w:t>【评分范围5、4、3、2、1、0】</w:t>
            </w:r>
          </w:p>
        </w:tc>
        <w:tc>
          <w:tcPr>
            <w:tcW w:w="904" w:type="dxa"/>
            <w:shd w:val="clear" w:color="auto" w:fill="auto"/>
            <w:vAlign w:val="center"/>
          </w:tcPr>
          <w:p w14:paraId="62F4231E">
            <w:pPr>
              <w:spacing w:line="340" w:lineRule="exact"/>
              <w:ind w:firstLine="0" w:firstLineChars="0"/>
              <w:rPr>
                <w:rFonts w:hint="default" w:ascii="宋体" w:hAnsi="宋体" w:eastAsia="宋体" w:cs="宋体"/>
                <w:kern w:val="2"/>
                <w:sz w:val="24"/>
                <w:szCs w:val="24"/>
                <w:lang w:val="en-US" w:eastAsia="zh-CN" w:bidi="ar-SA"/>
              </w:rPr>
            </w:pPr>
            <w:r>
              <w:rPr>
                <w:rFonts w:hint="eastAsia" w:ascii="宋体" w:hAnsi="宋体" w:cs="宋体"/>
              </w:rPr>
              <w:t>0-</w:t>
            </w:r>
            <w:r>
              <w:rPr>
                <w:rFonts w:hint="eastAsia" w:ascii="宋体" w:hAnsi="宋体" w:cs="宋体"/>
                <w:lang w:val="en-US" w:eastAsia="zh-CN"/>
              </w:rPr>
              <w:t>5</w:t>
            </w:r>
            <w:r>
              <w:rPr>
                <w:rFonts w:hint="eastAsia" w:ascii="宋体" w:hAnsi="宋体" w:cs="宋体"/>
              </w:rPr>
              <w:t>分</w:t>
            </w:r>
          </w:p>
        </w:tc>
      </w:tr>
    </w:tbl>
    <w:p w14:paraId="0CB05410">
      <w:pPr>
        <w:pStyle w:val="4"/>
        <w:rPr>
          <w:color w:val="000000" w:themeColor="text1"/>
        </w:rPr>
      </w:pPr>
      <w:bookmarkStart w:id="234" w:name="_Toc20131"/>
      <w:r>
        <w:rPr>
          <w:color w:val="000000" w:themeColor="text1"/>
        </w:rPr>
        <w:t>十一、</w:t>
      </w:r>
      <w:r>
        <w:rPr>
          <w:rFonts w:hint="eastAsia"/>
          <w:color w:val="000000" w:themeColor="text1"/>
        </w:rPr>
        <w:t>投标</w:t>
      </w:r>
      <w:r>
        <w:rPr>
          <w:color w:val="000000" w:themeColor="text1"/>
        </w:rPr>
        <w:t>或中标无效情形</w:t>
      </w:r>
      <w:bookmarkEnd w:id="234"/>
    </w:p>
    <w:p w14:paraId="3620E709">
      <w:pPr>
        <w:ind w:firstLine="480"/>
        <w:rPr>
          <w:color w:val="000000" w:themeColor="text1"/>
        </w:rPr>
      </w:pPr>
      <w:r>
        <w:rPr>
          <w:rFonts w:hint="eastAsia"/>
          <w:color w:val="000000" w:themeColor="text1"/>
        </w:rPr>
        <w:t>有下列情形之一的，投标或中标无效</w:t>
      </w:r>
    </w:p>
    <w:p w14:paraId="410CEBF8">
      <w:pPr>
        <w:ind w:firstLine="480"/>
        <w:rPr>
          <w:color w:val="000000" w:themeColor="text1"/>
        </w:rPr>
      </w:pPr>
      <w:r>
        <w:rPr>
          <w:rFonts w:hint="eastAsia"/>
          <w:color w:val="000000" w:themeColor="text1"/>
        </w:rPr>
        <w:t>1.不符合本次采购投标人资格要求或超范</w:t>
      </w:r>
      <w:bookmarkStart w:id="279" w:name="_GoBack"/>
      <w:bookmarkEnd w:id="279"/>
      <w:r>
        <w:rPr>
          <w:rFonts w:hint="eastAsia"/>
          <w:color w:val="000000" w:themeColor="text1"/>
        </w:rPr>
        <w:t>围经营的。</w:t>
      </w:r>
    </w:p>
    <w:p w14:paraId="1FD89C21">
      <w:pPr>
        <w:ind w:firstLine="480"/>
        <w:rPr>
          <w:color w:val="000000" w:themeColor="text1"/>
        </w:rPr>
      </w:pPr>
      <w:r>
        <w:rPr>
          <w:rFonts w:hint="eastAsia"/>
          <w:color w:val="000000" w:themeColor="text1"/>
        </w:rPr>
        <w:t>2.提供虚假材料及证明文件的。</w:t>
      </w:r>
    </w:p>
    <w:p w14:paraId="5E6B0618">
      <w:pPr>
        <w:ind w:firstLine="480"/>
        <w:rPr>
          <w:color w:val="000000" w:themeColor="text1"/>
        </w:rPr>
      </w:pPr>
      <w:r>
        <w:rPr>
          <w:rFonts w:hint="eastAsia"/>
          <w:color w:val="000000" w:themeColor="text1"/>
        </w:rPr>
        <w:t>3.投标报价高于最高限价的。</w:t>
      </w:r>
    </w:p>
    <w:p w14:paraId="7C9AA5F6">
      <w:pPr>
        <w:ind w:firstLine="480"/>
        <w:rPr>
          <w:color w:val="000000" w:themeColor="text1"/>
        </w:rPr>
      </w:pPr>
      <w:r>
        <w:rPr>
          <w:rFonts w:hint="eastAsia"/>
          <w:color w:val="000000" w:themeColor="text1"/>
        </w:rPr>
        <w:t>4.本招标文件载明属无效处理情形的。</w:t>
      </w:r>
    </w:p>
    <w:p w14:paraId="73A63FEF">
      <w:pPr>
        <w:ind w:firstLine="480"/>
        <w:rPr>
          <w:color w:val="000000" w:themeColor="text1"/>
        </w:rPr>
      </w:pPr>
      <w:r>
        <w:rPr>
          <w:rFonts w:hint="eastAsia"/>
          <w:color w:val="000000" w:themeColor="text1"/>
        </w:rPr>
        <w:t>5.投标文件含有采购人不能接受的附加条件的。</w:t>
      </w:r>
    </w:p>
    <w:p w14:paraId="2F7394C3">
      <w:pPr>
        <w:ind w:firstLine="480"/>
        <w:rPr>
          <w:color w:val="000000" w:themeColor="text1"/>
        </w:rPr>
      </w:pPr>
      <w:r>
        <w:rPr>
          <w:rFonts w:hint="eastAsia"/>
          <w:color w:val="000000" w:themeColor="text1"/>
        </w:rPr>
        <w:t>6.中标候选人无正当理由拖延或者不与采购人签订采购合同的。</w:t>
      </w:r>
    </w:p>
    <w:p w14:paraId="43CD00F6">
      <w:pPr>
        <w:ind w:firstLine="480"/>
        <w:rPr>
          <w:color w:val="000000" w:themeColor="text1"/>
        </w:rPr>
      </w:pPr>
      <w:r>
        <w:rPr>
          <w:rFonts w:hint="eastAsia"/>
          <w:color w:val="000000" w:themeColor="text1"/>
        </w:rPr>
        <w:t>7.本招标文件提出要求响应而未响应实质性条款（带▲号）的，或评审小组认定有重大偏离或保留的。</w:t>
      </w:r>
    </w:p>
    <w:p w14:paraId="2695F3DC">
      <w:pPr>
        <w:ind w:firstLine="480"/>
        <w:rPr>
          <w:color w:val="000000" w:themeColor="text1"/>
        </w:rPr>
      </w:pPr>
      <w:r>
        <w:rPr>
          <w:rFonts w:hint="eastAsia"/>
          <w:color w:val="000000" w:themeColor="text1"/>
        </w:rPr>
        <w:t>8.评审小组认为投标人的报价明显低于其他通过符合性审查投标人的报价，有可能影响产品质量或者不能诚信履约，投标人不能证明其报价合理性的。</w:t>
      </w:r>
    </w:p>
    <w:p w14:paraId="04673110">
      <w:pPr>
        <w:ind w:firstLine="480"/>
        <w:rPr>
          <w:color w:val="000000" w:themeColor="text1"/>
        </w:rPr>
      </w:pPr>
      <w:r>
        <w:rPr>
          <w:rFonts w:hint="eastAsia"/>
          <w:color w:val="000000" w:themeColor="text1"/>
        </w:rPr>
        <w:t>9.不符合法律、法规和招标文件规定的其他实质性要求和无效情形的。</w:t>
      </w:r>
    </w:p>
    <w:p w14:paraId="743FC264">
      <w:pPr>
        <w:bidi w:val="0"/>
        <w:rPr>
          <w:rFonts w:hint="eastAsia"/>
        </w:rPr>
      </w:pPr>
      <w:r>
        <w:rPr>
          <w:rFonts w:hint="eastAsia"/>
        </w:rPr>
        <w:t>10.未按招标文件要求签章的。</w:t>
      </w:r>
    </w:p>
    <w:p w14:paraId="473E3B9D">
      <w:pPr>
        <w:bidi w:val="0"/>
        <w:rPr>
          <w:rFonts w:hint="eastAsia"/>
          <w:b/>
          <w:bCs/>
          <w:lang w:val="en-US" w:eastAsia="zh-CN"/>
        </w:rPr>
      </w:pPr>
      <w:r>
        <w:rPr>
          <w:rFonts w:hint="eastAsia"/>
          <w:b/>
          <w:bCs/>
          <w:lang w:val="en-US" w:eastAsia="zh-CN"/>
        </w:rPr>
        <w:t>11.《技术资信评分汇总表》得分低于资信技术总分60%。</w:t>
      </w:r>
    </w:p>
    <w:p w14:paraId="0D0E9A04">
      <w:pPr>
        <w:bidi w:val="0"/>
      </w:pPr>
      <w:r>
        <w:rPr>
          <w:rFonts w:hint="eastAsia"/>
          <w:b/>
          <w:bCs/>
          <w:lang w:val="en-US" w:eastAsia="zh-CN"/>
        </w:rPr>
        <w:t>12.政采云系统显示：MAC地址相同、计算机硬盘序列号相同、投标文件细节错误一致且无合理解释的。</w:t>
      </w:r>
    </w:p>
    <w:p w14:paraId="717F1F81">
      <w:pPr>
        <w:pStyle w:val="4"/>
        <w:rPr>
          <w:color w:val="000000" w:themeColor="text1"/>
        </w:rPr>
      </w:pPr>
      <w:bookmarkStart w:id="235" w:name="_Toc14544"/>
      <w:r>
        <w:rPr>
          <w:color w:val="000000" w:themeColor="text1"/>
        </w:rPr>
        <w:t>十二、串通</w:t>
      </w:r>
      <w:r>
        <w:rPr>
          <w:rFonts w:hint="eastAsia"/>
          <w:color w:val="000000" w:themeColor="text1"/>
        </w:rPr>
        <w:t>投标</w:t>
      </w:r>
      <w:r>
        <w:rPr>
          <w:color w:val="000000" w:themeColor="text1"/>
        </w:rPr>
        <w:t>情形</w:t>
      </w:r>
      <w:bookmarkEnd w:id="235"/>
    </w:p>
    <w:p w14:paraId="440B3841">
      <w:pPr>
        <w:ind w:firstLine="480"/>
        <w:rPr>
          <w:color w:val="000000" w:themeColor="text1"/>
        </w:rPr>
      </w:pPr>
      <w:r>
        <w:rPr>
          <w:rFonts w:hint="eastAsia"/>
          <w:color w:val="000000" w:themeColor="text1"/>
        </w:rPr>
        <w:t>招标采购过程中，有下列情形之一的，属串通行为，其投标无效：</w:t>
      </w:r>
    </w:p>
    <w:p w14:paraId="35BD10C3">
      <w:pPr>
        <w:ind w:firstLine="480"/>
        <w:rPr>
          <w:color w:val="000000" w:themeColor="text1"/>
        </w:rPr>
      </w:pPr>
      <w:r>
        <w:rPr>
          <w:rFonts w:hint="eastAsia"/>
          <w:color w:val="000000" w:themeColor="text1"/>
        </w:rPr>
        <w:t>1.不同投标人的投标文件由同一单位或者个人编制；</w:t>
      </w:r>
    </w:p>
    <w:p w14:paraId="26C6F180">
      <w:pPr>
        <w:ind w:firstLine="480"/>
        <w:rPr>
          <w:color w:val="000000" w:themeColor="text1"/>
        </w:rPr>
      </w:pPr>
      <w:r>
        <w:rPr>
          <w:rFonts w:hint="eastAsia"/>
          <w:color w:val="000000" w:themeColor="text1"/>
        </w:rPr>
        <w:t>2.不同投标人委托同一单位或者个人办理投标活动事宜；</w:t>
      </w:r>
    </w:p>
    <w:p w14:paraId="63618C46">
      <w:pPr>
        <w:ind w:firstLine="480"/>
        <w:rPr>
          <w:color w:val="000000" w:themeColor="text1"/>
        </w:rPr>
      </w:pPr>
      <w:r>
        <w:rPr>
          <w:rFonts w:hint="eastAsia"/>
          <w:color w:val="000000" w:themeColor="text1"/>
        </w:rPr>
        <w:t>3.不同投标人的投标文件载明的项目管理成员或者联系人员为同一人；</w:t>
      </w:r>
    </w:p>
    <w:p w14:paraId="1589F90C">
      <w:pPr>
        <w:ind w:firstLine="480"/>
        <w:rPr>
          <w:color w:val="000000" w:themeColor="text1"/>
        </w:rPr>
      </w:pPr>
      <w:r>
        <w:rPr>
          <w:rFonts w:hint="eastAsia"/>
          <w:color w:val="000000" w:themeColor="text1"/>
        </w:rPr>
        <w:t>4.不同投标人的投标文件异常一致或者投标报价呈规律性差异；</w:t>
      </w:r>
    </w:p>
    <w:p w14:paraId="14C1493C">
      <w:pPr>
        <w:ind w:firstLine="480"/>
        <w:rPr>
          <w:rFonts w:ascii="宋体" w:hAnsi="宋体" w:cs="宋体"/>
          <w:color w:val="000000" w:themeColor="text1"/>
        </w:rPr>
      </w:pPr>
      <w:r>
        <w:rPr>
          <w:rFonts w:hint="eastAsia"/>
          <w:color w:val="000000" w:themeColor="text1"/>
        </w:rPr>
        <w:t>5.不同投标人的投标文件相互混装。</w:t>
      </w:r>
    </w:p>
    <w:p w14:paraId="158D40D3">
      <w:pPr>
        <w:pStyle w:val="4"/>
        <w:rPr>
          <w:color w:val="000000" w:themeColor="text1"/>
        </w:rPr>
      </w:pPr>
      <w:bookmarkStart w:id="236" w:name="_Toc16123"/>
      <w:r>
        <w:rPr>
          <w:color w:val="000000" w:themeColor="text1"/>
        </w:rPr>
        <w:t>十三、</w:t>
      </w:r>
      <w:r>
        <w:rPr>
          <w:rFonts w:hint="eastAsia"/>
          <w:color w:val="000000" w:themeColor="text1"/>
        </w:rPr>
        <w:t>废标情形</w:t>
      </w:r>
      <w:bookmarkEnd w:id="236"/>
    </w:p>
    <w:p w14:paraId="4D2D350D">
      <w:pPr>
        <w:ind w:firstLine="480"/>
        <w:rPr>
          <w:color w:val="000000" w:themeColor="text1"/>
        </w:rPr>
      </w:pPr>
      <w:r>
        <w:rPr>
          <w:rFonts w:hint="eastAsia"/>
          <w:color w:val="000000" w:themeColor="text1"/>
        </w:rPr>
        <w:t>招标采购中，出现下列情形之一的，应予废标：</w:t>
      </w:r>
    </w:p>
    <w:p w14:paraId="1868072B">
      <w:pPr>
        <w:ind w:firstLine="480"/>
        <w:rPr>
          <w:color w:val="000000" w:themeColor="text1"/>
        </w:rPr>
      </w:pPr>
      <w:r>
        <w:rPr>
          <w:rFonts w:hint="eastAsia"/>
          <w:color w:val="000000" w:themeColor="text1"/>
        </w:rPr>
        <w:t>1.出现影响采购公正的违法、违规行为的；</w:t>
      </w:r>
    </w:p>
    <w:p w14:paraId="150912E5">
      <w:pPr>
        <w:ind w:firstLine="480"/>
        <w:rPr>
          <w:color w:val="000000" w:themeColor="text1"/>
        </w:rPr>
      </w:pPr>
      <w:r>
        <w:rPr>
          <w:rFonts w:hint="eastAsia"/>
          <w:color w:val="000000" w:themeColor="text1"/>
        </w:rPr>
        <w:t>2.投标截止时间后投标人不足3家或者通过资格审查或符合性审查的投标人不足3家的；</w:t>
      </w:r>
    </w:p>
    <w:p w14:paraId="4A0EB153">
      <w:pPr>
        <w:ind w:firstLine="480"/>
        <w:rPr>
          <w:color w:val="000000" w:themeColor="text1"/>
        </w:rPr>
      </w:pPr>
      <w:r>
        <w:rPr>
          <w:rFonts w:hint="eastAsia"/>
          <w:color w:val="000000" w:themeColor="text1"/>
        </w:rPr>
        <w:t>3.因重大变故，采购任务取消的。</w:t>
      </w:r>
    </w:p>
    <w:p w14:paraId="7D988762">
      <w:pPr>
        <w:widowControl/>
        <w:spacing w:line="240" w:lineRule="auto"/>
        <w:ind w:firstLine="0" w:firstLineChars="0"/>
        <w:jc w:val="left"/>
        <w:rPr>
          <w:b/>
          <w:color w:val="000000" w:themeColor="text1"/>
          <w:sz w:val="44"/>
          <w:szCs w:val="20"/>
        </w:rPr>
      </w:pPr>
      <w:r>
        <w:rPr>
          <w:color w:val="000000" w:themeColor="text1"/>
        </w:rPr>
        <w:br w:type="page"/>
      </w:r>
    </w:p>
    <w:p w14:paraId="5980C431">
      <w:pPr>
        <w:ind w:firstLine="480"/>
        <w:rPr>
          <w:color w:val="000000" w:themeColor="text1"/>
        </w:rPr>
      </w:pPr>
    </w:p>
    <w:p w14:paraId="6E4ED665">
      <w:pPr>
        <w:pStyle w:val="3"/>
        <w:rPr>
          <w:color w:val="000000" w:themeColor="text1"/>
        </w:rPr>
      </w:pPr>
      <w:bookmarkStart w:id="237" w:name="_Toc9814"/>
      <w:r>
        <w:rPr>
          <w:color w:val="000000" w:themeColor="text1"/>
        </w:rPr>
        <w:t>第</w:t>
      </w:r>
      <w:r>
        <w:rPr>
          <w:rFonts w:hint="eastAsia"/>
          <w:color w:val="000000" w:themeColor="text1"/>
        </w:rPr>
        <w:t>七</w:t>
      </w:r>
      <w:r>
        <w:rPr>
          <w:color w:val="000000" w:themeColor="text1"/>
        </w:rPr>
        <w:t>章</w:t>
      </w:r>
      <w:r>
        <w:rPr>
          <w:rFonts w:hint="eastAsia"/>
          <w:color w:val="000000" w:themeColor="text1"/>
        </w:rPr>
        <w:t xml:space="preserve">  投标文件格式</w:t>
      </w:r>
      <w:bookmarkEnd w:id="237"/>
    </w:p>
    <w:p w14:paraId="7E47663E">
      <w:pPr>
        <w:ind w:firstLine="480"/>
        <w:rPr>
          <w:color w:val="000000" w:themeColor="text1"/>
        </w:rPr>
      </w:pPr>
    </w:p>
    <w:p w14:paraId="52473297">
      <w:pPr>
        <w:pStyle w:val="3"/>
        <w:bidi w:val="0"/>
        <w:jc w:val="center"/>
      </w:pPr>
      <w:bookmarkStart w:id="238" w:name="_Toc23880"/>
      <w:bookmarkStart w:id="239" w:name="_Toc27362"/>
      <w:r>
        <w:rPr>
          <w:rFonts w:hint="eastAsia"/>
        </w:rPr>
        <w:t>资格</w:t>
      </w:r>
      <w:r>
        <w:t>审查文件</w:t>
      </w:r>
      <w:bookmarkEnd w:id="238"/>
      <w:bookmarkEnd w:id="239"/>
    </w:p>
    <w:p w14:paraId="5A25A8E0">
      <w:pPr>
        <w:ind w:left="1296" w:leftChars="540" w:firstLine="480"/>
        <w:rPr>
          <w:rFonts w:ascii="Arial" w:hAnsi="Arial" w:cs="Arial"/>
          <w:color w:val="000000" w:themeColor="text1"/>
          <w:kern w:val="0"/>
          <w:szCs w:val="21"/>
        </w:rPr>
      </w:pPr>
    </w:p>
    <w:p w14:paraId="3A44ED7E">
      <w:pPr>
        <w:ind w:left="1296" w:leftChars="540" w:firstLine="400"/>
        <w:rPr>
          <w:rFonts w:ascii="Arial" w:hAnsi="Arial" w:cs="Arial"/>
          <w:color w:val="000000" w:themeColor="text1"/>
          <w:kern w:val="0"/>
          <w:sz w:val="20"/>
        </w:rPr>
      </w:pPr>
    </w:p>
    <w:p w14:paraId="276BC0C5">
      <w:pPr>
        <w:ind w:left="1296" w:leftChars="540" w:firstLine="400"/>
        <w:rPr>
          <w:rFonts w:ascii="Arial" w:hAnsi="Arial" w:cs="Arial"/>
          <w:color w:val="000000" w:themeColor="text1"/>
          <w:kern w:val="0"/>
          <w:sz w:val="20"/>
        </w:rPr>
      </w:pPr>
    </w:p>
    <w:p w14:paraId="16960075">
      <w:pPr>
        <w:widowControl/>
        <w:spacing w:line="560" w:lineRule="exact"/>
        <w:ind w:firstLine="560"/>
        <w:jc w:val="left"/>
        <w:rPr>
          <w:rFonts w:hint="eastAsia" w:eastAsia="宋体"/>
          <w:color w:val="000000" w:themeColor="text1"/>
          <w:sz w:val="28"/>
          <w:szCs w:val="28"/>
          <w:lang w:eastAsia="zh-CN"/>
        </w:rPr>
      </w:pPr>
      <w:r>
        <w:rPr>
          <w:rFonts w:ascii="Arial" w:hAnsi="宋体" w:cs="Arial"/>
          <w:color w:val="000000" w:themeColor="text1"/>
          <w:kern w:val="0"/>
          <w:sz w:val="28"/>
          <w:szCs w:val="28"/>
        </w:rPr>
        <w:t>项目</w:t>
      </w:r>
      <w:r>
        <w:rPr>
          <w:rFonts w:hint="eastAsia" w:ascii="Arial" w:hAnsi="宋体" w:eastAsia="宋体" w:cs="Arial"/>
          <w:color w:val="000000" w:themeColor="text1"/>
          <w:kern w:val="0"/>
          <w:sz w:val="28"/>
          <w:szCs w:val="28"/>
        </w:rPr>
        <w:t>编号：</w:t>
      </w:r>
      <w:r>
        <w:rPr>
          <w:rFonts w:hint="eastAsia" w:ascii="Arial" w:hAnsi="宋体" w:cs="Arial"/>
          <w:color w:val="000000" w:themeColor="text1"/>
          <w:kern w:val="0"/>
          <w:sz w:val="28"/>
          <w:szCs w:val="28"/>
          <w:lang w:eastAsia="zh-CN"/>
        </w:rPr>
        <w:t>LYJY2025052</w:t>
      </w:r>
    </w:p>
    <w:p w14:paraId="00E13F12">
      <w:pPr>
        <w:spacing w:line="560" w:lineRule="exact"/>
        <w:ind w:firstLine="560"/>
        <w:rPr>
          <w:rFonts w:hint="eastAsia" w:ascii="Arial" w:hAnsi="Arial" w:eastAsia="宋体" w:cs="Arial"/>
          <w:color w:val="000000" w:themeColor="text1"/>
          <w:kern w:val="0"/>
          <w:sz w:val="28"/>
          <w:u w:val="single"/>
          <w:lang w:eastAsia="zh-CN"/>
        </w:rPr>
      </w:pPr>
      <w:r>
        <w:rPr>
          <w:rFonts w:ascii="Arial" w:hAnsi="宋体" w:cs="Arial"/>
          <w:color w:val="000000" w:themeColor="text1"/>
          <w:kern w:val="0"/>
          <w:sz w:val="28"/>
          <w:szCs w:val="28"/>
        </w:rPr>
        <w:t>项目名称：</w:t>
      </w:r>
      <w:r>
        <w:rPr>
          <w:rFonts w:hint="eastAsia" w:ascii="Arial" w:hAnsi="宋体" w:cs="Arial"/>
          <w:color w:val="000000" w:themeColor="text1"/>
          <w:kern w:val="0"/>
          <w:sz w:val="28"/>
          <w:szCs w:val="28"/>
          <w:lang w:eastAsia="zh-CN"/>
        </w:rPr>
        <w:t>2025年度龙游县公安局交通警察大队食堂（大队机关、城区中队）劳务外包服务采购项目</w:t>
      </w:r>
    </w:p>
    <w:p w14:paraId="45392A6C">
      <w:pPr>
        <w:ind w:left="1296" w:leftChars="540" w:firstLine="883"/>
        <w:rPr>
          <w:rFonts w:ascii="Arial" w:hAnsi="Arial" w:cs="Arial"/>
          <w:b/>
          <w:bCs/>
          <w:color w:val="000000" w:themeColor="text1"/>
          <w:kern w:val="0"/>
          <w:sz w:val="44"/>
          <w:szCs w:val="44"/>
        </w:rPr>
      </w:pPr>
    </w:p>
    <w:p w14:paraId="5C761D2D">
      <w:pPr>
        <w:ind w:left="1296" w:leftChars="540" w:firstLine="480"/>
        <w:rPr>
          <w:rFonts w:ascii="Arial" w:hAnsi="Arial" w:cs="Arial"/>
          <w:color w:val="000000" w:themeColor="text1"/>
          <w:kern w:val="0"/>
        </w:rPr>
      </w:pPr>
    </w:p>
    <w:p w14:paraId="1BC78C1E">
      <w:pPr>
        <w:ind w:left="1296" w:leftChars="540" w:firstLine="400"/>
        <w:rPr>
          <w:rFonts w:ascii="Arial" w:hAnsi="Arial" w:cs="Arial"/>
          <w:color w:val="000000" w:themeColor="text1"/>
          <w:kern w:val="0"/>
          <w:sz w:val="20"/>
        </w:rPr>
      </w:pPr>
    </w:p>
    <w:p w14:paraId="3A295386">
      <w:pPr>
        <w:ind w:left="1296" w:leftChars="540" w:firstLine="400"/>
        <w:rPr>
          <w:rFonts w:ascii="Arial" w:hAnsi="Arial" w:cs="Arial"/>
          <w:color w:val="000000" w:themeColor="text1"/>
          <w:kern w:val="0"/>
          <w:sz w:val="20"/>
        </w:rPr>
      </w:pPr>
    </w:p>
    <w:p w14:paraId="5DB3A533">
      <w:pPr>
        <w:ind w:left="1296" w:leftChars="540" w:firstLine="400"/>
        <w:rPr>
          <w:rFonts w:ascii="Arial" w:hAnsi="Arial" w:cs="Arial"/>
          <w:color w:val="000000" w:themeColor="text1"/>
          <w:kern w:val="0"/>
          <w:sz w:val="20"/>
        </w:rPr>
      </w:pPr>
    </w:p>
    <w:p w14:paraId="276E196D">
      <w:pPr>
        <w:ind w:firstLine="560"/>
        <w:rPr>
          <w:rFonts w:ascii="宋体" w:hAnsi="宋体" w:cs="宋体"/>
          <w:color w:val="000000" w:themeColor="text1"/>
          <w:sz w:val="28"/>
          <w:szCs w:val="28"/>
        </w:rPr>
      </w:pPr>
      <w:r>
        <w:rPr>
          <w:rFonts w:hint="eastAsia" w:ascii="宋体" w:hAnsi="宋体" w:cs="宋体"/>
          <w:color w:val="000000" w:themeColor="text1"/>
          <w:sz w:val="28"/>
          <w:szCs w:val="28"/>
        </w:rPr>
        <w:t>投标人（盖章）：</w:t>
      </w:r>
    </w:p>
    <w:p w14:paraId="12C7E6F3">
      <w:pPr>
        <w:ind w:firstLine="560"/>
        <w:rPr>
          <w:rFonts w:ascii="宋体" w:hAnsi="宋体" w:cs="宋体"/>
          <w:color w:val="000000" w:themeColor="text1"/>
          <w:sz w:val="28"/>
          <w:szCs w:val="28"/>
        </w:rPr>
      </w:pPr>
      <w:r>
        <w:rPr>
          <w:rFonts w:hint="eastAsia" w:ascii="宋体" w:hAnsi="宋体" w:cs="宋体"/>
          <w:color w:val="000000" w:themeColor="text1"/>
          <w:sz w:val="28"/>
          <w:szCs w:val="28"/>
        </w:rPr>
        <w:t>法定代表人或其授权代表（签字或盖章）：</w:t>
      </w:r>
    </w:p>
    <w:p w14:paraId="05D694F4">
      <w:pPr>
        <w:ind w:firstLine="560"/>
        <w:rPr>
          <w:rFonts w:ascii="宋体" w:hAnsi="宋体"/>
          <w:color w:val="000000" w:themeColor="text1"/>
          <w:sz w:val="28"/>
          <w:szCs w:val="28"/>
        </w:rPr>
      </w:pPr>
      <w:r>
        <w:rPr>
          <w:rFonts w:hint="eastAsia" w:ascii="宋体" w:hAnsi="宋体" w:cs="宋体"/>
          <w:color w:val="000000" w:themeColor="text1"/>
          <w:sz w:val="28"/>
          <w:szCs w:val="28"/>
        </w:rPr>
        <w:t xml:space="preserve">日期：    </w:t>
      </w:r>
      <w:r>
        <w:rPr>
          <w:rFonts w:hint="eastAsia" w:ascii="宋体" w:hAnsi="宋体" w:cs="宋体"/>
          <w:color w:val="000000" w:themeColor="text1"/>
          <w:w w:val="90"/>
          <w:sz w:val="28"/>
          <w:szCs w:val="28"/>
        </w:rPr>
        <w:t>年    月   日</w:t>
      </w:r>
    </w:p>
    <w:p w14:paraId="6B2211FD">
      <w:pPr>
        <w:pStyle w:val="2"/>
      </w:pPr>
    </w:p>
    <w:p w14:paraId="6ABF2EB2">
      <w:r>
        <w:br w:type="page"/>
      </w:r>
    </w:p>
    <w:p w14:paraId="385240CF">
      <w:pPr>
        <w:rPr>
          <w:color w:val="000000" w:themeColor="text1"/>
        </w:rPr>
      </w:pPr>
      <w:bookmarkStart w:id="240" w:name="_Toc816"/>
    </w:p>
    <w:p w14:paraId="3F06E66F">
      <w:pPr>
        <w:pStyle w:val="4"/>
        <w:spacing w:after="168"/>
        <w:ind w:left="10" w:right="142"/>
        <w:jc w:val="center"/>
        <w:rPr>
          <w:color w:val="000000" w:themeColor="text1"/>
        </w:rPr>
      </w:pPr>
      <w:bookmarkStart w:id="241" w:name="_Toc6685"/>
      <w:bookmarkStart w:id="242" w:name="_Toc13532"/>
      <w:bookmarkStart w:id="243" w:name="_Toc14336"/>
      <w:r>
        <w:rPr>
          <w:color w:val="000000" w:themeColor="text1"/>
          <w:sz w:val="36"/>
        </w:rPr>
        <w:t>目录</w:t>
      </w:r>
      <w:bookmarkEnd w:id="241"/>
      <w:bookmarkEnd w:id="242"/>
      <w:bookmarkEnd w:id="243"/>
    </w:p>
    <w:p w14:paraId="53C4B2B6">
      <w:pPr>
        <w:rPr>
          <w:color w:val="000000" w:themeColor="text1"/>
        </w:rPr>
      </w:pPr>
      <w:r>
        <w:rPr>
          <w:rFonts w:hint="eastAsia"/>
          <w:color w:val="000000" w:themeColor="text1"/>
        </w:rPr>
        <w:t>【根据响应文件组成内容、顺序、附件格式编制响应文件，编制目录】</w:t>
      </w:r>
    </w:p>
    <w:p w14:paraId="7C693A71">
      <w:pPr>
        <w:rPr>
          <w:color w:val="000000" w:themeColor="text1"/>
        </w:rPr>
      </w:pPr>
    </w:p>
    <w:p w14:paraId="65E40DE7">
      <w:pPr>
        <w:rPr>
          <w:color w:val="000000" w:themeColor="text1"/>
        </w:rPr>
      </w:pPr>
      <w:r>
        <w:rPr>
          <w:color w:val="000000" w:themeColor="text1"/>
        </w:rPr>
        <w:br w:type="page"/>
      </w:r>
    </w:p>
    <w:p w14:paraId="22D99B54">
      <w:pPr>
        <w:ind w:firstLine="480"/>
        <w:rPr>
          <w:color w:val="000000" w:themeColor="text1"/>
        </w:rPr>
      </w:pPr>
      <w:r>
        <w:rPr>
          <w:color w:val="000000" w:themeColor="text1"/>
        </w:rPr>
        <w:t>附件</w:t>
      </w:r>
      <w:r>
        <w:rPr>
          <w:rFonts w:hint="eastAsia"/>
          <w:color w:val="000000" w:themeColor="text1"/>
        </w:rPr>
        <w:t>1</w:t>
      </w:r>
    </w:p>
    <w:p w14:paraId="6DFF8DC0">
      <w:pPr>
        <w:widowControl/>
        <w:spacing w:line="240" w:lineRule="auto"/>
        <w:ind w:firstLine="0" w:firstLineChars="0"/>
        <w:jc w:val="left"/>
        <w:rPr>
          <w:color w:val="000000" w:themeColor="text1"/>
          <w:sz w:val="21"/>
        </w:rPr>
      </w:pPr>
    </w:p>
    <w:p w14:paraId="747B25C3">
      <w:pPr>
        <w:pStyle w:val="4"/>
        <w:ind w:firstLine="643"/>
        <w:jc w:val="center"/>
        <w:rPr>
          <w:color w:val="000000" w:themeColor="text1"/>
          <w:sz w:val="21"/>
        </w:rPr>
      </w:pPr>
      <w:bookmarkStart w:id="244" w:name="_Toc24371"/>
      <w:bookmarkStart w:id="245" w:name="_Toc14785"/>
      <w:r>
        <w:rPr>
          <w:rFonts w:hint="eastAsia"/>
          <w:color w:val="000000" w:themeColor="text1"/>
        </w:rPr>
        <w:t>投标人基本情况表</w:t>
      </w:r>
      <w:bookmarkEnd w:id="244"/>
      <w:bookmarkEnd w:id="245"/>
    </w:p>
    <w:tbl>
      <w:tblPr>
        <w:tblStyle w:val="75"/>
        <w:tblW w:w="9242" w:type="dxa"/>
        <w:tblInd w:w="-84" w:type="dxa"/>
        <w:tblLayout w:type="fixed"/>
        <w:tblCellMar>
          <w:top w:w="0" w:type="dxa"/>
          <w:left w:w="107" w:type="dxa"/>
          <w:bottom w:w="0" w:type="dxa"/>
          <w:right w:w="144" w:type="dxa"/>
        </w:tblCellMar>
      </w:tblPr>
      <w:tblGrid>
        <w:gridCol w:w="1652"/>
        <w:gridCol w:w="1342"/>
        <w:gridCol w:w="1070"/>
        <w:gridCol w:w="705"/>
        <w:gridCol w:w="508"/>
        <w:gridCol w:w="1214"/>
        <w:gridCol w:w="1044"/>
        <w:gridCol w:w="1707"/>
      </w:tblGrid>
      <w:tr w14:paraId="4355424D">
        <w:tblPrEx>
          <w:tblCellMar>
            <w:top w:w="0" w:type="dxa"/>
            <w:left w:w="107" w:type="dxa"/>
            <w:bottom w:w="0" w:type="dxa"/>
            <w:right w:w="144" w:type="dxa"/>
          </w:tblCellMar>
        </w:tblPrEx>
        <w:trPr>
          <w:trHeight w:val="521"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748013D9">
            <w:pPr>
              <w:pStyle w:val="47"/>
              <w:rPr>
                <w:color w:val="000000" w:themeColor="text1"/>
                <w:kern w:val="0"/>
              </w:rPr>
            </w:pPr>
            <w:r>
              <w:rPr>
                <w:color w:val="000000" w:themeColor="text1"/>
                <w:kern w:val="0"/>
              </w:rPr>
              <w:t>供应商名称</w:t>
            </w:r>
          </w:p>
        </w:tc>
        <w:tc>
          <w:tcPr>
            <w:tcW w:w="7590" w:type="dxa"/>
            <w:gridSpan w:val="7"/>
            <w:tcBorders>
              <w:top w:val="single" w:color="000000" w:sz="4" w:space="0"/>
              <w:left w:val="single" w:color="000000" w:sz="4" w:space="0"/>
              <w:bottom w:val="single" w:color="000000" w:sz="4" w:space="0"/>
              <w:right w:val="single" w:color="000000" w:sz="4" w:space="0"/>
            </w:tcBorders>
          </w:tcPr>
          <w:p w14:paraId="36BB4D9A">
            <w:pPr>
              <w:pStyle w:val="47"/>
              <w:rPr>
                <w:color w:val="000000" w:themeColor="text1"/>
                <w:kern w:val="0"/>
              </w:rPr>
            </w:pPr>
          </w:p>
        </w:tc>
      </w:tr>
      <w:tr w14:paraId="6E8DD7EB">
        <w:tblPrEx>
          <w:tblCellMar>
            <w:top w:w="0" w:type="dxa"/>
            <w:left w:w="107" w:type="dxa"/>
            <w:bottom w:w="0" w:type="dxa"/>
            <w:right w:w="144" w:type="dxa"/>
          </w:tblCellMar>
        </w:tblPrEx>
        <w:trPr>
          <w:trHeight w:val="521"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31348316">
            <w:pPr>
              <w:pStyle w:val="47"/>
              <w:rPr>
                <w:color w:val="000000" w:themeColor="text1"/>
                <w:kern w:val="0"/>
              </w:rPr>
            </w:pPr>
            <w:r>
              <w:rPr>
                <w:color w:val="000000" w:themeColor="text1"/>
                <w:kern w:val="0"/>
              </w:rPr>
              <w:t>注册地址</w:t>
            </w:r>
          </w:p>
        </w:tc>
        <w:tc>
          <w:tcPr>
            <w:tcW w:w="3625" w:type="dxa"/>
            <w:gridSpan w:val="4"/>
            <w:tcBorders>
              <w:top w:val="single" w:color="000000" w:sz="4" w:space="0"/>
              <w:left w:val="single" w:color="000000" w:sz="4" w:space="0"/>
              <w:bottom w:val="single" w:color="000000" w:sz="4" w:space="0"/>
              <w:right w:val="single" w:color="000000" w:sz="4" w:space="0"/>
            </w:tcBorders>
          </w:tcPr>
          <w:p w14:paraId="293F54C0">
            <w:pPr>
              <w:pStyle w:val="47"/>
              <w:rPr>
                <w:color w:val="000000" w:themeColor="text1"/>
                <w:kern w:val="0"/>
              </w:rPr>
            </w:pPr>
          </w:p>
        </w:tc>
        <w:tc>
          <w:tcPr>
            <w:tcW w:w="1214" w:type="dxa"/>
            <w:tcBorders>
              <w:top w:val="single" w:color="000000" w:sz="4" w:space="0"/>
              <w:left w:val="single" w:color="000000" w:sz="4" w:space="0"/>
              <w:bottom w:val="single" w:color="000000" w:sz="4" w:space="0"/>
              <w:right w:val="single" w:color="000000" w:sz="4" w:space="0"/>
            </w:tcBorders>
            <w:vAlign w:val="center"/>
          </w:tcPr>
          <w:p w14:paraId="79D59C61">
            <w:pPr>
              <w:pStyle w:val="47"/>
              <w:rPr>
                <w:color w:val="000000" w:themeColor="text1"/>
                <w:kern w:val="0"/>
              </w:rPr>
            </w:pPr>
            <w:r>
              <w:rPr>
                <w:color w:val="000000" w:themeColor="text1"/>
                <w:kern w:val="0"/>
              </w:rPr>
              <w:t>邮政编码</w:t>
            </w:r>
          </w:p>
        </w:tc>
        <w:tc>
          <w:tcPr>
            <w:tcW w:w="2751" w:type="dxa"/>
            <w:gridSpan w:val="2"/>
            <w:tcBorders>
              <w:top w:val="single" w:color="000000" w:sz="4" w:space="0"/>
              <w:left w:val="single" w:color="000000" w:sz="4" w:space="0"/>
              <w:bottom w:val="single" w:color="000000" w:sz="4" w:space="0"/>
              <w:right w:val="single" w:color="000000" w:sz="4" w:space="0"/>
            </w:tcBorders>
          </w:tcPr>
          <w:p w14:paraId="5B706349">
            <w:pPr>
              <w:pStyle w:val="47"/>
              <w:rPr>
                <w:color w:val="000000" w:themeColor="text1"/>
                <w:kern w:val="0"/>
              </w:rPr>
            </w:pPr>
          </w:p>
        </w:tc>
      </w:tr>
      <w:tr w14:paraId="675D4E62">
        <w:tblPrEx>
          <w:tblCellMar>
            <w:top w:w="0" w:type="dxa"/>
            <w:left w:w="107" w:type="dxa"/>
            <w:bottom w:w="0" w:type="dxa"/>
            <w:right w:w="144" w:type="dxa"/>
          </w:tblCellMar>
        </w:tblPrEx>
        <w:trPr>
          <w:trHeight w:val="522" w:hRule="atLeast"/>
        </w:trPr>
        <w:tc>
          <w:tcPr>
            <w:tcW w:w="1652" w:type="dxa"/>
            <w:vMerge w:val="restart"/>
            <w:tcBorders>
              <w:top w:val="single" w:color="000000" w:sz="4" w:space="0"/>
              <w:left w:val="single" w:color="000000" w:sz="4" w:space="0"/>
              <w:bottom w:val="single" w:color="000000" w:sz="4" w:space="0"/>
              <w:right w:val="single" w:color="000000" w:sz="4" w:space="0"/>
            </w:tcBorders>
            <w:vAlign w:val="center"/>
          </w:tcPr>
          <w:p w14:paraId="522289DA">
            <w:pPr>
              <w:pStyle w:val="47"/>
              <w:rPr>
                <w:color w:val="000000" w:themeColor="text1"/>
                <w:kern w:val="0"/>
              </w:rPr>
            </w:pPr>
            <w:r>
              <w:rPr>
                <w:color w:val="000000" w:themeColor="text1"/>
                <w:kern w:val="0"/>
              </w:rPr>
              <w:t>联系方式</w:t>
            </w:r>
          </w:p>
        </w:tc>
        <w:tc>
          <w:tcPr>
            <w:tcW w:w="1342" w:type="dxa"/>
            <w:tcBorders>
              <w:top w:val="single" w:color="000000" w:sz="4" w:space="0"/>
              <w:left w:val="single" w:color="000000" w:sz="4" w:space="0"/>
              <w:bottom w:val="single" w:color="000000" w:sz="4" w:space="0"/>
              <w:right w:val="single" w:color="000000" w:sz="4" w:space="0"/>
            </w:tcBorders>
            <w:vAlign w:val="center"/>
          </w:tcPr>
          <w:p w14:paraId="679EBBC1">
            <w:pPr>
              <w:pStyle w:val="47"/>
              <w:rPr>
                <w:color w:val="000000" w:themeColor="text1"/>
                <w:kern w:val="0"/>
              </w:rPr>
            </w:pPr>
            <w:r>
              <w:rPr>
                <w:color w:val="000000" w:themeColor="text1"/>
                <w:kern w:val="0"/>
              </w:rPr>
              <w:t>联系人</w:t>
            </w:r>
          </w:p>
        </w:tc>
        <w:tc>
          <w:tcPr>
            <w:tcW w:w="2283" w:type="dxa"/>
            <w:gridSpan w:val="3"/>
            <w:tcBorders>
              <w:top w:val="single" w:color="000000" w:sz="4" w:space="0"/>
              <w:left w:val="single" w:color="000000" w:sz="4" w:space="0"/>
              <w:bottom w:val="single" w:color="000000" w:sz="4" w:space="0"/>
              <w:right w:val="single" w:color="000000" w:sz="4" w:space="0"/>
            </w:tcBorders>
          </w:tcPr>
          <w:p w14:paraId="79B0CD85">
            <w:pPr>
              <w:pStyle w:val="47"/>
              <w:rPr>
                <w:color w:val="000000" w:themeColor="text1"/>
                <w:kern w:val="0"/>
              </w:rPr>
            </w:pPr>
          </w:p>
        </w:tc>
        <w:tc>
          <w:tcPr>
            <w:tcW w:w="1214" w:type="dxa"/>
            <w:tcBorders>
              <w:top w:val="single" w:color="000000" w:sz="4" w:space="0"/>
              <w:left w:val="single" w:color="000000" w:sz="4" w:space="0"/>
              <w:bottom w:val="single" w:color="000000" w:sz="4" w:space="0"/>
              <w:right w:val="single" w:color="000000" w:sz="4" w:space="0"/>
            </w:tcBorders>
            <w:vAlign w:val="center"/>
          </w:tcPr>
          <w:p w14:paraId="5F5D1E5E">
            <w:pPr>
              <w:pStyle w:val="47"/>
              <w:rPr>
                <w:color w:val="000000" w:themeColor="text1"/>
                <w:kern w:val="0"/>
              </w:rPr>
            </w:pPr>
            <w:r>
              <w:rPr>
                <w:color w:val="000000" w:themeColor="text1"/>
                <w:kern w:val="0"/>
              </w:rPr>
              <w:t>电话</w:t>
            </w:r>
          </w:p>
        </w:tc>
        <w:tc>
          <w:tcPr>
            <w:tcW w:w="2751" w:type="dxa"/>
            <w:gridSpan w:val="2"/>
            <w:tcBorders>
              <w:top w:val="single" w:color="000000" w:sz="4" w:space="0"/>
              <w:left w:val="single" w:color="000000" w:sz="4" w:space="0"/>
              <w:bottom w:val="single" w:color="000000" w:sz="4" w:space="0"/>
              <w:right w:val="single" w:color="000000" w:sz="4" w:space="0"/>
            </w:tcBorders>
          </w:tcPr>
          <w:p w14:paraId="58AA1AB4">
            <w:pPr>
              <w:pStyle w:val="47"/>
              <w:rPr>
                <w:color w:val="000000" w:themeColor="text1"/>
                <w:kern w:val="0"/>
              </w:rPr>
            </w:pPr>
          </w:p>
        </w:tc>
      </w:tr>
      <w:tr w14:paraId="52283F0B">
        <w:tblPrEx>
          <w:tblCellMar>
            <w:top w:w="0" w:type="dxa"/>
            <w:left w:w="107" w:type="dxa"/>
            <w:bottom w:w="0" w:type="dxa"/>
            <w:right w:w="144" w:type="dxa"/>
          </w:tblCellMar>
        </w:tblPrEx>
        <w:trPr>
          <w:trHeight w:val="521" w:hRule="atLeast"/>
        </w:trPr>
        <w:tc>
          <w:tcPr>
            <w:tcW w:w="1652" w:type="dxa"/>
            <w:vMerge w:val="continue"/>
            <w:tcBorders>
              <w:top w:val="nil"/>
              <w:left w:val="single" w:color="000000" w:sz="4" w:space="0"/>
              <w:bottom w:val="nil"/>
              <w:right w:val="single" w:color="000000" w:sz="4" w:space="0"/>
            </w:tcBorders>
          </w:tcPr>
          <w:p w14:paraId="2E7F2940">
            <w:pPr>
              <w:pStyle w:val="47"/>
              <w:rPr>
                <w:color w:val="000000" w:themeColor="text1"/>
                <w:kern w:val="0"/>
              </w:rPr>
            </w:pPr>
          </w:p>
        </w:tc>
        <w:tc>
          <w:tcPr>
            <w:tcW w:w="1342" w:type="dxa"/>
            <w:tcBorders>
              <w:top w:val="single" w:color="000000" w:sz="4" w:space="0"/>
              <w:left w:val="single" w:color="000000" w:sz="4" w:space="0"/>
              <w:bottom w:val="single" w:color="000000" w:sz="4" w:space="0"/>
              <w:right w:val="single" w:color="000000" w:sz="4" w:space="0"/>
            </w:tcBorders>
            <w:vAlign w:val="center"/>
          </w:tcPr>
          <w:p w14:paraId="4B00E773">
            <w:pPr>
              <w:pStyle w:val="47"/>
              <w:rPr>
                <w:color w:val="000000" w:themeColor="text1"/>
                <w:kern w:val="0"/>
              </w:rPr>
            </w:pPr>
            <w:r>
              <w:rPr>
                <w:color w:val="000000" w:themeColor="text1"/>
                <w:kern w:val="0"/>
              </w:rPr>
              <w:t>传真</w:t>
            </w:r>
          </w:p>
        </w:tc>
        <w:tc>
          <w:tcPr>
            <w:tcW w:w="2283" w:type="dxa"/>
            <w:gridSpan w:val="3"/>
            <w:tcBorders>
              <w:top w:val="single" w:color="000000" w:sz="4" w:space="0"/>
              <w:left w:val="single" w:color="000000" w:sz="4" w:space="0"/>
              <w:bottom w:val="single" w:color="000000" w:sz="4" w:space="0"/>
              <w:right w:val="single" w:color="000000" w:sz="4" w:space="0"/>
            </w:tcBorders>
          </w:tcPr>
          <w:p w14:paraId="55B0F5BE">
            <w:pPr>
              <w:pStyle w:val="47"/>
              <w:rPr>
                <w:color w:val="000000" w:themeColor="text1"/>
                <w:kern w:val="0"/>
              </w:rPr>
            </w:pPr>
          </w:p>
        </w:tc>
        <w:tc>
          <w:tcPr>
            <w:tcW w:w="1214" w:type="dxa"/>
            <w:tcBorders>
              <w:top w:val="single" w:color="000000" w:sz="4" w:space="0"/>
              <w:left w:val="single" w:color="000000" w:sz="4" w:space="0"/>
              <w:bottom w:val="single" w:color="000000" w:sz="4" w:space="0"/>
              <w:right w:val="single" w:color="000000" w:sz="4" w:space="0"/>
            </w:tcBorders>
            <w:vAlign w:val="center"/>
          </w:tcPr>
          <w:p w14:paraId="6950B245">
            <w:pPr>
              <w:pStyle w:val="47"/>
              <w:rPr>
                <w:color w:val="000000" w:themeColor="text1"/>
                <w:kern w:val="0"/>
              </w:rPr>
            </w:pPr>
            <w:r>
              <w:rPr>
                <w:color w:val="000000" w:themeColor="text1"/>
                <w:kern w:val="0"/>
              </w:rPr>
              <w:t>移动电话</w:t>
            </w:r>
          </w:p>
        </w:tc>
        <w:tc>
          <w:tcPr>
            <w:tcW w:w="2751" w:type="dxa"/>
            <w:gridSpan w:val="2"/>
            <w:tcBorders>
              <w:top w:val="single" w:color="000000" w:sz="4" w:space="0"/>
              <w:left w:val="single" w:color="000000" w:sz="4" w:space="0"/>
              <w:bottom w:val="single" w:color="000000" w:sz="4" w:space="0"/>
              <w:right w:val="single" w:color="000000" w:sz="4" w:space="0"/>
            </w:tcBorders>
          </w:tcPr>
          <w:p w14:paraId="62A1004D">
            <w:pPr>
              <w:pStyle w:val="47"/>
              <w:rPr>
                <w:color w:val="000000" w:themeColor="text1"/>
                <w:kern w:val="0"/>
              </w:rPr>
            </w:pPr>
          </w:p>
        </w:tc>
      </w:tr>
      <w:tr w14:paraId="06FECB42">
        <w:tblPrEx>
          <w:tblCellMar>
            <w:top w:w="0" w:type="dxa"/>
            <w:left w:w="107" w:type="dxa"/>
            <w:bottom w:w="0" w:type="dxa"/>
            <w:right w:w="144" w:type="dxa"/>
          </w:tblCellMar>
        </w:tblPrEx>
        <w:trPr>
          <w:trHeight w:val="521" w:hRule="atLeast"/>
        </w:trPr>
        <w:tc>
          <w:tcPr>
            <w:tcW w:w="1652" w:type="dxa"/>
            <w:vMerge w:val="continue"/>
            <w:tcBorders>
              <w:top w:val="nil"/>
              <w:left w:val="single" w:color="000000" w:sz="4" w:space="0"/>
              <w:bottom w:val="single" w:color="000000" w:sz="4" w:space="0"/>
              <w:right w:val="single" w:color="000000" w:sz="4" w:space="0"/>
            </w:tcBorders>
          </w:tcPr>
          <w:p w14:paraId="51AD4553">
            <w:pPr>
              <w:pStyle w:val="47"/>
              <w:rPr>
                <w:color w:val="000000" w:themeColor="text1"/>
                <w:kern w:val="0"/>
              </w:rPr>
            </w:pPr>
          </w:p>
        </w:tc>
        <w:tc>
          <w:tcPr>
            <w:tcW w:w="1342" w:type="dxa"/>
            <w:tcBorders>
              <w:top w:val="single" w:color="000000" w:sz="4" w:space="0"/>
              <w:left w:val="single" w:color="000000" w:sz="4" w:space="0"/>
              <w:bottom w:val="single" w:color="000000" w:sz="4" w:space="0"/>
              <w:right w:val="single" w:color="000000" w:sz="4" w:space="0"/>
            </w:tcBorders>
            <w:vAlign w:val="center"/>
          </w:tcPr>
          <w:p w14:paraId="60292AF8">
            <w:pPr>
              <w:pStyle w:val="47"/>
              <w:rPr>
                <w:color w:val="000000" w:themeColor="text1"/>
                <w:kern w:val="0"/>
              </w:rPr>
            </w:pPr>
            <w:r>
              <w:rPr>
                <w:color w:val="000000" w:themeColor="text1"/>
                <w:kern w:val="0"/>
              </w:rPr>
              <w:t>电子邮箱</w:t>
            </w:r>
          </w:p>
        </w:tc>
        <w:tc>
          <w:tcPr>
            <w:tcW w:w="2283" w:type="dxa"/>
            <w:gridSpan w:val="3"/>
            <w:tcBorders>
              <w:top w:val="single" w:color="000000" w:sz="4" w:space="0"/>
              <w:left w:val="single" w:color="000000" w:sz="4" w:space="0"/>
              <w:bottom w:val="single" w:color="000000" w:sz="4" w:space="0"/>
              <w:right w:val="single" w:color="000000" w:sz="4" w:space="0"/>
            </w:tcBorders>
          </w:tcPr>
          <w:p w14:paraId="343EEAA3">
            <w:pPr>
              <w:pStyle w:val="47"/>
              <w:rPr>
                <w:color w:val="000000" w:themeColor="text1"/>
                <w:kern w:val="0"/>
              </w:rPr>
            </w:pPr>
          </w:p>
        </w:tc>
        <w:tc>
          <w:tcPr>
            <w:tcW w:w="1214" w:type="dxa"/>
            <w:tcBorders>
              <w:top w:val="single" w:color="000000" w:sz="4" w:space="0"/>
              <w:left w:val="single" w:color="000000" w:sz="4" w:space="0"/>
              <w:bottom w:val="single" w:color="000000" w:sz="4" w:space="0"/>
              <w:right w:val="single" w:color="000000" w:sz="4" w:space="0"/>
            </w:tcBorders>
            <w:vAlign w:val="center"/>
          </w:tcPr>
          <w:p w14:paraId="6393F00C">
            <w:pPr>
              <w:pStyle w:val="47"/>
              <w:rPr>
                <w:color w:val="000000" w:themeColor="text1"/>
                <w:kern w:val="0"/>
              </w:rPr>
            </w:pPr>
            <w:r>
              <w:rPr>
                <w:color w:val="000000" w:themeColor="text1"/>
                <w:kern w:val="0"/>
              </w:rPr>
              <w:t>网址</w:t>
            </w:r>
          </w:p>
        </w:tc>
        <w:tc>
          <w:tcPr>
            <w:tcW w:w="2751" w:type="dxa"/>
            <w:gridSpan w:val="2"/>
            <w:tcBorders>
              <w:top w:val="single" w:color="000000" w:sz="4" w:space="0"/>
              <w:left w:val="single" w:color="000000" w:sz="4" w:space="0"/>
              <w:bottom w:val="single" w:color="000000" w:sz="4" w:space="0"/>
              <w:right w:val="single" w:color="000000" w:sz="4" w:space="0"/>
            </w:tcBorders>
          </w:tcPr>
          <w:p w14:paraId="49EA1F18">
            <w:pPr>
              <w:pStyle w:val="47"/>
              <w:rPr>
                <w:color w:val="000000" w:themeColor="text1"/>
                <w:kern w:val="0"/>
              </w:rPr>
            </w:pPr>
          </w:p>
        </w:tc>
      </w:tr>
      <w:tr w14:paraId="5F705B75">
        <w:tblPrEx>
          <w:tblCellMar>
            <w:top w:w="0" w:type="dxa"/>
            <w:left w:w="107" w:type="dxa"/>
            <w:bottom w:w="0" w:type="dxa"/>
            <w:right w:w="144" w:type="dxa"/>
          </w:tblCellMar>
        </w:tblPrEx>
        <w:trPr>
          <w:trHeight w:val="522"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76AD6BF4">
            <w:pPr>
              <w:pStyle w:val="47"/>
              <w:rPr>
                <w:color w:val="000000" w:themeColor="text1"/>
                <w:kern w:val="0"/>
              </w:rPr>
            </w:pPr>
            <w:r>
              <w:rPr>
                <w:color w:val="000000" w:themeColor="text1"/>
                <w:kern w:val="0"/>
              </w:rPr>
              <w:t>法定代表人</w:t>
            </w:r>
          </w:p>
        </w:tc>
        <w:tc>
          <w:tcPr>
            <w:tcW w:w="1342" w:type="dxa"/>
            <w:tcBorders>
              <w:top w:val="single" w:color="000000" w:sz="4" w:space="0"/>
              <w:left w:val="single" w:color="000000" w:sz="4" w:space="0"/>
              <w:bottom w:val="single" w:color="000000" w:sz="4" w:space="0"/>
              <w:right w:val="single" w:color="000000" w:sz="4" w:space="0"/>
            </w:tcBorders>
            <w:vAlign w:val="center"/>
          </w:tcPr>
          <w:p w14:paraId="77BA5442">
            <w:pPr>
              <w:pStyle w:val="47"/>
              <w:rPr>
                <w:color w:val="000000" w:themeColor="text1"/>
                <w:kern w:val="0"/>
              </w:rPr>
            </w:pPr>
            <w:r>
              <w:rPr>
                <w:color w:val="000000" w:themeColor="text1"/>
                <w:kern w:val="0"/>
              </w:rPr>
              <w:t>姓名</w:t>
            </w:r>
          </w:p>
        </w:tc>
        <w:tc>
          <w:tcPr>
            <w:tcW w:w="1070" w:type="dxa"/>
            <w:tcBorders>
              <w:top w:val="single" w:color="000000" w:sz="4" w:space="0"/>
              <w:left w:val="single" w:color="000000" w:sz="4" w:space="0"/>
              <w:bottom w:val="single" w:color="000000" w:sz="4" w:space="0"/>
              <w:right w:val="single" w:color="000000" w:sz="4" w:space="0"/>
            </w:tcBorders>
          </w:tcPr>
          <w:p w14:paraId="30DF7443">
            <w:pPr>
              <w:pStyle w:val="47"/>
              <w:rPr>
                <w:color w:val="000000" w:themeColor="text1"/>
                <w:kern w:val="0"/>
              </w:rPr>
            </w:pPr>
          </w:p>
        </w:tc>
        <w:tc>
          <w:tcPr>
            <w:tcW w:w="1213" w:type="dxa"/>
            <w:gridSpan w:val="2"/>
            <w:tcBorders>
              <w:top w:val="single" w:color="000000" w:sz="4" w:space="0"/>
              <w:left w:val="single" w:color="000000" w:sz="4" w:space="0"/>
              <w:bottom w:val="single" w:color="000000" w:sz="4" w:space="0"/>
              <w:right w:val="single" w:color="000000" w:sz="4" w:space="0"/>
            </w:tcBorders>
            <w:vAlign w:val="center"/>
          </w:tcPr>
          <w:p w14:paraId="1AD8523E">
            <w:pPr>
              <w:pStyle w:val="47"/>
              <w:rPr>
                <w:color w:val="000000" w:themeColor="text1"/>
                <w:kern w:val="0"/>
              </w:rPr>
            </w:pPr>
            <w:r>
              <w:rPr>
                <w:color w:val="000000" w:themeColor="text1"/>
                <w:kern w:val="0"/>
              </w:rPr>
              <w:t>技术职称</w:t>
            </w:r>
          </w:p>
        </w:tc>
        <w:tc>
          <w:tcPr>
            <w:tcW w:w="1214" w:type="dxa"/>
            <w:tcBorders>
              <w:top w:val="single" w:color="000000" w:sz="4" w:space="0"/>
              <w:left w:val="single" w:color="000000" w:sz="4" w:space="0"/>
              <w:bottom w:val="single" w:color="000000" w:sz="4" w:space="0"/>
              <w:right w:val="single" w:color="000000" w:sz="4" w:space="0"/>
            </w:tcBorders>
          </w:tcPr>
          <w:p w14:paraId="72958FE1">
            <w:pPr>
              <w:pStyle w:val="47"/>
              <w:rPr>
                <w:color w:val="000000" w:themeColor="text1"/>
                <w:kern w:val="0"/>
              </w:rPr>
            </w:pPr>
          </w:p>
        </w:tc>
        <w:tc>
          <w:tcPr>
            <w:tcW w:w="1044" w:type="dxa"/>
            <w:tcBorders>
              <w:top w:val="single" w:color="000000" w:sz="4" w:space="0"/>
              <w:left w:val="single" w:color="000000" w:sz="4" w:space="0"/>
              <w:bottom w:val="single" w:color="000000" w:sz="4" w:space="0"/>
              <w:right w:val="single" w:color="000000" w:sz="4" w:space="0"/>
            </w:tcBorders>
            <w:vAlign w:val="center"/>
          </w:tcPr>
          <w:p w14:paraId="026A0509">
            <w:pPr>
              <w:pStyle w:val="47"/>
              <w:rPr>
                <w:color w:val="000000" w:themeColor="text1"/>
                <w:kern w:val="0"/>
              </w:rPr>
            </w:pPr>
            <w:r>
              <w:rPr>
                <w:color w:val="000000" w:themeColor="text1"/>
                <w:kern w:val="0"/>
              </w:rPr>
              <w:t>电话</w:t>
            </w:r>
          </w:p>
        </w:tc>
        <w:tc>
          <w:tcPr>
            <w:tcW w:w="1707" w:type="dxa"/>
            <w:tcBorders>
              <w:top w:val="single" w:color="000000" w:sz="4" w:space="0"/>
              <w:left w:val="single" w:color="000000" w:sz="4" w:space="0"/>
              <w:bottom w:val="single" w:color="000000" w:sz="4" w:space="0"/>
              <w:right w:val="single" w:color="000000" w:sz="4" w:space="0"/>
            </w:tcBorders>
          </w:tcPr>
          <w:p w14:paraId="491139E5">
            <w:pPr>
              <w:pStyle w:val="47"/>
              <w:rPr>
                <w:color w:val="000000" w:themeColor="text1"/>
                <w:kern w:val="0"/>
              </w:rPr>
            </w:pPr>
          </w:p>
        </w:tc>
      </w:tr>
      <w:tr w14:paraId="7C7397E1">
        <w:trPr>
          <w:trHeight w:val="521"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0B74AEB1">
            <w:pPr>
              <w:pStyle w:val="47"/>
              <w:rPr>
                <w:color w:val="000000" w:themeColor="text1"/>
                <w:kern w:val="0"/>
              </w:rPr>
            </w:pPr>
            <w:r>
              <w:rPr>
                <w:color w:val="000000" w:themeColor="text1"/>
                <w:kern w:val="0"/>
              </w:rPr>
              <w:t>技术负责人</w:t>
            </w:r>
          </w:p>
        </w:tc>
        <w:tc>
          <w:tcPr>
            <w:tcW w:w="1342" w:type="dxa"/>
            <w:tcBorders>
              <w:top w:val="single" w:color="000000" w:sz="4" w:space="0"/>
              <w:left w:val="single" w:color="000000" w:sz="4" w:space="0"/>
              <w:bottom w:val="single" w:color="000000" w:sz="4" w:space="0"/>
              <w:right w:val="single" w:color="000000" w:sz="4" w:space="0"/>
            </w:tcBorders>
            <w:vAlign w:val="center"/>
          </w:tcPr>
          <w:p w14:paraId="7099A896">
            <w:pPr>
              <w:pStyle w:val="47"/>
              <w:rPr>
                <w:color w:val="000000" w:themeColor="text1"/>
                <w:kern w:val="0"/>
              </w:rPr>
            </w:pPr>
            <w:r>
              <w:rPr>
                <w:color w:val="000000" w:themeColor="text1"/>
                <w:kern w:val="0"/>
              </w:rPr>
              <w:t>姓名</w:t>
            </w:r>
          </w:p>
        </w:tc>
        <w:tc>
          <w:tcPr>
            <w:tcW w:w="1070" w:type="dxa"/>
            <w:tcBorders>
              <w:top w:val="single" w:color="000000" w:sz="4" w:space="0"/>
              <w:left w:val="single" w:color="000000" w:sz="4" w:space="0"/>
              <w:bottom w:val="single" w:color="000000" w:sz="4" w:space="0"/>
              <w:right w:val="single" w:color="000000" w:sz="4" w:space="0"/>
            </w:tcBorders>
          </w:tcPr>
          <w:p w14:paraId="6F4C05B2">
            <w:pPr>
              <w:pStyle w:val="47"/>
              <w:rPr>
                <w:color w:val="000000" w:themeColor="text1"/>
                <w:kern w:val="0"/>
              </w:rPr>
            </w:pPr>
          </w:p>
        </w:tc>
        <w:tc>
          <w:tcPr>
            <w:tcW w:w="1213" w:type="dxa"/>
            <w:gridSpan w:val="2"/>
            <w:tcBorders>
              <w:top w:val="single" w:color="000000" w:sz="4" w:space="0"/>
              <w:left w:val="single" w:color="000000" w:sz="4" w:space="0"/>
              <w:bottom w:val="single" w:color="000000" w:sz="4" w:space="0"/>
              <w:right w:val="single" w:color="000000" w:sz="4" w:space="0"/>
            </w:tcBorders>
            <w:vAlign w:val="center"/>
          </w:tcPr>
          <w:p w14:paraId="0B53C068">
            <w:pPr>
              <w:pStyle w:val="47"/>
              <w:rPr>
                <w:color w:val="000000" w:themeColor="text1"/>
                <w:kern w:val="0"/>
              </w:rPr>
            </w:pPr>
            <w:r>
              <w:rPr>
                <w:color w:val="000000" w:themeColor="text1"/>
                <w:kern w:val="0"/>
              </w:rPr>
              <w:t>技术职称</w:t>
            </w:r>
          </w:p>
        </w:tc>
        <w:tc>
          <w:tcPr>
            <w:tcW w:w="1214" w:type="dxa"/>
            <w:tcBorders>
              <w:top w:val="single" w:color="000000" w:sz="4" w:space="0"/>
              <w:left w:val="single" w:color="000000" w:sz="4" w:space="0"/>
              <w:bottom w:val="single" w:color="000000" w:sz="4" w:space="0"/>
              <w:right w:val="single" w:color="000000" w:sz="4" w:space="0"/>
            </w:tcBorders>
          </w:tcPr>
          <w:p w14:paraId="77F793ED">
            <w:pPr>
              <w:pStyle w:val="47"/>
              <w:rPr>
                <w:color w:val="000000" w:themeColor="text1"/>
                <w:kern w:val="0"/>
              </w:rPr>
            </w:pPr>
          </w:p>
        </w:tc>
        <w:tc>
          <w:tcPr>
            <w:tcW w:w="1044" w:type="dxa"/>
            <w:tcBorders>
              <w:top w:val="single" w:color="000000" w:sz="4" w:space="0"/>
              <w:left w:val="single" w:color="000000" w:sz="4" w:space="0"/>
              <w:bottom w:val="single" w:color="000000" w:sz="4" w:space="0"/>
              <w:right w:val="single" w:color="000000" w:sz="4" w:space="0"/>
            </w:tcBorders>
            <w:vAlign w:val="center"/>
          </w:tcPr>
          <w:p w14:paraId="5CB90F16">
            <w:pPr>
              <w:pStyle w:val="47"/>
              <w:rPr>
                <w:color w:val="000000" w:themeColor="text1"/>
                <w:kern w:val="0"/>
              </w:rPr>
            </w:pPr>
            <w:r>
              <w:rPr>
                <w:color w:val="000000" w:themeColor="text1"/>
                <w:kern w:val="0"/>
              </w:rPr>
              <w:t>电话</w:t>
            </w:r>
          </w:p>
        </w:tc>
        <w:tc>
          <w:tcPr>
            <w:tcW w:w="1707" w:type="dxa"/>
            <w:tcBorders>
              <w:top w:val="single" w:color="000000" w:sz="4" w:space="0"/>
              <w:left w:val="single" w:color="000000" w:sz="4" w:space="0"/>
              <w:bottom w:val="single" w:color="000000" w:sz="4" w:space="0"/>
              <w:right w:val="single" w:color="000000" w:sz="4" w:space="0"/>
            </w:tcBorders>
          </w:tcPr>
          <w:p w14:paraId="363972D3">
            <w:pPr>
              <w:pStyle w:val="47"/>
              <w:rPr>
                <w:color w:val="000000" w:themeColor="text1"/>
                <w:kern w:val="0"/>
              </w:rPr>
            </w:pPr>
          </w:p>
        </w:tc>
      </w:tr>
      <w:tr w14:paraId="2F25F1AB">
        <w:trPr>
          <w:trHeight w:val="521"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09653F06">
            <w:pPr>
              <w:pStyle w:val="47"/>
              <w:rPr>
                <w:color w:val="000000" w:themeColor="text1"/>
                <w:kern w:val="0"/>
              </w:rPr>
            </w:pPr>
            <w:r>
              <w:rPr>
                <w:color w:val="000000" w:themeColor="text1"/>
                <w:kern w:val="0"/>
              </w:rPr>
              <w:t>成立时间</w:t>
            </w:r>
          </w:p>
        </w:tc>
        <w:tc>
          <w:tcPr>
            <w:tcW w:w="2412" w:type="dxa"/>
            <w:gridSpan w:val="2"/>
            <w:tcBorders>
              <w:top w:val="single" w:color="000000" w:sz="4" w:space="0"/>
              <w:left w:val="single" w:color="000000" w:sz="4" w:space="0"/>
              <w:bottom w:val="single" w:color="000000" w:sz="4" w:space="0"/>
              <w:right w:val="single" w:color="000000" w:sz="4" w:space="0"/>
            </w:tcBorders>
          </w:tcPr>
          <w:p w14:paraId="13E5336F">
            <w:pPr>
              <w:pStyle w:val="47"/>
              <w:rPr>
                <w:color w:val="000000" w:themeColor="text1"/>
                <w:kern w:val="0"/>
              </w:rPr>
            </w:pPr>
          </w:p>
        </w:tc>
        <w:tc>
          <w:tcPr>
            <w:tcW w:w="5178" w:type="dxa"/>
            <w:gridSpan w:val="5"/>
            <w:tcBorders>
              <w:top w:val="single" w:color="000000" w:sz="4" w:space="0"/>
              <w:left w:val="single" w:color="000000" w:sz="4" w:space="0"/>
              <w:bottom w:val="single" w:color="000000" w:sz="4" w:space="0"/>
              <w:right w:val="single" w:color="000000" w:sz="4" w:space="0"/>
            </w:tcBorders>
            <w:vAlign w:val="center"/>
          </w:tcPr>
          <w:p w14:paraId="78D4509E">
            <w:pPr>
              <w:pStyle w:val="47"/>
              <w:rPr>
                <w:color w:val="000000" w:themeColor="text1"/>
                <w:kern w:val="0"/>
              </w:rPr>
            </w:pPr>
            <w:r>
              <w:rPr>
                <w:color w:val="000000" w:themeColor="text1"/>
                <w:kern w:val="0"/>
              </w:rPr>
              <w:t>员工总人数：</w:t>
            </w:r>
          </w:p>
        </w:tc>
      </w:tr>
      <w:tr w14:paraId="30FB7085">
        <w:tblPrEx>
          <w:tblCellMar>
            <w:top w:w="0" w:type="dxa"/>
            <w:left w:w="107" w:type="dxa"/>
            <w:bottom w:w="0" w:type="dxa"/>
            <w:right w:w="144" w:type="dxa"/>
          </w:tblCellMar>
        </w:tblPrEx>
        <w:trPr>
          <w:trHeight w:val="522" w:hRule="atLeast"/>
        </w:trPr>
        <w:tc>
          <w:tcPr>
            <w:tcW w:w="1652" w:type="dxa"/>
            <w:vMerge w:val="restart"/>
            <w:tcBorders>
              <w:top w:val="single" w:color="000000" w:sz="4" w:space="0"/>
              <w:left w:val="single" w:color="000000" w:sz="4" w:space="0"/>
              <w:bottom w:val="single" w:color="000000" w:sz="4" w:space="0"/>
              <w:right w:val="single" w:color="000000" w:sz="4" w:space="0"/>
            </w:tcBorders>
            <w:vAlign w:val="center"/>
          </w:tcPr>
          <w:p w14:paraId="0F98CC35">
            <w:pPr>
              <w:pStyle w:val="47"/>
              <w:rPr>
                <w:color w:val="000000" w:themeColor="text1"/>
                <w:kern w:val="0"/>
              </w:rPr>
            </w:pPr>
            <w:r>
              <w:rPr>
                <w:color w:val="000000" w:themeColor="text1"/>
                <w:kern w:val="0"/>
              </w:rPr>
              <w:t>统一社会信用代码</w:t>
            </w:r>
          </w:p>
        </w:tc>
        <w:tc>
          <w:tcPr>
            <w:tcW w:w="2412" w:type="dxa"/>
            <w:gridSpan w:val="2"/>
            <w:vMerge w:val="restart"/>
            <w:tcBorders>
              <w:top w:val="single" w:color="000000" w:sz="4" w:space="0"/>
              <w:left w:val="single" w:color="000000" w:sz="4" w:space="0"/>
              <w:right w:val="single" w:color="000000" w:sz="4" w:space="0"/>
            </w:tcBorders>
          </w:tcPr>
          <w:p w14:paraId="697055CB">
            <w:pPr>
              <w:pStyle w:val="47"/>
              <w:rPr>
                <w:color w:val="000000" w:themeColor="text1"/>
                <w:kern w:val="0"/>
              </w:rPr>
            </w:pPr>
          </w:p>
        </w:tc>
        <w:tc>
          <w:tcPr>
            <w:tcW w:w="705" w:type="dxa"/>
            <w:vMerge w:val="restart"/>
            <w:tcBorders>
              <w:top w:val="single" w:color="000000" w:sz="4" w:space="0"/>
              <w:left w:val="single" w:color="000000" w:sz="4" w:space="0"/>
              <w:bottom w:val="single" w:color="000000" w:sz="4" w:space="0"/>
              <w:right w:val="single" w:color="000000" w:sz="4" w:space="0"/>
            </w:tcBorders>
            <w:vAlign w:val="center"/>
          </w:tcPr>
          <w:p w14:paraId="19315081">
            <w:pPr>
              <w:pStyle w:val="47"/>
              <w:rPr>
                <w:color w:val="000000" w:themeColor="text1"/>
                <w:kern w:val="0"/>
              </w:rPr>
            </w:pPr>
            <w:r>
              <w:rPr>
                <w:color w:val="000000" w:themeColor="text1"/>
                <w:kern w:val="0"/>
              </w:rPr>
              <w:t>其中</w:t>
            </w:r>
          </w:p>
        </w:tc>
        <w:tc>
          <w:tcPr>
            <w:tcW w:w="1722" w:type="dxa"/>
            <w:gridSpan w:val="2"/>
            <w:tcBorders>
              <w:top w:val="single" w:color="000000" w:sz="4" w:space="0"/>
              <w:left w:val="single" w:color="000000" w:sz="4" w:space="0"/>
              <w:bottom w:val="single" w:color="000000" w:sz="4" w:space="0"/>
              <w:right w:val="single" w:color="000000" w:sz="4" w:space="0"/>
            </w:tcBorders>
            <w:vAlign w:val="center"/>
          </w:tcPr>
          <w:p w14:paraId="44DAF229">
            <w:pPr>
              <w:pStyle w:val="47"/>
              <w:rPr>
                <w:color w:val="000000" w:themeColor="text1"/>
                <w:kern w:val="0"/>
              </w:rPr>
            </w:pPr>
            <w:r>
              <w:rPr>
                <w:color w:val="000000" w:themeColor="text1"/>
                <w:kern w:val="0"/>
              </w:rPr>
              <w:t>注册职业资格</w:t>
            </w:r>
          </w:p>
        </w:tc>
        <w:tc>
          <w:tcPr>
            <w:tcW w:w="2751" w:type="dxa"/>
            <w:gridSpan w:val="2"/>
            <w:tcBorders>
              <w:top w:val="single" w:color="000000" w:sz="4" w:space="0"/>
              <w:left w:val="single" w:color="000000" w:sz="4" w:space="0"/>
              <w:bottom w:val="single" w:color="000000" w:sz="4" w:space="0"/>
              <w:right w:val="single" w:color="000000" w:sz="4" w:space="0"/>
            </w:tcBorders>
          </w:tcPr>
          <w:p w14:paraId="54316806">
            <w:pPr>
              <w:pStyle w:val="47"/>
              <w:rPr>
                <w:color w:val="000000" w:themeColor="text1"/>
                <w:kern w:val="0"/>
              </w:rPr>
            </w:pPr>
          </w:p>
        </w:tc>
      </w:tr>
      <w:tr w14:paraId="79BBD5F4">
        <w:tblPrEx>
          <w:tblCellMar>
            <w:top w:w="0" w:type="dxa"/>
            <w:left w:w="107" w:type="dxa"/>
            <w:bottom w:w="0" w:type="dxa"/>
            <w:right w:w="144" w:type="dxa"/>
          </w:tblCellMar>
        </w:tblPrEx>
        <w:trPr>
          <w:trHeight w:val="521" w:hRule="atLeast"/>
        </w:trPr>
        <w:tc>
          <w:tcPr>
            <w:tcW w:w="1652" w:type="dxa"/>
            <w:vMerge w:val="continue"/>
            <w:tcBorders>
              <w:top w:val="nil"/>
              <w:left w:val="single" w:color="000000" w:sz="4" w:space="0"/>
              <w:bottom w:val="single" w:color="000000" w:sz="4" w:space="0"/>
              <w:right w:val="single" w:color="000000" w:sz="4" w:space="0"/>
            </w:tcBorders>
          </w:tcPr>
          <w:p w14:paraId="3CCACAC9">
            <w:pPr>
              <w:pStyle w:val="47"/>
              <w:rPr>
                <w:color w:val="000000" w:themeColor="text1"/>
                <w:kern w:val="0"/>
              </w:rPr>
            </w:pPr>
          </w:p>
        </w:tc>
        <w:tc>
          <w:tcPr>
            <w:tcW w:w="2412" w:type="dxa"/>
            <w:gridSpan w:val="2"/>
            <w:vMerge w:val="continue"/>
            <w:tcBorders>
              <w:left w:val="single" w:color="000000" w:sz="4" w:space="0"/>
              <w:bottom w:val="single" w:color="000000" w:sz="4" w:space="0"/>
              <w:right w:val="single" w:color="000000" w:sz="4" w:space="0"/>
            </w:tcBorders>
          </w:tcPr>
          <w:p w14:paraId="555C8A6E">
            <w:pPr>
              <w:pStyle w:val="47"/>
              <w:rPr>
                <w:color w:val="000000" w:themeColor="text1"/>
                <w:kern w:val="0"/>
              </w:rPr>
            </w:pPr>
          </w:p>
        </w:tc>
        <w:tc>
          <w:tcPr>
            <w:tcW w:w="705" w:type="dxa"/>
            <w:vMerge w:val="continue"/>
            <w:tcBorders>
              <w:top w:val="nil"/>
              <w:left w:val="single" w:color="000000" w:sz="4" w:space="0"/>
              <w:bottom w:val="nil"/>
              <w:right w:val="single" w:color="000000" w:sz="4" w:space="0"/>
            </w:tcBorders>
          </w:tcPr>
          <w:p w14:paraId="60A7E43F">
            <w:pPr>
              <w:pStyle w:val="47"/>
              <w:rPr>
                <w:color w:val="000000" w:themeColor="text1"/>
                <w:kern w:val="0"/>
              </w:rPr>
            </w:pPr>
          </w:p>
        </w:tc>
        <w:tc>
          <w:tcPr>
            <w:tcW w:w="1722" w:type="dxa"/>
            <w:gridSpan w:val="2"/>
            <w:tcBorders>
              <w:top w:val="single" w:color="000000" w:sz="4" w:space="0"/>
              <w:left w:val="single" w:color="000000" w:sz="4" w:space="0"/>
              <w:bottom w:val="single" w:color="000000" w:sz="4" w:space="0"/>
              <w:right w:val="single" w:color="000000" w:sz="4" w:space="0"/>
            </w:tcBorders>
            <w:vAlign w:val="center"/>
          </w:tcPr>
          <w:p w14:paraId="3E7D290D">
            <w:pPr>
              <w:pStyle w:val="47"/>
              <w:rPr>
                <w:color w:val="000000" w:themeColor="text1"/>
                <w:kern w:val="0"/>
              </w:rPr>
            </w:pPr>
            <w:r>
              <w:rPr>
                <w:color w:val="000000" w:themeColor="text1"/>
                <w:kern w:val="0"/>
              </w:rPr>
              <w:t>高级职称</w:t>
            </w:r>
          </w:p>
        </w:tc>
        <w:tc>
          <w:tcPr>
            <w:tcW w:w="2751" w:type="dxa"/>
            <w:gridSpan w:val="2"/>
            <w:tcBorders>
              <w:top w:val="single" w:color="000000" w:sz="4" w:space="0"/>
              <w:left w:val="single" w:color="000000" w:sz="4" w:space="0"/>
              <w:bottom w:val="single" w:color="000000" w:sz="4" w:space="0"/>
              <w:right w:val="single" w:color="000000" w:sz="4" w:space="0"/>
            </w:tcBorders>
          </w:tcPr>
          <w:p w14:paraId="4D84E931">
            <w:pPr>
              <w:pStyle w:val="47"/>
              <w:rPr>
                <w:color w:val="000000" w:themeColor="text1"/>
                <w:kern w:val="0"/>
              </w:rPr>
            </w:pPr>
          </w:p>
        </w:tc>
      </w:tr>
      <w:tr w14:paraId="3E8B4D61">
        <w:tblPrEx>
          <w:tblCellMar>
            <w:top w:w="0" w:type="dxa"/>
            <w:left w:w="107" w:type="dxa"/>
            <w:bottom w:w="0" w:type="dxa"/>
            <w:right w:w="144" w:type="dxa"/>
          </w:tblCellMar>
        </w:tblPrEx>
        <w:trPr>
          <w:trHeight w:val="521"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7BD99169">
            <w:pPr>
              <w:pStyle w:val="47"/>
              <w:rPr>
                <w:color w:val="000000" w:themeColor="text1"/>
                <w:kern w:val="0"/>
              </w:rPr>
            </w:pPr>
            <w:r>
              <w:rPr>
                <w:color w:val="000000" w:themeColor="text1"/>
                <w:kern w:val="0"/>
              </w:rPr>
              <w:t>注册资本</w:t>
            </w:r>
          </w:p>
        </w:tc>
        <w:tc>
          <w:tcPr>
            <w:tcW w:w="2412" w:type="dxa"/>
            <w:gridSpan w:val="2"/>
            <w:tcBorders>
              <w:top w:val="single" w:color="000000" w:sz="4" w:space="0"/>
              <w:left w:val="single" w:color="000000" w:sz="4" w:space="0"/>
              <w:bottom w:val="single" w:color="000000" w:sz="4" w:space="0"/>
              <w:right w:val="single" w:color="000000" w:sz="4" w:space="0"/>
            </w:tcBorders>
          </w:tcPr>
          <w:p w14:paraId="79638A68">
            <w:pPr>
              <w:pStyle w:val="47"/>
              <w:rPr>
                <w:color w:val="000000" w:themeColor="text1"/>
                <w:kern w:val="0"/>
              </w:rPr>
            </w:pPr>
          </w:p>
        </w:tc>
        <w:tc>
          <w:tcPr>
            <w:tcW w:w="705" w:type="dxa"/>
            <w:vMerge w:val="continue"/>
            <w:tcBorders>
              <w:top w:val="nil"/>
              <w:left w:val="single" w:color="000000" w:sz="4" w:space="0"/>
              <w:bottom w:val="nil"/>
              <w:right w:val="single" w:color="000000" w:sz="4" w:space="0"/>
            </w:tcBorders>
          </w:tcPr>
          <w:p w14:paraId="51AF29FA">
            <w:pPr>
              <w:pStyle w:val="47"/>
              <w:rPr>
                <w:color w:val="000000" w:themeColor="text1"/>
                <w:kern w:val="0"/>
              </w:rPr>
            </w:pPr>
          </w:p>
        </w:tc>
        <w:tc>
          <w:tcPr>
            <w:tcW w:w="1722" w:type="dxa"/>
            <w:gridSpan w:val="2"/>
            <w:tcBorders>
              <w:top w:val="single" w:color="000000" w:sz="4" w:space="0"/>
              <w:left w:val="single" w:color="000000" w:sz="4" w:space="0"/>
              <w:bottom w:val="single" w:color="000000" w:sz="4" w:space="0"/>
              <w:right w:val="single" w:color="000000" w:sz="4" w:space="0"/>
            </w:tcBorders>
            <w:vAlign w:val="center"/>
          </w:tcPr>
          <w:p w14:paraId="22C72C5B">
            <w:pPr>
              <w:pStyle w:val="47"/>
              <w:rPr>
                <w:color w:val="000000" w:themeColor="text1"/>
                <w:kern w:val="0"/>
              </w:rPr>
            </w:pPr>
            <w:r>
              <w:rPr>
                <w:color w:val="000000" w:themeColor="text1"/>
                <w:kern w:val="0"/>
              </w:rPr>
              <w:t>中级职称</w:t>
            </w:r>
          </w:p>
        </w:tc>
        <w:tc>
          <w:tcPr>
            <w:tcW w:w="2751" w:type="dxa"/>
            <w:gridSpan w:val="2"/>
            <w:tcBorders>
              <w:top w:val="single" w:color="000000" w:sz="4" w:space="0"/>
              <w:left w:val="single" w:color="000000" w:sz="4" w:space="0"/>
              <w:bottom w:val="single" w:color="000000" w:sz="4" w:space="0"/>
              <w:right w:val="single" w:color="000000" w:sz="4" w:space="0"/>
            </w:tcBorders>
          </w:tcPr>
          <w:p w14:paraId="1250CC76">
            <w:pPr>
              <w:pStyle w:val="47"/>
              <w:rPr>
                <w:color w:val="000000" w:themeColor="text1"/>
                <w:kern w:val="0"/>
              </w:rPr>
            </w:pPr>
          </w:p>
        </w:tc>
      </w:tr>
      <w:tr w14:paraId="3539515A">
        <w:trPr>
          <w:trHeight w:val="522"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2D39C193">
            <w:pPr>
              <w:pStyle w:val="47"/>
              <w:rPr>
                <w:color w:val="000000" w:themeColor="text1"/>
                <w:kern w:val="0"/>
              </w:rPr>
            </w:pPr>
            <w:r>
              <w:rPr>
                <w:color w:val="000000" w:themeColor="text1"/>
                <w:kern w:val="0"/>
              </w:rPr>
              <w:t>开户银行</w:t>
            </w:r>
          </w:p>
        </w:tc>
        <w:tc>
          <w:tcPr>
            <w:tcW w:w="2412" w:type="dxa"/>
            <w:gridSpan w:val="2"/>
            <w:tcBorders>
              <w:top w:val="single" w:color="000000" w:sz="4" w:space="0"/>
              <w:left w:val="single" w:color="000000" w:sz="4" w:space="0"/>
              <w:bottom w:val="single" w:color="000000" w:sz="4" w:space="0"/>
              <w:right w:val="single" w:color="000000" w:sz="4" w:space="0"/>
            </w:tcBorders>
          </w:tcPr>
          <w:p w14:paraId="736454ED">
            <w:pPr>
              <w:pStyle w:val="47"/>
              <w:rPr>
                <w:color w:val="000000" w:themeColor="text1"/>
                <w:kern w:val="0"/>
              </w:rPr>
            </w:pPr>
          </w:p>
        </w:tc>
        <w:tc>
          <w:tcPr>
            <w:tcW w:w="705" w:type="dxa"/>
            <w:vMerge w:val="continue"/>
            <w:tcBorders>
              <w:top w:val="nil"/>
              <w:left w:val="single" w:color="000000" w:sz="4" w:space="0"/>
              <w:bottom w:val="nil"/>
              <w:right w:val="single" w:color="000000" w:sz="4" w:space="0"/>
            </w:tcBorders>
          </w:tcPr>
          <w:p w14:paraId="3A2E78AB">
            <w:pPr>
              <w:pStyle w:val="47"/>
              <w:rPr>
                <w:color w:val="000000" w:themeColor="text1"/>
                <w:kern w:val="0"/>
              </w:rPr>
            </w:pPr>
          </w:p>
        </w:tc>
        <w:tc>
          <w:tcPr>
            <w:tcW w:w="1722" w:type="dxa"/>
            <w:gridSpan w:val="2"/>
            <w:tcBorders>
              <w:top w:val="single" w:color="000000" w:sz="4" w:space="0"/>
              <w:left w:val="single" w:color="000000" w:sz="4" w:space="0"/>
              <w:bottom w:val="single" w:color="000000" w:sz="4" w:space="0"/>
              <w:right w:val="single" w:color="000000" w:sz="4" w:space="0"/>
            </w:tcBorders>
            <w:vAlign w:val="center"/>
          </w:tcPr>
          <w:p w14:paraId="4C1F1AA0">
            <w:pPr>
              <w:pStyle w:val="47"/>
              <w:rPr>
                <w:color w:val="000000" w:themeColor="text1"/>
                <w:kern w:val="0"/>
              </w:rPr>
            </w:pPr>
            <w:r>
              <w:rPr>
                <w:color w:val="000000" w:themeColor="text1"/>
                <w:kern w:val="0"/>
              </w:rPr>
              <w:t>初级职称</w:t>
            </w:r>
          </w:p>
        </w:tc>
        <w:tc>
          <w:tcPr>
            <w:tcW w:w="2751" w:type="dxa"/>
            <w:gridSpan w:val="2"/>
            <w:tcBorders>
              <w:top w:val="single" w:color="000000" w:sz="4" w:space="0"/>
              <w:left w:val="single" w:color="000000" w:sz="4" w:space="0"/>
              <w:bottom w:val="single" w:color="000000" w:sz="4" w:space="0"/>
              <w:right w:val="single" w:color="000000" w:sz="4" w:space="0"/>
            </w:tcBorders>
          </w:tcPr>
          <w:p w14:paraId="07C9BE93">
            <w:pPr>
              <w:pStyle w:val="47"/>
              <w:rPr>
                <w:color w:val="000000" w:themeColor="text1"/>
                <w:kern w:val="0"/>
              </w:rPr>
            </w:pPr>
          </w:p>
        </w:tc>
      </w:tr>
      <w:tr w14:paraId="2F5F9511">
        <w:trPr>
          <w:trHeight w:val="521"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5C4E5E20">
            <w:pPr>
              <w:pStyle w:val="47"/>
              <w:rPr>
                <w:color w:val="000000" w:themeColor="text1"/>
                <w:kern w:val="0"/>
              </w:rPr>
            </w:pPr>
            <w:r>
              <w:rPr>
                <w:color w:val="000000" w:themeColor="text1"/>
                <w:kern w:val="0"/>
              </w:rPr>
              <w:t>账号</w:t>
            </w:r>
          </w:p>
        </w:tc>
        <w:tc>
          <w:tcPr>
            <w:tcW w:w="2412" w:type="dxa"/>
            <w:gridSpan w:val="2"/>
            <w:tcBorders>
              <w:top w:val="single" w:color="000000" w:sz="4" w:space="0"/>
              <w:left w:val="single" w:color="000000" w:sz="4" w:space="0"/>
              <w:bottom w:val="single" w:color="000000" w:sz="4" w:space="0"/>
              <w:right w:val="single" w:color="000000" w:sz="4" w:space="0"/>
            </w:tcBorders>
          </w:tcPr>
          <w:p w14:paraId="43EEE63F">
            <w:pPr>
              <w:pStyle w:val="47"/>
              <w:rPr>
                <w:color w:val="000000" w:themeColor="text1"/>
                <w:kern w:val="0"/>
              </w:rPr>
            </w:pPr>
          </w:p>
        </w:tc>
        <w:tc>
          <w:tcPr>
            <w:tcW w:w="705" w:type="dxa"/>
            <w:vMerge w:val="continue"/>
            <w:tcBorders>
              <w:top w:val="nil"/>
              <w:left w:val="single" w:color="000000" w:sz="4" w:space="0"/>
              <w:bottom w:val="single" w:color="000000" w:sz="4" w:space="0"/>
              <w:right w:val="single" w:color="000000" w:sz="4" w:space="0"/>
            </w:tcBorders>
          </w:tcPr>
          <w:p w14:paraId="6AD916A2">
            <w:pPr>
              <w:pStyle w:val="47"/>
              <w:rPr>
                <w:color w:val="000000" w:themeColor="text1"/>
                <w:kern w:val="0"/>
              </w:rPr>
            </w:pPr>
          </w:p>
        </w:tc>
        <w:tc>
          <w:tcPr>
            <w:tcW w:w="1722" w:type="dxa"/>
            <w:gridSpan w:val="2"/>
            <w:tcBorders>
              <w:top w:val="single" w:color="000000" w:sz="4" w:space="0"/>
              <w:left w:val="single" w:color="000000" w:sz="4" w:space="0"/>
              <w:bottom w:val="single" w:color="000000" w:sz="4" w:space="0"/>
              <w:right w:val="single" w:color="000000" w:sz="4" w:space="0"/>
            </w:tcBorders>
            <w:vAlign w:val="center"/>
          </w:tcPr>
          <w:p w14:paraId="0488C6E8">
            <w:pPr>
              <w:pStyle w:val="47"/>
              <w:rPr>
                <w:color w:val="000000" w:themeColor="text1"/>
                <w:kern w:val="0"/>
              </w:rPr>
            </w:pPr>
            <w:r>
              <w:rPr>
                <w:color w:val="000000" w:themeColor="text1"/>
                <w:kern w:val="0"/>
              </w:rPr>
              <w:t>其他</w:t>
            </w:r>
          </w:p>
        </w:tc>
        <w:tc>
          <w:tcPr>
            <w:tcW w:w="2751" w:type="dxa"/>
            <w:gridSpan w:val="2"/>
            <w:tcBorders>
              <w:top w:val="single" w:color="000000" w:sz="4" w:space="0"/>
              <w:left w:val="single" w:color="000000" w:sz="4" w:space="0"/>
              <w:bottom w:val="single" w:color="000000" w:sz="4" w:space="0"/>
              <w:right w:val="single" w:color="000000" w:sz="4" w:space="0"/>
            </w:tcBorders>
          </w:tcPr>
          <w:p w14:paraId="67DE84B8">
            <w:pPr>
              <w:pStyle w:val="47"/>
              <w:rPr>
                <w:color w:val="000000" w:themeColor="text1"/>
                <w:kern w:val="0"/>
              </w:rPr>
            </w:pPr>
          </w:p>
        </w:tc>
      </w:tr>
      <w:tr w14:paraId="27227EBA">
        <w:trPr>
          <w:trHeight w:val="814"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0A31450F">
            <w:pPr>
              <w:pStyle w:val="47"/>
              <w:rPr>
                <w:color w:val="000000" w:themeColor="text1"/>
                <w:kern w:val="0"/>
              </w:rPr>
            </w:pPr>
            <w:r>
              <w:rPr>
                <w:color w:val="000000" w:themeColor="text1"/>
                <w:kern w:val="0"/>
              </w:rPr>
              <w:t>经营范围</w:t>
            </w:r>
          </w:p>
        </w:tc>
        <w:tc>
          <w:tcPr>
            <w:tcW w:w="7590" w:type="dxa"/>
            <w:gridSpan w:val="7"/>
            <w:tcBorders>
              <w:top w:val="single" w:color="000000" w:sz="4" w:space="0"/>
              <w:left w:val="single" w:color="000000" w:sz="4" w:space="0"/>
              <w:bottom w:val="single" w:color="000000" w:sz="4" w:space="0"/>
              <w:right w:val="single" w:color="000000" w:sz="4" w:space="0"/>
            </w:tcBorders>
          </w:tcPr>
          <w:p w14:paraId="310C9518">
            <w:pPr>
              <w:pStyle w:val="47"/>
              <w:rPr>
                <w:color w:val="000000" w:themeColor="text1"/>
                <w:kern w:val="0"/>
              </w:rPr>
            </w:pPr>
          </w:p>
        </w:tc>
      </w:tr>
      <w:tr w14:paraId="651267B4">
        <w:trPr>
          <w:trHeight w:val="522"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6280F2B5">
            <w:pPr>
              <w:pStyle w:val="47"/>
              <w:rPr>
                <w:color w:val="000000" w:themeColor="text1"/>
                <w:kern w:val="0"/>
              </w:rPr>
            </w:pPr>
            <w:r>
              <w:rPr>
                <w:color w:val="000000" w:themeColor="text1"/>
                <w:kern w:val="0"/>
              </w:rPr>
              <w:t>备注</w:t>
            </w:r>
          </w:p>
        </w:tc>
        <w:tc>
          <w:tcPr>
            <w:tcW w:w="7590" w:type="dxa"/>
            <w:gridSpan w:val="7"/>
            <w:tcBorders>
              <w:top w:val="single" w:color="000000" w:sz="4" w:space="0"/>
              <w:left w:val="single" w:color="000000" w:sz="4" w:space="0"/>
              <w:bottom w:val="single" w:color="000000" w:sz="4" w:space="0"/>
              <w:right w:val="single" w:color="000000" w:sz="4" w:space="0"/>
            </w:tcBorders>
          </w:tcPr>
          <w:p w14:paraId="2279E09A">
            <w:pPr>
              <w:pStyle w:val="47"/>
              <w:rPr>
                <w:color w:val="000000" w:themeColor="text1"/>
                <w:kern w:val="0"/>
              </w:rPr>
            </w:pPr>
          </w:p>
        </w:tc>
      </w:tr>
    </w:tbl>
    <w:p w14:paraId="538CB6F6">
      <w:pPr>
        <w:widowControl/>
        <w:spacing w:line="240" w:lineRule="auto"/>
        <w:ind w:firstLine="0" w:firstLineChars="0"/>
        <w:jc w:val="left"/>
        <w:rPr>
          <w:color w:val="000000" w:themeColor="text1"/>
          <w:sz w:val="21"/>
        </w:rPr>
      </w:pPr>
    </w:p>
    <w:p w14:paraId="7EC5F455">
      <w:pPr>
        <w:ind w:firstLine="560"/>
        <w:rPr>
          <w:rFonts w:ascii="宋体" w:hAnsi="宋体" w:cs="宋体"/>
          <w:color w:val="000000" w:themeColor="text1"/>
          <w:sz w:val="28"/>
          <w:szCs w:val="28"/>
        </w:rPr>
      </w:pPr>
      <w:r>
        <w:rPr>
          <w:rFonts w:hint="eastAsia" w:ascii="宋体" w:hAnsi="宋体" w:cs="宋体"/>
          <w:color w:val="000000" w:themeColor="text1"/>
          <w:sz w:val="28"/>
          <w:szCs w:val="28"/>
        </w:rPr>
        <w:t>投标人（盖章）：</w:t>
      </w:r>
    </w:p>
    <w:p w14:paraId="04F3641B">
      <w:pPr>
        <w:ind w:firstLine="560"/>
        <w:rPr>
          <w:rFonts w:ascii="宋体" w:hAnsi="宋体" w:cs="宋体"/>
          <w:color w:val="000000" w:themeColor="text1"/>
          <w:sz w:val="28"/>
          <w:szCs w:val="28"/>
        </w:rPr>
      </w:pPr>
      <w:r>
        <w:rPr>
          <w:rFonts w:hint="eastAsia" w:ascii="宋体" w:hAnsi="宋体" w:cs="宋体"/>
          <w:color w:val="000000" w:themeColor="text1"/>
          <w:sz w:val="28"/>
          <w:szCs w:val="28"/>
        </w:rPr>
        <w:t>法定代表人或其授权代表（签字或盖章）：</w:t>
      </w:r>
    </w:p>
    <w:p w14:paraId="60562B59">
      <w:pPr>
        <w:rPr>
          <w:color w:val="000000" w:themeColor="text1"/>
        </w:rPr>
      </w:pPr>
      <w:r>
        <w:rPr>
          <w:rFonts w:hint="eastAsia" w:ascii="宋体" w:hAnsi="宋体" w:cs="宋体"/>
          <w:color w:val="000000" w:themeColor="text1"/>
          <w:sz w:val="28"/>
          <w:szCs w:val="28"/>
        </w:rPr>
        <w:t xml:space="preserve">日期：    </w:t>
      </w:r>
      <w:r>
        <w:rPr>
          <w:rFonts w:hint="eastAsia" w:ascii="宋体" w:hAnsi="宋体" w:cs="宋体"/>
          <w:color w:val="000000" w:themeColor="text1"/>
          <w:w w:val="90"/>
          <w:sz w:val="28"/>
          <w:szCs w:val="28"/>
        </w:rPr>
        <w:t>年    月   日</w:t>
      </w:r>
      <w:r>
        <w:rPr>
          <w:color w:val="000000" w:themeColor="text1"/>
        </w:rPr>
        <w:br w:type="page"/>
      </w:r>
    </w:p>
    <w:p w14:paraId="2E87FF02">
      <w:pPr>
        <w:widowControl/>
        <w:spacing w:line="240" w:lineRule="auto"/>
        <w:ind w:firstLine="0" w:firstLineChars="0"/>
        <w:jc w:val="left"/>
        <w:rPr>
          <w:color w:val="000000" w:themeColor="text1"/>
        </w:rPr>
      </w:pPr>
      <w:r>
        <w:rPr>
          <w:color w:val="000000" w:themeColor="text1"/>
        </w:rPr>
        <w:t>附件</w:t>
      </w:r>
      <w:r>
        <w:rPr>
          <w:rFonts w:hint="eastAsia"/>
          <w:color w:val="000000" w:themeColor="text1"/>
        </w:rPr>
        <w:t>2</w:t>
      </w:r>
    </w:p>
    <w:p w14:paraId="40CEAA64">
      <w:pPr>
        <w:pStyle w:val="27"/>
        <w:ind w:firstLine="240"/>
        <w:rPr>
          <w:color w:val="000000" w:themeColor="text1"/>
        </w:rPr>
      </w:pPr>
    </w:p>
    <w:p w14:paraId="273DD6D3">
      <w:pPr>
        <w:pStyle w:val="4"/>
        <w:bidi w:val="0"/>
        <w:jc w:val="center"/>
        <w:rPr>
          <w:rFonts w:hint="eastAsia"/>
        </w:rPr>
      </w:pPr>
      <w:bookmarkStart w:id="246" w:name="_Toc3831"/>
      <w:bookmarkStart w:id="247" w:name="_Toc17798"/>
      <w:bookmarkStart w:id="248" w:name="_Toc16966"/>
      <w:bookmarkStart w:id="249" w:name="_Toc22883"/>
      <w:r>
        <w:rPr>
          <w:rFonts w:hint="eastAsia"/>
        </w:rPr>
        <w:t>符合参加</w:t>
      </w:r>
      <w:r>
        <w:rPr>
          <w:rFonts w:hint="eastAsia"/>
          <w:lang w:val="en-US" w:eastAsia="zh-CN"/>
        </w:rPr>
        <w:t>政府</w:t>
      </w:r>
      <w:r>
        <w:rPr>
          <w:rFonts w:hint="eastAsia"/>
        </w:rPr>
        <w:t>采购活动应当具备的一般条件的承诺函</w:t>
      </w:r>
      <w:bookmarkEnd w:id="246"/>
      <w:bookmarkEnd w:id="247"/>
      <w:bookmarkEnd w:id="248"/>
      <w:bookmarkEnd w:id="249"/>
    </w:p>
    <w:p w14:paraId="6026D363">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Times New Roman" w:hAnsi="Times New Roman" w:cs="Times New Roman"/>
          <w:color w:val="auto"/>
          <w:kern w:val="2"/>
          <w:sz w:val="24"/>
          <w:szCs w:val="28"/>
          <w:highlight w:val="none"/>
          <w:lang w:eastAsia="zh-CN"/>
        </w:rPr>
      </w:pPr>
    </w:p>
    <w:p w14:paraId="6902FB53">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default" w:ascii="Times New Roman" w:hAnsi="Times New Roman" w:eastAsia="宋体" w:cs="Times New Roman"/>
          <w:color w:val="auto"/>
          <w:sz w:val="24"/>
          <w:szCs w:val="24"/>
          <w:highlight w:val="none"/>
        </w:rPr>
      </w:pPr>
      <w:r>
        <w:rPr>
          <w:rFonts w:hint="eastAsia" w:ascii="Times New Roman" w:hAnsi="Times New Roman" w:cs="Times New Roman"/>
          <w:color w:val="auto"/>
          <w:kern w:val="2"/>
          <w:sz w:val="24"/>
          <w:szCs w:val="28"/>
          <w:highlight w:val="none"/>
          <w:lang w:eastAsia="zh-CN"/>
        </w:rPr>
        <w:t>龙游县公安局交通警察大队</w:t>
      </w:r>
      <w:r>
        <w:rPr>
          <w:rFonts w:hint="default" w:ascii="Times New Roman" w:hAnsi="Times New Roman" w:cs="Times New Roman"/>
          <w:color w:val="auto"/>
          <w:sz w:val="24"/>
          <w:szCs w:val="24"/>
          <w:highlight w:val="none"/>
        </w:rPr>
        <w:t>：</w:t>
      </w:r>
    </w:p>
    <w:p w14:paraId="04FBFEB3">
      <w:pPr>
        <w:keepNext w:val="0"/>
        <w:keepLines w:val="0"/>
        <w:pageBreakBefore w:val="0"/>
        <w:widowControl w:val="0"/>
        <w:kinsoku/>
        <w:wordWrap/>
        <w:overflowPunct/>
        <w:topLinePunct w:val="0"/>
        <w:autoSpaceDE/>
        <w:autoSpaceDN/>
        <w:bidi w:val="0"/>
        <w:adjustRightInd/>
        <w:snapToGrid w:val="0"/>
        <w:spacing w:line="312" w:lineRule="auto"/>
        <w:ind w:firstLine="482" w:firstLineChars="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我方参</w:t>
      </w:r>
      <w:r>
        <w:rPr>
          <w:rFonts w:hint="default" w:ascii="Times New Roman" w:hAnsi="Times New Roman" w:eastAsia="宋体" w:cs="Times New Roman"/>
          <w:color w:val="auto"/>
          <w:sz w:val="24"/>
          <w:szCs w:val="24"/>
          <w:highlight w:val="none"/>
          <w:lang w:eastAsia="zh-CN"/>
        </w:rPr>
        <w:t>加</w:t>
      </w:r>
      <w:r>
        <w:rPr>
          <w:rFonts w:hint="default" w:ascii="Times New Roman" w:hAnsi="Times New Roman" w:eastAsia="宋体" w:cs="Times New Roman"/>
          <w:color w:val="auto"/>
          <w:sz w:val="24"/>
          <w:szCs w:val="24"/>
          <w:highlight w:val="none"/>
          <w:u w:val="single"/>
          <w:lang w:val="en-US" w:eastAsia="zh-CN"/>
        </w:rPr>
        <w:t xml:space="preserve"> </w:t>
      </w:r>
      <w:r>
        <w:rPr>
          <w:rFonts w:hint="eastAsia" w:cs="Times New Roman"/>
          <w:color w:val="auto"/>
          <w:sz w:val="24"/>
          <w:szCs w:val="24"/>
          <w:highlight w:val="none"/>
          <w:u w:val="single"/>
          <w:lang w:val="en-US" w:eastAsia="zh-CN"/>
        </w:rPr>
        <w:t>2025年度龙游县公安局交通警察大队食堂（大队机关、城区中队）劳务外包服务采购项目</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lang w:eastAsia="zh-CN"/>
        </w:rPr>
        <w:t>项目（项目编号</w:t>
      </w:r>
      <w:r>
        <w:rPr>
          <w:rFonts w:hint="eastAsia" w:ascii="Times New Roman" w:hAnsi="Times New Roman" w:eastAsia="宋体" w:cs="Times New Roman"/>
          <w:color w:val="auto"/>
          <w:sz w:val="24"/>
          <w:szCs w:val="24"/>
          <w:highlight w:val="none"/>
          <w:u w:val="single"/>
          <w:lang w:eastAsia="zh-CN"/>
        </w:rPr>
        <w:t>：</w:t>
      </w:r>
      <w:r>
        <w:rPr>
          <w:rFonts w:hint="default" w:ascii="Times New Roman" w:hAnsi="Times New Roman" w:eastAsia="宋体" w:cs="Times New Roman"/>
          <w:color w:val="auto"/>
          <w:sz w:val="24"/>
          <w:szCs w:val="24"/>
          <w:highlight w:val="none"/>
          <w:u w:val="single"/>
          <w:lang w:val="en-US" w:eastAsia="zh-CN"/>
        </w:rPr>
        <w:t xml:space="preserve"> </w:t>
      </w:r>
      <w:r>
        <w:rPr>
          <w:rFonts w:hint="eastAsia" w:cs="Times New Roman"/>
          <w:color w:val="auto"/>
          <w:sz w:val="24"/>
          <w:szCs w:val="24"/>
          <w:highlight w:val="none"/>
          <w:u w:val="single"/>
          <w:lang w:val="en-US" w:eastAsia="zh-CN"/>
        </w:rPr>
        <w:t>LYJY2025052</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lang w:eastAsia="zh-CN"/>
        </w:rPr>
        <w:t>）</w:t>
      </w:r>
      <w:r>
        <w:rPr>
          <w:rFonts w:hint="eastAsia" w:cs="Times New Roman"/>
          <w:color w:val="auto"/>
          <w:sz w:val="24"/>
          <w:szCs w:val="24"/>
          <w:highlight w:val="none"/>
          <w:lang w:val="en-US" w:eastAsia="zh-CN"/>
        </w:rPr>
        <w:t>政府</w:t>
      </w:r>
      <w:r>
        <w:rPr>
          <w:rFonts w:hint="default" w:ascii="Times New Roman" w:hAnsi="Times New Roman" w:eastAsia="宋体" w:cs="Times New Roman"/>
          <w:color w:val="auto"/>
          <w:sz w:val="24"/>
          <w:szCs w:val="24"/>
          <w:highlight w:val="none"/>
        </w:rPr>
        <w:t>采购活动，郑重承诺：</w:t>
      </w:r>
    </w:p>
    <w:p w14:paraId="38E2378B">
      <w:pPr>
        <w:keepNext w:val="0"/>
        <w:keepLines w:val="0"/>
        <w:pageBreakBefore w:val="0"/>
        <w:widowControl w:val="0"/>
        <w:kinsoku/>
        <w:wordWrap/>
        <w:overflowPunct/>
        <w:topLinePunct w:val="0"/>
        <w:autoSpaceDE/>
        <w:autoSpaceDN/>
        <w:bidi w:val="0"/>
        <w:adjustRightInd/>
        <w:snapToGrid w:val="0"/>
        <w:spacing w:line="312" w:lineRule="auto"/>
        <w:ind w:firstLine="482" w:firstLineChars="0"/>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一</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具备《</w:t>
      </w:r>
      <w:r>
        <w:rPr>
          <w:rFonts w:hint="eastAsia" w:ascii="Times New Roman" w:hAnsi="Times New Roman" w:eastAsia="宋体" w:cs="Times New Roman"/>
          <w:color w:val="auto"/>
          <w:sz w:val="24"/>
          <w:szCs w:val="24"/>
          <w:highlight w:val="none"/>
          <w:lang w:val="en-US" w:eastAsia="zh-CN"/>
        </w:rPr>
        <w:t>中华人民共和国政府采购法</w:t>
      </w:r>
      <w:r>
        <w:rPr>
          <w:rFonts w:hint="default" w:ascii="Times New Roman" w:hAnsi="Times New Roman" w:eastAsia="宋体" w:cs="Times New Roman"/>
          <w:color w:val="auto"/>
          <w:sz w:val="24"/>
          <w:szCs w:val="24"/>
          <w:highlight w:val="none"/>
        </w:rPr>
        <w:t>》第</w:t>
      </w:r>
      <w:r>
        <w:rPr>
          <w:rFonts w:hint="eastAsia" w:cs="Times New Roman"/>
          <w:color w:val="auto"/>
          <w:sz w:val="24"/>
          <w:szCs w:val="24"/>
          <w:highlight w:val="none"/>
          <w:lang w:val="en-US" w:eastAsia="zh-CN"/>
        </w:rPr>
        <w:t>二</w:t>
      </w:r>
      <w:r>
        <w:rPr>
          <w:rFonts w:hint="default" w:ascii="Times New Roman" w:hAnsi="Times New Roman" w:eastAsia="宋体" w:cs="Times New Roman"/>
          <w:color w:val="auto"/>
          <w:sz w:val="24"/>
          <w:szCs w:val="24"/>
          <w:highlight w:val="none"/>
        </w:rPr>
        <w:t>十二条规定的条件</w:t>
      </w:r>
      <w:r>
        <w:rPr>
          <w:rFonts w:hint="eastAsia" w:ascii="Times New Roman" w:hAnsi="Times New Roman" w:eastAsia="宋体" w:cs="Times New Roman"/>
          <w:color w:val="auto"/>
          <w:sz w:val="24"/>
          <w:szCs w:val="24"/>
          <w:highlight w:val="none"/>
          <w:lang w:eastAsia="zh-CN"/>
        </w:rPr>
        <w:t>：</w:t>
      </w:r>
    </w:p>
    <w:p w14:paraId="2E449169">
      <w:pPr>
        <w:bidi w:val="0"/>
        <w:rPr>
          <w:rFonts w:hint="default"/>
        </w:rPr>
      </w:pPr>
      <w:r>
        <w:rPr>
          <w:rFonts w:hint="eastAsia"/>
          <w:lang w:val="en-US" w:eastAsia="zh-CN"/>
        </w:rPr>
        <w:t>1.</w:t>
      </w:r>
      <w:r>
        <w:rPr>
          <w:rFonts w:hint="default"/>
        </w:rPr>
        <w:t>具有独立承担民事责任的能力；</w:t>
      </w:r>
    </w:p>
    <w:p w14:paraId="619E1454">
      <w:pPr>
        <w:bidi w:val="0"/>
        <w:rPr>
          <w:rFonts w:hint="default"/>
        </w:rPr>
      </w:pPr>
      <w:r>
        <w:rPr>
          <w:rFonts w:hint="eastAsia"/>
          <w:lang w:val="en-US" w:eastAsia="zh-CN"/>
        </w:rPr>
        <w:t>2.</w:t>
      </w:r>
      <w:r>
        <w:rPr>
          <w:rFonts w:hint="default"/>
        </w:rPr>
        <w:t xml:space="preserve">具有良好的商业信誉和健全的财务会计制度； </w:t>
      </w:r>
    </w:p>
    <w:p w14:paraId="53CD232A">
      <w:pPr>
        <w:bidi w:val="0"/>
        <w:rPr>
          <w:rFonts w:hint="default"/>
        </w:rPr>
      </w:pPr>
      <w:r>
        <w:rPr>
          <w:rFonts w:hint="eastAsia"/>
          <w:lang w:val="en-US" w:eastAsia="zh-CN"/>
        </w:rPr>
        <w:t>3.</w:t>
      </w:r>
      <w:r>
        <w:rPr>
          <w:rFonts w:hint="default"/>
        </w:rPr>
        <w:t>具有履行合同所必需的设备和专业技术能力；</w:t>
      </w:r>
    </w:p>
    <w:p w14:paraId="57E9A557">
      <w:pPr>
        <w:bidi w:val="0"/>
        <w:rPr>
          <w:rFonts w:hint="default"/>
        </w:rPr>
      </w:pPr>
      <w:r>
        <w:rPr>
          <w:rFonts w:hint="eastAsia"/>
          <w:lang w:val="en-US" w:eastAsia="zh-CN"/>
        </w:rPr>
        <w:t>4.</w:t>
      </w:r>
      <w:r>
        <w:rPr>
          <w:rFonts w:hint="default"/>
        </w:rPr>
        <w:t>有依法缴纳税收和社会保障资金的良好记录；</w:t>
      </w:r>
    </w:p>
    <w:p w14:paraId="57E5066F">
      <w:pPr>
        <w:bidi w:val="0"/>
        <w:rPr>
          <w:rFonts w:hint="default"/>
        </w:rPr>
      </w:pPr>
      <w:r>
        <w:rPr>
          <w:rFonts w:hint="eastAsia"/>
          <w:lang w:val="en-US" w:eastAsia="zh-CN"/>
        </w:rPr>
        <w:t>5.</w:t>
      </w:r>
      <w:r>
        <w:rPr>
          <w:rFonts w:hint="default"/>
        </w:rPr>
        <w:t>参加</w:t>
      </w:r>
      <w:r>
        <w:rPr>
          <w:rFonts w:hint="default"/>
          <w:lang w:eastAsia="zh-CN"/>
        </w:rPr>
        <w:t>企</w:t>
      </w:r>
      <w:r>
        <w:rPr>
          <w:rFonts w:hint="eastAsia"/>
          <w:lang w:eastAsia="zh-CN"/>
        </w:rPr>
        <w:t>业</w:t>
      </w:r>
      <w:r>
        <w:rPr>
          <w:rFonts w:hint="default"/>
        </w:rPr>
        <w:t>采购活动前三年内，在经营活动中没有重大违法记录；</w:t>
      </w:r>
    </w:p>
    <w:p w14:paraId="4E5C9FF3">
      <w:pPr>
        <w:bidi w:val="0"/>
        <w:rPr>
          <w:rFonts w:hint="default" w:ascii="Times New Roman" w:hAnsi="Times New Roman" w:eastAsia="宋体" w:cs="Times New Roman"/>
          <w:color w:val="auto"/>
          <w:szCs w:val="24"/>
          <w:highlight w:val="none"/>
        </w:rPr>
      </w:pPr>
      <w:r>
        <w:rPr>
          <w:rFonts w:hint="eastAsia"/>
          <w:lang w:val="en-US" w:eastAsia="zh-CN"/>
        </w:rPr>
        <w:t>6.</w:t>
      </w:r>
      <w:r>
        <w:rPr>
          <w:rFonts w:hint="default"/>
        </w:rPr>
        <w:t>具有法律、行政法规规定的其他条件。</w:t>
      </w:r>
    </w:p>
    <w:p w14:paraId="6785D229">
      <w:pPr>
        <w:keepNext w:val="0"/>
        <w:keepLines w:val="0"/>
        <w:pageBreakBefore w:val="0"/>
        <w:widowControl w:val="0"/>
        <w:kinsoku/>
        <w:wordWrap/>
        <w:overflowPunct/>
        <w:topLinePunct w:val="0"/>
        <w:autoSpaceDE/>
        <w:autoSpaceDN/>
        <w:bidi w:val="0"/>
        <w:adjustRightInd/>
        <w:snapToGrid w:val="0"/>
        <w:spacing w:line="312" w:lineRule="auto"/>
        <w:ind w:firstLine="482" w:firstLineChars="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未被信用中国（www.creditchina.gov.cn</w:t>
      </w:r>
      <w:r>
        <w:rPr>
          <w:rFonts w:hint="default"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、中国政府采购网（www.ccgp.gov.cn）列入失信被执行人、重大税收违法案件当事人名单、政府采购严重违法失信行为记录名单。</w:t>
      </w:r>
    </w:p>
    <w:p w14:paraId="5CE07A86">
      <w:pPr>
        <w:keepNext w:val="0"/>
        <w:keepLines w:val="0"/>
        <w:pageBreakBefore w:val="0"/>
        <w:widowControl w:val="0"/>
        <w:kinsoku/>
        <w:wordWrap/>
        <w:overflowPunct/>
        <w:topLinePunct w:val="0"/>
        <w:autoSpaceDE/>
        <w:autoSpaceDN/>
        <w:bidi w:val="0"/>
        <w:adjustRightInd/>
        <w:snapToGrid w:val="0"/>
        <w:spacing w:line="312" w:lineRule="auto"/>
        <w:ind w:firstLine="482" w:firstLineChars="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三</w:t>
      </w:r>
      <w:r>
        <w:rPr>
          <w:rFonts w:hint="default" w:ascii="Times New Roman" w:hAnsi="Times New Roman" w:eastAsia="宋体" w:cs="Times New Roman"/>
          <w:color w:val="auto"/>
          <w:sz w:val="24"/>
          <w:szCs w:val="24"/>
          <w:highlight w:val="none"/>
          <w:lang w:eastAsia="zh-CN"/>
        </w:rPr>
        <w:t>、没有</w:t>
      </w:r>
      <w:r>
        <w:rPr>
          <w:rFonts w:hint="default" w:ascii="Times New Roman" w:hAnsi="Times New Roman" w:eastAsia="宋体" w:cs="Times New Roman"/>
          <w:color w:val="auto"/>
          <w:sz w:val="24"/>
          <w:szCs w:val="24"/>
          <w:highlight w:val="none"/>
        </w:rPr>
        <w:t>下</w:t>
      </w:r>
      <w:r>
        <w:rPr>
          <w:rFonts w:hint="default" w:ascii="Times New Roman" w:hAnsi="Times New Roman" w:eastAsia="宋体" w:cs="Times New Roman"/>
          <w:color w:val="auto"/>
          <w:sz w:val="24"/>
          <w:szCs w:val="24"/>
          <w:highlight w:val="none"/>
          <w:lang w:eastAsia="zh-CN"/>
        </w:rPr>
        <w:t>列</w:t>
      </w:r>
      <w:r>
        <w:rPr>
          <w:rFonts w:hint="default" w:ascii="Times New Roman" w:hAnsi="Times New Roman" w:eastAsia="宋体" w:cs="Times New Roman"/>
          <w:color w:val="auto"/>
          <w:sz w:val="24"/>
          <w:szCs w:val="24"/>
          <w:highlight w:val="none"/>
        </w:rPr>
        <w:t>情</w:t>
      </w:r>
      <w:r>
        <w:rPr>
          <w:rFonts w:hint="default" w:ascii="Times New Roman" w:hAnsi="Times New Roman" w:eastAsia="宋体" w:cs="Times New Roman"/>
          <w:color w:val="auto"/>
          <w:sz w:val="24"/>
          <w:szCs w:val="24"/>
          <w:highlight w:val="none"/>
          <w:lang w:eastAsia="zh-CN"/>
        </w:rPr>
        <w:t>形</w:t>
      </w:r>
    </w:p>
    <w:p w14:paraId="0CDB6287">
      <w:pPr>
        <w:bidi w:val="0"/>
        <w:rPr>
          <w:rFonts w:hint="default"/>
        </w:rPr>
      </w:pPr>
      <w:r>
        <w:rPr>
          <w:rFonts w:hint="eastAsia"/>
          <w:lang w:val="en-US" w:eastAsia="zh-CN"/>
        </w:rPr>
        <w:t>1.</w:t>
      </w:r>
      <w:r>
        <w:rPr>
          <w:rFonts w:hint="default"/>
        </w:rPr>
        <w:t>单位负责人为同一人或者存在直接控股、管理关系的不同供应商参加同一合同项下的</w:t>
      </w:r>
      <w:r>
        <w:rPr>
          <w:rFonts w:hint="default"/>
          <w:lang w:eastAsia="zh-CN"/>
        </w:rPr>
        <w:t>国企</w:t>
      </w:r>
      <w:r>
        <w:rPr>
          <w:rFonts w:hint="default"/>
        </w:rPr>
        <w:t>采购活动的；</w:t>
      </w:r>
    </w:p>
    <w:p w14:paraId="2E2F7345">
      <w:pPr>
        <w:bidi w:val="0"/>
        <w:rPr>
          <w:rFonts w:hint="default"/>
        </w:rPr>
      </w:pPr>
      <w:r>
        <w:rPr>
          <w:rFonts w:hint="eastAsia"/>
          <w:lang w:val="en-US" w:eastAsia="zh-CN"/>
        </w:rPr>
        <w:t>2.</w:t>
      </w:r>
      <w:r>
        <w:rPr>
          <w:rFonts w:hint="default"/>
        </w:rPr>
        <w:t>为采购项目提供整体设计、规范编制或者项目管理、监理、检测等服务后再参加该采购项目的其他采购活动的。</w:t>
      </w:r>
    </w:p>
    <w:p w14:paraId="2BCFF52A">
      <w:pPr>
        <w:bidi w:val="0"/>
        <w:rPr>
          <w:color w:val="auto"/>
          <w:highlight w:val="none"/>
        </w:rPr>
      </w:pPr>
      <w:r>
        <w:rPr>
          <w:rFonts w:hint="default"/>
          <w:lang w:eastAsia="zh-CN"/>
        </w:rPr>
        <w:t>我方</w:t>
      </w:r>
      <w:r>
        <w:rPr>
          <w:rFonts w:hint="default"/>
        </w:rPr>
        <w:t>对上述承诺的内容事项真实性负责，如有虚假，由我</w:t>
      </w:r>
      <w:r>
        <w:rPr>
          <w:rFonts w:hint="default"/>
          <w:lang w:eastAsia="zh-CN"/>
        </w:rPr>
        <w:t>方</w:t>
      </w:r>
      <w:r>
        <w:rPr>
          <w:rFonts w:hint="default"/>
        </w:rPr>
        <w:t>承担相关法律责任。</w:t>
      </w:r>
    </w:p>
    <w:p w14:paraId="4BF64E6B">
      <w:pPr>
        <w:ind w:firstLine="480"/>
        <w:rPr>
          <w:color w:val="auto"/>
          <w:highlight w:val="none"/>
        </w:rPr>
      </w:pPr>
    </w:p>
    <w:p w14:paraId="5CB175B1">
      <w:pPr>
        <w:ind w:firstLine="480"/>
        <w:rPr>
          <w:color w:val="auto"/>
          <w:highlight w:val="none"/>
        </w:rPr>
      </w:pPr>
    </w:p>
    <w:p w14:paraId="040E3D37">
      <w:pPr>
        <w:ind w:firstLine="560"/>
        <w:rPr>
          <w:rFonts w:ascii="宋体" w:hAnsi="宋体" w:cs="宋体"/>
          <w:color w:val="000000" w:themeColor="text1"/>
          <w:sz w:val="28"/>
          <w:szCs w:val="28"/>
        </w:rPr>
      </w:pPr>
      <w:r>
        <w:rPr>
          <w:rFonts w:hint="eastAsia" w:ascii="宋体" w:hAnsi="宋体" w:cs="宋体"/>
          <w:color w:val="000000" w:themeColor="text1"/>
          <w:sz w:val="28"/>
          <w:szCs w:val="28"/>
        </w:rPr>
        <w:t>投标人（盖章）：</w:t>
      </w:r>
    </w:p>
    <w:p w14:paraId="24CFFF85">
      <w:pPr>
        <w:ind w:firstLine="560"/>
        <w:rPr>
          <w:rFonts w:ascii="宋体" w:hAnsi="宋体" w:cs="宋体"/>
          <w:color w:val="000000" w:themeColor="text1"/>
          <w:sz w:val="28"/>
          <w:szCs w:val="28"/>
        </w:rPr>
      </w:pPr>
      <w:r>
        <w:rPr>
          <w:rFonts w:hint="eastAsia" w:ascii="宋体" w:hAnsi="宋体" w:cs="宋体"/>
          <w:color w:val="000000" w:themeColor="text1"/>
          <w:sz w:val="28"/>
          <w:szCs w:val="28"/>
        </w:rPr>
        <w:t>法定代表人或其授权代表（签字或盖章）：</w:t>
      </w:r>
    </w:p>
    <w:p w14:paraId="5C460443">
      <w:pPr>
        <w:spacing w:line="560" w:lineRule="exact"/>
        <w:ind w:firstLine="480"/>
        <w:rPr>
          <w:rFonts w:ascii="宋体" w:hAnsi="宋体" w:cs="宋体"/>
          <w:color w:val="000000" w:themeColor="text1"/>
        </w:rPr>
      </w:pPr>
      <w:r>
        <w:rPr>
          <w:rFonts w:hint="eastAsia" w:ascii="宋体" w:hAnsi="宋体" w:cs="宋体"/>
          <w:color w:val="000000" w:themeColor="text1"/>
          <w:sz w:val="28"/>
          <w:szCs w:val="28"/>
        </w:rPr>
        <w:t xml:space="preserve">日期：    </w:t>
      </w:r>
      <w:r>
        <w:rPr>
          <w:rFonts w:hint="eastAsia" w:ascii="宋体" w:hAnsi="宋体" w:cs="宋体"/>
          <w:color w:val="000000" w:themeColor="text1"/>
          <w:w w:val="90"/>
          <w:sz w:val="28"/>
          <w:szCs w:val="28"/>
        </w:rPr>
        <w:t>年    月   日</w:t>
      </w:r>
    </w:p>
    <w:p w14:paraId="3079F186">
      <w:pPr>
        <w:ind w:firstLine="420"/>
        <w:rPr>
          <w:rFonts w:ascii="宋体" w:hAnsi="宋体"/>
          <w:color w:val="000000" w:themeColor="text1"/>
          <w:sz w:val="21"/>
          <w:szCs w:val="21"/>
        </w:rPr>
      </w:pPr>
    </w:p>
    <w:p w14:paraId="0CD65441">
      <w:pPr>
        <w:ind w:firstLine="480"/>
        <w:rPr>
          <w:color w:val="000000" w:themeColor="text1"/>
        </w:rPr>
      </w:pPr>
      <w:r>
        <w:rPr>
          <w:color w:val="000000" w:themeColor="text1"/>
        </w:rPr>
        <w:br w:type="page"/>
      </w:r>
      <w:bookmarkStart w:id="250" w:name="_Toc34775143"/>
    </w:p>
    <w:p w14:paraId="1AE1D589">
      <w:pPr>
        <w:ind w:firstLine="480"/>
        <w:rPr>
          <w:color w:val="000000" w:themeColor="text1"/>
        </w:rPr>
      </w:pPr>
    </w:p>
    <w:p w14:paraId="447470BD">
      <w:pPr>
        <w:ind w:firstLine="480"/>
        <w:rPr>
          <w:color w:val="000000" w:themeColor="text1"/>
        </w:rPr>
      </w:pPr>
      <w:r>
        <w:rPr>
          <w:color w:val="000000" w:themeColor="text1"/>
        </w:rPr>
        <w:t>附件</w:t>
      </w:r>
      <w:r>
        <w:rPr>
          <w:rFonts w:hint="eastAsia"/>
          <w:color w:val="000000" w:themeColor="text1"/>
        </w:rPr>
        <w:t>3</w:t>
      </w:r>
    </w:p>
    <w:p w14:paraId="6CE2156B">
      <w:pPr>
        <w:pStyle w:val="4"/>
        <w:ind w:firstLine="643"/>
        <w:jc w:val="center"/>
        <w:rPr>
          <w:rFonts w:hint="default" w:eastAsia="宋体"/>
          <w:color w:val="000000" w:themeColor="text1"/>
          <w:lang w:val="en-US" w:eastAsia="zh-CN"/>
        </w:rPr>
      </w:pPr>
      <w:bookmarkStart w:id="251" w:name="_Toc4198"/>
      <w:bookmarkStart w:id="252" w:name="_Toc27975"/>
      <w:bookmarkStart w:id="253" w:name="_Toc18955"/>
      <w:r>
        <w:rPr>
          <w:rFonts w:hint="eastAsia"/>
          <w:color w:val="000000" w:themeColor="text1"/>
        </w:rPr>
        <w:t>中小企业声明函</w:t>
      </w:r>
      <w:r>
        <w:rPr>
          <w:rFonts w:hint="eastAsia"/>
          <w:color w:val="000000" w:themeColor="text1"/>
          <w:lang w:eastAsia="zh-CN"/>
        </w:rPr>
        <w:t>（</w:t>
      </w:r>
      <w:r>
        <w:rPr>
          <w:rFonts w:hint="eastAsia"/>
          <w:color w:val="000000" w:themeColor="text1"/>
          <w:lang w:val="en-US" w:eastAsia="zh-CN"/>
        </w:rPr>
        <w:t>服务）</w:t>
      </w:r>
      <w:bookmarkEnd w:id="251"/>
      <w:bookmarkEnd w:id="252"/>
      <w:bookmarkEnd w:id="253"/>
    </w:p>
    <w:p w14:paraId="163F25C6">
      <w:pPr>
        <w:ind w:firstLine="480"/>
      </w:pPr>
      <w:r>
        <w:rPr>
          <w:rFonts w:hint="eastAsia"/>
        </w:rPr>
        <w:t>本公司郑重声明，根据《政府采购促进中小企业发展管理办法》（财库〔2020〕46号）的规定，本公司参加</w:t>
      </w:r>
      <w:r>
        <w:rPr>
          <w:rFonts w:hint="eastAsia"/>
          <w:u w:val="single"/>
        </w:rPr>
        <w:t xml:space="preserve"> 龙游县公安局交通警察大队（单位名称）</w:t>
      </w:r>
      <w:r>
        <w:rPr>
          <w:rFonts w:hint="eastAsia"/>
        </w:rPr>
        <w:t>的</w:t>
      </w:r>
      <w:r>
        <w:rPr>
          <w:rFonts w:hint="eastAsia"/>
          <w:u w:val="single"/>
        </w:rPr>
        <w:t xml:space="preserve"> </w:t>
      </w:r>
      <w:r>
        <w:rPr>
          <w:rFonts w:hint="eastAsia"/>
          <w:u w:val="single"/>
          <w:lang w:eastAsia="zh-CN"/>
        </w:rPr>
        <w:t>2025年度龙游县公安局交通警察大队食堂（大队机关、城区中队）劳务外包服务采购项目</w:t>
      </w:r>
      <w:r>
        <w:rPr>
          <w:rFonts w:hint="eastAsia"/>
          <w:u w:val="single"/>
        </w:rPr>
        <w:t xml:space="preserve"> （项目名称）</w:t>
      </w:r>
      <w:r>
        <w:rPr>
          <w:rFonts w:hint="eastAsia"/>
        </w:rPr>
        <w:t>的采购活动，服务全部由符合政策要求的中小企业承接。相关企业（含联合体中的中小企业、签订分包意向协议的中小企业）的具体情况如下：</w:t>
      </w:r>
    </w:p>
    <w:p w14:paraId="339E7943">
      <w:pPr>
        <w:numPr>
          <w:ilvl w:val="0"/>
          <w:numId w:val="2"/>
        </w:numPr>
        <w:ind w:firstLine="480"/>
      </w:pPr>
      <w:r>
        <w:rPr>
          <w:rFonts w:hint="eastAsia"/>
          <w:u w:val="single"/>
        </w:rPr>
        <w:t xml:space="preserve"> （标的名称）</w:t>
      </w:r>
      <w:r>
        <w:rPr>
          <w:rFonts w:hint="eastAsia"/>
        </w:rPr>
        <w:t>，属于</w:t>
      </w:r>
      <w:r>
        <w:rPr>
          <w:rFonts w:hint="eastAsia"/>
          <w:u w:val="single"/>
        </w:rPr>
        <w:t xml:space="preserve">     </w:t>
      </w:r>
      <w:r>
        <w:rPr>
          <w:rFonts w:hint="eastAsia"/>
        </w:rPr>
        <w:t>（采购文件中明确的所属行业）；承接企业为</w:t>
      </w:r>
      <w:r>
        <w:rPr>
          <w:rFonts w:hint="eastAsia"/>
          <w:u w:val="single"/>
        </w:rPr>
        <w:t xml:space="preserve">  （企业名称）</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万元，属于（中型企业、小型企业、微型企业）；</w:t>
      </w:r>
    </w:p>
    <w:p w14:paraId="6C27744F">
      <w:pPr>
        <w:ind w:firstLine="480"/>
      </w:pPr>
      <w:r>
        <w:rPr>
          <w:rFonts w:hint="eastAsia"/>
        </w:rPr>
        <w:t>2.</w:t>
      </w:r>
      <w:r>
        <w:rPr>
          <w:rFonts w:hint="eastAsia"/>
          <w:u w:val="single"/>
        </w:rPr>
        <w:t xml:space="preserve"> （标的名称）</w:t>
      </w:r>
      <w:r>
        <w:rPr>
          <w:rFonts w:hint="eastAsia"/>
        </w:rPr>
        <w:t>，属于</w:t>
      </w:r>
      <w:r>
        <w:rPr>
          <w:rFonts w:hint="eastAsia"/>
          <w:u w:val="single"/>
        </w:rPr>
        <w:t xml:space="preserve">     </w:t>
      </w:r>
      <w:r>
        <w:rPr>
          <w:rFonts w:hint="eastAsia"/>
        </w:rPr>
        <w:t>（采购文件中明确的所属行业）；承接企业为</w:t>
      </w:r>
      <w:r>
        <w:rPr>
          <w:rFonts w:hint="eastAsia"/>
          <w:u w:val="single"/>
        </w:rPr>
        <w:t xml:space="preserve">  （企业名称）</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万元，属于（中型企业、小型企业、微型企业）；</w:t>
      </w:r>
    </w:p>
    <w:p w14:paraId="61C16DBF">
      <w:pPr>
        <w:ind w:firstLine="480"/>
      </w:pPr>
      <w:r>
        <w:rPr>
          <w:rFonts w:hint="eastAsia"/>
        </w:rPr>
        <w:t>…………</w:t>
      </w:r>
    </w:p>
    <w:p w14:paraId="0C6EA380">
      <w:pPr>
        <w:ind w:firstLine="480"/>
      </w:pPr>
      <w:r>
        <w:rPr>
          <w:rFonts w:hint="eastAsia"/>
        </w:rPr>
        <w:t>以上企业，不属于大企业的分支机构，不存在控股股东为大企业的情形，也不存在与大企业的负责人为同一人的情形。</w:t>
      </w:r>
    </w:p>
    <w:p w14:paraId="342E99CA">
      <w:pPr>
        <w:snapToGrid w:val="0"/>
        <w:spacing w:line="520" w:lineRule="exact"/>
        <w:ind w:firstLine="480"/>
        <w:rPr>
          <w:rFonts w:ascii="宋体" w:hAnsi="宋体" w:cs="宋体"/>
          <w:color w:val="000000" w:themeColor="text1"/>
        </w:rPr>
      </w:pPr>
      <w:r>
        <w:rPr>
          <w:rFonts w:hint="eastAsia"/>
        </w:rPr>
        <w:t>本企业对上述声明内容的真实性负责。如有虚假，将依法承担相应责任。</w:t>
      </w:r>
    </w:p>
    <w:p w14:paraId="54140DD8">
      <w:pPr>
        <w:snapToGrid w:val="0"/>
        <w:spacing w:line="560" w:lineRule="exact"/>
        <w:ind w:firstLine="480"/>
        <w:rPr>
          <w:rFonts w:hint="eastAsia" w:ascii="宋体" w:hAnsi="宋体" w:cs="宋体"/>
          <w:color w:val="000000" w:themeColor="text1"/>
        </w:rPr>
      </w:pPr>
    </w:p>
    <w:p w14:paraId="6DC66973">
      <w:pPr>
        <w:ind w:firstLine="560"/>
        <w:rPr>
          <w:rFonts w:ascii="宋体" w:hAnsi="宋体" w:cs="宋体"/>
          <w:color w:val="000000" w:themeColor="text1"/>
          <w:sz w:val="28"/>
          <w:szCs w:val="28"/>
        </w:rPr>
      </w:pPr>
      <w:r>
        <w:rPr>
          <w:rFonts w:hint="eastAsia" w:ascii="宋体" w:hAnsi="宋体" w:cs="宋体"/>
          <w:color w:val="000000" w:themeColor="text1"/>
          <w:sz w:val="28"/>
          <w:szCs w:val="28"/>
        </w:rPr>
        <w:t>投标人（盖章）：</w:t>
      </w:r>
    </w:p>
    <w:p w14:paraId="102AE3F8">
      <w:pPr>
        <w:ind w:firstLine="560"/>
        <w:rPr>
          <w:rFonts w:ascii="宋体" w:hAnsi="宋体" w:cs="宋体"/>
          <w:color w:val="000000" w:themeColor="text1"/>
          <w:sz w:val="28"/>
          <w:szCs w:val="28"/>
        </w:rPr>
      </w:pPr>
      <w:r>
        <w:rPr>
          <w:rFonts w:hint="eastAsia" w:ascii="宋体" w:hAnsi="宋体" w:cs="宋体"/>
          <w:color w:val="000000" w:themeColor="text1"/>
          <w:sz w:val="28"/>
          <w:szCs w:val="28"/>
        </w:rPr>
        <w:t>法定代表人或其授权代表（签字或盖章）：</w:t>
      </w:r>
    </w:p>
    <w:p w14:paraId="7C4ED353">
      <w:pPr>
        <w:snapToGrid w:val="0"/>
        <w:spacing w:line="560" w:lineRule="exact"/>
        <w:ind w:firstLine="480"/>
        <w:rPr>
          <w:rFonts w:ascii="宋体" w:hAnsi="宋体" w:cs="宋体"/>
          <w:color w:val="000000" w:themeColor="text1"/>
          <w:u w:val="single"/>
        </w:rPr>
      </w:pPr>
      <w:r>
        <w:rPr>
          <w:rFonts w:hint="eastAsia" w:ascii="宋体" w:hAnsi="宋体" w:cs="宋体"/>
          <w:color w:val="000000" w:themeColor="text1"/>
          <w:sz w:val="28"/>
          <w:szCs w:val="28"/>
        </w:rPr>
        <w:t xml:space="preserve">日期：    </w:t>
      </w:r>
      <w:r>
        <w:rPr>
          <w:rFonts w:hint="eastAsia" w:ascii="宋体" w:hAnsi="宋体" w:cs="宋体"/>
          <w:color w:val="000000" w:themeColor="text1"/>
          <w:w w:val="90"/>
          <w:sz w:val="28"/>
          <w:szCs w:val="28"/>
        </w:rPr>
        <w:t>年    月   日</w:t>
      </w:r>
    </w:p>
    <w:p w14:paraId="22FAC05C">
      <w:pPr>
        <w:adjustRightInd w:val="0"/>
        <w:snapToGrid w:val="0"/>
        <w:spacing w:line="560" w:lineRule="exact"/>
        <w:ind w:firstLine="720" w:firstLineChars="300"/>
        <w:rPr>
          <w:rFonts w:ascii="宋体" w:hAnsi="宋体" w:cs="宋体"/>
          <w:color w:val="000000" w:themeColor="text1"/>
        </w:rPr>
      </w:pPr>
    </w:p>
    <w:p w14:paraId="3B2C8760">
      <w:pPr>
        <w:ind w:firstLine="480"/>
        <w:rPr>
          <w:color w:val="000000" w:themeColor="text1"/>
        </w:rPr>
      </w:pPr>
    </w:p>
    <w:p w14:paraId="2568C261">
      <w:pPr>
        <w:ind w:firstLine="480"/>
        <w:rPr>
          <w:color w:val="000000" w:themeColor="text1"/>
        </w:rPr>
      </w:pPr>
      <w:r>
        <w:rPr>
          <w:rFonts w:hint="eastAsia"/>
          <w:color w:val="000000" w:themeColor="text1"/>
        </w:rPr>
        <w:t>注：从业人员、营业收入、资产总额填报上一年度数据，无上一年度数据的新成立企业可不填报。</w:t>
      </w:r>
    </w:p>
    <w:p w14:paraId="35DB2524">
      <w:pPr>
        <w:spacing w:line="560" w:lineRule="exact"/>
        <w:ind w:firstLine="480"/>
        <w:rPr>
          <w:rFonts w:ascii="宋体" w:hAnsi="宋体" w:cs="宋体"/>
          <w:color w:val="000000" w:themeColor="text1"/>
        </w:rPr>
      </w:pPr>
    </w:p>
    <w:p w14:paraId="3CB83671">
      <w:pPr>
        <w:snapToGrid w:val="0"/>
        <w:spacing w:line="560" w:lineRule="exact"/>
        <w:ind w:firstLine="480"/>
        <w:rPr>
          <w:rFonts w:ascii="宋体" w:hAnsi="宋体" w:cs="宋体"/>
          <w:color w:val="000000" w:themeColor="text1"/>
          <w:u w:val="single"/>
        </w:rPr>
      </w:pPr>
    </w:p>
    <w:p w14:paraId="2166388C">
      <w:pPr>
        <w:ind w:firstLine="440"/>
        <w:rPr>
          <w:rFonts w:hAnsi="新宋体" w:eastAsia="新宋体"/>
          <w:color w:val="000000" w:themeColor="text1"/>
          <w:sz w:val="22"/>
          <w:szCs w:val="22"/>
        </w:rPr>
      </w:pPr>
      <w:r>
        <w:rPr>
          <w:rFonts w:hAnsi="新宋体" w:eastAsia="新宋体"/>
          <w:color w:val="000000" w:themeColor="text1"/>
          <w:sz w:val="22"/>
          <w:szCs w:val="22"/>
        </w:rPr>
        <w:br w:type="page"/>
      </w:r>
    </w:p>
    <w:p w14:paraId="6E15618A">
      <w:pPr>
        <w:ind w:firstLine="0" w:firstLineChars="0"/>
        <w:rPr>
          <w:color w:val="000000" w:themeColor="text1"/>
        </w:rPr>
      </w:pPr>
    </w:p>
    <w:p w14:paraId="22FF45BC">
      <w:pPr>
        <w:ind w:firstLine="0" w:firstLineChars="0"/>
        <w:rPr>
          <w:color w:val="000000" w:themeColor="text1"/>
        </w:rPr>
      </w:pPr>
      <w:r>
        <w:rPr>
          <w:color w:val="000000" w:themeColor="text1"/>
        </w:rPr>
        <w:t>附件</w:t>
      </w:r>
      <w:r>
        <w:rPr>
          <w:rFonts w:hint="eastAsia"/>
          <w:color w:val="000000" w:themeColor="text1"/>
        </w:rPr>
        <w:t>4</w:t>
      </w:r>
    </w:p>
    <w:p w14:paraId="61F8FF0C">
      <w:pPr>
        <w:pStyle w:val="27"/>
        <w:ind w:firstLine="240"/>
        <w:rPr>
          <w:color w:val="000000" w:themeColor="text1"/>
        </w:rPr>
      </w:pPr>
    </w:p>
    <w:bookmarkEnd w:id="250"/>
    <w:p w14:paraId="4B8B750F">
      <w:pPr>
        <w:pStyle w:val="4"/>
        <w:ind w:firstLine="643"/>
        <w:jc w:val="center"/>
        <w:rPr>
          <w:color w:val="000000" w:themeColor="text1"/>
        </w:rPr>
      </w:pPr>
      <w:bookmarkStart w:id="254" w:name="_Toc8047"/>
      <w:bookmarkStart w:id="255" w:name="_Toc12401"/>
      <w:bookmarkStart w:id="256" w:name="_Toc21740"/>
      <w:r>
        <w:rPr>
          <w:rFonts w:hint="eastAsia"/>
          <w:color w:val="000000" w:themeColor="text1"/>
        </w:rPr>
        <w:t>监狱企业声明函</w:t>
      </w:r>
      <w:bookmarkEnd w:id="254"/>
      <w:bookmarkEnd w:id="255"/>
      <w:bookmarkEnd w:id="256"/>
    </w:p>
    <w:p w14:paraId="0CEA32A0">
      <w:pPr>
        <w:autoSpaceDE w:val="0"/>
        <w:autoSpaceDN w:val="0"/>
        <w:adjustRightInd w:val="0"/>
        <w:snapToGrid w:val="0"/>
        <w:spacing w:line="560" w:lineRule="exact"/>
        <w:ind w:firstLine="480"/>
        <w:jc w:val="center"/>
        <w:rPr>
          <w:rFonts w:ascii="宋体" w:hAnsi="宋体" w:cs="宋体"/>
          <w:color w:val="000000" w:themeColor="text1"/>
        </w:rPr>
      </w:pPr>
      <w:r>
        <w:rPr>
          <w:rFonts w:hint="eastAsia" w:ascii="宋体" w:hAnsi="宋体" w:cs="宋体"/>
          <w:color w:val="000000" w:themeColor="text1"/>
        </w:rPr>
        <w:t>【非监狱企业不需提供】</w:t>
      </w:r>
    </w:p>
    <w:p w14:paraId="2D248F35">
      <w:pPr>
        <w:widowControl/>
        <w:adjustRightInd w:val="0"/>
        <w:snapToGrid w:val="0"/>
        <w:spacing w:line="560" w:lineRule="exact"/>
        <w:ind w:firstLine="480"/>
        <w:jc w:val="left"/>
        <w:rPr>
          <w:rFonts w:ascii="宋体" w:hAnsi="宋体" w:cs="宋体"/>
          <w:color w:val="000000" w:themeColor="text1"/>
        </w:rPr>
      </w:pPr>
      <w:r>
        <w:rPr>
          <w:rFonts w:hint="eastAsia" w:ascii="宋体" w:hAnsi="宋体" w:cs="宋体"/>
          <w:color w:val="000000" w:themeColor="text1"/>
        </w:rPr>
        <w:t>本企业郑重声明，根据《关于政府采购支持监狱企业发展有关问题的通知》（财库[2014]68号）的规定，本企业为</w:t>
      </w:r>
      <w:r>
        <w:rPr>
          <w:rFonts w:hint="eastAsia" w:ascii="宋体" w:hAnsi="宋体" w:cs="宋体"/>
          <w:color w:val="000000" w:themeColor="text1"/>
          <w:u w:val="single"/>
        </w:rPr>
        <w:t>监狱企业</w:t>
      </w:r>
      <w:r>
        <w:rPr>
          <w:rFonts w:hint="eastAsia" w:ascii="宋体" w:hAnsi="宋体" w:cs="宋体"/>
          <w:color w:val="000000" w:themeColor="text1"/>
        </w:rPr>
        <w:t>。</w:t>
      </w:r>
    </w:p>
    <w:p w14:paraId="322A9CEF">
      <w:pPr>
        <w:widowControl/>
        <w:adjustRightInd w:val="0"/>
        <w:snapToGrid w:val="0"/>
        <w:spacing w:line="560" w:lineRule="exact"/>
        <w:ind w:firstLine="480"/>
        <w:jc w:val="left"/>
        <w:rPr>
          <w:rFonts w:ascii="宋体" w:hAnsi="宋体" w:cs="宋体"/>
          <w:color w:val="000000" w:themeColor="text1"/>
        </w:rPr>
      </w:pPr>
      <w:r>
        <w:rPr>
          <w:rFonts w:hint="eastAsia" w:ascii="宋体" w:hAnsi="宋体" w:cs="宋体"/>
          <w:color w:val="000000" w:themeColor="text1"/>
        </w:rPr>
        <w:t>根据上述标准，我企业属于</w:t>
      </w:r>
      <w:r>
        <w:rPr>
          <w:rFonts w:hint="eastAsia" w:ascii="宋体" w:hAnsi="宋体" w:cs="宋体"/>
          <w:color w:val="000000" w:themeColor="text1"/>
          <w:u w:val="single"/>
        </w:rPr>
        <w:t>监狱企业</w:t>
      </w:r>
      <w:r>
        <w:rPr>
          <w:rFonts w:hint="eastAsia" w:ascii="宋体" w:hAnsi="宋体" w:cs="宋体"/>
          <w:color w:val="000000" w:themeColor="text1"/>
        </w:rPr>
        <w:t>的理由为：</w:t>
      </w:r>
    </w:p>
    <w:p w14:paraId="20FF2F42">
      <w:pPr>
        <w:widowControl/>
        <w:adjustRightInd w:val="0"/>
        <w:snapToGrid w:val="0"/>
        <w:spacing w:line="560" w:lineRule="exact"/>
        <w:ind w:firstLine="480"/>
        <w:rPr>
          <w:rFonts w:ascii="宋体" w:hAnsi="宋体" w:cs="宋体"/>
          <w:color w:val="000000" w:themeColor="text1"/>
        </w:rPr>
      </w:pPr>
      <w:r>
        <w:rPr>
          <w:rFonts w:hint="eastAsia" w:ascii="宋体" w:hAnsi="宋体" w:cs="宋体"/>
          <w:color w:val="000000" w:themeColor="text1"/>
        </w:rPr>
        <w:t>本企业为参加（项目名称：</w:t>
      </w:r>
      <w:r>
        <w:rPr>
          <w:rFonts w:hint="eastAsia" w:ascii="宋体" w:hAnsi="宋体" w:cs="宋体"/>
          <w:color w:val="000000" w:themeColor="text1"/>
          <w:lang w:eastAsia="zh-CN"/>
        </w:rPr>
        <w:t>2025年度龙游县公安局交通警察大队食堂（大队机关、城区中队）劳务外包服务采购项目</w:t>
      </w:r>
      <w:r>
        <w:rPr>
          <w:rFonts w:hint="eastAsia" w:ascii="宋体" w:hAnsi="宋体" w:cs="宋体"/>
          <w:color w:val="000000" w:themeColor="text1"/>
        </w:rPr>
        <w:t>）（项目编号：</w:t>
      </w:r>
      <w:r>
        <w:rPr>
          <w:rFonts w:hint="eastAsia" w:ascii="宋体" w:hAnsi="宋体" w:cs="宋体"/>
          <w:color w:val="000000" w:themeColor="text1"/>
          <w:lang w:eastAsia="zh-CN"/>
        </w:rPr>
        <w:t>LYJY2025052</w:t>
      </w:r>
      <w:r>
        <w:rPr>
          <w:rFonts w:hint="eastAsia" w:ascii="宋体" w:hAnsi="宋体" w:cs="宋体"/>
          <w:color w:val="000000" w:themeColor="text1"/>
        </w:rPr>
        <w:t>）采购活动提供本企业的产品。</w:t>
      </w:r>
    </w:p>
    <w:p w14:paraId="6F9CF17F">
      <w:pPr>
        <w:widowControl/>
        <w:adjustRightInd w:val="0"/>
        <w:snapToGrid w:val="0"/>
        <w:spacing w:line="560" w:lineRule="exact"/>
        <w:ind w:firstLine="480"/>
        <w:rPr>
          <w:rFonts w:ascii="宋体" w:hAnsi="宋体" w:cs="宋体"/>
          <w:color w:val="000000" w:themeColor="text1"/>
        </w:rPr>
      </w:pPr>
      <w:r>
        <w:rPr>
          <w:rFonts w:hint="eastAsia" w:ascii="宋体" w:hAnsi="宋体" w:cs="宋体"/>
          <w:color w:val="000000" w:themeColor="text1"/>
        </w:rPr>
        <w:t>本企业对上述声明的真实性负责。如有虚假，将依法承担相应责任。</w:t>
      </w:r>
    </w:p>
    <w:p w14:paraId="3FC6E18A">
      <w:pPr>
        <w:adjustRightInd w:val="0"/>
        <w:snapToGrid w:val="0"/>
        <w:spacing w:line="560" w:lineRule="exact"/>
        <w:ind w:firstLine="480"/>
        <w:jc w:val="center"/>
        <w:rPr>
          <w:rFonts w:ascii="宋体" w:hAnsi="宋体" w:cs="宋体"/>
          <w:color w:val="000000" w:themeColor="text1"/>
        </w:rPr>
      </w:pPr>
    </w:p>
    <w:p w14:paraId="7198EAB4">
      <w:pPr>
        <w:adjustRightInd w:val="0"/>
        <w:snapToGrid w:val="0"/>
        <w:spacing w:line="560" w:lineRule="exact"/>
        <w:ind w:firstLine="480"/>
        <w:jc w:val="center"/>
        <w:rPr>
          <w:rFonts w:ascii="宋体" w:hAnsi="宋体" w:cs="宋体"/>
          <w:color w:val="000000" w:themeColor="text1"/>
        </w:rPr>
      </w:pPr>
    </w:p>
    <w:p w14:paraId="75E935A3">
      <w:pPr>
        <w:adjustRightInd w:val="0"/>
        <w:snapToGrid w:val="0"/>
        <w:spacing w:line="560" w:lineRule="exact"/>
        <w:ind w:firstLine="480"/>
        <w:jc w:val="center"/>
        <w:rPr>
          <w:rFonts w:ascii="宋体" w:hAnsi="宋体" w:cs="宋体"/>
          <w:color w:val="000000" w:themeColor="text1"/>
        </w:rPr>
      </w:pPr>
    </w:p>
    <w:p w14:paraId="6837BF2D">
      <w:pPr>
        <w:ind w:firstLine="560"/>
        <w:rPr>
          <w:rFonts w:ascii="宋体" w:hAnsi="宋体" w:cs="宋体"/>
          <w:color w:val="000000" w:themeColor="text1"/>
          <w:sz w:val="28"/>
          <w:szCs w:val="28"/>
        </w:rPr>
      </w:pPr>
      <w:r>
        <w:rPr>
          <w:rFonts w:hint="eastAsia" w:ascii="宋体" w:hAnsi="宋体" w:cs="宋体"/>
          <w:color w:val="000000" w:themeColor="text1"/>
          <w:sz w:val="28"/>
          <w:szCs w:val="28"/>
        </w:rPr>
        <w:t>投标人（盖章）：</w:t>
      </w:r>
    </w:p>
    <w:p w14:paraId="18F30582">
      <w:pPr>
        <w:ind w:firstLine="560"/>
        <w:rPr>
          <w:rFonts w:ascii="宋体" w:hAnsi="宋体" w:cs="宋体"/>
          <w:color w:val="000000" w:themeColor="text1"/>
          <w:sz w:val="28"/>
          <w:szCs w:val="28"/>
        </w:rPr>
      </w:pPr>
      <w:r>
        <w:rPr>
          <w:rFonts w:hint="eastAsia" w:ascii="宋体" w:hAnsi="宋体" w:cs="宋体"/>
          <w:color w:val="000000" w:themeColor="text1"/>
          <w:sz w:val="28"/>
          <w:szCs w:val="28"/>
        </w:rPr>
        <w:t>法定代表人或其授权代表（签字或盖章）：</w:t>
      </w:r>
    </w:p>
    <w:p w14:paraId="66DD6506">
      <w:pPr>
        <w:adjustRightInd w:val="0"/>
        <w:snapToGrid w:val="0"/>
        <w:spacing w:line="560" w:lineRule="exact"/>
        <w:rPr>
          <w:rFonts w:ascii="宋体" w:hAnsi="宋体" w:cs="宋体"/>
          <w:color w:val="000000" w:themeColor="text1"/>
        </w:rPr>
      </w:pPr>
      <w:r>
        <w:rPr>
          <w:rFonts w:hint="eastAsia" w:ascii="宋体" w:hAnsi="宋体" w:cs="宋体"/>
          <w:color w:val="000000" w:themeColor="text1"/>
          <w:sz w:val="28"/>
          <w:szCs w:val="28"/>
        </w:rPr>
        <w:t xml:space="preserve">日期：    </w:t>
      </w:r>
      <w:r>
        <w:rPr>
          <w:rFonts w:hint="eastAsia" w:ascii="宋体" w:hAnsi="宋体" w:cs="宋体"/>
          <w:color w:val="000000" w:themeColor="text1"/>
          <w:w w:val="90"/>
          <w:sz w:val="28"/>
          <w:szCs w:val="28"/>
        </w:rPr>
        <w:t>年    月   日</w:t>
      </w:r>
    </w:p>
    <w:p w14:paraId="1D47FF3D">
      <w:pPr>
        <w:widowControl/>
        <w:snapToGrid w:val="0"/>
        <w:spacing w:line="560" w:lineRule="exact"/>
        <w:ind w:firstLine="480"/>
        <w:rPr>
          <w:rFonts w:ascii="宋体" w:hAnsi="宋体" w:cs="宋体"/>
          <w:color w:val="000000" w:themeColor="text1"/>
        </w:rPr>
      </w:pPr>
    </w:p>
    <w:p w14:paraId="2B259BD6">
      <w:pPr>
        <w:widowControl/>
        <w:snapToGrid w:val="0"/>
        <w:spacing w:line="560" w:lineRule="exact"/>
        <w:ind w:firstLine="480"/>
        <w:rPr>
          <w:rFonts w:ascii="宋体" w:hAnsi="宋体" w:cs="宋体"/>
          <w:color w:val="000000" w:themeColor="text1"/>
        </w:rPr>
      </w:pPr>
    </w:p>
    <w:p w14:paraId="20FB996B">
      <w:pPr>
        <w:widowControl/>
        <w:snapToGrid w:val="0"/>
        <w:spacing w:line="560" w:lineRule="exact"/>
        <w:ind w:firstLine="480"/>
        <w:rPr>
          <w:rFonts w:ascii="宋体" w:hAnsi="宋体" w:cs="宋体"/>
          <w:color w:val="000000" w:themeColor="text1"/>
        </w:rPr>
      </w:pPr>
      <w:r>
        <w:rPr>
          <w:rFonts w:hint="eastAsia" w:ascii="宋体" w:hAnsi="宋体" w:cs="宋体"/>
          <w:color w:val="000000" w:themeColor="text1"/>
        </w:rPr>
        <w:t>注：投标人为监狱企业的提供此函。</w:t>
      </w:r>
    </w:p>
    <w:p w14:paraId="4F1F1D6F">
      <w:pPr>
        <w:widowControl/>
        <w:snapToGrid w:val="0"/>
        <w:spacing w:line="560" w:lineRule="exact"/>
        <w:ind w:firstLine="480"/>
        <w:rPr>
          <w:rFonts w:ascii="宋体" w:hAnsi="宋体"/>
          <w:color w:val="000000" w:themeColor="text1"/>
          <w:sz w:val="21"/>
          <w:szCs w:val="21"/>
        </w:rPr>
      </w:pPr>
      <w:r>
        <w:rPr>
          <w:rFonts w:hint="eastAsia" w:ascii="宋体" w:hAnsi="宋体" w:cs="宋体"/>
          <w:color w:val="000000" w:themeColor="text1"/>
        </w:rPr>
        <w:t>监狱企业参加政府采购活动时，应当提供由省级以上监狱管理局、戒毒管理局（含新疆生产建设兵团）出具的属于监狱企业的证明文件。</w:t>
      </w:r>
    </w:p>
    <w:p w14:paraId="02D143A2">
      <w:pPr>
        <w:adjustRightInd w:val="0"/>
        <w:snapToGrid w:val="0"/>
        <w:spacing w:line="500" w:lineRule="exact"/>
        <w:ind w:firstLine="480"/>
        <w:textAlignment w:val="baseline"/>
        <w:rPr>
          <w:rFonts w:ascii="宋体" w:hAnsi="宋体"/>
          <w:color w:val="000000" w:themeColor="text1"/>
        </w:rPr>
      </w:pPr>
    </w:p>
    <w:p w14:paraId="19103228">
      <w:pPr>
        <w:ind w:firstLine="480"/>
        <w:rPr>
          <w:color w:val="000000" w:themeColor="text1"/>
        </w:rPr>
      </w:pPr>
      <w:r>
        <w:rPr>
          <w:rFonts w:hint="eastAsia"/>
          <w:color w:val="000000" w:themeColor="text1"/>
        </w:rPr>
        <w:br w:type="page"/>
      </w:r>
    </w:p>
    <w:p w14:paraId="766D33DE">
      <w:pPr>
        <w:ind w:firstLine="480"/>
        <w:rPr>
          <w:color w:val="000000" w:themeColor="text1"/>
        </w:rPr>
      </w:pPr>
    </w:p>
    <w:p w14:paraId="31453E1F">
      <w:pPr>
        <w:ind w:firstLine="480"/>
        <w:rPr>
          <w:rFonts w:hint="eastAsia" w:eastAsia="宋体"/>
          <w:color w:val="000000" w:themeColor="text1"/>
          <w:lang w:eastAsia="zh-CN"/>
        </w:rPr>
      </w:pPr>
      <w:r>
        <w:rPr>
          <w:rFonts w:hint="eastAsia"/>
          <w:color w:val="000000" w:themeColor="text1"/>
        </w:rPr>
        <w:t>附件</w:t>
      </w:r>
      <w:r>
        <w:rPr>
          <w:rFonts w:hint="eastAsia"/>
          <w:color w:val="000000" w:themeColor="text1"/>
          <w:lang w:val="en-US" w:eastAsia="zh-CN"/>
        </w:rPr>
        <w:t>5</w:t>
      </w:r>
    </w:p>
    <w:p w14:paraId="5CC99296">
      <w:pPr>
        <w:pStyle w:val="27"/>
        <w:ind w:firstLine="240"/>
        <w:rPr>
          <w:color w:val="000000" w:themeColor="text1"/>
        </w:rPr>
      </w:pPr>
    </w:p>
    <w:p w14:paraId="5C188306">
      <w:pPr>
        <w:pStyle w:val="4"/>
        <w:ind w:firstLine="643"/>
        <w:jc w:val="center"/>
        <w:rPr>
          <w:color w:val="000000" w:themeColor="text1"/>
        </w:rPr>
      </w:pPr>
      <w:bookmarkStart w:id="257" w:name="_Toc12766"/>
      <w:bookmarkStart w:id="258" w:name="_Toc10006"/>
      <w:bookmarkStart w:id="259" w:name="_Toc6104"/>
      <w:r>
        <w:rPr>
          <w:rFonts w:hint="eastAsia"/>
          <w:color w:val="000000" w:themeColor="text1"/>
        </w:rPr>
        <w:t>残疾人福利性单位声明函</w:t>
      </w:r>
      <w:bookmarkEnd w:id="257"/>
      <w:bookmarkEnd w:id="258"/>
      <w:bookmarkEnd w:id="259"/>
    </w:p>
    <w:p w14:paraId="3E1FC861">
      <w:pPr>
        <w:autoSpaceDE w:val="0"/>
        <w:autoSpaceDN w:val="0"/>
        <w:adjustRightInd w:val="0"/>
        <w:snapToGrid w:val="0"/>
        <w:spacing w:afterLines="100" w:line="500" w:lineRule="exact"/>
        <w:ind w:firstLine="560"/>
        <w:jc w:val="center"/>
        <w:rPr>
          <w:rFonts w:ascii="宋体" w:hAnsi="宋体"/>
          <w:color w:val="000000" w:themeColor="text1"/>
          <w:sz w:val="28"/>
          <w:szCs w:val="28"/>
        </w:rPr>
      </w:pPr>
      <w:r>
        <w:rPr>
          <w:rFonts w:hint="eastAsia" w:ascii="宋体" w:hAnsi="宋体"/>
          <w:color w:val="000000" w:themeColor="text1"/>
          <w:sz w:val="28"/>
          <w:szCs w:val="28"/>
        </w:rPr>
        <w:t>【非残疾人福利性单位不需提供】</w:t>
      </w:r>
    </w:p>
    <w:p w14:paraId="29D67FB0">
      <w:pPr>
        <w:snapToGrid w:val="0"/>
        <w:spacing w:line="560" w:lineRule="exact"/>
        <w:ind w:firstLine="480"/>
        <w:rPr>
          <w:rFonts w:ascii="宋体" w:hAnsi="宋体" w:cs="宋体"/>
          <w:color w:val="000000" w:themeColor="text1"/>
        </w:rPr>
      </w:pPr>
      <w:r>
        <w:rPr>
          <w:rFonts w:hint="eastAsia" w:ascii="宋体" w:hAnsi="宋体" w:cs="宋体"/>
          <w:color w:val="000000" w:themeColor="text1"/>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cs="宋体"/>
          <w:color w:val="000000" w:themeColor="text1"/>
          <w:u w:val="single"/>
        </w:rPr>
        <w:t>（采购人名称）龙游县公安局交通警察大队</w:t>
      </w:r>
      <w:r>
        <w:rPr>
          <w:rFonts w:hint="eastAsia" w:ascii="宋体" w:hAnsi="宋体" w:cs="宋体"/>
          <w:color w:val="000000" w:themeColor="text1"/>
          <w:u w:val="single"/>
          <w:lang w:val="en-US" w:eastAsia="zh-CN"/>
        </w:rPr>
        <w:t xml:space="preserve">  </w:t>
      </w:r>
      <w:r>
        <w:rPr>
          <w:rFonts w:hint="eastAsia" w:ascii="宋体" w:hAnsi="宋体" w:cs="宋体"/>
          <w:color w:val="000000" w:themeColor="text1"/>
        </w:rPr>
        <w:t>单位的</w:t>
      </w:r>
      <w:r>
        <w:rPr>
          <w:rFonts w:hint="eastAsia" w:ascii="宋体" w:hAnsi="宋体" w:cs="宋体"/>
          <w:color w:val="000000" w:themeColor="text1"/>
          <w:u w:val="single"/>
        </w:rPr>
        <w:t>（项目名称）</w:t>
      </w:r>
      <w:r>
        <w:rPr>
          <w:rFonts w:hint="eastAsia" w:ascii="宋体" w:hAnsi="宋体" w:cs="宋体"/>
          <w:color w:val="000000" w:themeColor="text1"/>
          <w:u w:val="single"/>
          <w:lang w:eastAsia="zh-CN"/>
        </w:rPr>
        <w:t>2025年度龙游县公安局交通警察大队食堂（大队机关、城区中队）劳务外包服务采购项目</w:t>
      </w:r>
      <w:r>
        <w:rPr>
          <w:rFonts w:hint="eastAsia" w:ascii="宋体" w:hAnsi="宋体" w:cs="宋体"/>
          <w:color w:val="000000" w:themeColor="text1"/>
          <w:u w:val="single"/>
          <w:lang w:val="en-US" w:eastAsia="zh-CN"/>
        </w:rPr>
        <w:t xml:space="preserve">  </w:t>
      </w:r>
      <w:r>
        <w:rPr>
          <w:rFonts w:hint="eastAsia" w:ascii="宋体" w:hAnsi="宋体" w:cs="宋体"/>
          <w:color w:val="000000" w:themeColor="text1"/>
        </w:rPr>
        <w:t>项目采购活动提供本单位制造的货物（由本单位承担工程/提供服务），或者提供其他残疾人福利性单位制造的货物（不包括使用非残疾人福利性单位注册商标的货物）。</w:t>
      </w:r>
    </w:p>
    <w:p w14:paraId="009B42FE">
      <w:pPr>
        <w:snapToGrid w:val="0"/>
        <w:spacing w:line="560" w:lineRule="exact"/>
        <w:ind w:firstLine="480"/>
        <w:rPr>
          <w:rFonts w:ascii="宋体" w:hAnsi="宋体" w:cs="宋体"/>
          <w:color w:val="000000" w:themeColor="text1"/>
        </w:rPr>
      </w:pPr>
      <w:r>
        <w:rPr>
          <w:rFonts w:hint="eastAsia" w:ascii="宋体" w:hAnsi="宋体" w:cs="宋体"/>
          <w:color w:val="000000" w:themeColor="text1"/>
        </w:rPr>
        <w:t>本单位对上述声明的真实性负责。如有虚假，将依法承担相应责任。</w:t>
      </w:r>
    </w:p>
    <w:p w14:paraId="19E0D865">
      <w:pPr>
        <w:snapToGrid w:val="0"/>
        <w:spacing w:line="560" w:lineRule="exact"/>
        <w:ind w:firstLine="480"/>
        <w:rPr>
          <w:rFonts w:ascii="宋体" w:hAnsi="宋体" w:cs="宋体"/>
          <w:color w:val="000000" w:themeColor="text1"/>
        </w:rPr>
      </w:pPr>
    </w:p>
    <w:p w14:paraId="1279B93B">
      <w:pPr>
        <w:snapToGrid w:val="0"/>
        <w:spacing w:line="560" w:lineRule="exact"/>
        <w:ind w:firstLine="480"/>
        <w:rPr>
          <w:rFonts w:ascii="宋体" w:hAnsi="宋体" w:cs="宋体"/>
          <w:color w:val="000000" w:themeColor="text1"/>
        </w:rPr>
      </w:pPr>
    </w:p>
    <w:p w14:paraId="1DE03B0F">
      <w:pPr>
        <w:adjustRightInd w:val="0"/>
        <w:snapToGrid w:val="0"/>
        <w:spacing w:line="560" w:lineRule="exact"/>
        <w:ind w:firstLine="480"/>
        <w:rPr>
          <w:rFonts w:ascii="宋体" w:hAnsi="宋体" w:cs="宋体"/>
          <w:color w:val="000000" w:themeColor="text1"/>
        </w:rPr>
      </w:pPr>
    </w:p>
    <w:p w14:paraId="19077944">
      <w:pPr>
        <w:adjustRightInd w:val="0"/>
        <w:snapToGrid w:val="0"/>
        <w:spacing w:line="560" w:lineRule="exact"/>
        <w:ind w:firstLine="480"/>
        <w:rPr>
          <w:rFonts w:ascii="宋体" w:hAnsi="宋体" w:cs="宋体"/>
          <w:color w:val="000000" w:themeColor="text1"/>
        </w:rPr>
      </w:pPr>
    </w:p>
    <w:p w14:paraId="1EF6E0C2">
      <w:pPr>
        <w:ind w:firstLine="560"/>
        <w:rPr>
          <w:rFonts w:ascii="宋体" w:hAnsi="宋体" w:cs="宋体"/>
          <w:color w:val="000000" w:themeColor="text1"/>
          <w:sz w:val="28"/>
          <w:szCs w:val="28"/>
        </w:rPr>
      </w:pPr>
      <w:r>
        <w:rPr>
          <w:rFonts w:hint="eastAsia" w:ascii="宋体" w:hAnsi="宋体" w:cs="宋体"/>
          <w:color w:val="000000" w:themeColor="text1"/>
          <w:sz w:val="28"/>
          <w:szCs w:val="28"/>
        </w:rPr>
        <w:t>投标人（盖章）：</w:t>
      </w:r>
    </w:p>
    <w:p w14:paraId="31A86483">
      <w:pPr>
        <w:ind w:firstLine="560"/>
        <w:rPr>
          <w:rFonts w:ascii="宋体" w:hAnsi="宋体" w:cs="宋体"/>
          <w:color w:val="000000" w:themeColor="text1"/>
          <w:sz w:val="28"/>
          <w:szCs w:val="28"/>
        </w:rPr>
      </w:pPr>
      <w:r>
        <w:rPr>
          <w:rFonts w:hint="eastAsia" w:ascii="宋体" w:hAnsi="宋体" w:cs="宋体"/>
          <w:color w:val="000000" w:themeColor="text1"/>
          <w:sz w:val="28"/>
          <w:szCs w:val="28"/>
        </w:rPr>
        <w:t>法定代表人或其授权代表（签字或盖章）：</w:t>
      </w:r>
    </w:p>
    <w:p w14:paraId="3E3A63FB">
      <w:pPr>
        <w:adjustRightInd w:val="0"/>
        <w:snapToGrid w:val="0"/>
        <w:spacing w:line="560" w:lineRule="exact"/>
        <w:rPr>
          <w:rFonts w:ascii="宋体" w:hAnsi="宋体" w:cs="宋体"/>
          <w:color w:val="000000" w:themeColor="text1"/>
        </w:rPr>
      </w:pPr>
      <w:r>
        <w:rPr>
          <w:rFonts w:hint="eastAsia" w:ascii="宋体" w:hAnsi="宋体" w:cs="宋体"/>
          <w:color w:val="000000" w:themeColor="text1"/>
          <w:sz w:val="28"/>
          <w:szCs w:val="28"/>
        </w:rPr>
        <w:t xml:space="preserve">日期：    </w:t>
      </w:r>
      <w:r>
        <w:rPr>
          <w:rFonts w:hint="eastAsia" w:ascii="宋体" w:hAnsi="宋体" w:cs="宋体"/>
          <w:color w:val="000000" w:themeColor="text1"/>
          <w:w w:val="90"/>
          <w:sz w:val="28"/>
          <w:szCs w:val="28"/>
        </w:rPr>
        <w:t>年    月   日</w:t>
      </w:r>
    </w:p>
    <w:p w14:paraId="14CFD92B">
      <w:pPr>
        <w:adjustRightInd w:val="0"/>
        <w:snapToGrid w:val="0"/>
        <w:spacing w:line="560" w:lineRule="exact"/>
        <w:ind w:firstLine="480"/>
        <w:rPr>
          <w:rFonts w:ascii="宋体" w:hAnsi="宋体" w:cs="宋体"/>
          <w:color w:val="000000" w:themeColor="text1"/>
        </w:rPr>
      </w:pPr>
    </w:p>
    <w:p w14:paraId="2F85171E">
      <w:pPr>
        <w:pStyle w:val="14"/>
        <w:adjustRightInd w:val="0"/>
        <w:snapToGrid w:val="0"/>
        <w:spacing w:line="560" w:lineRule="exact"/>
        <w:ind w:firstLine="480" w:firstLineChars="200"/>
        <w:rPr>
          <w:rFonts w:hAnsi="宋体" w:cs="宋体"/>
          <w:color w:val="000000" w:themeColor="text1"/>
          <w:sz w:val="24"/>
        </w:rPr>
      </w:pPr>
      <w:r>
        <w:rPr>
          <w:rFonts w:hint="eastAsia" w:hAnsi="宋体" w:cs="宋体"/>
          <w:color w:val="000000" w:themeColor="text1"/>
          <w:sz w:val="24"/>
        </w:rPr>
        <w:t>投标人为残疾人福利性单位的提供此函。</w:t>
      </w:r>
    </w:p>
    <w:p w14:paraId="5F2A9B29">
      <w:pPr>
        <w:rPr>
          <w:color w:val="000000" w:themeColor="text1"/>
        </w:rPr>
      </w:pPr>
      <w:r>
        <w:rPr>
          <w:rFonts w:hint="eastAsia" w:ascii="宋体" w:hAnsi="宋体" w:cs="宋体"/>
          <w:color w:val="000000" w:themeColor="text1"/>
        </w:rPr>
        <w:t>备注：中标候选人为残疾人福利性单位的，应当随中标结果同时公告其《残疾人福利性单位声明函》，接受社会监督</w:t>
      </w:r>
      <w:r>
        <w:rPr>
          <w:rFonts w:hint="eastAsia" w:ascii="宋体" w:hAnsi="宋体"/>
          <w:color w:val="000000" w:themeColor="text1"/>
          <w:sz w:val="21"/>
          <w:szCs w:val="21"/>
        </w:rPr>
        <w:t>。</w:t>
      </w:r>
    </w:p>
    <w:p w14:paraId="6B4046DF">
      <w:pPr>
        <w:rPr>
          <w:color w:val="000000" w:themeColor="text1"/>
        </w:rPr>
      </w:pPr>
      <w:r>
        <w:rPr>
          <w:color w:val="000000" w:themeColor="text1"/>
        </w:rPr>
        <w:br w:type="page"/>
      </w:r>
    </w:p>
    <w:p w14:paraId="11D6E562">
      <w:pPr>
        <w:spacing w:line="360" w:lineRule="auto"/>
        <w:ind w:left="0" w:leftChars="0" w:firstLine="0" w:firstLineChars="0"/>
        <w:jc w:val="center"/>
        <w:rPr>
          <w:rFonts w:hint="eastAsia" w:ascii="Arial" w:hAnsi="Arial" w:cs="Arial"/>
          <w:color w:val="000000" w:themeColor="text1"/>
          <w:kern w:val="0"/>
          <w:sz w:val="72"/>
        </w:rPr>
      </w:pPr>
    </w:p>
    <w:p w14:paraId="6595E765">
      <w:pPr>
        <w:spacing w:line="360" w:lineRule="auto"/>
        <w:ind w:left="0" w:leftChars="0" w:firstLine="0" w:firstLineChars="0"/>
        <w:jc w:val="center"/>
        <w:rPr>
          <w:rFonts w:hint="eastAsia" w:ascii="Arial" w:hAnsi="Arial" w:cs="Arial"/>
          <w:color w:val="000000" w:themeColor="text1"/>
          <w:kern w:val="0"/>
          <w:sz w:val="72"/>
        </w:rPr>
      </w:pPr>
    </w:p>
    <w:p w14:paraId="7ACE33EB">
      <w:pPr>
        <w:spacing w:line="360" w:lineRule="auto"/>
        <w:ind w:left="0" w:leftChars="0" w:firstLine="0" w:firstLineChars="0"/>
        <w:jc w:val="center"/>
        <w:rPr>
          <w:rFonts w:hint="eastAsia" w:ascii="Arial" w:hAnsi="Arial" w:cs="Arial"/>
          <w:color w:val="000000" w:themeColor="text1"/>
          <w:kern w:val="0"/>
          <w:sz w:val="72"/>
        </w:rPr>
      </w:pPr>
    </w:p>
    <w:p w14:paraId="03AF3B37">
      <w:pPr>
        <w:pStyle w:val="3"/>
        <w:bidi w:val="0"/>
      </w:pPr>
      <w:bookmarkStart w:id="260" w:name="_Toc11619"/>
      <w:bookmarkStart w:id="261" w:name="_Toc9882"/>
      <w:r>
        <w:rPr>
          <w:rFonts w:hint="eastAsia"/>
          <w:lang w:val="en-US" w:eastAsia="zh-CN"/>
        </w:rPr>
        <w:t>资信技术</w:t>
      </w:r>
      <w:r>
        <w:t>文件</w:t>
      </w:r>
      <w:bookmarkEnd w:id="260"/>
      <w:bookmarkEnd w:id="261"/>
    </w:p>
    <w:p w14:paraId="2FCDD439">
      <w:pPr>
        <w:ind w:left="1296" w:leftChars="540" w:firstLine="480"/>
        <w:rPr>
          <w:rFonts w:ascii="Arial" w:hAnsi="Arial" w:cs="Arial"/>
          <w:color w:val="000000" w:themeColor="text1"/>
          <w:kern w:val="0"/>
          <w:szCs w:val="21"/>
        </w:rPr>
      </w:pPr>
    </w:p>
    <w:p w14:paraId="26320F66">
      <w:pPr>
        <w:ind w:left="1296" w:leftChars="540" w:firstLine="400"/>
        <w:rPr>
          <w:rFonts w:ascii="Arial" w:hAnsi="Arial" w:cs="Arial"/>
          <w:color w:val="000000" w:themeColor="text1"/>
          <w:kern w:val="0"/>
          <w:sz w:val="20"/>
        </w:rPr>
      </w:pPr>
    </w:p>
    <w:p w14:paraId="41EE7235">
      <w:pPr>
        <w:ind w:left="1296" w:leftChars="540" w:firstLine="400"/>
        <w:rPr>
          <w:rFonts w:ascii="Arial" w:hAnsi="Arial" w:cs="Arial"/>
          <w:color w:val="000000" w:themeColor="text1"/>
          <w:kern w:val="0"/>
          <w:sz w:val="20"/>
        </w:rPr>
      </w:pPr>
    </w:p>
    <w:p w14:paraId="2244E10C">
      <w:pPr>
        <w:widowControl/>
        <w:spacing w:line="560" w:lineRule="exact"/>
        <w:ind w:firstLine="560"/>
        <w:jc w:val="left"/>
        <w:rPr>
          <w:rFonts w:hint="eastAsia" w:eastAsia="宋体"/>
          <w:color w:val="000000" w:themeColor="text1"/>
          <w:sz w:val="28"/>
          <w:szCs w:val="28"/>
          <w:lang w:eastAsia="zh-CN"/>
        </w:rPr>
      </w:pPr>
      <w:r>
        <w:rPr>
          <w:rFonts w:ascii="Arial" w:hAnsi="宋体" w:cs="Arial"/>
          <w:color w:val="000000" w:themeColor="text1"/>
          <w:kern w:val="0"/>
          <w:sz w:val="28"/>
          <w:szCs w:val="28"/>
        </w:rPr>
        <w:t>项目</w:t>
      </w:r>
      <w:r>
        <w:rPr>
          <w:rFonts w:hint="eastAsia" w:ascii="Arial" w:hAnsi="宋体" w:eastAsia="宋体" w:cs="Arial"/>
          <w:color w:val="000000" w:themeColor="text1"/>
          <w:kern w:val="0"/>
          <w:sz w:val="28"/>
          <w:szCs w:val="28"/>
        </w:rPr>
        <w:t>编号：</w:t>
      </w:r>
      <w:r>
        <w:rPr>
          <w:rFonts w:hint="eastAsia" w:ascii="Arial" w:hAnsi="宋体" w:cs="Arial"/>
          <w:color w:val="000000" w:themeColor="text1"/>
          <w:kern w:val="0"/>
          <w:sz w:val="28"/>
          <w:szCs w:val="28"/>
          <w:lang w:eastAsia="zh-CN"/>
        </w:rPr>
        <w:t>LYJY2025052</w:t>
      </w:r>
    </w:p>
    <w:p w14:paraId="6CC45CD7">
      <w:pPr>
        <w:spacing w:line="560" w:lineRule="exact"/>
        <w:ind w:firstLine="560"/>
        <w:rPr>
          <w:rFonts w:hint="eastAsia" w:ascii="Arial" w:hAnsi="Arial" w:eastAsia="宋体" w:cs="Arial"/>
          <w:color w:val="000000" w:themeColor="text1"/>
          <w:kern w:val="0"/>
          <w:sz w:val="28"/>
          <w:u w:val="single"/>
          <w:lang w:eastAsia="zh-CN"/>
        </w:rPr>
      </w:pPr>
      <w:r>
        <w:rPr>
          <w:rFonts w:ascii="Arial" w:hAnsi="宋体" w:cs="Arial"/>
          <w:color w:val="000000" w:themeColor="text1"/>
          <w:kern w:val="0"/>
          <w:sz w:val="28"/>
          <w:szCs w:val="28"/>
        </w:rPr>
        <w:t>项目名称：</w:t>
      </w:r>
      <w:r>
        <w:rPr>
          <w:rFonts w:hint="eastAsia" w:ascii="Arial" w:hAnsi="宋体" w:cs="Arial"/>
          <w:color w:val="000000" w:themeColor="text1"/>
          <w:kern w:val="0"/>
          <w:sz w:val="28"/>
          <w:szCs w:val="28"/>
          <w:lang w:eastAsia="zh-CN"/>
        </w:rPr>
        <w:t>2025年度龙游县公安局交通警察大队食堂（大队机关、城区中队）劳务外包服务采购项目</w:t>
      </w:r>
    </w:p>
    <w:p w14:paraId="55A12F9E">
      <w:pPr>
        <w:ind w:left="1296" w:leftChars="540" w:firstLine="883"/>
        <w:rPr>
          <w:rFonts w:ascii="Arial" w:hAnsi="Arial" w:cs="Arial"/>
          <w:b/>
          <w:bCs/>
          <w:color w:val="000000" w:themeColor="text1"/>
          <w:kern w:val="0"/>
          <w:sz w:val="44"/>
          <w:szCs w:val="44"/>
        </w:rPr>
      </w:pPr>
    </w:p>
    <w:p w14:paraId="40ADF123">
      <w:pPr>
        <w:ind w:left="1296" w:leftChars="540" w:firstLine="480"/>
        <w:rPr>
          <w:rFonts w:ascii="Arial" w:hAnsi="Arial" w:cs="Arial"/>
          <w:color w:val="000000" w:themeColor="text1"/>
          <w:kern w:val="0"/>
        </w:rPr>
      </w:pPr>
    </w:p>
    <w:p w14:paraId="67159647">
      <w:pPr>
        <w:ind w:left="1296" w:leftChars="540" w:firstLine="400"/>
        <w:rPr>
          <w:rFonts w:ascii="Arial" w:hAnsi="Arial" w:cs="Arial"/>
          <w:color w:val="000000" w:themeColor="text1"/>
          <w:kern w:val="0"/>
          <w:sz w:val="20"/>
        </w:rPr>
      </w:pPr>
    </w:p>
    <w:p w14:paraId="63A99330">
      <w:pPr>
        <w:ind w:left="1296" w:leftChars="540" w:firstLine="400"/>
        <w:rPr>
          <w:rFonts w:ascii="Arial" w:hAnsi="Arial" w:cs="Arial"/>
          <w:color w:val="000000" w:themeColor="text1"/>
          <w:kern w:val="0"/>
          <w:sz w:val="20"/>
        </w:rPr>
      </w:pPr>
    </w:p>
    <w:p w14:paraId="79C91D6B">
      <w:pPr>
        <w:ind w:left="1296" w:leftChars="540" w:firstLine="400"/>
        <w:rPr>
          <w:rFonts w:ascii="Arial" w:hAnsi="Arial" w:cs="Arial"/>
          <w:color w:val="000000" w:themeColor="text1"/>
          <w:kern w:val="0"/>
          <w:sz w:val="20"/>
        </w:rPr>
      </w:pPr>
    </w:p>
    <w:p w14:paraId="19AD0A32">
      <w:pPr>
        <w:ind w:firstLine="560"/>
        <w:rPr>
          <w:rFonts w:ascii="宋体" w:hAnsi="宋体" w:cs="宋体"/>
          <w:color w:val="000000" w:themeColor="text1"/>
          <w:sz w:val="28"/>
          <w:szCs w:val="28"/>
        </w:rPr>
      </w:pPr>
      <w:r>
        <w:rPr>
          <w:rFonts w:hint="eastAsia" w:ascii="宋体" w:hAnsi="宋体" w:cs="宋体"/>
          <w:color w:val="000000" w:themeColor="text1"/>
          <w:sz w:val="28"/>
          <w:szCs w:val="28"/>
        </w:rPr>
        <w:t>投标人（盖章）：</w:t>
      </w:r>
    </w:p>
    <w:p w14:paraId="4014ED79">
      <w:pPr>
        <w:ind w:firstLine="560"/>
        <w:rPr>
          <w:rFonts w:ascii="宋体" w:hAnsi="宋体" w:cs="宋体"/>
          <w:color w:val="000000" w:themeColor="text1"/>
          <w:sz w:val="28"/>
          <w:szCs w:val="28"/>
        </w:rPr>
      </w:pPr>
      <w:r>
        <w:rPr>
          <w:rFonts w:hint="eastAsia" w:ascii="宋体" w:hAnsi="宋体" w:cs="宋体"/>
          <w:color w:val="000000" w:themeColor="text1"/>
          <w:sz w:val="28"/>
          <w:szCs w:val="28"/>
        </w:rPr>
        <w:t>法定代表人或其授权代表（签字或盖章）：</w:t>
      </w:r>
    </w:p>
    <w:p w14:paraId="0A4E020F">
      <w:pPr>
        <w:rPr>
          <w:color w:val="000000" w:themeColor="text1"/>
        </w:rPr>
      </w:pPr>
      <w:r>
        <w:rPr>
          <w:rFonts w:hint="eastAsia" w:ascii="宋体" w:hAnsi="宋体" w:cs="宋体"/>
          <w:color w:val="000000" w:themeColor="text1"/>
          <w:sz w:val="28"/>
          <w:szCs w:val="28"/>
        </w:rPr>
        <w:t xml:space="preserve">日期：    </w:t>
      </w:r>
      <w:r>
        <w:rPr>
          <w:rFonts w:hint="eastAsia" w:ascii="宋体" w:hAnsi="宋体" w:cs="宋体"/>
          <w:color w:val="000000" w:themeColor="text1"/>
          <w:w w:val="90"/>
          <w:sz w:val="28"/>
          <w:szCs w:val="28"/>
        </w:rPr>
        <w:t>年    月   日</w:t>
      </w:r>
      <w:r>
        <w:rPr>
          <w:color w:val="000000" w:themeColor="text1"/>
        </w:rPr>
        <w:br w:type="page"/>
      </w:r>
    </w:p>
    <w:p w14:paraId="718D5567">
      <w:pPr>
        <w:pStyle w:val="4"/>
        <w:spacing w:after="168"/>
        <w:ind w:left="10" w:right="142"/>
        <w:jc w:val="center"/>
        <w:rPr>
          <w:color w:val="000000" w:themeColor="text1"/>
        </w:rPr>
      </w:pPr>
      <w:bookmarkStart w:id="262" w:name="_Toc11820"/>
      <w:bookmarkStart w:id="263" w:name="_Toc6691"/>
      <w:bookmarkStart w:id="264" w:name="_Toc6872"/>
      <w:r>
        <w:rPr>
          <w:color w:val="000000" w:themeColor="text1"/>
          <w:sz w:val="36"/>
        </w:rPr>
        <w:t>目录</w:t>
      </w:r>
      <w:bookmarkEnd w:id="262"/>
      <w:bookmarkEnd w:id="263"/>
      <w:bookmarkEnd w:id="264"/>
    </w:p>
    <w:p w14:paraId="5FFF0FA5">
      <w:pPr>
        <w:ind w:firstLine="480"/>
        <w:rPr>
          <w:rFonts w:ascii="宋体" w:hAnsi="宋体" w:cs="宋体"/>
          <w:color w:val="000000" w:themeColor="text1"/>
          <w:szCs w:val="21"/>
        </w:rPr>
      </w:pPr>
      <w:r>
        <w:rPr>
          <w:rFonts w:hint="eastAsia"/>
          <w:color w:val="000000" w:themeColor="text1"/>
        </w:rPr>
        <w:t>【根据响应文件组成内容、顺序、附件格式编制响应文件，编制目录】</w:t>
      </w:r>
    </w:p>
    <w:p w14:paraId="66FD0C50">
      <w:pPr>
        <w:rPr>
          <w:color w:val="000000" w:themeColor="text1"/>
        </w:rPr>
      </w:pPr>
      <w:r>
        <w:rPr>
          <w:color w:val="000000" w:themeColor="text1"/>
        </w:rPr>
        <w:br w:type="page"/>
      </w:r>
    </w:p>
    <w:p w14:paraId="169AE94D">
      <w:pPr>
        <w:pStyle w:val="4"/>
        <w:jc w:val="center"/>
        <w:rPr>
          <w:color w:val="000000" w:themeColor="text1"/>
        </w:rPr>
      </w:pPr>
      <w:bookmarkStart w:id="265" w:name="_Toc820"/>
      <w:bookmarkStart w:id="266" w:name="_Toc14718"/>
      <w:r>
        <w:rPr>
          <w:color w:val="000000" w:themeColor="text1"/>
        </w:rPr>
        <w:t>客观分部分自评分表</w:t>
      </w:r>
      <w:bookmarkEnd w:id="240"/>
      <w:bookmarkEnd w:id="265"/>
      <w:bookmarkEnd w:id="266"/>
    </w:p>
    <w:p w14:paraId="396DE92C">
      <w:pPr>
        <w:ind w:firstLine="480"/>
        <w:rPr>
          <w:color w:val="000000" w:themeColor="text1"/>
        </w:rPr>
      </w:pPr>
    </w:p>
    <w:tbl>
      <w:tblPr>
        <w:tblStyle w:val="75"/>
        <w:tblW w:w="9281" w:type="dxa"/>
        <w:tblInd w:w="-104" w:type="dxa"/>
        <w:tblLayout w:type="fixed"/>
        <w:tblCellMar>
          <w:top w:w="0" w:type="dxa"/>
          <w:left w:w="109" w:type="dxa"/>
          <w:bottom w:w="0" w:type="dxa"/>
          <w:right w:w="107" w:type="dxa"/>
        </w:tblCellMar>
      </w:tblPr>
      <w:tblGrid>
        <w:gridCol w:w="781"/>
        <w:gridCol w:w="2445"/>
        <w:gridCol w:w="1958"/>
        <w:gridCol w:w="1350"/>
        <w:gridCol w:w="2747"/>
      </w:tblGrid>
      <w:tr w14:paraId="69B2A0A8">
        <w:tblPrEx>
          <w:tblCellMar>
            <w:top w:w="0" w:type="dxa"/>
            <w:left w:w="109" w:type="dxa"/>
            <w:bottom w:w="0" w:type="dxa"/>
            <w:right w:w="107" w:type="dxa"/>
          </w:tblCellMar>
        </w:tblPrEx>
        <w:trPr>
          <w:trHeight w:val="1119" w:hRule="atLeast"/>
        </w:trPr>
        <w:tc>
          <w:tcPr>
            <w:tcW w:w="781" w:type="dxa"/>
            <w:tcBorders>
              <w:top w:val="single" w:color="000000" w:sz="4" w:space="0"/>
              <w:left w:val="single" w:color="000000" w:sz="4" w:space="0"/>
              <w:bottom w:val="single" w:color="000000" w:sz="4" w:space="0"/>
              <w:right w:val="single" w:color="000000" w:sz="4" w:space="0"/>
            </w:tcBorders>
            <w:vAlign w:val="center"/>
          </w:tcPr>
          <w:p w14:paraId="0024DBCF">
            <w:pPr>
              <w:pStyle w:val="38"/>
              <w:rPr>
                <w:rFonts w:hint="default"/>
                <w:color w:val="000000" w:themeColor="text1"/>
                <w:kern w:val="0"/>
              </w:rPr>
            </w:pPr>
            <w:r>
              <w:rPr>
                <w:color w:val="000000" w:themeColor="text1"/>
                <w:kern w:val="0"/>
              </w:rPr>
              <w:t>序号</w:t>
            </w:r>
          </w:p>
        </w:tc>
        <w:tc>
          <w:tcPr>
            <w:tcW w:w="2445" w:type="dxa"/>
            <w:tcBorders>
              <w:top w:val="single" w:color="000000" w:sz="4" w:space="0"/>
              <w:left w:val="single" w:color="000000" w:sz="4" w:space="0"/>
              <w:bottom w:val="single" w:color="000000" w:sz="4" w:space="0"/>
              <w:right w:val="single" w:color="000000" w:sz="4" w:space="0"/>
            </w:tcBorders>
            <w:vAlign w:val="center"/>
          </w:tcPr>
          <w:p w14:paraId="522D2956">
            <w:pPr>
              <w:pStyle w:val="38"/>
              <w:rPr>
                <w:rFonts w:hint="default"/>
                <w:color w:val="000000" w:themeColor="text1"/>
                <w:kern w:val="0"/>
              </w:rPr>
            </w:pPr>
            <w:r>
              <w:rPr>
                <w:color w:val="000000" w:themeColor="text1"/>
                <w:kern w:val="0"/>
              </w:rPr>
              <w:t>评分标准</w:t>
            </w:r>
          </w:p>
        </w:tc>
        <w:tc>
          <w:tcPr>
            <w:tcW w:w="1958" w:type="dxa"/>
            <w:tcBorders>
              <w:top w:val="single" w:color="000000" w:sz="4" w:space="0"/>
              <w:left w:val="single" w:color="000000" w:sz="4" w:space="0"/>
              <w:bottom w:val="single" w:color="000000" w:sz="4" w:space="0"/>
              <w:right w:val="single" w:color="000000" w:sz="4" w:space="0"/>
            </w:tcBorders>
            <w:vAlign w:val="center"/>
          </w:tcPr>
          <w:p w14:paraId="72B40DDB">
            <w:pPr>
              <w:pStyle w:val="38"/>
              <w:rPr>
                <w:rFonts w:hint="default"/>
                <w:color w:val="000000" w:themeColor="text1"/>
                <w:kern w:val="0"/>
              </w:rPr>
            </w:pPr>
            <w:r>
              <w:rPr>
                <w:color w:val="000000" w:themeColor="text1"/>
                <w:kern w:val="0"/>
              </w:rPr>
              <w:t>响应文件页码</w:t>
            </w:r>
          </w:p>
        </w:tc>
        <w:tc>
          <w:tcPr>
            <w:tcW w:w="1350" w:type="dxa"/>
            <w:tcBorders>
              <w:top w:val="single" w:color="000000" w:sz="4" w:space="0"/>
              <w:left w:val="single" w:color="000000" w:sz="4" w:space="0"/>
              <w:bottom w:val="single" w:color="000000" w:sz="4" w:space="0"/>
              <w:right w:val="single" w:color="000000" w:sz="4" w:space="0"/>
            </w:tcBorders>
            <w:vAlign w:val="center"/>
          </w:tcPr>
          <w:p w14:paraId="3C53EA4C">
            <w:pPr>
              <w:pStyle w:val="38"/>
              <w:rPr>
                <w:rFonts w:hint="default"/>
                <w:color w:val="000000" w:themeColor="text1"/>
                <w:kern w:val="0"/>
              </w:rPr>
            </w:pPr>
            <w:r>
              <w:rPr>
                <w:color w:val="000000" w:themeColor="text1"/>
                <w:kern w:val="0"/>
              </w:rPr>
              <w:t>得分</w:t>
            </w:r>
          </w:p>
        </w:tc>
        <w:tc>
          <w:tcPr>
            <w:tcW w:w="2747" w:type="dxa"/>
            <w:tcBorders>
              <w:top w:val="single" w:color="000000" w:sz="4" w:space="0"/>
              <w:left w:val="single" w:color="000000" w:sz="4" w:space="0"/>
              <w:bottom w:val="single" w:color="000000" w:sz="4" w:space="0"/>
              <w:right w:val="single" w:color="000000" w:sz="4" w:space="0"/>
            </w:tcBorders>
            <w:vAlign w:val="center"/>
          </w:tcPr>
          <w:p w14:paraId="4918077C">
            <w:pPr>
              <w:pStyle w:val="38"/>
              <w:rPr>
                <w:rFonts w:hint="default"/>
                <w:color w:val="000000" w:themeColor="text1"/>
                <w:kern w:val="0"/>
              </w:rPr>
            </w:pPr>
            <w:r>
              <w:rPr>
                <w:color w:val="000000" w:themeColor="text1"/>
                <w:kern w:val="0"/>
              </w:rPr>
              <w:t>说明</w:t>
            </w:r>
          </w:p>
        </w:tc>
      </w:tr>
      <w:tr w14:paraId="0FB64D93">
        <w:tblPrEx>
          <w:tblCellMar>
            <w:top w:w="0" w:type="dxa"/>
            <w:left w:w="109" w:type="dxa"/>
            <w:bottom w:w="0" w:type="dxa"/>
            <w:right w:w="107" w:type="dxa"/>
          </w:tblCellMar>
        </w:tblPrEx>
        <w:trPr>
          <w:trHeight w:val="1071" w:hRule="atLeast"/>
        </w:trPr>
        <w:tc>
          <w:tcPr>
            <w:tcW w:w="781" w:type="dxa"/>
            <w:tcBorders>
              <w:top w:val="single" w:color="000000" w:sz="4" w:space="0"/>
              <w:left w:val="single" w:color="000000" w:sz="4" w:space="0"/>
              <w:bottom w:val="single" w:color="000000" w:sz="4" w:space="0"/>
              <w:right w:val="single" w:color="000000" w:sz="4" w:space="0"/>
            </w:tcBorders>
            <w:vAlign w:val="center"/>
          </w:tcPr>
          <w:p w14:paraId="448F0CE0">
            <w:pPr>
              <w:pStyle w:val="38"/>
              <w:rPr>
                <w:rFonts w:hint="default"/>
                <w:color w:val="000000" w:themeColor="text1"/>
                <w:kern w:val="0"/>
              </w:rPr>
            </w:pPr>
            <w:r>
              <w:rPr>
                <w:color w:val="000000" w:themeColor="text1"/>
                <w:kern w:val="0"/>
              </w:rPr>
              <w:t>1</w:t>
            </w:r>
          </w:p>
        </w:tc>
        <w:tc>
          <w:tcPr>
            <w:tcW w:w="2445" w:type="dxa"/>
            <w:tcBorders>
              <w:top w:val="single" w:color="000000" w:sz="4" w:space="0"/>
              <w:left w:val="single" w:color="000000" w:sz="4" w:space="0"/>
              <w:bottom w:val="single" w:color="000000" w:sz="4" w:space="0"/>
              <w:right w:val="single" w:color="000000" w:sz="4" w:space="0"/>
            </w:tcBorders>
          </w:tcPr>
          <w:p w14:paraId="756DB8FE">
            <w:pPr>
              <w:pStyle w:val="38"/>
              <w:rPr>
                <w:rFonts w:hint="default"/>
                <w:color w:val="000000" w:themeColor="text1"/>
                <w:kern w:val="0"/>
              </w:rPr>
            </w:pPr>
          </w:p>
        </w:tc>
        <w:tc>
          <w:tcPr>
            <w:tcW w:w="1958" w:type="dxa"/>
            <w:tcBorders>
              <w:top w:val="single" w:color="000000" w:sz="4" w:space="0"/>
              <w:left w:val="single" w:color="000000" w:sz="4" w:space="0"/>
              <w:bottom w:val="single" w:color="000000" w:sz="4" w:space="0"/>
              <w:right w:val="single" w:color="000000" w:sz="4" w:space="0"/>
            </w:tcBorders>
          </w:tcPr>
          <w:p w14:paraId="0FE50C59">
            <w:pPr>
              <w:pStyle w:val="38"/>
              <w:rPr>
                <w:rFonts w:hint="default"/>
                <w:color w:val="000000" w:themeColor="text1"/>
                <w:kern w:val="0"/>
              </w:rPr>
            </w:pPr>
          </w:p>
        </w:tc>
        <w:tc>
          <w:tcPr>
            <w:tcW w:w="1350" w:type="dxa"/>
            <w:tcBorders>
              <w:top w:val="single" w:color="000000" w:sz="4" w:space="0"/>
              <w:left w:val="single" w:color="000000" w:sz="4" w:space="0"/>
              <w:bottom w:val="single" w:color="000000" w:sz="4" w:space="0"/>
              <w:right w:val="single" w:color="000000" w:sz="4" w:space="0"/>
            </w:tcBorders>
          </w:tcPr>
          <w:p w14:paraId="6252A485">
            <w:pPr>
              <w:pStyle w:val="38"/>
              <w:rPr>
                <w:rFonts w:hint="default"/>
                <w:color w:val="000000" w:themeColor="text1"/>
                <w:kern w:val="0"/>
              </w:rPr>
            </w:pPr>
          </w:p>
        </w:tc>
        <w:tc>
          <w:tcPr>
            <w:tcW w:w="2747" w:type="dxa"/>
            <w:tcBorders>
              <w:top w:val="single" w:color="000000" w:sz="4" w:space="0"/>
              <w:left w:val="single" w:color="000000" w:sz="4" w:space="0"/>
              <w:bottom w:val="single" w:color="000000" w:sz="4" w:space="0"/>
              <w:right w:val="single" w:color="000000" w:sz="4" w:space="0"/>
            </w:tcBorders>
          </w:tcPr>
          <w:p w14:paraId="5EE41A34">
            <w:pPr>
              <w:pStyle w:val="38"/>
              <w:rPr>
                <w:rFonts w:hint="default"/>
                <w:color w:val="000000" w:themeColor="text1"/>
                <w:kern w:val="0"/>
              </w:rPr>
            </w:pPr>
          </w:p>
        </w:tc>
      </w:tr>
      <w:tr w14:paraId="7B5A43A3">
        <w:tblPrEx>
          <w:tblCellMar>
            <w:top w:w="0" w:type="dxa"/>
            <w:left w:w="109" w:type="dxa"/>
            <w:bottom w:w="0" w:type="dxa"/>
            <w:right w:w="107" w:type="dxa"/>
          </w:tblCellMar>
        </w:tblPrEx>
        <w:trPr>
          <w:trHeight w:val="1071" w:hRule="atLeast"/>
        </w:trPr>
        <w:tc>
          <w:tcPr>
            <w:tcW w:w="781" w:type="dxa"/>
            <w:tcBorders>
              <w:top w:val="single" w:color="000000" w:sz="4" w:space="0"/>
              <w:left w:val="single" w:color="000000" w:sz="4" w:space="0"/>
              <w:bottom w:val="single" w:color="000000" w:sz="4" w:space="0"/>
              <w:right w:val="single" w:color="000000" w:sz="4" w:space="0"/>
            </w:tcBorders>
            <w:vAlign w:val="center"/>
          </w:tcPr>
          <w:p w14:paraId="10F1B873">
            <w:pPr>
              <w:pStyle w:val="38"/>
              <w:rPr>
                <w:rFonts w:hint="default"/>
                <w:color w:val="000000" w:themeColor="text1"/>
                <w:kern w:val="0"/>
              </w:rPr>
            </w:pPr>
            <w:r>
              <w:rPr>
                <w:color w:val="000000" w:themeColor="text1"/>
                <w:kern w:val="0"/>
              </w:rPr>
              <w:t>2</w:t>
            </w:r>
          </w:p>
        </w:tc>
        <w:tc>
          <w:tcPr>
            <w:tcW w:w="2445" w:type="dxa"/>
            <w:tcBorders>
              <w:top w:val="single" w:color="000000" w:sz="4" w:space="0"/>
              <w:left w:val="single" w:color="000000" w:sz="4" w:space="0"/>
              <w:bottom w:val="single" w:color="000000" w:sz="4" w:space="0"/>
              <w:right w:val="single" w:color="000000" w:sz="4" w:space="0"/>
            </w:tcBorders>
          </w:tcPr>
          <w:p w14:paraId="3738C0DE">
            <w:pPr>
              <w:pStyle w:val="38"/>
              <w:rPr>
                <w:rFonts w:hint="default"/>
                <w:color w:val="000000" w:themeColor="text1"/>
                <w:kern w:val="0"/>
              </w:rPr>
            </w:pPr>
          </w:p>
        </w:tc>
        <w:tc>
          <w:tcPr>
            <w:tcW w:w="1958" w:type="dxa"/>
            <w:tcBorders>
              <w:top w:val="single" w:color="000000" w:sz="4" w:space="0"/>
              <w:left w:val="single" w:color="000000" w:sz="4" w:space="0"/>
              <w:bottom w:val="single" w:color="000000" w:sz="4" w:space="0"/>
              <w:right w:val="single" w:color="000000" w:sz="4" w:space="0"/>
            </w:tcBorders>
          </w:tcPr>
          <w:p w14:paraId="7887ADFF">
            <w:pPr>
              <w:pStyle w:val="38"/>
              <w:rPr>
                <w:rFonts w:hint="default"/>
                <w:color w:val="000000" w:themeColor="text1"/>
                <w:kern w:val="0"/>
              </w:rPr>
            </w:pPr>
          </w:p>
        </w:tc>
        <w:tc>
          <w:tcPr>
            <w:tcW w:w="1350" w:type="dxa"/>
            <w:tcBorders>
              <w:top w:val="single" w:color="000000" w:sz="4" w:space="0"/>
              <w:left w:val="single" w:color="000000" w:sz="4" w:space="0"/>
              <w:bottom w:val="single" w:color="000000" w:sz="4" w:space="0"/>
              <w:right w:val="single" w:color="000000" w:sz="4" w:space="0"/>
            </w:tcBorders>
          </w:tcPr>
          <w:p w14:paraId="091CC6F2">
            <w:pPr>
              <w:pStyle w:val="38"/>
              <w:rPr>
                <w:rFonts w:hint="default"/>
                <w:color w:val="000000" w:themeColor="text1"/>
                <w:kern w:val="0"/>
              </w:rPr>
            </w:pPr>
          </w:p>
        </w:tc>
        <w:tc>
          <w:tcPr>
            <w:tcW w:w="2747" w:type="dxa"/>
            <w:tcBorders>
              <w:top w:val="single" w:color="000000" w:sz="4" w:space="0"/>
              <w:left w:val="single" w:color="000000" w:sz="4" w:space="0"/>
              <w:bottom w:val="single" w:color="000000" w:sz="4" w:space="0"/>
              <w:right w:val="single" w:color="000000" w:sz="4" w:space="0"/>
            </w:tcBorders>
          </w:tcPr>
          <w:p w14:paraId="377C64F6">
            <w:pPr>
              <w:pStyle w:val="38"/>
              <w:rPr>
                <w:rFonts w:hint="default"/>
                <w:color w:val="000000" w:themeColor="text1"/>
                <w:kern w:val="0"/>
              </w:rPr>
            </w:pPr>
          </w:p>
        </w:tc>
      </w:tr>
      <w:tr w14:paraId="38182224">
        <w:tblPrEx>
          <w:tblCellMar>
            <w:top w:w="0" w:type="dxa"/>
            <w:left w:w="109" w:type="dxa"/>
            <w:bottom w:w="0" w:type="dxa"/>
            <w:right w:w="107" w:type="dxa"/>
          </w:tblCellMar>
        </w:tblPrEx>
        <w:trPr>
          <w:trHeight w:val="1090" w:hRule="atLeast"/>
        </w:trPr>
        <w:tc>
          <w:tcPr>
            <w:tcW w:w="781" w:type="dxa"/>
            <w:tcBorders>
              <w:top w:val="single" w:color="000000" w:sz="4" w:space="0"/>
              <w:left w:val="single" w:color="000000" w:sz="4" w:space="0"/>
              <w:bottom w:val="single" w:color="000000" w:sz="4" w:space="0"/>
              <w:right w:val="single" w:color="000000" w:sz="4" w:space="0"/>
            </w:tcBorders>
            <w:vAlign w:val="center"/>
          </w:tcPr>
          <w:p w14:paraId="68EAD524">
            <w:pPr>
              <w:pStyle w:val="38"/>
              <w:rPr>
                <w:rFonts w:hint="default"/>
                <w:color w:val="000000" w:themeColor="text1"/>
                <w:kern w:val="0"/>
              </w:rPr>
            </w:pPr>
            <w:r>
              <w:rPr>
                <w:color w:val="000000" w:themeColor="text1"/>
                <w:kern w:val="0"/>
              </w:rPr>
              <w:t>3</w:t>
            </w:r>
          </w:p>
        </w:tc>
        <w:tc>
          <w:tcPr>
            <w:tcW w:w="2445" w:type="dxa"/>
            <w:tcBorders>
              <w:top w:val="single" w:color="000000" w:sz="4" w:space="0"/>
              <w:left w:val="single" w:color="000000" w:sz="4" w:space="0"/>
              <w:bottom w:val="single" w:color="000000" w:sz="4" w:space="0"/>
              <w:right w:val="single" w:color="000000" w:sz="4" w:space="0"/>
            </w:tcBorders>
          </w:tcPr>
          <w:p w14:paraId="3E7BF791">
            <w:pPr>
              <w:pStyle w:val="38"/>
              <w:rPr>
                <w:rFonts w:hint="default"/>
                <w:color w:val="000000" w:themeColor="text1"/>
                <w:kern w:val="0"/>
              </w:rPr>
            </w:pPr>
          </w:p>
        </w:tc>
        <w:tc>
          <w:tcPr>
            <w:tcW w:w="1958" w:type="dxa"/>
            <w:tcBorders>
              <w:top w:val="single" w:color="000000" w:sz="4" w:space="0"/>
              <w:left w:val="single" w:color="000000" w:sz="4" w:space="0"/>
              <w:bottom w:val="single" w:color="000000" w:sz="4" w:space="0"/>
              <w:right w:val="single" w:color="000000" w:sz="4" w:space="0"/>
            </w:tcBorders>
          </w:tcPr>
          <w:p w14:paraId="589582E9">
            <w:pPr>
              <w:pStyle w:val="38"/>
              <w:rPr>
                <w:rFonts w:hint="default"/>
                <w:color w:val="000000" w:themeColor="text1"/>
                <w:kern w:val="0"/>
              </w:rPr>
            </w:pPr>
          </w:p>
        </w:tc>
        <w:tc>
          <w:tcPr>
            <w:tcW w:w="1350" w:type="dxa"/>
            <w:tcBorders>
              <w:top w:val="single" w:color="000000" w:sz="4" w:space="0"/>
              <w:left w:val="single" w:color="000000" w:sz="4" w:space="0"/>
              <w:bottom w:val="single" w:color="000000" w:sz="4" w:space="0"/>
              <w:right w:val="single" w:color="000000" w:sz="4" w:space="0"/>
            </w:tcBorders>
          </w:tcPr>
          <w:p w14:paraId="5257B0E7">
            <w:pPr>
              <w:pStyle w:val="38"/>
              <w:rPr>
                <w:rFonts w:hint="default"/>
                <w:color w:val="000000" w:themeColor="text1"/>
                <w:kern w:val="0"/>
              </w:rPr>
            </w:pPr>
          </w:p>
        </w:tc>
        <w:tc>
          <w:tcPr>
            <w:tcW w:w="2747" w:type="dxa"/>
            <w:tcBorders>
              <w:top w:val="single" w:color="000000" w:sz="4" w:space="0"/>
              <w:left w:val="single" w:color="000000" w:sz="4" w:space="0"/>
              <w:bottom w:val="single" w:color="000000" w:sz="4" w:space="0"/>
              <w:right w:val="single" w:color="000000" w:sz="4" w:space="0"/>
            </w:tcBorders>
          </w:tcPr>
          <w:p w14:paraId="496B9112">
            <w:pPr>
              <w:pStyle w:val="38"/>
              <w:rPr>
                <w:rFonts w:hint="default"/>
                <w:color w:val="000000" w:themeColor="text1"/>
                <w:kern w:val="0"/>
              </w:rPr>
            </w:pPr>
          </w:p>
        </w:tc>
      </w:tr>
      <w:tr w14:paraId="1AE384E6">
        <w:tblPrEx>
          <w:tblCellMar>
            <w:top w:w="0" w:type="dxa"/>
            <w:left w:w="109" w:type="dxa"/>
            <w:bottom w:w="0" w:type="dxa"/>
            <w:right w:w="107" w:type="dxa"/>
          </w:tblCellMar>
        </w:tblPrEx>
        <w:trPr>
          <w:trHeight w:val="1090" w:hRule="atLeast"/>
        </w:trPr>
        <w:tc>
          <w:tcPr>
            <w:tcW w:w="781" w:type="dxa"/>
            <w:tcBorders>
              <w:top w:val="single" w:color="000000" w:sz="4" w:space="0"/>
              <w:left w:val="single" w:color="000000" w:sz="4" w:space="0"/>
              <w:bottom w:val="single" w:color="000000" w:sz="4" w:space="0"/>
              <w:right w:val="single" w:color="000000" w:sz="4" w:space="0"/>
            </w:tcBorders>
            <w:vAlign w:val="center"/>
          </w:tcPr>
          <w:p w14:paraId="7FA9C75A">
            <w:pPr>
              <w:pStyle w:val="38"/>
              <w:rPr>
                <w:rFonts w:hint="default"/>
                <w:color w:val="000000" w:themeColor="text1"/>
                <w:kern w:val="0"/>
              </w:rPr>
            </w:pPr>
            <w:r>
              <w:rPr>
                <w:color w:val="000000" w:themeColor="text1"/>
                <w:kern w:val="0"/>
              </w:rPr>
              <w:t>....</w:t>
            </w:r>
          </w:p>
        </w:tc>
        <w:tc>
          <w:tcPr>
            <w:tcW w:w="2445" w:type="dxa"/>
            <w:tcBorders>
              <w:top w:val="single" w:color="000000" w:sz="4" w:space="0"/>
              <w:left w:val="single" w:color="000000" w:sz="4" w:space="0"/>
              <w:bottom w:val="single" w:color="000000" w:sz="4" w:space="0"/>
              <w:right w:val="single" w:color="000000" w:sz="4" w:space="0"/>
            </w:tcBorders>
          </w:tcPr>
          <w:p w14:paraId="686E4A24">
            <w:pPr>
              <w:pStyle w:val="38"/>
              <w:rPr>
                <w:rFonts w:hint="default"/>
                <w:color w:val="000000" w:themeColor="text1"/>
                <w:kern w:val="0"/>
              </w:rPr>
            </w:pPr>
          </w:p>
        </w:tc>
        <w:tc>
          <w:tcPr>
            <w:tcW w:w="1958" w:type="dxa"/>
            <w:tcBorders>
              <w:top w:val="single" w:color="000000" w:sz="4" w:space="0"/>
              <w:left w:val="single" w:color="000000" w:sz="4" w:space="0"/>
              <w:bottom w:val="single" w:color="000000" w:sz="4" w:space="0"/>
              <w:right w:val="single" w:color="000000" w:sz="4" w:space="0"/>
            </w:tcBorders>
          </w:tcPr>
          <w:p w14:paraId="61BBB56F">
            <w:pPr>
              <w:pStyle w:val="38"/>
              <w:rPr>
                <w:rFonts w:hint="default"/>
                <w:color w:val="000000" w:themeColor="text1"/>
                <w:kern w:val="0"/>
              </w:rPr>
            </w:pPr>
          </w:p>
        </w:tc>
        <w:tc>
          <w:tcPr>
            <w:tcW w:w="1350" w:type="dxa"/>
            <w:tcBorders>
              <w:top w:val="single" w:color="000000" w:sz="4" w:space="0"/>
              <w:left w:val="single" w:color="000000" w:sz="4" w:space="0"/>
              <w:bottom w:val="single" w:color="000000" w:sz="4" w:space="0"/>
              <w:right w:val="single" w:color="000000" w:sz="4" w:space="0"/>
            </w:tcBorders>
          </w:tcPr>
          <w:p w14:paraId="64E316B3">
            <w:pPr>
              <w:pStyle w:val="38"/>
              <w:rPr>
                <w:rFonts w:hint="default"/>
                <w:color w:val="000000" w:themeColor="text1"/>
                <w:kern w:val="0"/>
              </w:rPr>
            </w:pPr>
          </w:p>
        </w:tc>
        <w:tc>
          <w:tcPr>
            <w:tcW w:w="2747" w:type="dxa"/>
            <w:tcBorders>
              <w:top w:val="single" w:color="000000" w:sz="4" w:space="0"/>
              <w:left w:val="single" w:color="000000" w:sz="4" w:space="0"/>
              <w:bottom w:val="single" w:color="000000" w:sz="4" w:space="0"/>
              <w:right w:val="single" w:color="000000" w:sz="4" w:space="0"/>
            </w:tcBorders>
          </w:tcPr>
          <w:p w14:paraId="3A5127C8">
            <w:pPr>
              <w:pStyle w:val="38"/>
              <w:rPr>
                <w:rFonts w:hint="default"/>
                <w:color w:val="000000" w:themeColor="text1"/>
                <w:kern w:val="0"/>
              </w:rPr>
            </w:pPr>
          </w:p>
        </w:tc>
      </w:tr>
      <w:tr w14:paraId="5CEDBC4A">
        <w:tblPrEx>
          <w:tblCellMar>
            <w:top w:w="0" w:type="dxa"/>
            <w:left w:w="109" w:type="dxa"/>
            <w:bottom w:w="0" w:type="dxa"/>
            <w:right w:w="107" w:type="dxa"/>
          </w:tblCellMar>
        </w:tblPrEx>
        <w:trPr>
          <w:trHeight w:val="1090" w:hRule="atLeast"/>
        </w:trPr>
        <w:tc>
          <w:tcPr>
            <w:tcW w:w="781" w:type="dxa"/>
            <w:tcBorders>
              <w:top w:val="single" w:color="000000" w:sz="4" w:space="0"/>
              <w:left w:val="single" w:color="000000" w:sz="4" w:space="0"/>
              <w:bottom w:val="single" w:color="000000" w:sz="4" w:space="0"/>
              <w:right w:val="single" w:color="000000" w:sz="4" w:space="0"/>
            </w:tcBorders>
          </w:tcPr>
          <w:p w14:paraId="4CE88C01">
            <w:pPr>
              <w:pStyle w:val="38"/>
              <w:rPr>
                <w:rFonts w:hint="default"/>
                <w:color w:val="000000" w:themeColor="text1"/>
                <w:kern w:val="0"/>
              </w:rPr>
            </w:pPr>
          </w:p>
        </w:tc>
        <w:tc>
          <w:tcPr>
            <w:tcW w:w="2445" w:type="dxa"/>
            <w:tcBorders>
              <w:top w:val="single" w:color="000000" w:sz="4" w:space="0"/>
              <w:left w:val="single" w:color="000000" w:sz="4" w:space="0"/>
              <w:bottom w:val="single" w:color="000000" w:sz="4" w:space="0"/>
              <w:right w:val="single" w:color="000000" w:sz="4" w:space="0"/>
            </w:tcBorders>
            <w:vAlign w:val="center"/>
          </w:tcPr>
          <w:p w14:paraId="7EEE6CC4">
            <w:pPr>
              <w:pStyle w:val="38"/>
              <w:rPr>
                <w:rFonts w:hint="default"/>
                <w:color w:val="000000" w:themeColor="text1"/>
                <w:kern w:val="0"/>
              </w:rPr>
            </w:pPr>
            <w:r>
              <w:rPr>
                <w:color w:val="000000" w:themeColor="text1"/>
                <w:kern w:val="0"/>
              </w:rPr>
              <w:t>合计得分</w:t>
            </w:r>
          </w:p>
        </w:tc>
        <w:tc>
          <w:tcPr>
            <w:tcW w:w="1958" w:type="dxa"/>
            <w:tcBorders>
              <w:top w:val="single" w:color="000000" w:sz="4" w:space="0"/>
              <w:left w:val="single" w:color="000000" w:sz="4" w:space="0"/>
              <w:bottom w:val="single" w:color="000000" w:sz="4" w:space="0"/>
              <w:right w:val="single" w:color="000000" w:sz="4" w:space="0"/>
            </w:tcBorders>
          </w:tcPr>
          <w:p w14:paraId="61076A6B">
            <w:pPr>
              <w:pStyle w:val="38"/>
              <w:rPr>
                <w:rFonts w:hint="default"/>
                <w:color w:val="000000" w:themeColor="text1"/>
                <w:kern w:val="0"/>
              </w:rPr>
            </w:pPr>
          </w:p>
        </w:tc>
        <w:tc>
          <w:tcPr>
            <w:tcW w:w="1350" w:type="dxa"/>
            <w:tcBorders>
              <w:top w:val="single" w:color="000000" w:sz="4" w:space="0"/>
              <w:left w:val="single" w:color="000000" w:sz="4" w:space="0"/>
              <w:bottom w:val="single" w:color="000000" w:sz="4" w:space="0"/>
              <w:right w:val="single" w:color="000000" w:sz="4" w:space="0"/>
            </w:tcBorders>
          </w:tcPr>
          <w:p w14:paraId="16900536">
            <w:pPr>
              <w:pStyle w:val="38"/>
              <w:rPr>
                <w:rFonts w:hint="default"/>
                <w:color w:val="000000" w:themeColor="text1"/>
                <w:kern w:val="0"/>
              </w:rPr>
            </w:pPr>
          </w:p>
        </w:tc>
        <w:tc>
          <w:tcPr>
            <w:tcW w:w="2747" w:type="dxa"/>
            <w:tcBorders>
              <w:top w:val="single" w:color="000000" w:sz="4" w:space="0"/>
              <w:left w:val="single" w:color="000000" w:sz="4" w:space="0"/>
              <w:bottom w:val="single" w:color="000000" w:sz="4" w:space="0"/>
              <w:right w:val="single" w:color="000000" w:sz="4" w:space="0"/>
            </w:tcBorders>
          </w:tcPr>
          <w:p w14:paraId="622B2F33">
            <w:pPr>
              <w:pStyle w:val="38"/>
              <w:rPr>
                <w:rFonts w:hint="default"/>
                <w:color w:val="000000" w:themeColor="text1"/>
                <w:kern w:val="0"/>
              </w:rPr>
            </w:pPr>
          </w:p>
        </w:tc>
      </w:tr>
    </w:tbl>
    <w:p w14:paraId="14A5636E">
      <w:pPr>
        <w:ind w:firstLine="480"/>
        <w:rPr>
          <w:rFonts w:ascii="Arial" w:hAnsi="Arial" w:cs="Arial"/>
          <w:color w:val="000000" w:themeColor="text1"/>
          <w:szCs w:val="21"/>
        </w:rPr>
      </w:pPr>
    </w:p>
    <w:p w14:paraId="0DC03AB3"/>
    <w:p w14:paraId="3CD84CE9">
      <w:r>
        <w:br w:type="page"/>
      </w:r>
    </w:p>
    <w:p w14:paraId="1CB80B10">
      <w:pPr>
        <w:widowControl/>
        <w:spacing w:line="240" w:lineRule="auto"/>
        <w:ind w:firstLine="0" w:firstLineChars="0"/>
        <w:jc w:val="left"/>
        <w:rPr>
          <w:rFonts w:hint="eastAsia" w:eastAsia="宋体"/>
          <w:color w:val="000000" w:themeColor="text1"/>
          <w:lang w:eastAsia="zh-CN"/>
        </w:rPr>
      </w:pPr>
      <w:r>
        <w:rPr>
          <w:rFonts w:hint="eastAsia"/>
          <w:color w:val="000000" w:themeColor="text1"/>
        </w:rPr>
        <w:t>附件</w:t>
      </w:r>
      <w:r>
        <w:rPr>
          <w:rFonts w:hint="eastAsia"/>
          <w:color w:val="000000" w:themeColor="text1"/>
          <w:lang w:val="en-US" w:eastAsia="zh-CN"/>
        </w:rPr>
        <w:t>6</w:t>
      </w:r>
    </w:p>
    <w:p w14:paraId="7A14B18E">
      <w:pPr>
        <w:pStyle w:val="4"/>
        <w:ind w:firstLine="643"/>
        <w:jc w:val="center"/>
        <w:rPr>
          <w:color w:val="000000" w:themeColor="text1"/>
        </w:rPr>
      </w:pPr>
      <w:bookmarkStart w:id="267" w:name="_Toc29093"/>
      <w:bookmarkStart w:id="268" w:name="_Toc14515"/>
      <w:bookmarkStart w:id="269" w:name="_Toc25229"/>
      <w:r>
        <w:rPr>
          <w:rFonts w:hint="eastAsia"/>
          <w:color w:val="000000" w:themeColor="text1"/>
        </w:rPr>
        <w:t>投标声明函</w:t>
      </w:r>
      <w:bookmarkEnd w:id="267"/>
      <w:bookmarkEnd w:id="268"/>
      <w:bookmarkEnd w:id="269"/>
    </w:p>
    <w:p w14:paraId="57B16722">
      <w:pPr>
        <w:spacing w:line="560" w:lineRule="exact"/>
        <w:ind w:firstLine="0" w:firstLineChars="0"/>
        <w:rPr>
          <w:rFonts w:ascii="宋体" w:hAnsi="宋体" w:cs="宋体"/>
          <w:bCs/>
          <w:color w:val="000000" w:themeColor="text1"/>
        </w:rPr>
      </w:pPr>
      <w:r>
        <w:rPr>
          <w:rFonts w:hint="eastAsia" w:ascii="宋体" w:hAnsi="宋体" w:cs="宋体"/>
          <w:color w:val="000000" w:themeColor="text1"/>
        </w:rPr>
        <w:t>致：龙游县公安局交通警察大队</w:t>
      </w:r>
    </w:p>
    <w:p w14:paraId="72A68600">
      <w:pPr>
        <w:spacing w:line="560" w:lineRule="exact"/>
        <w:ind w:firstLine="480"/>
        <w:rPr>
          <w:rFonts w:ascii="宋体" w:hAnsi="宋体" w:cs="宋体"/>
          <w:color w:val="000000" w:themeColor="text1"/>
          <w:kern w:val="0"/>
          <w:u w:val="single"/>
          <w:lang w:val="zh-CN"/>
        </w:rPr>
      </w:pPr>
      <w:r>
        <w:rPr>
          <w:rFonts w:hint="eastAsia" w:ascii="宋体" w:hAnsi="宋体" w:cs="宋体"/>
          <w:color w:val="000000" w:themeColor="text1"/>
          <w:u w:val="single"/>
        </w:rPr>
        <w:t xml:space="preserve">（投标人全称）           </w:t>
      </w:r>
      <w:r>
        <w:rPr>
          <w:rFonts w:hint="eastAsia" w:ascii="宋体" w:hAnsi="宋体" w:cs="宋体"/>
          <w:color w:val="000000" w:themeColor="text1"/>
        </w:rPr>
        <w:t>授权</w:t>
      </w:r>
      <w:r>
        <w:rPr>
          <w:rFonts w:hint="eastAsia" w:ascii="宋体" w:hAnsi="宋体" w:cs="宋体"/>
          <w:color w:val="000000" w:themeColor="text1"/>
          <w:u w:val="single"/>
        </w:rPr>
        <w:t xml:space="preserve">       （全权代表姓名）   （职务、职称）</w:t>
      </w:r>
      <w:r>
        <w:rPr>
          <w:rFonts w:hint="eastAsia" w:ascii="宋体" w:hAnsi="宋体" w:cs="宋体"/>
          <w:color w:val="000000" w:themeColor="text1"/>
        </w:rPr>
        <w:t>为全权代表，参加贵方组织的</w:t>
      </w:r>
      <w:r>
        <w:rPr>
          <w:rFonts w:hint="eastAsia" w:ascii="宋体" w:hAnsi="宋体" w:cs="宋体"/>
          <w:color w:val="000000" w:themeColor="text1"/>
          <w:u w:val="single"/>
        </w:rPr>
        <w:t xml:space="preserve"> </w:t>
      </w:r>
      <w:r>
        <w:rPr>
          <w:rFonts w:hint="eastAsia" w:ascii="宋体" w:hAnsi="宋体" w:cs="宋体"/>
          <w:color w:val="000000" w:themeColor="text1"/>
          <w:u w:val="single"/>
          <w:lang w:eastAsia="zh-CN"/>
        </w:rPr>
        <w:t>2025年度龙游县公安局交通警察大队食堂（大队机关、城区中队）劳务外包服务采购项目</w:t>
      </w:r>
      <w:r>
        <w:rPr>
          <w:rFonts w:hint="eastAsia" w:ascii="宋体" w:hAnsi="宋体" w:cs="宋体"/>
          <w:color w:val="000000" w:themeColor="text1"/>
          <w:u w:val="single"/>
        </w:rPr>
        <w:t xml:space="preserve">  项目名称（项目编号： LYJY20240</w:t>
      </w:r>
      <w:r>
        <w:rPr>
          <w:rFonts w:hint="eastAsia" w:ascii="宋体" w:hAnsi="宋体" w:cs="宋体"/>
          <w:color w:val="000000" w:themeColor="text1"/>
          <w:u w:val="single"/>
          <w:lang w:val="en-US" w:eastAsia="zh-CN"/>
        </w:rPr>
        <w:t>57</w:t>
      </w:r>
      <w:r>
        <w:rPr>
          <w:rFonts w:hint="eastAsia" w:ascii="宋体" w:hAnsi="宋体" w:cs="宋体"/>
          <w:color w:val="000000" w:themeColor="text1"/>
          <w:u w:val="single"/>
        </w:rPr>
        <w:t xml:space="preserve"> ）</w:t>
      </w:r>
      <w:r>
        <w:rPr>
          <w:rFonts w:hint="eastAsia" w:ascii="宋体" w:hAnsi="宋体" w:cs="宋体"/>
          <w:color w:val="000000" w:themeColor="text1"/>
        </w:rPr>
        <w:t>招标的有关活动，并对此项目进行投标。为此：</w:t>
      </w:r>
    </w:p>
    <w:p w14:paraId="6B65EFEB">
      <w:pPr>
        <w:spacing w:line="560" w:lineRule="exact"/>
        <w:ind w:firstLine="480"/>
        <w:rPr>
          <w:rFonts w:ascii="宋体" w:hAnsi="宋体" w:cs="宋体"/>
          <w:color w:val="000000" w:themeColor="text1"/>
        </w:rPr>
      </w:pPr>
      <w:r>
        <w:rPr>
          <w:rFonts w:hint="eastAsia" w:ascii="宋体" w:hAnsi="宋体" w:cs="宋体"/>
          <w:color w:val="000000" w:themeColor="text1"/>
        </w:rPr>
        <w:t>1、我方同意在投标人须知前附表规定的开启日期起遵守本报价函中的承诺且在报价有效期满之前均具有约束力。</w:t>
      </w:r>
    </w:p>
    <w:p w14:paraId="51534B05">
      <w:pPr>
        <w:spacing w:line="560" w:lineRule="exact"/>
        <w:ind w:firstLine="480"/>
        <w:rPr>
          <w:rFonts w:ascii="宋体" w:hAnsi="宋体" w:cs="宋体"/>
          <w:bCs/>
          <w:color w:val="000000" w:themeColor="text1"/>
          <w:kern w:val="44"/>
        </w:rPr>
      </w:pPr>
      <w:r>
        <w:rPr>
          <w:rFonts w:hint="eastAsia" w:ascii="宋体" w:hAnsi="宋体" w:cs="宋体"/>
          <w:color w:val="000000" w:themeColor="text1"/>
        </w:rPr>
        <w:t>2、我方承诺已经具备《中华人民共和国政府采购法》中规定的参加政府采购活动的投标人应当具备的条件。</w:t>
      </w:r>
    </w:p>
    <w:p w14:paraId="5E6FB5DA">
      <w:pPr>
        <w:spacing w:line="560" w:lineRule="exact"/>
        <w:ind w:firstLine="480"/>
        <w:rPr>
          <w:rFonts w:ascii="宋体" w:hAnsi="宋体" w:cs="宋体"/>
          <w:color w:val="000000" w:themeColor="text1"/>
        </w:rPr>
      </w:pPr>
      <w:r>
        <w:rPr>
          <w:rFonts w:hint="eastAsia" w:ascii="宋体" w:hAnsi="宋体" w:cs="宋体"/>
          <w:color w:val="000000" w:themeColor="text1"/>
        </w:rPr>
        <w:t>3、提供招标文件</w:t>
      </w:r>
      <w:r>
        <w:rPr>
          <w:rFonts w:hint="eastAsia" w:ascii="宋体" w:hAnsi="宋体" w:cs="宋体"/>
          <w:bCs/>
          <w:color w:val="000000" w:themeColor="text1"/>
          <w:kern w:val="44"/>
        </w:rPr>
        <w:t>投标人须知</w:t>
      </w:r>
      <w:r>
        <w:rPr>
          <w:rFonts w:hint="eastAsia" w:ascii="宋体" w:hAnsi="宋体" w:cs="宋体"/>
          <w:color w:val="000000" w:themeColor="text1"/>
        </w:rPr>
        <w:t>规定的全部投标文件。</w:t>
      </w:r>
    </w:p>
    <w:p w14:paraId="6E5377A8">
      <w:pPr>
        <w:spacing w:line="560" w:lineRule="exact"/>
        <w:ind w:firstLine="480"/>
        <w:rPr>
          <w:rFonts w:ascii="宋体" w:hAnsi="宋体" w:cs="宋体"/>
          <w:color w:val="000000" w:themeColor="text1"/>
        </w:rPr>
      </w:pPr>
      <w:r>
        <w:rPr>
          <w:rFonts w:hint="eastAsia" w:ascii="宋体" w:hAnsi="宋体" w:cs="宋体"/>
          <w:color w:val="000000" w:themeColor="text1"/>
        </w:rPr>
        <w:t>4、按招标文件要求提供和交付的货物和服务的投标报价详见投标报价表。</w:t>
      </w:r>
    </w:p>
    <w:p w14:paraId="2AD988A0">
      <w:pPr>
        <w:spacing w:line="560" w:lineRule="exact"/>
        <w:ind w:firstLine="480"/>
        <w:rPr>
          <w:rFonts w:ascii="宋体" w:hAnsi="宋体" w:cs="宋体"/>
          <w:color w:val="000000" w:themeColor="text1"/>
        </w:rPr>
      </w:pPr>
      <w:r>
        <w:rPr>
          <w:rFonts w:hint="eastAsia" w:ascii="宋体" w:hAnsi="宋体" w:cs="宋体"/>
          <w:color w:val="000000" w:themeColor="text1"/>
        </w:rPr>
        <w:t>5、保证忠实地执行双方所签订的合同，并承担合同规定的责任和义务。</w:t>
      </w:r>
    </w:p>
    <w:p w14:paraId="6FF75BAD">
      <w:pPr>
        <w:spacing w:line="560" w:lineRule="exact"/>
        <w:ind w:firstLine="480"/>
        <w:rPr>
          <w:rFonts w:ascii="宋体" w:hAnsi="宋体" w:cs="宋体"/>
          <w:color w:val="000000" w:themeColor="text1"/>
        </w:rPr>
      </w:pPr>
      <w:r>
        <w:rPr>
          <w:rFonts w:hint="eastAsia" w:ascii="宋体" w:hAnsi="宋体" w:cs="宋体"/>
          <w:color w:val="000000" w:themeColor="text1"/>
        </w:rPr>
        <w:t>6、保证遵守招标文件中的其他有关规定。</w:t>
      </w:r>
    </w:p>
    <w:p w14:paraId="0AF36867">
      <w:pPr>
        <w:spacing w:line="560" w:lineRule="exact"/>
        <w:ind w:firstLine="480"/>
        <w:rPr>
          <w:rFonts w:ascii="宋体" w:hAnsi="宋体" w:cs="宋体"/>
          <w:color w:val="000000" w:themeColor="text1"/>
        </w:rPr>
      </w:pPr>
      <w:r>
        <w:rPr>
          <w:rFonts w:hint="eastAsia" w:ascii="宋体" w:hAnsi="宋体" w:cs="宋体"/>
          <w:color w:val="000000" w:themeColor="text1"/>
        </w:rPr>
        <w:t>7、在投标文件开启后规定的报价有效期内不得撤回投标文件。</w:t>
      </w:r>
    </w:p>
    <w:p w14:paraId="1FA1B433">
      <w:pPr>
        <w:spacing w:line="560" w:lineRule="exact"/>
        <w:ind w:firstLine="480"/>
        <w:rPr>
          <w:rFonts w:ascii="宋体" w:hAnsi="宋体" w:cs="宋体"/>
          <w:color w:val="000000" w:themeColor="text1"/>
        </w:rPr>
      </w:pPr>
      <w:r>
        <w:rPr>
          <w:rFonts w:hint="eastAsia" w:ascii="宋体" w:hAnsi="宋体" w:cs="宋体"/>
          <w:color w:val="000000" w:themeColor="text1"/>
        </w:rPr>
        <w:t>8、我方完全理解贵方不一定要接受最低价的成交。</w:t>
      </w:r>
    </w:p>
    <w:p w14:paraId="2E2FCE75">
      <w:pPr>
        <w:spacing w:line="560" w:lineRule="exact"/>
        <w:ind w:firstLine="480"/>
        <w:rPr>
          <w:rFonts w:ascii="宋体" w:hAnsi="宋体" w:cs="宋体"/>
          <w:color w:val="000000" w:themeColor="text1"/>
        </w:rPr>
      </w:pPr>
      <w:r>
        <w:rPr>
          <w:rFonts w:hint="eastAsia" w:ascii="宋体" w:hAnsi="宋体" w:cs="宋体"/>
          <w:color w:val="000000" w:themeColor="text1"/>
        </w:rPr>
        <w:t>9、我方承诺愿意真实向贵方提供任何与该项招标有关的数据、情况和技术资料。</w:t>
      </w:r>
    </w:p>
    <w:p w14:paraId="3281B177">
      <w:pPr>
        <w:spacing w:line="560" w:lineRule="exact"/>
        <w:ind w:firstLine="480"/>
        <w:rPr>
          <w:rFonts w:ascii="宋体" w:hAnsi="宋体" w:cs="宋体"/>
          <w:color w:val="000000" w:themeColor="text1"/>
        </w:rPr>
      </w:pPr>
      <w:r>
        <w:rPr>
          <w:rFonts w:hint="eastAsia" w:ascii="宋体" w:hAnsi="宋体" w:cs="宋体"/>
          <w:color w:val="000000" w:themeColor="text1"/>
        </w:rPr>
        <w:t>10、我方已详细审核全部招标文件，包括招标文件修改书（如有的话）、参考资料及有关附件，确认无误。</w:t>
      </w:r>
    </w:p>
    <w:p w14:paraId="328896F5">
      <w:pPr>
        <w:spacing w:line="560" w:lineRule="exact"/>
        <w:ind w:firstLine="480"/>
        <w:rPr>
          <w:rFonts w:ascii="宋体" w:hAnsi="宋体" w:cs="宋体"/>
          <w:color w:val="000000" w:themeColor="text1"/>
        </w:rPr>
      </w:pPr>
      <w:r>
        <w:rPr>
          <w:rFonts w:hint="eastAsia" w:ascii="宋体" w:hAnsi="宋体" w:cs="宋体"/>
          <w:color w:val="000000" w:themeColor="text1"/>
        </w:rPr>
        <w:t>11、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05DDCD70">
      <w:pPr>
        <w:spacing w:line="560" w:lineRule="exact"/>
        <w:ind w:firstLine="480"/>
        <w:rPr>
          <w:rFonts w:ascii="宋体" w:hAnsi="宋体" w:cs="宋体"/>
          <w:color w:val="000000" w:themeColor="text1"/>
        </w:rPr>
      </w:pPr>
      <w:r>
        <w:rPr>
          <w:rFonts w:hint="eastAsia" w:ascii="宋体" w:hAnsi="宋体" w:cs="宋体"/>
          <w:color w:val="000000" w:themeColor="text1"/>
        </w:rPr>
        <w:t>（1）提供虚假材料谋取成交、成交的；</w:t>
      </w:r>
    </w:p>
    <w:p w14:paraId="006166B8">
      <w:pPr>
        <w:spacing w:line="560" w:lineRule="exact"/>
        <w:ind w:firstLine="480"/>
        <w:rPr>
          <w:rFonts w:ascii="宋体" w:hAnsi="宋体" w:cs="宋体"/>
          <w:color w:val="000000" w:themeColor="text1"/>
        </w:rPr>
      </w:pPr>
      <w:r>
        <w:rPr>
          <w:rFonts w:hint="eastAsia" w:ascii="宋体" w:hAnsi="宋体" w:cs="宋体"/>
          <w:color w:val="000000" w:themeColor="text1"/>
        </w:rPr>
        <w:t>（2）采取不正当手段诋毁、排挤其他投标人的；</w:t>
      </w:r>
    </w:p>
    <w:p w14:paraId="60947BE1">
      <w:pPr>
        <w:spacing w:line="560" w:lineRule="exact"/>
        <w:ind w:firstLine="480"/>
        <w:rPr>
          <w:rFonts w:ascii="宋体" w:hAnsi="宋体" w:cs="宋体"/>
          <w:color w:val="000000" w:themeColor="text1"/>
        </w:rPr>
      </w:pPr>
      <w:r>
        <w:rPr>
          <w:rFonts w:hint="eastAsia" w:ascii="宋体" w:hAnsi="宋体" w:cs="宋体"/>
          <w:color w:val="000000" w:themeColor="text1"/>
        </w:rPr>
        <w:t>（3）与采购人、其它投标人或采购代理机构恶意串通的；</w:t>
      </w:r>
    </w:p>
    <w:p w14:paraId="5E6DD1F8">
      <w:pPr>
        <w:spacing w:line="560" w:lineRule="exact"/>
        <w:ind w:firstLine="480"/>
        <w:rPr>
          <w:rFonts w:ascii="宋体" w:hAnsi="宋体" w:cs="宋体"/>
          <w:color w:val="000000" w:themeColor="text1"/>
        </w:rPr>
      </w:pPr>
      <w:r>
        <w:rPr>
          <w:rFonts w:hint="eastAsia" w:ascii="宋体" w:hAnsi="宋体" w:cs="宋体"/>
          <w:color w:val="000000" w:themeColor="text1"/>
        </w:rPr>
        <w:t>（4）向采购人、采购代理机构行贿或者提供其他不正当利益的；</w:t>
      </w:r>
    </w:p>
    <w:p w14:paraId="21171DE4">
      <w:pPr>
        <w:spacing w:line="560" w:lineRule="exact"/>
        <w:ind w:firstLine="480"/>
        <w:rPr>
          <w:rFonts w:ascii="宋体" w:hAnsi="宋体" w:cs="宋体"/>
          <w:color w:val="000000" w:themeColor="text1"/>
        </w:rPr>
      </w:pPr>
      <w:r>
        <w:rPr>
          <w:rFonts w:hint="eastAsia" w:ascii="宋体" w:hAnsi="宋体" w:cs="宋体"/>
          <w:color w:val="000000" w:themeColor="text1"/>
        </w:rPr>
        <w:t>（5）在采购过程中与采购人进行协商投标的；</w:t>
      </w:r>
    </w:p>
    <w:p w14:paraId="36BE9D98">
      <w:pPr>
        <w:spacing w:line="560" w:lineRule="exact"/>
        <w:ind w:firstLine="480"/>
        <w:rPr>
          <w:rFonts w:ascii="宋体" w:hAnsi="宋体" w:cs="宋体"/>
          <w:color w:val="000000" w:themeColor="text1"/>
        </w:rPr>
      </w:pPr>
      <w:r>
        <w:rPr>
          <w:rFonts w:hint="eastAsia" w:ascii="宋体" w:hAnsi="宋体" w:cs="宋体"/>
          <w:color w:val="000000" w:themeColor="text1"/>
        </w:rPr>
        <w:t>（6）拒绝有关部门监督检查或提供虚假情况的。</w:t>
      </w:r>
    </w:p>
    <w:p w14:paraId="1821D088">
      <w:pPr>
        <w:adjustRightInd w:val="0"/>
        <w:snapToGrid w:val="0"/>
        <w:spacing w:line="560" w:lineRule="exact"/>
        <w:ind w:firstLine="480"/>
        <w:rPr>
          <w:rFonts w:ascii="宋体" w:hAnsi="宋体" w:cs="宋体"/>
          <w:color w:val="000000" w:themeColor="text1"/>
        </w:rPr>
      </w:pPr>
      <w:r>
        <w:rPr>
          <w:rFonts w:hint="eastAsia" w:ascii="宋体" w:hAnsi="宋体" w:cs="宋体"/>
          <w:color w:val="000000" w:themeColor="text1"/>
        </w:rPr>
        <w:t>12、其他承诺：</w:t>
      </w:r>
    </w:p>
    <w:p w14:paraId="63087D8E">
      <w:pPr>
        <w:adjustRightInd w:val="0"/>
        <w:snapToGrid w:val="0"/>
        <w:spacing w:line="560" w:lineRule="exact"/>
        <w:ind w:firstLine="482"/>
        <w:rPr>
          <w:rFonts w:ascii="宋体" w:hAnsi="宋体" w:cs="宋体"/>
          <w:b/>
          <w:color w:val="000000" w:themeColor="text1"/>
        </w:rPr>
      </w:pPr>
      <w:r>
        <w:rPr>
          <w:rFonts w:hint="eastAsia" w:ascii="宋体" w:hAnsi="宋体" w:cs="宋体"/>
          <w:b/>
          <w:color w:val="000000" w:themeColor="text1"/>
        </w:rPr>
        <w:t>a）投标有效期内不撤销投标文件；强行撤销的，承诺按采购预算金额的2%赔偿对采购组织机构造成损失；</w:t>
      </w:r>
    </w:p>
    <w:p w14:paraId="33A615DF">
      <w:pPr>
        <w:adjustRightInd w:val="0"/>
        <w:snapToGrid w:val="0"/>
        <w:spacing w:line="560" w:lineRule="exact"/>
        <w:ind w:firstLine="482"/>
        <w:rPr>
          <w:rFonts w:ascii="宋体" w:hAnsi="宋体" w:cs="宋体"/>
          <w:b/>
          <w:color w:val="000000" w:themeColor="text1"/>
        </w:rPr>
      </w:pPr>
      <w:r>
        <w:rPr>
          <w:rFonts w:hint="eastAsia" w:ascii="宋体" w:hAnsi="宋体" w:cs="宋体"/>
          <w:b/>
          <w:color w:val="000000" w:themeColor="text1"/>
        </w:rPr>
        <w:t>b）中标或者成交后，按采购文件规定与采购人签订合同。拒绝签订合同的，承诺按采购预算金额的2%对采购人进行赔偿；赔偿金额不足以弥补采购人损失的，承诺继续承担超过部分的损失。</w:t>
      </w:r>
    </w:p>
    <w:p w14:paraId="51AC6664">
      <w:pPr>
        <w:spacing w:line="560" w:lineRule="exact"/>
        <w:ind w:firstLine="482"/>
        <w:rPr>
          <w:rFonts w:ascii="宋体" w:hAnsi="宋体" w:cs="宋体"/>
          <w:b/>
          <w:color w:val="000000" w:themeColor="text1"/>
        </w:rPr>
      </w:pPr>
      <w:r>
        <w:rPr>
          <w:rFonts w:hint="eastAsia" w:ascii="宋体" w:hAnsi="宋体" w:cs="宋体"/>
          <w:b/>
          <w:color w:val="000000" w:themeColor="text1"/>
        </w:rPr>
        <w:t>C）中标或者成交后，按采购文件规定的采购代理服务费标准，承诺在签订合同前向采购代理机构支付采购代理服务费。</w:t>
      </w:r>
    </w:p>
    <w:p w14:paraId="781A188B">
      <w:pPr>
        <w:pStyle w:val="28"/>
        <w:spacing w:after="0" w:line="560" w:lineRule="exact"/>
        <w:ind w:firstLine="480"/>
        <w:rPr>
          <w:rFonts w:ascii="宋体" w:hAnsi="宋体" w:cs="宋体"/>
          <w:color w:val="000000" w:themeColor="text1"/>
        </w:rPr>
      </w:pPr>
    </w:p>
    <w:p w14:paraId="39437DBB">
      <w:pPr>
        <w:pStyle w:val="28"/>
        <w:spacing w:after="0" w:line="560" w:lineRule="exact"/>
        <w:ind w:firstLine="480"/>
        <w:rPr>
          <w:rFonts w:ascii="宋体" w:hAnsi="宋体" w:cs="宋体"/>
          <w:color w:val="000000" w:themeColor="text1"/>
        </w:rPr>
      </w:pPr>
    </w:p>
    <w:p w14:paraId="1CA20BAE">
      <w:pPr>
        <w:ind w:firstLine="560"/>
        <w:rPr>
          <w:rFonts w:ascii="宋体" w:hAnsi="宋体" w:cs="宋体"/>
          <w:color w:val="000000" w:themeColor="text1"/>
          <w:sz w:val="28"/>
          <w:szCs w:val="28"/>
        </w:rPr>
      </w:pPr>
      <w:r>
        <w:rPr>
          <w:rFonts w:hint="eastAsia" w:ascii="宋体" w:hAnsi="宋体" w:cs="宋体"/>
          <w:color w:val="000000" w:themeColor="text1"/>
          <w:sz w:val="28"/>
          <w:szCs w:val="28"/>
        </w:rPr>
        <w:t>投标人（盖章）：</w:t>
      </w:r>
    </w:p>
    <w:p w14:paraId="358CE9E7">
      <w:pPr>
        <w:ind w:firstLine="560"/>
        <w:rPr>
          <w:rFonts w:ascii="宋体" w:hAnsi="宋体" w:cs="宋体"/>
          <w:color w:val="000000" w:themeColor="text1"/>
          <w:sz w:val="28"/>
          <w:szCs w:val="28"/>
        </w:rPr>
      </w:pPr>
      <w:r>
        <w:rPr>
          <w:rFonts w:hint="eastAsia" w:ascii="宋体" w:hAnsi="宋体" w:cs="宋体"/>
          <w:color w:val="000000" w:themeColor="text1"/>
          <w:sz w:val="28"/>
          <w:szCs w:val="28"/>
        </w:rPr>
        <w:t>法定代表人或其授权代表（签字或盖章）：</w:t>
      </w:r>
    </w:p>
    <w:p w14:paraId="183AB7A0">
      <w:pPr>
        <w:spacing w:line="560" w:lineRule="exact"/>
        <w:ind w:firstLine="480"/>
        <w:rPr>
          <w:rFonts w:ascii="宋体" w:hAnsi="宋体" w:cs="宋体"/>
          <w:color w:val="000000" w:themeColor="text1"/>
        </w:rPr>
      </w:pPr>
      <w:r>
        <w:rPr>
          <w:rFonts w:hint="eastAsia" w:ascii="宋体" w:hAnsi="宋体" w:cs="宋体"/>
          <w:color w:val="000000" w:themeColor="text1"/>
          <w:sz w:val="28"/>
          <w:szCs w:val="28"/>
        </w:rPr>
        <w:t xml:space="preserve">日期：    </w:t>
      </w:r>
      <w:r>
        <w:rPr>
          <w:rFonts w:hint="eastAsia" w:ascii="宋体" w:hAnsi="宋体" w:cs="宋体"/>
          <w:color w:val="000000" w:themeColor="text1"/>
          <w:w w:val="90"/>
          <w:sz w:val="28"/>
          <w:szCs w:val="28"/>
        </w:rPr>
        <w:t>年    月   日</w:t>
      </w:r>
    </w:p>
    <w:p w14:paraId="13F8ECA1">
      <w:pPr>
        <w:pStyle w:val="28"/>
        <w:spacing w:after="0" w:line="560" w:lineRule="exact"/>
        <w:ind w:firstLine="0" w:firstLineChars="0"/>
        <w:rPr>
          <w:rFonts w:ascii="宋体" w:hAnsi="宋体" w:cs="宋体"/>
          <w:color w:val="000000" w:themeColor="text1"/>
        </w:rPr>
      </w:pPr>
    </w:p>
    <w:p w14:paraId="6831293D">
      <w:pPr>
        <w:pStyle w:val="28"/>
        <w:spacing w:after="0" w:line="560" w:lineRule="exact"/>
        <w:ind w:firstLine="480"/>
        <w:rPr>
          <w:rFonts w:ascii="宋体" w:hAnsi="宋体" w:cs="宋体"/>
          <w:color w:val="000000" w:themeColor="text1"/>
        </w:rPr>
      </w:pPr>
      <w:r>
        <w:rPr>
          <w:rFonts w:hint="eastAsia" w:ascii="宋体" w:hAnsi="宋体" w:cs="宋体"/>
          <w:color w:val="000000" w:themeColor="text1"/>
        </w:rPr>
        <w:t>注：未按照本</w:t>
      </w:r>
      <w:r>
        <w:rPr>
          <w:rFonts w:hint="eastAsia" w:ascii="宋体" w:hAnsi="宋体" w:cs="宋体"/>
          <w:color w:val="000000" w:themeColor="text1"/>
          <w:lang w:val="en-US" w:eastAsia="zh-CN"/>
        </w:rPr>
        <w:t>声明</w:t>
      </w:r>
      <w:r>
        <w:rPr>
          <w:rFonts w:hint="eastAsia" w:ascii="宋体" w:hAnsi="宋体" w:cs="宋体"/>
          <w:color w:val="000000" w:themeColor="text1"/>
        </w:rPr>
        <w:t>函要求填报的将被视为非实质性响应，从而可能导致该响应被拒绝。</w:t>
      </w:r>
    </w:p>
    <w:p w14:paraId="293AC1FF">
      <w:pPr>
        <w:widowControl/>
        <w:spacing w:line="240" w:lineRule="auto"/>
        <w:ind w:firstLine="0" w:firstLineChars="0"/>
        <w:jc w:val="left"/>
        <w:rPr>
          <w:color w:val="000000" w:themeColor="text1"/>
        </w:rPr>
      </w:pPr>
      <w:r>
        <w:rPr>
          <w:color w:val="000000" w:themeColor="text1"/>
        </w:rPr>
        <w:br w:type="page"/>
      </w:r>
    </w:p>
    <w:p w14:paraId="6CD4E60A">
      <w:pPr>
        <w:ind w:firstLine="480"/>
        <w:rPr>
          <w:color w:val="000000" w:themeColor="text1"/>
        </w:rPr>
      </w:pPr>
    </w:p>
    <w:p w14:paraId="24EC306B">
      <w:pPr>
        <w:ind w:firstLine="480"/>
        <w:rPr>
          <w:rFonts w:hint="eastAsia" w:eastAsia="宋体"/>
          <w:color w:val="000000" w:themeColor="text1"/>
          <w:lang w:eastAsia="zh-CN"/>
        </w:rPr>
      </w:pPr>
      <w:r>
        <w:rPr>
          <w:color w:val="000000" w:themeColor="text1"/>
        </w:rPr>
        <w:t>附</w:t>
      </w:r>
      <w:r>
        <w:rPr>
          <w:rFonts w:hint="eastAsia"/>
          <w:color w:val="000000" w:themeColor="text1"/>
        </w:rPr>
        <w:t>件</w:t>
      </w:r>
      <w:r>
        <w:rPr>
          <w:rFonts w:hint="eastAsia"/>
          <w:color w:val="000000" w:themeColor="text1"/>
          <w:lang w:val="en-US" w:eastAsia="zh-CN"/>
        </w:rPr>
        <w:t>7</w:t>
      </w:r>
    </w:p>
    <w:p w14:paraId="5979456F">
      <w:pPr>
        <w:pStyle w:val="4"/>
        <w:ind w:firstLine="643"/>
        <w:jc w:val="center"/>
        <w:rPr>
          <w:color w:val="000000" w:themeColor="text1"/>
        </w:rPr>
      </w:pPr>
      <w:bookmarkStart w:id="270" w:name="_Toc26881"/>
      <w:bookmarkStart w:id="271" w:name="_Toc14600"/>
      <w:bookmarkStart w:id="272" w:name="_Toc1063"/>
      <w:r>
        <w:rPr>
          <w:rFonts w:hint="eastAsia"/>
          <w:color w:val="000000" w:themeColor="text1"/>
        </w:rPr>
        <w:t>法定代表人授权委托书</w:t>
      </w:r>
      <w:bookmarkEnd w:id="270"/>
      <w:bookmarkEnd w:id="271"/>
      <w:bookmarkEnd w:id="272"/>
    </w:p>
    <w:p w14:paraId="08520E4A">
      <w:pPr>
        <w:ind w:firstLine="723"/>
        <w:rPr>
          <w:rFonts w:hAnsi="宋体"/>
          <w:b/>
          <w:color w:val="000000" w:themeColor="text1"/>
          <w:sz w:val="36"/>
          <w:szCs w:val="36"/>
        </w:rPr>
      </w:pPr>
    </w:p>
    <w:p w14:paraId="5E12094F">
      <w:pPr>
        <w:pStyle w:val="14"/>
        <w:adjustRightInd w:val="0"/>
        <w:spacing w:line="560" w:lineRule="exact"/>
        <w:rPr>
          <w:rFonts w:ascii="Arial" w:hAnsi="Arial" w:cs="Arial"/>
          <w:color w:val="000000" w:themeColor="text1"/>
          <w:sz w:val="24"/>
          <w:u w:val="single"/>
        </w:rPr>
      </w:pPr>
      <w:r>
        <w:rPr>
          <w:rFonts w:hint="eastAsia" w:ascii="Arial" w:hAnsi="Arial" w:cs="Arial"/>
          <w:color w:val="000000" w:themeColor="text1"/>
          <w:sz w:val="24"/>
          <w:u w:val="single"/>
        </w:rPr>
        <w:t>龙游县图书馆：</w:t>
      </w:r>
    </w:p>
    <w:p w14:paraId="1FD150CA">
      <w:pPr>
        <w:pStyle w:val="14"/>
        <w:spacing w:line="560" w:lineRule="exact"/>
        <w:ind w:firstLine="480" w:firstLineChars="200"/>
        <w:rPr>
          <w:rFonts w:ascii="Arial" w:hAnsi="Arial" w:cs="Arial"/>
          <w:color w:val="000000" w:themeColor="text1"/>
          <w:sz w:val="24"/>
        </w:rPr>
      </w:pPr>
      <w:r>
        <w:rPr>
          <w:rFonts w:ascii="Arial" w:hAnsi="Arial" w:cs="Arial"/>
          <w:color w:val="000000" w:themeColor="text1"/>
          <w:sz w:val="24"/>
        </w:rPr>
        <w:t>我以</w:t>
      </w:r>
      <w:r>
        <w:rPr>
          <w:rFonts w:ascii="Arial" w:hAnsi="Arial" w:cs="Arial"/>
          <w:color w:val="000000" w:themeColor="text1"/>
          <w:sz w:val="24"/>
          <w:u w:val="single"/>
        </w:rPr>
        <w:t>（投标人全称）</w:t>
      </w:r>
      <w:r>
        <w:rPr>
          <w:rFonts w:ascii="Arial" w:hAnsi="Arial" w:cs="Arial"/>
          <w:color w:val="000000" w:themeColor="text1"/>
          <w:sz w:val="24"/>
        </w:rPr>
        <w:t>法定代表人的身份授权</w:t>
      </w:r>
      <w:r>
        <w:rPr>
          <w:rFonts w:ascii="Arial" w:hAnsi="Arial" w:cs="Arial"/>
          <w:color w:val="000000" w:themeColor="text1"/>
          <w:sz w:val="24"/>
          <w:u w:val="single"/>
        </w:rPr>
        <w:t>（全权代表姓名）</w:t>
      </w:r>
      <w:r>
        <w:rPr>
          <w:rFonts w:ascii="Arial" w:hAnsi="Arial" w:cs="Arial"/>
          <w:color w:val="000000" w:themeColor="text1"/>
          <w:sz w:val="24"/>
        </w:rPr>
        <w:t>、</w:t>
      </w:r>
      <w:r>
        <w:rPr>
          <w:rFonts w:ascii="Arial" w:hAnsi="Arial" w:cs="Arial"/>
          <w:color w:val="000000" w:themeColor="text1"/>
          <w:sz w:val="24"/>
          <w:u w:val="single"/>
        </w:rPr>
        <w:t>（身份证号）</w:t>
      </w:r>
      <w:r>
        <w:rPr>
          <w:rFonts w:ascii="Arial" w:hAnsi="Arial" w:cs="Arial"/>
          <w:color w:val="000000" w:themeColor="text1"/>
          <w:sz w:val="24"/>
        </w:rPr>
        <w:t>，为我单位的全权代表，参加贵处组织的</w:t>
      </w:r>
      <w:r>
        <w:rPr>
          <w:rFonts w:hint="eastAsia" w:ascii="Arial" w:hAnsi="Arial" w:cs="Arial"/>
          <w:color w:val="000000" w:themeColor="text1"/>
          <w:sz w:val="24"/>
          <w:u w:val="single"/>
          <w:lang w:val="en-US" w:eastAsia="zh-CN"/>
        </w:rPr>
        <w:t xml:space="preserve"> 2025年度龙游县公安局交通警察大队食堂（大队机关、城区中队）劳务外包服务采购项目 </w:t>
      </w:r>
      <w:r>
        <w:rPr>
          <w:rFonts w:ascii="Arial" w:hAnsi="Arial" w:cs="Arial"/>
          <w:color w:val="000000" w:themeColor="text1"/>
          <w:sz w:val="24"/>
          <w:u w:val="single"/>
        </w:rPr>
        <w:t>（项目名称）</w:t>
      </w:r>
      <w:r>
        <w:rPr>
          <w:rFonts w:hint="eastAsia" w:ascii="Arial" w:hAnsi="Arial" w:cs="Arial"/>
          <w:color w:val="000000" w:themeColor="text1"/>
          <w:sz w:val="24"/>
          <w:u w:val="single"/>
          <w:lang w:val="en-US" w:eastAsia="zh-CN"/>
        </w:rPr>
        <w:t xml:space="preserve"> LYJY2025052 </w:t>
      </w:r>
      <w:r>
        <w:rPr>
          <w:rFonts w:ascii="Arial" w:hAnsi="Arial" w:cs="Arial"/>
          <w:color w:val="000000" w:themeColor="text1"/>
          <w:sz w:val="24"/>
          <w:u w:val="single"/>
        </w:rPr>
        <w:t>（项目编号）</w:t>
      </w:r>
      <w:r>
        <w:rPr>
          <w:rFonts w:ascii="Arial" w:hAnsi="Arial" w:cs="Arial"/>
          <w:color w:val="000000" w:themeColor="text1"/>
          <w:sz w:val="24"/>
        </w:rPr>
        <w:t>的</w:t>
      </w:r>
      <w:r>
        <w:rPr>
          <w:rFonts w:hint="eastAsia" w:ascii="Arial" w:hAnsi="Arial" w:cs="Arial"/>
          <w:color w:val="000000" w:themeColor="text1"/>
          <w:sz w:val="24"/>
        </w:rPr>
        <w:t>投标</w:t>
      </w:r>
      <w:r>
        <w:rPr>
          <w:rFonts w:ascii="Arial" w:hAnsi="Arial" w:cs="Arial"/>
          <w:color w:val="000000" w:themeColor="text1"/>
          <w:sz w:val="24"/>
        </w:rPr>
        <w:t>，签署本项目相关投标文件并全权处理</w:t>
      </w:r>
      <w:r>
        <w:rPr>
          <w:rFonts w:hint="eastAsia" w:ascii="Arial" w:hAnsi="Arial" w:cs="Arial"/>
          <w:color w:val="000000" w:themeColor="text1"/>
          <w:sz w:val="24"/>
        </w:rPr>
        <w:t>投标</w:t>
      </w:r>
      <w:r>
        <w:rPr>
          <w:rFonts w:ascii="Arial" w:hAnsi="Arial" w:cs="Arial"/>
          <w:color w:val="000000" w:themeColor="text1"/>
          <w:sz w:val="24"/>
        </w:rPr>
        <w:t>活动中的一切事宜。我单位承认全权代表做出的与本项目投标活动有关的全部行为。</w:t>
      </w:r>
    </w:p>
    <w:p w14:paraId="74B57277">
      <w:pPr>
        <w:pStyle w:val="14"/>
        <w:spacing w:line="560" w:lineRule="exact"/>
        <w:ind w:firstLine="480" w:firstLineChars="200"/>
        <w:rPr>
          <w:rFonts w:ascii="Arial" w:hAnsi="Arial" w:cs="Arial"/>
          <w:color w:val="000000" w:themeColor="text1"/>
          <w:sz w:val="24"/>
        </w:rPr>
      </w:pPr>
      <w:r>
        <w:rPr>
          <w:rFonts w:ascii="Arial" w:hAnsi="Arial" w:cs="Arial"/>
          <w:color w:val="000000" w:themeColor="text1"/>
          <w:sz w:val="24"/>
        </w:rPr>
        <w:t>投标人全称（盖单位公章）：</w:t>
      </w:r>
    </w:p>
    <w:p w14:paraId="3393BFE4">
      <w:pPr>
        <w:pStyle w:val="14"/>
        <w:spacing w:line="560" w:lineRule="exact"/>
        <w:ind w:firstLine="480" w:firstLineChars="200"/>
        <w:rPr>
          <w:rFonts w:ascii="Arial" w:hAnsi="Arial" w:cs="Arial"/>
          <w:color w:val="000000" w:themeColor="text1"/>
          <w:sz w:val="24"/>
        </w:rPr>
      </w:pPr>
      <w:r>
        <w:rPr>
          <w:rFonts w:ascii="Arial" w:hAnsi="Arial" w:cs="Arial"/>
          <w:color w:val="000000" w:themeColor="text1"/>
          <w:sz w:val="24"/>
        </w:rPr>
        <w:t>法定代表人（签字或盖章）：</w:t>
      </w:r>
    </w:p>
    <w:p w14:paraId="52E2BDEE">
      <w:pPr>
        <w:pStyle w:val="14"/>
        <w:spacing w:line="560" w:lineRule="exact"/>
        <w:ind w:firstLine="480" w:firstLineChars="200"/>
        <w:rPr>
          <w:rFonts w:ascii="Arial" w:hAnsi="Arial" w:cs="Arial"/>
          <w:color w:val="000000" w:themeColor="text1"/>
          <w:sz w:val="24"/>
        </w:rPr>
      </w:pPr>
      <w:r>
        <w:rPr>
          <w:rFonts w:ascii="Arial" w:hAnsi="Arial" w:cs="Arial"/>
          <w:color w:val="000000" w:themeColor="text1"/>
          <w:sz w:val="24"/>
        </w:rPr>
        <w:t>电话：</w:t>
      </w:r>
    </w:p>
    <w:p w14:paraId="46C77F6C">
      <w:pPr>
        <w:pStyle w:val="14"/>
        <w:spacing w:line="560" w:lineRule="exact"/>
        <w:ind w:firstLine="480" w:firstLineChars="200"/>
        <w:rPr>
          <w:rFonts w:ascii="Arial" w:hAnsi="Arial" w:cs="Arial"/>
          <w:color w:val="000000" w:themeColor="text1"/>
          <w:sz w:val="24"/>
        </w:rPr>
      </w:pPr>
      <w:r>
        <w:rPr>
          <w:rFonts w:ascii="Arial" w:hAnsi="Arial" w:cs="Arial"/>
          <w:color w:val="000000" w:themeColor="text1"/>
          <w:sz w:val="24"/>
        </w:rPr>
        <w:t>日期：</w:t>
      </w:r>
    </w:p>
    <w:p w14:paraId="344C4B68">
      <w:pPr>
        <w:pStyle w:val="14"/>
        <w:spacing w:line="560" w:lineRule="exact"/>
        <w:ind w:firstLine="480" w:firstLineChars="200"/>
        <w:rPr>
          <w:rFonts w:ascii="Arial" w:hAnsi="Arial" w:cs="Arial"/>
          <w:color w:val="000000" w:themeColor="text1"/>
          <w:sz w:val="24"/>
        </w:rPr>
      </w:pPr>
      <w:r>
        <w:rPr>
          <w:rFonts w:ascii="Arial" w:hAnsi="Arial" w:cs="Arial"/>
          <w:color w:val="000000" w:themeColor="text1"/>
          <w:sz w:val="24"/>
        </w:rPr>
        <w:t>附：</w:t>
      </w:r>
    </w:p>
    <w:p w14:paraId="16F05E77">
      <w:pPr>
        <w:pStyle w:val="14"/>
        <w:spacing w:line="560" w:lineRule="exact"/>
        <w:ind w:firstLine="480" w:firstLineChars="200"/>
        <w:rPr>
          <w:rFonts w:ascii="Arial" w:hAnsi="Arial" w:cs="Arial"/>
          <w:color w:val="000000" w:themeColor="text1"/>
          <w:sz w:val="24"/>
        </w:rPr>
      </w:pPr>
      <w:r>
        <w:rPr>
          <w:rFonts w:ascii="Arial" w:hAnsi="Arial" w:cs="Arial"/>
          <w:color w:val="000000" w:themeColor="text1"/>
          <w:sz w:val="24"/>
        </w:rPr>
        <w:t>全权代表姓名：</w:t>
      </w:r>
      <w:r>
        <w:rPr>
          <w:rFonts w:hint="eastAsia" w:ascii="Arial" w:hAnsi="Arial" w:cs="Arial"/>
          <w:color w:val="000000" w:themeColor="text1"/>
          <w:sz w:val="24"/>
          <w:lang w:val="en-US" w:eastAsia="zh-CN"/>
        </w:rPr>
        <w:t xml:space="preserve">   </w:t>
      </w:r>
      <w:r>
        <w:rPr>
          <w:rFonts w:ascii="Arial" w:hAnsi="Arial" w:cs="Arial"/>
          <w:color w:val="000000" w:themeColor="text1"/>
          <w:sz w:val="24"/>
        </w:rPr>
        <w:t>身份证号码：</w:t>
      </w:r>
      <w:r>
        <w:rPr>
          <w:rFonts w:hint="eastAsia" w:ascii="Arial" w:hAnsi="Arial" w:cs="Arial"/>
          <w:color w:val="000000" w:themeColor="text1"/>
          <w:sz w:val="24"/>
          <w:lang w:val="en-US" w:eastAsia="zh-CN"/>
        </w:rPr>
        <w:t xml:space="preserve">   </w:t>
      </w:r>
      <w:r>
        <w:rPr>
          <w:rFonts w:ascii="Arial" w:hAnsi="Arial" w:cs="Arial"/>
          <w:color w:val="000000" w:themeColor="text1"/>
          <w:sz w:val="24"/>
        </w:rPr>
        <w:t>职务：</w:t>
      </w:r>
      <w:r>
        <w:rPr>
          <w:rFonts w:hint="eastAsia" w:ascii="Arial" w:hAnsi="Arial" w:cs="Arial"/>
          <w:color w:val="000000" w:themeColor="text1"/>
          <w:sz w:val="24"/>
          <w:lang w:val="en-US" w:eastAsia="zh-CN"/>
        </w:rPr>
        <w:t xml:space="preserve">   </w:t>
      </w:r>
      <w:r>
        <w:rPr>
          <w:rFonts w:ascii="Arial" w:hAnsi="Arial" w:cs="Arial"/>
          <w:color w:val="000000" w:themeColor="text1"/>
          <w:sz w:val="24"/>
        </w:rPr>
        <w:t>电话：</w:t>
      </w:r>
    </w:p>
    <w:p w14:paraId="213BE67B">
      <w:pPr>
        <w:spacing w:line="560" w:lineRule="exact"/>
        <w:ind w:firstLine="482"/>
        <w:rPr>
          <w:rFonts w:ascii="Arial" w:hAnsi="Arial" w:cs="Arial"/>
          <w:b/>
          <w:color w:val="000000" w:themeColor="text1"/>
        </w:rPr>
      </w:pPr>
      <w:r>
        <w:rPr>
          <w:rFonts w:hint="eastAsia" w:ascii="Arial" w:hAnsi="Arial" w:cs="Arial"/>
          <w:b/>
          <w:color w:val="000000" w:themeColor="text1"/>
        </w:rPr>
        <w:t>授权人及被授权人身份证复印件</w:t>
      </w:r>
      <w:r>
        <w:rPr>
          <w:rFonts w:ascii="Arial" w:hAnsi="Arial" w:cs="Arial"/>
          <w:b/>
          <w:color w:val="000000" w:themeColor="text1"/>
        </w:rPr>
        <w:t>：</w:t>
      </w:r>
    </w:p>
    <w:p w14:paraId="6E5E1A67">
      <w:pPr>
        <w:spacing w:line="560" w:lineRule="exact"/>
        <w:ind w:firstLine="482"/>
        <w:rPr>
          <w:rFonts w:ascii="Arial" w:hAnsi="Arial" w:cs="Arial"/>
          <w:b/>
          <w:color w:val="000000" w:themeColor="text1"/>
        </w:rPr>
      </w:pPr>
    </w:p>
    <w:p w14:paraId="1B3A5981">
      <w:pPr>
        <w:rPr>
          <w:rFonts w:hint="eastAsia"/>
          <w:color w:val="000000" w:themeColor="text1"/>
          <w:lang w:val="zh-CN"/>
        </w:rPr>
      </w:pPr>
      <w:r>
        <w:rPr>
          <w:rFonts w:ascii="Arial" w:hAnsi="Arial" w:cs="Arial"/>
          <w:b/>
          <w:color w:val="000000" w:themeColor="text1"/>
        </w:rPr>
        <w:t>注：若是法定代表人参加</w:t>
      </w:r>
      <w:r>
        <w:rPr>
          <w:rFonts w:hint="eastAsia" w:ascii="Arial" w:hAnsi="Arial" w:cs="Arial"/>
          <w:b/>
          <w:color w:val="000000" w:themeColor="text1"/>
        </w:rPr>
        <w:t>投标</w:t>
      </w:r>
      <w:r>
        <w:rPr>
          <w:rFonts w:ascii="Arial" w:hAnsi="Arial" w:cs="Arial"/>
          <w:b/>
          <w:color w:val="000000" w:themeColor="text1"/>
        </w:rPr>
        <w:t>的及签署投标文件的则不需提供该授权书。</w:t>
      </w:r>
    </w:p>
    <w:p w14:paraId="0C9BDB50">
      <w:pPr>
        <w:rPr>
          <w:rFonts w:hint="eastAsia"/>
          <w:color w:val="000000" w:themeColor="text1"/>
          <w:lang w:val="zh-CN"/>
        </w:rPr>
      </w:pPr>
      <w:r>
        <w:rPr>
          <w:rFonts w:hint="eastAsia"/>
          <w:color w:val="000000" w:themeColor="text1"/>
          <w:lang w:val="zh-CN"/>
        </w:rPr>
        <w:br w:type="page"/>
      </w:r>
    </w:p>
    <w:p w14:paraId="60AA9C4E">
      <w:pPr>
        <w:bidi w:val="0"/>
        <w:rPr>
          <w:rFonts w:hint="default" w:eastAsia="宋体"/>
          <w:lang w:val="en-US" w:eastAsia="zh-CN"/>
        </w:rPr>
      </w:pPr>
      <w:r>
        <w:rPr>
          <w:rFonts w:hint="eastAsia"/>
          <w:lang w:val="en-US" w:eastAsia="zh-CN"/>
        </w:rPr>
        <w:t>附件8</w:t>
      </w:r>
    </w:p>
    <w:p w14:paraId="08F961FA">
      <w:pPr>
        <w:pStyle w:val="4"/>
        <w:ind w:firstLine="643"/>
        <w:jc w:val="center"/>
        <w:rPr>
          <w:rFonts w:ascii="宋体" w:hAnsi="宋体" w:cs="宋体"/>
          <w:color w:val="000000" w:themeColor="text1"/>
          <w:kern w:val="0"/>
          <w:sz w:val="30"/>
          <w:szCs w:val="30"/>
        </w:rPr>
      </w:pPr>
      <w:bookmarkStart w:id="273" w:name="_Toc23007"/>
      <w:bookmarkStart w:id="274" w:name="_Toc1426"/>
      <w:r>
        <w:rPr>
          <w:rFonts w:hint="eastAsia"/>
          <w:color w:val="000000" w:themeColor="text1"/>
          <w:lang w:val="zh-CN"/>
        </w:rPr>
        <w:t>投标人</w:t>
      </w:r>
      <w:r>
        <w:rPr>
          <w:rFonts w:hint="eastAsia"/>
          <w:color w:val="000000" w:themeColor="text1"/>
        </w:rPr>
        <w:t>同类项目</w:t>
      </w:r>
      <w:r>
        <w:rPr>
          <w:rFonts w:hint="eastAsia"/>
          <w:color w:val="000000" w:themeColor="text1"/>
          <w:lang w:val="zh-CN"/>
        </w:rPr>
        <w:t>业绩一览表</w:t>
      </w:r>
      <w:bookmarkEnd w:id="273"/>
      <w:bookmarkEnd w:id="274"/>
    </w:p>
    <w:p w14:paraId="2D1D2B68">
      <w:pPr>
        <w:ind w:firstLine="0" w:firstLineChars="0"/>
        <w:rPr>
          <w:rFonts w:ascii="宋体" w:hAnsi="宋体"/>
          <w:color w:val="000000" w:themeColor="text1"/>
          <w:sz w:val="21"/>
          <w:szCs w:val="21"/>
        </w:rPr>
      </w:pPr>
    </w:p>
    <w:tbl>
      <w:tblPr>
        <w:tblStyle w:val="75"/>
        <w:tblW w:w="9288" w:type="dxa"/>
        <w:tblInd w:w="-107" w:type="dxa"/>
        <w:tblLayout w:type="fixed"/>
        <w:tblCellMar>
          <w:top w:w="56" w:type="dxa"/>
          <w:left w:w="109" w:type="dxa"/>
          <w:bottom w:w="0" w:type="dxa"/>
          <w:right w:w="109" w:type="dxa"/>
        </w:tblCellMar>
      </w:tblPr>
      <w:tblGrid>
        <w:gridCol w:w="779"/>
        <w:gridCol w:w="1635"/>
        <w:gridCol w:w="1200"/>
        <w:gridCol w:w="1440"/>
        <w:gridCol w:w="1380"/>
        <w:gridCol w:w="1995"/>
        <w:gridCol w:w="859"/>
      </w:tblGrid>
      <w:tr w14:paraId="18A607F9">
        <w:tblPrEx>
          <w:tblCellMar>
            <w:top w:w="56" w:type="dxa"/>
            <w:left w:w="109" w:type="dxa"/>
            <w:bottom w:w="0" w:type="dxa"/>
            <w:right w:w="109" w:type="dxa"/>
          </w:tblCellMar>
        </w:tblPrEx>
        <w:trPr>
          <w:trHeight w:val="977"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67337874">
            <w:pPr>
              <w:pStyle w:val="38"/>
              <w:rPr>
                <w:rFonts w:hint="default"/>
                <w:color w:val="000000" w:themeColor="text1"/>
                <w:kern w:val="0"/>
              </w:rPr>
            </w:pPr>
            <w:r>
              <w:rPr>
                <w:color w:val="000000" w:themeColor="text1"/>
                <w:kern w:val="0"/>
              </w:rPr>
              <w:t>序号</w:t>
            </w:r>
          </w:p>
        </w:tc>
        <w:tc>
          <w:tcPr>
            <w:tcW w:w="1635" w:type="dxa"/>
            <w:tcBorders>
              <w:top w:val="single" w:color="000000" w:sz="4" w:space="0"/>
              <w:left w:val="single" w:color="000000" w:sz="4" w:space="0"/>
              <w:bottom w:val="single" w:color="000000" w:sz="4" w:space="0"/>
              <w:right w:val="single" w:color="000000" w:sz="4" w:space="0"/>
            </w:tcBorders>
            <w:vAlign w:val="center"/>
          </w:tcPr>
          <w:p w14:paraId="270A48DB">
            <w:pPr>
              <w:pStyle w:val="38"/>
              <w:rPr>
                <w:rFonts w:hint="default"/>
                <w:color w:val="000000" w:themeColor="text1"/>
                <w:kern w:val="0"/>
              </w:rPr>
            </w:pPr>
            <w:r>
              <w:rPr>
                <w:color w:val="000000" w:themeColor="text1"/>
                <w:kern w:val="0"/>
              </w:rPr>
              <w:t>项目名称</w:t>
            </w:r>
          </w:p>
        </w:tc>
        <w:tc>
          <w:tcPr>
            <w:tcW w:w="1200" w:type="dxa"/>
            <w:tcBorders>
              <w:top w:val="single" w:color="000000" w:sz="4" w:space="0"/>
              <w:left w:val="single" w:color="000000" w:sz="4" w:space="0"/>
              <w:bottom w:val="single" w:color="000000" w:sz="4" w:space="0"/>
              <w:right w:val="single" w:color="000000" w:sz="4" w:space="0"/>
            </w:tcBorders>
            <w:vAlign w:val="center"/>
          </w:tcPr>
          <w:p w14:paraId="794CC5FA">
            <w:pPr>
              <w:pStyle w:val="38"/>
              <w:rPr>
                <w:rFonts w:hint="default"/>
                <w:color w:val="000000" w:themeColor="text1"/>
                <w:kern w:val="0"/>
              </w:rPr>
            </w:pPr>
            <w:r>
              <w:rPr>
                <w:color w:val="000000" w:themeColor="text1"/>
                <w:kern w:val="0"/>
              </w:rPr>
              <w:t>合同内容</w:t>
            </w:r>
          </w:p>
        </w:tc>
        <w:tc>
          <w:tcPr>
            <w:tcW w:w="1440" w:type="dxa"/>
            <w:tcBorders>
              <w:top w:val="single" w:color="000000" w:sz="4" w:space="0"/>
              <w:left w:val="single" w:color="000000" w:sz="4" w:space="0"/>
              <w:bottom w:val="single" w:color="000000" w:sz="4" w:space="0"/>
              <w:right w:val="single" w:color="000000" w:sz="4" w:space="0"/>
            </w:tcBorders>
            <w:vAlign w:val="center"/>
          </w:tcPr>
          <w:p w14:paraId="19F50F59">
            <w:pPr>
              <w:pStyle w:val="38"/>
              <w:rPr>
                <w:rFonts w:hint="default"/>
                <w:color w:val="000000" w:themeColor="text1"/>
                <w:kern w:val="0"/>
              </w:rPr>
            </w:pPr>
            <w:r>
              <w:rPr>
                <w:color w:val="000000" w:themeColor="text1"/>
                <w:kern w:val="0"/>
              </w:rPr>
              <w:t>项目金额（万元）</w:t>
            </w:r>
          </w:p>
        </w:tc>
        <w:tc>
          <w:tcPr>
            <w:tcW w:w="1380" w:type="dxa"/>
            <w:tcBorders>
              <w:top w:val="single" w:color="000000" w:sz="4" w:space="0"/>
              <w:left w:val="single" w:color="000000" w:sz="4" w:space="0"/>
              <w:bottom w:val="single" w:color="000000" w:sz="4" w:space="0"/>
              <w:right w:val="single" w:color="000000" w:sz="4" w:space="0"/>
            </w:tcBorders>
            <w:vAlign w:val="center"/>
          </w:tcPr>
          <w:p w14:paraId="6801BBF8">
            <w:pPr>
              <w:pStyle w:val="38"/>
              <w:rPr>
                <w:rFonts w:hint="default"/>
                <w:color w:val="000000" w:themeColor="text1"/>
                <w:kern w:val="0"/>
              </w:rPr>
            </w:pPr>
            <w:r>
              <w:rPr>
                <w:color w:val="000000" w:themeColor="text1"/>
                <w:kern w:val="0"/>
              </w:rPr>
              <w:t>合同签订时间</w:t>
            </w:r>
          </w:p>
        </w:tc>
        <w:tc>
          <w:tcPr>
            <w:tcW w:w="1995" w:type="dxa"/>
            <w:tcBorders>
              <w:top w:val="single" w:color="000000" w:sz="4" w:space="0"/>
              <w:left w:val="single" w:color="000000" w:sz="4" w:space="0"/>
              <w:bottom w:val="single" w:color="000000" w:sz="4" w:space="0"/>
              <w:right w:val="single" w:color="000000" w:sz="4" w:space="0"/>
            </w:tcBorders>
          </w:tcPr>
          <w:p w14:paraId="5809AA57">
            <w:pPr>
              <w:pStyle w:val="38"/>
              <w:rPr>
                <w:rFonts w:hint="default"/>
                <w:color w:val="000000" w:themeColor="text1"/>
                <w:kern w:val="0"/>
              </w:rPr>
            </w:pPr>
            <w:r>
              <w:rPr>
                <w:color w:val="000000" w:themeColor="text1"/>
                <w:kern w:val="0"/>
              </w:rPr>
              <w:t>项目单位、联系人及电话</w:t>
            </w:r>
          </w:p>
        </w:tc>
        <w:tc>
          <w:tcPr>
            <w:tcW w:w="859" w:type="dxa"/>
            <w:tcBorders>
              <w:top w:val="single" w:color="000000" w:sz="4" w:space="0"/>
              <w:left w:val="single" w:color="000000" w:sz="4" w:space="0"/>
              <w:bottom w:val="single" w:color="000000" w:sz="4" w:space="0"/>
              <w:right w:val="single" w:color="000000" w:sz="4" w:space="0"/>
            </w:tcBorders>
            <w:vAlign w:val="center"/>
          </w:tcPr>
          <w:p w14:paraId="60503B6C">
            <w:pPr>
              <w:pStyle w:val="38"/>
              <w:rPr>
                <w:rFonts w:hint="default"/>
                <w:color w:val="000000" w:themeColor="text1"/>
                <w:kern w:val="0"/>
              </w:rPr>
            </w:pPr>
            <w:r>
              <w:rPr>
                <w:color w:val="000000" w:themeColor="text1"/>
                <w:kern w:val="0"/>
              </w:rPr>
              <w:t>备注</w:t>
            </w:r>
          </w:p>
        </w:tc>
      </w:tr>
      <w:tr w14:paraId="20B0F60F">
        <w:tblPrEx>
          <w:tblCellMar>
            <w:top w:w="56" w:type="dxa"/>
            <w:left w:w="109" w:type="dxa"/>
            <w:bottom w:w="0" w:type="dxa"/>
            <w:right w:w="109" w:type="dxa"/>
          </w:tblCellMar>
        </w:tblPrEx>
        <w:trPr>
          <w:trHeight w:val="583"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7BB438EC">
            <w:pPr>
              <w:pStyle w:val="38"/>
              <w:rPr>
                <w:rFonts w:hint="default"/>
                <w:color w:val="000000" w:themeColor="text1"/>
                <w:kern w:val="0"/>
              </w:rPr>
            </w:pPr>
            <w:r>
              <w:rPr>
                <w:color w:val="000000" w:themeColor="text1"/>
                <w:kern w:val="0"/>
              </w:rPr>
              <w:t>1</w:t>
            </w:r>
          </w:p>
        </w:tc>
        <w:tc>
          <w:tcPr>
            <w:tcW w:w="1635" w:type="dxa"/>
            <w:tcBorders>
              <w:top w:val="single" w:color="000000" w:sz="4" w:space="0"/>
              <w:left w:val="single" w:color="000000" w:sz="4" w:space="0"/>
              <w:bottom w:val="single" w:color="000000" w:sz="4" w:space="0"/>
              <w:right w:val="single" w:color="000000" w:sz="4" w:space="0"/>
            </w:tcBorders>
          </w:tcPr>
          <w:p w14:paraId="50F0A3F9">
            <w:pPr>
              <w:pStyle w:val="38"/>
              <w:rPr>
                <w:rFonts w:hint="default"/>
                <w:color w:val="000000" w:themeColor="text1"/>
                <w:kern w:val="0"/>
              </w:rPr>
            </w:pPr>
          </w:p>
        </w:tc>
        <w:tc>
          <w:tcPr>
            <w:tcW w:w="1200" w:type="dxa"/>
            <w:tcBorders>
              <w:top w:val="single" w:color="000000" w:sz="4" w:space="0"/>
              <w:left w:val="single" w:color="000000" w:sz="4" w:space="0"/>
              <w:bottom w:val="single" w:color="000000" w:sz="4" w:space="0"/>
              <w:right w:val="single" w:color="000000" w:sz="4" w:space="0"/>
            </w:tcBorders>
          </w:tcPr>
          <w:p w14:paraId="51CAC1D5">
            <w:pPr>
              <w:pStyle w:val="38"/>
              <w:rPr>
                <w:rFonts w:hint="default"/>
                <w:color w:val="000000" w:themeColor="text1"/>
                <w:kern w:val="0"/>
              </w:rPr>
            </w:pPr>
          </w:p>
        </w:tc>
        <w:tc>
          <w:tcPr>
            <w:tcW w:w="1440" w:type="dxa"/>
            <w:tcBorders>
              <w:top w:val="single" w:color="000000" w:sz="4" w:space="0"/>
              <w:left w:val="single" w:color="000000" w:sz="4" w:space="0"/>
              <w:bottom w:val="single" w:color="000000" w:sz="4" w:space="0"/>
              <w:right w:val="single" w:color="000000" w:sz="4" w:space="0"/>
            </w:tcBorders>
          </w:tcPr>
          <w:p w14:paraId="4FAE74F3">
            <w:pPr>
              <w:pStyle w:val="38"/>
              <w:rPr>
                <w:rFonts w:hint="default"/>
                <w:color w:val="000000" w:themeColor="text1"/>
                <w:kern w:val="0"/>
              </w:rPr>
            </w:pPr>
          </w:p>
        </w:tc>
        <w:tc>
          <w:tcPr>
            <w:tcW w:w="1380" w:type="dxa"/>
            <w:tcBorders>
              <w:top w:val="single" w:color="000000" w:sz="4" w:space="0"/>
              <w:left w:val="single" w:color="000000" w:sz="4" w:space="0"/>
              <w:bottom w:val="single" w:color="000000" w:sz="4" w:space="0"/>
              <w:right w:val="single" w:color="000000" w:sz="4" w:space="0"/>
            </w:tcBorders>
          </w:tcPr>
          <w:p w14:paraId="56E9D140">
            <w:pPr>
              <w:pStyle w:val="38"/>
              <w:rPr>
                <w:rFonts w:hint="default"/>
                <w:color w:val="000000" w:themeColor="text1"/>
                <w:kern w:val="0"/>
              </w:rPr>
            </w:pPr>
          </w:p>
        </w:tc>
        <w:tc>
          <w:tcPr>
            <w:tcW w:w="1995" w:type="dxa"/>
            <w:tcBorders>
              <w:top w:val="single" w:color="000000" w:sz="4" w:space="0"/>
              <w:left w:val="single" w:color="000000" w:sz="4" w:space="0"/>
              <w:bottom w:val="single" w:color="000000" w:sz="4" w:space="0"/>
              <w:right w:val="single" w:color="000000" w:sz="4" w:space="0"/>
            </w:tcBorders>
          </w:tcPr>
          <w:p w14:paraId="72507650">
            <w:pPr>
              <w:pStyle w:val="38"/>
              <w:rPr>
                <w:rFonts w:hint="default"/>
                <w:color w:val="000000" w:themeColor="text1"/>
                <w:kern w:val="0"/>
              </w:rPr>
            </w:pPr>
          </w:p>
        </w:tc>
        <w:tc>
          <w:tcPr>
            <w:tcW w:w="859" w:type="dxa"/>
            <w:tcBorders>
              <w:top w:val="single" w:color="000000" w:sz="4" w:space="0"/>
              <w:left w:val="single" w:color="000000" w:sz="4" w:space="0"/>
              <w:bottom w:val="single" w:color="000000" w:sz="4" w:space="0"/>
              <w:right w:val="single" w:color="000000" w:sz="4" w:space="0"/>
            </w:tcBorders>
          </w:tcPr>
          <w:p w14:paraId="2E89F569">
            <w:pPr>
              <w:pStyle w:val="38"/>
              <w:rPr>
                <w:rFonts w:hint="default"/>
                <w:color w:val="000000" w:themeColor="text1"/>
                <w:kern w:val="0"/>
              </w:rPr>
            </w:pPr>
          </w:p>
        </w:tc>
      </w:tr>
      <w:tr w14:paraId="5541A2C1">
        <w:tblPrEx>
          <w:tblCellMar>
            <w:top w:w="56" w:type="dxa"/>
            <w:left w:w="109" w:type="dxa"/>
            <w:bottom w:w="0" w:type="dxa"/>
            <w:right w:w="109" w:type="dxa"/>
          </w:tblCellMar>
        </w:tblPrEx>
        <w:trPr>
          <w:trHeight w:val="583"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7063958E">
            <w:pPr>
              <w:pStyle w:val="38"/>
              <w:rPr>
                <w:rFonts w:hint="default"/>
                <w:color w:val="000000" w:themeColor="text1"/>
                <w:kern w:val="0"/>
              </w:rPr>
            </w:pPr>
            <w:r>
              <w:rPr>
                <w:color w:val="000000" w:themeColor="text1"/>
                <w:kern w:val="0"/>
              </w:rPr>
              <w:t>2</w:t>
            </w:r>
          </w:p>
        </w:tc>
        <w:tc>
          <w:tcPr>
            <w:tcW w:w="1635" w:type="dxa"/>
            <w:tcBorders>
              <w:top w:val="single" w:color="000000" w:sz="4" w:space="0"/>
              <w:left w:val="single" w:color="000000" w:sz="4" w:space="0"/>
              <w:bottom w:val="single" w:color="000000" w:sz="4" w:space="0"/>
              <w:right w:val="single" w:color="000000" w:sz="4" w:space="0"/>
            </w:tcBorders>
          </w:tcPr>
          <w:p w14:paraId="3B9803B8">
            <w:pPr>
              <w:pStyle w:val="38"/>
              <w:rPr>
                <w:rFonts w:hint="default"/>
                <w:color w:val="000000" w:themeColor="text1"/>
                <w:kern w:val="0"/>
              </w:rPr>
            </w:pPr>
          </w:p>
        </w:tc>
        <w:tc>
          <w:tcPr>
            <w:tcW w:w="1200" w:type="dxa"/>
            <w:tcBorders>
              <w:top w:val="single" w:color="000000" w:sz="4" w:space="0"/>
              <w:left w:val="single" w:color="000000" w:sz="4" w:space="0"/>
              <w:bottom w:val="single" w:color="000000" w:sz="4" w:space="0"/>
              <w:right w:val="single" w:color="000000" w:sz="4" w:space="0"/>
            </w:tcBorders>
          </w:tcPr>
          <w:p w14:paraId="162B11B1">
            <w:pPr>
              <w:pStyle w:val="38"/>
              <w:rPr>
                <w:rFonts w:hint="default"/>
                <w:color w:val="000000" w:themeColor="text1"/>
                <w:kern w:val="0"/>
              </w:rPr>
            </w:pPr>
          </w:p>
        </w:tc>
        <w:tc>
          <w:tcPr>
            <w:tcW w:w="1440" w:type="dxa"/>
            <w:tcBorders>
              <w:top w:val="single" w:color="000000" w:sz="4" w:space="0"/>
              <w:left w:val="single" w:color="000000" w:sz="4" w:space="0"/>
              <w:bottom w:val="single" w:color="000000" w:sz="4" w:space="0"/>
              <w:right w:val="single" w:color="000000" w:sz="4" w:space="0"/>
            </w:tcBorders>
          </w:tcPr>
          <w:p w14:paraId="4F849910">
            <w:pPr>
              <w:pStyle w:val="38"/>
              <w:rPr>
                <w:rFonts w:hint="default"/>
                <w:color w:val="000000" w:themeColor="text1"/>
                <w:kern w:val="0"/>
              </w:rPr>
            </w:pPr>
          </w:p>
        </w:tc>
        <w:tc>
          <w:tcPr>
            <w:tcW w:w="1380" w:type="dxa"/>
            <w:tcBorders>
              <w:top w:val="single" w:color="000000" w:sz="4" w:space="0"/>
              <w:left w:val="single" w:color="000000" w:sz="4" w:space="0"/>
              <w:bottom w:val="single" w:color="000000" w:sz="4" w:space="0"/>
              <w:right w:val="single" w:color="000000" w:sz="4" w:space="0"/>
            </w:tcBorders>
          </w:tcPr>
          <w:p w14:paraId="0CE78CDA">
            <w:pPr>
              <w:pStyle w:val="38"/>
              <w:rPr>
                <w:rFonts w:hint="default"/>
                <w:color w:val="000000" w:themeColor="text1"/>
                <w:kern w:val="0"/>
              </w:rPr>
            </w:pPr>
          </w:p>
        </w:tc>
        <w:tc>
          <w:tcPr>
            <w:tcW w:w="1995" w:type="dxa"/>
            <w:tcBorders>
              <w:top w:val="single" w:color="000000" w:sz="4" w:space="0"/>
              <w:left w:val="single" w:color="000000" w:sz="4" w:space="0"/>
              <w:bottom w:val="single" w:color="000000" w:sz="4" w:space="0"/>
              <w:right w:val="single" w:color="000000" w:sz="4" w:space="0"/>
            </w:tcBorders>
          </w:tcPr>
          <w:p w14:paraId="0183D73F">
            <w:pPr>
              <w:pStyle w:val="38"/>
              <w:rPr>
                <w:rFonts w:hint="default"/>
                <w:color w:val="000000" w:themeColor="text1"/>
                <w:kern w:val="0"/>
              </w:rPr>
            </w:pPr>
          </w:p>
        </w:tc>
        <w:tc>
          <w:tcPr>
            <w:tcW w:w="859" w:type="dxa"/>
            <w:tcBorders>
              <w:top w:val="single" w:color="000000" w:sz="4" w:space="0"/>
              <w:left w:val="single" w:color="000000" w:sz="4" w:space="0"/>
              <w:bottom w:val="single" w:color="000000" w:sz="4" w:space="0"/>
              <w:right w:val="single" w:color="000000" w:sz="4" w:space="0"/>
            </w:tcBorders>
          </w:tcPr>
          <w:p w14:paraId="04789B78">
            <w:pPr>
              <w:pStyle w:val="38"/>
              <w:rPr>
                <w:rFonts w:hint="default"/>
                <w:color w:val="000000" w:themeColor="text1"/>
                <w:kern w:val="0"/>
              </w:rPr>
            </w:pPr>
          </w:p>
        </w:tc>
      </w:tr>
      <w:tr w14:paraId="1842CFAA">
        <w:tblPrEx>
          <w:tblCellMar>
            <w:top w:w="56" w:type="dxa"/>
            <w:left w:w="109" w:type="dxa"/>
            <w:bottom w:w="0" w:type="dxa"/>
            <w:right w:w="109" w:type="dxa"/>
          </w:tblCellMar>
        </w:tblPrEx>
        <w:trPr>
          <w:trHeight w:val="583"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7A6108A5">
            <w:pPr>
              <w:pStyle w:val="38"/>
              <w:rPr>
                <w:rFonts w:hint="default"/>
                <w:color w:val="000000" w:themeColor="text1"/>
                <w:kern w:val="0"/>
              </w:rPr>
            </w:pPr>
            <w:r>
              <w:rPr>
                <w:color w:val="000000" w:themeColor="text1"/>
                <w:kern w:val="0"/>
              </w:rPr>
              <w:t>3</w:t>
            </w:r>
          </w:p>
        </w:tc>
        <w:tc>
          <w:tcPr>
            <w:tcW w:w="1635" w:type="dxa"/>
            <w:tcBorders>
              <w:top w:val="single" w:color="000000" w:sz="4" w:space="0"/>
              <w:left w:val="single" w:color="000000" w:sz="4" w:space="0"/>
              <w:bottom w:val="single" w:color="000000" w:sz="4" w:space="0"/>
              <w:right w:val="single" w:color="000000" w:sz="4" w:space="0"/>
            </w:tcBorders>
          </w:tcPr>
          <w:p w14:paraId="0B9E7F18">
            <w:pPr>
              <w:pStyle w:val="38"/>
              <w:rPr>
                <w:rFonts w:hint="default"/>
                <w:color w:val="000000" w:themeColor="text1"/>
                <w:kern w:val="0"/>
              </w:rPr>
            </w:pPr>
          </w:p>
        </w:tc>
        <w:tc>
          <w:tcPr>
            <w:tcW w:w="1200" w:type="dxa"/>
            <w:tcBorders>
              <w:top w:val="single" w:color="000000" w:sz="4" w:space="0"/>
              <w:left w:val="single" w:color="000000" w:sz="4" w:space="0"/>
              <w:bottom w:val="single" w:color="000000" w:sz="4" w:space="0"/>
              <w:right w:val="single" w:color="000000" w:sz="4" w:space="0"/>
            </w:tcBorders>
          </w:tcPr>
          <w:p w14:paraId="0020613A">
            <w:pPr>
              <w:pStyle w:val="38"/>
              <w:rPr>
                <w:rFonts w:hint="default"/>
                <w:color w:val="000000" w:themeColor="text1"/>
                <w:kern w:val="0"/>
              </w:rPr>
            </w:pPr>
          </w:p>
        </w:tc>
        <w:tc>
          <w:tcPr>
            <w:tcW w:w="1440" w:type="dxa"/>
            <w:tcBorders>
              <w:top w:val="single" w:color="000000" w:sz="4" w:space="0"/>
              <w:left w:val="single" w:color="000000" w:sz="4" w:space="0"/>
              <w:bottom w:val="single" w:color="000000" w:sz="4" w:space="0"/>
              <w:right w:val="single" w:color="000000" w:sz="4" w:space="0"/>
            </w:tcBorders>
          </w:tcPr>
          <w:p w14:paraId="506AA336">
            <w:pPr>
              <w:pStyle w:val="38"/>
              <w:rPr>
                <w:rFonts w:hint="default"/>
                <w:color w:val="000000" w:themeColor="text1"/>
                <w:kern w:val="0"/>
              </w:rPr>
            </w:pPr>
          </w:p>
        </w:tc>
        <w:tc>
          <w:tcPr>
            <w:tcW w:w="1380" w:type="dxa"/>
            <w:tcBorders>
              <w:top w:val="single" w:color="000000" w:sz="4" w:space="0"/>
              <w:left w:val="single" w:color="000000" w:sz="4" w:space="0"/>
              <w:bottom w:val="single" w:color="000000" w:sz="4" w:space="0"/>
              <w:right w:val="single" w:color="000000" w:sz="4" w:space="0"/>
            </w:tcBorders>
          </w:tcPr>
          <w:p w14:paraId="20BA0F58">
            <w:pPr>
              <w:pStyle w:val="38"/>
              <w:rPr>
                <w:rFonts w:hint="default"/>
                <w:color w:val="000000" w:themeColor="text1"/>
                <w:kern w:val="0"/>
              </w:rPr>
            </w:pPr>
          </w:p>
        </w:tc>
        <w:tc>
          <w:tcPr>
            <w:tcW w:w="1995" w:type="dxa"/>
            <w:tcBorders>
              <w:top w:val="single" w:color="000000" w:sz="4" w:space="0"/>
              <w:left w:val="single" w:color="000000" w:sz="4" w:space="0"/>
              <w:bottom w:val="single" w:color="000000" w:sz="4" w:space="0"/>
              <w:right w:val="single" w:color="000000" w:sz="4" w:space="0"/>
            </w:tcBorders>
          </w:tcPr>
          <w:p w14:paraId="6F6B491D">
            <w:pPr>
              <w:pStyle w:val="38"/>
              <w:rPr>
                <w:rFonts w:hint="default"/>
                <w:color w:val="000000" w:themeColor="text1"/>
                <w:kern w:val="0"/>
              </w:rPr>
            </w:pPr>
          </w:p>
        </w:tc>
        <w:tc>
          <w:tcPr>
            <w:tcW w:w="859" w:type="dxa"/>
            <w:tcBorders>
              <w:top w:val="single" w:color="000000" w:sz="4" w:space="0"/>
              <w:left w:val="single" w:color="000000" w:sz="4" w:space="0"/>
              <w:bottom w:val="single" w:color="000000" w:sz="4" w:space="0"/>
              <w:right w:val="single" w:color="000000" w:sz="4" w:space="0"/>
            </w:tcBorders>
          </w:tcPr>
          <w:p w14:paraId="37F63113">
            <w:pPr>
              <w:pStyle w:val="38"/>
              <w:rPr>
                <w:rFonts w:hint="default"/>
                <w:color w:val="000000" w:themeColor="text1"/>
                <w:kern w:val="0"/>
              </w:rPr>
            </w:pPr>
          </w:p>
        </w:tc>
      </w:tr>
      <w:tr w14:paraId="518F6926">
        <w:tblPrEx>
          <w:tblCellMar>
            <w:top w:w="56" w:type="dxa"/>
            <w:left w:w="109" w:type="dxa"/>
            <w:bottom w:w="0" w:type="dxa"/>
            <w:right w:w="109" w:type="dxa"/>
          </w:tblCellMar>
        </w:tblPrEx>
        <w:trPr>
          <w:trHeight w:val="583"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6429EDB6">
            <w:pPr>
              <w:pStyle w:val="38"/>
              <w:rPr>
                <w:rFonts w:hint="default"/>
                <w:color w:val="000000" w:themeColor="text1"/>
                <w:kern w:val="0"/>
              </w:rPr>
            </w:pPr>
            <w:r>
              <w:rPr>
                <w:color w:val="000000" w:themeColor="text1"/>
                <w:kern w:val="0"/>
              </w:rPr>
              <w:t>4</w:t>
            </w:r>
          </w:p>
        </w:tc>
        <w:tc>
          <w:tcPr>
            <w:tcW w:w="1635" w:type="dxa"/>
            <w:tcBorders>
              <w:top w:val="single" w:color="000000" w:sz="4" w:space="0"/>
              <w:left w:val="single" w:color="000000" w:sz="4" w:space="0"/>
              <w:bottom w:val="single" w:color="000000" w:sz="4" w:space="0"/>
              <w:right w:val="single" w:color="000000" w:sz="4" w:space="0"/>
            </w:tcBorders>
          </w:tcPr>
          <w:p w14:paraId="0D3C104B">
            <w:pPr>
              <w:pStyle w:val="38"/>
              <w:rPr>
                <w:rFonts w:hint="default"/>
                <w:color w:val="000000" w:themeColor="text1"/>
                <w:kern w:val="0"/>
              </w:rPr>
            </w:pPr>
          </w:p>
        </w:tc>
        <w:tc>
          <w:tcPr>
            <w:tcW w:w="1200" w:type="dxa"/>
            <w:tcBorders>
              <w:top w:val="single" w:color="000000" w:sz="4" w:space="0"/>
              <w:left w:val="single" w:color="000000" w:sz="4" w:space="0"/>
              <w:bottom w:val="single" w:color="000000" w:sz="4" w:space="0"/>
              <w:right w:val="single" w:color="000000" w:sz="4" w:space="0"/>
            </w:tcBorders>
          </w:tcPr>
          <w:p w14:paraId="4AFB347E">
            <w:pPr>
              <w:pStyle w:val="38"/>
              <w:rPr>
                <w:rFonts w:hint="default"/>
                <w:color w:val="000000" w:themeColor="text1"/>
                <w:kern w:val="0"/>
              </w:rPr>
            </w:pPr>
          </w:p>
        </w:tc>
        <w:tc>
          <w:tcPr>
            <w:tcW w:w="1440" w:type="dxa"/>
            <w:tcBorders>
              <w:top w:val="single" w:color="000000" w:sz="4" w:space="0"/>
              <w:left w:val="single" w:color="000000" w:sz="4" w:space="0"/>
              <w:bottom w:val="single" w:color="000000" w:sz="4" w:space="0"/>
              <w:right w:val="single" w:color="000000" w:sz="4" w:space="0"/>
            </w:tcBorders>
          </w:tcPr>
          <w:p w14:paraId="3EC7A0E5">
            <w:pPr>
              <w:pStyle w:val="38"/>
              <w:rPr>
                <w:rFonts w:hint="default"/>
                <w:color w:val="000000" w:themeColor="text1"/>
                <w:kern w:val="0"/>
              </w:rPr>
            </w:pPr>
          </w:p>
        </w:tc>
        <w:tc>
          <w:tcPr>
            <w:tcW w:w="1380" w:type="dxa"/>
            <w:tcBorders>
              <w:top w:val="single" w:color="000000" w:sz="4" w:space="0"/>
              <w:left w:val="single" w:color="000000" w:sz="4" w:space="0"/>
              <w:bottom w:val="single" w:color="000000" w:sz="4" w:space="0"/>
              <w:right w:val="single" w:color="000000" w:sz="4" w:space="0"/>
            </w:tcBorders>
          </w:tcPr>
          <w:p w14:paraId="2DDB587F">
            <w:pPr>
              <w:pStyle w:val="38"/>
              <w:rPr>
                <w:rFonts w:hint="default"/>
                <w:color w:val="000000" w:themeColor="text1"/>
                <w:kern w:val="0"/>
              </w:rPr>
            </w:pPr>
          </w:p>
        </w:tc>
        <w:tc>
          <w:tcPr>
            <w:tcW w:w="1995" w:type="dxa"/>
            <w:tcBorders>
              <w:top w:val="single" w:color="000000" w:sz="4" w:space="0"/>
              <w:left w:val="single" w:color="000000" w:sz="4" w:space="0"/>
              <w:bottom w:val="single" w:color="000000" w:sz="4" w:space="0"/>
              <w:right w:val="single" w:color="000000" w:sz="4" w:space="0"/>
            </w:tcBorders>
          </w:tcPr>
          <w:p w14:paraId="44378236">
            <w:pPr>
              <w:pStyle w:val="38"/>
              <w:rPr>
                <w:rFonts w:hint="default"/>
                <w:color w:val="000000" w:themeColor="text1"/>
                <w:kern w:val="0"/>
              </w:rPr>
            </w:pPr>
          </w:p>
        </w:tc>
        <w:tc>
          <w:tcPr>
            <w:tcW w:w="859" w:type="dxa"/>
            <w:tcBorders>
              <w:top w:val="single" w:color="000000" w:sz="4" w:space="0"/>
              <w:left w:val="single" w:color="000000" w:sz="4" w:space="0"/>
              <w:bottom w:val="single" w:color="000000" w:sz="4" w:space="0"/>
              <w:right w:val="single" w:color="000000" w:sz="4" w:space="0"/>
            </w:tcBorders>
          </w:tcPr>
          <w:p w14:paraId="72E2D687">
            <w:pPr>
              <w:pStyle w:val="38"/>
              <w:rPr>
                <w:rFonts w:hint="default"/>
                <w:color w:val="000000" w:themeColor="text1"/>
                <w:kern w:val="0"/>
              </w:rPr>
            </w:pPr>
          </w:p>
        </w:tc>
      </w:tr>
      <w:tr w14:paraId="3F03728B">
        <w:trPr>
          <w:trHeight w:val="583"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4C8CE828">
            <w:pPr>
              <w:pStyle w:val="38"/>
              <w:rPr>
                <w:rFonts w:hint="default"/>
                <w:color w:val="000000" w:themeColor="text1"/>
                <w:kern w:val="0"/>
              </w:rPr>
            </w:pPr>
            <w:r>
              <w:rPr>
                <w:color w:val="000000" w:themeColor="text1"/>
                <w:kern w:val="0"/>
              </w:rPr>
              <w:t>5</w:t>
            </w:r>
          </w:p>
        </w:tc>
        <w:tc>
          <w:tcPr>
            <w:tcW w:w="1635" w:type="dxa"/>
            <w:tcBorders>
              <w:top w:val="single" w:color="000000" w:sz="4" w:space="0"/>
              <w:left w:val="single" w:color="000000" w:sz="4" w:space="0"/>
              <w:bottom w:val="single" w:color="000000" w:sz="4" w:space="0"/>
              <w:right w:val="single" w:color="000000" w:sz="4" w:space="0"/>
            </w:tcBorders>
          </w:tcPr>
          <w:p w14:paraId="001080F4">
            <w:pPr>
              <w:pStyle w:val="38"/>
              <w:rPr>
                <w:rFonts w:hint="default"/>
                <w:color w:val="000000" w:themeColor="text1"/>
                <w:kern w:val="0"/>
              </w:rPr>
            </w:pPr>
          </w:p>
        </w:tc>
        <w:tc>
          <w:tcPr>
            <w:tcW w:w="1200" w:type="dxa"/>
            <w:tcBorders>
              <w:top w:val="single" w:color="000000" w:sz="4" w:space="0"/>
              <w:left w:val="single" w:color="000000" w:sz="4" w:space="0"/>
              <w:bottom w:val="single" w:color="000000" w:sz="4" w:space="0"/>
              <w:right w:val="single" w:color="000000" w:sz="4" w:space="0"/>
            </w:tcBorders>
          </w:tcPr>
          <w:p w14:paraId="62C9BF46">
            <w:pPr>
              <w:pStyle w:val="38"/>
              <w:rPr>
                <w:rFonts w:hint="default"/>
                <w:color w:val="000000" w:themeColor="text1"/>
                <w:kern w:val="0"/>
              </w:rPr>
            </w:pPr>
          </w:p>
        </w:tc>
        <w:tc>
          <w:tcPr>
            <w:tcW w:w="1440" w:type="dxa"/>
            <w:tcBorders>
              <w:top w:val="single" w:color="000000" w:sz="4" w:space="0"/>
              <w:left w:val="single" w:color="000000" w:sz="4" w:space="0"/>
              <w:bottom w:val="single" w:color="000000" w:sz="4" w:space="0"/>
              <w:right w:val="single" w:color="000000" w:sz="4" w:space="0"/>
            </w:tcBorders>
          </w:tcPr>
          <w:p w14:paraId="529D465B">
            <w:pPr>
              <w:pStyle w:val="38"/>
              <w:rPr>
                <w:rFonts w:hint="default"/>
                <w:color w:val="000000" w:themeColor="text1"/>
                <w:kern w:val="0"/>
              </w:rPr>
            </w:pPr>
          </w:p>
        </w:tc>
        <w:tc>
          <w:tcPr>
            <w:tcW w:w="1380" w:type="dxa"/>
            <w:tcBorders>
              <w:top w:val="single" w:color="000000" w:sz="4" w:space="0"/>
              <w:left w:val="single" w:color="000000" w:sz="4" w:space="0"/>
              <w:bottom w:val="single" w:color="000000" w:sz="4" w:space="0"/>
              <w:right w:val="single" w:color="000000" w:sz="4" w:space="0"/>
            </w:tcBorders>
          </w:tcPr>
          <w:p w14:paraId="601C352F">
            <w:pPr>
              <w:pStyle w:val="38"/>
              <w:rPr>
                <w:rFonts w:hint="default"/>
                <w:color w:val="000000" w:themeColor="text1"/>
                <w:kern w:val="0"/>
              </w:rPr>
            </w:pPr>
          </w:p>
        </w:tc>
        <w:tc>
          <w:tcPr>
            <w:tcW w:w="1995" w:type="dxa"/>
            <w:tcBorders>
              <w:top w:val="single" w:color="000000" w:sz="4" w:space="0"/>
              <w:left w:val="single" w:color="000000" w:sz="4" w:space="0"/>
              <w:bottom w:val="single" w:color="000000" w:sz="4" w:space="0"/>
              <w:right w:val="single" w:color="000000" w:sz="4" w:space="0"/>
            </w:tcBorders>
          </w:tcPr>
          <w:p w14:paraId="53C8ABFC">
            <w:pPr>
              <w:pStyle w:val="38"/>
              <w:rPr>
                <w:rFonts w:hint="default"/>
                <w:color w:val="000000" w:themeColor="text1"/>
                <w:kern w:val="0"/>
              </w:rPr>
            </w:pPr>
          </w:p>
        </w:tc>
        <w:tc>
          <w:tcPr>
            <w:tcW w:w="859" w:type="dxa"/>
            <w:tcBorders>
              <w:top w:val="single" w:color="000000" w:sz="4" w:space="0"/>
              <w:left w:val="single" w:color="000000" w:sz="4" w:space="0"/>
              <w:bottom w:val="single" w:color="000000" w:sz="4" w:space="0"/>
              <w:right w:val="single" w:color="000000" w:sz="4" w:space="0"/>
            </w:tcBorders>
          </w:tcPr>
          <w:p w14:paraId="0810F767">
            <w:pPr>
              <w:pStyle w:val="38"/>
              <w:rPr>
                <w:rFonts w:hint="default"/>
                <w:color w:val="000000" w:themeColor="text1"/>
                <w:kern w:val="0"/>
              </w:rPr>
            </w:pPr>
          </w:p>
        </w:tc>
      </w:tr>
      <w:tr w14:paraId="0C6B098D">
        <w:trPr>
          <w:trHeight w:val="583"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0492A589">
            <w:pPr>
              <w:pStyle w:val="38"/>
              <w:rPr>
                <w:rFonts w:hint="default"/>
                <w:color w:val="000000" w:themeColor="text1"/>
                <w:kern w:val="0"/>
              </w:rPr>
            </w:pPr>
            <w:r>
              <w:rPr>
                <w:color w:val="000000" w:themeColor="text1"/>
                <w:kern w:val="0"/>
              </w:rPr>
              <w:t>6</w:t>
            </w:r>
          </w:p>
        </w:tc>
        <w:tc>
          <w:tcPr>
            <w:tcW w:w="1635" w:type="dxa"/>
            <w:tcBorders>
              <w:top w:val="single" w:color="000000" w:sz="4" w:space="0"/>
              <w:left w:val="single" w:color="000000" w:sz="4" w:space="0"/>
              <w:bottom w:val="single" w:color="000000" w:sz="4" w:space="0"/>
              <w:right w:val="single" w:color="000000" w:sz="4" w:space="0"/>
            </w:tcBorders>
          </w:tcPr>
          <w:p w14:paraId="1C46221F">
            <w:pPr>
              <w:pStyle w:val="38"/>
              <w:rPr>
                <w:rFonts w:hint="default"/>
                <w:color w:val="000000" w:themeColor="text1"/>
                <w:kern w:val="0"/>
              </w:rPr>
            </w:pPr>
          </w:p>
        </w:tc>
        <w:tc>
          <w:tcPr>
            <w:tcW w:w="1200" w:type="dxa"/>
            <w:tcBorders>
              <w:top w:val="single" w:color="000000" w:sz="4" w:space="0"/>
              <w:left w:val="single" w:color="000000" w:sz="4" w:space="0"/>
              <w:bottom w:val="single" w:color="000000" w:sz="4" w:space="0"/>
              <w:right w:val="single" w:color="000000" w:sz="4" w:space="0"/>
            </w:tcBorders>
          </w:tcPr>
          <w:p w14:paraId="08FE4810">
            <w:pPr>
              <w:pStyle w:val="38"/>
              <w:rPr>
                <w:rFonts w:hint="default"/>
                <w:color w:val="000000" w:themeColor="text1"/>
                <w:kern w:val="0"/>
              </w:rPr>
            </w:pPr>
          </w:p>
        </w:tc>
        <w:tc>
          <w:tcPr>
            <w:tcW w:w="1440" w:type="dxa"/>
            <w:tcBorders>
              <w:top w:val="single" w:color="000000" w:sz="4" w:space="0"/>
              <w:left w:val="single" w:color="000000" w:sz="4" w:space="0"/>
              <w:bottom w:val="single" w:color="000000" w:sz="4" w:space="0"/>
              <w:right w:val="single" w:color="000000" w:sz="4" w:space="0"/>
            </w:tcBorders>
          </w:tcPr>
          <w:p w14:paraId="4C120B9B">
            <w:pPr>
              <w:pStyle w:val="38"/>
              <w:rPr>
                <w:rFonts w:hint="default"/>
                <w:color w:val="000000" w:themeColor="text1"/>
                <w:kern w:val="0"/>
              </w:rPr>
            </w:pPr>
          </w:p>
        </w:tc>
        <w:tc>
          <w:tcPr>
            <w:tcW w:w="1380" w:type="dxa"/>
            <w:tcBorders>
              <w:top w:val="single" w:color="000000" w:sz="4" w:space="0"/>
              <w:left w:val="single" w:color="000000" w:sz="4" w:space="0"/>
              <w:bottom w:val="single" w:color="000000" w:sz="4" w:space="0"/>
              <w:right w:val="single" w:color="000000" w:sz="4" w:space="0"/>
            </w:tcBorders>
          </w:tcPr>
          <w:p w14:paraId="437E9798">
            <w:pPr>
              <w:pStyle w:val="38"/>
              <w:rPr>
                <w:rFonts w:hint="default"/>
                <w:color w:val="000000" w:themeColor="text1"/>
                <w:kern w:val="0"/>
              </w:rPr>
            </w:pPr>
          </w:p>
        </w:tc>
        <w:tc>
          <w:tcPr>
            <w:tcW w:w="1995" w:type="dxa"/>
            <w:tcBorders>
              <w:top w:val="single" w:color="000000" w:sz="4" w:space="0"/>
              <w:left w:val="single" w:color="000000" w:sz="4" w:space="0"/>
              <w:bottom w:val="single" w:color="000000" w:sz="4" w:space="0"/>
              <w:right w:val="single" w:color="000000" w:sz="4" w:space="0"/>
            </w:tcBorders>
          </w:tcPr>
          <w:p w14:paraId="19AB51A0">
            <w:pPr>
              <w:pStyle w:val="38"/>
              <w:rPr>
                <w:rFonts w:hint="default"/>
                <w:color w:val="000000" w:themeColor="text1"/>
                <w:kern w:val="0"/>
              </w:rPr>
            </w:pPr>
          </w:p>
        </w:tc>
        <w:tc>
          <w:tcPr>
            <w:tcW w:w="859" w:type="dxa"/>
            <w:tcBorders>
              <w:top w:val="single" w:color="000000" w:sz="4" w:space="0"/>
              <w:left w:val="single" w:color="000000" w:sz="4" w:space="0"/>
              <w:bottom w:val="single" w:color="000000" w:sz="4" w:space="0"/>
              <w:right w:val="single" w:color="000000" w:sz="4" w:space="0"/>
            </w:tcBorders>
          </w:tcPr>
          <w:p w14:paraId="7AEC8ACD">
            <w:pPr>
              <w:pStyle w:val="38"/>
              <w:rPr>
                <w:rFonts w:hint="default"/>
                <w:color w:val="000000" w:themeColor="text1"/>
                <w:kern w:val="0"/>
              </w:rPr>
            </w:pPr>
          </w:p>
        </w:tc>
      </w:tr>
      <w:tr w14:paraId="4827B37A">
        <w:trPr>
          <w:trHeight w:val="583"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42DB6C88">
            <w:pPr>
              <w:pStyle w:val="38"/>
              <w:rPr>
                <w:rFonts w:hint="default"/>
                <w:color w:val="000000" w:themeColor="text1"/>
                <w:kern w:val="0"/>
              </w:rPr>
            </w:pPr>
            <w:r>
              <w:rPr>
                <w:color w:val="000000" w:themeColor="text1"/>
                <w:kern w:val="0"/>
              </w:rPr>
              <w:t>7</w:t>
            </w:r>
          </w:p>
        </w:tc>
        <w:tc>
          <w:tcPr>
            <w:tcW w:w="1635" w:type="dxa"/>
            <w:tcBorders>
              <w:top w:val="single" w:color="000000" w:sz="4" w:space="0"/>
              <w:left w:val="single" w:color="000000" w:sz="4" w:space="0"/>
              <w:bottom w:val="single" w:color="000000" w:sz="4" w:space="0"/>
              <w:right w:val="single" w:color="000000" w:sz="4" w:space="0"/>
            </w:tcBorders>
          </w:tcPr>
          <w:p w14:paraId="763AEF80">
            <w:pPr>
              <w:pStyle w:val="38"/>
              <w:rPr>
                <w:rFonts w:hint="default"/>
                <w:color w:val="000000" w:themeColor="text1"/>
                <w:kern w:val="0"/>
              </w:rPr>
            </w:pPr>
          </w:p>
        </w:tc>
        <w:tc>
          <w:tcPr>
            <w:tcW w:w="1200" w:type="dxa"/>
            <w:tcBorders>
              <w:top w:val="single" w:color="000000" w:sz="4" w:space="0"/>
              <w:left w:val="single" w:color="000000" w:sz="4" w:space="0"/>
              <w:bottom w:val="single" w:color="000000" w:sz="4" w:space="0"/>
              <w:right w:val="single" w:color="000000" w:sz="4" w:space="0"/>
            </w:tcBorders>
          </w:tcPr>
          <w:p w14:paraId="771FF0CA">
            <w:pPr>
              <w:pStyle w:val="38"/>
              <w:rPr>
                <w:rFonts w:hint="default"/>
                <w:color w:val="000000" w:themeColor="text1"/>
                <w:kern w:val="0"/>
              </w:rPr>
            </w:pPr>
          </w:p>
        </w:tc>
        <w:tc>
          <w:tcPr>
            <w:tcW w:w="1440" w:type="dxa"/>
            <w:tcBorders>
              <w:top w:val="single" w:color="000000" w:sz="4" w:space="0"/>
              <w:left w:val="single" w:color="000000" w:sz="4" w:space="0"/>
              <w:bottom w:val="single" w:color="000000" w:sz="4" w:space="0"/>
              <w:right w:val="single" w:color="000000" w:sz="4" w:space="0"/>
            </w:tcBorders>
          </w:tcPr>
          <w:p w14:paraId="095EAED9">
            <w:pPr>
              <w:pStyle w:val="38"/>
              <w:rPr>
                <w:rFonts w:hint="default"/>
                <w:color w:val="000000" w:themeColor="text1"/>
                <w:kern w:val="0"/>
              </w:rPr>
            </w:pPr>
          </w:p>
        </w:tc>
        <w:tc>
          <w:tcPr>
            <w:tcW w:w="1380" w:type="dxa"/>
            <w:tcBorders>
              <w:top w:val="single" w:color="000000" w:sz="4" w:space="0"/>
              <w:left w:val="single" w:color="000000" w:sz="4" w:space="0"/>
              <w:bottom w:val="single" w:color="000000" w:sz="4" w:space="0"/>
              <w:right w:val="single" w:color="000000" w:sz="4" w:space="0"/>
            </w:tcBorders>
          </w:tcPr>
          <w:p w14:paraId="01B9821D">
            <w:pPr>
              <w:pStyle w:val="38"/>
              <w:rPr>
                <w:rFonts w:hint="default"/>
                <w:color w:val="000000" w:themeColor="text1"/>
                <w:kern w:val="0"/>
              </w:rPr>
            </w:pPr>
          </w:p>
        </w:tc>
        <w:tc>
          <w:tcPr>
            <w:tcW w:w="1995" w:type="dxa"/>
            <w:tcBorders>
              <w:top w:val="single" w:color="000000" w:sz="4" w:space="0"/>
              <w:left w:val="single" w:color="000000" w:sz="4" w:space="0"/>
              <w:bottom w:val="single" w:color="000000" w:sz="4" w:space="0"/>
              <w:right w:val="single" w:color="000000" w:sz="4" w:space="0"/>
            </w:tcBorders>
          </w:tcPr>
          <w:p w14:paraId="758EBF11">
            <w:pPr>
              <w:pStyle w:val="38"/>
              <w:rPr>
                <w:rFonts w:hint="default"/>
                <w:color w:val="000000" w:themeColor="text1"/>
                <w:kern w:val="0"/>
              </w:rPr>
            </w:pPr>
          </w:p>
        </w:tc>
        <w:tc>
          <w:tcPr>
            <w:tcW w:w="859" w:type="dxa"/>
            <w:tcBorders>
              <w:top w:val="single" w:color="000000" w:sz="4" w:space="0"/>
              <w:left w:val="single" w:color="000000" w:sz="4" w:space="0"/>
              <w:bottom w:val="single" w:color="000000" w:sz="4" w:space="0"/>
              <w:right w:val="single" w:color="000000" w:sz="4" w:space="0"/>
            </w:tcBorders>
          </w:tcPr>
          <w:p w14:paraId="02E802C4">
            <w:pPr>
              <w:pStyle w:val="38"/>
              <w:rPr>
                <w:rFonts w:hint="default"/>
                <w:color w:val="000000" w:themeColor="text1"/>
                <w:kern w:val="0"/>
              </w:rPr>
            </w:pPr>
          </w:p>
        </w:tc>
      </w:tr>
      <w:tr w14:paraId="2695C2EC">
        <w:tblPrEx>
          <w:tblCellMar>
            <w:top w:w="56" w:type="dxa"/>
            <w:left w:w="109" w:type="dxa"/>
            <w:bottom w:w="0" w:type="dxa"/>
            <w:right w:w="109" w:type="dxa"/>
          </w:tblCellMar>
        </w:tblPrEx>
        <w:trPr>
          <w:trHeight w:val="583"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3F0A4769">
            <w:pPr>
              <w:pStyle w:val="38"/>
              <w:rPr>
                <w:rFonts w:hint="default"/>
                <w:color w:val="000000" w:themeColor="text1"/>
                <w:kern w:val="0"/>
              </w:rPr>
            </w:pPr>
            <w:r>
              <w:rPr>
                <w:color w:val="000000" w:themeColor="text1"/>
                <w:kern w:val="0"/>
              </w:rPr>
              <w:t>8</w:t>
            </w:r>
          </w:p>
        </w:tc>
        <w:tc>
          <w:tcPr>
            <w:tcW w:w="1635" w:type="dxa"/>
            <w:tcBorders>
              <w:top w:val="single" w:color="000000" w:sz="4" w:space="0"/>
              <w:left w:val="single" w:color="000000" w:sz="4" w:space="0"/>
              <w:bottom w:val="single" w:color="000000" w:sz="4" w:space="0"/>
              <w:right w:val="single" w:color="000000" w:sz="4" w:space="0"/>
            </w:tcBorders>
          </w:tcPr>
          <w:p w14:paraId="5D7730D3">
            <w:pPr>
              <w:pStyle w:val="38"/>
              <w:rPr>
                <w:rFonts w:hint="default"/>
                <w:color w:val="000000" w:themeColor="text1"/>
                <w:kern w:val="0"/>
              </w:rPr>
            </w:pPr>
          </w:p>
        </w:tc>
        <w:tc>
          <w:tcPr>
            <w:tcW w:w="1200" w:type="dxa"/>
            <w:tcBorders>
              <w:top w:val="single" w:color="000000" w:sz="4" w:space="0"/>
              <w:left w:val="single" w:color="000000" w:sz="4" w:space="0"/>
              <w:bottom w:val="single" w:color="000000" w:sz="4" w:space="0"/>
              <w:right w:val="single" w:color="000000" w:sz="4" w:space="0"/>
            </w:tcBorders>
          </w:tcPr>
          <w:p w14:paraId="6F86A0F9">
            <w:pPr>
              <w:pStyle w:val="38"/>
              <w:rPr>
                <w:rFonts w:hint="default"/>
                <w:color w:val="000000" w:themeColor="text1"/>
                <w:kern w:val="0"/>
              </w:rPr>
            </w:pPr>
          </w:p>
        </w:tc>
        <w:tc>
          <w:tcPr>
            <w:tcW w:w="1440" w:type="dxa"/>
            <w:tcBorders>
              <w:top w:val="single" w:color="000000" w:sz="4" w:space="0"/>
              <w:left w:val="single" w:color="000000" w:sz="4" w:space="0"/>
              <w:bottom w:val="single" w:color="000000" w:sz="4" w:space="0"/>
              <w:right w:val="single" w:color="000000" w:sz="4" w:space="0"/>
            </w:tcBorders>
          </w:tcPr>
          <w:p w14:paraId="0DB6A383">
            <w:pPr>
              <w:pStyle w:val="38"/>
              <w:rPr>
                <w:rFonts w:hint="default"/>
                <w:color w:val="000000" w:themeColor="text1"/>
                <w:kern w:val="0"/>
              </w:rPr>
            </w:pPr>
          </w:p>
        </w:tc>
        <w:tc>
          <w:tcPr>
            <w:tcW w:w="1380" w:type="dxa"/>
            <w:tcBorders>
              <w:top w:val="single" w:color="000000" w:sz="4" w:space="0"/>
              <w:left w:val="single" w:color="000000" w:sz="4" w:space="0"/>
              <w:bottom w:val="single" w:color="000000" w:sz="4" w:space="0"/>
              <w:right w:val="single" w:color="000000" w:sz="4" w:space="0"/>
            </w:tcBorders>
          </w:tcPr>
          <w:p w14:paraId="1CE54B6E">
            <w:pPr>
              <w:pStyle w:val="38"/>
              <w:rPr>
                <w:rFonts w:hint="default"/>
                <w:color w:val="000000" w:themeColor="text1"/>
                <w:kern w:val="0"/>
              </w:rPr>
            </w:pPr>
          </w:p>
        </w:tc>
        <w:tc>
          <w:tcPr>
            <w:tcW w:w="1995" w:type="dxa"/>
            <w:tcBorders>
              <w:top w:val="single" w:color="000000" w:sz="4" w:space="0"/>
              <w:left w:val="single" w:color="000000" w:sz="4" w:space="0"/>
              <w:bottom w:val="single" w:color="000000" w:sz="4" w:space="0"/>
              <w:right w:val="single" w:color="000000" w:sz="4" w:space="0"/>
            </w:tcBorders>
          </w:tcPr>
          <w:p w14:paraId="6CC8375A">
            <w:pPr>
              <w:pStyle w:val="38"/>
              <w:rPr>
                <w:rFonts w:hint="default"/>
                <w:color w:val="000000" w:themeColor="text1"/>
                <w:kern w:val="0"/>
              </w:rPr>
            </w:pPr>
          </w:p>
        </w:tc>
        <w:tc>
          <w:tcPr>
            <w:tcW w:w="859" w:type="dxa"/>
            <w:tcBorders>
              <w:top w:val="single" w:color="000000" w:sz="4" w:space="0"/>
              <w:left w:val="single" w:color="000000" w:sz="4" w:space="0"/>
              <w:bottom w:val="single" w:color="000000" w:sz="4" w:space="0"/>
              <w:right w:val="single" w:color="000000" w:sz="4" w:space="0"/>
            </w:tcBorders>
          </w:tcPr>
          <w:p w14:paraId="720DEE7D">
            <w:pPr>
              <w:pStyle w:val="38"/>
              <w:rPr>
                <w:rFonts w:hint="default"/>
                <w:color w:val="000000" w:themeColor="text1"/>
                <w:kern w:val="0"/>
              </w:rPr>
            </w:pPr>
          </w:p>
        </w:tc>
      </w:tr>
      <w:tr w14:paraId="6537183A">
        <w:tblPrEx>
          <w:tblCellMar>
            <w:top w:w="56" w:type="dxa"/>
            <w:left w:w="109" w:type="dxa"/>
            <w:bottom w:w="0" w:type="dxa"/>
            <w:right w:w="109" w:type="dxa"/>
          </w:tblCellMar>
        </w:tblPrEx>
        <w:trPr>
          <w:trHeight w:val="583"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01C6CE38">
            <w:pPr>
              <w:pStyle w:val="38"/>
              <w:rPr>
                <w:rFonts w:hint="default"/>
                <w:color w:val="000000" w:themeColor="text1"/>
                <w:kern w:val="0"/>
              </w:rPr>
            </w:pPr>
            <w:r>
              <w:rPr>
                <w:color w:val="000000" w:themeColor="text1"/>
                <w:kern w:val="0"/>
              </w:rPr>
              <w:t>9</w:t>
            </w:r>
          </w:p>
        </w:tc>
        <w:tc>
          <w:tcPr>
            <w:tcW w:w="1635" w:type="dxa"/>
            <w:tcBorders>
              <w:top w:val="single" w:color="000000" w:sz="4" w:space="0"/>
              <w:left w:val="single" w:color="000000" w:sz="4" w:space="0"/>
              <w:bottom w:val="single" w:color="000000" w:sz="4" w:space="0"/>
              <w:right w:val="single" w:color="000000" w:sz="4" w:space="0"/>
            </w:tcBorders>
          </w:tcPr>
          <w:p w14:paraId="12DF35AD">
            <w:pPr>
              <w:pStyle w:val="38"/>
              <w:rPr>
                <w:rFonts w:hint="default"/>
                <w:color w:val="000000" w:themeColor="text1"/>
                <w:kern w:val="0"/>
              </w:rPr>
            </w:pPr>
          </w:p>
        </w:tc>
        <w:tc>
          <w:tcPr>
            <w:tcW w:w="1200" w:type="dxa"/>
            <w:tcBorders>
              <w:top w:val="single" w:color="000000" w:sz="4" w:space="0"/>
              <w:left w:val="single" w:color="000000" w:sz="4" w:space="0"/>
              <w:bottom w:val="single" w:color="000000" w:sz="4" w:space="0"/>
              <w:right w:val="single" w:color="000000" w:sz="4" w:space="0"/>
            </w:tcBorders>
          </w:tcPr>
          <w:p w14:paraId="79408C89">
            <w:pPr>
              <w:pStyle w:val="38"/>
              <w:rPr>
                <w:rFonts w:hint="default"/>
                <w:color w:val="000000" w:themeColor="text1"/>
                <w:kern w:val="0"/>
              </w:rPr>
            </w:pPr>
          </w:p>
        </w:tc>
        <w:tc>
          <w:tcPr>
            <w:tcW w:w="1440" w:type="dxa"/>
            <w:tcBorders>
              <w:top w:val="single" w:color="000000" w:sz="4" w:space="0"/>
              <w:left w:val="single" w:color="000000" w:sz="4" w:space="0"/>
              <w:bottom w:val="single" w:color="000000" w:sz="4" w:space="0"/>
              <w:right w:val="single" w:color="000000" w:sz="4" w:space="0"/>
            </w:tcBorders>
          </w:tcPr>
          <w:p w14:paraId="7DCAC597">
            <w:pPr>
              <w:pStyle w:val="38"/>
              <w:rPr>
                <w:rFonts w:hint="default"/>
                <w:color w:val="000000" w:themeColor="text1"/>
                <w:kern w:val="0"/>
              </w:rPr>
            </w:pPr>
          </w:p>
        </w:tc>
        <w:tc>
          <w:tcPr>
            <w:tcW w:w="1380" w:type="dxa"/>
            <w:tcBorders>
              <w:top w:val="single" w:color="000000" w:sz="4" w:space="0"/>
              <w:left w:val="single" w:color="000000" w:sz="4" w:space="0"/>
              <w:bottom w:val="single" w:color="000000" w:sz="4" w:space="0"/>
              <w:right w:val="single" w:color="000000" w:sz="4" w:space="0"/>
            </w:tcBorders>
          </w:tcPr>
          <w:p w14:paraId="71A5C970">
            <w:pPr>
              <w:pStyle w:val="38"/>
              <w:rPr>
                <w:rFonts w:hint="default"/>
                <w:color w:val="000000" w:themeColor="text1"/>
                <w:kern w:val="0"/>
              </w:rPr>
            </w:pPr>
          </w:p>
        </w:tc>
        <w:tc>
          <w:tcPr>
            <w:tcW w:w="1995" w:type="dxa"/>
            <w:tcBorders>
              <w:top w:val="single" w:color="000000" w:sz="4" w:space="0"/>
              <w:left w:val="single" w:color="000000" w:sz="4" w:space="0"/>
              <w:bottom w:val="single" w:color="000000" w:sz="4" w:space="0"/>
              <w:right w:val="single" w:color="000000" w:sz="4" w:space="0"/>
            </w:tcBorders>
          </w:tcPr>
          <w:p w14:paraId="11D69DC2">
            <w:pPr>
              <w:pStyle w:val="38"/>
              <w:rPr>
                <w:rFonts w:hint="default"/>
                <w:color w:val="000000" w:themeColor="text1"/>
                <w:kern w:val="0"/>
              </w:rPr>
            </w:pPr>
          </w:p>
        </w:tc>
        <w:tc>
          <w:tcPr>
            <w:tcW w:w="859" w:type="dxa"/>
            <w:tcBorders>
              <w:top w:val="single" w:color="000000" w:sz="4" w:space="0"/>
              <w:left w:val="single" w:color="000000" w:sz="4" w:space="0"/>
              <w:bottom w:val="single" w:color="000000" w:sz="4" w:space="0"/>
              <w:right w:val="single" w:color="000000" w:sz="4" w:space="0"/>
            </w:tcBorders>
          </w:tcPr>
          <w:p w14:paraId="71771110">
            <w:pPr>
              <w:pStyle w:val="38"/>
              <w:rPr>
                <w:rFonts w:hint="default"/>
                <w:color w:val="000000" w:themeColor="text1"/>
                <w:kern w:val="0"/>
              </w:rPr>
            </w:pPr>
          </w:p>
        </w:tc>
      </w:tr>
      <w:tr w14:paraId="6BA6DECB">
        <w:tblPrEx>
          <w:tblCellMar>
            <w:top w:w="56" w:type="dxa"/>
            <w:left w:w="109" w:type="dxa"/>
            <w:bottom w:w="0" w:type="dxa"/>
            <w:right w:w="109" w:type="dxa"/>
          </w:tblCellMar>
        </w:tblPrEx>
        <w:trPr>
          <w:trHeight w:val="583"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16FFA55E">
            <w:pPr>
              <w:pStyle w:val="38"/>
              <w:rPr>
                <w:rFonts w:hint="default"/>
                <w:color w:val="000000" w:themeColor="text1"/>
                <w:kern w:val="0"/>
              </w:rPr>
            </w:pPr>
            <w:r>
              <w:rPr>
                <w:color w:val="000000" w:themeColor="text1"/>
                <w:kern w:val="0"/>
              </w:rPr>
              <w:t>10</w:t>
            </w:r>
          </w:p>
        </w:tc>
        <w:tc>
          <w:tcPr>
            <w:tcW w:w="1635" w:type="dxa"/>
            <w:tcBorders>
              <w:top w:val="single" w:color="000000" w:sz="4" w:space="0"/>
              <w:left w:val="single" w:color="000000" w:sz="4" w:space="0"/>
              <w:bottom w:val="single" w:color="000000" w:sz="4" w:space="0"/>
              <w:right w:val="single" w:color="000000" w:sz="4" w:space="0"/>
            </w:tcBorders>
          </w:tcPr>
          <w:p w14:paraId="5E0414E2">
            <w:pPr>
              <w:pStyle w:val="38"/>
              <w:rPr>
                <w:rFonts w:hint="default"/>
                <w:color w:val="000000" w:themeColor="text1"/>
                <w:kern w:val="0"/>
              </w:rPr>
            </w:pPr>
          </w:p>
        </w:tc>
        <w:tc>
          <w:tcPr>
            <w:tcW w:w="1200" w:type="dxa"/>
            <w:tcBorders>
              <w:top w:val="single" w:color="000000" w:sz="4" w:space="0"/>
              <w:left w:val="single" w:color="000000" w:sz="4" w:space="0"/>
              <w:bottom w:val="single" w:color="000000" w:sz="4" w:space="0"/>
              <w:right w:val="single" w:color="000000" w:sz="4" w:space="0"/>
            </w:tcBorders>
          </w:tcPr>
          <w:p w14:paraId="2EACD45E">
            <w:pPr>
              <w:pStyle w:val="38"/>
              <w:rPr>
                <w:rFonts w:hint="default"/>
                <w:color w:val="000000" w:themeColor="text1"/>
                <w:kern w:val="0"/>
              </w:rPr>
            </w:pPr>
          </w:p>
        </w:tc>
        <w:tc>
          <w:tcPr>
            <w:tcW w:w="1440" w:type="dxa"/>
            <w:tcBorders>
              <w:top w:val="single" w:color="000000" w:sz="4" w:space="0"/>
              <w:left w:val="single" w:color="000000" w:sz="4" w:space="0"/>
              <w:bottom w:val="single" w:color="000000" w:sz="4" w:space="0"/>
              <w:right w:val="single" w:color="000000" w:sz="4" w:space="0"/>
            </w:tcBorders>
          </w:tcPr>
          <w:p w14:paraId="1C3FB0B0">
            <w:pPr>
              <w:pStyle w:val="38"/>
              <w:rPr>
                <w:rFonts w:hint="default"/>
                <w:color w:val="000000" w:themeColor="text1"/>
                <w:kern w:val="0"/>
              </w:rPr>
            </w:pPr>
          </w:p>
        </w:tc>
        <w:tc>
          <w:tcPr>
            <w:tcW w:w="1380" w:type="dxa"/>
            <w:tcBorders>
              <w:top w:val="single" w:color="000000" w:sz="4" w:space="0"/>
              <w:left w:val="single" w:color="000000" w:sz="4" w:space="0"/>
              <w:bottom w:val="single" w:color="000000" w:sz="4" w:space="0"/>
              <w:right w:val="single" w:color="000000" w:sz="4" w:space="0"/>
            </w:tcBorders>
          </w:tcPr>
          <w:p w14:paraId="740832A5">
            <w:pPr>
              <w:pStyle w:val="38"/>
              <w:rPr>
                <w:rFonts w:hint="default"/>
                <w:color w:val="000000" w:themeColor="text1"/>
                <w:kern w:val="0"/>
              </w:rPr>
            </w:pPr>
          </w:p>
        </w:tc>
        <w:tc>
          <w:tcPr>
            <w:tcW w:w="1995" w:type="dxa"/>
            <w:tcBorders>
              <w:top w:val="single" w:color="000000" w:sz="4" w:space="0"/>
              <w:left w:val="single" w:color="000000" w:sz="4" w:space="0"/>
              <w:bottom w:val="single" w:color="000000" w:sz="4" w:space="0"/>
              <w:right w:val="single" w:color="000000" w:sz="4" w:space="0"/>
            </w:tcBorders>
          </w:tcPr>
          <w:p w14:paraId="76017CA7">
            <w:pPr>
              <w:pStyle w:val="38"/>
              <w:rPr>
                <w:rFonts w:hint="default"/>
                <w:color w:val="000000" w:themeColor="text1"/>
                <w:kern w:val="0"/>
              </w:rPr>
            </w:pPr>
          </w:p>
        </w:tc>
        <w:tc>
          <w:tcPr>
            <w:tcW w:w="859" w:type="dxa"/>
            <w:tcBorders>
              <w:top w:val="single" w:color="000000" w:sz="4" w:space="0"/>
              <w:left w:val="single" w:color="000000" w:sz="4" w:space="0"/>
              <w:bottom w:val="single" w:color="000000" w:sz="4" w:space="0"/>
              <w:right w:val="single" w:color="000000" w:sz="4" w:space="0"/>
            </w:tcBorders>
          </w:tcPr>
          <w:p w14:paraId="3EEB9DC0">
            <w:pPr>
              <w:pStyle w:val="38"/>
              <w:rPr>
                <w:rFonts w:hint="default"/>
                <w:color w:val="000000" w:themeColor="text1"/>
                <w:kern w:val="0"/>
              </w:rPr>
            </w:pPr>
          </w:p>
        </w:tc>
      </w:tr>
      <w:tr w14:paraId="56EBF9C6">
        <w:tblPrEx>
          <w:tblCellMar>
            <w:top w:w="56" w:type="dxa"/>
            <w:left w:w="109" w:type="dxa"/>
            <w:bottom w:w="0" w:type="dxa"/>
            <w:right w:w="109" w:type="dxa"/>
          </w:tblCellMar>
        </w:tblPrEx>
        <w:trPr>
          <w:trHeight w:val="583"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4678B518">
            <w:pPr>
              <w:pStyle w:val="38"/>
              <w:rPr>
                <w:rFonts w:hint="default"/>
                <w:color w:val="000000" w:themeColor="text1"/>
                <w:kern w:val="0"/>
              </w:rPr>
            </w:pPr>
            <w:r>
              <w:rPr>
                <w:color w:val="000000" w:themeColor="text1"/>
                <w:kern w:val="0"/>
              </w:rPr>
              <w:t>……</w:t>
            </w:r>
          </w:p>
        </w:tc>
        <w:tc>
          <w:tcPr>
            <w:tcW w:w="1635" w:type="dxa"/>
            <w:tcBorders>
              <w:top w:val="single" w:color="000000" w:sz="4" w:space="0"/>
              <w:left w:val="single" w:color="000000" w:sz="4" w:space="0"/>
              <w:bottom w:val="single" w:color="000000" w:sz="4" w:space="0"/>
              <w:right w:val="single" w:color="000000" w:sz="4" w:space="0"/>
            </w:tcBorders>
          </w:tcPr>
          <w:p w14:paraId="13CD5A27">
            <w:pPr>
              <w:pStyle w:val="38"/>
              <w:rPr>
                <w:rFonts w:hint="default"/>
                <w:color w:val="000000" w:themeColor="text1"/>
                <w:kern w:val="0"/>
              </w:rPr>
            </w:pPr>
          </w:p>
        </w:tc>
        <w:tc>
          <w:tcPr>
            <w:tcW w:w="1200" w:type="dxa"/>
            <w:tcBorders>
              <w:top w:val="single" w:color="000000" w:sz="4" w:space="0"/>
              <w:left w:val="single" w:color="000000" w:sz="4" w:space="0"/>
              <w:bottom w:val="single" w:color="000000" w:sz="4" w:space="0"/>
              <w:right w:val="single" w:color="000000" w:sz="4" w:space="0"/>
            </w:tcBorders>
          </w:tcPr>
          <w:p w14:paraId="309DC746">
            <w:pPr>
              <w:pStyle w:val="38"/>
              <w:rPr>
                <w:rFonts w:hint="default"/>
                <w:color w:val="000000" w:themeColor="text1"/>
                <w:kern w:val="0"/>
              </w:rPr>
            </w:pPr>
          </w:p>
        </w:tc>
        <w:tc>
          <w:tcPr>
            <w:tcW w:w="1440" w:type="dxa"/>
            <w:tcBorders>
              <w:top w:val="single" w:color="000000" w:sz="4" w:space="0"/>
              <w:left w:val="single" w:color="000000" w:sz="4" w:space="0"/>
              <w:bottom w:val="single" w:color="000000" w:sz="4" w:space="0"/>
              <w:right w:val="single" w:color="000000" w:sz="4" w:space="0"/>
            </w:tcBorders>
          </w:tcPr>
          <w:p w14:paraId="70415F38">
            <w:pPr>
              <w:pStyle w:val="38"/>
              <w:rPr>
                <w:rFonts w:hint="default"/>
                <w:color w:val="000000" w:themeColor="text1"/>
                <w:kern w:val="0"/>
              </w:rPr>
            </w:pPr>
          </w:p>
        </w:tc>
        <w:tc>
          <w:tcPr>
            <w:tcW w:w="1380" w:type="dxa"/>
            <w:tcBorders>
              <w:top w:val="single" w:color="000000" w:sz="4" w:space="0"/>
              <w:left w:val="single" w:color="000000" w:sz="4" w:space="0"/>
              <w:bottom w:val="single" w:color="000000" w:sz="4" w:space="0"/>
              <w:right w:val="single" w:color="000000" w:sz="4" w:space="0"/>
            </w:tcBorders>
          </w:tcPr>
          <w:p w14:paraId="43F96903">
            <w:pPr>
              <w:pStyle w:val="38"/>
              <w:rPr>
                <w:rFonts w:hint="default"/>
                <w:color w:val="000000" w:themeColor="text1"/>
                <w:kern w:val="0"/>
              </w:rPr>
            </w:pPr>
          </w:p>
        </w:tc>
        <w:tc>
          <w:tcPr>
            <w:tcW w:w="1995" w:type="dxa"/>
            <w:tcBorders>
              <w:top w:val="single" w:color="000000" w:sz="4" w:space="0"/>
              <w:left w:val="single" w:color="000000" w:sz="4" w:space="0"/>
              <w:bottom w:val="single" w:color="000000" w:sz="4" w:space="0"/>
              <w:right w:val="single" w:color="000000" w:sz="4" w:space="0"/>
            </w:tcBorders>
          </w:tcPr>
          <w:p w14:paraId="0CF6109E">
            <w:pPr>
              <w:pStyle w:val="38"/>
              <w:rPr>
                <w:rFonts w:hint="default"/>
                <w:color w:val="000000" w:themeColor="text1"/>
                <w:kern w:val="0"/>
              </w:rPr>
            </w:pPr>
          </w:p>
        </w:tc>
        <w:tc>
          <w:tcPr>
            <w:tcW w:w="859" w:type="dxa"/>
            <w:tcBorders>
              <w:top w:val="single" w:color="000000" w:sz="4" w:space="0"/>
              <w:left w:val="single" w:color="000000" w:sz="4" w:space="0"/>
              <w:bottom w:val="single" w:color="000000" w:sz="4" w:space="0"/>
              <w:right w:val="single" w:color="000000" w:sz="4" w:space="0"/>
            </w:tcBorders>
          </w:tcPr>
          <w:p w14:paraId="7706850D">
            <w:pPr>
              <w:pStyle w:val="38"/>
              <w:rPr>
                <w:rFonts w:hint="default"/>
                <w:color w:val="000000" w:themeColor="text1"/>
                <w:kern w:val="0"/>
              </w:rPr>
            </w:pPr>
          </w:p>
        </w:tc>
      </w:tr>
    </w:tbl>
    <w:p w14:paraId="0AB8F6BF">
      <w:pPr>
        <w:ind w:firstLine="0" w:firstLineChars="0"/>
        <w:jc w:val="center"/>
        <w:rPr>
          <w:color w:val="000000" w:themeColor="text1"/>
          <w:lang w:val="zh-CN"/>
        </w:rPr>
      </w:pPr>
    </w:p>
    <w:p w14:paraId="54FDB52A">
      <w:pPr>
        <w:pStyle w:val="28"/>
        <w:spacing w:after="0" w:line="560" w:lineRule="exact"/>
        <w:ind w:firstLine="480"/>
        <w:rPr>
          <w:rFonts w:ascii="宋体" w:hAnsi="宋体" w:cs="宋体"/>
          <w:color w:val="000000" w:themeColor="text1"/>
          <w:lang w:val="zh-CN"/>
        </w:rPr>
      </w:pPr>
    </w:p>
    <w:p w14:paraId="1F0D248C">
      <w:pPr>
        <w:ind w:firstLine="560"/>
        <w:rPr>
          <w:rFonts w:ascii="宋体" w:hAnsi="宋体" w:cs="宋体"/>
          <w:color w:val="000000" w:themeColor="text1"/>
          <w:sz w:val="28"/>
          <w:szCs w:val="28"/>
        </w:rPr>
      </w:pPr>
      <w:r>
        <w:rPr>
          <w:rFonts w:hint="eastAsia" w:ascii="宋体" w:hAnsi="宋体" w:cs="宋体"/>
          <w:color w:val="000000" w:themeColor="text1"/>
          <w:sz w:val="28"/>
          <w:szCs w:val="28"/>
        </w:rPr>
        <w:t>投标人（盖章）：</w:t>
      </w:r>
    </w:p>
    <w:p w14:paraId="370AD7A7">
      <w:pPr>
        <w:ind w:firstLine="560"/>
        <w:rPr>
          <w:rFonts w:ascii="宋体" w:hAnsi="宋体" w:cs="宋体"/>
          <w:color w:val="000000" w:themeColor="text1"/>
          <w:sz w:val="28"/>
          <w:szCs w:val="28"/>
        </w:rPr>
      </w:pPr>
      <w:r>
        <w:rPr>
          <w:rFonts w:hint="eastAsia" w:ascii="宋体" w:hAnsi="宋体" w:cs="宋体"/>
          <w:color w:val="000000" w:themeColor="text1"/>
          <w:sz w:val="28"/>
          <w:szCs w:val="28"/>
        </w:rPr>
        <w:t>法定代表人或其授权代表（签字或盖章）：</w:t>
      </w:r>
    </w:p>
    <w:p w14:paraId="0E2B79E1">
      <w:pPr>
        <w:bidi w:val="0"/>
        <w:rPr>
          <w:rFonts w:ascii="宋体" w:hAnsi="宋体" w:cs="宋体"/>
          <w:color w:val="000000" w:themeColor="text1"/>
          <w:spacing w:val="20"/>
        </w:rPr>
      </w:pPr>
      <w:r>
        <w:rPr>
          <w:rFonts w:hint="eastAsia" w:ascii="宋体" w:hAnsi="宋体" w:cs="宋体"/>
          <w:color w:val="000000" w:themeColor="text1"/>
          <w:sz w:val="28"/>
          <w:szCs w:val="28"/>
        </w:rPr>
        <w:t xml:space="preserve">日期：    </w:t>
      </w:r>
      <w:r>
        <w:rPr>
          <w:rFonts w:hint="eastAsia" w:ascii="宋体" w:hAnsi="宋体" w:cs="宋体"/>
          <w:color w:val="000000" w:themeColor="text1"/>
          <w:w w:val="90"/>
          <w:sz w:val="28"/>
          <w:szCs w:val="28"/>
        </w:rPr>
        <w:t>年    月   日</w:t>
      </w:r>
    </w:p>
    <w:p w14:paraId="2EE45160">
      <w:r>
        <w:br w:type="page"/>
      </w:r>
    </w:p>
    <w:p w14:paraId="7F62D201">
      <w:pPr>
        <w:bidi w:val="0"/>
        <w:rPr>
          <w:rFonts w:hint="eastAsia"/>
        </w:rPr>
      </w:pPr>
    </w:p>
    <w:p w14:paraId="30368E17">
      <w:pPr>
        <w:bidi w:val="0"/>
        <w:rPr>
          <w:rFonts w:hint="eastAsia"/>
        </w:rPr>
      </w:pPr>
    </w:p>
    <w:p w14:paraId="7559C959">
      <w:pPr>
        <w:bidi w:val="0"/>
        <w:rPr>
          <w:rFonts w:hint="eastAsia"/>
        </w:rPr>
      </w:pPr>
    </w:p>
    <w:p w14:paraId="5058D247">
      <w:pPr>
        <w:pStyle w:val="3"/>
        <w:bidi w:val="0"/>
        <w:jc w:val="center"/>
      </w:pPr>
      <w:bookmarkStart w:id="275" w:name="_Toc7958"/>
      <w:bookmarkStart w:id="276" w:name="_Toc32455"/>
      <w:r>
        <w:rPr>
          <w:rFonts w:hint="eastAsia"/>
          <w:lang w:val="en-US" w:eastAsia="zh-CN"/>
        </w:rPr>
        <w:t>报价</w:t>
      </w:r>
      <w:r>
        <w:t>文件</w:t>
      </w:r>
      <w:bookmarkEnd w:id="275"/>
      <w:bookmarkEnd w:id="276"/>
    </w:p>
    <w:p w14:paraId="193A0E11">
      <w:pPr>
        <w:ind w:left="1296" w:leftChars="540" w:firstLine="480"/>
        <w:rPr>
          <w:rFonts w:ascii="Arial" w:hAnsi="Arial" w:cs="Arial"/>
          <w:color w:val="000000" w:themeColor="text1"/>
          <w:kern w:val="0"/>
          <w:szCs w:val="21"/>
        </w:rPr>
      </w:pPr>
    </w:p>
    <w:p w14:paraId="572F56EF">
      <w:pPr>
        <w:ind w:left="1296" w:leftChars="540" w:firstLine="400"/>
        <w:rPr>
          <w:rFonts w:ascii="Arial" w:hAnsi="Arial" w:cs="Arial"/>
          <w:color w:val="000000" w:themeColor="text1"/>
          <w:kern w:val="0"/>
          <w:sz w:val="20"/>
        </w:rPr>
      </w:pPr>
    </w:p>
    <w:p w14:paraId="1A6A5267">
      <w:pPr>
        <w:ind w:left="1296" w:leftChars="540" w:firstLine="400"/>
        <w:rPr>
          <w:rFonts w:ascii="Arial" w:hAnsi="Arial" w:cs="Arial"/>
          <w:color w:val="000000" w:themeColor="text1"/>
          <w:kern w:val="0"/>
          <w:sz w:val="20"/>
        </w:rPr>
      </w:pPr>
    </w:p>
    <w:p w14:paraId="6A9FFBBD">
      <w:pPr>
        <w:widowControl/>
        <w:spacing w:line="560" w:lineRule="exact"/>
        <w:ind w:firstLine="560"/>
        <w:jc w:val="left"/>
        <w:rPr>
          <w:rFonts w:hint="eastAsia" w:eastAsia="宋体"/>
          <w:color w:val="000000" w:themeColor="text1"/>
          <w:sz w:val="28"/>
          <w:szCs w:val="28"/>
          <w:lang w:eastAsia="zh-CN"/>
        </w:rPr>
      </w:pPr>
      <w:r>
        <w:rPr>
          <w:rFonts w:ascii="Arial" w:hAnsi="宋体" w:cs="Arial"/>
          <w:color w:val="000000" w:themeColor="text1"/>
          <w:kern w:val="0"/>
          <w:sz w:val="28"/>
          <w:szCs w:val="28"/>
        </w:rPr>
        <w:t>项目</w:t>
      </w:r>
      <w:r>
        <w:rPr>
          <w:rFonts w:hint="eastAsia" w:ascii="Arial" w:hAnsi="宋体" w:eastAsia="宋体" w:cs="Arial"/>
          <w:color w:val="000000" w:themeColor="text1"/>
          <w:kern w:val="0"/>
          <w:sz w:val="28"/>
          <w:szCs w:val="28"/>
        </w:rPr>
        <w:t>编号：</w:t>
      </w:r>
      <w:r>
        <w:rPr>
          <w:rFonts w:hint="eastAsia" w:ascii="Arial" w:hAnsi="宋体" w:cs="Arial"/>
          <w:color w:val="000000" w:themeColor="text1"/>
          <w:kern w:val="0"/>
          <w:sz w:val="28"/>
          <w:szCs w:val="28"/>
          <w:lang w:eastAsia="zh-CN"/>
        </w:rPr>
        <w:t>LYJY2025052</w:t>
      </w:r>
    </w:p>
    <w:p w14:paraId="17B1ABC8">
      <w:pPr>
        <w:spacing w:line="560" w:lineRule="exact"/>
        <w:ind w:firstLine="560"/>
        <w:rPr>
          <w:rFonts w:hint="eastAsia" w:ascii="Arial" w:hAnsi="Arial" w:eastAsia="宋体" w:cs="Arial"/>
          <w:color w:val="000000" w:themeColor="text1"/>
          <w:kern w:val="0"/>
          <w:sz w:val="28"/>
          <w:u w:val="single"/>
          <w:lang w:eastAsia="zh-CN"/>
        </w:rPr>
      </w:pPr>
      <w:r>
        <w:rPr>
          <w:rFonts w:ascii="Arial" w:hAnsi="宋体" w:cs="Arial"/>
          <w:color w:val="000000" w:themeColor="text1"/>
          <w:kern w:val="0"/>
          <w:sz w:val="28"/>
          <w:szCs w:val="28"/>
        </w:rPr>
        <w:t>项目名称：</w:t>
      </w:r>
      <w:r>
        <w:rPr>
          <w:rFonts w:hint="eastAsia" w:ascii="Arial" w:hAnsi="宋体" w:cs="Arial"/>
          <w:color w:val="000000" w:themeColor="text1"/>
          <w:kern w:val="0"/>
          <w:sz w:val="28"/>
          <w:szCs w:val="28"/>
          <w:lang w:eastAsia="zh-CN"/>
        </w:rPr>
        <w:t>2025年度龙游县公安局交通警察大队食堂（大队机关、城区中队）劳务外包服务采购项目</w:t>
      </w:r>
    </w:p>
    <w:p w14:paraId="0229CC1A">
      <w:pPr>
        <w:ind w:left="1296" w:leftChars="540" w:firstLine="883"/>
        <w:rPr>
          <w:rFonts w:ascii="Arial" w:hAnsi="Arial" w:cs="Arial"/>
          <w:b/>
          <w:bCs/>
          <w:color w:val="000000" w:themeColor="text1"/>
          <w:kern w:val="0"/>
          <w:sz w:val="44"/>
          <w:szCs w:val="44"/>
        </w:rPr>
      </w:pPr>
    </w:p>
    <w:p w14:paraId="1E8668A6">
      <w:pPr>
        <w:ind w:left="1296" w:leftChars="540" w:firstLine="480"/>
        <w:rPr>
          <w:rFonts w:ascii="Arial" w:hAnsi="Arial" w:cs="Arial"/>
          <w:color w:val="000000" w:themeColor="text1"/>
          <w:kern w:val="0"/>
        </w:rPr>
      </w:pPr>
    </w:p>
    <w:p w14:paraId="04D203CB">
      <w:pPr>
        <w:ind w:left="1296" w:leftChars="540" w:firstLine="400"/>
        <w:rPr>
          <w:rFonts w:ascii="Arial" w:hAnsi="Arial" w:cs="Arial"/>
          <w:color w:val="000000" w:themeColor="text1"/>
          <w:kern w:val="0"/>
          <w:sz w:val="20"/>
        </w:rPr>
      </w:pPr>
    </w:p>
    <w:p w14:paraId="316B5813">
      <w:pPr>
        <w:ind w:left="1296" w:leftChars="540" w:firstLine="400"/>
        <w:rPr>
          <w:rFonts w:ascii="Arial" w:hAnsi="Arial" w:cs="Arial"/>
          <w:color w:val="000000" w:themeColor="text1"/>
          <w:kern w:val="0"/>
          <w:sz w:val="20"/>
        </w:rPr>
      </w:pPr>
    </w:p>
    <w:p w14:paraId="223E2E1C">
      <w:pPr>
        <w:ind w:left="1296" w:leftChars="540" w:firstLine="400"/>
        <w:rPr>
          <w:rFonts w:ascii="Arial" w:hAnsi="Arial" w:cs="Arial"/>
          <w:color w:val="000000" w:themeColor="text1"/>
          <w:kern w:val="0"/>
          <w:sz w:val="20"/>
        </w:rPr>
      </w:pPr>
    </w:p>
    <w:p w14:paraId="467D44F2">
      <w:pPr>
        <w:ind w:firstLine="560"/>
        <w:rPr>
          <w:rFonts w:ascii="宋体" w:hAnsi="宋体" w:cs="宋体"/>
          <w:color w:val="000000" w:themeColor="text1"/>
          <w:sz w:val="28"/>
          <w:szCs w:val="28"/>
        </w:rPr>
      </w:pPr>
      <w:r>
        <w:rPr>
          <w:rFonts w:hint="eastAsia" w:ascii="宋体" w:hAnsi="宋体" w:cs="宋体"/>
          <w:color w:val="000000" w:themeColor="text1"/>
          <w:sz w:val="28"/>
          <w:szCs w:val="28"/>
        </w:rPr>
        <w:t>投标人（盖章）：</w:t>
      </w:r>
    </w:p>
    <w:p w14:paraId="545406C7">
      <w:pPr>
        <w:ind w:firstLine="560"/>
        <w:rPr>
          <w:rFonts w:ascii="宋体" w:hAnsi="宋体" w:cs="宋体"/>
          <w:color w:val="000000" w:themeColor="text1"/>
          <w:sz w:val="28"/>
          <w:szCs w:val="28"/>
        </w:rPr>
      </w:pPr>
      <w:r>
        <w:rPr>
          <w:rFonts w:hint="eastAsia" w:ascii="宋体" w:hAnsi="宋体" w:cs="宋体"/>
          <w:color w:val="000000" w:themeColor="text1"/>
          <w:sz w:val="28"/>
          <w:szCs w:val="28"/>
        </w:rPr>
        <w:t>法定代表人或其授权代表（签字或盖章）：</w:t>
      </w:r>
    </w:p>
    <w:p w14:paraId="1EF12EF9">
      <w:pPr>
        <w:rPr>
          <w:rFonts w:hint="eastAsia"/>
          <w:color w:val="000000" w:themeColor="text1"/>
        </w:rPr>
      </w:pPr>
      <w:r>
        <w:rPr>
          <w:rFonts w:hint="eastAsia" w:ascii="宋体" w:hAnsi="宋体" w:cs="宋体"/>
          <w:color w:val="000000" w:themeColor="text1"/>
          <w:sz w:val="28"/>
          <w:szCs w:val="28"/>
        </w:rPr>
        <w:t xml:space="preserve">日期：    </w:t>
      </w:r>
      <w:r>
        <w:rPr>
          <w:rFonts w:hint="eastAsia" w:ascii="宋体" w:hAnsi="宋体" w:cs="宋体"/>
          <w:color w:val="000000" w:themeColor="text1"/>
          <w:w w:val="90"/>
          <w:sz w:val="28"/>
          <w:szCs w:val="28"/>
        </w:rPr>
        <w:t>年    月   日</w:t>
      </w:r>
      <w:r>
        <w:rPr>
          <w:rFonts w:hint="eastAsia"/>
          <w:color w:val="000000" w:themeColor="text1"/>
        </w:rPr>
        <w:br w:type="page"/>
      </w:r>
    </w:p>
    <w:p w14:paraId="493728DF">
      <w:pPr>
        <w:ind w:firstLine="480"/>
        <w:rPr>
          <w:rFonts w:hint="default" w:eastAsia="宋体"/>
          <w:color w:val="000000" w:themeColor="text1"/>
          <w:lang w:val="en-US" w:eastAsia="zh-CN"/>
        </w:rPr>
      </w:pPr>
      <w:r>
        <w:rPr>
          <w:rFonts w:hint="eastAsia"/>
          <w:color w:val="000000" w:themeColor="text1"/>
        </w:rPr>
        <w:t>附件</w:t>
      </w:r>
      <w:r>
        <w:rPr>
          <w:rFonts w:hint="eastAsia"/>
          <w:color w:val="000000" w:themeColor="text1"/>
          <w:lang w:val="en-US" w:eastAsia="zh-CN"/>
        </w:rPr>
        <w:t>9</w:t>
      </w:r>
    </w:p>
    <w:p w14:paraId="226D8DEF">
      <w:pPr>
        <w:pStyle w:val="4"/>
        <w:ind w:firstLine="643"/>
        <w:jc w:val="center"/>
        <w:rPr>
          <w:color w:val="000000" w:themeColor="text1"/>
        </w:rPr>
      </w:pPr>
      <w:bookmarkStart w:id="277" w:name="_Toc18416"/>
      <w:bookmarkStart w:id="278" w:name="_Toc29434"/>
      <w:r>
        <w:rPr>
          <w:rFonts w:hint="eastAsia"/>
          <w:color w:val="000000" w:themeColor="text1"/>
        </w:rPr>
        <w:t>报价一览表</w:t>
      </w:r>
      <w:bookmarkEnd w:id="277"/>
      <w:bookmarkEnd w:id="278"/>
    </w:p>
    <w:p w14:paraId="790F98C5">
      <w:pPr>
        <w:spacing w:line="560" w:lineRule="exact"/>
        <w:ind w:firstLine="480"/>
        <w:rPr>
          <w:rFonts w:hint="eastAsia" w:ascii="宋体" w:hAnsi="宋体" w:eastAsia="宋体" w:cs="宋体"/>
          <w:color w:val="000000" w:themeColor="text1"/>
          <w:lang w:eastAsia="zh-CN"/>
        </w:rPr>
      </w:pPr>
      <w:r>
        <w:rPr>
          <w:rFonts w:hint="eastAsia" w:ascii="宋体" w:hAnsi="宋体" w:cs="宋体"/>
          <w:color w:val="000000" w:themeColor="text1"/>
        </w:rPr>
        <w:t>项目名称：</w:t>
      </w:r>
      <w:r>
        <w:rPr>
          <w:rFonts w:hint="eastAsia" w:ascii="宋体" w:hAnsi="宋体" w:cs="宋体"/>
          <w:color w:val="000000" w:themeColor="text1"/>
          <w:u w:val="single"/>
          <w:lang w:eastAsia="zh-CN"/>
        </w:rPr>
        <w:t>2025年度龙游县公安局交通警察大队食堂（大队机关、城区中队）劳务外包服务采购项目</w:t>
      </w:r>
    </w:p>
    <w:p w14:paraId="328249D5">
      <w:pPr>
        <w:spacing w:line="560" w:lineRule="exact"/>
        <w:ind w:firstLine="480"/>
        <w:rPr>
          <w:rFonts w:hint="eastAsia" w:ascii="宋体" w:hAnsi="宋体" w:eastAsia="宋体" w:cs="宋体"/>
          <w:color w:val="000000" w:themeColor="text1"/>
          <w:u w:val="single"/>
          <w:lang w:eastAsia="zh-CN"/>
        </w:rPr>
      </w:pPr>
      <w:r>
        <w:rPr>
          <w:rFonts w:hint="eastAsia" w:ascii="宋体" w:hAnsi="宋体" w:cs="宋体"/>
          <w:color w:val="000000" w:themeColor="text1"/>
        </w:rPr>
        <w:t>项目编号：</w:t>
      </w:r>
      <w:r>
        <w:rPr>
          <w:rFonts w:hint="eastAsia" w:ascii="宋体" w:hAnsi="宋体" w:cs="宋体"/>
          <w:color w:val="000000" w:themeColor="text1"/>
          <w:u w:val="single"/>
          <w:lang w:eastAsia="zh-CN"/>
        </w:rPr>
        <w:t>LYJY2025052</w:t>
      </w:r>
    </w:p>
    <w:tbl>
      <w:tblPr>
        <w:tblStyle w:val="31"/>
        <w:tblW w:w="4183"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3930"/>
        <w:gridCol w:w="990"/>
        <w:gridCol w:w="2210"/>
      </w:tblGrid>
      <w:tr w14:paraId="3A9F19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7" w:hRule="exact"/>
          <w:jc w:val="center"/>
        </w:trPr>
        <w:tc>
          <w:tcPr>
            <w:tcW w:w="2755" w:type="pct"/>
            <w:tcBorders>
              <w:top w:val="single" w:color="auto" w:sz="4" w:space="0"/>
              <w:left w:val="single" w:color="auto" w:sz="4" w:space="0"/>
              <w:bottom w:val="single" w:color="auto" w:sz="4" w:space="0"/>
              <w:right w:val="single" w:color="auto" w:sz="4" w:space="0"/>
            </w:tcBorders>
            <w:vAlign w:val="center"/>
          </w:tcPr>
          <w:p w14:paraId="7130C7B1">
            <w:pPr>
              <w:snapToGrid w:val="0"/>
              <w:spacing w:line="560" w:lineRule="exact"/>
              <w:ind w:firstLine="480"/>
              <w:jc w:val="center"/>
              <w:rPr>
                <w:rFonts w:ascii="宋体" w:hAnsi="宋体" w:cs="宋体"/>
                <w:bCs/>
                <w:color w:val="000000" w:themeColor="text1"/>
              </w:rPr>
            </w:pPr>
            <w:r>
              <w:rPr>
                <w:rFonts w:hint="eastAsia" w:ascii="宋体" w:hAnsi="宋体" w:cs="宋体"/>
                <w:bCs/>
                <w:color w:val="000000" w:themeColor="text1"/>
              </w:rPr>
              <w:t>项目名称</w:t>
            </w:r>
          </w:p>
        </w:tc>
        <w:tc>
          <w:tcPr>
            <w:tcW w:w="694" w:type="pct"/>
            <w:tcBorders>
              <w:top w:val="single" w:color="auto" w:sz="4" w:space="0"/>
              <w:left w:val="single" w:color="auto" w:sz="4" w:space="0"/>
              <w:bottom w:val="single" w:color="auto" w:sz="4" w:space="0"/>
              <w:right w:val="single" w:color="auto" w:sz="4" w:space="0"/>
            </w:tcBorders>
            <w:vAlign w:val="center"/>
          </w:tcPr>
          <w:p w14:paraId="47D53C06">
            <w:pPr>
              <w:snapToGrid w:val="0"/>
              <w:spacing w:line="560" w:lineRule="exact"/>
              <w:ind w:firstLine="0" w:firstLineChars="0"/>
              <w:rPr>
                <w:rFonts w:ascii="宋体" w:hAnsi="宋体" w:cs="宋体"/>
                <w:bCs/>
                <w:color w:val="000000" w:themeColor="text1"/>
              </w:rPr>
            </w:pPr>
            <w:r>
              <w:rPr>
                <w:rFonts w:hint="eastAsia" w:ascii="宋体" w:hAnsi="宋体" w:cs="宋体"/>
                <w:bCs/>
                <w:color w:val="000000" w:themeColor="text1"/>
              </w:rPr>
              <w:t>数量</w:t>
            </w:r>
          </w:p>
        </w:tc>
        <w:tc>
          <w:tcPr>
            <w:tcW w:w="1549" w:type="pct"/>
            <w:tcBorders>
              <w:top w:val="single" w:color="auto" w:sz="4" w:space="0"/>
              <w:left w:val="single" w:color="auto" w:sz="4" w:space="0"/>
              <w:bottom w:val="single" w:color="auto" w:sz="4" w:space="0"/>
              <w:right w:val="single" w:color="auto" w:sz="4" w:space="0"/>
            </w:tcBorders>
            <w:vAlign w:val="center"/>
          </w:tcPr>
          <w:p w14:paraId="0DAE4549">
            <w:pPr>
              <w:snapToGrid w:val="0"/>
              <w:spacing w:line="560" w:lineRule="exact"/>
              <w:ind w:firstLine="0" w:firstLineChars="0"/>
              <w:rPr>
                <w:rFonts w:ascii="宋体" w:hAnsi="宋体" w:cs="宋体"/>
                <w:bCs/>
                <w:color w:val="000000" w:themeColor="text1"/>
              </w:rPr>
            </w:pPr>
            <w:r>
              <w:rPr>
                <w:rFonts w:hint="eastAsia"/>
              </w:rPr>
              <w:t>投标报价（元）</w:t>
            </w:r>
          </w:p>
        </w:tc>
      </w:tr>
      <w:tr w14:paraId="1B1288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48" w:hRule="exact"/>
          <w:jc w:val="center"/>
        </w:trPr>
        <w:tc>
          <w:tcPr>
            <w:tcW w:w="2755" w:type="pct"/>
            <w:tcBorders>
              <w:top w:val="single" w:color="auto" w:sz="4" w:space="0"/>
              <w:left w:val="single" w:color="auto" w:sz="4" w:space="0"/>
              <w:bottom w:val="single" w:color="auto" w:sz="4" w:space="0"/>
              <w:right w:val="single" w:color="auto" w:sz="4" w:space="0"/>
            </w:tcBorders>
            <w:vAlign w:val="center"/>
          </w:tcPr>
          <w:p w14:paraId="06281E14">
            <w:pPr>
              <w:snapToGrid w:val="0"/>
              <w:spacing w:line="560" w:lineRule="exact"/>
              <w:ind w:firstLine="0" w:firstLineChars="0"/>
              <w:rPr>
                <w:rFonts w:hint="eastAsia" w:ascii="宋体" w:hAnsi="宋体" w:eastAsia="宋体" w:cs="宋体"/>
                <w:bCs/>
                <w:color w:val="000000" w:themeColor="text1"/>
                <w:lang w:eastAsia="zh-CN"/>
              </w:rPr>
            </w:pPr>
            <w:r>
              <w:rPr>
                <w:rFonts w:hint="eastAsia" w:ascii="宋体" w:hAnsi="宋体" w:cs="宋体"/>
                <w:color w:val="000000" w:themeColor="text1"/>
                <w:lang w:eastAsia="zh-CN"/>
              </w:rPr>
              <w:t>2025年度龙游县公安局交通警察大队食堂（大队机关、城区中队）劳务外包服务采购项目</w:t>
            </w:r>
          </w:p>
        </w:tc>
        <w:tc>
          <w:tcPr>
            <w:tcW w:w="694" w:type="pct"/>
            <w:tcBorders>
              <w:top w:val="single" w:color="auto" w:sz="4" w:space="0"/>
              <w:left w:val="single" w:color="auto" w:sz="4" w:space="0"/>
              <w:bottom w:val="single" w:color="auto" w:sz="4" w:space="0"/>
              <w:right w:val="single" w:color="auto" w:sz="4" w:space="0"/>
            </w:tcBorders>
            <w:vAlign w:val="center"/>
          </w:tcPr>
          <w:p w14:paraId="22676837">
            <w:pPr>
              <w:snapToGrid w:val="0"/>
              <w:spacing w:line="560" w:lineRule="exact"/>
              <w:ind w:firstLine="480"/>
              <w:rPr>
                <w:rFonts w:ascii="宋体" w:hAnsi="宋体" w:cs="宋体"/>
                <w:bCs/>
                <w:color w:val="000000" w:themeColor="text1"/>
              </w:rPr>
            </w:pPr>
            <w:r>
              <w:rPr>
                <w:rFonts w:hint="eastAsia" w:ascii="宋体" w:hAnsi="宋体" w:cs="宋体"/>
                <w:color w:val="000000" w:themeColor="text1"/>
              </w:rPr>
              <w:t>1</w:t>
            </w:r>
          </w:p>
        </w:tc>
        <w:tc>
          <w:tcPr>
            <w:tcW w:w="1549" w:type="pct"/>
            <w:tcBorders>
              <w:top w:val="single" w:color="auto" w:sz="4" w:space="0"/>
              <w:left w:val="single" w:color="auto" w:sz="4" w:space="0"/>
              <w:bottom w:val="single" w:color="auto" w:sz="4" w:space="0"/>
              <w:right w:val="single" w:color="auto" w:sz="4" w:space="0"/>
            </w:tcBorders>
            <w:vAlign w:val="center"/>
          </w:tcPr>
          <w:p w14:paraId="2734A232">
            <w:pPr>
              <w:snapToGrid w:val="0"/>
              <w:spacing w:line="560" w:lineRule="exact"/>
              <w:ind w:firstLine="0" w:firstLineChars="0"/>
              <w:jc w:val="left"/>
              <w:rPr>
                <w:rFonts w:ascii="宋体" w:hAnsi="宋体" w:cs="宋体"/>
                <w:color w:val="000000" w:themeColor="text1"/>
              </w:rPr>
            </w:pPr>
            <w:r>
              <w:rPr>
                <w:rFonts w:hint="eastAsia" w:ascii="宋体" w:hAnsi="宋体" w:cs="宋体"/>
                <w:color w:val="000000" w:themeColor="text1"/>
              </w:rPr>
              <w:t>小写：</w:t>
            </w:r>
          </w:p>
          <w:p w14:paraId="2C742C67">
            <w:pPr>
              <w:pStyle w:val="27"/>
              <w:spacing w:after="0" w:line="560" w:lineRule="exact"/>
              <w:ind w:firstLine="0" w:firstLineChars="0"/>
              <w:jc w:val="left"/>
              <w:rPr>
                <w:rFonts w:ascii="宋体" w:hAnsi="宋体" w:cs="宋体"/>
                <w:color w:val="000000" w:themeColor="text1"/>
              </w:rPr>
            </w:pPr>
          </w:p>
          <w:p w14:paraId="0B24ABE8">
            <w:pPr>
              <w:pStyle w:val="27"/>
              <w:spacing w:after="0" w:line="560" w:lineRule="exact"/>
              <w:ind w:firstLine="0" w:firstLineChars="0"/>
              <w:jc w:val="left"/>
              <w:rPr>
                <w:rFonts w:ascii="宋体" w:hAnsi="宋体" w:cs="宋体"/>
                <w:bCs/>
                <w:color w:val="000000" w:themeColor="text1"/>
              </w:rPr>
            </w:pPr>
            <w:r>
              <w:rPr>
                <w:rFonts w:hint="eastAsia" w:ascii="宋体" w:hAnsi="宋体" w:cs="宋体"/>
                <w:color w:val="000000" w:themeColor="text1"/>
              </w:rPr>
              <w:t>大写：</w:t>
            </w:r>
          </w:p>
        </w:tc>
      </w:tr>
    </w:tbl>
    <w:p w14:paraId="3B3C0A47">
      <w:pPr>
        <w:pStyle w:val="28"/>
        <w:spacing w:after="0" w:line="560" w:lineRule="exact"/>
        <w:ind w:firstLine="480"/>
        <w:rPr>
          <w:rFonts w:ascii="宋体" w:hAnsi="宋体" w:cs="宋体"/>
          <w:color w:val="000000" w:themeColor="text1"/>
        </w:rPr>
      </w:pPr>
    </w:p>
    <w:p w14:paraId="0741E98B">
      <w:pPr>
        <w:ind w:firstLine="480"/>
        <w:rPr>
          <w:color w:val="000000" w:themeColor="text1"/>
          <w:lang w:val="zh-CN"/>
        </w:rPr>
      </w:pPr>
      <w:r>
        <w:rPr>
          <w:rFonts w:hint="eastAsia"/>
          <w:color w:val="000000" w:themeColor="text1"/>
          <w:lang w:val="zh-CN"/>
        </w:rPr>
        <w:t>注：</w:t>
      </w:r>
    </w:p>
    <w:p w14:paraId="7EC83B2A">
      <w:pPr>
        <w:ind w:firstLine="480"/>
        <w:rPr>
          <w:lang w:val="zh-CN"/>
        </w:rPr>
      </w:pPr>
      <w:r>
        <w:rPr>
          <w:rFonts w:hint="eastAsia"/>
        </w:rPr>
        <w:t>1.报价</w:t>
      </w:r>
      <w:r>
        <w:t>包括人工工资、社会保险、福利、节假日加班费用、行政办公费用、法定税费、其他费用等一切费用</w:t>
      </w:r>
      <w:r>
        <w:rPr>
          <w:rFonts w:hint="eastAsia" w:ascii="宋体" w:hAnsi="宋体" w:eastAsia="宋体" w:cs="宋体"/>
          <w:lang w:val="en-US" w:eastAsia="zh-CN"/>
        </w:rPr>
        <w:t>。</w:t>
      </w:r>
      <w:r>
        <w:t>实行总价包干，</w:t>
      </w:r>
      <w:r>
        <w:rPr>
          <w:rFonts w:hint="eastAsia"/>
          <w:lang w:val="en-US" w:eastAsia="zh-CN"/>
        </w:rPr>
        <w:t>投标人</w:t>
      </w:r>
      <w:r>
        <w:t>应根据自身实际报价时予以考虑，如有漏项，视同已包含在其它项目中，价格不作调整，合同签订后不允许擅自改变服务内容、质量标准、期限和追加项目费用。</w:t>
      </w:r>
    </w:p>
    <w:p w14:paraId="2DF4BA41">
      <w:pPr>
        <w:ind w:firstLine="480"/>
        <w:rPr>
          <w:rFonts w:ascii="宋体" w:hAnsi="宋体" w:cs="宋体"/>
          <w:color w:val="000000" w:themeColor="text1"/>
          <w:lang w:val="zh-CN"/>
        </w:rPr>
      </w:pPr>
      <w:r>
        <w:rPr>
          <w:rFonts w:hint="eastAsia"/>
        </w:rPr>
        <w:t>2.</w:t>
      </w:r>
      <w:r>
        <w:rPr>
          <w:rFonts w:hint="eastAsia"/>
          <w:lang w:val="zh-CN"/>
        </w:rPr>
        <w:t>报价不得超过总限价。</w:t>
      </w:r>
    </w:p>
    <w:p w14:paraId="042D266D">
      <w:pPr>
        <w:pStyle w:val="28"/>
        <w:spacing w:after="0" w:line="560" w:lineRule="exact"/>
        <w:ind w:firstLine="480"/>
        <w:rPr>
          <w:rFonts w:ascii="宋体" w:hAnsi="宋体" w:cs="宋体"/>
          <w:color w:val="000000" w:themeColor="text1"/>
        </w:rPr>
      </w:pPr>
    </w:p>
    <w:p w14:paraId="7EE0AD9B">
      <w:pPr>
        <w:ind w:firstLine="560"/>
        <w:rPr>
          <w:rFonts w:ascii="宋体" w:hAnsi="宋体" w:cs="宋体"/>
          <w:color w:val="000000" w:themeColor="text1"/>
          <w:sz w:val="28"/>
          <w:szCs w:val="28"/>
        </w:rPr>
      </w:pPr>
      <w:r>
        <w:rPr>
          <w:rFonts w:hint="eastAsia" w:ascii="宋体" w:hAnsi="宋体" w:cs="宋体"/>
          <w:color w:val="000000" w:themeColor="text1"/>
          <w:sz w:val="28"/>
          <w:szCs w:val="28"/>
        </w:rPr>
        <w:t>投标人（盖章）：</w:t>
      </w:r>
    </w:p>
    <w:p w14:paraId="7583F73F">
      <w:pPr>
        <w:ind w:firstLine="560"/>
        <w:rPr>
          <w:rFonts w:ascii="宋体" w:hAnsi="宋体" w:cs="宋体"/>
          <w:color w:val="000000" w:themeColor="text1"/>
          <w:sz w:val="28"/>
          <w:szCs w:val="28"/>
        </w:rPr>
      </w:pPr>
      <w:r>
        <w:rPr>
          <w:rFonts w:hint="eastAsia" w:ascii="宋体" w:hAnsi="宋体" w:cs="宋体"/>
          <w:color w:val="000000" w:themeColor="text1"/>
          <w:sz w:val="28"/>
          <w:szCs w:val="28"/>
        </w:rPr>
        <w:t>法定代表人或其授权代表（签字或盖章）：</w:t>
      </w:r>
    </w:p>
    <w:p w14:paraId="3387AD44">
      <w:pPr>
        <w:bidi w:val="0"/>
        <w:rPr>
          <w:rFonts w:ascii="宋体" w:hAnsi="宋体" w:cs="宋体"/>
          <w:color w:val="000000" w:themeColor="text1"/>
        </w:rPr>
      </w:pPr>
      <w:r>
        <w:rPr>
          <w:rFonts w:hint="eastAsia" w:ascii="宋体" w:hAnsi="宋体" w:cs="宋体"/>
          <w:color w:val="000000" w:themeColor="text1"/>
          <w:sz w:val="28"/>
          <w:szCs w:val="28"/>
        </w:rPr>
        <w:t xml:space="preserve">日期：    </w:t>
      </w:r>
      <w:r>
        <w:rPr>
          <w:rFonts w:hint="eastAsia" w:ascii="宋体" w:hAnsi="宋体" w:cs="宋体"/>
          <w:color w:val="000000" w:themeColor="text1"/>
          <w:w w:val="90"/>
          <w:sz w:val="28"/>
          <w:szCs w:val="28"/>
        </w:rPr>
        <w:t>年    月   日</w:t>
      </w:r>
    </w:p>
    <w:p w14:paraId="653F710F">
      <w:r>
        <w:br w:type="page"/>
      </w:r>
    </w:p>
    <w:p w14:paraId="6A59CCEA">
      <w:pPr>
        <w:spacing w:line="560" w:lineRule="exact"/>
        <w:ind w:firstLine="600" w:firstLineChars="250"/>
        <w:rPr>
          <w:rFonts w:ascii="宋体" w:hAnsi="宋体" w:cs="宋体"/>
          <w:color w:val="000000" w:themeColor="text1"/>
        </w:rPr>
      </w:pPr>
      <w:r>
        <w:rPr>
          <w:rFonts w:hint="eastAsia" w:ascii="宋体" w:hAnsi="宋体" w:cs="宋体"/>
          <w:color w:val="000000" w:themeColor="text1"/>
        </w:rPr>
        <w:t>投标人认为需要提供的其他资料</w:t>
      </w:r>
    </w:p>
    <w:p w14:paraId="38F9868C">
      <w:pPr>
        <w:pStyle w:val="28"/>
        <w:spacing w:after="0" w:line="560" w:lineRule="exact"/>
        <w:ind w:firstLine="480"/>
        <w:rPr>
          <w:rFonts w:ascii="宋体" w:hAnsi="宋体" w:cs="宋体"/>
          <w:color w:val="000000" w:themeColor="text1"/>
        </w:rPr>
      </w:pPr>
    </w:p>
    <w:p w14:paraId="77BB755E">
      <w:pPr>
        <w:pStyle w:val="28"/>
        <w:spacing w:after="0" w:line="560" w:lineRule="exact"/>
        <w:ind w:firstLine="480"/>
        <w:rPr>
          <w:rFonts w:ascii="宋体" w:hAnsi="宋体" w:cs="宋体"/>
          <w:color w:val="000000" w:themeColor="text1"/>
        </w:rPr>
      </w:pPr>
    </w:p>
    <w:p w14:paraId="4DE07F20">
      <w:pPr>
        <w:ind w:firstLine="482"/>
      </w:pPr>
      <w:r>
        <w:rPr>
          <w:rFonts w:hint="eastAsia"/>
          <w:b/>
          <w:bCs/>
          <w:color w:val="000000" w:themeColor="text1"/>
        </w:rPr>
        <w:t>（格式自拟，按采购文件要求及打分条款内容自行编制）</w:t>
      </w:r>
    </w:p>
    <w:p w14:paraId="705ED1BE">
      <w:pPr>
        <w:widowControl/>
        <w:spacing w:line="560" w:lineRule="exact"/>
        <w:ind w:firstLine="0" w:firstLineChars="0"/>
        <w:jc w:val="left"/>
        <w:rPr>
          <w:rFonts w:ascii="宋体" w:hAnsi="宋体" w:cs="宋体"/>
          <w:color w:val="000000" w:themeColor="text1"/>
        </w:rPr>
      </w:pPr>
    </w:p>
    <w:sectPr>
      <w:pgSz w:w="11906" w:h="16838"/>
      <w:pgMar w:top="1440" w:right="1800" w:bottom="1440" w:left="1800" w:header="964" w:footer="850"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modern"/>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Lucida Sans Unicode"/>
    <w:panose1 w:val="02010600030101010101"/>
    <w:charset w:val="A1"/>
    <w:family w:val="auto"/>
    <w:pitch w:val="default"/>
    <w:sig w:usb0="00000000" w:usb1="00000000" w:usb2="00000000" w:usb3="00000000" w:csb0="00000009" w:csb1="00000000"/>
  </w:font>
  <w:font w:name="Lucida Sans Unicode">
    <w:panose1 w:val="020B0602030504020204"/>
    <w:charset w:val="00"/>
    <w:family w:val="auto"/>
    <w:pitch w:val="default"/>
    <w:sig w:usb0="80001AFF" w:usb1="0000396B" w:usb2="00000000" w:usb3="00000000" w:csb0="200000BF" w:csb1="D7F7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方正兰亭纤黑简体">
    <w:altName w:val="黑体"/>
    <w:panose1 w:val="00000000000000000000"/>
    <w:charset w:val="00"/>
    <w:family w:val="auto"/>
    <w:pitch w:val="default"/>
    <w:sig w:usb0="00000000" w:usb1="00000000" w:usb2="00000000" w:usb3="00000000" w:csb0="00040001" w:csb1="00000000"/>
  </w:font>
  <w:font w:name="Plantagenet Cherokee">
    <w:altName w:val="Segoe Print"/>
    <w:panose1 w:val="02020602070100000000"/>
    <w:charset w:val="00"/>
    <w:family w:val="auto"/>
    <w:pitch w:val="default"/>
    <w:sig w:usb0="00000000" w:usb1="00000000" w:usb2="00001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9BC34">
    <w:pPr>
      <w:pStyle w:val="18"/>
      <w:pBdr>
        <w:top w:val="single" w:color="auto" w:sz="4" w:space="1"/>
        <w:left w:val="none" w:color="auto" w:sz="0" w:space="4"/>
        <w:bottom w:val="none" w:color="auto" w:sz="0" w:space="1"/>
        <w:right w:val="none" w:color="auto" w:sz="0" w:space="4"/>
      </w:pBdr>
      <w:spacing w:line="560" w:lineRule="exact"/>
      <w:ind w:firstLine="0" w:firstLineChars="0"/>
    </w:pPr>
    <w:r>
      <w:rPr>
        <w:rFonts w:hint="eastAsia"/>
      </w:rPr>
      <w:t>龙游久圆工程管理有限公司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C489D">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BB18F">
    <w:pPr>
      <w:pStyle w:val="1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0D516">
    <w:pPr>
      <w:pStyle w:val="18"/>
      <w:pBdr>
        <w:top w:val="single" w:color="auto" w:sz="4" w:space="1"/>
        <w:left w:val="none" w:color="auto" w:sz="0" w:space="4"/>
        <w:bottom w:val="none" w:color="auto" w:sz="0" w:space="1"/>
        <w:right w:val="none" w:color="auto" w:sz="0" w:space="4"/>
      </w:pBdr>
      <w:spacing w:line="560" w:lineRule="exact"/>
      <w:ind w:firstLine="0" w:firstLineChars="0"/>
      <w:rPr>
        <w:sz w:val="21"/>
        <w:szCs w:val="21"/>
      </w:rPr>
    </w:pPr>
    <w:r>
      <w:rPr>
        <w:sz w:val="21"/>
      </w:rPr>
      <w:pict>
        <v:shape id="文本框 6" o:spid="_x0000_s1028" o:spt="202" type="#_x0000_t202" style="position:absolute;left:0pt;margin-top:0pt;height:13.45pt;width:21pt;mso-position-horizontal:center;mso-position-horizontal-relative:margin;mso-wrap-style:none;z-index:251660288;mso-width-relative:page;mso-height-relative:page;" filled="f" stroked="f" coordsize="21600,21600" o:gfxdata="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twBDdEAAAADAQAADwAAAAAAAAABACAAAAAiAAAAZHJzL2Rvd25yZXYueG1s&#10;UEsBAhQAFAAAAAgAh07iQKQmzrzGAQAAiwMAAA4AAAAAAAAAAQAgAAAAIAEAAGRycy9lMm9Eb2Mu&#10;eG1sUEsFBgAAAAAGAAYAWQEAAFgFAAAAAA==&#10;">
          <v:path/>
          <v:fill on="f" focussize="0,0"/>
          <v:stroke on="f" joinstyle="miter"/>
          <v:imagedata o:title=""/>
          <o:lock v:ext="edit"/>
          <v:textbox inset="0mm,0mm,0mm,0mm" style="mso-fit-shape-to-text:t;">
            <w:txbxContent>
              <w:p w14:paraId="4A344078">
                <w:pPr>
                  <w:pStyle w:val="18"/>
                  <w:ind w:firstLine="360"/>
                </w:pPr>
                <w:r>
                  <w:fldChar w:fldCharType="begin"/>
                </w:r>
                <w:r>
                  <w:instrText xml:space="preserve"> PAGE  \* MERGEFORMAT </w:instrText>
                </w:r>
                <w:r>
                  <w:fldChar w:fldCharType="separate"/>
                </w:r>
                <w:r>
                  <w:t>III</w:t>
                </w:r>
                <w:r>
                  <w:fldChar w:fldCharType="end"/>
                </w:r>
              </w:p>
            </w:txbxContent>
          </v:textbox>
        </v:shape>
      </w:pict>
    </w:r>
    <w:r>
      <w:rPr>
        <w:rFonts w:hint="eastAsia"/>
        <w:sz w:val="21"/>
        <w:szCs w:val="21"/>
      </w:rPr>
      <w:t>龙游久圆工程管理有限公司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033F8">
    <w:pPr>
      <w:pStyle w:val="18"/>
      <w:ind w:firstLine="360"/>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path/>
          <v:fill on="f" focussize="0,0"/>
          <v:stroke on="f" weight="0.5pt" joinstyle="miter"/>
          <v:imagedata o:title=""/>
          <o:lock v:ext="edit"/>
          <v:textbox inset="0mm,0mm,0mm,0mm" style="mso-fit-shape-to-text:t;">
            <w:txbxContent>
              <w:p w14:paraId="003F7DAE">
                <w:pPr>
                  <w:pStyle w:val="18"/>
                  <w:ind w:firstLine="360"/>
                </w:pPr>
                <w:r>
                  <w:fldChar w:fldCharType="begin"/>
                </w:r>
                <w:r>
                  <w:instrText xml:space="preserve"> PAGE  \* MERGEFORMAT </w:instrText>
                </w:r>
                <w:r>
                  <w:fldChar w:fldCharType="separate"/>
                </w:r>
                <w:r>
                  <w:t>24</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C4088">
    <w:pPr>
      <w:pStyle w:val="18"/>
      <w:pBdr>
        <w:top w:val="single" w:color="auto" w:sz="4" w:space="1"/>
        <w:left w:val="none" w:color="auto" w:sz="0" w:space="4"/>
        <w:bottom w:val="none" w:color="auto" w:sz="0" w:space="1"/>
        <w:right w:val="none" w:color="auto" w:sz="0" w:space="4"/>
      </w:pBdr>
      <w:spacing w:line="560" w:lineRule="exact"/>
      <w:ind w:firstLine="0" w:firstLineChars="0"/>
      <w:rPr>
        <w:sz w:val="21"/>
        <w:szCs w:val="21"/>
      </w:rPr>
    </w:pPr>
    <w:r>
      <w:rPr>
        <w:sz w:val="21"/>
      </w:rPr>
      <w:pict>
        <v:shape id="文本框 7" o:spid="_x0000_s1027" o:spt="202" type="#_x0000_t202" style="position:absolute;left:0pt;margin-top:0pt;height:13.45pt;width:22.55pt;mso-position-horizontal:center;mso-position-horizontal-relative:margin;mso-wrap-style:none;z-index:251661312;mso-width-relative:page;mso-height-relative:page;" filled="f" stroked="f" coordsize="21600,21600" o:gfxdata="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0NIRn0gAAAAMBAAAPAAAAAAAAAAEAIAAAACIAAABkcnMvZG93bnJldi54&#10;bWxQSwECFAAUAAAACACHTuJAB8xlBMcBAACLAwAADgAAAAAAAAABACAAAAAhAQAAZHJzL2Uyb0Rv&#10;Yy54bWxQSwUGAAAAAAYABgBZAQAAWgUAAAAA&#10;">
          <v:path/>
          <v:fill on="f" focussize="0,0"/>
          <v:stroke on="f" joinstyle="miter"/>
          <v:imagedata o:title=""/>
          <o:lock v:ext="edit"/>
          <v:textbox inset="0mm,0mm,0mm,0mm" style="mso-fit-shape-to-text:t;">
            <w:txbxContent>
              <w:p w14:paraId="0FF04CC5">
                <w:pPr>
                  <w:pStyle w:val="18"/>
                  <w:ind w:firstLine="360"/>
                </w:pPr>
                <w:r>
                  <w:fldChar w:fldCharType="begin"/>
                </w:r>
                <w:r>
                  <w:instrText xml:space="preserve"> PAGE  \* MERGEFORMAT </w:instrText>
                </w:r>
                <w:r>
                  <w:fldChar w:fldCharType="separate"/>
                </w:r>
                <w:r>
                  <w:t>47</w:t>
                </w:r>
                <w:r>
                  <w:fldChar w:fldCharType="end"/>
                </w:r>
              </w:p>
            </w:txbxContent>
          </v:textbox>
        </v:shape>
      </w:pict>
    </w:r>
    <w:r>
      <w:rPr>
        <w:rFonts w:hint="eastAsia"/>
        <w:sz w:val="21"/>
        <w:szCs w:val="21"/>
      </w:rPr>
      <w:t>龙游久圆工程管理有限公司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ind w:firstLine="480"/>
      </w:pPr>
      <w:r>
        <w:separator/>
      </w:r>
    </w:p>
  </w:footnote>
  <w:footnote w:type="continuationSeparator" w:id="1">
    <w:p>
      <w:pPr>
        <w:spacing w:line="312"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07A42">
    <w:pPr>
      <w:pStyle w:val="20"/>
      <w:ind w:left="0" w:leftChars="0" w:firstLine="0" w:firstLineChars="0"/>
      <w:jc w:val="both"/>
      <w:rPr>
        <w:rFonts w:ascii="宋体" w:hAnsi="宋体"/>
        <w:sz w:val="21"/>
        <w:szCs w:val="21"/>
      </w:rPr>
    </w:pPr>
    <w:r>
      <w:rPr>
        <w:rFonts w:hint="eastAsia" w:ascii="宋体" w:hAnsi="宋体"/>
        <w:sz w:val="21"/>
        <w:szCs w:val="21"/>
        <w:lang w:val="zh-CN"/>
      </w:rPr>
      <w:t>2025年度龙游县公安局交通警察大队食堂（大队机关、城区中队）劳务外包服务采购项目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F7DC5">
    <w:pPr>
      <w:pStyle w:val="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8C447">
    <w:pPr>
      <w:pStyle w:val="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45802B"/>
    <w:multiLevelType w:val="singleLevel"/>
    <w:tmpl w:val="3C45802B"/>
    <w:lvl w:ilvl="0" w:tentative="0">
      <w:start w:val="1"/>
      <w:numFmt w:val="decimal"/>
      <w:suff w:val="space"/>
      <w:lvlText w:val="%1."/>
      <w:lvlJc w:val="left"/>
    </w:lvl>
  </w:abstractNum>
  <w:abstractNum w:abstractNumId="1">
    <w:nsid w:val="6C444646"/>
    <w:multiLevelType w:val="multilevel"/>
    <w:tmpl w:val="6C444646"/>
    <w:lvl w:ilvl="0" w:tentative="0">
      <w:start w:val="1"/>
      <w:numFmt w:val="chineseCountingThousand"/>
      <w:suff w:val="nothing"/>
      <w:lvlText w:val="第%1章"/>
      <w:lvlJc w:val="left"/>
      <w:pPr>
        <w:ind w:left="0" w:firstLine="0"/>
      </w:pPr>
      <w:rPr>
        <w:rFonts w:hint="eastAsia" w:eastAsia="宋体"/>
        <w:b/>
        <w:i w:val="0"/>
        <w:sz w:val="44"/>
      </w:rPr>
    </w:lvl>
    <w:lvl w:ilvl="1" w:tentative="0">
      <w:start w:val="1"/>
      <w:numFmt w:val="decimal"/>
      <w:isLgl/>
      <w:suff w:val="nothing"/>
      <w:lvlText w:val="%1.%2"/>
      <w:lvlJc w:val="left"/>
      <w:pPr>
        <w:ind w:left="0" w:firstLine="0"/>
      </w:pPr>
      <w:rPr>
        <w:rFonts w:hint="eastAsia" w:eastAsia="宋体"/>
        <w:b/>
        <w:i w:val="0"/>
        <w:sz w:val="32"/>
      </w:rPr>
    </w:lvl>
    <w:lvl w:ilvl="2" w:tentative="0">
      <w:start w:val="1"/>
      <w:numFmt w:val="decimal"/>
      <w:isLgl/>
      <w:suff w:val="nothing"/>
      <w:lvlText w:val="%1.%2.%3"/>
      <w:lvlJc w:val="left"/>
      <w:pPr>
        <w:ind w:left="0" w:firstLine="0"/>
      </w:pPr>
      <w:rPr>
        <w:rFonts w:hint="eastAsia" w:eastAsia="宋体"/>
        <w:b/>
        <w:i w:val="0"/>
        <w:sz w:val="28"/>
      </w:rPr>
    </w:lvl>
    <w:lvl w:ilvl="3" w:tentative="0">
      <w:start w:val="1"/>
      <w:numFmt w:val="decimal"/>
      <w:isLgl/>
      <w:suff w:val="nothing"/>
      <w:lvlText w:val="%1.%2.%3.%4"/>
      <w:lvlJc w:val="left"/>
      <w:pPr>
        <w:ind w:left="0" w:firstLine="0"/>
      </w:pPr>
      <w:rPr>
        <w:rFonts w:hint="eastAsia" w:eastAsia="宋体"/>
        <w:b/>
        <w:i w:val="0"/>
        <w:sz w:val="24"/>
      </w:rPr>
    </w:lvl>
    <w:lvl w:ilvl="4" w:tentative="0">
      <w:start w:val="1"/>
      <w:numFmt w:val="decimal"/>
      <w:pStyle w:val="7"/>
      <w:suff w:val="nothing"/>
      <w:lvlText w:val="(%5)"/>
      <w:lvlJc w:val="left"/>
      <w:pPr>
        <w:ind w:left="0" w:firstLine="0"/>
      </w:pPr>
      <w:rPr>
        <w:rFonts w:hint="eastAsia" w:eastAsia="宋体"/>
        <w:b/>
        <w:i w:val="0"/>
        <w:sz w:val="24"/>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QyODg3NzI4NDIwOGQzNjg0ZTYzODA3MWEyY2ExMjIifQ=="/>
  </w:docVars>
  <w:rsids>
    <w:rsidRoot w:val="00AD442D"/>
    <w:rsid w:val="00000DCC"/>
    <w:rsid w:val="00005231"/>
    <w:rsid w:val="0000685D"/>
    <w:rsid w:val="0001061C"/>
    <w:rsid w:val="000121E9"/>
    <w:rsid w:val="00034634"/>
    <w:rsid w:val="0003649D"/>
    <w:rsid w:val="0003775C"/>
    <w:rsid w:val="00040CF3"/>
    <w:rsid w:val="000433C0"/>
    <w:rsid w:val="0005244B"/>
    <w:rsid w:val="000553B6"/>
    <w:rsid w:val="00057A3A"/>
    <w:rsid w:val="000604B0"/>
    <w:rsid w:val="00070F8E"/>
    <w:rsid w:val="000718C7"/>
    <w:rsid w:val="000759CB"/>
    <w:rsid w:val="0007602F"/>
    <w:rsid w:val="00081B31"/>
    <w:rsid w:val="000865C9"/>
    <w:rsid w:val="000921FC"/>
    <w:rsid w:val="000965BA"/>
    <w:rsid w:val="000A1686"/>
    <w:rsid w:val="000A4062"/>
    <w:rsid w:val="000B6974"/>
    <w:rsid w:val="000C064F"/>
    <w:rsid w:val="000C201A"/>
    <w:rsid w:val="000D0DDC"/>
    <w:rsid w:val="000D2D84"/>
    <w:rsid w:val="000E53CF"/>
    <w:rsid w:val="000F016A"/>
    <w:rsid w:val="000F1F8A"/>
    <w:rsid w:val="000F6F20"/>
    <w:rsid w:val="001013AC"/>
    <w:rsid w:val="00101F22"/>
    <w:rsid w:val="001034D3"/>
    <w:rsid w:val="00107DBA"/>
    <w:rsid w:val="001113E4"/>
    <w:rsid w:val="001119FA"/>
    <w:rsid w:val="00114EDE"/>
    <w:rsid w:val="00116FB3"/>
    <w:rsid w:val="00123126"/>
    <w:rsid w:val="00131070"/>
    <w:rsid w:val="00136939"/>
    <w:rsid w:val="00143D4C"/>
    <w:rsid w:val="001542A5"/>
    <w:rsid w:val="001559AE"/>
    <w:rsid w:val="00161708"/>
    <w:rsid w:val="001617BE"/>
    <w:rsid w:val="001800CC"/>
    <w:rsid w:val="0019103E"/>
    <w:rsid w:val="00194300"/>
    <w:rsid w:val="00195F76"/>
    <w:rsid w:val="001A1E30"/>
    <w:rsid w:val="001B44E1"/>
    <w:rsid w:val="001B6CE0"/>
    <w:rsid w:val="001C42C4"/>
    <w:rsid w:val="001D2AF1"/>
    <w:rsid w:val="001D5C0C"/>
    <w:rsid w:val="001D7BD3"/>
    <w:rsid w:val="001E0DFF"/>
    <w:rsid w:val="001F6B89"/>
    <w:rsid w:val="002022BA"/>
    <w:rsid w:val="002074D1"/>
    <w:rsid w:val="00212102"/>
    <w:rsid w:val="00216C00"/>
    <w:rsid w:val="0021743D"/>
    <w:rsid w:val="00225860"/>
    <w:rsid w:val="002303CB"/>
    <w:rsid w:val="00237B2B"/>
    <w:rsid w:val="00241D37"/>
    <w:rsid w:val="00244317"/>
    <w:rsid w:val="0024603C"/>
    <w:rsid w:val="00252966"/>
    <w:rsid w:val="002543B0"/>
    <w:rsid w:val="0026080B"/>
    <w:rsid w:val="00262EE0"/>
    <w:rsid w:val="00275DBE"/>
    <w:rsid w:val="00287874"/>
    <w:rsid w:val="00287E1E"/>
    <w:rsid w:val="0029756F"/>
    <w:rsid w:val="002A355F"/>
    <w:rsid w:val="002B0DA7"/>
    <w:rsid w:val="002C43B2"/>
    <w:rsid w:val="002C5A38"/>
    <w:rsid w:val="002C7AF0"/>
    <w:rsid w:val="002C7C42"/>
    <w:rsid w:val="002D2AB2"/>
    <w:rsid w:val="002E68B4"/>
    <w:rsid w:val="0031571C"/>
    <w:rsid w:val="00323DD0"/>
    <w:rsid w:val="00324A22"/>
    <w:rsid w:val="00330193"/>
    <w:rsid w:val="003314A3"/>
    <w:rsid w:val="0033799D"/>
    <w:rsid w:val="00340498"/>
    <w:rsid w:val="00341904"/>
    <w:rsid w:val="00343E1E"/>
    <w:rsid w:val="003460B5"/>
    <w:rsid w:val="003555E7"/>
    <w:rsid w:val="00363B5F"/>
    <w:rsid w:val="00366212"/>
    <w:rsid w:val="00370684"/>
    <w:rsid w:val="003726BC"/>
    <w:rsid w:val="00384288"/>
    <w:rsid w:val="00391227"/>
    <w:rsid w:val="00396B3F"/>
    <w:rsid w:val="003975F0"/>
    <w:rsid w:val="003A601C"/>
    <w:rsid w:val="003A783A"/>
    <w:rsid w:val="003B192B"/>
    <w:rsid w:val="003C7142"/>
    <w:rsid w:val="003D06EE"/>
    <w:rsid w:val="003D2FC5"/>
    <w:rsid w:val="003D32F2"/>
    <w:rsid w:val="0040130C"/>
    <w:rsid w:val="004138DC"/>
    <w:rsid w:val="00414330"/>
    <w:rsid w:val="004151C2"/>
    <w:rsid w:val="004204D6"/>
    <w:rsid w:val="00442C33"/>
    <w:rsid w:val="00447E00"/>
    <w:rsid w:val="00450348"/>
    <w:rsid w:val="00454C68"/>
    <w:rsid w:val="004559F6"/>
    <w:rsid w:val="0045784F"/>
    <w:rsid w:val="00470278"/>
    <w:rsid w:val="004813E9"/>
    <w:rsid w:val="004826FA"/>
    <w:rsid w:val="004A000C"/>
    <w:rsid w:val="004A06FC"/>
    <w:rsid w:val="004B2128"/>
    <w:rsid w:val="004D7901"/>
    <w:rsid w:val="004F53BF"/>
    <w:rsid w:val="004F54A9"/>
    <w:rsid w:val="004F6294"/>
    <w:rsid w:val="004F636B"/>
    <w:rsid w:val="0051206F"/>
    <w:rsid w:val="00512BFA"/>
    <w:rsid w:val="00531EE2"/>
    <w:rsid w:val="005355E6"/>
    <w:rsid w:val="005443A8"/>
    <w:rsid w:val="0055073C"/>
    <w:rsid w:val="00563D70"/>
    <w:rsid w:val="00566CFE"/>
    <w:rsid w:val="005735C4"/>
    <w:rsid w:val="00573DE0"/>
    <w:rsid w:val="005818F3"/>
    <w:rsid w:val="00587977"/>
    <w:rsid w:val="00590FC3"/>
    <w:rsid w:val="0059622B"/>
    <w:rsid w:val="005A065A"/>
    <w:rsid w:val="005A0A49"/>
    <w:rsid w:val="005B1FAE"/>
    <w:rsid w:val="005B65F2"/>
    <w:rsid w:val="005B7200"/>
    <w:rsid w:val="005C2E6D"/>
    <w:rsid w:val="005C48B8"/>
    <w:rsid w:val="005C7894"/>
    <w:rsid w:val="005D3AB8"/>
    <w:rsid w:val="005D43F0"/>
    <w:rsid w:val="005E09D3"/>
    <w:rsid w:val="005E1723"/>
    <w:rsid w:val="005E4EE9"/>
    <w:rsid w:val="005E5B48"/>
    <w:rsid w:val="005E6A31"/>
    <w:rsid w:val="005F1016"/>
    <w:rsid w:val="005F48D2"/>
    <w:rsid w:val="005F5F45"/>
    <w:rsid w:val="005F7E6C"/>
    <w:rsid w:val="00602F72"/>
    <w:rsid w:val="00604D33"/>
    <w:rsid w:val="00615BCB"/>
    <w:rsid w:val="006327C8"/>
    <w:rsid w:val="00637C82"/>
    <w:rsid w:val="00642E32"/>
    <w:rsid w:val="00642E4B"/>
    <w:rsid w:val="00644874"/>
    <w:rsid w:val="00645C6E"/>
    <w:rsid w:val="0064643C"/>
    <w:rsid w:val="00647303"/>
    <w:rsid w:val="00651B81"/>
    <w:rsid w:val="006521D9"/>
    <w:rsid w:val="00655366"/>
    <w:rsid w:val="0067335A"/>
    <w:rsid w:val="0067477A"/>
    <w:rsid w:val="00686F93"/>
    <w:rsid w:val="00690ECC"/>
    <w:rsid w:val="00691322"/>
    <w:rsid w:val="00692541"/>
    <w:rsid w:val="006948DD"/>
    <w:rsid w:val="0069501E"/>
    <w:rsid w:val="006976B5"/>
    <w:rsid w:val="006A75B1"/>
    <w:rsid w:val="006C144D"/>
    <w:rsid w:val="006C1579"/>
    <w:rsid w:val="006C59E9"/>
    <w:rsid w:val="006C5BDA"/>
    <w:rsid w:val="006C77D6"/>
    <w:rsid w:val="006D573B"/>
    <w:rsid w:val="006D6833"/>
    <w:rsid w:val="006E12EB"/>
    <w:rsid w:val="00700094"/>
    <w:rsid w:val="007038C5"/>
    <w:rsid w:val="00714D61"/>
    <w:rsid w:val="00717D54"/>
    <w:rsid w:val="00720D71"/>
    <w:rsid w:val="00725E76"/>
    <w:rsid w:val="007319E3"/>
    <w:rsid w:val="007329B0"/>
    <w:rsid w:val="00732D6C"/>
    <w:rsid w:val="00736C67"/>
    <w:rsid w:val="007379DD"/>
    <w:rsid w:val="00747A68"/>
    <w:rsid w:val="00751815"/>
    <w:rsid w:val="00755C53"/>
    <w:rsid w:val="00761307"/>
    <w:rsid w:val="00771349"/>
    <w:rsid w:val="00775B44"/>
    <w:rsid w:val="007820E0"/>
    <w:rsid w:val="007910C2"/>
    <w:rsid w:val="0079406B"/>
    <w:rsid w:val="007968BC"/>
    <w:rsid w:val="0079733D"/>
    <w:rsid w:val="0079763D"/>
    <w:rsid w:val="007A3C79"/>
    <w:rsid w:val="007A4ABE"/>
    <w:rsid w:val="007A4EE8"/>
    <w:rsid w:val="007A7E35"/>
    <w:rsid w:val="007A7EB3"/>
    <w:rsid w:val="007B0E33"/>
    <w:rsid w:val="007B786F"/>
    <w:rsid w:val="007C1E4E"/>
    <w:rsid w:val="007C2049"/>
    <w:rsid w:val="007C4063"/>
    <w:rsid w:val="007D0D68"/>
    <w:rsid w:val="007D144D"/>
    <w:rsid w:val="007D52F8"/>
    <w:rsid w:val="007D6DCC"/>
    <w:rsid w:val="007E10AA"/>
    <w:rsid w:val="007E5FC5"/>
    <w:rsid w:val="007E621B"/>
    <w:rsid w:val="007E7A0F"/>
    <w:rsid w:val="007F4CA8"/>
    <w:rsid w:val="00810368"/>
    <w:rsid w:val="00811C89"/>
    <w:rsid w:val="00813C33"/>
    <w:rsid w:val="00821EA8"/>
    <w:rsid w:val="00823036"/>
    <w:rsid w:val="00823836"/>
    <w:rsid w:val="008247EA"/>
    <w:rsid w:val="00831BB9"/>
    <w:rsid w:val="008329BE"/>
    <w:rsid w:val="00832BED"/>
    <w:rsid w:val="00841237"/>
    <w:rsid w:val="00843C83"/>
    <w:rsid w:val="00843CCB"/>
    <w:rsid w:val="00857BDC"/>
    <w:rsid w:val="00862C14"/>
    <w:rsid w:val="00866CD0"/>
    <w:rsid w:val="00873605"/>
    <w:rsid w:val="00874B4D"/>
    <w:rsid w:val="0087571C"/>
    <w:rsid w:val="008765D9"/>
    <w:rsid w:val="00895174"/>
    <w:rsid w:val="00896C98"/>
    <w:rsid w:val="008A13AC"/>
    <w:rsid w:val="008B1870"/>
    <w:rsid w:val="008B3D8A"/>
    <w:rsid w:val="008C09B3"/>
    <w:rsid w:val="008C3FA3"/>
    <w:rsid w:val="008C41DD"/>
    <w:rsid w:val="008C7798"/>
    <w:rsid w:val="008D4E66"/>
    <w:rsid w:val="008D516E"/>
    <w:rsid w:val="008D65AA"/>
    <w:rsid w:val="008E3328"/>
    <w:rsid w:val="008E69D9"/>
    <w:rsid w:val="008F0190"/>
    <w:rsid w:val="008F0729"/>
    <w:rsid w:val="008F27C6"/>
    <w:rsid w:val="008F34B5"/>
    <w:rsid w:val="008F369C"/>
    <w:rsid w:val="0090080E"/>
    <w:rsid w:val="00903CFA"/>
    <w:rsid w:val="009072A8"/>
    <w:rsid w:val="00912423"/>
    <w:rsid w:val="00923593"/>
    <w:rsid w:val="00930856"/>
    <w:rsid w:val="00937DC5"/>
    <w:rsid w:val="0095371D"/>
    <w:rsid w:val="00961504"/>
    <w:rsid w:val="009646B0"/>
    <w:rsid w:val="00964CFE"/>
    <w:rsid w:val="00966813"/>
    <w:rsid w:val="00967ADD"/>
    <w:rsid w:val="00971199"/>
    <w:rsid w:val="00973B53"/>
    <w:rsid w:val="00974F06"/>
    <w:rsid w:val="009761AB"/>
    <w:rsid w:val="0098113F"/>
    <w:rsid w:val="00985728"/>
    <w:rsid w:val="00990145"/>
    <w:rsid w:val="009A37C8"/>
    <w:rsid w:val="009A7262"/>
    <w:rsid w:val="009B12E9"/>
    <w:rsid w:val="009B36C0"/>
    <w:rsid w:val="009B6F98"/>
    <w:rsid w:val="009C0A00"/>
    <w:rsid w:val="009C2937"/>
    <w:rsid w:val="009C6B1A"/>
    <w:rsid w:val="009D0510"/>
    <w:rsid w:val="009D4EBE"/>
    <w:rsid w:val="009D589E"/>
    <w:rsid w:val="009E0C50"/>
    <w:rsid w:val="009F7F44"/>
    <w:rsid w:val="009F7FBF"/>
    <w:rsid w:val="00A002CF"/>
    <w:rsid w:val="00A14D5A"/>
    <w:rsid w:val="00A17016"/>
    <w:rsid w:val="00A17E30"/>
    <w:rsid w:val="00A230F8"/>
    <w:rsid w:val="00A30998"/>
    <w:rsid w:val="00A577CE"/>
    <w:rsid w:val="00A57EC0"/>
    <w:rsid w:val="00A76B86"/>
    <w:rsid w:val="00A83979"/>
    <w:rsid w:val="00A932B6"/>
    <w:rsid w:val="00A96CD4"/>
    <w:rsid w:val="00AA0960"/>
    <w:rsid w:val="00AA33C1"/>
    <w:rsid w:val="00AA566A"/>
    <w:rsid w:val="00AA5890"/>
    <w:rsid w:val="00AC4086"/>
    <w:rsid w:val="00AC4A2E"/>
    <w:rsid w:val="00AC6FCB"/>
    <w:rsid w:val="00AD1153"/>
    <w:rsid w:val="00AD2030"/>
    <w:rsid w:val="00AD442D"/>
    <w:rsid w:val="00AE7684"/>
    <w:rsid w:val="00AF23FB"/>
    <w:rsid w:val="00AF2B3F"/>
    <w:rsid w:val="00AF7AC8"/>
    <w:rsid w:val="00B00D60"/>
    <w:rsid w:val="00B018F6"/>
    <w:rsid w:val="00B037DB"/>
    <w:rsid w:val="00B10E55"/>
    <w:rsid w:val="00B12035"/>
    <w:rsid w:val="00B22BD7"/>
    <w:rsid w:val="00B23017"/>
    <w:rsid w:val="00B24F52"/>
    <w:rsid w:val="00B26294"/>
    <w:rsid w:val="00B277EA"/>
    <w:rsid w:val="00B31CDE"/>
    <w:rsid w:val="00B31E4B"/>
    <w:rsid w:val="00B454AE"/>
    <w:rsid w:val="00B470F3"/>
    <w:rsid w:val="00B57330"/>
    <w:rsid w:val="00B602AB"/>
    <w:rsid w:val="00B612BD"/>
    <w:rsid w:val="00B631B6"/>
    <w:rsid w:val="00B67429"/>
    <w:rsid w:val="00B74F65"/>
    <w:rsid w:val="00B75FEF"/>
    <w:rsid w:val="00B846ED"/>
    <w:rsid w:val="00B87BAE"/>
    <w:rsid w:val="00B923BF"/>
    <w:rsid w:val="00BA127C"/>
    <w:rsid w:val="00BA4066"/>
    <w:rsid w:val="00BC37A8"/>
    <w:rsid w:val="00BD6904"/>
    <w:rsid w:val="00BD6A9D"/>
    <w:rsid w:val="00BD7514"/>
    <w:rsid w:val="00BE5DF4"/>
    <w:rsid w:val="00BE60EE"/>
    <w:rsid w:val="00BF0579"/>
    <w:rsid w:val="00BF067A"/>
    <w:rsid w:val="00BF3F55"/>
    <w:rsid w:val="00BF5517"/>
    <w:rsid w:val="00C06761"/>
    <w:rsid w:val="00C10779"/>
    <w:rsid w:val="00C11040"/>
    <w:rsid w:val="00C2040E"/>
    <w:rsid w:val="00C24B08"/>
    <w:rsid w:val="00C269C9"/>
    <w:rsid w:val="00C30B56"/>
    <w:rsid w:val="00C44803"/>
    <w:rsid w:val="00C57980"/>
    <w:rsid w:val="00C65D3E"/>
    <w:rsid w:val="00C6755D"/>
    <w:rsid w:val="00C67A2A"/>
    <w:rsid w:val="00C7118F"/>
    <w:rsid w:val="00C75388"/>
    <w:rsid w:val="00C754C5"/>
    <w:rsid w:val="00C83D6D"/>
    <w:rsid w:val="00C905E2"/>
    <w:rsid w:val="00C963A6"/>
    <w:rsid w:val="00C96D78"/>
    <w:rsid w:val="00CB3172"/>
    <w:rsid w:val="00CB3462"/>
    <w:rsid w:val="00CD02C8"/>
    <w:rsid w:val="00CD3CA4"/>
    <w:rsid w:val="00CD4B00"/>
    <w:rsid w:val="00CD6386"/>
    <w:rsid w:val="00CE16BA"/>
    <w:rsid w:val="00CE1BEB"/>
    <w:rsid w:val="00CE32AC"/>
    <w:rsid w:val="00CE44D7"/>
    <w:rsid w:val="00CE55F8"/>
    <w:rsid w:val="00CE741C"/>
    <w:rsid w:val="00CF1E9F"/>
    <w:rsid w:val="00CF35D2"/>
    <w:rsid w:val="00CF7136"/>
    <w:rsid w:val="00D06FC0"/>
    <w:rsid w:val="00D07C0B"/>
    <w:rsid w:val="00D10BB4"/>
    <w:rsid w:val="00D1315D"/>
    <w:rsid w:val="00D20AB8"/>
    <w:rsid w:val="00D22F3D"/>
    <w:rsid w:val="00D32460"/>
    <w:rsid w:val="00D5236C"/>
    <w:rsid w:val="00D62581"/>
    <w:rsid w:val="00D71A25"/>
    <w:rsid w:val="00D71C14"/>
    <w:rsid w:val="00D734FF"/>
    <w:rsid w:val="00D76A76"/>
    <w:rsid w:val="00D80BBF"/>
    <w:rsid w:val="00D86F00"/>
    <w:rsid w:val="00D91C4D"/>
    <w:rsid w:val="00D94FA8"/>
    <w:rsid w:val="00DA2986"/>
    <w:rsid w:val="00DA31CA"/>
    <w:rsid w:val="00DC0D87"/>
    <w:rsid w:val="00DD1CE1"/>
    <w:rsid w:val="00DE7200"/>
    <w:rsid w:val="00E06041"/>
    <w:rsid w:val="00E1502F"/>
    <w:rsid w:val="00E15097"/>
    <w:rsid w:val="00E164AB"/>
    <w:rsid w:val="00E23456"/>
    <w:rsid w:val="00E42CB2"/>
    <w:rsid w:val="00E543DE"/>
    <w:rsid w:val="00E6374C"/>
    <w:rsid w:val="00E670EC"/>
    <w:rsid w:val="00E67FF1"/>
    <w:rsid w:val="00E706BC"/>
    <w:rsid w:val="00E72A27"/>
    <w:rsid w:val="00E748FC"/>
    <w:rsid w:val="00E756FF"/>
    <w:rsid w:val="00E76AF9"/>
    <w:rsid w:val="00E81FDF"/>
    <w:rsid w:val="00E82614"/>
    <w:rsid w:val="00E91D48"/>
    <w:rsid w:val="00E92EDF"/>
    <w:rsid w:val="00EA026D"/>
    <w:rsid w:val="00EB0228"/>
    <w:rsid w:val="00EC2A83"/>
    <w:rsid w:val="00EC4C67"/>
    <w:rsid w:val="00EC5BE2"/>
    <w:rsid w:val="00EC6B5D"/>
    <w:rsid w:val="00ED65EB"/>
    <w:rsid w:val="00EE3703"/>
    <w:rsid w:val="00EF46A3"/>
    <w:rsid w:val="00EF4944"/>
    <w:rsid w:val="00EF5F40"/>
    <w:rsid w:val="00F005D5"/>
    <w:rsid w:val="00F01B30"/>
    <w:rsid w:val="00F10DF7"/>
    <w:rsid w:val="00F14F48"/>
    <w:rsid w:val="00F15006"/>
    <w:rsid w:val="00F16C42"/>
    <w:rsid w:val="00F32A54"/>
    <w:rsid w:val="00F44389"/>
    <w:rsid w:val="00F52E37"/>
    <w:rsid w:val="00F532AA"/>
    <w:rsid w:val="00F60CD7"/>
    <w:rsid w:val="00F73A43"/>
    <w:rsid w:val="00F76033"/>
    <w:rsid w:val="00F77843"/>
    <w:rsid w:val="00F77B82"/>
    <w:rsid w:val="00F825A3"/>
    <w:rsid w:val="00F93832"/>
    <w:rsid w:val="00F93B68"/>
    <w:rsid w:val="00F960D5"/>
    <w:rsid w:val="00F96C15"/>
    <w:rsid w:val="00FB2481"/>
    <w:rsid w:val="00FB53E9"/>
    <w:rsid w:val="00FC60C4"/>
    <w:rsid w:val="00FD20D5"/>
    <w:rsid w:val="00FD4077"/>
    <w:rsid w:val="00FD5163"/>
    <w:rsid w:val="00FD6813"/>
    <w:rsid w:val="00FE33C3"/>
    <w:rsid w:val="00FE5F8B"/>
    <w:rsid w:val="00FE781A"/>
    <w:rsid w:val="00FF2892"/>
    <w:rsid w:val="00FF6FF4"/>
    <w:rsid w:val="02404D35"/>
    <w:rsid w:val="03C52884"/>
    <w:rsid w:val="056367AE"/>
    <w:rsid w:val="058368B9"/>
    <w:rsid w:val="069678E0"/>
    <w:rsid w:val="07C53C61"/>
    <w:rsid w:val="07EF2301"/>
    <w:rsid w:val="07F466BD"/>
    <w:rsid w:val="080E32CB"/>
    <w:rsid w:val="08842993"/>
    <w:rsid w:val="0BD12695"/>
    <w:rsid w:val="103637C5"/>
    <w:rsid w:val="107D2C4D"/>
    <w:rsid w:val="10AD0C8E"/>
    <w:rsid w:val="10C27E1C"/>
    <w:rsid w:val="11242973"/>
    <w:rsid w:val="115D7762"/>
    <w:rsid w:val="11803D70"/>
    <w:rsid w:val="12143CAE"/>
    <w:rsid w:val="12C40564"/>
    <w:rsid w:val="12FE6CB7"/>
    <w:rsid w:val="15646EAB"/>
    <w:rsid w:val="17DF4690"/>
    <w:rsid w:val="19201141"/>
    <w:rsid w:val="19410224"/>
    <w:rsid w:val="194E218D"/>
    <w:rsid w:val="19713DA8"/>
    <w:rsid w:val="19F57DDF"/>
    <w:rsid w:val="1AC637F6"/>
    <w:rsid w:val="1B176E1F"/>
    <w:rsid w:val="1C9733A2"/>
    <w:rsid w:val="1CBD25D2"/>
    <w:rsid w:val="1D707EC0"/>
    <w:rsid w:val="1DD95327"/>
    <w:rsid w:val="1FC02F85"/>
    <w:rsid w:val="208331CB"/>
    <w:rsid w:val="219F34E1"/>
    <w:rsid w:val="227455E2"/>
    <w:rsid w:val="2316700E"/>
    <w:rsid w:val="255F3E13"/>
    <w:rsid w:val="255F4DC5"/>
    <w:rsid w:val="25F136FB"/>
    <w:rsid w:val="276A245D"/>
    <w:rsid w:val="27E46AA7"/>
    <w:rsid w:val="28BB2903"/>
    <w:rsid w:val="295C574D"/>
    <w:rsid w:val="298B58FA"/>
    <w:rsid w:val="29C70F80"/>
    <w:rsid w:val="2CD1399C"/>
    <w:rsid w:val="2CF84629"/>
    <w:rsid w:val="2D9F2C2B"/>
    <w:rsid w:val="2F45258E"/>
    <w:rsid w:val="303005A5"/>
    <w:rsid w:val="323F365B"/>
    <w:rsid w:val="326A2AC7"/>
    <w:rsid w:val="33DD3BAE"/>
    <w:rsid w:val="356F4036"/>
    <w:rsid w:val="36142E59"/>
    <w:rsid w:val="36A37D6E"/>
    <w:rsid w:val="36B7329C"/>
    <w:rsid w:val="38493926"/>
    <w:rsid w:val="39B04761"/>
    <w:rsid w:val="39CC7E9A"/>
    <w:rsid w:val="39E466ED"/>
    <w:rsid w:val="3BC33B9A"/>
    <w:rsid w:val="3BE02AA8"/>
    <w:rsid w:val="3D880FBB"/>
    <w:rsid w:val="40BB49F0"/>
    <w:rsid w:val="41B00879"/>
    <w:rsid w:val="420A2F97"/>
    <w:rsid w:val="426E0FC3"/>
    <w:rsid w:val="44626766"/>
    <w:rsid w:val="44CB67BC"/>
    <w:rsid w:val="44DF6569"/>
    <w:rsid w:val="452E6872"/>
    <w:rsid w:val="45476AE1"/>
    <w:rsid w:val="45DA0DB3"/>
    <w:rsid w:val="4636731C"/>
    <w:rsid w:val="47264100"/>
    <w:rsid w:val="47925F25"/>
    <w:rsid w:val="48CE5F60"/>
    <w:rsid w:val="4A4A3D80"/>
    <w:rsid w:val="4ACC6C29"/>
    <w:rsid w:val="4B376723"/>
    <w:rsid w:val="4B5D15DF"/>
    <w:rsid w:val="4CE74D1C"/>
    <w:rsid w:val="4FAC5AE0"/>
    <w:rsid w:val="546F5FE3"/>
    <w:rsid w:val="55423BFF"/>
    <w:rsid w:val="558A14F6"/>
    <w:rsid w:val="55FC5FC6"/>
    <w:rsid w:val="57296CF5"/>
    <w:rsid w:val="58172E51"/>
    <w:rsid w:val="59A20278"/>
    <w:rsid w:val="59FB114B"/>
    <w:rsid w:val="5A51729D"/>
    <w:rsid w:val="5ABC538A"/>
    <w:rsid w:val="5ACF743B"/>
    <w:rsid w:val="5C054CB2"/>
    <w:rsid w:val="5DA62DD9"/>
    <w:rsid w:val="5EA777EF"/>
    <w:rsid w:val="61392987"/>
    <w:rsid w:val="62BE1639"/>
    <w:rsid w:val="655D1AB2"/>
    <w:rsid w:val="65F941F6"/>
    <w:rsid w:val="661E3331"/>
    <w:rsid w:val="66206063"/>
    <w:rsid w:val="685D7FA1"/>
    <w:rsid w:val="699916AE"/>
    <w:rsid w:val="69CD613A"/>
    <w:rsid w:val="6B003543"/>
    <w:rsid w:val="6B550609"/>
    <w:rsid w:val="6C255FA8"/>
    <w:rsid w:val="6C7875B2"/>
    <w:rsid w:val="6D7C668A"/>
    <w:rsid w:val="6DB273E4"/>
    <w:rsid w:val="6E1643BA"/>
    <w:rsid w:val="6F3376D1"/>
    <w:rsid w:val="6F5D444C"/>
    <w:rsid w:val="6F665522"/>
    <w:rsid w:val="6FF405EE"/>
    <w:rsid w:val="70BB20D2"/>
    <w:rsid w:val="72B603FC"/>
    <w:rsid w:val="72E00894"/>
    <w:rsid w:val="749C7AA7"/>
    <w:rsid w:val="76465916"/>
    <w:rsid w:val="76791653"/>
    <w:rsid w:val="76A21F24"/>
    <w:rsid w:val="770A62D8"/>
    <w:rsid w:val="79CB37DD"/>
    <w:rsid w:val="7A846E66"/>
    <w:rsid w:val="7BCC6FF4"/>
    <w:rsid w:val="7CCF6560"/>
    <w:rsid w:val="7D3220CD"/>
    <w:rsid w:val="7D3A52B3"/>
    <w:rsid w:val="7F7F15C4"/>
    <w:rsid w:val="7FFF64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12"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37"/>
    <w:qFormat/>
    <w:uiPriority w:val="0"/>
    <w:pPr>
      <w:keepNext/>
      <w:tabs>
        <w:tab w:val="left" w:pos="480"/>
      </w:tabs>
      <w:spacing w:line="360" w:lineRule="auto"/>
      <w:ind w:firstLine="0" w:firstLineChars="0"/>
      <w:jc w:val="center"/>
      <w:outlineLvl w:val="0"/>
    </w:pPr>
    <w:rPr>
      <w:b/>
      <w:sz w:val="36"/>
      <w:szCs w:val="20"/>
    </w:rPr>
  </w:style>
  <w:style w:type="paragraph" w:styleId="4">
    <w:name w:val="heading 2"/>
    <w:basedOn w:val="1"/>
    <w:next w:val="1"/>
    <w:link w:val="36"/>
    <w:unhideWhenUsed/>
    <w:qFormat/>
    <w:uiPriority w:val="9"/>
    <w:pPr>
      <w:keepNext/>
      <w:keepLines/>
      <w:spacing w:line="240" w:lineRule="auto"/>
      <w:ind w:firstLine="0" w:firstLineChars="0"/>
      <w:jc w:val="left"/>
      <w:outlineLvl w:val="1"/>
    </w:pPr>
    <w:rPr>
      <w:rFonts w:asciiTheme="majorHAnsi" w:hAnsiTheme="majorHAnsi" w:cstheme="majorBidi"/>
      <w:b/>
      <w:bCs/>
      <w:sz w:val="28"/>
      <w:szCs w:val="32"/>
    </w:rPr>
  </w:style>
  <w:style w:type="paragraph" w:styleId="5">
    <w:name w:val="heading 3"/>
    <w:basedOn w:val="1"/>
    <w:next w:val="1"/>
    <w:link w:val="44"/>
    <w:unhideWhenUsed/>
    <w:qFormat/>
    <w:uiPriority w:val="9"/>
    <w:pPr>
      <w:keepNext/>
      <w:keepLines/>
      <w:ind w:firstLine="0" w:firstLineChars="0"/>
      <w:outlineLvl w:val="2"/>
    </w:pPr>
    <w:rPr>
      <w:b/>
      <w:bCs/>
      <w:sz w:val="28"/>
      <w:szCs w:val="32"/>
    </w:rPr>
  </w:style>
  <w:style w:type="paragraph" w:styleId="6">
    <w:name w:val="heading 4"/>
    <w:basedOn w:val="1"/>
    <w:next w:val="1"/>
    <w:link w:val="48"/>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7">
    <w:name w:val="heading 5"/>
    <w:basedOn w:val="1"/>
    <w:next w:val="1"/>
    <w:unhideWhenUsed/>
    <w:qFormat/>
    <w:uiPriority w:val="9"/>
    <w:pPr>
      <w:keepNext/>
      <w:keepLines/>
      <w:numPr>
        <w:ilvl w:val="4"/>
        <w:numId w:val="1"/>
      </w:numPr>
      <w:spacing w:before="280" w:after="290"/>
      <w:ind w:firstLine="200"/>
      <w:outlineLvl w:val="4"/>
    </w:pPr>
    <w:rPr>
      <w:rFonts w:cstheme="minorBidi"/>
      <w:b/>
      <w:bCs/>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1"/>
    <w:qFormat/>
    <w:uiPriority w:val="0"/>
    <w:pPr>
      <w:spacing w:after="120"/>
    </w:pPr>
    <w:rPr>
      <w:rFonts w:asciiTheme="minorHAnsi" w:hAnsiTheme="minorHAnsi" w:eastAsiaTheme="minorEastAsia" w:cstheme="minorBidi"/>
      <w:sz w:val="21"/>
    </w:rPr>
  </w:style>
  <w:style w:type="paragraph" w:styleId="8">
    <w:name w:val="Normal Indent"/>
    <w:basedOn w:val="1"/>
    <w:unhideWhenUsed/>
    <w:qFormat/>
    <w:uiPriority w:val="99"/>
    <w:pPr>
      <w:ind w:firstLine="420"/>
    </w:pPr>
  </w:style>
  <w:style w:type="paragraph" w:styleId="9">
    <w:name w:val="Document Map"/>
    <w:basedOn w:val="1"/>
    <w:link w:val="55"/>
    <w:qFormat/>
    <w:uiPriority w:val="0"/>
    <w:pPr>
      <w:spacing w:line="240" w:lineRule="auto"/>
      <w:ind w:firstLine="0" w:firstLineChars="0"/>
    </w:pPr>
    <w:rPr>
      <w:rFonts w:ascii="宋体" w:hAnsi="Calibri"/>
      <w:sz w:val="18"/>
      <w:szCs w:val="18"/>
    </w:rPr>
  </w:style>
  <w:style w:type="paragraph" w:styleId="10">
    <w:name w:val="toa heading"/>
    <w:basedOn w:val="1"/>
    <w:next w:val="1"/>
    <w:qFormat/>
    <w:uiPriority w:val="0"/>
    <w:pPr>
      <w:spacing w:before="120"/>
    </w:pPr>
    <w:rPr>
      <w:rFonts w:ascii="Arial" w:hAnsi="Arial"/>
    </w:rPr>
  </w:style>
  <w:style w:type="paragraph" w:styleId="11">
    <w:name w:val="annotation text"/>
    <w:basedOn w:val="1"/>
    <w:link w:val="83"/>
    <w:unhideWhenUsed/>
    <w:qFormat/>
    <w:uiPriority w:val="99"/>
    <w:pPr>
      <w:spacing w:line="500" w:lineRule="exact"/>
    </w:pPr>
    <w:rPr>
      <w:rFonts w:cstheme="minorBidi"/>
      <w:szCs w:val="21"/>
      <w:lang w:val="en-GB"/>
    </w:rPr>
  </w:style>
  <w:style w:type="paragraph" w:styleId="12">
    <w:name w:val="Body Text Indent"/>
    <w:basedOn w:val="1"/>
    <w:next w:val="1"/>
    <w:link w:val="43"/>
    <w:unhideWhenUsed/>
    <w:qFormat/>
    <w:uiPriority w:val="99"/>
    <w:pPr>
      <w:spacing w:after="120"/>
      <w:ind w:left="420" w:leftChars="200"/>
    </w:pPr>
  </w:style>
  <w:style w:type="paragraph" w:styleId="13">
    <w:name w:val="List 2"/>
    <w:basedOn w:val="1"/>
    <w:qFormat/>
    <w:uiPriority w:val="0"/>
    <w:pPr>
      <w:ind w:left="200" w:leftChars="200" w:hanging="200" w:hangingChars="200"/>
    </w:pPr>
  </w:style>
  <w:style w:type="paragraph" w:styleId="14">
    <w:name w:val="Plain Text"/>
    <w:basedOn w:val="1"/>
    <w:next w:val="1"/>
    <w:link w:val="58"/>
    <w:qFormat/>
    <w:uiPriority w:val="0"/>
    <w:pPr>
      <w:spacing w:line="240" w:lineRule="auto"/>
      <w:ind w:firstLine="0" w:firstLineChars="0"/>
    </w:pPr>
    <w:rPr>
      <w:rFonts w:ascii="宋体" w:hAnsi="Courier New"/>
      <w:sz w:val="21"/>
    </w:rPr>
  </w:style>
  <w:style w:type="paragraph" w:styleId="15">
    <w:name w:val="Date"/>
    <w:basedOn w:val="1"/>
    <w:next w:val="1"/>
    <w:link w:val="53"/>
    <w:semiHidden/>
    <w:unhideWhenUsed/>
    <w:qFormat/>
    <w:uiPriority w:val="99"/>
    <w:pPr>
      <w:ind w:left="100" w:leftChars="2500"/>
    </w:pPr>
  </w:style>
  <w:style w:type="paragraph" w:styleId="16">
    <w:name w:val="Body Text Indent 2"/>
    <w:basedOn w:val="1"/>
    <w:link w:val="65"/>
    <w:semiHidden/>
    <w:unhideWhenUsed/>
    <w:qFormat/>
    <w:uiPriority w:val="99"/>
    <w:pPr>
      <w:spacing w:after="120" w:line="480" w:lineRule="auto"/>
      <w:ind w:left="420" w:leftChars="200"/>
    </w:pPr>
  </w:style>
  <w:style w:type="paragraph" w:styleId="17">
    <w:name w:val="Balloon Text"/>
    <w:basedOn w:val="1"/>
    <w:link w:val="92"/>
    <w:semiHidden/>
    <w:unhideWhenUsed/>
    <w:qFormat/>
    <w:uiPriority w:val="99"/>
    <w:pPr>
      <w:spacing w:line="240" w:lineRule="auto"/>
    </w:pPr>
    <w:rPr>
      <w:sz w:val="18"/>
      <w:szCs w:val="18"/>
    </w:rPr>
  </w:style>
  <w:style w:type="paragraph" w:styleId="18">
    <w:name w:val="footer"/>
    <w:basedOn w:val="1"/>
    <w:link w:val="51"/>
    <w:unhideWhenUsed/>
    <w:qFormat/>
    <w:uiPriority w:val="99"/>
    <w:pPr>
      <w:tabs>
        <w:tab w:val="center" w:pos="4153"/>
        <w:tab w:val="right" w:pos="8306"/>
      </w:tabs>
      <w:snapToGrid w:val="0"/>
      <w:jc w:val="left"/>
    </w:pPr>
    <w:rPr>
      <w:sz w:val="18"/>
      <w:szCs w:val="18"/>
    </w:rPr>
  </w:style>
  <w:style w:type="paragraph" w:styleId="19">
    <w:name w:val="envelope return"/>
    <w:basedOn w:val="1"/>
    <w:qFormat/>
    <w:uiPriority w:val="0"/>
    <w:pPr>
      <w:widowControl/>
      <w:adjustRightInd w:val="0"/>
      <w:snapToGrid w:val="0"/>
      <w:spacing w:after="200"/>
      <w:jc w:val="left"/>
    </w:pPr>
    <w:rPr>
      <w:rFonts w:ascii="Arial" w:hAnsi="Arial" w:eastAsia="微软雅黑"/>
      <w:kern w:val="0"/>
      <w:sz w:val="22"/>
      <w:szCs w:val="22"/>
    </w:rPr>
  </w:style>
  <w:style w:type="paragraph" w:styleId="20">
    <w:name w:val="header"/>
    <w:basedOn w:val="1"/>
    <w:link w:val="5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tabs>
        <w:tab w:val="left" w:pos="1470"/>
        <w:tab w:val="right" w:leader="dot" w:pos="8296"/>
      </w:tabs>
      <w:spacing w:line="240" w:lineRule="exact"/>
      <w:ind w:firstLine="480"/>
    </w:pPr>
  </w:style>
  <w:style w:type="paragraph" w:styleId="22">
    <w:name w:val="List"/>
    <w:basedOn w:val="1"/>
    <w:qFormat/>
    <w:uiPriority w:val="0"/>
    <w:pPr>
      <w:spacing w:line="240" w:lineRule="auto"/>
      <w:ind w:left="200" w:hanging="200" w:hangingChars="200"/>
    </w:pPr>
    <w:rPr>
      <w:rFonts w:ascii="仿宋_GB2312" w:eastAsia="仿宋_GB2312"/>
      <w:sz w:val="28"/>
      <w:szCs w:val="28"/>
    </w:rPr>
  </w:style>
  <w:style w:type="paragraph" w:styleId="23">
    <w:name w:val="Body Text Indent 3"/>
    <w:basedOn w:val="1"/>
    <w:link w:val="66"/>
    <w:semiHidden/>
    <w:unhideWhenUsed/>
    <w:qFormat/>
    <w:uiPriority w:val="99"/>
    <w:pPr>
      <w:spacing w:after="120"/>
      <w:ind w:left="420" w:leftChars="200"/>
    </w:pPr>
    <w:rPr>
      <w:sz w:val="16"/>
      <w:szCs w:val="16"/>
    </w:rPr>
  </w:style>
  <w:style w:type="paragraph" w:styleId="24">
    <w:name w:val="toc 2"/>
    <w:basedOn w:val="1"/>
    <w:next w:val="1"/>
    <w:unhideWhenUsed/>
    <w:qFormat/>
    <w:uiPriority w:val="39"/>
    <w:pPr>
      <w:tabs>
        <w:tab w:val="right" w:leader="dot" w:pos="8296"/>
      </w:tabs>
      <w:spacing w:line="340" w:lineRule="exact"/>
      <w:ind w:left="480" w:leftChars="200" w:firstLine="480"/>
    </w:pPr>
  </w:style>
  <w:style w:type="paragraph" w:styleId="25">
    <w:name w:val="Title"/>
    <w:basedOn w:val="1"/>
    <w:next w:val="1"/>
    <w:link w:val="85"/>
    <w:qFormat/>
    <w:uiPriority w:val="0"/>
    <w:pPr>
      <w:spacing w:line="240" w:lineRule="auto"/>
      <w:ind w:firstLine="0" w:firstLineChars="0"/>
      <w:jc w:val="center"/>
    </w:pPr>
    <w:rPr>
      <w:rFonts w:ascii="Arial" w:hAnsi="Arial"/>
      <w:b/>
      <w:kern w:val="0"/>
      <w:sz w:val="36"/>
      <w:szCs w:val="20"/>
      <w:lang w:eastAsia="en-US"/>
    </w:rPr>
  </w:style>
  <w:style w:type="paragraph" w:styleId="26">
    <w:name w:val="annotation subject"/>
    <w:basedOn w:val="11"/>
    <w:next w:val="11"/>
    <w:link w:val="84"/>
    <w:semiHidden/>
    <w:unhideWhenUsed/>
    <w:qFormat/>
    <w:uiPriority w:val="99"/>
    <w:pPr>
      <w:spacing w:line="312" w:lineRule="auto"/>
      <w:jc w:val="left"/>
    </w:pPr>
    <w:rPr>
      <w:rFonts w:cs="Times New Roman"/>
      <w:b/>
      <w:bCs/>
      <w:szCs w:val="24"/>
      <w:lang w:val="en-US"/>
    </w:rPr>
  </w:style>
  <w:style w:type="paragraph" w:styleId="27">
    <w:name w:val="Body Text First Indent"/>
    <w:basedOn w:val="2"/>
    <w:next w:val="1"/>
    <w:link w:val="72"/>
    <w:semiHidden/>
    <w:unhideWhenUsed/>
    <w:qFormat/>
    <w:uiPriority w:val="99"/>
    <w:pPr>
      <w:ind w:firstLine="420" w:firstLineChars="100"/>
    </w:pPr>
    <w:rPr>
      <w:rFonts w:ascii="Times New Roman" w:hAnsi="Times New Roman" w:eastAsia="宋体" w:cs="Times New Roman"/>
      <w:sz w:val="24"/>
    </w:rPr>
  </w:style>
  <w:style w:type="paragraph" w:styleId="28">
    <w:name w:val="Body Text First Indent 2"/>
    <w:basedOn w:val="12"/>
    <w:next w:val="29"/>
    <w:link w:val="42"/>
    <w:unhideWhenUsed/>
    <w:qFormat/>
    <w:uiPriority w:val="99"/>
    <w:pPr>
      <w:ind w:left="0" w:leftChars="0" w:firstLine="420"/>
    </w:pPr>
  </w:style>
  <w:style w:type="paragraph" w:customStyle="1" w:styleId="29">
    <w:name w:val="文章正文"/>
    <w:basedOn w:val="1"/>
    <w:next w:val="30"/>
    <w:qFormat/>
    <w:uiPriority w:val="0"/>
    <w:pPr>
      <w:spacing w:line="360" w:lineRule="auto"/>
    </w:pPr>
    <w:rPr>
      <w:rFonts w:ascii="Calibri" w:hAnsi="Calibri"/>
    </w:rPr>
  </w:style>
  <w:style w:type="paragraph" w:customStyle="1" w:styleId="30">
    <w:name w:val="公式样式 变量"/>
    <w:qFormat/>
    <w:uiPriority w:val="0"/>
    <w:rPr>
      <w:rFonts w:ascii="Times New Roman" w:hAnsi="Times New Roman" w:eastAsia="宋体" w:cs="Times New Roman"/>
      <w:i/>
      <w:lang w:val="en-US" w:eastAsia="zh-CN" w:bidi="ar-SA"/>
    </w:rPr>
  </w:style>
  <w:style w:type="table" w:styleId="32">
    <w:name w:val="Table Grid"/>
    <w:basedOn w:val="3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4">
    <w:name w:val="Hyperlink"/>
    <w:basedOn w:val="33"/>
    <w:unhideWhenUsed/>
    <w:qFormat/>
    <w:uiPriority w:val="99"/>
    <w:rPr>
      <w:color w:val="0000FF" w:themeColor="hyperlink"/>
      <w:u w:val="single"/>
    </w:rPr>
  </w:style>
  <w:style w:type="character" w:styleId="35">
    <w:name w:val="annotation reference"/>
    <w:basedOn w:val="33"/>
    <w:semiHidden/>
    <w:unhideWhenUsed/>
    <w:qFormat/>
    <w:uiPriority w:val="99"/>
    <w:rPr>
      <w:sz w:val="21"/>
      <w:szCs w:val="21"/>
    </w:rPr>
  </w:style>
  <w:style w:type="character" w:customStyle="1" w:styleId="36">
    <w:name w:val="标题 2 Char"/>
    <w:basedOn w:val="33"/>
    <w:link w:val="4"/>
    <w:qFormat/>
    <w:uiPriority w:val="0"/>
    <w:rPr>
      <w:rFonts w:eastAsia="宋体" w:asciiTheme="majorHAnsi" w:hAnsiTheme="majorHAnsi" w:cstheme="majorBidi"/>
      <w:b/>
      <w:bCs/>
      <w:sz w:val="28"/>
      <w:szCs w:val="32"/>
    </w:rPr>
  </w:style>
  <w:style w:type="character" w:customStyle="1" w:styleId="37">
    <w:name w:val="标题 1 Char"/>
    <w:basedOn w:val="33"/>
    <w:link w:val="3"/>
    <w:qFormat/>
    <w:uiPriority w:val="0"/>
    <w:rPr>
      <w:rFonts w:ascii="Times New Roman" w:hAnsi="Times New Roman" w:eastAsia="宋体" w:cs="Times New Roman"/>
      <w:b/>
      <w:sz w:val="36"/>
      <w:szCs w:val="20"/>
    </w:rPr>
  </w:style>
  <w:style w:type="paragraph" w:customStyle="1" w:styleId="38">
    <w:name w:val="表格"/>
    <w:basedOn w:val="1"/>
    <w:qFormat/>
    <w:uiPriority w:val="0"/>
    <w:pPr>
      <w:adjustRightInd w:val="0"/>
      <w:spacing w:line="240" w:lineRule="auto"/>
      <w:ind w:firstLine="0" w:firstLineChars="0"/>
    </w:pPr>
    <w:rPr>
      <w:rFonts w:hint="eastAsia" w:ascii="宋体" w:hAnsi="宋体" w:cs="宋体"/>
      <w:bCs/>
    </w:rPr>
  </w:style>
  <w:style w:type="paragraph" w:customStyle="1" w:styleId="39">
    <w:name w:val="Default"/>
    <w:next w:val="40"/>
    <w:qFormat/>
    <w:uiPriority w:val="0"/>
    <w:pPr>
      <w:widowControl w:val="0"/>
      <w:autoSpaceDE w:val="0"/>
      <w:autoSpaceDN w:val="0"/>
      <w:adjustRightInd w:val="0"/>
    </w:pPr>
    <w:rPr>
      <w:rFonts w:ascii="楷体" w:hAnsi="Arial" w:eastAsia="楷体" w:cs="Arial"/>
      <w:color w:val="000000"/>
      <w:sz w:val="24"/>
      <w:szCs w:val="24"/>
      <w:lang w:val="en-US" w:eastAsia="zh-CN" w:bidi="ar-SA"/>
    </w:rPr>
  </w:style>
  <w:style w:type="paragraph" w:customStyle="1" w:styleId="40">
    <w:name w:val="目录 71"/>
    <w:next w:val="1"/>
    <w:qFormat/>
    <w:uiPriority w:val="0"/>
    <w:pPr>
      <w:wordWrap w:val="0"/>
      <w:ind w:left="2550"/>
      <w:jc w:val="both"/>
    </w:pPr>
    <w:rPr>
      <w:rFonts w:ascii="Times New Roman" w:hAnsi="Times New Roman" w:eastAsia="宋体" w:cs="Times New Roman"/>
      <w:sz w:val="21"/>
      <w:lang w:val="en-US" w:eastAsia="zh-CN" w:bidi="ar-SA"/>
    </w:rPr>
  </w:style>
  <w:style w:type="character" w:customStyle="1" w:styleId="41">
    <w:name w:val="正文文本 Char"/>
    <w:link w:val="2"/>
    <w:qFormat/>
    <w:uiPriority w:val="0"/>
    <w:rPr>
      <w:szCs w:val="24"/>
    </w:rPr>
  </w:style>
  <w:style w:type="character" w:customStyle="1" w:styleId="42">
    <w:name w:val="正文首行缩进 2 Char"/>
    <w:basedOn w:val="43"/>
    <w:link w:val="28"/>
    <w:qFormat/>
    <w:uiPriority w:val="99"/>
    <w:rPr>
      <w:rFonts w:ascii="Times New Roman" w:hAnsi="Times New Roman" w:eastAsia="宋体" w:cs="Times New Roman"/>
      <w:sz w:val="24"/>
      <w:szCs w:val="24"/>
    </w:rPr>
  </w:style>
  <w:style w:type="character" w:customStyle="1" w:styleId="43">
    <w:name w:val="正文文本缩进 Char"/>
    <w:basedOn w:val="33"/>
    <w:link w:val="12"/>
    <w:qFormat/>
    <w:uiPriority w:val="99"/>
    <w:rPr>
      <w:rFonts w:ascii="Times New Roman" w:hAnsi="Times New Roman" w:eastAsia="宋体" w:cs="Times New Roman"/>
      <w:sz w:val="24"/>
      <w:szCs w:val="24"/>
    </w:rPr>
  </w:style>
  <w:style w:type="character" w:customStyle="1" w:styleId="44">
    <w:name w:val="标题 3 Char"/>
    <w:basedOn w:val="33"/>
    <w:link w:val="5"/>
    <w:semiHidden/>
    <w:qFormat/>
    <w:uiPriority w:val="9"/>
    <w:rPr>
      <w:rFonts w:ascii="Times New Roman" w:hAnsi="Times New Roman" w:eastAsia="宋体" w:cs="Times New Roman"/>
      <w:b/>
      <w:bCs/>
      <w:sz w:val="28"/>
      <w:szCs w:val="32"/>
    </w:rPr>
  </w:style>
  <w:style w:type="paragraph" w:customStyle="1" w:styleId="45">
    <w:name w:val="表格格式"/>
    <w:basedOn w:val="1"/>
    <w:qFormat/>
    <w:uiPriority w:val="0"/>
    <w:pPr>
      <w:ind w:firstLine="0" w:firstLineChars="0"/>
      <w:jc w:val="left"/>
    </w:pPr>
    <w:rPr>
      <w:rFonts w:hint="eastAsia" w:ascii="宋体" w:hAnsi="宋体" w:cs="宋体"/>
      <w:color w:val="000000"/>
    </w:rPr>
  </w:style>
  <w:style w:type="paragraph" w:customStyle="1" w:styleId="46">
    <w:name w:val="表格无缩进样式"/>
    <w:basedOn w:val="1"/>
    <w:qFormat/>
    <w:uiPriority w:val="0"/>
    <w:rPr>
      <w:rFonts w:cstheme="minorBidi"/>
      <w:szCs w:val="21"/>
    </w:rPr>
  </w:style>
  <w:style w:type="paragraph" w:customStyle="1" w:styleId="47">
    <w:name w:val="表格2"/>
    <w:basedOn w:val="1"/>
    <w:qFormat/>
    <w:uiPriority w:val="0"/>
    <w:pPr>
      <w:spacing w:line="240" w:lineRule="auto"/>
      <w:ind w:firstLine="0" w:firstLineChars="0"/>
    </w:pPr>
    <w:rPr>
      <w:rFonts w:ascii="宋体" w:hAnsi="宋体"/>
      <w:szCs w:val="32"/>
      <w:lang w:val="zh-CN"/>
    </w:rPr>
  </w:style>
  <w:style w:type="character" w:customStyle="1" w:styleId="48">
    <w:name w:val="标题 4 Char"/>
    <w:basedOn w:val="33"/>
    <w:link w:val="6"/>
    <w:semiHidden/>
    <w:qFormat/>
    <w:uiPriority w:val="9"/>
    <w:rPr>
      <w:rFonts w:asciiTheme="majorHAnsi" w:hAnsiTheme="majorHAnsi" w:eastAsiaTheme="majorEastAsia" w:cstheme="majorBidi"/>
      <w:b/>
      <w:bCs/>
      <w:sz w:val="28"/>
      <w:szCs w:val="28"/>
    </w:rPr>
  </w:style>
  <w:style w:type="paragraph" w:customStyle="1" w:styleId="49">
    <w:name w:val="[Normal]"/>
    <w:qFormat/>
    <w:uiPriority w:val="99"/>
    <w:rPr>
      <w:rFonts w:ascii="宋体" w:hAnsi="宋体" w:eastAsia="宋体" w:cs="Times New Roman"/>
      <w:sz w:val="24"/>
      <w:szCs w:val="22"/>
      <w:lang w:val="zh-CN" w:eastAsia="zh-CN" w:bidi="ar-SA"/>
    </w:rPr>
  </w:style>
  <w:style w:type="character" w:customStyle="1" w:styleId="50">
    <w:name w:val="页眉 Char"/>
    <w:basedOn w:val="33"/>
    <w:link w:val="20"/>
    <w:semiHidden/>
    <w:qFormat/>
    <w:uiPriority w:val="99"/>
    <w:rPr>
      <w:sz w:val="18"/>
      <w:szCs w:val="18"/>
    </w:rPr>
  </w:style>
  <w:style w:type="character" w:customStyle="1" w:styleId="51">
    <w:name w:val="页脚 Char"/>
    <w:basedOn w:val="33"/>
    <w:link w:val="18"/>
    <w:qFormat/>
    <w:uiPriority w:val="99"/>
    <w:rPr>
      <w:sz w:val="18"/>
      <w:szCs w:val="18"/>
    </w:rPr>
  </w:style>
  <w:style w:type="character" w:customStyle="1" w:styleId="52">
    <w:name w:val="正文文本 Char1"/>
    <w:basedOn w:val="33"/>
    <w:semiHidden/>
    <w:qFormat/>
    <w:uiPriority w:val="99"/>
    <w:rPr>
      <w:rFonts w:ascii="Times New Roman" w:hAnsi="Times New Roman" w:eastAsia="宋体" w:cs="Times New Roman"/>
      <w:sz w:val="24"/>
      <w:szCs w:val="24"/>
    </w:rPr>
  </w:style>
  <w:style w:type="character" w:customStyle="1" w:styleId="53">
    <w:name w:val="日期 Char"/>
    <w:basedOn w:val="33"/>
    <w:link w:val="15"/>
    <w:semiHidden/>
    <w:qFormat/>
    <w:uiPriority w:val="99"/>
    <w:rPr>
      <w:rFonts w:ascii="Times New Roman" w:hAnsi="Times New Roman" w:eastAsia="宋体" w:cs="Times New Roman"/>
      <w:sz w:val="24"/>
      <w:szCs w:val="24"/>
    </w:rPr>
  </w:style>
  <w:style w:type="paragraph" w:styleId="54">
    <w:name w:val="List Paragraph"/>
    <w:basedOn w:val="1"/>
    <w:qFormat/>
    <w:uiPriority w:val="0"/>
    <w:pPr>
      <w:ind w:firstLine="420"/>
    </w:pPr>
  </w:style>
  <w:style w:type="character" w:customStyle="1" w:styleId="55">
    <w:name w:val="文档结构图 Char"/>
    <w:basedOn w:val="33"/>
    <w:link w:val="9"/>
    <w:qFormat/>
    <w:uiPriority w:val="0"/>
    <w:rPr>
      <w:rFonts w:ascii="宋体" w:hAnsi="Calibri" w:eastAsia="宋体" w:cs="Times New Roman"/>
      <w:sz w:val="18"/>
      <w:szCs w:val="18"/>
    </w:rPr>
  </w:style>
  <w:style w:type="character" w:customStyle="1" w:styleId="56">
    <w:name w:val="bookmark-item"/>
    <w:basedOn w:val="33"/>
    <w:qFormat/>
    <w:uiPriority w:val="0"/>
  </w:style>
  <w:style w:type="character" w:customStyle="1" w:styleId="57">
    <w:name w:val="纯文本 Char"/>
    <w:basedOn w:val="33"/>
    <w:qFormat/>
    <w:uiPriority w:val="0"/>
    <w:rPr>
      <w:rFonts w:ascii="宋体" w:hAnsi="Courier New" w:eastAsia="宋体" w:cs="Courier New"/>
      <w:szCs w:val="21"/>
    </w:rPr>
  </w:style>
  <w:style w:type="character" w:customStyle="1" w:styleId="58">
    <w:name w:val="纯文本 Char1"/>
    <w:basedOn w:val="33"/>
    <w:link w:val="14"/>
    <w:qFormat/>
    <w:uiPriority w:val="99"/>
    <w:rPr>
      <w:rFonts w:ascii="宋体" w:hAnsi="Courier New" w:eastAsia="宋体" w:cs="Times New Roman"/>
      <w:szCs w:val="24"/>
    </w:rPr>
  </w:style>
  <w:style w:type="character" w:customStyle="1" w:styleId="59">
    <w:name w:val="纯文本 字符"/>
    <w:qFormat/>
    <w:uiPriority w:val="0"/>
    <w:rPr>
      <w:rFonts w:ascii="宋体" w:hAnsi="Courier New"/>
      <w:kern w:val="2"/>
      <w:sz w:val="21"/>
    </w:rPr>
  </w:style>
  <w:style w:type="character" w:customStyle="1" w:styleId="60">
    <w:name w:val="样式1 Char Char"/>
    <w:link w:val="61"/>
    <w:qFormat/>
    <w:uiPriority w:val="0"/>
    <w:rPr>
      <w:rFonts w:ascii="Arial" w:hAnsi="Arial"/>
      <w:szCs w:val="24"/>
    </w:rPr>
  </w:style>
  <w:style w:type="paragraph" w:customStyle="1" w:styleId="61">
    <w:name w:val="样式1"/>
    <w:basedOn w:val="1"/>
    <w:link w:val="60"/>
    <w:qFormat/>
    <w:uiPriority w:val="0"/>
    <w:pPr>
      <w:spacing w:line="360" w:lineRule="exact"/>
    </w:pPr>
    <w:rPr>
      <w:rFonts w:ascii="Arial" w:hAnsi="Arial" w:eastAsiaTheme="minorEastAsia" w:cstheme="minorBidi"/>
      <w:sz w:val="21"/>
    </w:rPr>
  </w:style>
  <w:style w:type="character" w:customStyle="1" w:styleId="62">
    <w:name w:val="正文文本缩进 3 Char1"/>
    <w:semiHidden/>
    <w:qFormat/>
    <w:uiPriority w:val="99"/>
    <w:rPr>
      <w:rFonts w:ascii="Times New Roman" w:hAnsi="Times New Roman" w:eastAsia="宋体" w:cs="Times New Roman"/>
      <w:sz w:val="16"/>
      <w:szCs w:val="16"/>
    </w:rPr>
  </w:style>
  <w:style w:type="character" w:customStyle="1" w:styleId="63">
    <w:name w:val="font71"/>
    <w:qFormat/>
    <w:uiPriority w:val="0"/>
    <w:rPr>
      <w:rFonts w:hint="eastAsia" w:ascii="宋体" w:hAnsi="宋体" w:eastAsia="宋体" w:cs="宋体"/>
      <w:b/>
      <w:color w:val="000000"/>
      <w:sz w:val="21"/>
      <w:szCs w:val="21"/>
      <w:u w:val="none"/>
    </w:rPr>
  </w:style>
  <w:style w:type="paragraph" w:customStyle="1" w:styleId="64">
    <w:name w:val="批注框文本1"/>
    <w:basedOn w:val="1"/>
    <w:qFormat/>
    <w:uiPriority w:val="0"/>
    <w:pPr>
      <w:spacing w:line="240" w:lineRule="auto"/>
      <w:ind w:firstLine="0" w:firstLineChars="0"/>
    </w:pPr>
    <w:rPr>
      <w:rFonts w:ascii="Calibri" w:hAnsi="Calibri"/>
      <w:sz w:val="18"/>
      <w:szCs w:val="18"/>
    </w:rPr>
  </w:style>
  <w:style w:type="character" w:customStyle="1" w:styleId="65">
    <w:name w:val="正文文本缩进 2 Char"/>
    <w:basedOn w:val="33"/>
    <w:link w:val="16"/>
    <w:semiHidden/>
    <w:qFormat/>
    <w:uiPriority w:val="99"/>
    <w:rPr>
      <w:rFonts w:ascii="Times New Roman" w:hAnsi="Times New Roman" w:eastAsia="宋体" w:cs="Times New Roman"/>
      <w:sz w:val="24"/>
      <w:szCs w:val="24"/>
    </w:rPr>
  </w:style>
  <w:style w:type="character" w:customStyle="1" w:styleId="66">
    <w:name w:val="正文文本缩进 3 Char"/>
    <w:basedOn w:val="33"/>
    <w:link w:val="23"/>
    <w:semiHidden/>
    <w:qFormat/>
    <w:uiPriority w:val="99"/>
    <w:rPr>
      <w:rFonts w:ascii="Times New Roman" w:hAnsi="Times New Roman" w:eastAsia="宋体" w:cs="Times New Roman"/>
      <w:sz w:val="16"/>
      <w:szCs w:val="16"/>
    </w:rPr>
  </w:style>
  <w:style w:type="paragraph" w:customStyle="1" w:styleId="67">
    <w:name w:val="表内文字"/>
    <w:basedOn w:val="1"/>
    <w:qFormat/>
    <w:uiPriority w:val="0"/>
    <w:pPr>
      <w:tabs>
        <w:tab w:val="left" w:pos="1418"/>
      </w:tabs>
      <w:spacing w:line="360" w:lineRule="auto"/>
      <w:ind w:firstLine="0" w:firstLineChars="0"/>
      <w:jc w:val="center"/>
    </w:pPr>
    <w:rPr>
      <w:rFonts w:hint="eastAsia" w:ascii="仿宋_GB2312" w:eastAsia="仿宋_GB2312"/>
      <w:spacing w:val="-20"/>
      <w:kern w:val="0"/>
    </w:rPr>
  </w:style>
  <w:style w:type="character" w:customStyle="1" w:styleId="68">
    <w:name w:val="gray s"/>
    <w:basedOn w:val="33"/>
    <w:qFormat/>
    <w:uiPriority w:val="0"/>
  </w:style>
  <w:style w:type="paragraph" w:customStyle="1" w:styleId="69">
    <w:name w:val="Proposals body"/>
    <w:basedOn w:val="1"/>
    <w:next w:val="1"/>
    <w:qFormat/>
    <w:uiPriority w:val="0"/>
    <w:pPr>
      <w:widowControl/>
      <w:adjustRightInd w:val="0"/>
      <w:snapToGrid w:val="0"/>
      <w:spacing w:after="200" w:line="360" w:lineRule="auto"/>
      <w:ind w:firstLine="0" w:firstLineChars="0"/>
      <w:jc w:val="left"/>
    </w:pPr>
    <w:rPr>
      <w:rFonts w:ascii="宋体" w:hAnsi="Tahoma" w:eastAsia="仿宋_GB2312"/>
      <w:snapToGrid w:val="0"/>
      <w:color w:val="000000"/>
      <w:kern w:val="0"/>
      <w:sz w:val="22"/>
      <w:szCs w:val="22"/>
    </w:rPr>
  </w:style>
  <w:style w:type="character" w:customStyle="1" w:styleId="70">
    <w:name w:val="gonggao-downline1"/>
    <w:qFormat/>
    <w:uiPriority w:val="0"/>
    <w:rPr>
      <w:b/>
      <w:u w:val="single"/>
    </w:rPr>
  </w:style>
  <w:style w:type="character" w:customStyle="1" w:styleId="71">
    <w:name w:val="font11"/>
    <w:basedOn w:val="33"/>
    <w:qFormat/>
    <w:uiPriority w:val="0"/>
    <w:rPr>
      <w:rFonts w:ascii="宋体" w:hAnsi="宋体" w:eastAsia="宋体" w:cs="宋体"/>
      <w:b/>
      <w:color w:val="000000"/>
      <w:sz w:val="20"/>
      <w:szCs w:val="20"/>
      <w:u w:val="none"/>
    </w:rPr>
  </w:style>
  <w:style w:type="character" w:customStyle="1" w:styleId="72">
    <w:name w:val="正文首行缩进 Char"/>
    <w:basedOn w:val="41"/>
    <w:link w:val="27"/>
    <w:semiHidden/>
    <w:qFormat/>
    <w:uiPriority w:val="99"/>
    <w:rPr>
      <w:rFonts w:ascii="Times New Roman" w:hAnsi="Times New Roman" w:eastAsia="宋体" w:cs="Times New Roman"/>
      <w:sz w:val="24"/>
      <w:szCs w:val="24"/>
    </w:rPr>
  </w:style>
  <w:style w:type="character" w:customStyle="1" w:styleId="73">
    <w:name w:val="font112"/>
    <w:qFormat/>
    <w:uiPriority w:val="0"/>
    <w:rPr>
      <w:rFonts w:hint="default" w:ascii="方正兰亭纤黑简体" w:hAnsi="方正兰亭纤黑简体" w:eastAsia="方正兰亭纤黑简体" w:cs="方正兰亭纤黑简体"/>
      <w:color w:val="000000"/>
      <w:sz w:val="22"/>
      <w:szCs w:val="22"/>
      <w:u w:val="none"/>
    </w:rPr>
  </w:style>
  <w:style w:type="character" w:customStyle="1" w:styleId="74">
    <w:name w:val="large1"/>
    <w:qFormat/>
    <w:uiPriority w:val="0"/>
    <w:rPr>
      <w:rFonts w:hint="eastAsia" w:ascii="宋体" w:hAnsi="宋体" w:eastAsia="宋体"/>
      <w:sz w:val="21"/>
      <w:szCs w:val="21"/>
    </w:rPr>
  </w:style>
  <w:style w:type="table" w:customStyle="1" w:styleId="75">
    <w:name w:val="TableGrid"/>
    <w:qFormat/>
    <w:uiPriority w:val="0"/>
    <w:tblPr>
      <w:tblCellMar>
        <w:top w:w="0" w:type="dxa"/>
        <w:left w:w="0" w:type="dxa"/>
        <w:bottom w:w="0" w:type="dxa"/>
        <w:right w:w="0" w:type="dxa"/>
      </w:tblCellMar>
    </w:tblPr>
  </w:style>
  <w:style w:type="paragraph" w:customStyle="1" w:styleId="76">
    <w:name w:val="Table Text"/>
    <w:basedOn w:val="1"/>
    <w:link w:val="77"/>
    <w:qFormat/>
    <w:uiPriority w:val="0"/>
    <w:pPr>
      <w:topLinePunct/>
      <w:adjustRightInd w:val="0"/>
      <w:snapToGrid w:val="0"/>
      <w:spacing w:before="80" w:after="80" w:line="240" w:lineRule="atLeast"/>
      <w:ind w:firstLine="0" w:firstLineChars="0"/>
      <w:jc w:val="left"/>
    </w:pPr>
    <w:rPr>
      <w:rFonts w:cs="Arial"/>
      <w:snapToGrid w:val="0"/>
      <w:kern w:val="0"/>
      <w:sz w:val="21"/>
      <w:szCs w:val="21"/>
    </w:rPr>
  </w:style>
  <w:style w:type="character" w:customStyle="1" w:styleId="77">
    <w:name w:val="Table Text Char"/>
    <w:basedOn w:val="33"/>
    <w:link w:val="76"/>
    <w:qFormat/>
    <w:uiPriority w:val="0"/>
    <w:rPr>
      <w:rFonts w:ascii="Times New Roman" w:hAnsi="Times New Roman" w:eastAsia="宋体" w:cs="Arial"/>
      <w:snapToGrid w:val="0"/>
      <w:kern w:val="0"/>
      <w:szCs w:val="21"/>
    </w:rPr>
  </w:style>
  <w:style w:type="paragraph" w:customStyle="1" w:styleId="78">
    <w:name w:val="正文1"/>
    <w:basedOn w:val="1"/>
    <w:next w:val="79"/>
    <w:qFormat/>
    <w:uiPriority w:val="0"/>
    <w:pPr>
      <w:spacing w:line="500" w:lineRule="exact"/>
      <w:ind w:firstLine="360"/>
    </w:pPr>
  </w:style>
  <w:style w:type="paragraph" w:customStyle="1" w:styleId="79">
    <w:name w:val="自动更正"/>
    <w:next w:val="8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xl39"/>
    <w:basedOn w:val="1"/>
    <w:next w:val="81"/>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81">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paragraph" w:customStyle="1" w:styleId="82">
    <w:name w:val="样式 表格正文 + 两端对齐"/>
    <w:basedOn w:val="1"/>
    <w:next w:val="78"/>
    <w:qFormat/>
    <w:uiPriority w:val="0"/>
    <w:pPr>
      <w:spacing w:line="300" w:lineRule="auto"/>
      <w:ind w:firstLine="0"/>
    </w:pPr>
  </w:style>
  <w:style w:type="character" w:customStyle="1" w:styleId="83">
    <w:name w:val="批注文字 Char"/>
    <w:basedOn w:val="33"/>
    <w:link w:val="11"/>
    <w:qFormat/>
    <w:uiPriority w:val="99"/>
    <w:rPr>
      <w:rFonts w:cstheme="minorBidi"/>
      <w:kern w:val="2"/>
      <w:sz w:val="24"/>
      <w:szCs w:val="21"/>
      <w:lang w:val="en-GB"/>
    </w:rPr>
  </w:style>
  <w:style w:type="character" w:customStyle="1" w:styleId="84">
    <w:name w:val="批注主题 Char"/>
    <w:basedOn w:val="83"/>
    <w:link w:val="26"/>
    <w:semiHidden/>
    <w:qFormat/>
    <w:uiPriority w:val="99"/>
    <w:rPr>
      <w:rFonts w:cstheme="minorBidi"/>
      <w:b/>
      <w:bCs/>
      <w:kern w:val="2"/>
      <w:sz w:val="24"/>
      <w:szCs w:val="24"/>
      <w:lang w:val="en-GB"/>
    </w:rPr>
  </w:style>
  <w:style w:type="character" w:customStyle="1" w:styleId="85">
    <w:name w:val="标题 Char"/>
    <w:basedOn w:val="33"/>
    <w:link w:val="25"/>
    <w:qFormat/>
    <w:uiPriority w:val="0"/>
    <w:rPr>
      <w:rFonts w:ascii="Arial" w:hAnsi="Arial"/>
      <w:b/>
      <w:sz w:val="36"/>
      <w:lang w:eastAsia="en-US"/>
    </w:rPr>
  </w:style>
  <w:style w:type="character" w:customStyle="1" w:styleId="86">
    <w:name w:val="纯文本 Char4"/>
    <w:qFormat/>
    <w:uiPriority w:val="99"/>
    <w:rPr>
      <w:rFonts w:ascii="宋体" w:hAnsi="Courier New" w:eastAsia="宋体"/>
      <w:kern w:val="2"/>
      <w:sz w:val="21"/>
      <w:lang w:val="en-US" w:eastAsia="zh-CN" w:bidi="ar-SA"/>
    </w:rPr>
  </w:style>
  <w:style w:type="paragraph" w:customStyle="1" w:styleId="87">
    <w:name w:val="普通(网站)1"/>
    <w:basedOn w:val="1"/>
    <w:qFormat/>
    <w:uiPriority w:val="0"/>
    <w:pPr>
      <w:widowControl/>
      <w:spacing w:before="100" w:beforeAutospacing="1" w:after="100" w:afterAutospacing="1" w:line="240" w:lineRule="auto"/>
      <w:ind w:firstLine="0" w:firstLineChars="0"/>
      <w:jc w:val="left"/>
    </w:pPr>
    <w:rPr>
      <w:rFonts w:ascii="宋体" w:hAnsi="宋体"/>
      <w:kern w:val="0"/>
    </w:rPr>
  </w:style>
  <w:style w:type="character" w:customStyle="1" w:styleId="88">
    <w:name w:val="15"/>
    <w:qFormat/>
    <w:uiPriority w:val="0"/>
    <w:rPr>
      <w:rFonts w:ascii="??" w:hAnsi="??" w:cs="Times New Roman"/>
    </w:rPr>
  </w:style>
  <w:style w:type="paragraph" w:customStyle="1" w:styleId="89">
    <w:name w:val="p16"/>
    <w:basedOn w:val="1"/>
    <w:qFormat/>
    <w:uiPriority w:val="0"/>
    <w:pPr>
      <w:widowControl/>
      <w:spacing w:after="120" w:line="240" w:lineRule="auto"/>
      <w:ind w:firstLine="0" w:firstLineChars="0"/>
    </w:pPr>
    <w:rPr>
      <w:rFonts w:ascii="仿宋_GB2312" w:hAnsi="宋体" w:eastAsia="仿宋_GB2312" w:cs="宋体"/>
      <w:kern w:val="0"/>
      <w:sz w:val="28"/>
      <w:szCs w:val="28"/>
    </w:rPr>
  </w:style>
  <w:style w:type="paragraph" w:customStyle="1" w:styleId="90">
    <w:name w:val="Table Paragraph"/>
    <w:basedOn w:val="1"/>
    <w:unhideWhenUsed/>
    <w:qFormat/>
    <w:uiPriority w:val="1"/>
    <w:rPr>
      <w:rFonts w:hint="eastAsia"/>
    </w:rPr>
  </w:style>
  <w:style w:type="paragraph" w:customStyle="1" w:styleId="91">
    <w:name w:val="纯文本2"/>
    <w:basedOn w:val="1"/>
    <w:qFormat/>
    <w:uiPriority w:val="0"/>
    <w:pPr>
      <w:adjustRightInd w:val="0"/>
      <w:spacing w:before="50" w:line="240" w:lineRule="auto"/>
      <w:ind w:firstLine="0" w:firstLineChars="0"/>
      <w:jc w:val="left"/>
      <w:textAlignment w:val="baseline"/>
    </w:pPr>
    <w:rPr>
      <w:rFonts w:ascii="宋体" w:hAnsi="宋体"/>
      <w:kern w:val="0"/>
      <w:szCs w:val="20"/>
    </w:rPr>
  </w:style>
  <w:style w:type="character" w:customStyle="1" w:styleId="92">
    <w:name w:val="批注框文本 Char"/>
    <w:basedOn w:val="33"/>
    <w:link w:val="17"/>
    <w:semiHidden/>
    <w:qFormat/>
    <w:uiPriority w:val="99"/>
    <w:rPr>
      <w:kern w:val="2"/>
      <w:sz w:val="18"/>
      <w:szCs w:val="18"/>
    </w:rPr>
  </w:style>
  <w:style w:type="paragraph" w:customStyle="1" w:styleId="93">
    <w:name w:val="表格新"/>
    <w:basedOn w:val="1"/>
    <w:autoRedefine/>
    <w:qFormat/>
    <w:uiPriority w:val="0"/>
    <w:pPr>
      <w:adjustRightInd w:val="0"/>
      <w:spacing w:line="240" w:lineRule="auto"/>
      <w:ind w:firstLine="0" w:firstLineChars="0"/>
    </w:pPr>
    <w:rPr>
      <w:rFonts w:hint="eastAsia" w:ascii="宋体" w:hAnsi="宋体" w:cs="宋体"/>
      <w:bCs/>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8"/>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164E9C-E07B-4E7E-80A4-654B496922D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67</Pages>
  <Words>12992</Words>
  <Characters>14239</Characters>
  <Lines>319</Lines>
  <Paragraphs>89</Paragraphs>
  <TotalTime>3</TotalTime>
  <ScaleCrop>false</ScaleCrop>
  <LinksUpToDate>false</LinksUpToDate>
  <CharactersWithSpaces>14379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2022-04-29T00:48:00Z</dcterms:created>
  <dc:creator>JM</dc:creator>
  <cp:lastModifiedBy>小不点</cp:lastModifiedBy>
  <cp:lastPrinted>2023-07-28T05:22:00Z</cp:lastPrinted>
  <dcterms:modified xsi:type="dcterms:W3CDTF">2025-07-16T07:43:18Z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6FD7D62AA0AE4146A7C02F46B83851A4</vt:lpwstr>
  </property>
  <property fmtid="{D5CDD505-2E9C-101B-9397-08002B2CF9AE}" pid="4" name="KSOTemplateDocerSaveRecord">
    <vt:lpwstr>eyJoZGlkIjoiZDQyODg3NzI4NDIwOGQzNjg0ZTYzODA3MWEyY2ExMjIiLCJ1c2VySWQiOiI5MTE1MjYzMDcifQ==</vt:lpwstr>
  </property>
</Properties>
</file>