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numPr>
          <w:ilvl w:val="0"/>
          <w:numId w:val="0"/>
        </w:numPr>
        <w:spacing w:before="240" w:after="240" w:line="360" w:lineRule="auto"/>
        <w:jc w:val="center"/>
        <w:rPr>
          <w:rFonts w:ascii="华文中宋" w:hAnsi="华文中宋" w:eastAsia="华文中宋" w:cs="华文中宋"/>
          <w:bCs/>
          <w:w w:val="90"/>
          <w:sz w:val="72"/>
          <w:szCs w:val="72"/>
        </w:rPr>
      </w:pPr>
      <w:bookmarkStart w:id="0" w:name="_Toc27568"/>
      <w:bookmarkStart w:id="1" w:name="_Toc27101"/>
      <w:bookmarkStart w:id="2" w:name="_Toc14815"/>
      <w:bookmarkStart w:id="3" w:name="_Toc13383"/>
      <w:bookmarkStart w:id="4" w:name="_Toc27237"/>
      <w:bookmarkStart w:id="5" w:name="_Toc13320"/>
      <w:bookmarkStart w:id="6" w:name="_Toc9024"/>
      <w:bookmarkStart w:id="7" w:name="_Toc31233"/>
      <w:bookmarkStart w:id="8" w:name="_Toc15620"/>
      <w:bookmarkStart w:id="9" w:name="_Toc5674"/>
      <w:bookmarkStart w:id="10" w:name="_Toc440986444"/>
      <w:bookmarkStart w:id="11" w:name="_Toc14814"/>
      <w:bookmarkStart w:id="12" w:name="_Toc22080"/>
      <w:bookmarkStart w:id="13" w:name="_Toc6600"/>
      <w:bookmarkStart w:id="14" w:name="_Toc28924"/>
    </w:p>
    <w:p>
      <w:pPr>
        <w:pStyle w:val="3"/>
        <w:numPr>
          <w:ilvl w:val="0"/>
          <w:numId w:val="0"/>
        </w:numPr>
        <w:spacing w:before="240" w:after="240" w:line="360" w:lineRule="auto"/>
        <w:jc w:val="center"/>
        <w:rPr>
          <w:rFonts w:ascii="华文中宋" w:hAnsi="华文中宋" w:eastAsia="华文中宋" w:cs="华文中宋"/>
          <w:bCs/>
          <w:w w:val="90"/>
          <w:sz w:val="72"/>
          <w:szCs w:val="72"/>
        </w:rPr>
      </w:pPr>
      <w:r>
        <w:rPr>
          <w:rFonts w:hint="eastAsia" w:ascii="华文中宋" w:hAnsi="华文中宋" w:eastAsia="华文中宋" w:cs="华文中宋"/>
          <w:bCs/>
          <w:w w:val="90"/>
          <w:sz w:val="72"/>
          <w:szCs w:val="72"/>
        </w:rPr>
        <w:t>竞争性磋商采购文件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snapToGrid w:val="0"/>
        <w:spacing w:line="400" w:lineRule="exact"/>
        <w:ind w:firstLine="1584" w:firstLineChars="495"/>
        <w:rPr>
          <w:rFonts w:ascii="微软雅黑" w:hAnsi="微软雅黑" w:cs="微软雅黑"/>
          <w:bCs/>
          <w:sz w:val="32"/>
          <w:szCs w:val="32"/>
          <w:lang w:val="zh-CN"/>
        </w:rPr>
      </w:pPr>
    </w:p>
    <w:p>
      <w:pPr>
        <w:snapToGrid w:val="0"/>
        <w:spacing w:line="400" w:lineRule="exact"/>
        <w:ind w:firstLine="1584" w:firstLineChars="495"/>
        <w:rPr>
          <w:rFonts w:ascii="微软雅黑" w:hAnsi="微软雅黑" w:cs="微软雅黑"/>
          <w:bCs/>
          <w:sz w:val="32"/>
          <w:szCs w:val="32"/>
          <w:lang w:val="zh-CN"/>
        </w:rPr>
      </w:pPr>
    </w:p>
    <w:p>
      <w:pPr>
        <w:pStyle w:val="24"/>
        <w:rPr>
          <w:lang w:val="zh-CN"/>
        </w:rPr>
      </w:pPr>
    </w:p>
    <w:p>
      <w:pPr>
        <w:spacing w:line="460" w:lineRule="exact"/>
        <w:ind w:firstLine="640" w:firstLineChars="200"/>
        <w:rPr>
          <w:rFonts w:ascii="微软雅黑" w:hAnsi="微软雅黑" w:cs="微软雅黑"/>
          <w:bCs/>
          <w:sz w:val="32"/>
          <w:szCs w:val="32"/>
          <w:lang w:val="zh-CN"/>
        </w:rPr>
      </w:pPr>
    </w:p>
    <w:p>
      <w:pPr>
        <w:spacing w:line="460" w:lineRule="exact"/>
        <w:ind w:firstLine="640" w:firstLineChars="200"/>
        <w:rPr>
          <w:rFonts w:ascii="微软雅黑" w:hAnsi="微软雅黑" w:cs="微软雅黑"/>
          <w:bCs/>
          <w:sz w:val="32"/>
          <w:szCs w:val="32"/>
          <w:lang w:val="zh-CN"/>
        </w:rPr>
      </w:pPr>
    </w:p>
    <w:p>
      <w:pPr>
        <w:spacing w:line="460" w:lineRule="exact"/>
        <w:rPr>
          <w:rFonts w:ascii="微软雅黑" w:hAnsi="微软雅黑" w:cs="微软雅黑"/>
          <w:bCs/>
          <w:sz w:val="32"/>
          <w:szCs w:val="32"/>
          <w:lang w:val="zh-CN"/>
        </w:rPr>
      </w:pPr>
    </w:p>
    <w:p>
      <w:pPr>
        <w:spacing w:line="460" w:lineRule="exact"/>
        <w:ind w:left="1600" w:hanging="1600" w:hangingChars="500"/>
        <w:rPr>
          <w:rFonts w:ascii="微软雅黑" w:hAnsi="微软雅黑" w:cs="微软雅黑"/>
          <w:bCs/>
          <w:sz w:val="32"/>
          <w:szCs w:val="32"/>
          <w:lang w:val="zh-CN"/>
        </w:rPr>
      </w:pPr>
    </w:p>
    <w:p>
      <w:pPr>
        <w:spacing w:line="360" w:lineRule="auto"/>
        <w:ind w:left="1600" w:hanging="1600" w:hangingChars="500"/>
        <w:rPr>
          <w:rFonts w:ascii="微软雅黑" w:hAnsi="微软雅黑" w:cs="微软雅黑"/>
          <w:bCs/>
          <w:sz w:val="32"/>
          <w:szCs w:val="32"/>
          <w:lang w:val="zh-CN"/>
        </w:rPr>
      </w:pPr>
    </w:p>
    <w:p>
      <w:pPr>
        <w:spacing w:line="360" w:lineRule="auto"/>
        <w:ind w:left="958" w:leftChars="456"/>
        <w:rPr>
          <w:rFonts w:hAnsi="宋体"/>
          <w:spacing w:val="-6"/>
          <w:sz w:val="32"/>
          <w:szCs w:val="32"/>
        </w:rPr>
      </w:pPr>
      <w:r>
        <w:rPr>
          <w:rFonts w:hint="eastAsia" w:ascii="微软雅黑" w:hAnsi="微软雅黑" w:cs="微软雅黑"/>
          <w:bCs/>
          <w:spacing w:val="-6"/>
          <w:sz w:val="32"/>
          <w:szCs w:val="32"/>
          <w:lang w:val="zh-CN"/>
        </w:rPr>
        <w:t>项目名称：</w:t>
      </w:r>
      <w:r>
        <w:rPr>
          <w:rFonts w:hint="eastAsia" w:hAnsi="宋体"/>
          <w:spacing w:val="-6"/>
          <w:sz w:val="32"/>
          <w:szCs w:val="32"/>
        </w:rPr>
        <w:t>龙游石窟景区、龙游民居苑景区票务系统新建项目</w:t>
      </w:r>
    </w:p>
    <w:p>
      <w:pPr>
        <w:spacing w:line="360" w:lineRule="auto"/>
        <w:ind w:left="958" w:leftChars="456"/>
      </w:pPr>
      <w:r>
        <w:rPr>
          <w:rFonts w:hint="eastAsia" w:hAnsi="宋体"/>
          <w:sz w:val="32"/>
          <w:szCs w:val="32"/>
        </w:rPr>
        <w:t>项目</w:t>
      </w:r>
      <w:r>
        <w:rPr>
          <w:rFonts w:hint="eastAsia" w:hAnsi="宋体"/>
          <w:sz w:val="32"/>
          <w:szCs w:val="32"/>
          <w:lang w:val="zh-CN"/>
        </w:rPr>
        <w:t>编号：LYBQGC2021-14</w:t>
      </w:r>
    </w:p>
    <w:p>
      <w:pPr>
        <w:spacing w:line="360" w:lineRule="auto"/>
        <w:ind w:firstLine="960" w:firstLineChars="300"/>
        <w:rPr>
          <w:rFonts w:hAnsi="宋体"/>
          <w:strike/>
          <w:sz w:val="32"/>
          <w:szCs w:val="32"/>
          <w:lang w:val="zh-CN"/>
        </w:rPr>
      </w:pPr>
      <w:r>
        <w:rPr>
          <w:rFonts w:hint="eastAsia" w:hAnsi="宋体"/>
          <w:sz w:val="32"/>
          <w:szCs w:val="32"/>
          <w:lang w:val="zh-CN"/>
        </w:rPr>
        <w:t>采购单位：龙游石窟风景旅游有限公司</w:t>
      </w:r>
    </w:p>
    <w:p>
      <w:pPr>
        <w:spacing w:line="360" w:lineRule="auto"/>
        <w:ind w:firstLine="960" w:firstLineChars="300"/>
        <w:rPr>
          <w:rFonts w:ascii="微软雅黑" w:hAnsi="微软雅黑" w:cs="微软雅黑"/>
          <w:bCs/>
          <w:sz w:val="32"/>
          <w:szCs w:val="32"/>
          <w:lang w:val="zh-CN"/>
        </w:rPr>
      </w:pPr>
      <w:r>
        <w:rPr>
          <w:rFonts w:hint="eastAsia" w:ascii="微软雅黑" w:hAnsi="微软雅黑" w:cs="微软雅黑"/>
          <w:bCs/>
          <w:sz w:val="32"/>
          <w:szCs w:val="32"/>
          <w:lang w:val="zh-CN"/>
        </w:rPr>
        <w:t>代理机构：</w:t>
      </w:r>
      <w:r>
        <w:rPr>
          <w:rFonts w:hint="eastAsia" w:hAnsi="宋体"/>
          <w:sz w:val="32"/>
          <w:szCs w:val="32"/>
          <w:lang w:val="zh-CN"/>
        </w:rPr>
        <w:t>龙游博洽投资咨询有限公司</w:t>
      </w:r>
    </w:p>
    <w:p>
      <w:pPr>
        <w:snapToGrid w:val="0"/>
        <w:jc w:val="center"/>
        <w:rPr>
          <w:rFonts w:ascii="微软雅黑" w:hAnsi="微软雅黑" w:cs="微软雅黑"/>
          <w:sz w:val="36"/>
          <w:szCs w:val="36"/>
          <w:lang w:val="zh-CN"/>
        </w:rPr>
      </w:pPr>
    </w:p>
    <w:p>
      <w:pPr>
        <w:snapToGrid w:val="0"/>
        <w:jc w:val="center"/>
        <w:rPr>
          <w:rFonts w:ascii="微软雅黑" w:hAnsi="微软雅黑" w:cs="微软雅黑"/>
          <w:sz w:val="32"/>
          <w:szCs w:val="32"/>
        </w:rPr>
      </w:pPr>
    </w:p>
    <w:p>
      <w:pPr>
        <w:snapToGrid w:val="0"/>
        <w:jc w:val="center"/>
        <w:rPr>
          <w:rFonts w:ascii="微软雅黑" w:hAnsi="微软雅黑" w:cs="微软雅黑"/>
          <w:sz w:val="32"/>
          <w:szCs w:val="32"/>
        </w:rPr>
      </w:pPr>
    </w:p>
    <w:p>
      <w:pPr>
        <w:snapToGrid w:val="0"/>
        <w:jc w:val="center"/>
        <w:rPr>
          <w:rFonts w:ascii="微软雅黑" w:hAnsi="微软雅黑" w:cs="微软雅黑"/>
          <w:sz w:val="32"/>
          <w:szCs w:val="32"/>
        </w:rPr>
      </w:pPr>
    </w:p>
    <w:p>
      <w:pPr>
        <w:snapToGrid w:val="0"/>
        <w:jc w:val="center"/>
        <w:rPr>
          <w:rFonts w:asciiTheme="minorEastAsia" w:hAnsiTheme="minorEastAsia" w:eastAsiaTheme="minorEastAsia" w:cstheme="minorEastAsia"/>
          <w:b/>
          <w:color w:val="292929"/>
          <w:sz w:val="32"/>
          <w:szCs w:val="32"/>
          <w:lang w:val="zh-CN"/>
        </w:rPr>
      </w:pPr>
      <w:r>
        <w:rPr>
          <w:rFonts w:hint="eastAsia" w:ascii="微软雅黑" w:hAnsi="微软雅黑" w:cs="微软雅黑"/>
          <w:sz w:val="32"/>
          <w:szCs w:val="32"/>
          <w:lang w:val="en-US" w:eastAsia="zh-CN"/>
        </w:rPr>
        <w:t xml:space="preserve">                         </w:t>
      </w:r>
      <w:r>
        <w:rPr>
          <w:rFonts w:hint="eastAsia" w:ascii="微软雅黑" w:hAnsi="微软雅黑" w:cs="微软雅黑"/>
          <w:sz w:val="32"/>
          <w:szCs w:val="32"/>
          <w:lang w:val="zh-CN"/>
        </w:rPr>
        <w:t>二〇</w:t>
      </w:r>
      <w:r>
        <w:rPr>
          <w:rFonts w:hint="eastAsia" w:ascii="微软雅黑" w:hAnsi="微软雅黑" w:cs="微软雅黑"/>
          <w:sz w:val="32"/>
          <w:szCs w:val="32"/>
        </w:rPr>
        <w:t>二一</w:t>
      </w:r>
      <w:r>
        <w:rPr>
          <w:rFonts w:hint="eastAsia" w:ascii="微软雅黑" w:hAnsi="微软雅黑" w:cs="微软雅黑"/>
          <w:sz w:val="32"/>
          <w:szCs w:val="32"/>
          <w:lang w:val="zh-CN"/>
        </w:rPr>
        <w:t>年</w:t>
      </w:r>
      <w:r>
        <w:rPr>
          <w:rFonts w:hint="eastAsia" w:ascii="微软雅黑" w:hAnsi="微软雅黑" w:cs="微软雅黑"/>
          <w:sz w:val="32"/>
          <w:szCs w:val="32"/>
        </w:rPr>
        <w:t>四</w:t>
      </w:r>
      <w:r>
        <w:rPr>
          <w:rFonts w:hint="eastAsia" w:ascii="微软雅黑" w:hAnsi="微软雅黑" w:cs="微软雅黑"/>
          <w:sz w:val="32"/>
          <w:szCs w:val="32"/>
          <w:lang w:val="zh-CN"/>
        </w:rPr>
        <w:t>月</w:t>
      </w:r>
    </w:p>
    <w:p>
      <w:pPr>
        <w:spacing w:line="460" w:lineRule="exact"/>
        <w:jc w:val="center"/>
        <w:rPr>
          <w:rFonts w:asciiTheme="minorEastAsia" w:hAnsiTheme="minorEastAsia" w:eastAsiaTheme="minorEastAsia" w:cstheme="minorEastAsia"/>
          <w:bCs/>
          <w:color w:val="292929"/>
          <w:sz w:val="36"/>
          <w:szCs w:val="36"/>
          <w:lang w:val="zh-CN"/>
        </w:rPr>
      </w:pPr>
    </w:p>
    <w:p>
      <w:pPr>
        <w:spacing w:line="460" w:lineRule="exact"/>
        <w:jc w:val="center"/>
        <w:rPr>
          <w:rFonts w:asciiTheme="minorEastAsia" w:hAnsiTheme="minorEastAsia" w:eastAsiaTheme="minorEastAsia" w:cstheme="minorEastAsia"/>
          <w:bCs/>
          <w:color w:val="292929"/>
          <w:sz w:val="44"/>
          <w:szCs w:val="44"/>
          <w:lang w:val="zh-CN"/>
        </w:rPr>
      </w:pPr>
    </w:p>
    <w:p>
      <w:pPr>
        <w:spacing w:line="460" w:lineRule="exact"/>
        <w:jc w:val="center"/>
        <w:rPr>
          <w:rFonts w:asciiTheme="minorEastAsia" w:hAnsiTheme="minorEastAsia" w:eastAsiaTheme="minorEastAsia" w:cstheme="minorEastAsia"/>
          <w:bCs/>
          <w:color w:val="292929"/>
          <w:sz w:val="44"/>
          <w:szCs w:val="44"/>
          <w:lang w:val="zh-CN"/>
        </w:rPr>
      </w:pPr>
    </w:p>
    <w:p>
      <w:pPr>
        <w:spacing w:line="46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292929"/>
          <w:sz w:val="44"/>
          <w:szCs w:val="44"/>
          <w:lang w:val="zh-CN"/>
        </w:rPr>
        <w:t xml:space="preserve"> 目  录</w:t>
      </w:r>
    </w:p>
    <w:p>
      <w:pPr>
        <w:pStyle w:val="41"/>
        <w:tabs>
          <w:tab w:val="right" w:leader="dot" w:pos="8845"/>
        </w:tabs>
      </w:pPr>
      <w:r>
        <w:rPr>
          <w:rFonts w:asciiTheme="minorEastAsia" w:hAnsiTheme="minorEastAsia" w:eastAsiaTheme="minorEastAsia"/>
        </w:rPr>
        <w:fldChar w:fldCharType="begin"/>
      </w:r>
      <w:r>
        <w:rPr>
          <w:rFonts w:asciiTheme="minorEastAsia" w:hAnsiTheme="minorEastAsia" w:eastAsiaTheme="minorEastAsia"/>
        </w:rPr>
        <w:instrText xml:space="preserve">TOC \o "1-1" \h \u </w:instrText>
      </w:r>
      <w:r>
        <w:rPr>
          <w:rFonts w:asciiTheme="minorEastAsia" w:hAnsiTheme="minorEastAsia" w:eastAsiaTheme="minorEastAsia"/>
        </w:rPr>
        <w:fldChar w:fldCharType="separate"/>
      </w:r>
    </w:p>
    <w:p>
      <w:pPr>
        <w:pStyle w:val="41"/>
        <w:tabs>
          <w:tab w:val="right" w:leader="dot" w:pos="8845"/>
        </w:tabs>
        <w:rPr>
          <w:rStyle w:val="273"/>
          <w:rFonts w:hint="default"/>
          <w:bCs/>
          <w:sz w:val="28"/>
          <w:szCs w:val="28"/>
        </w:rPr>
      </w:pPr>
      <w:r>
        <w:fldChar w:fldCharType="begin"/>
      </w:r>
      <w:r>
        <w:instrText xml:space="preserve"> HYPERLINK \l "_Toc10065" </w:instrText>
      </w:r>
      <w:r>
        <w:fldChar w:fldCharType="separate"/>
      </w:r>
      <w:r>
        <w:rPr>
          <w:rStyle w:val="273"/>
          <w:rFonts w:hint="default"/>
          <w:bCs/>
          <w:sz w:val="28"/>
          <w:szCs w:val="28"/>
        </w:rPr>
        <w:t>第一章 磋商公告</w:t>
      </w:r>
      <w:r>
        <w:rPr>
          <w:rStyle w:val="273"/>
          <w:rFonts w:hint="default"/>
          <w:bCs/>
          <w:sz w:val="28"/>
          <w:szCs w:val="28"/>
        </w:rPr>
        <w:tab/>
      </w:r>
      <w:r>
        <w:rPr>
          <w:rStyle w:val="273"/>
          <w:rFonts w:hint="default"/>
          <w:bCs/>
          <w:sz w:val="28"/>
          <w:szCs w:val="28"/>
        </w:rPr>
        <w:t>3</w:t>
      </w:r>
      <w:r>
        <w:rPr>
          <w:rStyle w:val="273"/>
          <w:rFonts w:hint="default"/>
          <w:bCs/>
          <w:sz w:val="28"/>
          <w:szCs w:val="28"/>
        </w:rPr>
        <w:fldChar w:fldCharType="end"/>
      </w:r>
    </w:p>
    <w:p>
      <w:pPr>
        <w:pStyle w:val="41"/>
        <w:tabs>
          <w:tab w:val="right" w:leader="dot" w:pos="8845"/>
        </w:tabs>
        <w:rPr>
          <w:rStyle w:val="273"/>
          <w:rFonts w:hint="default"/>
          <w:bCs/>
          <w:sz w:val="28"/>
          <w:szCs w:val="28"/>
        </w:rPr>
      </w:pPr>
      <w:r>
        <w:fldChar w:fldCharType="begin"/>
      </w:r>
      <w:r>
        <w:instrText xml:space="preserve"> HYPERLINK \l "_Toc19379" </w:instrText>
      </w:r>
      <w:r>
        <w:fldChar w:fldCharType="separate"/>
      </w:r>
      <w:r>
        <w:rPr>
          <w:rStyle w:val="273"/>
          <w:rFonts w:hint="default"/>
          <w:bCs/>
          <w:sz w:val="28"/>
          <w:szCs w:val="28"/>
        </w:rPr>
        <w:t>第二章 磋商供应商须知前附表</w:t>
      </w:r>
      <w:r>
        <w:rPr>
          <w:rStyle w:val="273"/>
          <w:rFonts w:hint="default"/>
          <w:bCs/>
          <w:sz w:val="28"/>
          <w:szCs w:val="28"/>
        </w:rPr>
        <w:tab/>
      </w:r>
      <w:r>
        <w:rPr>
          <w:rStyle w:val="273"/>
          <w:rFonts w:hint="default"/>
          <w:bCs/>
          <w:sz w:val="28"/>
          <w:szCs w:val="28"/>
        </w:rPr>
        <w:t>7</w:t>
      </w:r>
      <w:r>
        <w:rPr>
          <w:rStyle w:val="273"/>
          <w:rFonts w:hint="default"/>
          <w:bCs/>
          <w:sz w:val="28"/>
          <w:szCs w:val="28"/>
        </w:rPr>
        <w:fldChar w:fldCharType="end"/>
      </w:r>
    </w:p>
    <w:p>
      <w:pPr>
        <w:pStyle w:val="41"/>
        <w:tabs>
          <w:tab w:val="right" w:leader="dot" w:pos="8845"/>
        </w:tabs>
        <w:rPr>
          <w:rStyle w:val="273"/>
          <w:rFonts w:hint="default"/>
          <w:bCs/>
          <w:sz w:val="28"/>
          <w:szCs w:val="28"/>
        </w:rPr>
      </w:pPr>
      <w:r>
        <w:fldChar w:fldCharType="begin"/>
      </w:r>
      <w:r>
        <w:instrText xml:space="preserve"> HYPERLINK \l "_Toc16743" </w:instrText>
      </w:r>
      <w:r>
        <w:fldChar w:fldCharType="separate"/>
      </w:r>
      <w:r>
        <w:rPr>
          <w:rStyle w:val="273"/>
          <w:rFonts w:hint="default"/>
          <w:bCs/>
          <w:sz w:val="28"/>
          <w:szCs w:val="28"/>
        </w:rPr>
        <w:t>第三章  磋商供应商须知</w:t>
      </w:r>
      <w:r>
        <w:rPr>
          <w:rStyle w:val="273"/>
          <w:rFonts w:hint="default"/>
          <w:bCs/>
          <w:sz w:val="28"/>
          <w:szCs w:val="28"/>
        </w:rPr>
        <w:tab/>
      </w:r>
      <w:r>
        <w:rPr>
          <w:rStyle w:val="273"/>
          <w:rFonts w:hint="default"/>
          <w:bCs/>
          <w:sz w:val="28"/>
          <w:szCs w:val="28"/>
        </w:rPr>
        <w:fldChar w:fldCharType="end"/>
      </w:r>
      <w:r>
        <w:rPr>
          <w:rStyle w:val="273"/>
          <w:rFonts w:hint="default"/>
          <w:bCs/>
          <w:sz w:val="28"/>
          <w:szCs w:val="28"/>
        </w:rPr>
        <w:t>9</w:t>
      </w:r>
    </w:p>
    <w:p>
      <w:pPr>
        <w:pStyle w:val="41"/>
        <w:tabs>
          <w:tab w:val="right" w:leader="dot" w:pos="8845"/>
        </w:tabs>
        <w:rPr>
          <w:rStyle w:val="273"/>
          <w:rFonts w:hint="default"/>
          <w:bCs/>
          <w:sz w:val="28"/>
          <w:szCs w:val="28"/>
        </w:rPr>
      </w:pPr>
      <w:r>
        <w:fldChar w:fldCharType="begin"/>
      </w:r>
      <w:r>
        <w:instrText xml:space="preserve"> HYPERLINK \l "_Toc21357" </w:instrText>
      </w:r>
      <w:r>
        <w:fldChar w:fldCharType="separate"/>
      </w:r>
      <w:r>
        <w:rPr>
          <w:rStyle w:val="273"/>
          <w:rFonts w:hint="default"/>
          <w:bCs/>
          <w:sz w:val="28"/>
          <w:szCs w:val="28"/>
        </w:rPr>
        <w:t>第四章 采购货物要求</w:t>
      </w:r>
      <w:r>
        <w:rPr>
          <w:rStyle w:val="273"/>
          <w:rFonts w:hint="default"/>
          <w:bCs/>
          <w:sz w:val="28"/>
          <w:szCs w:val="28"/>
        </w:rPr>
        <w:tab/>
      </w:r>
      <w:r>
        <w:rPr>
          <w:rStyle w:val="273"/>
          <w:rFonts w:hint="default"/>
          <w:bCs/>
          <w:sz w:val="28"/>
          <w:szCs w:val="28"/>
        </w:rPr>
        <w:t>2</w:t>
      </w:r>
      <w:r>
        <w:rPr>
          <w:rStyle w:val="273"/>
          <w:rFonts w:hint="default"/>
          <w:bCs/>
          <w:sz w:val="28"/>
          <w:szCs w:val="28"/>
        </w:rPr>
        <w:fldChar w:fldCharType="end"/>
      </w:r>
      <w:r>
        <w:rPr>
          <w:rStyle w:val="273"/>
          <w:rFonts w:hint="default"/>
          <w:bCs/>
          <w:sz w:val="28"/>
          <w:szCs w:val="28"/>
        </w:rPr>
        <w:t>8</w:t>
      </w:r>
    </w:p>
    <w:p>
      <w:pPr>
        <w:pStyle w:val="41"/>
        <w:tabs>
          <w:tab w:val="right" w:leader="dot" w:pos="8845"/>
        </w:tabs>
        <w:rPr>
          <w:rStyle w:val="273"/>
          <w:rFonts w:hint="default"/>
          <w:bCs/>
          <w:sz w:val="28"/>
          <w:szCs w:val="28"/>
        </w:rPr>
      </w:pPr>
      <w:r>
        <w:fldChar w:fldCharType="begin"/>
      </w:r>
      <w:r>
        <w:instrText xml:space="preserve"> HYPERLINK \l "_Toc1873" </w:instrText>
      </w:r>
      <w:r>
        <w:fldChar w:fldCharType="separate"/>
      </w:r>
      <w:r>
        <w:rPr>
          <w:rStyle w:val="273"/>
          <w:rFonts w:hint="default"/>
          <w:bCs/>
          <w:sz w:val="28"/>
          <w:szCs w:val="28"/>
        </w:rPr>
        <w:t>第五章 合同的通用和专用条款</w:t>
      </w:r>
      <w:r>
        <w:rPr>
          <w:rStyle w:val="273"/>
          <w:rFonts w:hint="default"/>
          <w:bCs/>
          <w:sz w:val="28"/>
          <w:szCs w:val="28"/>
        </w:rPr>
        <w:tab/>
      </w:r>
      <w:r>
        <w:rPr>
          <w:rStyle w:val="273"/>
          <w:rFonts w:hint="default"/>
          <w:bCs/>
          <w:sz w:val="28"/>
          <w:szCs w:val="28"/>
        </w:rPr>
        <w:t>5</w:t>
      </w:r>
      <w:r>
        <w:rPr>
          <w:rStyle w:val="273"/>
          <w:rFonts w:hint="default"/>
          <w:bCs/>
          <w:sz w:val="28"/>
          <w:szCs w:val="28"/>
        </w:rPr>
        <w:fldChar w:fldCharType="end"/>
      </w:r>
      <w:r>
        <w:rPr>
          <w:rStyle w:val="273"/>
          <w:rFonts w:hint="default"/>
          <w:bCs/>
          <w:sz w:val="28"/>
          <w:szCs w:val="28"/>
        </w:rPr>
        <w:t>2</w:t>
      </w:r>
    </w:p>
    <w:p>
      <w:pPr>
        <w:pStyle w:val="41"/>
        <w:tabs>
          <w:tab w:val="right" w:leader="dot" w:pos="8845"/>
        </w:tabs>
        <w:rPr>
          <w:rStyle w:val="273"/>
          <w:rFonts w:hint="default"/>
          <w:bCs/>
          <w:sz w:val="28"/>
          <w:szCs w:val="28"/>
        </w:rPr>
      </w:pPr>
      <w:r>
        <w:fldChar w:fldCharType="begin"/>
      </w:r>
      <w:r>
        <w:instrText xml:space="preserve"> HYPERLINK \l "_Toc12848" </w:instrText>
      </w:r>
      <w:r>
        <w:fldChar w:fldCharType="separate"/>
      </w:r>
      <w:r>
        <w:rPr>
          <w:rStyle w:val="273"/>
          <w:rFonts w:hint="default"/>
          <w:bCs/>
          <w:sz w:val="28"/>
          <w:szCs w:val="28"/>
        </w:rPr>
        <w:t>第六章 磋商响应文件（统一格式部分）</w:t>
      </w:r>
      <w:r>
        <w:rPr>
          <w:rStyle w:val="273"/>
          <w:rFonts w:hint="default"/>
          <w:bCs/>
          <w:sz w:val="28"/>
          <w:szCs w:val="28"/>
        </w:rPr>
        <w:tab/>
      </w:r>
      <w:r>
        <w:rPr>
          <w:rStyle w:val="273"/>
          <w:rFonts w:hint="default"/>
          <w:bCs/>
          <w:sz w:val="28"/>
          <w:szCs w:val="28"/>
        </w:rPr>
        <w:t>5</w:t>
      </w:r>
      <w:r>
        <w:rPr>
          <w:rStyle w:val="273"/>
          <w:rFonts w:hint="default"/>
          <w:bCs/>
          <w:sz w:val="28"/>
          <w:szCs w:val="28"/>
        </w:rPr>
        <w:fldChar w:fldCharType="end"/>
      </w:r>
      <w:r>
        <w:rPr>
          <w:rStyle w:val="273"/>
          <w:rFonts w:hint="default"/>
          <w:bCs/>
          <w:sz w:val="28"/>
          <w:szCs w:val="28"/>
        </w:rPr>
        <w:t>6</w:t>
      </w:r>
    </w:p>
    <w:p>
      <w:pPr>
        <w:pStyle w:val="41"/>
        <w:tabs>
          <w:tab w:val="right" w:leader="dot" w:pos="8845"/>
        </w:tabs>
      </w:pPr>
      <w:r>
        <w:fldChar w:fldCharType="begin"/>
      </w:r>
      <w:r>
        <w:instrText xml:space="preserve"> HYPERLINK \l "_Toc28287" </w:instrText>
      </w:r>
      <w:r>
        <w:fldChar w:fldCharType="separate"/>
      </w:r>
      <w:r>
        <w:rPr>
          <w:rStyle w:val="273"/>
          <w:rFonts w:hint="default"/>
          <w:bCs/>
          <w:sz w:val="28"/>
          <w:szCs w:val="28"/>
        </w:rPr>
        <w:t>第七章 评分细则</w:t>
      </w:r>
      <w:r>
        <w:rPr>
          <w:rStyle w:val="273"/>
          <w:rFonts w:hint="default"/>
          <w:bCs/>
          <w:sz w:val="28"/>
          <w:szCs w:val="28"/>
        </w:rPr>
        <w:tab/>
      </w:r>
      <w:r>
        <w:rPr>
          <w:rStyle w:val="273"/>
          <w:rFonts w:hint="default"/>
          <w:bCs/>
          <w:sz w:val="28"/>
          <w:szCs w:val="28"/>
        </w:rPr>
        <w:t>7</w:t>
      </w:r>
      <w:r>
        <w:rPr>
          <w:rStyle w:val="273"/>
          <w:rFonts w:hint="default"/>
          <w:bCs/>
          <w:sz w:val="28"/>
          <w:szCs w:val="28"/>
        </w:rPr>
        <w:fldChar w:fldCharType="end"/>
      </w:r>
      <w:r>
        <w:rPr>
          <w:rStyle w:val="273"/>
          <w:rFonts w:hint="default"/>
          <w:bCs/>
          <w:sz w:val="28"/>
          <w:szCs w:val="28"/>
        </w:rPr>
        <w:t>2</w:t>
      </w:r>
    </w:p>
    <w:p>
      <w:pPr>
        <w:pStyle w:val="24"/>
        <w:rPr>
          <w:rFonts w:asciiTheme="minorEastAsia" w:hAnsiTheme="minorEastAsia" w:eastAsiaTheme="minorEastAsia"/>
        </w:rPr>
      </w:pPr>
      <w:r>
        <w:rPr>
          <w:rFonts w:asciiTheme="minorEastAsia" w:hAnsiTheme="minorEastAsia" w:eastAsiaTheme="minorEastAsia"/>
        </w:rPr>
        <w:fldChar w:fldCharType="end"/>
      </w:r>
    </w:p>
    <w:p>
      <w:pPr>
        <w:spacing w:line="460" w:lineRule="atLeast"/>
        <w:jc w:val="center"/>
        <w:rPr>
          <w:rFonts w:asciiTheme="minorEastAsia" w:hAnsiTheme="minorEastAsia" w:eastAsiaTheme="minorEastAsia" w:cstheme="minorEastAsia"/>
          <w:b/>
          <w:sz w:val="32"/>
          <w:szCs w:val="32"/>
        </w:rPr>
      </w:pPr>
    </w:p>
    <w:p>
      <w:pPr>
        <w:pStyle w:val="24"/>
        <w:rPr>
          <w:rFonts w:asciiTheme="minorEastAsia" w:hAnsiTheme="minorEastAsia" w:eastAsiaTheme="minorEastAsia" w:cstheme="minorEastAsia"/>
          <w:b/>
          <w:sz w:val="32"/>
          <w:szCs w:val="32"/>
        </w:rPr>
      </w:pPr>
    </w:p>
    <w:p>
      <w:pPr>
        <w:pStyle w:val="57"/>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p>
    <w:p>
      <w:pPr>
        <w:pStyle w:val="24"/>
        <w:rPr>
          <w:rFonts w:asciiTheme="minorEastAsia" w:hAnsiTheme="minorEastAsia" w:eastAsiaTheme="minorEastAsia" w:cstheme="minorEastAsia"/>
          <w:b/>
          <w:sz w:val="32"/>
          <w:szCs w:val="32"/>
        </w:rPr>
      </w:pPr>
    </w:p>
    <w:p>
      <w:pPr>
        <w:pStyle w:val="57"/>
        <w:rPr>
          <w:rFonts w:asciiTheme="minorEastAsia" w:hAnsiTheme="minorEastAsia" w:eastAsiaTheme="minorEastAsia" w:cstheme="minorEastAsia"/>
          <w:b/>
          <w:sz w:val="32"/>
          <w:szCs w:val="32"/>
        </w:rPr>
      </w:pPr>
    </w:p>
    <w:p>
      <w:pPr>
        <w:rPr>
          <w:rFonts w:asciiTheme="minorEastAsia" w:hAnsiTheme="minorEastAsia" w:eastAsiaTheme="minorEastAsia" w:cstheme="minorEastAsia"/>
          <w:b/>
          <w:sz w:val="32"/>
          <w:szCs w:val="32"/>
        </w:rPr>
      </w:pPr>
    </w:p>
    <w:p>
      <w:pPr>
        <w:pStyle w:val="24"/>
      </w:pPr>
    </w:p>
    <w:p>
      <w:pPr>
        <w:pStyle w:val="57"/>
      </w:pPr>
    </w:p>
    <w:p/>
    <w:p>
      <w:pPr>
        <w:spacing w:line="460" w:lineRule="atLeast"/>
        <w:jc w:val="center"/>
        <w:outlineLvl w:val="0"/>
        <w:rPr>
          <w:rStyle w:val="273"/>
          <w:rFonts w:hint="default" w:asciiTheme="majorEastAsia" w:hAnsiTheme="majorEastAsia" w:eastAsiaTheme="majorEastAsia" w:cstheme="majorEastAsia"/>
          <w:sz w:val="32"/>
          <w:szCs w:val="32"/>
        </w:rPr>
        <w:sectPr>
          <w:headerReference r:id="rId4" w:type="first"/>
          <w:footerReference r:id="rId6" w:type="first"/>
          <w:headerReference r:id="rId3" w:type="default"/>
          <w:footerReference r:id="rId5" w:type="default"/>
          <w:pgSz w:w="11906" w:h="16838"/>
          <w:pgMar w:top="1928" w:right="1361" w:bottom="1814" w:left="1474" w:header="850" w:footer="992" w:gutter="0"/>
          <w:pgBorders>
            <w:top w:val="none" w:sz="0" w:space="0"/>
            <w:left w:val="none" w:sz="0" w:space="0"/>
            <w:bottom w:val="none" w:sz="0" w:space="0"/>
            <w:right w:val="none" w:sz="0" w:space="0"/>
          </w:pgBorders>
          <w:cols w:space="0" w:num="1"/>
          <w:titlePg/>
          <w:docGrid w:type="lines" w:linePitch="325" w:charSpace="0"/>
        </w:sectPr>
      </w:pPr>
      <w:bookmarkStart w:id="15" w:name="_Toc10065"/>
    </w:p>
    <w:bookmarkEnd w:id="15"/>
    <w:p>
      <w:pPr>
        <w:pStyle w:val="3"/>
        <w:numPr>
          <w:ilvl w:val="0"/>
          <w:numId w:val="0"/>
        </w:numPr>
        <w:tabs>
          <w:tab w:val="left" w:pos="480"/>
        </w:tabs>
        <w:spacing w:before="240" w:after="240"/>
        <w:jc w:val="center"/>
        <w:rPr>
          <w:rFonts w:ascii="宋体" w:hAnsi="宋体" w:eastAsia="宋体" w:cs="宋体"/>
          <w:sz w:val="28"/>
          <w:szCs w:val="28"/>
        </w:rPr>
      </w:pPr>
      <w:r>
        <w:rPr>
          <w:rFonts w:hint="eastAsia" w:ascii="宋体" w:hAnsi="宋体" w:eastAsia="宋体" w:cs="宋体"/>
        </w:rPr>
        <w:t>第一章  磋商公告</w:t>
      </w:r>
    </w:p>
    <w:p>
      <w:pPr>
        <w:snapToGrid w:val="0"/>
        <w:spacing w:line="360" w:lineRule="auto"/>
        <w:ind w:firstLine="560" w:firstLineChars="200"/>
        <w:rPr>
          <w:rFonts w:ascii="宋体" w:hAnsi="宋体" w:cs="宋体"/>
          <w:b/>
          <w:sz w:val="28"/>
          <w:szCs w:val="28"/>
        </w:rPr>
      </w:pPr>
      <w:r>
        <w:rPr>
          <w:rFonts w:hint="eastAsia" w:ascii="宋体" w:hAnsi="宋体" w:cs="宋体"/>
          <w:sz w:val="28"/>
          <w:szCs w:val="28"/>
        </w:rPr>
        <w:t>根据《中华人民共和国政府采购法》及政府采购管理有关规定，</w:t>
      </w:r>
      <w:r>
        <w:rPr>
          <w:rFonts w:hint="eastAsia" w:ascii="宋体" w:hAnsi="宋体" w:cs="宋体"/>
          <w:sz w:val="28"/>
          <w:szCs w:val="28"/>
          <w:lang w:val="zh-CN"/>
        </w:rPr>
        <w:t>龙游博洽投资咨询有限公司受</w:t>
      </w:r>
      <w:r>
        <w:rPr>
          <w:rFonts w:hint="eastAsia" w:ascii="宋体" w:hAnsi="宋体" w:cs="宋体"/>
          <w:color w:val="000000"/>
          <w:sz w:val="28"/>
          <w:szCs w:val="28"/>
        </w:rPr>
        <w:t>龙游石窟风景旅游有限公司</w:t>
      </w:r>
      <w:r>
        <w:rPr>
          <w:rFonts w:hint="eastAsia" w:ascii="宋体" w:hAnsi="宋体" w:cs="宋体"/>
          <w:sz w:val="28"/>
          <w:szCs w:val="28"/>
        </w:rPr>
        <w:t>委托，现就</w:t>
      </w:r>
      <w:r>
        <w:rPr>
          <w:rFonts w:hint="eastAsia" w:ascii="宋体" w:hAnsi="宋体" w:cs="宋体"/>
          <w:color w:val="000000"/>
          <w:sz w:val="28"/>
          <w:szCs w:val="28"/>
        </w:rPr>
        <w:t>龙游石窟景区、龙游民居苑景区票务系统新建项目</w:t>
      </w:r>
      <w:r>
        <w:rPr>
          <w:rFonts w:hint="eastAsia" w:ascii="宋体" w:hAnsi="宋体" w:cs="宋体"/>
          <w:sz w:val="28"/>
          <w:szCs w:val="28"/>
        </w:rPr>
        <w:t>组织竞</w:t>
      </w:r>
      <w:r>
        <w:rPr>
          <w:rFonts w:hint="eastAsia" w:ascii="宋体" w:hAnsi="宋体" w:cs="宋体"/>
          <w:color w:val="000000"/>
          <w:kern w:val="0"/>
          <w:sz w:val="28"/>
          <w:szCs w:val="28"/>
        </w:rPr>
        <w:t>争性磋商采购活动，</w:t>
      </w:r>
      <w:r>
        <w:rPr>
          <w:rFonts w:hint="eastAsia" w:ascii="宋体" w:hAnsi="宋体" w:cs="宋体"/>
          <w:sz w:val="28"/>
          <w:szCs w:val="28"/>
        </w:rPr>
        <w:t>欢迎符合本项目资质条件的供应商参与磋商。</w:t>
      </w:r>
    </w:p>
    <w:p>
      <w:pPr>
        <w:spacing w:line="460" w:lineRule="exact"/>
        <w:rPr>
          <w:rFonts w:ascii="宋体" w:hAnsi="宋体" w:cs="宋体"/>
          <w:b/>
          <w:sz w:val="28"/>
          <w:szCs w:val="28"/>
        </w:rPr>
      </w:pPr>
      <w:r>
        <w:rPr>
          <w:rFonts w:hint="eastAsia" w:ascii="宋体" w:hAnsi="宋体" w:cs="宋体"/>
          <w:b/>
          <w:sz w:val="28"/>
          <w:szCs w:val="28"/>
        </w:rPr>
        <w:t>一、项目基本情况</w:t>
      </w:r>
    </w:p>
    <w:p>
      <w:pPr>
        <w:spacing w:line="460" w:lineRule="exact"/>
        <w:ind w:firstLine="560" w:firstLineChars="200"/>
        <w:rPr>
          <w:rFonts w:ascii="宋体" w:hAnsi="宋体" w:cs="宋体"/>
          <w:sz w:val="28"/>
          <w:szCs w:val="28"/>
        </w:rPr>
      </w:pPr>
      <w:r>
        <w:rPr>
          <w:rFonts w:hint="eastAsia" w:ascii="宋体" w:hAnsi="宋体" w:cs="宋体"/>
          <w:color w:val="242424"/>
          <w:sz w:val="28"/>
          <w:szCs w:val="28"/>
        </w:rPr>
        <w:t>项目编号：</w:t>
      </w:r>
      <w:r>
        <w:rPr>
          <w:rFonts w:hint="eastAsia" w:ascii="宋体" w:hAnsi="宋体" w:cs="宋体"/>
          <w:sz w:val="28"/>
          <w:szCs w:val="28"/>
        </w:rPr>
        <w:t>LYBQGC2021-14</w:t>
      </w:r>
    </w:p>
    <w:p>
      <w:pPr>
        <w:snapToGrid w:val="0"/>
        <w:spacing w:line="460" w:lineRule="exact"/>
        <w:ind w:firstLine="560" w:firstLineChars="200"/>
        <w:rPr>
          <w:rFonts w:ascii="宋体" w:hAnsi="宋体" w:cs="宋体"/>
          <w:color w:val="auto"/>
          <w:sz w:val="28"/>
          <w:szCs w:val="28"/>
        </w:rPr>
      </w:pPr>
      <w:r>
        <w:rPr>
          <w:rFonts w:hint="eastAsia" w:ascii="宋体" w:hAnsi="宋体" w:cs="宋体"/>
          <w:sz w:val="28"/>
          <w:szCs w:val="28"/>
        </w:rPr>
        <w:t>项目名称：</w:t>
      </w:r>
      <w:r>
        <w:rPr>
          <w:rFonts w:hint="eastAsia" w:ascii="宋体" w:hAnsi="宋体" w:cs="宋体"/>
          <w:color w:val="auto"/>
          <w:sz w:val="28"/>
          <w:szCs w:val="28"/>
        </w:rPr>
        <w:t>龙游石窟景区、龙游民居苑景区票务系统新建项目</w:t>
      </w:r>
    </w:p>
    <w:p>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预算金额：49万元</w:t>
      </w:r>
    </w:p>
    <w:p>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最高限价：49万元</w:t>
      </w:r>
    </w:p>
    <w:p>
      <w:pPr>
        <w:snapToGrid w:val="0"/>
        <w:spacing w:line="360" w:lineRule="atLeast"/>
        <w:ind w:firstLine="562" w:firstLineChars="200"/>
        <w:outlineLvl w:val="1"/>
        <w:rPr>
          <w:rFonts w:ascii="宋体" w:hAnsi="宋体" w:cs="宋体"/>
          <w:b/>
          <w:color w:val="auto"/>
          <w:sz w:val="28"/>
          <w:szCs w:val="28"/>
        </w:rPr>
      </w:pPr>
      <w:r>
        <w:rPr>
          <w:rFonts w:hint="eastAsia" w:ascii="宋体" w:hAnsi="宋体" w:cs="宋体"/>
          <w:b/>
          <w:color w:val="auto"/>
          <w:sz w:val="28"/>
          <w:szCs w:val="28"/>
        </w:rPr>
        <w:t>二、磋商项目简要说明</w:t>
      </w:r>
    </w:p>
    <w:tbl>
      <w:tblPr>
        <w:tblStyle w:val="60"/>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80"/>
        <w:gridCol w:w="2915"/>
        <w:gridCol w:w="933"/>
        <w:gridCol w:w="917"/>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序号</w:t>
            </w:r>
          </w:p>
        </w:tc>
        <w:tc>
          <w:tcPr>
            <w:tcW w:w="21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采购人</w:t>
            </w:r>
          </w:p>
        </w:tc>
        <w:tc>
          <w:tcPr>
            <w:tcW w:w="291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采购需求</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单位</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数量</w:t>
            </w:r>
          </w:p>
        </w:tc>
        <w:tc>
          <w:tcPr>
            <w:tcW w:w="13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预算</w:t>
            </w:r>
          </w:p>
          <w:p>
            <w:pPr>
              <w:spacing w:line="460" w:lineRule="exact"/>
              <w:jc w:val="center"/>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pStyle w:val="24"/>
              <w:spacing w:line="460" w:lineRule="atLeast"/>
              <w:jc w:val="center"/>
              <w:rPr>
                <w:rFonts w:ascii="宋体" w:hAnsi="宋体" w:cs="宋体"/>
                <w:bCs/>
                <w:color w:val="auto"/>
                <w:sz w:val="28"/>
                <w:szCs w:val="28"/>
              </w:rPr>
            </w:pPr>
            <w:r>
              <w:rPr>
                <w:rFonts w:hint="eastAsia" w:ascii="宋体" w:hAnsi="宋体" w:cs="宋体"/>
                <w:bCs/>
                <w:color w:val="auto"/>
                <w:sz w:val="28"/>
                <w:szCs w:val="28"/>
              </w:rPr>
              <w:t>1</w:t>
            </w:r>
          </w:p>
        </w:tc>
        <w:tc>
          <w:tcPr>
            <w:tcW w:w="218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auto"/>
                <w:sz w:val="28"/>
                <w:szCs w:val="28"/>
              </w:rPr>
            </w:pPr>
            <w:r>
              <w:rPr>
                <w:rFonts w:hint="eastAsia" w:ascii="宋体" w:hAnsi="宋体" w:cs="宋体"/>
                <w:bCs/>
                <w:color w:val="auto"/>
                <w:sz w:val="28"/>
                <w:szCs w:val="28"/>
              </w:rPr>
              <w:t>龙游石窟风景旅游有限公司</w:t>
            </w:r>
          </w:p>
        </w:tc>
        <w:tc>
          <w:tcPr>
            <w:tcW w:w="291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Cs/>
                <w:color w:val="auto"/>
                <w:sz w:val="28"/>
                <w:szCs w:val="28"/>
              </w:rPr>
            </w:pPr>
            <w:r>
              <w:rPr>
                <w:rFonts w:hint="eastAsia" w:ascii="宋体" w:hAnsi="宋体" w:cs="宋体"/>
                <w:bCs/>
                <w:color w:val="auto"/>
                <w:sz w:val="28"/>
                <w:szCs w:val="28"/>
              </w:rPr>
              <w:t>详见第四章采购需求</w:t>
            </w:r>
          </w:p>
        </w:tc>
        <w:tc>
          <w:tcPr>
            <w:tcW w:w="933" w:type="dxa"/>
            <w:tcBorders>
              <w:top w:val="single" w:color="auto" w:sz="4" w:space="0"/>
              <w:left w:val="single" w:color="auto" w:sz="4" w:space="0"/>
              <w:bottom w:val="single" w:color="auto" w:sz="4" w:space="0"/>
              <w:right w:val="single" w:color="auto" w:sz="4" w:space="0"/>
            </w:tcBorders>
            <w:vAlign w:val="center"/>
          </w:tcPr>
          <w:p>
            <w:pPr>
              <w:pStyle w:val="24"/>
              <w:spacing w:line="460" w:lineRule="atLeast"/>
              <w:jc w:val="center"/>
              <w:rPr>
                <w:rFonts w:ascii="宋体" w:hAnsi="宋体" w:cs="宋体"/>
                <w:bCs/>
                <w:color w:val="auto"/>
                <w:sz w:val="28"/>
                <w:szCs w:val="28"/>
              </w:rPr>
            </w:pPr>
            <w:r>
              <w:rPr>
                <w:rFonts w:hint="eastAsia" w:ascii="宋体" w:hAnsi="宋体" w:cs="宋体"/>
                <w:bCs/>
                <w:color w:val="auto"/>
                <w:sz w:val="28"/>
                <w:szCs w:val="28"/>
              </w:rPr>
              <w:t>项</w:t>
            </w:r>
          </w:p>
        </w:tc>
        <w:tc>
          <w:tcPr>
            <w:tcW w:w="917" w:type="dxa"/>
            <w:tcBorders>
              <w:top w:val="single" w:color="auto" w:sz="4" w:space="0"/>
              <w:left w:val="single" w:color="auto" w:sz="4" w:space="0"/>
              <w:bottom w:val="single" w:color="auto" w:sz="4" w:space="0"/>
              <w:right w:val="single" w:color="auto" w:sz="4" w:space="0"/>
            </w:tcBorders>
            <w:vAlign w:val="center"/>
          </w:tcPr>
          <w:p>
            <w:pPr>
              <w:pStyle w:val="24"/>
              <w:spacing w:line="460" w:lineRule="atLeast"/>
              <w:jc w:val="center"/>
              <w:rPr>
                <w:rFonts w:ascii="宋体" w:hAnsi="宋体" w:cs="宋体"/>
                <w:bCs/>
                <w:color w:val="auto"/>
                <w:sz w:val="28"/>
                <w:szCs w:val="28"/>
              </w:rPr>
            </w:pPr>
            <w:r>
              <w:rPr>
                <w:rFonts w:hint="eastAsia" w:ascii="宋体" w:hAnsi="宋体" w:cs="宋体"/>
                <w:bCs/>
                <w:color w:val="auto"/>
                <w:sz w:val="28"/>
                <w:szCs w:val="28"/>
              </w:rPr>
              <w:t>1</w:t>
            </w:r>
          </w:p>
        </w:tc>
        <w:tc>
          <w:tcPr>
            <w:tcW w:w="1374" w:type="dxa"/>
            <w:tcBorders>
              <w:top w:val="single" w:color="auto" w:sz="4" w:space="0"/>
              <w:left w:val="single" w:color="auto" w:sz="4" w:space="0"/>
              <w:bottom w:val="single" w:color="auto" w:sz="4" w:space="0"/>
              <w:right w:val="single" w:color="auto" w:sz="4" w:space="0"/>
            </w:tcBorders>
            <w:vAlign w:val="center"/>
          </w:tcPr>
          <w:p>
            <w:pPr>
              <w:pStyle w:val="24"/>
              <w:spacing w:line="460" w:lineRule="atLeast"/>
              <w:jc w:val="center"/>
              <w:rPr>
                <w:rFonts w:ascii="宋体" w:hAnsi="宋体" w:cs="宋体"/>
                <w:bCs/>
                <w:color w:val="auto"/>
                <w:sz w:val="28"/>
                <w:szCs w:val="28"/>
              </w:rPr>
            </w:pPr>
            <w:r>
              <w:rPr>
                <w:rFonts w:hint="eastAsia" w:ascii="宋体" w:hAnsi="宋体" w:cs="宋体"/>
                <w:bCs/>
                <w:color w:val="auto"/>
                <w:sz w:val="28"/>
                <w:szCs w:val="28"/>
              </w:rPr>
              <w:t>49</w:t>
            </w:r>
          </w:p>
        </w:tc>
      </w:tr>
    </w:tbl>
    <w:p>
      <w:pPr>
        <w:snapToGrid w:val="0"/>
        <w:spacing w:line="460" w:lineRule="atLeast"/>
        <w:ind w:firstLine="480" w:firstLineChars="200"/>
        <w:outlineLvl w:val="1"/>
        <w:rPr>
          <w:rFonts w:ascii="宋体" w:hAnsi="宋体" w:cs="宋体"/>
          <w:b/>
          <w:color w:val="auto"/>
          <w:sz w:val="28"/>
          <w:szCs w:val="28"/>
        </w:rPr>
      </w:pPr>
      <w:r>
        <w:rPr>
          <w:rFonts w:hint="eastAsia" w:asciiTheme="minorEastAsia" w:hAnsiTheme="minorEastAsia" w:eastAsiaTheme="minorEastAsia" w:cstheme="minorEastAsia"/>
          <w:color w:val="auto"/>
          <w:sz w:val="24"/>
        </w:rPr>
        <w:t>注：5月18号之前实现本景区与全省及长三角地区社保卡实体卡、电子卡刷卡入及互联互通，并验收合格。</w:t>
      </w:r>
    </w:p>
    <w:p>
      <w:pPr>
        <w:snapToGrid w:val="0"/>
        <w:spacing w:line="460" w:lineRule="atLeast"/>
        <w:ind w:firstLine="562" w:firstLineChars="200"/>
        <w:outlineLvl w:val="1"/>
        <w:rPr>
          <w:rFonts w:ascii="宋体" w:hAnsi="宋体" w:cs="宋体"/>
          <w:b/>
          <w:sz w:val="28"/>
          <w:szCs w:val="28"/>
        </w:rPr>
      </w:pPr>
      <w:r>
        <w:rPr>
          <w:rFonts w:hint="eastAsia" w:ascii="宋体" w:hAnsi="宋体" w:cs="宋体"/>
          <w:b/>
          <w:sz w:val="28"/>
          <w:szCs w:val="28"/>
        </w:rPr>
        <w:t>三、合格的磋商供应商</w:t>
      </w:r>
    </w:p>
    <w:p>
      <w:pPr>
        <w:snapToGrid w:val="0"/>
        <w:spacing w:line="460" w:lineRule="atLeast"/>
        <w:ind w:firstLine="560" w:firstLineChars="200"/>
        <w:rPr>
          <w:rFonts w:ascii="宋体" w:hAnsi="宋体" w:cs="宋体"/>
          <w:color w:val="000000"/>
          <w:sz w:val="28"/>
          <w:szCs w:val="28"/>
        </w:rPr>
      </w:pPr>
      <w:r>
        <w:rPr>
          <w:rFonts w:hint="eastAsia" w:ascii="宋体" w:hAnsi="宋体" w:cs="宋体"/>
          <w:color w:val="000000"/>
          <w:sz w:val="28"/>
          <w:szCs w:val="28"/>
        </w:rPr>
        <w:t>1.符合《中华人民共和国政府采购法》第二十二条要求。</w:t>
      </w:r>
    </w:p>
    <w:p>
      <w:pPr>
        <w:snapToGrid w:val="0"/>
        <w:spacing w:line="460" w:lineRule="atLeast"/>
        <w:ind w:firstLine="560" w:firstLineChars="200"/>
        <w:rPr>
          <w:rFonts w:ascii="宋体" w:hAnsi="宋体" w:cs="宋体"/>
          <w:color w:val="000000"/>
          <w:sz w:val="28"/>
          <w:szCs w:val="28"/>
        </w:rPr>
      </w:pPr>
      <w:r>
        <w:rPr>
          <w:rFonts w:hint="eastAsia" w:ascii="宋体" w:hAnsi="宋体" w:cs="宋体"/>
          <w:color w:val="000000"/>
          <w:sz w:val="28"/>
          <w:szCs w:val="28"/>
        </w:rPr>
        <w:t xml:space="preserve"> 2.参加本次的磋商供应商限定为在中国境内注册、有独立法人资格、能承担本项目的供应商,分公司参与投标的，需提供总公司授权书。</w:t>
      </w:r>
    </w:p>
    <w:p>
      <w:pPr>
        <w:snapToGrid w:val="0"/>
        <w:spacing w:line="460" w:lineRule="atLeast"/>
        <w:ind w:firstLine="560" w:firstLineChars="200"/>
        <w:rPr>
          <w:rFonts w:ascii="宋体" w:hAnsi="宋体" w:cs="宋体"/>
          <w:color w:val="000000"/>
          <w:sz w:val="28"/>
          <w:szCs w:val="28"/>
        </w:rPr>
      </w:pPr>
      <w:r>
        <w:rPr>
          <w:rFonts w:hint="eastAsia" w:ascii="宋体" w:hAnsi="宋体" w:cs="宋体"/>
          <w:color w:val="000000"/>
          <w:sz w:val="28"/>
          <w:szCs w:val="28"/>
        </w:rPr>
        <w:t>3.未被列入失信被执行人、重大税收违法案件当事人名单、政府采购严重违法失信行为记录名单供应商。</w:t>
      </w:r>
    </w:p>
    <w:p>
      <w:pPr>
        <w:snapToGrid w:val="0"/>
        <w:spacing w:line="460" w:lineRule="atLeast"/>
        <w:ind w:firstLine="560" w:firstLineChars="200"/>
        <w:rPr>
          <w:rFonts w:ascii="宋体" w:hAnsi="宋体" w:cs="宋体"/>
          <w:color w:val="000000"/>
          <w:sz w:val="28"/>
          <w:szCs w:val="28"/>
        </w:rPr>
      </w:pPr>
      <w:r>
        <w:rPr>
          <w:rFonts w:hint="eastAsia" w:ascii="宋体" w:hAnsi="宋体" w:cs="宋体"/>
          <w:color w:val="000000"/>
          <w:sz w:val="28"/>
          <w:szCs w:val="28"/>
        </w:rPr>
        <w:t>4.本项目谢绝联合体投标。</w:t>
      </w:r>
    </w:p>
    <w:p>
      <w:pPr>
        <w:snapToGrid w:val="0"/>
        <w:spacing w:line="460" w:lineRule="atLeast"/>
        <w:ind w:firstLine="560" w:firstLineChars="200"/>
        <w:rPr>
          <w:rFonts w:ascii="宋体" w:hAnsi="宋体" w:cs="宋体"/>
          <w:color w:val="000000"/>
          <w:sz w:val="28"/>
          <w:szCs w:val="28"/>
        </w:rPr>
      </w:pPr>
      <w:r>
        <w:rPr>
          <w:rFonts w:hint="eastAsia" w:ascii="宋体" w:hAnsi="宋体" w:cs="宋体"/>
          <w:color w:val="000000"/>
          <w:sz w:val="28"/>
          <w:szCs w:val="28"/>
        </w:rPr>
        <w:t>5.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磋商响应方，承诺响应截止之日至前三年内，在“浙江政府采购网”（www.zjzfcg.gov.cn）“曝光台”中被曝光且在处罚有效期内的承诺响应方，资格审查时均不予以通过。</w:t>
      </w:r>
    </w:p>
    <w:p>
      <w:pPr>
        <w:snapToGrid w:val="0"/>
        <w:spacing w:line="460" w:lineRule="atLeast"/>
        <w:ind w:firstLine="562" w:firstLineChars="200"/>
        <w:outlineLvl w:val="1"/>
        <w:rPr>
          <w:rFonts w:ascii="宋体" w:hAnsi="宋体" w:cs="宋体"/>
          <w:b/>
          <w:sz w:val="28"/>
          <w:szCs w:val="28"/>
        </w:rPr>
      </w:pPr>
      <w:r>
        <w:rPr>
          <w:rFonts w:hint="eastAsia" w:ascii="宋体" w:hAnsi="宋体" w:cs="宋体"/>
          <w:b/>
          <w:color w:val="292929"/>
          <w:sz w:val="28"/>
          <w:szCs w:val="28"/>
        </w:rPr>
        <w:t>四、</w:t>
      </w:r>
      <w:r>
        <w:rPr>
          <w:rFonts w:hint="eastAsia" w:ascii="宋体" w:hAnsi="宋体" w:cs="宋体"/>
          <w:b/>
          <w:sz w:val="28"/>
          <w:szCs w:val="28"/>
        </w:rPr>
        <w:t>获取磋商文件提供资料、时间、方式</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1.获取招标文件时应提供以下资料</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（1）投标人营业执照副本原件及复印件；</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（2）法定代表人授权委托书（授权委托书须明确被授权人姓名、身份证号码、采购项目名称、项目编号、联系电话、传真等）；</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（3）报名人身份证及复印件；（复印件需加盖单位公章）</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 xml:space="preserve">（4）提供自磋商公告发布之日起至任意时间的“信用中国”网站（www.creditchina.gov.cn）、中国政府采购网（www.ccgp.gov.cn）供应商信用查询网页截图。   </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2.磋商文件获取时间、方式：</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(1)竞争性磋商文件获取时间：本项目公告发布之日起至2021年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06</w:t>
      </w:r>
      <w:r>
        <w:rPr>
          <w:rFonts w:hint="eastAsia" w:ascii="宋体" w:hAnsi="宋体" w:cs="宋体"/>
          <w:sz w:val="28"/>
          <w:szCs w:val="28"/>
        </w:rPr>
        <w:t>日(双休日及法定节假日除外，截止时间后不再接受潜在供应商获取采购文件)</w:t>
      </w:r>
    </w:p>
    <w:p>
      <w:pPr>
        <w:snapToGrid w:val="0"/>
        <w:spacing w:line="460" w:lineRule="exact"/>
        <w:ind w:firstLine="420" w:firstLineChars="200"/>
        <w:rPr>
          <w:rFonts w:ascii="宋体" w:hAnsi="宋体" w:cs="宋体"/>
          <w:b/>
          <w:bCs/>
          <w:sz w:val="28"/>
          <w:szCs w:val="28"/>
        </w:rPr>
      </w:pPr>
      <w:r>
        <w:fldChar w:fldCharType="begin"/>
      </w:r>
      <w:r>
        <w:instrText xml:space="preserve"> HYPERLINK "mailto:（2）现场获取或将资料扫描件发送至邮箱（107823057@QQ.com" </w:instrText>
      </w:r>
      <w:r>
        <w:fldChar w:fldCharType="separate"/>
      </w:r>
      <w:r>
        <w:rPr>
          <w:rStyle w:val="67"/>
          <w:rFonts w:hint="eastAsia" w:ascii="宋体" w:hAnsi="宋体" w:cs="宋体"/>
          <w:color w:val="000000" w:themeColor="text1"/>
          <w:sz w:val="28"/>
          <w:szCs w:val="28"/>
          <w:u w:val="none"/>
        </w:rPr>
        <w:t>（2）现场获取或将资料扫描件发送至邮箱（107823057@qq.com</w:t>
      </w:r>
      <w:r>
        <w:rPr>
          <w:rStyle w:val="67"/>
          <w:rFonts w:hint="eastAsia" w:ascii="宋体" w:hAnsi="宋体" w:cs="宋体"/>
          <w:color w:val="000000" w:themeColor="text1"/>
          <w:sz w:val="28"/>
          <w:szCs w:val="28"/>
          <w:u w:val="none"/>
        </w:rPr>
        <w:fldChar w:fldCharType="end"/>
      </w:r>
      <w:r>
        <w:rPr>
          <w:rFonts w:hint="eastAsia" w:ascii="宋体" w:hAnsi="宋体" w:cs="宋体"/>
          <w:color w:val="000000" w:themeColor="text1"/>
          <w:sz w:val="28"/>
          <w:szCs w:val="28"/>
        </w:rPr>
        <w:t>）获取，</w:t>
      </w:r>
      <w:r>
        <w:rPr>
          <w:rFonts w:hint="eastAsia" w:ascii="宋体" w:hAnsi="宋体" w:cs="宋体"/>
          <w:sz w:val="28"/>
          <w:szCs w:val="28"/>
        </w:rPr>
        <w:t>并联系代理机构确认。</w:t>
      </w:r>
      <w:r>
        <w:rPr>
          <w:rFonts w:hint="eastAsia" w:ascii="宋体" w:hAnsi="宋体" w:cs="宋体"/>
          <w:b/>
          <w:bCs/>
          <w:sz w:val="28"/>
          <w:szCs w:val="28"/>
        </w:rPr>
        <w:t>供应商未提交上述报名资料参与本项目的投标将被拒绝。</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3.注意事项：</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（1）供应商申请获取采购文件之日，即为依法获取本项目采购文件之日；</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（2）采购机构将拒绝接受未按上述方式获取采购文件的供应商的响应文件和质疑文件；</w:t>
      </w:r>
    </w:p>
    <w:p>
      <w:pPr>
        <w:spacing w:line="460" w:lineRule="atLeast"/>
        <w:ind w:firstLine="562" w:firstLineChars="200"/>
        <w:rPr>
          <w:rFonts w:ascii="宋体" w:hAnsi="宋体" w:cs="宋体"/>
          <w:sz w:val="28"/>
          <w:szCs w:val="28"/>
        </w:rPr>
      </w:pPr>
      <w:r>
        <w:rPr>
          <w:rFonts w:hint="eastAsia" w:ascii="宋体" w:hAnsi="宋体" w:cs="宋体"/>
          <w:b/>
          <w:color w:val="000000"/>
          <w:sz w:val="28"/>
          <w:szCs w:val="28"/>
          <w:u w:val="single"/>
        </w:rPr>
        <w:t>注：报名时采购代理机构不作资格审查，只负责接受报名。采购人或采购代理机构在开标结束后（评标开始前）将对各供应商的资格进行审查，</w:t>
      </w:r>
      <w:r>
        <w:rPr>
          <w:rFonts w:hint="eastAsia" w:ascii="宋体" w:hAnsi="宋体" w:cs="宋体"/>
          <w:b/>
          <w:sz w:val="28"/>
          <w:szCs w:val="28"/>
          <w:u w:val="single"/>
        </w:rPr>
        <w:t>最终根据响应文件决定</w:t>
      </w:r>
      <w:r>
        <w:rPr>
          <w:rFonts w:hint="eastAsia" w:ascii="宋体" w:hAnsi="宋体" w:cs="宋体"/>
          <w:b/>
          <w:sz w:val="28"/>
          <w:szCs w:val="28"/>
        </w:rPr>
        <w:t>。</w:t>
      </w:r>
    </w:p>
    <w:p>
      <w:pPr>
        <w:tabs>
          <w:tab w:val="left" w:pos="900"/>
        </w:tabs>
        <w:snapToGrid w:val="0"/>
        <w:spacing w:line="460" w:lineRule="atLeast"/>
        <w:ind w:firstLine="562" w:firstLineChars="200"/>
        <w:outlineLvl w:val="1"/>
        <w:rPr>
          <w:rFonts w:ascii="宋体" w:hAnsi="宋体" w:cs="宋体"/>
          <w:b/>
          <w:color w:val="292929"/>
          <w:sz w:val="28"/>
          <w:szCs w:val="28"/>
        </w:rPr>
      </w:pPr>
      <w:r>
        <w:rPr>
          <w:rFonts w:hint="eastAsia" w:ascii="宋体" w:hAnsi="宋体" w:cs="宋体"/>
          <w:b/>
          <w:color w:val="292929"/>
          <w:sz w:val="28"/>
          <w:szCs w:val="28"/>
        </w:rPr>
        <w:t>五、磋商响应文件递交、接收相关事宜</w:t>
      </w:r>
    </w:p>
    <w:p>
      <w:pPr>
        <w:snapToGrid w:val="0"/>
        <w:spacing w:line="460" w:lineRule="atLeast"/>
        <w:ind w:firstLine="562" w:firstLineChars="200"/>
        <w:rPr>
          <w:rFonts w:ascii="宋体" w:hAnsi="宋体" w:cs="宋体"/>
          <w:color w:val="0000FF"/>
          <w:sz w:val="28"/>
          <w:szCs w:val="28"/>
        </w:rPr>
      </w:pPr>
      <w:r>
        <w:rPr>
          <w:rFonts w:hint="eastAsia" w:ascii="宋体" w:hAnsi="宋体" w:cs="宋体"/>
          <w:b/>
          <w:bCs/>
          <w:sz w:val="28"/>
          <w:szCs w:val="28"/>
        </w:rPr>
        <w:t>磋商响应文件截止时间和接收地点：</w:t>
      </w:r>
      <w:r>
        <w:rPr>
          <w:rFonts w:hint="eastAsia" w:ascii="宋体" w:hAnsi="宋体" w:cs="宋体"/>
          <w:sz w:val="28"/>
          <w:szCs w:val="28"/>
        </w:rPr>
        <w:t>磋商响应文件必须以密封形式于2021年5月</w:t>
      </w:r>
      <w:r>
        <w:rPr>
          <w:rFonts w:hint="eastAsia" w:ascii="宋体" w:hAnsi="宋体" w:cs="宋体"/>
          <w:sz w:val="28"/>
          <w:szCs w:val="28"/>
          <w:lang w:val="en-US" w:eastAsia="zh-CN"/>
        </w:rPr>
        <w:t>07</w:t>
      </w:r>
      <w:r>
        <w:rPr>
          <w:rFonts w:hint="eastAsia" w:ascii="宋体" w:hAnsi="宋体" w:cs="宋体"/>
          <w:sz w:val="28"/>
          <w:szCs w:val="28"/>
        </w:rPr>
        <w:t>日</w:t>
      </w:r>
      <w:r>
        <w:rPr>
          <w:rFonts w:hint="eastAsia" w:ascii="宋体" w:hAnsi="宋体" w:cs="宋体"/>
          <w:sz w:val="28"/>
          <w:szCs w:val="28"/>
          <w:lang w:val="en-US" w:eastAsia="zh-CN"/>
        </w:rPr>
        <w:t>9</w:t>
      </w:r>
      <w:r>
        <w:rPr>
          <w:rFonts w:hint="eastAsia" w:ascii="宋体" w:hAnsi="宋体" w:cs="宋体"/>
          <w:sz w:val="28"/>
          <w:szCs w:val="28"/>
        </w:rPr>
        <w:t>：</w:t>
      </w:r>
      <w:r>
        <w:rPr>
          <w:rFonts w:hint="eastAsia" w:ascii="宋体" w:hAnsi="宋体" w:cs="宋体"/>
          <w:sz w:val="28"/>
          <w:szCs w:val="28"/>
          <w:lang w:val="en-US" w:eastAsia="zh-CN"/>
        </w:rPr>
        <w:t>3</w:t>
      </w:r>
      <w:r>
        <w:rPr>
          <w:rFonts w:hint="eastAsia" w:ascii="宋体" w:hAnsi="宋体" w:cs="宋体"/>
          <w:sz w:val="28"/>
          <w:szCs w:val="28"/>
        </w:rPr>
        <w:t>0前送至</w:t>
      </w:r>
      <w:r>
        <w:rPr>
          <w:rFonts w:hint="eastAsia" w:ascii="宋体" w:hAnsi="宋体" w:cs="宋体"/>
          <w:color w:val="292929"/>
          <w:sz w:val="28"/>
          <w:szCs w:val="28"/>
        </w:rPr>
        <w:t>龙游县公共资源交易中心开标室3（龙游县龙翔路387号原香溢市场西侧二楼）</w:t>
      </w:r>
    </w:p>
    <w:p>
      <w:pPr>
        <w:tabs>
          <w:tab w:val="left" w:pos="900"/>
        </w:tabs>
        <w:snapToGrid w:val="0"/>
        <w:spacing w:line="460" w:lineRule="atLeast"/>
        <w:ind w:firstLine="562" w:firstLineChars="200"/>
        <w:outlineLvl w:val="1"/>
        <w:rPr>
          <w:rFonts w:ascii="宋体" w:hAnsi="宋体" w:cs="宋体"/>
          <w:b/>
          <w:color w:val="292929"/>
          <w:sz w:val="28"/>
          <w:szCs w:val="28"/>
        </w:rPr>
      </w:pPr>
      <w:r>
        <w:rPr>
          <w:rFonts w:hint="eastAsia" w:ascii="宋体" w:hAnsi="宋体" w:cs="宋体"/>
          <w:b/>
          <w:color w:val="292929"/>
          <w:sz w:val="28"/>
          <w:szCs w:val="28"/>
        </w:rPr>
        <w:t>六、开始磋商的有关信息</w:t>
      </w:r>
    </w:p>
    <w:p>
      <w:pPr>
        <w:snapToGrid w:val="0"/>
        <w:spacing w:line="460" w:lineRule="atLeast"/>
        <w:ind w:firstLine="560" w:firstLineChars="200"/>
        <w:rPr>
          <w:rFonts w:ascii="宋体" w:hAnsi="宋体" w:cs="宋体"/>
          <w:color w:val="292929"/>
          <w:sz w:val="28"/>
          <w:szCs w:val="28"/>
        </w:rPr>
      </w:pPr>
      <w:r>
        <w:rPr>
          <w:rFonts w:hint="eastAsia" w:ascii="宋体" w:hAnsi="宋体" w:cs="宋体"/>
          <w:color w:val="292929"/>
          <w:sz w:val="28"/>
          <w:szCs w:val="28"/>
        </w:rPr>
        <w:t>开始磋商时间：2021年</w:t>
      </w:r>
      <w:r>
        <w:rPr>
          <w:rFonts w:hint="eastAsia" w:ascii="宋体" w:hAnsi="宋体" w:cs="宋体"/>
          <w:color w:val="292929"/>
          <w:sz w:val="28"/>
          <w:szCs w:val="28"/>
          <w:u w:val="single"/>
        </w:rPr>
        <w:t>5月</w:t>
      </w:r>
      <w:r>
        <w:rPr>
          <w:rFonts w:hint="eastAsia" w:ascii="宋体" w:hAnsi="宋体" w:cs="宋体"/>
          <w:color w:val="292929"/>
          <w:sz w:val="28"/>
          <w:szCs w:val="28"/>
          <w:u w:val="single"/>
          <w:lang w:val="en-US" w:eastAsia="zh-CN"/>
        </w:rPr>
        <w:t>07</w:t>
      </w:r>
      <w:r>
        <w:rPr>
          <w:rFonts w:hint="eastAsia" w:ascii="宋体" w:hAnsi="宋体" w:cs="宋体"/>
          <w:color w:val="292929"/>
          <w:sz w:val="28"/>
          <w:szCs w:val="28"/>
        </w:rPr>
        <w:t>日</w:t>
      </w:r>
      <w:r>
        <w:rPr>
          <w:rFonts w:hint="eastAsia" w:ascii="宋体" w:hAnsi="宋体" w:cs="宋体"/>
          <w:sz w:val="28"/>
          <w:szCs w:val="28"/>
          <w:lang w:val="en-US" w:eastAsia="zh-CN"/>
        </w:rPr>
        <w:t>9</w:t>
      </w:r>
      <w:r>
        <w:rPr>
          <w:rFonts w:hint="eastAsia" w:ascii="宋体" w:hAnsi="宋体" w:cs="宋体"/>
          <w:sz w:val="28"/>
          <w:szCs w:val="28"/>
        </w:rPr>
        <w:t>:</w:t>
      </w:r>
      <w:r>
        <w:rPr>
          <w:rFonts w:hint="eastAsia" w:ascii="宋体" w:hAnsi="宋体" w:cs="宋体"/>
          <w:sz w:val="28"/>
          <w:szCs w:val="28"/>
          <w:lang w:val="en-US" w:eastAsia="zh-CN"/>
        </w:rPr>
        <w:t>3</w:t>
      </w:r>
      <w:r>
        <w:rPr>
          <w:rFonts w:hint="eastAsia" w:ascii="宋体" w:hAnsi="宋体" w:cs="宋体"/>
          <w:sz w:val="28"/>
          <w:szCs w:val="28"/>
        </w:rPr>
        <w:t>0整</w:t>
      </w:r>
    </w:p>
    <w:p>
      <w:pPr>
        <w:snapToGrid w:val="0"/>
        <w:spacing w:line="460" w:lineRule="atLeast"/>
        <w:ind w:firstLine="560" w:firstLineChars="200"/>
        <w:rPr>
          <w:rFonts w:ascii="宋体" w:hAnsi="宋体" w:cs="宋体"/>
          <w:color w:val="0000FF"/>
          <w:sz w:val="28"/>
          <w:szCs w:val="28"/>
        </w:rPr>
      </w:pPr>
      <w:r>
        <w:rPr>
          <w:rFonts w:hint="eastAsia" w:ascii="宋体" w:hAnsi="宋体" w:cs="宋体"/>
          <w:color w:val="292929"/>
          <w:sz w:val="28"/>
          <w:szCs w:val="28"/>
        </w:rPr>
        <w:t>磋商地点：龙游县公共资源交易中心开标室3（龙游县龙翔路387号原香溢市场西侧二楼）</w:t>
      </w:r>
    </w:p>
    <w:p>
      <w:pPr>
        <w:tabs>
          <w:tab w:val="left" w:pos="900"/>
        </w:tabs>
        <w:snapToGrid w:val="0"/>
        <w:spacing w:line="460" w:lineRule="atLeast"/>
        <w:ind w:left="420" w:firstLine="110" w:firstLineChars="39"/>
        <w:outlineLvl w:val="1"/>
        <w:rPr>
          <w:rFonts w:ascii="宋体" w:hAnsi="宋体" w:cs="宋体"/>
          <w:b/>
          <w:color w:val="292929"/>
          <w:sz w:val="28"/>
          <w:szCs w:val="28"/>
        </w:rPr>
      </w:pPr>
      <w:r>
        <w:rPr>
          <w:rFonts w:hint="eastAsia" w:ascii="宋体" w:hAnsi="宋体" w:cs="宋体"/>
          <w:b/>
          <w:color w:val="292929"/>
          <w:sz w:val="28"/>
          <w:szCs w:val="28"/>
        </w:rPr>
        <w:t>七、本次磋商联系事项</w:t>
      </w:r>
    </w:p>
    <w:p>
      <w:pPr>
        <w:snapToGrid w:val="0"/>
        <w:spacing w:line="460" w:lineRule="atLeast"/>
        <w:ind w:firstLine="560" w:firstLineChars="200"/>
        <w:rPr>
          <w:rFonts w:ascii="宋体" w:hAnsi="宋体" w:cs="宋体"/>
          <w:sz w:val="28"/>
          <w:szCs w:val="28"/>
        </w:rPr>
      </w:pPr>
      <w:r>
        <w:rPr>
          <w:rFonts w:hint="eastAsia" w:ascii="宋体" w:hAnsi="宋体" w:cs="宋体"/>
          <w:color w:val="000000"/>
          <w:sz w:val="28"/>
          <w:szCs w:val="28"/>
        </w:rPr>
        <w:t>采购人：</w:t>
      </w:r>
      <w:r>
        <w:rPr>
          <w:rFonts w:hint="eastAsia" w:ascii="宋体" w:hAnsi="宋体" w:cs="宋体"/>
          <w:color w:val="000000"/>
          <w:sz w:val="28"/>
          <w:szCs w:val="28"/>
          <w:lang w:val="zh-CN"/>
        </w:rPr>
        <w:t>龙游石窟风景旅游有限公司</w:t>
      </w:r>
    </w:p>
    <w:p>
      <w:pPr>
        <w:snapToGrid w:val="0"/>
        <w:spacing w:line="460" w:lineRule="atLeast"/>
        <w:ind w:firstLine="560" w:firstLineChars="200"/>
        <w:rPr>
          <w:rFonts w:ascii="宋体" w:hAnsi="宋体" w:cs="宋体"/>
          <w:color w:val="000000" w:themeColor="text1"/>
          <w:sz w:val="28"/>
          <w:szCs w:val="28"/>
        </w:rPr>
      </w:pPr>
      <w:r>
        <w:rPr>
          <w:rFonts w:hint="eastAsia" w:ascii="宋体" w:hAnsi="宋体" w:cs="宋体"/>
          <w:color w:val="000000"/>
          <w:sz w:val="28"/>
          <w:szCs w:val="28"/>
        </w:rPr>
        <w:t>联系人：</w:t>
      </w:r>
      <w:r>
        <w:rPr>
          <w:rFonts w:hint="eastAsia" w:ascii="宋体" w:hAnsi="宋体" w:cs="宋体"/>
          <w:sz w:val="28"/>
          <w:szCs w:val="28"/>
        </w:rPr>
        <w:t xml:space="preserve">许先生   </w:t>
      </w:r>
      <w:r>
        <w:rPr>
          <w:rFonts w:hint="eastAsia" w:ascii="宋体" w:hAnsi="宋体" w:cs="宋体"/>
          <w:color w:val="000000" w:themeColor="text1"/>
          <w:sz w:val="28"/>
          <w:szCs w:val="28"/>
        </w:rPr>
        <w:t>联系电话：13735082309</w:t>
      </w:r>
    </w:p>
    <w:p>
      <w:pPr>
        <w:snapToGrid w:val="0"/>
        <w:spacing w:line="460" w:lineRule="atLeast"/>
        <w:ind w:firstLine="560" w:firstLineChars="200"/>
        <w:rPr>
          <w:rFonts w:ascii="宋体" w:hAnsi="宋体" w:cs="宋体"/>
          <w:color w:val="000000"/>
          <w:sz w:val="28"/>
          <w:szCs w:val="28"/>
        </w:rPr>
      </w:pPr>
      <w:r>
        <w:rPr>
          <w:rFonts w:hint="eastAsia" w:ascii="宋体" w:hAnsi="宋体" w:cs="宋体"/>
          <w:color w:val="000000"/>
          <w:sz w:val="28"/>
          <w:szCs w:val="28"/>
        </w:rPr>
        <w:t>采购代理机构名称：龙游博洽投资咨询有限公司 联系人：方女士</w:t>
      </w:r>
    </w:p>
    <w:p>
      <w:pPr>
        <w:snapToGrid w:val="0"/>
        <w:spacing w:line="460" w:lineRule="atLeast"/>
        <w:ind w:firstLine="560" w:firstLineChars="200"/>
        <w:rPr>
          <w:rFonts w:ascii="宋体" w:hAnsi="宋体" w:cs="宋体"/>
          <w:color w:val="292929"/>
          <w:sz w:val="28"/>
          <w:szCs w:val="28"/>
        </w:rPr>
      </w:pPr>
      <w:r>
        <w:rPr>
          <w:rFonts w:hint="eastAsia" w:ascii="宋体" w:hAnsi="宋体" w:cs="宋体"/>
          <w:color w:val="000000"/>
          <w:sz w:val="28"/>
          <w:szCs w:val="28"/>
        </w:rPr>
        <w:t>联系电话：13587034066    地点：</w:t>
      </w:r>
      <w:r>
        <w:rPr>
          <w:rFonts w:hint="eastAsia" w:ascii="宋体" w:hAnsi="宋体" w:cs="宋体"/>
          <w:sz w:val="28"/>
          <w:szCs w:val="28"/>
        </w:rPr>
        <w:t>龙游县龙洲街道太平西路554号</w:t>
      </w:r>
    </w:p>
    <w:p>
      <w:pPr>
        <w:snapToGrid w:val="0"/>
        <w:spacing w:line="460" w:lineRule="atLeast"/>
        <w:ind w:firstLine="562" w:firstLineChars="200"/>
        <w:outlineLvl w:val="1"/>
        <w:rPr>
          <w:rFonts w:ascii="宋体" w:hAnsi="宋体" w:cs="宋体"/>
          <w:b/>
          <w:color w:val="000000"/>
          <w:sz w:val="28"/>
          <w:szCs w:val="28"/>
        </w:rPr>
      </w:pPr>
      <w:r>
        <w:rPr>
          <w:rFonts w:hint="eastAsia" w:ascii="宋体" w:hAnsi="宋体" w:cs="宋体"/>
          <w:b/>
          <w:color w:val="292929"/>
          <w:sz w:val="28"/>
          <w:szCs w:val="28"/>
        </w:rPr>
        <w:t>八：</w:t>
      </w:r>
      <w:r>
        <w:rPr>
          <w:rFonts w:hint="eastAsia" w:ascii="宋体" w:hAnsi="宋体" w:cs="宋体"/>
          <w:b/>
          <w:color w:val="000000"/>
          <w:sz w:val="28"/>
          <w:szCs w:val="28"/>
        </w:rPr>
        <w:t>其他事项：</w:t>
      </w:r>
    </w:p>
    <w:p>
      <w:pPr>
        <w:snapToGrid w:val="0"/>
        <w:spacing w:line="460" w:lineRule="atLeast"/>
        <w:ind w:firstLine="560" w:firstLineChars="200"/>
        <w:rPr>
          <w:rFonts w:ascii="宋体" w:hAnsi="宋体" w:cs="宋体"/>
          <w:color w:val="000000"/>
          <w:sz w:val="28"/>
          <w:szCs w:val="28"/>
        </w:rPr>
      </w:pPr>
      <w:r>
        <w:rPr>
          <w:rFonts w:hint="eastAsia" w:ascii="宋体" w:hAnsi="宋体" w:cs="宋体"/>
          <w:color w:val="000000"/>
          <w:sz w:val="28"/>
          <w:szCs w:val="28"/>
        </w:rPr>
        <w:t>质疑和投诉：依照《中华人民共和国政府采购法》、《中华人民共和国政府采购法实施条例》和《政府采购质疑和投诉办法》（财政部令第94号）等有关法律法规规定。</w:t>
      </w:r>
    </w:p>
    <w:p>
      <w:pPr>
        <w:snapToGrid w:val="0"/>
        <w:spacing w:line="460" w:lineRule="atLeast"/>
        <w:ind w:firstLine="560" w:firstLineChars="200"/>
        <w:rPr>
          <w:rFonts w:ascii="宋体" w:hAnsi="宋体" w:cs="宋体"/>
          <w:color w:val="000000"/>
          <w:sz w:val="28"/>
          <w:szCs w:val="28"/>
        </w:rPr>
      </w:pPr>
      <w:r>
        <w:rPr>
          <w:rFonts w:hint="eastAsia" w:ascii="宋体" w:hAnsi="宋体" w:cs="宋体"/>
          <w:color w:val="000000"/>
          <w:sz w:val="28"/>
          <w:szCs w:val="28"/>
        </w:rPr>
        <w:t>磋商响应方认为采购文件使自己的权益受到损害的，可以自收到采购文件之日或者采购文件公告期限届满之日起7个工作日内，以</w:t>
      </w:r>
      <w:r>
        <w:rPr>
          <w:rFonts w:hint="eastAsia" w:ascii="宋体" w:hAnsi="宋体" w:cs="宋体"/>
          <w:b/>
          <w:bCs/>
          <w:color w:val="000000" w:themeColor="text1"/>
          <w:sz w:val="28"/>
          <w:szCs w:val="28"/>
        </w:rPr>
        <w:t>书面加电子档形式</w:t>
      </w:r>
      <w:r>
        <w:rPr>
          <w:rFonts w:hint="eastAsia" w:ascii="宋体" w:hAnsi="宋体" w:cs="宋体"/>
          <w:color w:val="000000"/>
          <w:sz w:val="28"/>
          <w:szCs w:val="28"/>
        </w:rPr>
        <w:t>向龙游博洽投资咨询有限公司提出质疑，逾期将不予受理。公告期限：本磋商公告自发布之日起公告期限为10个日历天。</w:t>
      </w:r>
    </w:p>
    <w:p>
      <w:pPr>
        <w:adjustRightInd w:val="0"/>
        <w:snapToGrid w:val="0"/>
        <w:spacing w:beforeLines="50"/>
        <w:ind w:firstLine="560" w:firstLineChars="200"/>
        <w:jc w:val="left"/>
        <w:rPr>
          <w:rFonts w:ascii="宋体" w:hAnsi="宋体" w:cs="宋体"/>
          <w:color w:val="000000"/>
          <w:sz w:val="28"/>
          <w:szCs w:val="28"/>
          <w:lang w:val="zh-CN"/>
        </w:rPr>
      </w:pPr>
      <w:r>
        <w:rPr>
          <w:rFonts w:hint="eastAsia" w:ascii="宋体" w:hAnsi="宋体" w:cs="宋体"/>
          <w:color w:val="000000"/>
          <w:sz w:val="28"/>
          <w:szCs w:val="28"/>
        </w:rPr>
        <w:t>磋商响应方如认为采购过程和成交结果使自身的合法权益受到损害的，可以在知道或者应知其权益受到损害之日起7个工作日内，以书面形式向龙游博洽投资咨询有限公司提出质疑，逾期将不予受理。磋商响应方对中心的质疑答复不满意或者中心未在规定时间内作出答复的，可以在答复期满后15个工作日内龙游县人民政府国有资产监督管理办公室投诉（0570﹣7024242）</w:t>
      </w:r>
    </w:p>
    <w:p>
      <w:pPr>
        <w:spacing w:line="460" w:lineRule="atLeast"/>
        <w:ind w:firstLine="5040" w:firstLineChars="1800"/>
        <w:rPr>
          <w:rFonts w:ascii="宋体" w:hAnsi="宋体" w:cs="宋体"/>
          <w:color w:val="000000"/>
          <w:sz w:val="28"/>
          <w:szCs w:val="28"/>
          <w:lang w:val="zh-CN"/>
        </w:rPr>
      </w:pPr>
    </w:p>
    <w:p>
      <w:pPr>
        <w:spacing w:line="460" w:lineRule="atLeast"/>
        <w:ind w:firstLine="5040" w:firstLineChars="1800"/>
        <w:rPr>
          <w:rFonts w:ascii="宋体" w:hAnsi="宋体" w:cs="宋体"/>
          <w:color w:val="000000"/>
          <w:sz w:val="28"/>
          <w:szCs w:val="28"/>
          <w:lang w:val="zh-CN"/>
        </w:rPr>
      </w:pPr>
    </w:p>
    <w:p>
      <w:pPr>
        <w:spacing w:line="460" w:lineRule="atLeast"/>
        <w:ind w:firstLine="5040" w:firstLineChars="1800"/>
        <w:rPr>
          <w:rFonts w:ascii="宋体" w:hAnsi="宋体" w:cs="宋体"/>
          <w:sz w:val="28"/>
          <w:szCs w:val="28"/>
        </w:rPr>
      </w:pPr>
      <w:r>
        <w:rPr>
          <w:rFonts w:hint="eastAsia" w:ascii="宋体" w:hAnsi="宋体" w:cs="宋体"/>
          <w:color w:val="000000"/>
          <w:sz w:val="28"/>
          <w:szCs w:val="28"/>
          <w:lang w:val="zh-CN"/>
        </w:rPr>
        <w:t>龙游石窟风景旅游有限公司</w:t>
      </w:r>
    </w:p>
    <w:p>
      <w:pPr>
        <w:spacing w:line="460" w:lineRule="atLeast"/>
        <w:ind w:firstLine="5040" w:firstLineChars="1800"/>
        <w:rPr>
          <w:rFonts w:ascii="宋体" w:hAnsi="宋体" w:cs="宋体"/>
          <w:color w:val="000000"/>
          <w:sz w:val="28"/>
          <w:szCs w:val="28"/>
        </w:rPr>
      </w:pPr>
      <w:r>
        <w:rPr>
          <w:rFonts w:hint="eastAsia" w:ascii="宋体" w:hAnsi="宋体" w:cs="宋体"/>
          <w:color w:val="000000"/>
          <w:sz w:val="28"/>
          <w:szCs w:val="28"/>
        </w:rPr>
        <w:t xml:space="preserve">龙游博洽投资咨询有限公司 </w:t>
      </w:r>
    </w:p>
    <w:p>
      <w:pPr>
        <w:spacing w:line="460" w:lineRule="atLeast"/>
        <w:ind w:firstLine="6160" w:firstLineChars="2200"/>
        <w:rPr>
          <w:rFonts w:ascii="宋体" w:hAnsi="宋体" w:cs="宋体"/>
          <w:sz w:val="28"/>
          <w:szCs w:val="28"/>
        </w:rPr>
      </w:pPr>
      <w:r>
        <w:rPr>
          <w:rFonts w:hint="eastAsia" w:ascii="宋体" w:hAnsi="宋体" w:cs="宋体"/>
          <w:color w:val="292929"/>
          <w:sz w:val="28"/>
          <w:szCs w:val="28"/>
        </w:rPr>
        <w:t>2021年4月</w:t>
      </w:r>
      <w:r>
        <w:rPr>
          <w:rFonts w:hint="eastAsia" w:ascii="宋体" w:hAnsi="宋体" w:cs="宋体"/>
          <w:color w:val="292929"/>
          <w:sz w:val="28"/>
          <w:szCs w:val="28"/>
          <w:lang w:val="en-US" w:eastAsia="zh-CN"/>
        </w:rPr>
        <w:t>27</w:t>
      </w:r>
      <w:r>
        <w:rPr>
          <w:rFonts w:hint="eastAsia" w:ascii="宋体" w:hAnsi="宋体" w:cs="宋体"/>
          <w:color w:val="292929"/>
          <w:sz w:val="28"/>
          <w:szCs w:val="28"/>
        </w:rPr>
        <w:t xml:space="preserve"> </w:t>
      </w:r>
      <w:r>
        <w:rPr>
          <w:rFonts w:hint="eastAsia" w:ascii="宋体" w:hAnsi="宋体" w:cs="宋体"/>
          <w:sz w:val="28"/>
          <w:szCs w:val="28"/>
        </w:rPr>
        <w:t>日</w:t>
      </w:r>
    </w:p>
    <w:p>
      <w:pPr>
        <w:tabs>
          <w:tab w:val="left" w:pos="1035"/>
        </w:tabs>
        <w:spacing w:line="500" w:lineRule="exact"/>
        <w:ind w:firstLine="1680" w:firstLineChars="600"/>
        <w:outlineLvl w:val="0"/>
        <w:rPr>
          <w:rStyle w:val="273"/>
          <w:rFonts w:hint="default"/>
          <w:sz w:val="28"/>
          <w:szCs w:val="28"/>
        </w:rPr>
        <w:sectPr>
          <w:pgSz w:w="11906" w:h="16838"/>
          <w:pgMar w:top="1440" w:right="1080" w:bottom="1440" w:left="1080" w:header="850" w:footer="992" w:gutter="0"/>
          <w:pgBorders>
            <w:top w:val="none" w:sz="0" w:space="0"/>
            <w:left w:val="none" w:sz="0" w:space="0"/>
            <w:bottom w:val="none" w:sz="0" w:space="0"/>
            <w:right w:val="none" w:sz="0" w:space="0"/>
          </w:pgBorders>
          <w:cols w:space="0" w:num="1"/>
          <w:titlePg/>
          <w:docGrid w:type="lines" w:linePitch="325" w:charSpace="0"/>
        </w:sectPr>
      </w:pPr>
      <w:bookmarkStart w:id="16" w:name="_Toc19379"/>
    </w:p>
    <w:p>
      <w:pPr>
        <w:tabs>
          <w:tab w:val="left" w:pos="1035"/>
        </w:tabs>
        <w:spacing w:line="500" w:lineRule="exact"/>
        <w:jc w:val="center"/>
        <w:outlineLvl w:val="0"/>
        <w:rPr>
          <w:rFonts w:asciiTheme="minorEastAsia" w:hAnsiTheme="minorEastAsia" w:eastAsiaTheme="minorEastAsia" w:cstheme="minorEastAsia"/>
          <w:b/>
          <w:sz w:val="32"/>
          <w:szCs w:val="32"/>
        </w:rPr>
      </w:pPr>
      <w:r>
        <w:rPr>
          <w:rStyle w:val="273"/>
          <w:rFonts w:hint="default"/>
          <w:sz w:val="32"/>
          <w:szCs w:val="32"/>
        </w:rPr>
        <w:t xml:space="preserve">第二章 </w:t>
      </w:r>
      <w:r>
        <w:rPr>
          <w:rFonts w:hint="eastAsia" w:asciiTheme="minorEastAsia" w:hAnsiTheme="minorEastAsia" w:eastAsiaTheme="minorEastAsia" w:cstheme="minorEastAsia"/>
          <w:b/>
          <w:sz w:val="32"/>
          <w:szCs w:val="32"/>
        </w:rPr>
        <w:t>磋商供应商须知前附表</w:t>
      </w:r>
      <w:bookmarkEnd w:id="16"/>
    </w:p>
    <w:tbl>
      <w:tblPr>
        <w:tblStyle w:val="59"/>
        <w:tblpPr w:leftFromText="180" w:rightFromText="180" w:vertAnchor="text" w:horzAnchor="page" w:tblpXSpec="center" w:tblpY="457"/>
        <w:tblOverlap w:val="never"/>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2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序号</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内容</w:t>
            </w:r>
          </w:p>
        </w:tc>
        <w:tc>
          <w:tcPr>
            <w:tcW w:w="7143"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采购人</w:t>
            </w:r>
          </w:p>
        </w:tc>
        <w:tc>
          <w:tcPr>
            <w:tcW w:w="7143" w:type="dxa"/>
            <w:vAlign w:val="center"/>
          </w:tcPr>
          <w:p>
            <w:pPr>
              <w:pStyle w:val="32"/>
              <w:snapToGrid w:val="0"/>
              <w:spacing w:line="50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龙游石窟风景旅游有限公司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7143" w:type="dxa"/>
            <w:vAlign w:val="center"/>
          </w:tcPr>
          <w:p>
            <w:pPr>
              <w:spacing w:line="46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龙游石窟景区、龙游民居苑景区票务系统新建项目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采购预算</w:t>
            </w:r>
          </w:p>
        </w:tc>
        <w:tc>
          <w:tcPr>
            <w:tcW w:w="7143" w:type="dxa"/>
            <w:vAlign w:val="center"/>
          </w:tcPr>
          <w:p>
            <w:pPr>
              <w:pStyle w:val="32"/>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人民币49万元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1826" w:type="dxa"/>
            <w:vAlign w:val="center"/>
          </w:tcPr>
          <w:p>
            <w:pPr>
              <w:pStyle w:val="32"/>
              <w:snapToGrid w:val="0"/>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工期要求</w:t>
            </w:r>
          </w:p>
        </w:tc>
        <w:tc>
          <w:tcPr>
            <w:tcW w:w="7143" w:type="dxa"/>
            <w:vAlign w:val="center"/>
          </w:tcPr>
          <w:p>
            <w:pPr>
              <w:pStyle w:val="32"/>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签订合同后七个日历天完成安装、调试，5月18号之前实现本景区与全省及长三角地区社保卡实体卡、电子卡刷卡入及互联互通，并验收合格。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现场勘查</w:t>
            </w:r>
          </w:p>
        </w:tc>
        <w:tc>
          <w:tcPr>
            <w:tcW w:w="7143" w:type="dxa"/>
            <w:vAlign w:val="center"/>
          </w:tcPr>
          <w:p>
            <w:pPr>
              <w:pStyle w:val="32"/>
              <w:snapToGrid w:val="0"/>
              <w:spacing w:line="50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1826" w:type="dxa"/>
            <w:vAlign w:val="center"/>
          </w:tcPr>
          <w:p>
            <w:pPr>
              <w:pStyle w:val="32"/>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联合体投标</w:t>
            </w:r>
          </w:p>
        </w:tc>
        <w:tc>
          <w:tcPr>
            <w:tcW w:w="7143" w:type="dxa"/>
            <w:vAlign w:val="center"/>
          </w:tcPr>
          <w:p>
            <w:pPr>
              <w:pStyle w:val="32"/>
              <w:spacing w:line="50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合格投标人的资格要求</w:t>
            </w:r>
          </w:p>
        </w:tc>
        <w:tc>
          <w:tcPr>
            <w:tcW w:w="7143" w:type="dxa"/>
            <w:vAlign w:val="center"/>
          </w:tcPr>
          <w:p>
            <w:pPr>
              <w:pStyle w:val="32"/>
              <w:snapToGri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1.符合《中华人民共和国政府采购法》第二十二条要求。</w:t>
            </w:r>
          </w:p>
          <w:p>
            <w:pPr>
              <w:pStyle w:val="32"/>
              <w:snapToGri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2.在中华人民共和国境内注册，有独立法人资格，能承担本项目的供应商,分公司参与投标的，需提供总公司授权书。</w:t>
            </w:r>
          </w:p>
          <w:p>
            <w:pPr>
              <w:pStyle w:val="32"/>
              <w:snapToGrid w:val="0"/>
              <w:spacing w:line="36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3.本项目谢绝联合体投标。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磋商有效期</w:t>
            </w:r>
          </w:p>
        </w:tc>
        <w:tc>
          <w:tcPr>
            <w:tcW w:w="7143" w:type="dxa"/>
            <w:vAlign w:val="center"/>
          </w:tcPr>
          <w:p>
            <w:pPr>
              <w:pStyle w:val="32"/>
              <w:snapToGrid w:val="0"/>
              <w:spacing w:line="50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磋商响应文件递交截止之日起90天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pacing w:val="-20"/>
                <w:sz w:val="24"/>
              </w:rPr>
            </w:pPr>
            <w:r>
              <w:rPr>
                <w:rFonts w:hint="eastAsia" w:asciiTheme="minorEastAsia" w:hAnsiTheme="minorEastAsia" w:eastAsiaTheme="minorEastAsia" w:cstheme="minorEastAsia"/>
                <w:color w:val="000000"/>
                <w:spacing w:val="-20"/>
                <w:sz w:val="24"/>
              </w:rPr>
              <w:t>递交注意事项</w:t>
            </w:r>
          </w:p>
        </w:tc>
        <w:tc>
          <w:tcPr>
            <w:tcW w:w="7143" w:type="dxa"/>
            <w:vAlign w:val="center"/>
          </w:tcPr>
          <w:p>
            <w:pPr>
              <w:pStyle w:val="32"/>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递交响应文件时还需递交:法人授权委托书一份及被授权人身份证复印件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pacing w:val="-20"/>
                <w:sz w:val="24"/>
              </w:rPr>
            </w:pPr>
            <w:r>
              <w:rPr>
                <w:rFonts w:hint="eastAsia" w:asciiTheme="minorEastAsia" w:hAnsiTheme="minorEastAsia" w:eastAsiaTheme="minorEastAsia" w:cstheme="minorEastAsia"/>
                <w:color w:val="000000"/>
                <w:spacing w:val="-20"/>
                <w:sz w:val="24"/>
              </w:rPr>
              <w:t>磋商响应文件递交截止时间</w:t>
            </w:r>
          </w:p>
        </w:tc>
        <w:tc>
          <w:tcPr>
            <w:tcW w:w="7143" w:type="dxa"/>
            <w:vAlign w:val="center"/>
          </w:tcPr>
          <w:p>
            <w:pPr>
              <w:snapToGrid w:val="0"/>
              <w:spacing w:line="46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2021年5月</w:t>
            </w:r>
            <w:r>
              <w:rPr>
                <w:rFonts w:hint="eastAsia" w:asciiTheme="minorEastAsia" w:hAnsiTheme="minorEastAsia" w:eastAsiaTheme="minorEastAsia" w:cstheme="minorEastAsia"/>
                <w:sz w:val="24"/>
                <w:lang w:val="en-US" w:eastAsia="zh-CN"/>
              </w:rPr>
              <w:t>07</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0整</w:t>
            </w:r>
            <w:r>
              <w:rPr>
                <w:rFonts w:hint="eastAsia" w:asciiTheme="minorEastAsia" w:hAnsiTheme="minorEastAsia" w:eastAsiaTheme="minorEastAsia" w:cstheme="minorEastAsia"/>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Merge w:val="restart"/>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1826" w:type="dxa"/>
            <w:vMerge w:val="restart"/>
            <w:vAlign w:val="center"/>
          </w:tcPr>
          <w:p>
            <w:pPr>
              <w:pStyle w:val="32"/>
              <w:snapToGrid w:val="0"/>
              <w:spacing w:line="500" w:lineRule="exact"/>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投标文件的递交</w:t>
            </w:r>
          </w:p>
        </w:tc>
        <w:tc>
          <w:tcPr>
            <w:tcW w:w="7143" w:type="dxa"/>
            <w:vAlign w:val="center"/>
          </w:tcPr>
          <w:p>
            <w:pPr>
              <w:pStyle w:val="32"/>
              <w:snapToGrid w:val="0"/>
              <w:spacing w:line="3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响应文件一份正本，二份副本（正、副本分别装订，密封一袋）</w:t>
            </w:r>
          </w:p>
          <w:p>
            <w:pPr>
              <w:pStyle w:val="32"/>
              <w:snapToGrid w:val="0"/>
              <w:spacing w:line="500" w:lineRule="exac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原件同时提供。所有原件应单独装袋（不需密封），包装封套上应注明磋商响应单位名称及粘贴打印的表格式原件清单目录（供参考）。原件应与磋商响应文件同时提交，超过截止时间送达的原件不予接收。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Merge w:val="continue"/>
            <w:vAlign w:val="center"/>
          </w:tcPr>
          <w:p>
            <w:pPr>
              <w:pStyle w:val="32"/>
              <w:snapToGrid w:val="0"/>
              <w:spacing w:line="500" w:lineRule="exact"/>
              <w:jc w:val="center"/>
              <w:rPr>
                <w:rFonts w:asciiTheme="minorEastAsia" w:hAnsiTheme="minorEastAsia" w:eastAsiaTheme="minorEastAsia" w:cstheme="minorEastAsia"/>
                <w:color w:val="000000"/>
                <w:sz w:val="24"/>
              </w:rPr>
            </w:pPr>
          </w:p>
        </w:tc>
        <w:tc>
          <w:tcPr>
            <w:tcW w:w="1826" w:type="dxa"/>
            <w:vMerge w:val="continue"/>
            <w:vAlign w:val="center"/>
          </w:tcPr>
          <w:p>
            <w:pPr>
              <w:pStyle w:val="32"/>
              <w:snapToGrid w:val="0"/>
              <w:spacing w:line="500" w:lineRule="exact"/>
              <w:jc w:val="center"/>
              <w:rPr>
                <w:rFonts w:asciiTheme="minorEastAsia" w:hAnsiTheme="minorEastAsia" w:eastAsiaTheme="minorEastAsia" w:cstheme="minorEastAsia"/>
                <w:spacing w:val="-20"/>
                <w:sz w:val="24"/>
              </w:rPr>
            </w:pPr>
          </w:p>
        </w:tc>
        <w:tc>
          <w:tcPr>
            <w:tcW w:w="7143" w:type="dxa"/>
            <w:vAlign w:val="center"/>
          </w:tcPr>
          <w:p>
            <w:pPr>
              <w:pStyle w:val="32"/>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注：磋商响应文件纸质版应装订成册，建议胶装，若采用卡条、抽杆夹等形式装订的（或其他可使响应文件可以拆卸或者在翻动过程中易脱落的装订方式）的均</w:t>
            </w:r>
            <w:r>
              <w:rPr>
                <w:rFonts w:hint="eastAsia" w:hAnsi="宋体" w:cs="宋体"/>
                <w:color w:val="292929"/>
                <w:sz w:val="24"/>
              </w:rPr>
              <w:t>不予接收</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Merge w:val="continue"/>
            <w:vAlign w:val="center"/>
          </w:tcPr>
          <w:p>
            <w:pPr>
              <w:pStyle w:val="32"/>
              <w:snapToGrid w:val="0"/>
              <w:spacing w:line="500" w:lineRule="exact"/>
              <w:jc w:val="center"/>
              <w:rPr>
                <w:rFonts w:asciiTheme="minorEastAsia" w:hAnsiTheme="minorEastAsia" w:eastAsiaTheme="minorEastAsia" w:cstheme="minorEastAsia"/>
                <w:color w:val="000000"/>
                <w:sz w:val="24"/>
              </w:rPr>
            </w:pPr>
          </w:p>
        </w:tc>
        <w:tc>
          <w:tcPr>
            <w:tcW w:w="1826" w:type="dxa"/>
            <w:vMerge w:val="continue"/>
            <w:vAlign w:val="center"/>
          </w:tcPr>
          <w:p>
            <w:pPr>
              <w:pStyle w:val="32"/>
              <w:snapToGrid w:val="0"/>
              <w:spacing w:line="500" w:lineRule="exact"/>
              <w:jc w:val="center"/>
              <w:rPr>
                <w:rFonts w:asciiTheme="minorEastAsia" w:hAnsiTheme="minorEastAsia" w:eastAsiaTheme="minorEastAsia" w:cstheme="minorEastAsia"/>
                <w:spacing w:val="-20"/>
                <w:sz w:val="24"/>
              </w:rPr>
            </w:pPr>
          </w:p>
        </w:tc>
        <w:tc>
          <w:tcPr>
            <w:tcW w:w="7143" w:type="dxa"/>
            <w:vAlign w:val="center"/>
          </w:tcPr>
          <w:p>
            <w:pPr>
              <w:pStyle w:val="32"/>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投标人应当在投标截止时间前将响应文件按要求密封送交到开标地点，逾期送达或未按要求密封将被拒收。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pacing w:val="-20"/>
                <w:sz w:val="24"/>
              </w:rPr>
            </w:pPr>
            <w:r>
              <w:rPr>
                <w:rFonts w:hint="eastAsia" w:asciiTheme="minorEastAsia" w:hAnsiTheme="minorEastAsia" w:eastAsiaTheme="minorEastAsia" w:cstheme="minorEastAsia"/>
                <w:color w:val="000000"/>
                <w:spacing w:val="-20"/>
                <w:sz w:val="24"/>
              </w:rPr>
              <w:t>开标地点</w:t>
            </w:r>
          </w:p>
        </w:tc>
        <w:tc>
          <w:tcPr>
            <w:tcW w:w="7143" w:type="dxa"/>
            <w:vAlign w:val="center"/>
          </w:tcPr>
          <w:p>
            <w:pPr>
              <w:pStyle w:val="32"/>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龙游县公共资源交易中心2楼开标室3（龙游县龙翔路3</w:t>
            </w:r>
            <w:r>
              <w:rPr>
                <w:rFonts w:asciiTheme="minorEastAsia" w:hAnsiTheme="minorEastAsia" w:eastAsiaTheme="minorEastAsia" w:cstheme="minorEastAsia"/>
                <w:sz w:val="24"/>
              </w:rPr>
              <w:t>7</w:t>
            </w:r>
            <w:r>
              <w:rPr>
                <w:rFonts w:hint="eastAsia" w:asciiTheme="minorEastAsia" w:hAnsiTheme="minorEastAsia" w:eastAsiaTheme="minorEastAsia" w:cstheme="minorEastAsia"/>
                <w:sz w:val="24"/>
              </w:rPr>
              <w:t>8号，原香溢市场西侧）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开标时间</w:t>
            </w:r>
          </w:p>
        </w:tc>
        <w:tc>
          <w:tcPr>
            <w:tcW w:w="7143" w:type="dxa"/>
            <w:vAlign w:val="center"/>
          </w:tcPr>
          <w:p>
            <w:pPr>
              <w:pStyle w:val="32"/>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2021年5月</w:t>
            </w:r>
            <w:r>
              <w:rPr>
                <w:rFonts w:hint="eastAsia" w:asciiTheme="minorEastAsia" w:hAnsiTheme="minorEastAsia" w:eastAsiaTheme="minorEastAsia" w:cstheme="minorEastAsia"/>
                <w:sz w:val="24"/>
                <w:lang w:val="en-US" w:eastAsia="zh-CN"/>
              </w:rPr>
              <w:t>07</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lang w:val="en-US" w:eastAsia="zh-CN"/>
              </w:rPr>
              <w:t>09</w:t>
            </w:r>
            <w:r>
              <w:rPr>
                <w:rFonts w:hint="eastAsia" w:hAnsi="宋体" w:cs="宋体"/>
                <w:sz w:val="24"/>
              </w:rPr>
              <w:t>:</w:t>
            </w:r>
            <w:r>
              <w:rPr>
                <w:rFonts w:hint="eastAsia" w:hAnsi="宋体" w:cs="宋体"/>
                <w:sz w:val="24"/>
                <w:lang w:val="en-US" w:eastAsia="zh-CN"/>
              </w:rPr>
              <w:t>3</w:t>
            </w:r>
            <w:r>
              <w:rPr>
                <w:rFonts w:hint="eastAsia" w:hAnsi="宋体" w:cs="宋体"/>
                <w:sz w:val="24"/>
              </w:rPr>
              <w:t>0整</w:t>
            </w:r>
            <w:r>
              <w:rPr>
                <w:rFonts w:hint="eastAsia" w:asciiTheme="minorEastAsia" w:hAnsiTheme="minorEastAsia" w:eastAsiaTheme="minorEastAsia" w:cstheme="minorEastAsia"/>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1826"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签订合同</w:t>
            </w:r>
          </w:p>
        </w:tc>
        <w:tc>
          <w:tcPr>
            <w:tcW w:w="7143" w:type="dxa"/>
            <w:vAlign w:val="center"/>
          </w:tcPr>
          <w:p>
            <w:pPr>
              <w:pStyle w:val="32"/>
              <w:snapToGrid w:val="0"/>
              <w:spacing w:line="50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成交通知书发出后3日内签订合同。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04" w:type="dxa"/>
            <w:vAlign w:val="center"/>
          </w:tcPr>
          <w:p>
            <w:pPr>
              <w:pStyle w:val="32"/>
              <w:snapToGrid w:val="0"/>
              <w:spacing w:line="50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1826" w:type="dxa"/>
            <w:vAlign w:val="center"/>
          </w:tcPr>
          <w:p>
            <w:pPr>
              <w:pStyle w:val="32"/>
              <w:snapToGrid w:val="0"/>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履约保证金收取及退还</w:t>
            </w:r>
          </w:p>
        </w:tc>
        <w:tc>
          <w:tcPr>
            <w:tcW w:w="7143" w:type="dxa"/>
            <w:vAlign w:val="center"/>
          </w:tcPr>
          <w:p>
            <w:pPr>
              <w:pStyle w:val="57"/>
              <w:spacing w:line="460" w:lineRule="exact"/>
              <w:ind w:firstLine="0"/>
              <w:rPr>
                <w:rStyle w:val="67"/>
                <w:rFonts w:asciiTheme="minorEastAsia" w:hAnsiTheme="minorEastAsia" w:eastAsiaTheme="minorEastAsia" w:cstheme="minorEastAsia"/>
              </w:rPr>
            </w:pPr>
            <w:r>
              <w:rPr>
                <w:rFonts w:hint="eastAsia" w:asciiTheme="majorEastAsia" w:hAnsiTheme="majorEastAsia" w:eastAsiaTheme="majorEastAsia" w:cstheme="majorEastAsia"/>
              </w:rPr>
              <w:t>履约保证金按合同金额的</w:t>
            </w:r>
            <w:r>
              <w:rPr>
                <w:rFonts w:asciiTheme="majorEastAsia" w:hAnsiTheme="majorEastAsia" w:eastAsiaTheme="majorEastAsia" w:cstheme="majorEastAsia"/>
                <w:u w:val="single"/>
              </w:rPr>
              <w:t xml:space="preserve"> 5</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计收，签订合同前向采购人交纳，验收合格后无息退还。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04" w:type="dxa"/>
            <w:vAlign w:val="center"/>
          </w:tcPr>
          <w:p>
            <w:pPr>
              <w:pStyle w:val="32"/>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826" w:type="dxa"/>
            <w:vAlign w:val="center"/>
          </w:tcPr>
          <w:p>
            <w:pPr>
              <w:pStyle w:val="24"/>
              <w:spacing w:line="4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采购公告、更正公告、成效公告发布网址</w:t>
            </w:r>
          </w:p>
        </w:tc>
        <w:tc>
          <w:tcPr>
            <w:tcW w:w="7143" w:type="dxa"/>
            <w:vAlign w:val="center"/>
          </w:tcPr>
          <w:p>
            <w:pPr>
              <w:pStyle w:val="32"/>
              <w:snapToGrid w:val="0"/>
              <w:spacing w:line="460" w:lineRule="exact"/>
              <w:rPr>
                <w:rFonts w:asciiTheme="majorEastAsia" w:hAnsiTheme="majorEastAsia" w:eastAsiaTheme="majorEastAsia" w:cstheme="majorEastAsia"/>
                <w:sz w:val="24"/>
              </w:rPr>
            </w:pPr>
            <w:r>
              <w:rPr>
                <w:rFonts w:asciiTheme="majorEastAsia" w:hAnsiTheme="majorEastAsia" w:eastAsiaTheme="majorEastAsia" w:cstheme="majorEastAsia"/>
                <w:sz w:val="24"/>
              </w:rPr>
              <w:t>www.zjzfcg.gov.cn（浙江省政府采购网）</w:t>
            </w:r>
          </w:p>
          <w:p>
            <w:pPr>
              <w:spacing w:line="460" w:lineRule="exact"/>
              <w:rPr>
                <w:rFonts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4" w:type="dxa"/>
            <w:vMerge w:val="restart"/>
            <w:vAlign w:val="center"/>
          </w:tcPr>
          <w:p>
            <w:pPr>
              <w:numPr>
                <w:ilvl w:val="0"/>
                <w:numId w:val="15"/>
              </w:numPr>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26" w:type="dxa"/>
            <w:vMerge w:val="restart"/>
            <w:vAlign w:val="center"/>
          </w:tcPr>
          <w:p>
            <w:pPr>
              <w:tabs>
                <w:tab w:val="left" w:pos="0"/>
              </w:tabs>
              <w:autoSpaceDE w:val="0"/>
              <w:autoSpaceDN w:val="0"/>
              <w:adjustRightInd w:val="0"/>
              <w:spacing w:line="3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7143" w:type="dxa"/>
            <w:vAlign w:val="center"/>
          </w:tcPr>
          <w:p>
            <w:pPr>
              <w:pStyle w:val="32"/>
              <w:snapToGrid w:val="0"/>
              <w:spacing w:line="4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龙游石窟风景旅游有限公司</w:t>
            </w:r>
          </w:p>
          <w:p>
            <w:pPr>
              <w:adjustRightInd w:val="0"/>
              <w:snapToGrid w:val="0"/>
              <w:spacing w:beforeLines="5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联系人：许先生13735082309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vMerge w:val="continue"/>
            <w:vAlign w:val="center"/>
          </w:tcPr>
          <w:p>
            <w:pPr>
              <w:tabs>
                <w:tab w:val="left" w:pos="0"/>
              </w:tabs>
              <w:autoSpaceDE w:val="0"/>
              <w:autoSpaceDN w:val="0"/>
              <w:adjustRightInd w:val="0"/>
              <w:spacing w:line="340" w:lineRule="exact"/>
              <w:jc w:val="center"/>
              <w:rPr>
                <w:rFonts w:asciiTheme="minorEastAsia" w:hAnsiTheme="minorEastAsia" w:eastAsiaTheme="minorEastAsia" w:cstheme="minorEastAsia"/>
                <w:sz w:val="24"/>
              </w:rPr>
            </w:pPr>
          </w:p>
        </w:tc>
        <w:tc>
          <w:tcPr>
            <w:tcW w:w="1826" w:type="dxa"/>
            <w:vMerge w:val="continue"/>
            <w:vAlign w:val="center"/>
          </w:tcPr>
          <w:p>
            <w:pPr>
              <w:tabs>
                <w:tab w:val="left" w:pos="0"/>
              </w:tabs>
              <w:autoSpaceDE w:val="0"/>
              <w:autoSpaceDN w:val="0"/>
              <w:adjustRightInd w:val="0"/>
              <w:spacing w:line="340" w:lineRule="exact"/>
              <w:jc w:val="center"/>
              <w:rPr>
                <w:rFonts w:asciiTheme="minorEastAsia" w:hAnsiTheme="minorEastAsia" w:eastAsiaTheme="minorEastAsia" w:cstheme="minorEastAsia"/>
                <w:sz w:val="24"/>
              </w:rPr>
            </w:pPr>
          </w:p>
        </w:tc>
        <w:tc>
          <w:tcPr>
            <w:tcW w:w="7143" w:type="dxa"/>
            <w:vAlign w:val="center"/>
          </w:tcPr>
          <w:p>
            <w:pPr>
              <w:pStyle w:val="32"/>
              <w:snapToGrid w:val="0"/>
              <w:spacing w:line="4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龙游博洽投资咨询有限公司 </w:t>
            </w:r>
          </w:p>
          <w:p>
            <w:pPr>
              <w:pStyle w:val="32"/>
              <w:snapToGrid w:val="0"/>
              <w:spacing w:line="4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联系人：方女士  13587034066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04" w:type="dxa"/>
            <w:vAlign w:val="center"/>
          </w:tcPr>
          <w:p>
            <w:pPr>
              <w:pStyle w:val="32"/>
              <w:snapToGrid w:val="0"/>
              <w:spacing w:line="4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18</w:t>
            </w:r>
          </w:p>
        </w:tc>
        <w:tc>
          <w:tcPr>
            <w:tcW w:w="1826" w:type="dxa"/>
            <w:vAlign w:val="center"/>
          </w:tcPr>
          <w:p>
            <w:pPr>
              <w:pStyle w:val="32"/>
              <w:snapToGrid w:val="0"/>
              <w:spacing w:line="460" w:lineRule="exact"/>
              <w:jc w:val="center"/>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提交答疑截止时间</w:t>
            </w:r>
          </w:p>
        </w:tc>
        <w:tc>
          <w:tcPr>
            <w:tcW w:w="7143" w:type="dxa"/>
            <w:vAlign w:val="center"/>
          </w:tcPr>
          <w:p>
            <w:pPr>
              <w:spacing w:line="460" w:lineRule="exact"/>
              <w:jc w:val="lef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如</w:t>
            </w:r>
            <w:r>
              <w:rPr>
                <w:rFonts w:hint="eastAsia" w:asciiTheme="majorEastAsia" w:hAnsiTheme="majorEastAsia" w:eastAsiaTheme="majorEastAsia" w:cstheme="majorEastAsia"/>
                <w:sz w:val="24"/>
                <w:lang w:val="zh-CN"/>
              </w:rPr>
              <w:t>对招标文件有异议，请在20</w:t>
            </w:r>
            <w:r>
              <w:rPr>
                <w:rFonts w:hint="eastAsia" w:asciiTheme="majorEastAsia" w:hAnsiTheme="majorEastAsia" w:eastAsiaTheme="majorEastAsia" w:cstheme="majorEastAsia"/>
                <w:sz w:val="24"/>
              </w:rPr>
              <w:t>21</w:t>
            </w:r>
            <w:r>
              <w:rPr>
                <w:rFonts w:hint="eastAsia" w:asciiTheme="majorEastAsia" w:hAnsiTheme="majorEastAsia" w:eastAsiaTheme="majorEastAsia" w:cstheme="majorEastAsia"/>
                <w:sz w:val="24"/>
                <w:lang w:val="zh-CN"/>
              </w:rPr>
              <w:t>年</w:t>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lang w:val="zh-CN"/>
              </w:rPr>
              <w:t>月</w:t>
            </w:r>
            <w:r>
              <w:rPr>
                <w:rFonts w:hint="eastAsia" w:asciiTheme="majorEastAsia" w:hAnsiTheme="majorEastAsia" w:eastAsiaTheme="majorEastAsia" w:cstheme="majorEastAsia"/>
                <w:sz w:val="24"/>
                <w:lang w:val="en-US" w:eastAsia="zh-CN"/>
              </w:rPr>
              <w:t>06</w:t>
            </w:r>
            <w:r>
              <w:rPr>
                <w:rFonts w:hint="eastAsia" w:asciiTheme="majorEastAsia" w:hAnsiTheme="majorEastAsia" w:eastAsiaTheme="majorEastAsia" w:cstheme="majorEastAsia"/>
                <w:sz w:val="24"/>
                <w:lang w:val="zh-CN"/>
              </w:rPr>
              <w:t>日</w:t>
            </w:r>
            <w:r>
              <w:rPr>
                <w:rFonts w:hint="eastAsia" w:asciiTheme="majorEastAsia" w:hAnsiTheme="majorEastAsia" w:eastAsiaTheme="majorEastAsia" w:cstheme="majorEastAsia"/>
                <w:sz w:val="24"/>
                <w:lang w:val="en-US" w:eastAsia="zh-CN"/>
              </w:rPr>
              <w:t>12</w:t>
            </w:r>
            <w:r>
              <w:rPr>
                <w:rFonts w:hint="eastAsia" w:asciiTheme="majorEastAsia" w:hAnsiTheme="majorEastAsia" w:eastAsiaTheme="majorEastAsia" w:cstheme="majorEastAsia"/>
                <w:sz w:val="24"/>
                <w:lang w:val="zh-CN"/>
              </w:rPr>
              <w:t>：00时前以书面形式提出，逾期概不受理。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4" w:type="dxa"/>
            <w:vAlign w:val="center"/>
          </w:tcPr>
          <w:p>
            <w:pPr>
              <w:pStyle w:val="32"/>
              <w:snapToGrid w:val="0"/>
              <w:spacing w:line="4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19</w:t>
            </w:r>
          </w:p>
        </w:tc>
        <w:tc>
          <w:tcPr>
            <w:tcW w:w="1826" w:type="dxa"/>
            <w:vAlign w:val="center"/>
          </w:tcPr>
          <w:p>
            <w:pPr>
              <w:pStyle w:val="32"/>
              <w:snapToGrid w:val="0"/>
              <w:spacing w:line="460" w:lineRule="exact"/>
              <w:jc w:val="center"/>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答疑回复时间</w:t>
            </w:r>
          </w:p>
        </w:tc>
        <w:tc>
          <w:tcPr>
            <w:tcW w:w="7143" w:type="dxa"/>
            <w:vAlign w:val="center"/>
          </w:tcPr>
          <w:p>
            <w:pPr>
              <w:spacing w:line="460" w:lineRule="exact"/>
              <w:jc w:val="left"/>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招标文件的答疑、补充、修改等于2021年5月</w:t>
            </w:r>
            <w:r>
              <w:rPr>
                <w:rFonts w:hint="eastAsia" w:asciiTheme="majorEastAsia" w:hAnsiTheme="majorEastAsia" w:eastAsiaTheme="majorEastAsia" w:cstheme="majorEastAsia"/>
                <w:sz w:val="24"/>
                <w:lang w:val="en-US" w:eastAsia="zh-CN"/>
              </w:rPr>
              <w:t xml:space="preserve">06 </w:t>
            </w:r>
            <w:r>
              <w:rPr>
                <w:rFonts w:hint="eastAsia" w:asciiTheme="majorEastAsia" w:hAnsiTheme="majorEastAsia" w:eastAsiaTheme="majorEastAsia" w:cstheme="majorEastAsia"/>
                <w:sz w:val="24"/>
              </w:rPr>
              <w:t>日17：00时前在浙江政府采购网公布，请各投标人必须注意。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4" w:type="dxa"/>
            <w:vAlign w:val="center"/>
          </w:tcPr>
          <w:p>
            <w:pPr>
              <w:pStyle w:val="32"/>
              <w:snapToGrid w:val="0"/>
              <w:spacing w:line="4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20</w:t>
            </w:r>
          </w:p>
        </w:tc>
        <w:tc>
          <w:tcPr>
            <w:tcW w:w="1826" w:type="dxa"/>
            <w:vAlign w:val="center"/>
          </w:tcPr>
          <w:p>
            <w:pPr>
              <w:pStyle w:val="32"/>
              <w:snapToGrid w:val="0"/>
              <w:spacing w:line="4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解释权</w:t>
            </w:r>
          </w:p>
        </w:tc>
        <w:tc>
          <w:tcPr>
            <w:tcW w:w="7143" w:type="dxa"/>
            <w:vAlign w:val="center"/>
          </w:tcPr>
          <w:p>
            <w:pPr>
              <w:pStyle w:val="32"/>
              <w:snapToGrid w:val="0"/>
              <w:spacing w:line="4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本招标文件的解释权</w:t>
            </w:r>
            <w:r>
              <w:rPr>
                <w:rFonts w:hint="eastAsia" w:asciiTheme="majorEastAsia" w:hAnsiTheme="majorEastAsia" w:eastAsiaTheme="majorEastAsia" w:cstheme="majorEastAsia"/>
                <w:sz w:val="24"/>
              </w:rPr>
              <w:t>属于</w:t>
            </w:r>
            <w:r>
              <w:rPr>
                <w:rFonts w:hint="eastAsia" w:asciiTheme="majorEastAsia" w:hAnsiTheme="majorEastAsia" w:eastAsiaTheme="majorEastAsia" w:cstheme="majorEastAsia"/>
                <w:sz w:val="24"/>
                <w:lang w:val="zh-CN"/>
              </w:rPr>
              <w:t>采购人</w:t>
            </w:r>
          </w:p>
        </w:tc>
      </w:tr>
    </w:tbl>
    <w:p>
      <w:pPr>
        <w:pStyle w:val="24"/>
        <w:spacing w:line="500" w:lineRule="exact"/>
        <w:rPr>
          <w:rFonts w:asciiTheme="minorEastAsia" w:hAnsiTheme="minorEastAsia" w:eastAsiaTheme="minorEastAsia"/>
        </w:rPr>
      </w:pPr>
    </w:p>
    <w:p>
      <w:pPr>
        <w:pStyle w:val="3"/>
        <w:numPr>
          <w:ilvl w:val="0"/>
          <w:numId w:val="0"/>
        </w:numPr>
        <w:spacing w:line="240" w:lineRule="auto"/>
        <w:rPr>
          <w:rFonts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color w:val="292929"/>
          <w:szCs w:val="21"/>
        </w:rPr>
        <w:br w:type="page"/>
      </w:r>
    </w:p>
    <w:p>
      <w:pPr>
        <w:pStyle w:val="32"/>
        <w:snapToGrid w:val="0"/>
        <w:spacing w:line="460" w:lineRule="exact"/>
        <w:jc w:val="center"/>
        <w:outlineLvl w:val="0"/>
        <w:rPr>
          <w:rFonts w:asciiTheme="minorEastAsia" w:hAnsiTheme="minorEastAsia" w:eastAsiaTheme="minorEastAsia" w:cstheme="minorEastAsia"/>
          <w:b/>
          <w:sz w:val="32"/>
          <w:szCs w:val="32"/>
        </w:rPr>
      </w:pPr>
      <w:bookmarkStart w:id="17" w:name="_Toc16743"/>
      <w:r>
        <w:rPr>
          <w:rFonts w:hint="eastAsia" w:asciiTheme="minorEastAsia" w:hAnsiTheme="minorEastAsia" w:eastAsiaTheme="minorEastAsia" w:cstheme="minorEastAsia"/>
          <w:b/>
          <w:sz w:val="32"/>
          <w:szCs w:val="32"/>
        </w:rPr>
        <w:t>第三章  磋商供应商须知</w:t>
      </w:r>
      <w:bookmarkEnd w:id="17"/>
    </w:p>
    <w:p>
      <w:pPr>
        <w:snapToGrid w:val="0"/>
        <w:spacing w:line="460" w:lineRule="exact"/>
        <w:ind w:firstLine="3092" w:firstLineChars="1100"/>
        <w:jc w:val="center"/>
        <w:rPr>
          <w:rFonts w:asciiTheme="minorEastAsia" w:hAnsiTheme="minorEastAsia" w:eastAsiaTheme="minorEastAsia" w:cstheme="minorEastAsia"/>
          <w:b/>
          <w:color w:val="292929"/>
          <w:sz w:val="28"/>
          <w:szCs w:val="28"/>
          <w:lang w:val="zh-CN"/>
        </w:rPr>
      </w:pPr>
    </w:p>
    <w:p>
      <w:pPr>
        <w:snapToGrid w:val="0"/>
        <w:spacing w:line="460" w:lineRule="exact"/>
        <w:ind w:firstLine="3654" w:firstLineChars="1300"/>
        <w:outlineLvl w:val="1"/>
        <w:rPr>
          <w:rFonts w:asciiTheme="minorEastAsia" w:hAnsiTheme="minorEastAsia" w:eastAsiaTheme="minorEastAsia" w:cstheme="minorEastAsia"/>
          <w:b/>
          <w:color w:val="292929"/>
          <w:sz w:val="28"/>
          <w:szCs w:val="28"/>
          <w:lang w:val="zh-CN"/>
        </w:rPr>
      </w:pPr>
      <w:r>
        <w:rPr>
          <w:rFonts w:hint="eastAsia" w:asciiTheme="minorEastAsia" w:hAnsiTheme="minorEastAsia" w:eastAsiaTheme="minorEastAsia" w:cstheme="minorEastAsia"/>
          <w:b/>
          <w:color w:val="292929"/>
          <w:sz w:val="28"/>
          <w:szCs w:val="28"/>
          <w:lang w:val="zh-CN"/>
        </w:rPr>
        <w:t>一、总    则</w:t>
      </w:r>
    </w:p>
    <w:p>
      <w:pPr>
        <w:tabs>
          <w:tab w:val="left" w:pos="645"/>
        </w:tabs>
        <w:snapToGrid w:val="0"/>
        <w:spacing w:line="460" w:lineRule="exact"/>
        <w:ind w:firstLine="482" w:firstLineChars="200"/>
        <w:rPr>
          <w:rFonts w:ascii="宋体" w:hAnsi="宋体" w:cs="宋体"/>
          <w:b/>
          <w:color w:val="292929"/>
          <w:sz w:val="24"/>
          <w:lang w:val="zh-CN"/>
        </w:rPr>
      </w:pPr>
      <w:r>
        <w:rPr>
          <w:rFonts w:hint="eastAsia" w:ascii="宋体" w:hAnsi="宋体" w:cs="宋体"/>
          <w:b/>
          <w:color w:val="292929"/>
          <w:sz w:val="24"/>
          <w:lang w:val="zh-CN"/>
        </w:rPr>
        <w:t>1、适用范围</w:t>
      </w:r>
    </w:p>
    <w:p>
      <w:pPr>
        <w:spacing w:line="460" w:lineRule="exact"/>
        <w:ind w:firstLine="720" w:firstLineChars="300"/>
        <w:rPr>
          <w:rFonts w:ascii="宋体" w:hAnsi="宋体" w:cs="宋体"/>
          <w:color w:val="000000"/>
          <w:sz w:val="24"/>
        </w:rPr>
      </w:pPr>
      <w:r>
        <w:rPr>
          <w:rFonts w:hint="eastAsia" w:ascii="宋体" w:hAnsi="宋体" w:cs="宋体"/>
          <w:color w:val="000000"/>
          <w:sz w:val="24"/>
        </w:rPr>
        <w:t>本磋商文件仅适用于龙游石窟景区、龙游民居苑景区票务系统新建项目及相关服务的采购。</w:t>
      </w:r>
      <w:r>
        <w:rPr>
          <w:rFonts w:hint="eastAsia" w:ascii="宋体" w:hAnsi="宋体" w:cs="宋体"/>
          <w:color w:val="000000"/>
          <w:sz w:val="24"/>
          <w:lang w:val="zh-CN"/>
        </w:rPr>
        <w:t>本磋商文件最终解释权归采购人所有。</w:t>
      </w:r>
    </w:p>
    <w:p>
      <w:pPr>
        <w:tabs>
          <w:tab w:val="left" w:pos="645"/>
        </w:tabs>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2</w:t>
      </w:r>
      <w:r>
        <w:rPr>
          <w:rFonts w:hint="eastAsia" w:ascii="宋体" w:hAnsi="宋体" w:cs="宋体"/>
          <w:b/>
          <w:color w:val="292929"/>
          <w:sz w:val="24"/>
          <w:lang w:val="zh-CN"/>
        </w:rPr>
        <w:t>、定义</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本磋商文件中所称“采购人”系指本次竞争性磋商采购货物的购买单位“龙游石窟风景旅游有限公司”。</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“磋商组织人”系指“龙游</w:t>
      </w:r>
      <w:r>
        <w:rPr>
          <w:rFonts w:hint="eastAsia" w:ascii="宋体" w:hAnsi="宋体" w:cs="宋体"/>
          <w:color w:val="292929"/>
          <w:sz w:val="24"/>
        </w:rPr>
        <w:t>博洽投资咨询有限公司</w:t>
      </w:r>
      <w:r>
        <w:rPr>
          <w:rFonts w:hint="eastAsia" w:ascii="宋体" w:hAnsi="宋体" w:cs="宋体"/>
          <w:color w:val="292929"/>
          <w:sz w:val="24"/>
          <w:lang w:val="zh-CN"/>
        </w:rPr>
        <w:t>”。</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“磋商响应方”系指</w:t>
      </w:r>
      <w:r>
        <w:rPr>
          <w:rFonts w:hint="eastAsia" w:ascii="宋体" w:hAnsi="宋体" w:cs="宋体"/>
          <w:color w:val="292929"/>
          <w:sz w:val="24"/>
        </w:rPr>
        <w:t>参与本项目的</w:t>
      </w:r>
      <w:r>
        <w:rPr>
          <w:rFonts w:hint="eastAsia" w:ascii="宋体" w:hAnsi="宋体" w:cs="宋体"/>
          <w:color w:val="292929"/>
          <w:sz w:val="24"/>
          <w:lang w:val="zh-CN"/>
        </w:rPr>
        <w:t>磋商</w:t>
      </w:r>
      <w:r>
        <w:rPr>
          <w:rFonts w:hint="eastAsia" w:ascii="宋体" w:hAnsi="宋体" w:cs="宋体"/>
          <w:color w:val="292929"/>
          <w:sz w:val="24"/>
        </w:rPr>
        <w:t>供应商或投标人</w:t>
      </w:r>
      <w:r>
        <w:rPr>
          <w:rFonts w:hint="eastAsia" w:ascii="宋体" w:hAnsi="宋体" w:cs="宋体"/>
          <w:color w:val="292929"/>
          <w:sz w:val="24"/>
          <w:lang w:val="zh-CN"/>
        </w:rPr>
        <w:t>。</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lang w:val="zh-CN"/>
        </w:rPr>
        <w:t>“货物”系指按本磋商文件中采购人所要求的</w:t>
      </w:r>
      <w:r>
        <w:rPr>
          <w:rFonts w:hint="eastAsia" w:ascii="宋体" w:hAnsi="宋体" w:cs="宋体"/>
          <w:color w:val="292929"/>
          <w:sz w:val="24"/>
        </w:rPr>
        <w:t>设备</w:t>
      </w:r>
      <w:r>
        <w:rPr>
          <w:rFonts w:hint="eastAsia" w:ascii="宋体" w:hAnsi="宋体" w:cs="宋体"/>
          <w:color w:val="292929"/>
          <w:sz w:val="24"/>
          <w:lang w:val="zh-CN"/>
        </w:rPr>
        <w:t>。</w:t>
      </w:r>
    </w:p>
    <w:p>
      <w:pPr>
        <w:snapToGrid w:val="0"/>
        <w:spacing w:line="460" w:lineRule="exact"/>
        <w:ind w:firstLine="480" w:firstLineChars="200"/>
        <w:rPr>
          <w:rFonts w:ascii="宋体" w:hAnsi="宋体" w:cs="宋体"/>
          <w:bCs/>
          <w:sz w:val="24"/>
        </w:rPr>
      </w:pPr>
      <w:r>
        <w:rPr>
          <w:rFonts w:hint="eastAsia" w:ascii="宋体" w:hAnsi="宋体" w:cs="宋体"/>
          <w:color w:val="292929"/>
          <w:sz w:val="24"/>
          <w:lang w:val="zh-CN"/>
        </w:rPr>
        <w:t>“服务”系指按本磋商文件规定</w:t>
      </w:r>
      <w:r>
        <w:rPr>
          <w:rFonts w:hint="eastAsia" w:ascii="宋体" w:hAnsi="宋体" w:cs="宋体"/>
          <w:bCs/>
          <w:sz w:val="24"/>
        </w:rPr>
        <w:t>提供的本项目服务所有工作内容。</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“▲”系指按本磋商文件要求磋商响应方必须实质性响应的条款，有任何一项缺失或非实质性响应即刻取消其磋商响应资格。</w:t>
      </w:r>
    </w:p>
    <w:p>
      <w:pPr>
        <w:tabs>
          <w:tab w:val="left" w:pos="645"/>
        </w:tabs>
        <w:snapToGrid w:val="0"/>
        <w:spacing w:line="460" w:lineRule="exact"/>
        <w:ind w:firstLine="482" w:firstLineChars="200"/>
        <w:rPr>
          <w:rFonts w:ascii="宋体" w:hAnsi="宋体" w:cs="宋体"/>
          <w:b/>
          <w:color w:val="292929"/>
          <w:sz w:val="24"/>
          <w:lang w:val="zh-CN"/>
        </w:rPr>
      </w:pPr>
      <w:r>
        <w:rPr>
          <w:rFonts w:hint="eastAsia" w:ascii="宋体" w:hAnsi="宋体" w:cs="宋体"/>
          <w:b/>
          <w:color w:val="292929"/>
          <w:sz w:val="24"/>
          <w:lang w:val="zh-CN"/>
        </w:rPr>
        <w:t>3、采购方式、合格的磋商供应商</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3.1</w:t>
      </w:r>
      <w:r>
        <w:rPr>
          <w:rFonts w:hint="eastAsia" w:ascii="宋体" w:hAnsi="宋体" w:cs="宋体"/>
          <w:color w:val="292929"/>
          <w:sz w:val="24"/>
          <w:lang w:val="zh-CN"/>
        </w:rPr>
        <w:t>本次采购采取竞争性磋商的方式。</w:t>
      </w:r>
    </w:p>
    <w:p>
      <w:pPr>
        <w:snapToGrid w:val="0"/>
        <w:spacing w:line="460" w:lineRule="exact"/>
        <w:ind w:left="-42" w:firstLine="480" w:firstLineChars="200"/>
        <w:rPr>
          <w:rFonts w:ascii="宋体" w:hAnsi="宋体" w:cs="宋体"/>
          <w:sz w:val="24"/>
        </w:rPr>
      </w:pPr>
      <w:r>
        <w:rPr>
          <w:rFonts w:hint="eastAsia" w:ascii="宋体" w:hAnsi="宋体" w:cs="宋体"/>
          <w:color w:val="292929"/>
          <w:sz w:val="24"/>
        </w:rPr>
        <w:t>▲</w:t>
      </w:r>
      <w:r>
        <w:rPr>
          <w:rFonts w:hint="eastAsia" w:ascii="宋体" w:hAnsi="宋体" w:cs="宋体"/>
          <w:color w:val="292929"/>
          <w:sz w:val="24"/>
          <w:lang w:val="zh-CN"/>
        </w:rPr>
        <w:t>3.2合格的磋商供应商：</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1、符合《中华人民共和国政府采购法》第二十二条要求。</w:t>
      </w:r>
    </w:p>
    <w:p>
      <w:pPr>
        <w:snapToGrid w:val="0"/>
        <w:spacing w:line="460" w:lineRule="atLeas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2、参加本次的磋商供应商为有独立法人资格、能承担本项目的供应商,分公司参与投标的，需提供总公司授权书。且都已按照规定获取了磋商文件，属于实质性参加采购活动的供应商。</w:t>
      </w:r>
    </w:p>
    <w:p>
      <w:pPr>
        <w:snapToGrid w:val="0"/>
        <w:spacing w:line="460" w:lineRule="atLeas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3、本项目谢绝联合体投标。</w:t>
      </w:r>
    </w:p>
    <w:p>
      <w:pPr>
        <w:snapToGrid w:val="0"/>
        <w:spacing w:line="460" w:lineRule="atLeas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拟参加本项目采购活动的供应商，如在“信用中国”网站（www.creditchina.gov.cn）被列入失信被执行人、重大税收违法案件当事人名单、政府采购严重违法失信名单的；承诺响应截止之日至前三年内，在“中国政府采购网”(www.ccgp.gov.cn)被列入政府采购严重违法失信行为记录名单中的且在处罚有效期内的磋商响应方，承诺响应截止之日至前三年内，在“浙江政府采购网”（www.zjzfcg.gov.cn）“曝光台”中被曝光且在处罚有效期内的承诺响应方，资格审查时均不予以通过。</w:t>
      </w:r>
    </w:p>
    <w:p>
      <w:pPr>
        <w:snapToGrid w:val="0"/>
        <w:spacing w:line="46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3.3本次磋商采取开标后资格审查，磋商组织方不保证所有参与磋商的供应商都符合磋商响应方资格要求。</w:t>
      </w:r>
    </w:p>
    <w:p>
      <w:pPr>
        <w:tabs>
          <w:tab w:val="left" w:pos="0"/>
        </w:tabs>
        <w:snapToGrid w:val="0"/>
        <w:spacing w:line="460" w:lineRule="exact"/>
        <w:ind w:firstLine="482" w:firstLineChars="200"/>
        <w:rPr>
          <w:rFonts w:ascii="宋体" w:hAnsi="宋体" w:cs="宋体"/>
          <w:b/>
          <w:color w:val="292929"/>
          <w:sz w:val="24"/>
          <w:lang w:val="zh-CN"/>
        </w:rPr>
      </w:pPr>
      <w:r>
        <w:rPr>
          <w:rFonts w:hint="eastAsia" w:ascii="宋体" w:hAnsi="宋体" w:cs="宋体"/>
          <w:b/>
          <w:color w:val="292929"/>
          <w:sz w:val="24"/>
        </w:rPr>
        <w:t>4</w:t>
      </w:r>
      <w:r>
        <w:rPr>
          <w:rFonts w:hint="eastAsia" w:ascii="宋体" w:hAnsi="宋体" w:cs="宋体"/>
          <w:b/>
          <w:color w:val="292929"/>
          <w:sz w:val="24"/>
          <w:lang w:val="zh-CN"/>
        </w:rPr>
        <w:t>、特别说明</w:t>
      </w:r>
    </w:p>
    <w:p>
      <w:pPr>
        <w:tabs>
          <w:tab w:val="left" w:pos="0"/>
        </w:tabs>
        <w:snapToGrid w:val="0"/>
        <w:spacing w:line="460" w:lineRule="exact"/>
        <w:ind w:firstLine="480" w:firstLineChars="200"/>
        <w:outlineLvl w:val="2"/>
        <w:rPr>
          <w:rFonts w:ascii="宋体" w:hAnsi="宋体" w:cs="宋体"/>
          <w:color w:val="292929"/>
          <w:sz w:val="24"/>
        </w:rPr>
      </w:pPr>
      <w:r>
        <w:rPr>
          <w:rFonts w:hint="eastAsia" w:ascii="宋体" w:hAnsi="宋体" w:cs="宋体"/>
          <w:color w:val="292929"/>
          <w:sz w:val="24"/>
          <w:lang w:val="zh-CN"/>
        </w:rPr>
        <w:t>1</w:t>
      </w:r>
      <w:r>
        <w:rPr>
          <w:rFonts w:hint="eastAsia" w:ascii="宋体" w:hAnsi="宋体" w:cs="宋体"/>
          <w:color w:val="292929"/>
          <w:sz w:val="24"/>
        </w:rPr>
        <w:t>.</w:t>
      </w:r>
      <w:r>
        <w:rPr>
          <w:rFonts w:hint="eastAsia" w:ascii="宋体" w:hAnsi="宋体" w:cs="宋体"/>
          <w:color w:val="292929"/>
          <w:sz w:val="24"/>
          <w:lang w:val="zh-CN"/>
        </w:rPr>
        <w:t>参加磋商的费用</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磋商供应商应自行承担所有与参加本次磋商有关的费用。不论磋商的结果如何，磋商组织人在任何情况下均无义务和责任承担这些费用。</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5、项目需要落实的政府采购政策:</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5.1根据《中小企业划型标准规定》（工信部联企业[2011]300号）、《政府采购促进中小企业发展暂行办法》（财库[2020]46号，以下简称《暂行办法》）的有关规定，《暂行办法》所称中小企业（含中型、小型、微型企业，下同）应当同时符合以下条件。</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1.符合中小企业划分标准；</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2.提供本企业制造的货物、承担的工程或者服务，或者提供其他中小企业制造的货物。本项所称货物不包括使用大型企业注册商标的货物。</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本《暂行办法》所称中小企业划分标准，是指国务院有关部门根据企业从业人员、营业收入、资产总额等指标制定的中小企业划型标准。</w:t>
      </w:r>
    </w:p>
    <w:p>
      <w:pPr>
        <w:snapToGrid w:val="0"/>
        <w:spacing w:line="460" w:lineRule="exact"/>
        <w:ind w:firstLine="480" w:firstLineChars="200"/>
        <w:rPr>
          <w:rFonts w:ascii="宋体" w:hAnsi="宋体" w:cs="宋体"/>
          <w:sz w:val="24"/>
        </w:rPr>
      </w:pPr>
      <w:r>
        <w:rPr>
          <w:rFonts w:hint="eastAsia" w:ascii="宋体" w:hAnsi="宋体" w:cs="宋体"/>
          <w:color w:val="000000"/>
          <w:sz w:val="24"/>
        </w:rPr>
        <w:t>3．</w:t>
      </w:r>
      <w:r>
        <w:rPr>
          <w:rFonts w:hint="eastAsia" w:ascii="宋体" w:hAnsi="宋体" w:cs="宋体"/>
          <w:sz w:val="24"/>
        </w:rPr>
        <w:t>小微企业参与政府采购活动</w:t>
      </w:r>
    </w:p>
    <w:p>
      <w:pPr>
        <w:snapToGrid w:val="0"/>
        <w:spacing w:line="460" w:lineRule="exact"/>
        <w:ind w:firstLine="480" w:firstLineChars="200"/>
        <w:rPr>
          <w:rFonts w:ascii="宋体" w:hAnsi="宋体" w:cs="宋体"/>
          <w:sz w:val="24"/>
        </w:rPr>
      </w:pPr>
      <w:r>
        <w:rPr>
          <w:rFonts w:hint="eastAsia" w:ascii="宋体" w:hAnsi="宋体" w:cs="宋体"/>
          <w:sz w:val="24"/>
        </w:rPr>
        <w:t>根据《中小企业划型标准规定》（工信部联企业[2011]300号）、《政府采购促进中小企业发展暂行办法》（财库[2020]46号，以下简称《暂行办法》）的有关规定，《暂行办法》所称中小企业（含中型、小型、微型企业，下同）应当同时符合以下条件。</w:t>
      </w:r>
    </w:p>
    <w:p>
      <w:pPr>
        <w:snapToGrid w:val="0"/>
        <w:spacing w:line="460" w:lineRule="exact"/>
        <w:ind w:firstLine="480" w:firstLineChars="200"/>
        <w:rPr>
          <w:rFonts w:ascii="宋体" w:hAnsi="宋体" w:cs="宋体"/>
          <w:sz w:val="24"/>
        </w:rPr>
      </w:pPr>
      <w:r>
        <w:rPr>
          <w:rFonts w:hint="eastAsia" w:ascii="宋体" w:hAnsi="宋体" w:cs="宋体"/>
          <w:sz w:val="24"/>
        </w:rPr>
        <w:t>1.符合中小企业划分标准；</w:t>
      </w:r>
    </w:p>
    <w:p>
      <w:pPr>
        <w:snapToGrid w:val="0"/>
        <w:spacing w:line="460" w:lineRule="exact"/>
        <w:ind w:firstLine="480" w:firstLineChars="200"/>
        <w:rPr>
          <w:rFonts w:ascii="宋体" w:hAnsi="宋体" w:cs="宋体"/>
          <w:sz w:val="24"/>
        </w:rPr>
      </w:pPr>
      <w:r>
        <w:rPr>
          <w:rFonts w:hint="eastAsia" w:ascii="宋体" w:hAnsi="宋体" w:cs="宋体"/>
          <w:sz w:val="24"/>
        </w:rPr>
        <w:t>2.提供本企业制造的货物、承担的工程或者服务，或者提供其他中小企业制造的货物。本项所称货物不包括使用大型企业注册商标的货物。</w:t>
      </w:r>
    </w:p>
    <w:p>
      <w:pPr>
        <w:snapToGrid w:val="0"/>
        <w:spacing w:line="460" w:lineRule="exact"/>
        <w:ind w:firstLine="480" w:firstLineChars="200"/>
        <w:rPr>
          <w:rFonts w:ascii="宋体" w:hAnsi="宋体" w:cs="宋体"/>
          <w:sz w:val="24"/>
        </w:rPr>
      </w:pPr>
      <w:r>
        <w:rPr>
          <w:rFonts w:hint="eastAsia" w:ascii="宋体" w:hAnsi="宋体" w:cs="宋体"/>
          <w:sz w:val="24"/>
        </w:rPr>
        <w:t>本《暂行办法》所称中小企业划分标准，是指国务院有关部门根据企业从业人员、营业收入、资产总额等指标制定的中小企业划型标准。</w:t>
      </w:r>
    </w:p>
    <w:p>
      <w:pPr>
        <w:snapToGrid w:val="0"/>
        <w:spacing w:line="460" w:lineRule="exact"/>
        <w:ind w:firstLine="480" w:firstLineChars="200"/>
        <w:rPr>
          <w:rFonts w:ascii="宋体" w:hAnsi="宋体" w:cs="宋体"/>
          <w:sz w:val="24"/>
        </w:rPr>
      </w:pPr>
      <w:r>
        <w:rPr>
          <w:rFonts w:hint="eastAsia" w:ascii="宋体" w:hAnsi="宋体" w:cs="宋体"/>
          <w:sz w:val="24"/>
        </w:rPr>
        <w:t>小型、微型企业提供中型企业制造的货物的，视同为中型企业。</w:t>
      </w:r>
    </w:p>
    <w:p>
      <w:pPr>
        <w:snapToGrid w:val="0"/>
        <w:spacing w:line="460" w:lineRule="exact"/>
        <w:ind w:firstLine="480" w:firstLineChars="200"/>
        <w:rPr>
          <w:rFonts w:ascii="宋体" w:hAnsi="宋体" w:cs="宋体"/>
          <w:sz w:val="24"/>
        </w:rPr>
      </w:pPr>
      <w:r>
        <w:rPr>
          <w:rFonts w:hint="eastAsia" w:ascii="宋体" w:hAnsi="宋体" w:cs="宋体"/>
          <w:sz w:val="24"/>
        </w:rPr>
        <w:t>所投所有产品的制造商如为小型、微型企业，参加投标时，在商务文件中投标人应提供制造商的《小微业声明函》和证明材料：“国家企业信用信息公示系统——小微企业名录”页面查询结果打印件（查询时间为投标前一周内，并加盖单位公章）。</w:t>
      </w:r>
    </w:p>
    <w:p>
      <w:pPr>
        <w:snapToGrid w:val="0"/>
        <w:spacing w:line="460" w:lineRule="exact"/>
        <w:ind w:firstLine="480" w:firstLineChars="200"/>
        <w:rPr>
          <w:rFonts w:ascii="宋体" w:hAnsi="宋体" w:cs="宋体"/>
          <w:sz w:val="24"/>
          <w:lang w:val="en-GB"/>
        </w:rPr>
      </w:pPr>
      <w:r>
        <w:rPr>
          <w:rFonts w:hint="eastAsia" w:ascii="宋体" w:hAnsi="宋体" w:cs="宋体"/>
          <w:sz w:val="24"/>
        </w:rPr>
        <w:t>特别说明：本款适用于所投的所有产品的制造商均为小微企业（所投产品中有中、大型企业提供的不适用于本款）。投标人在《产品适用中小企业政策情况表》（统一格式）详细、完整填写，否则将不能享受商务报价里小微企业产品优惠政策。</w:t>
      </w:r>
    </w:p>
    <w:p>
      <w:pPr>
        <w:snapToGrid w:val="0"/>
        <w:spacing w:line="460" w:lineRule="exact"/>
        <w:ind w:firstLine="480" w:firstLineChars="200"/>
        <w:rPr>
          <w:rFonts w:ascii="宋体" w:hAnsi="宋体" w:cs="宋体"/>
          <w:sz w:val="24"/>
        </w:rPr>
      </w:pPr>
      <w:r>
        <w:rPr>
          <w:rFonts w:hint="eastAsia" w:ascii="宋体" w:hAnsi="宋体" w:cs="宋体"/>
          <w:sz w:val="24"/>
        </w:rPr>
        <w:t>5.2监狱企业参与政府采购活动</w:t>
      </w:r>
    </w:p>
    <w:p>
      <w:pPr>
        <w:pStyle w:val="32"/>
        <w:tabs>
          <w:tab w:val="left" w:pos="0"/>
        </w:tabs>
        <w:adjustRightInd w:val="0"/>
        <w:snapToGrid w:val="0"/>
        <w:spacing w:line="460" w:lineRule="exact"/>
        <w:ind w:firstLine="480" w:firstLineChars="200"/>
        <w:rPr>
          <w:rFonts w:hAnsi="宋体" w:cs="宋体"/>
          <w:color w:val="000000"/>
          <w:sz w:val="24"/>
        </w:rPr>
      </w:pPr>
      <w:r>
        <w:rPr>
          <w:rFonts w:hint="eastAsia" w:hAnsi="宋体" w:cs="宋体"/>
          <w:color w:val="000000"/>
          <w:sz w:val="24"/>
        </w:rPr>
        <w:t>符合财政部 司法部《关于政府采购支持监狱企业发展有关问题的通知》（财库〔2014〕68号）规定。</w:t>
      </w:r>
    </w:p>
    <w:p>
      <w:pPr>
        <w:pStyle w:val="32"/>
        <w:adjustRightInd w:val="0"/>
        <w:snapToGrid w:val="0"/>
        <w:spacing w:line="460" w:lineRule="exact"/>
        <w:ind w:firstLine="480" w:firstLineChars="200"/>
        <w:rPr>
          <w:rFonts w:hAnsi="宋体" w:cs="宋体"/>
          <w:color w:val="000000"/>
          <w:sz w:val="24"/>
        </w:rPr>
      </w:pPr>
      <w:r>
        <w:rPr>
          <w:rFonts w:hint="eastAsia" w:hAnsi="宋体" w:cs="宋体"/>
          <w:color w:val="00000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pStyle w:val="32"/>
        <w:adjustRightInd w:val="0"/>
        <w:snapToGrid w:val="0"/>
        <w:spacing w:line="460" w:lineRule="exact"/>
        <w:ind w:firstLine="480" w:firstLineChars="200"/>
        <w:rPr>
          <w:rFonts w:hAnsi="宋体" w:cs="宋体"/>
          <w:color w:val="000000"/>
          <w:sz w:val="24"/>
        </w:rPr>
      </w:pPr>
      <w:r>
        <w:rPr>
          <w:rFonts w:hint="eastAsia" w:hAnsi="宋体" w:cs="宋体"/>
          <w:color w:val="000000"/>
          <w:sz w:val="24"/>
        </w:rPr>
        <w:t>5.3残疾人福利性单位参与政府采购活动</w:t>
      </w:r>
    </w:p>
    <w:p>
      <w:pPr>
        <w:pStyle w:val="32"/>
        <w:adjustRightInd w:val="0"/>
        <w:snapToGrid w:val="0"/>
        <w:spacing w:line="460" w:lineRule="exact"/>
        <w:ind w:firstLine="480" w:firstLineChars="200"/>
        <w:rPr>
          <w:rFonts w:hAnsi="宋体" w:cs="宋体"/>
          <w:color w:val="000000"/>
          <w:sz w:val="24"/>
        </w:rPr>
      </w:pPr>
      <w:r>
        <w:rPr>
          <w:rFonts w:hint="eastAsia" w:hAnsi="宋体" w:cs="宋体"/>
          <w:color w:val="000000"/>
          <w:sz w:val="24"/>
        </w:rPr>
        <w:t>符合财政部 民政部 中国残疾人联合会《关于促进残疾人就业政府采购政策的通知》（财库〔2017〕141号）规定的单位。</w:t>
      </w:r>
    </w:p>
    <w:p>
      <w:pPr>
        <w:widowControl/>
        <w:spacing w:line="460" w:lineRule="exact"/>
        <w:ind w:firstLine="480" w:firstLineChars="200"/>
        <w:jc w:val="left"/>
        <w:rPr>
          <w:rFonts w:ascii="宋体" w:hAnsi="宋体" w:cs="宋体"/>
          <w:color w:val="000000"/>
          <w:sz w:val="24"/>
        </w:rPr>
      </w:pPr>
      <w:r>
        <w:rPr>
          <w:rFonts w:hint="eastAsia" w:ascii="宋体" w:hAnsi="宋体" w:cs="宋体"/>
          <w:color w:val="000000"/>
          <w:sz w:val="24"/>
        </w:rPr>
        <w:t>享受政府采购支持政策的残疾人福利性单位应当同时满足以下条件： </w:t>
      </w:r>
    </w:p>
    <w:p>
      <w:pPr>
        <w:widowControl/>
        <w:spacing w:line="460" w:lineRule="exact"/>
        <w:jc w:val="left"/>
        <w:rPr>
          <w:rFonts w:ascii="宋体" w:hAnsi="宋体" w:cs="宋体"/>
          <w:color w:val="000000"/>
          <w:sz w:val="24"/>
        </w:rPr>
      </w:pPr>
      <w:r>
        <w:rPr>
          <w:rFonts w:hint="eastAsia" w:ascii="宋体" w:hAnsi="宋体" w:cs="宋体"/>
          <w:color w:val="000000"/>
          <w:sz w:val="24"/>
        </w:rPr>
        <w:t>　　（一）安置的残疾人占本单位在职职工人数的比例不低于25%（含25%），并且安置的残疾人人数不少于10人（含10人）； </w:t>
      </w:r>
    </w:p>
    <w:p>
      <w:pPr>
        <w:widowControl/>
        <w:spacing w:line="460" w:lineRule="exact"/>
        <w:jc w:val="left"/>
        <w:rPr>
          <w:rFonts w:ascii="宋体" w:hAnsi="宋体" w:cs="宋体"/>
          <w:color w:val="000000"/>
          <w:sz w:val="24"/>
        </w:rPr>
      </w:pPr>
      <w:r>
        <w:rPr>
          <w:rFonts w:hint="eastAsia" w:ascii="宋体" w:hAnsi="宋体" w:cs="宋体"/>
          <w:color w:val="000000"/>
          <w:sz w:val="24"/>
        </w:rPr>
        <w:t>　　（二）依法与安置的每位残疾人签订了一年以上（含一年）的劳动合同或服务协议； </w:t>
      </w:r>
    </w:p>
    <w:p>
      <w:pPr>
        <w:widowControl/>
        <w:spacing w:line="460" w:lineRule="exact"/>
        <w:jc w:val="left"/>
        <w:rPr>
          <w:rFonts w:ascii="宋体" w:hAnsi="宋体" w:cs="宋体"/>
          <w:color w:val="000000"/>
          <w:sz w:val="24"/>
        </w:rPr>
      </w:pPr>
      <w:r>
        <w:rPr>
          <w:rFonts w:hint="eastAsia" w:ascii="宋体" w:hAnsi="宋体" w:cs="宋体"/>
          <w:color w:val="000000"/>
          <w:sz w:val="24"/>
        </w:rPr>
        <w:t>　　（三）为安置的每位残疾人按月足额缴纳了基本养老保险、基本医疗保险、失业保险、工伤保险和生育保险等社会保险费；</w:t>
      </w:r>
    </w:p>
    <w:p>
      <w:pPr>
        <w:widowControl/>
        <w:spacing w:line="460" w:lineRule="exact"/>
        <w:ind w:firstLine="480" w:firstLineChars="200"/>
        <w:jc w:val="left"/>
        <w:rPr>
          <w:rFonts w:ascii="宋体" w:hAnsi="宋体" w:cs="宋体"/>
          <w:color w:val="000000"/>
          <w:sz w:val="24"/>
        </w:rPr>
      </w:pPr>
      <w:r>
        <w:rPr>
          <w:rFonts w:hint="eastAsia" w:ascii="宋体" w:hAnsi="宋体" w:cs="宋体"/>
          <w:color w:val="000000"/>
          <w:sz w:val="24"/>
        </w:rPr>
        <w:t>（四）通过银行等金融机构向安置的每位残疾人，按月支付了不低于单位所在区县适用的经省级人民政府批准的月最低工资标准的工资； </w:t>
      </w:r>
    </w:p>
    <w:p>
      <w:pPr>
        <w:widowControl/>
        <w:spacing w:line="460" w:lineRule="exact"/>
        <w:ind w:firstLine="480" w:firstLineChars="200"/>
        <w:jc w:val="left"/>
        <w:rPr>
          <w:rFonts w:ascii="宋体" w:hAnsi="宋体" w:cs="宋体"/>
          <w:color w:val="000000"/>
          <w:sz w:val="24"/>
        </w:rPr>
      </w:pPr>
      <w:r>
        <w:rPr>
          <w:rFonts w:hint="eastAsia" w:ascii="宋体" w:hAnsi="宋体" w:cs="宋体"/>
          <w:color w:val="000000"/>
          <w:sz w:val="24"/>
        </w:rPr>
        <w:t>（五）提供本单位制造的货物、承担的工程或者服务（以下简称产品），或者提供其他残疾人福利性单位制造的货物（不包括使用非残疾人福利性单位注册商标的货物）。</w:t>
      </w:r>
    </w:p>
    <w:p>
      <w:pPr>
        <w:widowControl/>
        <w:spacing w:line="460" w:lineRule="exact"/>
        <w:ind w:firstLine="480" w:firstLineChars="200"/>
        <w:jc w:val="left"/>
        <w:rPr>
          <w:rFonts w:ascii="宋体" w:hAnsi="宋体" w:cs="宋体"/>
          <w:sz w:val="24"/>
        </w:rPr>
      </w:pPr>
      <w:r>
        <w:rPr>
          <w:rFonts w:hint="eastAsia" w:ascii="宋体" w:hAnsi="宋体" w:cs="宋体"/>
          <w:color w:val="000000"/>
          <w:sz w:val="24"/>
        </w:rPr>
        <w:t>残疾人福利性单位属于小型、微型企业的，不重复享受政策。供应商提供的《残疾人福利性单位声明函》与事实不符的，依照《政府采购法》第七十七条第一款的规定追究法律责任。</w:t>
      </w:r>
    </w:p>
    <w:p>
      <w:pPr>
        <w:pStyle w:val="24"/>
        <w:spacing w:after="0" w:line="460" w:lineRule="exact"/>
        <w:ind w:firstLine="480" w:firstLineChars="200"/>
        <w:rPr>
          <w:rFonts w:ascii="宋体" w:hAnsi="宋体" w:cs="宋体"/>
          <w:color w:val="000000"/>
          <w:sz w:val="24"/>
        </w:rPr>
      </w:pPr>
      <w:r>
        <w:rPr>
          <w:rFonts w:hint="eastAsia" w:ascii="宋体" w:hAnsi="宋体" w:cs="宋体"/>
          <w:color w:val="000000"/>
          <w:sz w:val="24"/>
        </w:rPr>
        <w:t>成交供应商为残疾人福利性单位的，应当随成交结果同时公告其《残疾人福利性单位声明函》，接受社会监督。</w:t>
      </w:r>
    </w:p>
    <w:p>
      <w:pPr>
        <w:pStyle w:val="24"/>
        <w:spacing w:after="0" w:line="460" w:lineRule="exact"/>
        <w:ind w:firstLine="480" w:firstLineChars="200"/>
        <w:rPr>
          <w:rFonts w:ascii="宋体" w:hAnsi="宋体" w:cs="宋体"/>
          <w:color w:val="000000"/>
          <w:sz w:val="24"/>
        </w:rPr>
      </w:pPr>
      <w:r>
        <w:rPr>
          <w:rFonts w:hint="eastAsia" w:ascii="宋体" w:hAnsi="宋体" w:cs="宋体"/>
          <w:color w:val="000000"/>
          <w:sz w:val="24"/>
        </w:rPr>
        <w:t>5.4说明：若响应产品制造商属小型/微型企业，或残疾人福利性单位或监狱企业其响应产品的响应报价扣减6%后再计入报价得分的评审（不累计扣减）。</w:t>
      </w:r>
    </w:p>
    <w:p>
      <w:pPr>
        <w:snapToGrid w:val="0"/>
        <w:spacing w:line="460" w:lineRule="exact"/>
        <w:ind w:firstLine="532"/>
        <w:rPr>
          <w:rFonts w:ascii="宋体" w:hAnsi="宋体" w:cs="宋体"/>
          <w:color w:val="000000"/>
          <w:sz w:val="24"/>
          <w:lang w:val="zh-CN"/>
        </w:rPr>
      </w:pPr>
    </w:p>
    <w:p>
      <w:pPr>
        <w:snapToGrid w:val="0"/>
        <w:spacing w:line="460" w:lineRule="exact"/>
        <w:jc w:val="center"/>
        <w:outlineLvl w:val="1"/>
        <w:rPr>
          <w:rFonts w:ascii="宋体" w:hAnsi="宋体" w:cs="宋体"/>
          <w:b/>
          <w:color w:val="292929"/>
          <w:sz w:val="28"/>
          <w:szCs w:val="28"/>
        </w:rPr>
      </w:pPr>
      <w:r>
        <w:rPr>
          <w:rFonts w:hint="eastAsia" w:ascii="宋体" w:hAnsi="宋体" w:cs="宋体"/>
          <w:b/>
          <w:color w:val="292929"/>
          <w:sz w:val="28"/>
          <w:szCs w:val="28"/>
          <w:lang w:val="zh-CN"/>
        </w:rPr>
        <w:t>二、磋商文件</w:t>
      </w:r>
    </w:p>
    <w:p>
      <w:pPr>
        <w:tabs>
          <w:tab w:val="left" w:pos="645"/>
        </w:tabs>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6</w:t>
      </w:r>
      <w:r>
        <w:rPr>
          <w:rFonts w:hint="eastAsia" w:ascii="宋体" w:hAnsi="宋体" w:cs="宋体"/>
          <w:b/>
          <w:color w:val="292929"/>
          <w:sz w:val="24"/>
          <w:lang w:val="zh-CN"/>
        </w:rPr>
        <w:t>、磋商文件构成</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6.1</w:t>
      </w:r>
      <w:r>
        <w:rPr>
          <w:rFonts w:hint="eastAsia" w:ascii="宋体" w:hAnsi="宋体" w:cs="宋体"/>
          <w:color w:val="292929"/>
          <w:sz w:val="24"/>
          <w:lang w:val="zh-CN"/>
        </w:rPr>
        <w:t>磋商文件由磋商文件目录所列内容组成。请仔细检查磋商文件是否齐全，如有缺漏，请立即与磋商组织人联系解决。</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6.2参加磋商供应商</w:t>
      </w:r>
      <w:r>
        <w:rPr>
          <w:rFonts w:hint="eastAsia" w:ascii="宋体" w:hAnsi="宋体" w:cs="宋体"/>
          <w:color w:val="292929"/>
          <w:sz w:val="24"/>
          <w:lang w:val="zh-CN"/>
        </w:rPr>
        <w:t>应认真阅读磋商文件中所有的事项、格式、条款和规范等要求。按磋商文件要求和规定顺序编制磋商响应文件，并保证所提供全部资料的真实性和有效性；如果磋商供应商没有按照磋商文件要求和规定编制磋商响应文件及提交全部资料，或者磋商响应文件没有对本磋商文件在各方面都做出实质性响应，其风险应由参加磋商供应商自行承担。没有实质性响应本磋商文件要求的磋商响应文件将被拒绝。</w:t>
      </w:r>
    </w:p>
    <w:p>
      <w:pPr>
        <w:tabs>
          <w:tab w:val="left" w:pos="645"/>
        </w:tabs>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7</w:t>
      </w:r>
      <w:r>
        <w:rPr>
          <w:rFonts w:hint="eastAsia" w:ascii="宋体" w:hAnsi="宋体" w:cs="宋体"/>
          <w:b/>
          <w:color w:val="292929"/>
          <w:sz w:val="24"/>
          <w:lang w:val="zh-CN"/>
        </w:rPr>
        <w:t>、磋商文件的澄清和修改</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7.1</w:t>
      </w:r>
      <w:r>
        <w:rPr>
          <w:rFonts w:hint="eastAsia" w:ascii="宋体" w:hAnsi="宋体" w:cs="宋体"/>
          <w:color w:val="292929"/>
          <w:sz w:val="24"/>
          <w:lang w:val="zh-CN"/>
        </w:rPr>
        <w:t>任何要求对磋商文件进行澄清的磋商供应商,均应按磋商公告中的规定时间和通讯地址，以书面形式（如信件、传真等）送达磋商组织人，在规定时间内未收到质疑则视为各磋商供应商均对此无异议。磋商组织人对</w:t>
      </w:r>
      <w:r>
        <w:rPr>
          <w:rFonts w:hint="eastAsia" w:ascii="宋体" w:hAnsi="宋体" w:cs="宋体"/>
          <w:color w:val="292929"/>
          <w:sz w:val="24"/>
        </w:rPr>
        <w:t>规定时间前</w:t>
      </w:r>
      <w:r>
        <w:rPr>
          <w:rFonts w:hint="eastAsia" w:ascii="宋体" w:hAnsi="宋体" w:cs="宋体"/>
          <w:color w:val="292929"/>
          <w:sz w:val="24"/>
          <w:lang w:val="zh-CN"/>
        </w:rPr>
        <w:t>收到的任何澄清将以书面形式予以答复。无论是采购人根据需要主动对磋商文件进行必要的修改或是根据磋商供应商的要求对磋商文件做出答复（答复中不包括问题的来源），并视为本磋商文件的组成部分。</w:t>
      </w:r>
    </w:p>
    <w:p>
      <w:pPr>
        <w:snapToGrid w:val="0"/>
        <w:spacing w:line="460" w:lineRule="exact"/>
        <w:ind w:firstLine="480" w:firstLineChars="200"/>
        <w:rPr>
          <w:rFonts w:ascii="宋体" w:hAnsi="宋体" w:cs="宋体"/>
          <w:color w:val="000000"/>
          <w:sz w:val="24"/>
        </w:rPr>
      </w:pPr>
      <w:r>
        <w:rPr>
          <w:rFonts w:hint="eastAsia" w:ascii="宋体" w:hAnsi="宋体" w:cs="宋体"/>
          <w:color w:val="292929"/>
          <w:sz w:val="24"/>
        </w:rPr>
        <w:t xml:space="preserve">7.2 </w:t>
      </w:r>
      <w:r>
        <w:rPr>
          <w:rFonts w:hint="eastAsia" w:ascii="宋体" w:hAnsi="宋体" w:cs="宋体"/>
          <w:color w:val="000000"/>
          <w:sz w:val="24"/>
        </w:rPr>
        <w:t>采购人可对已发出的磋商文件进行必要的澄清或修改，如澄清或修改的内容可能影响磋商响应文件编制的，招标人应当在磋商响应截止时间至少5日前，在采购公告原发布媒体上发布更正公告；不足5日的，采购人将顺延递交磋商响应文件的截止时间。如澄清或修改的内容不影响磋商响应文件编制的，采购人将不延长递交磋商响应文件的截止时间。</w:t>
      </w:r>
    </w:p>
    <w:p>
      <w:pPr>
        <w:snapToGrid w:val="0"/>
        <w:spacing w:line="460" w:lineRule="exact"/>
        <w:ind w:firstLine="484" w:firstLineChars="202"/>
        <w:rPr>
          <w:rFonts w:ascii="宋体" w:hAnsi="宋体" w:cs="宋体"/>
          <w:color w:val="353535"/>
          <w:sz w:val="24"/>
        </w:rPr>
      </w:pPr>
      <w:r>
        <w:rPr>
          <w:rFonts w:hint="eastAsia" w:ascii="宋体" w:hAnsi="宋体" w:cs="宋体"/>
          <w:color w:val="292929"/>
          <w:sz w:val="24"/>
        </w:rPr>
        <w:t>7.3</w:t>
      </w:r>
      <w:r>
        <w:rPr>
          <w:rFonts w:hint="eastAsia" w:ascii="宋体" w:hAnsi="宋体" w:cs="宋体"/>
          <w:color w:val="292929"/>
          <w:sz w:val="24"/>
          <w:lang w:val="zh-CN"/>
        </w:rPr>
        <w:t>在磋商响应截止时间前</w:t>
      </w:r>
      <w:r>
        <w:rPr>
          <w:rFonts w:hint="eastAsia" w:ascii="宋体" w:hAnsi="宋体" w:cs="宋体"/>
          <w:color w:val="292929"/>
          <w:sz w:val="24"/>
        </w:rPr>
        <w:t>1</w:t>
      </w:r>
      <w:r>
        <w:rPr>
          <w:rFonts w:hint="eastAsia" w:ascii="宋体" w:hAnsi="宋体" w:cs="宋体"/>
          <w:color w:val="292929"/>
          <w:sz w:val="24"/>
          <w:lang w:val="zh-CN"/>
        </w:rPr>
        <w:t>个工作日</w:t>
      </w:r>
      <w:r>
        <w:rPr>
          <w:rFonts w:hint="eastAsia" w:ascii="宋体" w:hAnsi="宋体" w:cs="宋体"/>
          <w:color w:val="292929"/>
          <w:sz w:val="24"/>
        </w:rPr>
        <w:t>，</w:t>
      </w:r>
      <w:r>
        <w:rPr>
          <w:rFonts w:hint="eastAsia" w:ascii="宋体" w:hAnsi="宋体" w:cs="宋体"/>
          <w:color w:val="292929"/>
          <w:sz w:val="24"/>
          <w:lang w:val="zh-CN"/>
        </w:rPr>
        <w:t>无论出于何种原因</w:t>
      </w:r>
      <w:r>
        <w:rPr>
          <w:rFonts w:hint="eastAsia" w:ascii="宋体" w:hAnsi="宋体" w:cs="宋体"/>
          <w:color w:val="292929"/>
          <w:sz w:val="24"/>
        </w:rPr>
        <w:t>，</w:t>
      </w:r>
      <w:r>
        <w:rPr>
          <w:rFonts w:hint="eastAsia" w:ascii="宋体" w:hAnsi="宋体" w:cs="宋体"/>
          <w:color w:val="292929"/>
          <w:sz w:val="24"/>
          <w:lang w:val="zh-CN"/>
        </w:rPr>
        <w:t>磋商组织人有权推迟送交磋商响应文件的截止时间和磋商日期</w:t>
      </w:r>
      <w:r>
        <w:rPr>
          <w:rFonts w:hint="eastAsia" w:ascii="宋体" w:hAnsi="宋体" w:cs="宋体"/>
          <w:color w:val="292929"/>
          <w:sz w:val="24"/>
        </w:rPr>
        <w:t>，</w:t>
      </w:r>
      <w:r>
        <w:rPr>
          <w:rFonts w:hint="eastAsia" w:ascii="宋体" w:hAnsi="宋体" w:cs="宋体"/>
          <w:color w:val="292929"/>
          <w:sz w:val="24"/>
          <w:lang w:val="zh-CN"/>
        </w:rPr>
        <w:t>并将此变更</w:t>
      </w:r>
      <w:r>
        <w:rPr>
          <w:rFonts w:hint="eastAsia" w:ascii="宋体" w:hAnsi="宋体" w:cs="宋体"/>
          <w:color w:val="353535"/>
          <w:sz w:val="24"/>
          <w:lang w:val="zh-CN"/>
        </w:rPr>
        <w:t>公布在公告网址</w:t>
      </w:r>
      <w:r>
        <w:rPr>
          <w:rFonts w:hint="eastAsia" w:ascii="宋体" w:hAnsi="宋体" w:cs="宋体"/>
          <w:color w:val="353535"/>
          <w:sz w:val="24"/>
        </w:rPr>
        <w:t>。</w:t>
      </w:r>
    </w:p>
    <w:p>
      <w:pPr>
        <w:snapToGrid w:val="0"/>
        <w:spacing w:line="460" w:lineRule="exact"/>
        <w:ind w:firstLine="480" w:firstLineChars="200"/>
        <w:rPr>
          <w:rFonts w:ascii="宋体" w:hAnsi="宋体" w:cs="宋体"/>
          <w:b/>
          <w:bCs/>
          <w:color w:val="000000"/>
          <w:sz w:val="24"/>
        </w:rPr>
      </w:pPr>
      <w:r>
        <w:rPr>
          <w:rFonts w:hint="eastAsia" w:ascii="宋体" w:hAnsi="宋体" w:cs="宋体"/>
          <w:color w:val="292929"/>
          <w:sz w:val="24"/>
          <w:lang w:val="zh-CN"/>
        </w:rPr>
        <w:t>▲</w:t>
      </w:r>
      <w:r>
        <w:rPr>
          <w:rFonts w:hint="eastAsia" w:ascii="宋体" w:hAnsi="宋体" w:cs="宋体"/>
          <w:b/>
          <w:bCs/>
          <w:color w:val="000000"/>
          <w:sz w:val="24"/>
        </w:rPr>
        <w:t>8、特别说明：</w:t>
      </w:r>
    </w:p>
    <w:p>
      <w:pPr>
        <w:snapToGrid w:val="0"/>
        <w:spacing w:line="460" w:lineRule="exact"/>
        <w:ind w:firstLine="484" w:firstLineChars="202"/>
        <w:rPr>
          <w:rFonts w:ascii="宋体" w:hAnsi="宋体" w:cs="宋体"/>
          <w:color w:val="292929"/>
          <w:sz w:val="24"/>
        </w:rPr>
      </w:pPr>
      <w:r>
        <w:rPr>
          <w:rFonts w:hint="eastAsia" w:ascii="宋体" w:hAnsi="宋体" w:cs="宋体"/>
          <w:color w:val="292929"/>
          <w:sz w:val="24"/>
        </w:rPr>
        <w:t>8.1</w:t>
      </w:r>
      <w:r>
        <w:rPr>
          <w:rFonts w:hint="eastAsia" w:ascii="宋体" w:hAnsi="宋体" w:cs="宋体"/>
          <w:bCs/>
          <w:color w:val="292929"/>
          <w:sz w:val="24"/>
        </w:rPr>
        <w:t>单</w:t>
      </w:r>
      <w:r>
        <w:rPr>
          <w:rFonts w:hint="eastAsia" w:ascii="宋体" w:hAnsi="宋体" w:cs="宋体"/>
          <w:bCs/>
          <w:color w:val="292929"/>
          <w:sz w:val="24"/>
          <w:lang w:val="zh-CN"/>
        </w:rPr>
        <w:t>位负责人为同一人或者存在直接控股、管理关系的不同供应商，不得参加本项目的政府采购活动。</w:t>
      </w:r>
    </w:p>
    <w:p>
      <w:pPr>
        <w:snapToGrid w:val="0"/>
        <w:spacing w:line="460" w:lineRule="exact"/>
        <w:ind w:firstLine="484" w:firstLineChars="202"/>
        <w:rPr>
          <w:rFonts w:ascii="宋体" w:hAnsi="宋体" w:cs="宋体"/>
          <w:bCs/>
          <w:color w:val="292929"/>
          <w:sz w:val="24"/>
        </w:rPr>
      </w:pPr>
      <w:r>
        <w:rPr>
          <w:rFonts w:hint="eastAsia" w:ascii="宋体" w:hAnsi="宋体" w:cs="宋体"/>
          <w:bCs/>
          <w:color w:val="292929"/>
          <w:sz w:val="24"/>
        </w:rPr>
        <w:t>8.2磋商响应方投标所使用的资格、信誉、荣誉、业绩与企业认证必须为本法人所拥有。磋商响应方母公司（总机构）或者同一母公司下属的其他子公司（同一总机构下属的其他分支机构）的资格、信誉、荣誉、业绩与企业认证等，不为该磋商响应方所拥有。</w:t>
      </w:r>
    </w:p>
    <w:p>
      <w:pPr>
        <w:snapToGrid w:val="0"/>
        <w:spacing w:line="460" w:lineRule="exact"/>
        <w:ind w:firstLine="484" w:firstLineChars="202"/>
        <w:rPr>
          <w:rFonts w:ascii="宋体" w:hAnsi="宋体" w:cs="宋体"/>
          <w:bCs/>
          <w:color w:val="292929"/>
          <w:sz w:val="24"/>
        </w:rPr>
      </w:pPr>
      <w:r>
        <w:rPr>
          <w:rFonts w:hint="eastAsia" w:ascii="宋体" w:hAnsi="宋体" w:cs="宋体"/>
          <w:bCs/>
          <w:color w:val="292929"/>
          <w:sz w:val="24"/>
        </w:rPr>
        <w:t>8.3磋商响应方应仔细阅读招标文件的所有内容，按照招标文件的要求提交响应文件，并对所提供的全部资料的真实性承担法律责任。</w:t>
      </w:r>
    </w:p>
    <w:p>
      <w:pPr>
        <w:snapToGrid w:val="0"/>
        <w:spacing w:line="460" w:lineRule="exact"/>
        <w:ind w:firstLine="484" w:firstLineChars="202"/>
        <w:rPr>
          <w:rFonts w:ascii="宋体" w:hAnsi="宋体" w:cs="宋体"/>
          <w:bCs/>
          <w:color w:val="292929"/>
          <w:sz w:val="24"/>
        </w:rPr>
      </w:pPr>
      <w:r>
        <w:rPr>
          <w:rFonts w:hint="eastAsia" w:ascii="宋体" w:hAnsi="宋体" w:cs="宋体"/>
          <w:bCs/>
          <w:color w:val="292929"/>
          <w:sz w:val="24"/>
        </w:rPr>
        <w:t>8.4磋商响应方在投标活动中提供任何虚假材料,其响应无效，并报监管部门查处成交后发现的,成交人须依照《中华人民共和国消费者权益保护法》第11条之规定双倍赔偿采购人，且民事赔偿并不免除违法磋商响应方的行政与刑事责任。</w:t>
      </w:r>
    </w:p>
    <w:p>
      <w:pPr>
        <w:pStyle w:val="24"/>
      </w:pPr>
    </w:p>
    <w:p>
      <w:pPr>
        <w:snapToGrid w:val="0"/>
        <w:spacing w:line="460" w:lineRule="exact"/>
        <w:jc w:val="center"/>
        <w:outlineLvl w:val="1"/>
        <w:rPr>
          <w:rFonts w:ascii="宋体" w:hAnsi="宋体" w:cs="宋体"/>
          <w:b/>
          <w:color w:val="292929"/>
          <w:sz w:val="28"/>
          <w:szCs w:val="28"/>
        </w:rPr>
      </w:pPr>
      <w:r>
        <w:rPr>
          <w:rFonts w:hint="eastAsia" w:ascii="宋体" w:hAnsi="宋体" w:cs="宋体"/>
          <w:b/>
          <w:color w:val="292929"/>
          <w:sz w:val="28"/>
          <w:szCs w:val="28"/>
          <w:lang w:val="zh-CN"/>
        </w:rPr>
        <w:t>三、磋商响应文件的编制</w:t>
      </w:r>
    </w:p>
    <w:p>
      <w:pPr>
        <w:tabs>
          <w:tab w:val="left" w:pos="645"/>
        </w:tabs>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9</w:t>
      </w:r>
      <w:r>
        <w:rPr>
          <w:rFonts w:hint="eastAsia" w:ascii="宋体" w:hAnsi="宋体" w:cs="宋体"/>
          <w:b/>
          <w:color w:val="292929"/>
          <w:sz w:val="24"/>
          <w:lang w:val="zh-CN"/>
        </w:rPr>
        <w:t>、磋商响应文件</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9.1</w:t>
      </w:r>
      <w:r>
        <w:rPr>
          <w:rFonts w:hint="eastAsia" w:ascii="宋体" w:hAnsi="宋体" w:cs="宋体"/>
          <w:color w:val="292929"/>
          <w:sz w:val="24"/>
          <w:lang w:val="zh-CN"/>
        </w:rPr>
        <w:t>磋商响应文件以及磋商供应商与磋商组织人就有关本次采购事宜的所有来往函电均应使用简体中文。</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9.2</w:t>
      </w:r>
      <w:r>
        <w:rPr>
          <w:rFonts w:hint="eastAsia" w:ascii="宋体" w:hAnsi="宋体" w:cs="宋体"/>
          <w:color w:val="292929"/>
          <w:sz w:val="24"/>
          <w:lang w:val="zh-CN"/>
        </w:rPr>
        <w:t>除本文件中另有规定外，磋商响应文件所使用的计量单位，均须采用国家法定计量单位。</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9.3</w:t>
      </w:r>
      <w:r>
        <w:rPr>
          <w:rFonts w:hint="eastAsia" w:ascii="宋体" w:hAnsi="宋体" w:cs="宋体"/>
          <w:color w:val="292929"/>
          <w:sz w:val="24"/>
          <w:lang w:val="zh-CN"/>
        </w:rPr>
        <w:t>磋商文件中要求资质证明提供原件核验的，磋商响应方应当提供原件。如不能提供原件核验的，可提交依法经公证机关确认与原件一致的复印件，否则不予认可</w:t>
      </w:r>
      <w:r>
        <w:rPr>
          <w:rFonts w:hint="eastAsia" w:ascii="宋体" w:hAnsi="宋体" w:cs="宋体"/>
          <w:color w:val="292929"/>
          <w:sz w:val="24"/>
        </w:rPr>
        <w:t>。</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9.4</w:t>
      </w:r>
      <w:r>
        <w:rPr>
          <w:rFonts w:hint="eastAsia" w:ascii="宋体" w:hAnsi="宋体" w:cs="宋体"/>
          <w:color w:val="292929"/>
          <w:sz w:val="24"/>
          <w:lang w:val="zh-CN"/>
        </w:rPr>
        <w:t>磋商文件中有统一格式的，磋商响应方应当按统一格式制作，无统一格式的，磋商响应方根据磋商文件要求自拟。</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9.5</w:t>
      </w:r>
      <w:r>
        <w:rPr>
          <w:rFonts w:hint="eastAsia" w:ascii="宋体" w:hAnsi="宋体" w:cs="宋体"/>
          <w:color w:val="292929"/>
          <w:sz w:val="24"/>
          <w:lang w:val="zh-CN"/>
        </w:rPr>
        <w:t>磋商响应文件装订成册，建议胶装。若采用卡条、抽杆夹等形式（或其他可使标书可以拆卸或者在翻动过程中易脱落的装订方式）的装订</w:t>
      </w:r>
      <w:r>
        <w:rPr>
          <w:rFonts w:hint="eastAsia" w:ascii="宋体" w:hAnsi="宋体" w:cs="宋体"/>
          <w:color w:val="292929"/>
          <w:sz w:val="24"/>
        </w:rPr>
        <w:t>不予接收</w:t>
      </w:r>
      <w:r>
        <w:rPr>
          <w:rFonts w:hint="eastAsia" w:ascii="宋体" w:hAnsi="宋体" w:cs="宋体"/>
          <w:color w:val="292929"/>
          <w:sz w:val="24"/>
          <w:lang w:val="zh-CN"/>
        </w:rPr>
        <w:t>。</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提供正本一份、副本二份，份数不足按按无效标处理。</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10、磋商响应文件的组成：磋商响应文件按以下资料次序装订成册（建议胶装），不得把以下资料分开装订，否则按无效标处理。</w:t>
      </w:r>
    </w:p>
    <w:p>
      <w:pPr>
        <w:spacing w:line="460" w:lineRule="exact"/>
        <w:ind w:firstLine="480"/>
        <w:rPr>
          <w:lang w:val="zh-CN"/>
        </w:rPr>
      </w:pPr>
      <w:r>
        <w:rPr>
          <w:rFonts w:hint="eastAsia" w:ascii="宋体" w:hAnsi="宋体" w:cs="宋体"/>
          <w:sz w:val="24"/>
          <w:lang w:val="zh-CN"/>
        </w:rPr>
        <w:t>▲</w:t>
      </w:r>
      <w:r>
        <w:rPr>
          <w:rFonts w:hint="eastAsia" w:ascii="宋体" w:hAnsi="宋体" w:cs="宋体"/>
          <w:sz w:val="24"/>
        </w:rPr>
        <w:t>10</w:t>
      </w:r>
      <w:r>
        <w:rPr>
          <w:rFonts w:hint="eastAsia" w:ascii="宋体" w:hAnsi="宋体" w:cs="宋体"/>
          <w:sz w:val="24"/>
          <w:lang w:val="zh-CN"/>
        </w:rPr>
        <w:t>.1、磋商供货及报价一览表</w:t>
      </w:r>
    </w:p>
    <w:p>
      <w:pPr>
        <w:spacing w:line="460" w:lineRule="exact"/>
        <w:ind w:firstLine="480"/>
        <w:rPr>
          <w:rFonts w:ascii="宋体" w:hAnsi="宋体" w:cs="宋体"/>
          <w:sz w:val="24"/>
          <w:lang w:val="zh-CN"/>
        </w:rPr>
      </w:pPr>
      <w:r>
        <w:rPr>
          <w:rFonts w:hint="eastAsia" w:ascii="宋体" w:hAnsi="宋体" w:cs="宋体"/>
          <w:sz w:val="24"/>
        </w:rPr>
        <w:t>（1）▲</w:t>
      </w:r>
      <w:r>
        <w:rPr>
          <w:rFonts w:hint="eastAsia" w:ascii="宋体" w:hAnsi="宋体" w:cs="宋体"/>
          <w:sz w:val="24"/>
          <w:lang w:val="zh-CN"/>
        </w:rPr>
        <w:t>报价一览表（附件</w:t>
      </w:r>
      <w:r>
        <w:rPr>
          <w:rFonts w:hint="eastAsia" w:ascii="宋体" w:hAnsi="宋体" w:cs="宋体"/>
          <w:sz w:val="24"/>
        </w:rPr>
        <w:t>1</w:t>
      </w:r>
      <w:r>
        <w:rPr>
          <w:rFonts w:hint="eastAsia" w:ascii="宋体" w:hAnsi="宋体" w:cs="宋体"/>
          <w:sz w:val="24"/>
          <w:lang w:val="zh-CN"/>
        </w:rPr>
        <w:t>）</w:t>
      </w:r>
    </w:p>
    <w:p>
      <w:pPr>
        <w:spacing w:line="500" w:lineRule="exact"/>
        <w:ind w:firstLine="480"/>
        <w:rPr>
          <w:rFonts w:ascii="宋体" w:hAnsi="宋体" w:cs="宋体"/>
          <w:sz w:val="24"/>
          <w:lang w:val="zh-CN"/>
        </w:rPr>
      </w:pPr>
      <w:r>
        <w:rPr>
          <w:rFonts w:hint="eastAsia" w:ascii="宋体" w:hAnsi="宋体" w:cs="宋体"/>
          <w:sz w:val="24"/>
        </w:rPr>
        <w:t>（2）▲</w:t>
      </w:r>
      <w:r>
        <w:rPr>
          <w:rFonts w:hint="eastAsia" w:ascii="宋体" w:hAnsi="宋体" w:cs="宋体"/>
        </w:rPr>
        <w:t>二</w:t>
      </w:r>
      <w:r>
        <w:rPr>
          <w:rFonts w:hint="eastAsia" w:ascii="宋体" w:hAnsi="宋体" w:cs="宋体"/>
          <w:sz w:val="24"/>
          <w:lang w:val="zh-CN"/>
        </w:rPr>
        <w:t>次报价表（此表无需在制作竞争性磋商响应文件时填写，但供应商须提前打印并签字加盖公章，作为磋商过程后二次报价时填写。此表填写后需单独装入信封在规定时间递交工作人员）。</w:t>
      </w:r>
    </w:p>
    <w:p>
      <w:pPr>
        <w:pStyle w:val="24"/>
        <w:spacing w:after="0" w:line="460" w:lineRule="exact"/>
        <w:ind w:firstLine="480"/>
        <w:rPr>
          <w:rFonts w:ascii="宋体" w:hAnsi="宋体" w:cs="宋体"/>
          <w:sz w:val="24"/>
          <w:lang w:val="zh-CN"/>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）小微企业、监狱企业、残疾人福利性单位声明函（如有）</w:t>
      </w:r>
      <w:r>
        <w:rPr>
          <w:rFonts w:hint="eastAsia" w:ascii="宋体" w:hAnsi="宋体" w:cs="宋体"/>
          <w:sz w:val="24"/>
        </w:rPr>
        <w:t>产品适用小微企业政策情况表（格式附件）；不填写将不能享受商务报价里小微企业产品优惠政策，并提供“国家企业信用信息公示系统——小微企业名录（http://xwqy.gsxt.gov.cn/）”页面查询结果打印件。（格式附件2.3.4.5）</w:t>
      </w:r>
    </w:p>
    <w:p>
      <w:pPr>
        <w:spacing w:line="460" w:lineRule="exact"/>
        <w:ind w:firstLine="480"/>
        <w:rPr>
          <w:rFonts w:ascii="宋体" w:hAnsi="宋体" w:cs="宋体"/>
          <w:sz w:val="24"/>
          <w:lang w:val="zh-CN"/>
        </w:rPr>
      </w:pPr>
      <w:r>
        <w:rPr>
          <w:rFonts w:hint="eastAsia" w:ascii="宋体" w:hAnsi="宋体" w:cs="宋体"/>
          <w:sz w:val="24"/>
        </w:rPr>
        <w:t>10</w:t>
      </w:r>
      <w:r>
        <w:rPr>
          <w:rFonts w:hint="eastAsia" w:ascii="宋体" w:hAnsi="宋体" w:cs="宋体"/>
          <w:sz w:val="24"/>
          <w:lang w:val="zh-CN"/>
        </w:rPr>
        <w:t>.2资信技术部分</w:t>
      </w:r>
    </w:p>
    <w:p>
      <w:pPr>
        <w:spacing w:line="460" w:lineRule="exact"/>
        <w:ind w:firstLine="480"/>
        <w:rPr>
          <w:rFonts w:ascii="宋体" w:hAnsi="宋体" w:cs="宋体"/>
          <w:b/>
          <w:bCs/>
          <w:sz w:val="24"/>
          <w:lang w:val="zh-CN"/>
        </w:rPr>
      </w:pPr>
      <w:r>
        <w:rPr>
          <w:rFonts w:hint="eastAsia" w:ascii="宋体" w:hAnsi="宋体" w:cs="宋体"/>
          <w:b/>
          <w:bCs/>
          <w:sz w:val="24"/>
          <w:lang w:val="zh-CN"/>
        </w:rPr>
        <w:t>投标人自评分表（根据投标文件评分表进行自评分）</w:t>
      </w:r>
    </w:p>
    <w:p>
      <w:pPr>
        <w:spacing w:line="460" w:lineRule="exact"/>
        <w:ind w:firstLine="480"/>
        <w:rPr>
          <w:rFonts w:ascii="宋体" w:hAnsi="宋体" w:cs="宋体"/>
          <w:sz w:val="24"/>
          <w:lang w:val="zh-CN"/>
        </w:rPr>
      </w:pPr>
      <w:r>
        <w:rPr>
          <w:rFonts w:hint="eastAsia" w:ascii="宋体" w:hAnsi="宋体" w:cs="宋体"/>
          <w:sz w:val="24"/>
        </w:rPr>
        <w:t>▲</w:t>
      </w:r>
      <w:r>
        <w:rPr>
          <w:rFonts w:hint="eastAsia" w:ascii="宋体" w:hAnsi="宋体" w:cs="宋体"/>
          <w:sz w:val="24"/>
          <w:lang w:val="zh-CN"/>
        </w:rPr>
        <w:t>磋商声明（格式附件</w:t>
      </w:r>
      <w:r>
        <w:rPr>
          <w:rFonts w:hint="eastAsia" w:ascii="宋体" w:hAnsi="宋体" w:cs="宋体"/>
          <w:sz w:val="24"/>
        </w:rPr>
        <w:t>6</w:t>
      </w:r>
      <w:r>
        <w:rPr>
          <w:rFonts w:hint="eastAsia" w:ascii="宋体" w:hAnsi="宋体" w:cs="宋体"/>
          <w:sz w:val="24"/>
          <w:lang w:val="zh-CN"/>
        </w:rPr>
        <w:t>）；</w:t>
      </w:r>
    </w:p>
    <w:p>
      <w:pPr>
        <w:spacing w:line="460" w:lineRule="exact"/>
        <w:ind w:firstLine="480"/>
        <w:rPr>
          <w:rFonts w:ascii="宋体" w:hAnsi="宋体" w:cs="宋体"/>
          <w:sz w:val="24"/>
          <w:lang w:val="zh-CN"/>
        </w:rPr>
      </w:pPr>
      <w:r>
        <w:rPr>
          <w:rFonts w:hint="eastAsia" w:ascii="宋体" w:hAnsi="宋体" w:cs="宋体"/>
          <w:sz w:val="24"/>
        </w:rPr>
        <w:t>10</w:t>
      </w:r>
      <w:r>
        <w:rPr>
          <w:rFonts w:hint="eastAsia" w:ascii="宋体" w:hAnsi="宋体" w:cs="宋体"/>
          <w:sz w:val="24"/>
          <w:lang w:val="zh-CN"/>
        </w:rPr>
        <w:t>.3按照第11条要求出具的“资格证明文件”，证明磋商供应商是合格的，成交供应商有能力履行合同；</w:t>
      </w:r>
    </w:p>
    <w:p>
      <w:pPr>
        <w:spacing w:line="460" w:lineRule="exact"/>
        <w:ind w:firstLine="480"/>
        <w:rPr>
          <w:rFonts w:ascii="宋体" w:hAnsi="宋体" w:cs="宋体"/>
          <w:sz w:val="24"/>
          <w:lang w:val="zh-CN"/>
        </w:rPr>
      </w:pPr>
      <w:r>
        <w:rPr>
          <w:rFonts w:hint="eastAsia" w:ascii="宋体" w:hAnsi="宋体" w:cs="宋体"/>
          <w:sz w:val="24"/>
          <w:lang w:val="zh-CN"/>
        </w:rPr>
        <w:t>资格证明文件，包括：</w:t>
      </w:r>
    </w:p>
    <w:p>
      <w:pPr>
        <w:spacing w:line="460" w:lineRule="exact"/>
        <w:ind w:firstLine="480"/>
        <w:rPr>
          <w:rFonts w:ascii="宋体" w:hAnsi="宋体" w:cs="宋体"/>
          <w:sz w:val="24"/>
        </w:rPr>
      </w:pPr>
      <w:r>
        <w:rPr>
          <w:rFonts w:hint="eastAsia" w:ascii="宋体" w:hAnsi="宋体" w:cs="宋体"/>
          <w:sz w:val="24"/>
        </w:rPr>
        <w:t>（4）▲法定代表人授权委托书（附件7）法定代表人身份证明书</w:t>
      </w:r>
    </w:p>
    <w:p>
      <w:pPr>
        <w:spacing w:line="460" w:lineRule="exact"/>
        <w:ind w:firstLine="480"/>
        <w:rPr>
          <w:rFonts w:ascii="宋体" w:hAnsi="宋体" w:cs="宋体"/>
          <w:sz w:val="24"/>
        </w:rPr>
      </w:pPr>
      <w:r>
        <w:rPr>
          <w:rFonts w:hint="eastAsia" w:ascii="宋体" w:hAnsi="宋体" w:cs="宋体"/>
          <w:sz w:val="24"/>
        </w:rPr>
        <w:t>（5）▲企业法人营业执照副本复印件（加盖单位公章, 有效期内 ）；</w:t>
      </w:r>
    </w:p>
    <w:p>
      <w:pPr>
        <w:snapToGrid w:val="0"/>
        <w:spacing w:line="460" w:lineRule="exact"/>
        <w:ind w:firstLine="480" w:firstLineChars="200"/>
        <w:rPr>
          <w:rFonts w:ascii="宋体" w:hAnsi="宋体" w:cs="宋体"/>
          <w:sz w:val="24"/>
        </w:rPr>
      </w:pPr>
      <w:r>
        <w:rPr>
          <w:rFonts w:hint="eastAsia" w:ascii="宋体" w:hAnsi="宋体" w:cs="宋体"/>
          <w:sz w:val="24"/>
        </w:rPr>
        <w:t>（6）▲资格声明函</w:t>
      </w:r>
      <w:r>
        <w:rPr>
          <w:rFonts w:hint="eastAsia" w:ascii="宋体" w:hAnsi="宋体" w:cs="宋体"/>
          <w:sz w:val="24"/>
          <w:lang w:val="zh-CN"/>
        </w:rPr>
        <w:t>（格式附件）</w:t>
      </w:r>
    </w:p>
    <w:p>
      <w:pPr>
        <w:spacing w:line="460" w:lineRule="exact"/>
        <w:ind w:firstLine="480"/>
        <w:rPr>
          <w:rFonts w:ascii="宋体" w:hAnsi="宋体" w:cs="宋体"/>
          <w:sz w:val="24"/>
          <w:lang w:val="zh-CN"/>
        </w:rPr>
      </w:pPr>
      <w:r>
        <w:rPr>
          <w:rFonts w:hint="eastAsia" w:ascii="宋体" w:hAnsi="宋体" w:cs="宋体"/>
          <w:sz w:val="24"/>
        </w:rPr>
        <w:t>（7）▲近三年内，在经营活动中没有重大违法记录的承诺书</w:t>
      </w:r>
      <w:r>
        <w:rPr>
          <w:rFonts w:hint="eastAsia" w:ascii="宋体" w:hAnsi="宋体" w:cs="宋体"/>
          <w:sz w:val="24"/>
          <w:lang w:val="zh-CN"/>
        </w:rPr>
        <w:t>（格式附件</w:t>
      </w:r>
      <w:r>
        <w:rPr>
          <w:rFonts w:hint="eastAsia" w:ascii="宋体" w:hAnsi="宋体" w:cs="宋体"/>
          <w:sz w:val="24"/>
        </w:rPr>
        <w:t>9</w:t>
      </w:r>
      <w:r>
        <w:rPr>
          <w:rFonts w:hint="eastAsia" w:ascii="宋体" w:hAnsi="宋体" w:cs="宋体"/>
          <w:sz w:val="24"/>
          <w:lang w:val="zh-CN"/>
        </w:rPr>
        <w:t>）</w:t>
      </w:r>
    </w:p>
    <w:p>
      <w:pPr>
        <w:spacing w:line="460" w:lineRule="exact"/>
        <w:ind w:left="239" w:leftChars="114" w:firstLine="307" w:firstLineChars="128"/>
        <w:rPr>
          <w:rFonts w:ascii="宋体" w:hAnsi="宋体" w:cs="宋体"/>
          <w:sz w:val="24"/>
        </w:rPr>
      </w:pPr>
      <w:r>
        <w:rPr>
          <w:rFonts w:hint="eastAsia" w:ascii="宋体" w:hAnsi="宋体" w:cs="宋体"/>
          <w:sz w:val="24"/>
        </w:rPr>
        <w:t>（8）▲</w:t>
      </w:r>
      <w:r>
        <w:rPr>
          <w:rFonts w:hint="eastAsia" w:ascii="宋体" w:hAnsi="宋体" w:cs="宋体"/>
          <w:sz w:val="24"/>
          <w:lang w:val="zh-CN"/>
        </w:rPr>
        <w:t>投标人201</w:t>
      </w:r>
      <w:r>
        <w:rPr>
          <w:rFonts w:hint="eastAsia" w:ascii="宋体" w:hAnsi="宋体" w:cs="宋体"/>
          <w:sz w:val="24"/>
        </w:rPr>
        <w:t>8</w:t>
      </w:r>
      <w:r>
        <w:rPr>
          <w:rFonts w:hint="eastAsia" w:ascii="宋体" w:hAnsi="宋体" w:cs="宋体"/>
          <w:sz w:val="24"/>
          <w:lang w:val="zh-CN"/>
        </w:rPr>
        <w:t>年1月1日以来类似成功案例的业绩一览表（加盖单位公章）；</w:t>
      </w:r>
    </w:p>
    <w:p>
      <w:pPr>
        <w:spacing w:line="460" w:lineRule="exact"/>
        <w:ind w:firstLine="480"/>
        <w:rPr>
          <w:rFonts w:ascii="宋体" w:hAnsi="宋体" w:cs="宋体"/>
          <w:sz w:val="24"/>
        </w:rPr>
      </w:pPr>
      <w:r>
        <w:rPr>
          <w:rFonts w:hint="eastAsia" w:ascii="宋体" w:hAnsi="宋体" w:cs="宋体"/>
          <w:sz w:val="24"/>
        </w:rPr>
        <w:t>（9）▲财务状况报告：提供上一年度的经审计的财务报告或其基本开户银行出具的资信证明，或提供响应截止时间前六个月内任一个月的财务报表复印件；</w:t>
      </w:r>
    </w:p>
    <w:p>
      <w:pPr>
        <w:spacing w:line="460" w:lineRule="exact"/>
        <w:ind w:firstLine="480"/>
        <w:rPr>
          <w:rFonts w:ascii="宋体" w:hAnsi="宋体" w:cs="宋体"/>
          <w:sz w:val="24"/>
        </w:rPr>
      </w:pPr>
      <w:r>
        <w:rPr>
          <w:rFonts w:hint="eastAsia" w:ascii="宋体" w:hAnsi="宋体" w:cs="宋体"/>
          <w:sz w:val="24"/>
        </w:rPr>
        <w:t>（10）▲依法缴纳税收的相关材料：提供响应截止时间前六个月内任一个月的缴税证明复印件；</w:t>
      </w:r>
    </w:p>
    <w:p>
      <w:pPr>
        <w:spacing w:line="460" w:lineRule="exact"/>
        <w:ind w:firstLine="480"/>
        <w:rPr>
          <w:rFonts w:ascii="宋体" w:hAnsi="宋体" w:cs="宋体"/>
          <w:sz w:val="24"/>
        </w:rPr>
      </w:pPr>
      <w:r>
        <w:rPr>
          <w:rFonts w:hint="eastAsia" w:ascii="宋体" w:hAnsi="宋体" w:cs="宋体"/>
          <w:sz w:val="24"/>
        </w:rPr>
        <w:t>（11）▲依法缴纳社会保障资金的相关材料：提供响应截止时间前六个月内任一个月缴纳社会保险的凭据（专用收据或社会保险缴纳清单）。注：依法免税或不需要缴纳社会保障资金的磋商响应方，应提供相应文件证明其依法免税或不需要缴纳社会保障资金；</w:t>
      </w:r>
    </w:p>
    <w:p>
      <w:pPr>
        <w:spacing w:line="460" w:lineRule="exact"/>
        <w:ind w:firstLine="480"/>
        <w:rPr>
          <w:rFonts w:ascii="宋体" w:hAnsi="宋体" w:cs="宋体"/>
          <w:sz w:val="24"/>
        </w:rPr>
      </w:pPr>
      <w:r>
        <w:rPr>
          <w:rFonts w:hint="eastAsia" w:ascii="宋体" w:hAnsi="宋体" w:cs="宋体"/>
          <w:sz w:val="24"/>
        </w:rPr>
        <w:t>（12）投标人需要说明的其他文件和说明（格式自拟）。</w:t>
      </w:r>
    </w:p>
    <w:p>
      <w:pPr>
        <w:spacing w:line="460" w:lineRule="exact"/>
        <w:ind w:firstLine="480"/>
        <w:rPr>
          <w:rFonts w:ascii="宋体" w:hAnsi="宋体" w:cs="宋体"/>
          <w:sz w:val="24"/>
        </w:rPr>
      </w:pPr>
      <w:r>
        <w:rPr>
          <w:rFonts w:hint="eastAsia" w:ascii="宋体" w:hAnsi="宋体" w:cs="宋体"/>
          <w:sz w:val="24"/>
        </w:rPr>
        <w:t>以上文件组成磋商响应文件。投标方应对磋商文件做出实质性响应，该响应文件将作为项目磋商的重要指标。一旦开标后，经审核确定投标资格和技术能力不能响应竞争性磋商文件要求，则投标方即刻被废标或被拒绝进入商务报价阶段。</w:t>
      </w:r>
    </w:p>
    <w:p>
      <w:pPr>
        <w:snapToGrid w:val="0"/>
        <w:spacing w:line="460" w:lineRule="exact"/>
        <w:ind w:firstLine="480" w:firstLineChars="200"/>
        <w:rPr>
          <w:rFonts w:ascii="宋体" w:hAnsi="宋体" w:cs="宋体"/>
          <w:color w:val="000000"/>
          <w:sz w:val="24"/>
        </w:rPr>
      </w:pPr>
      <w:r>
        <w:rPr>
          <w:rFonts w:hint="eastAsia" w:ascii="宋体" w:hAnsi="宋体" w:cs="宋体"/>
          <w:sz w:val="24"/>
        </w:rPr>
        <w:t>10</w:t>
      </w:r>
      <w:r>
        <w:rPr>
          <w:rFonts w:hint="eastAsia" w:ascii="宋体" w:hAnsi="宋体" w:cs="宋体"/>
          <w:sz w:val="24"/>
          <w:lang w:val="zh-CN"/>
        </w:rPr>
        <w:t>.4磋商响应</w:t>
      </w:r>
      <w:r>
        <w:rPr>
          <w:rFonts w:hint="eastAsia" w:ascii="宋体" w:hAnsi="宋体" w:cs="宋体"/>
          <w:sz w:val="24"/>
        </w:rPr>
        <w:t>系统方案描述</w:t>
      </w:r>
      <w:r>
        <w:rPr>
          <w:rFonts w:hint="eastAsia" w:ascii="宋体" w:hAnsi="宋体" w:cs="宋体"/>
          <w:sz w:val="24"/>
          <w:lang w:val="zh-CN"/>
        </w:rPr>
        <w:t>、产品品牌、型号、生产厂家、具体配置、主要配件的来源、技术指标、安装水平，要求详细</w:t>
      </w:r>
      <w:r>
        <w:rPr>
          <w:rFonts w:hint="eastAsia" w:ascii="宋体" w:hAnsi="宋体" w:cs="宋体"/>
          <w:color w:val="000000"/>
          <w:sz w:val="24"/>
          <w:lang w:val="zh-CN"/>
        </w:rPr>
        <w:t>列明设备清单和所有技术指标；</w:t>
      </w:r>
      <w:r>
        <w:rPr>
          <w:rFonts w:hint="eastAsia" w:ascii="宋体" w:hAnsi="宋体" w:cs="宋体"/>
          <w:color w:val="000000"/>
          <w:sz w:val="24"/>
        </w:rPr>
        <w:t>（附第四章采购货物要求中要求提供的产品相关证书、报告、原厂商针对该项目的授权书和售后服务承诺书、链接、截图等证明文件,如果是带▲的资料未按要求提供，将导致响应资格被取消）</w:t>
      </w:r>
    </w:p>
    <w:p>
      <w:pPr>
        <w:snapToGrid w:val="0"/>
        <w:spacing w:line="460" w:lineRule="exact"/>
        <w:ind w:firstLine="480" w:firstLineChars="200"/>
        <w:rPr>
          <w:rFonts w:ascii="宋体" w:hAnsi="宋体" w:cs="宋体"/>
          <w:color w:val="000000"/>
          <w:sz w:val="24"/>
          <w:lang w:val="zh-CN"/>
        </w:rPr>
      </w:pPr>
      <w:r>
        <w:rPr>
          <w:rFonts w:hint="eastAsia" w:ascii="宋体" w:hAnsi="宋体" w:cs="宋体"/>
          <w:color w:val="292929"/>
          <w:sz w:val="24"/>
        </w:rPr>
        <w:t>10</w:t>
      </w:r>
      <w:r>
        <w:rPr>
          <w:rFonts w:hint="eastAsia" w:ascii="宋体" w:hAnsi="宋体" w:cs="宋体"/>
          <w:color w:val="292929"/>
          <w:sz w:val="24"/>
          <w:lang w:val="zh-CN"/>
        </w:rPr>
        <w:t>.5</w:t>
      </w:r>
      <w:r>
        <w:rPr>
          <w:rFonts w:hint="eastAsia" w:ascii="宋体" w:hAnsi="宋体" w:cs="宋体"/>
          <w:color w:val="000000"/>
          <w:sz w:val="24"/>
          <w:lang w:val="zh-CN"/>
        </w:rPr>
        <w:t>售后服务、技术支持承诺，要求完整、准确地表述磋商响应方的标准承诺（范围、标准、期限等），以及质保期内提供免费相关培训、免费上门维护、升级服务、保证用户单位正常使用的措施。</w:t>
      </w:r>
    </w:p>
    <w:p>
      <w:pPr>
        <w:snapToGrid w:val="0"/>
        <w:spacing w:line="460" w:lineRule="exact"/>
        <w:ind w:firstLine="240" w:firstLineChars="100"/>
        <w:rPr>
          <w:rFonts w:ascii="宋体" w:hAnsi="宋体" w:cs="宋体"/>
          <w:color w:val="000000"/>
          <w:sz w:val="24"/>
        </w:rPr>
      </w:pPr>
      <w:r>
        <w:rPr>
          <w:rFonts w:hint="eastAsia" w:ascii="宋体" w:hAnsi="宋体" w:cs="宋体"/>
          <w:color w:val="000000"/>
          <w:sz w:val="24"/>
        </w:rPr>
        <w:t>10.6技术支持和售后服务承诺书（</w:t>
      </w:r>
      <w:r>
        <w:rPr>
          <w:rFonts w:hint="eastAsia" w:ascii="宋体" w:hAnsi="宋体" w:cs="宋体"/>
          <w:sz w:val="24"/>
          <w:lang w:val="zh-CN"/>
        </w:rPr>
        <w:t>格式附件</w:t>
      </w:r>
      <w:r>
        <w:rPr>
          <w:rFonts w:hint="eastAsia" w:ascii="宋体" w:hAnsi="宋体" w:cs="宋体"/>
          <w:sz w:val="24"/>
        </w:rPr>
        <w:t>10</w:t>
      </w:r>
      <w:r>
        <w:rPr>
          <w:rFonts w:hint="eastAsia" w:ascii="宋体" w:hAnsi="宋体" w:cs="宋体"/>
          <w:color w:val="000000"/>
          <w:sz w:val="24"/>
          <w:lang w:val="zh-CN"/>
        </w:rPr>
        <w:t>）</w:t>
      </w:r>
    </w:p>
    <w:p>
      <w:pPr>
        <w:snapToGrid w:val="0"/>
        <w:spacing w:line="460" w:lineRule="exact"/>
        <w:ind w:firstLine="240" w:firstLineChars="100"/>
        <w:rPr>
          <w:rFonts w:ascii="宋体" w:hAnsi="宋体" w:cs="宋体"/>
          <w:color w:val="000000"/>
          <w:sz w:val="24"/>
        </w:rPr>
      </w:pPr>
      <w:r>
        <w:rPr>
          <w:rFonts w:hint="eastAsia" w:ascii="宋体" w:hAnsi="宋体" w:cs="宋体"/>
          <w:color w:val="000000"/>
          <w:sz w:val="24"/>
        </w:rPr>
        <w:t>▲10.7技术要求偏离表（</w:t>
      </w:r>
      <w:r>
        <w:rPr>
          <w:rFonts w:hint="eastAsia" w:ascii="宋体" w:hAnsi="宋体" w:cs="宋体"/>
          <w:sz w:val="24"/>
          <w:lang w:val="zh-CN"/>
        </w:rPr>
        <w:t>格式附件</w:t>
      </w:r>
      <w:r>
        <w:rPr>
          <w:rFonts w:hint="eastAsia" w:ascii="宋体" w:hAnsi="宋体" w:cs="宋体"/>
          <w:sz w:val="24"/>
        </w:rPr>
        <w:t>11</w:t>
      </w:r>
      <w:r>
        <w:rPr>
          <w:rFonts w:hint="eastAsia" w:ascii="宋体" w:hAnsi="宋体" w:cs="宋体"/>
          <w:color w:val="000000"/>
          <w:sz w:val="24"/>
          <w:lang w:val="zh-CN"/>
        </w:rPr>
        <w:t>）</w:t>
      </w:r>
    </w:p>
    <w:p>
      <w:pPr>
        <w:snapToGrid w:val="0"/>
        <w:spacing w:line="460" w:lineRule="exact"/>
        <w:ind w:firstLine="240" w:firstLineChars="100"/>
        <w:rPr>
          <w:rFonts w:ascii="宋体" w:hAnsi="宋体" w:cs="宋体"/>
          <w:color w:val="000000"/>
          <w:sz w:val="24"/>
          <w:lang w:val="zh-CN"/>
        </w:rPr>
      </w:pPr>
      <w:r>
        <w:rPr>
          <w:rFonts w:hint="eastAsia" w:ascii="宋体" w:hAnsi="宋体" w:cs="宋体"/>
          <w:color w:val="000000"/>
          <w:sz w:val="24"/>
        </w:rPr>
        <w:t>▲10.8</w:t>
      </w:r>
      <w:r>
        <w:rPr>
          <w:rFonts w:hint="eastAsia" w:ascii="宋体" w:hAnsi="宋体" w:cs="宋体"/>
          <w:color w:val="000000"/>
          <w:sz w:val="24"/>
          <w:lang w:val="zh-CN"/>
        </w:rPr>
        <w:t>商务要求偏离表</w:t>
      </w:r>
      <w:r>
        <w:rPr>
          <w:rFonts w:hint="eastAsia" w:ascii="宋体" w:hAnsi="宋体" w:cs="宋体"/>
          <w:color w:val="000000"/>
          <w:sz w:val="24"/>
        </w:rPr>
        <w:t>（</w:t>
      </w:r>
      <w:r>
        <w:rPr>
          <w:rFonts w:hint="eastAsia" w:ascii="宋体" w:hAnsi="宋体" w:cs="宋体"/>
          <w:sz w:val="24"/>
          <w:lang w:val="zh-CN"/>
        </w:rPr>
        <w:t>格式附件</w:t>
      </w:r>
      <w:r>
        <w:rPr>
          <w:rFonts w:hint="eastAsia" w:ascii="宋体" w:hAnsi="宋体" w:cs="宋体"/>
          <w:sz w:val="24"/>
        </w:rPr>
        <w:t>12</w:t>
      </w:r>
      <w:r>
        <w:rPr>
          <w:rFonts w:hint="eastAsia" w:ascii="宋体" w:hAnsi="宋体" w:cs="宋体"/>
          <w:color w:val="000000"/>
          <w:sz w:val="24"/>
          <w:lang w:val="zh-CN"/>
        </w:rPr>
        <w:t>）</w:t>
      </w:r>
    </w:p>
    <w:p>
      <w:pPr>
        <w:snapToGrid w:val="0"/>
        <w:spacing w:line="460" w:lineRule="exact"/>
        <w:ind w:firstLine="480" w:firstLineChars="200"/>
        <w:rPr>
          <w:rFonts w:ascii="宋体" w:hAnsi="宋体" w:cs="宋体"/>
          <w:color w:val="000000"/>
          <w:sz w:val="24"/>
          <w:lang w:val="zh-CN"/>
        </w:rPr>
      </w:pPr>
      <w:r>
        <w:rPr>
          <w:rFonts w:hint="eastAsia" w:ascii="宋体" w:hAnsi="宋体" w:cs="宋体"/>
          <w:color w:val="000000"/>
          <w:sz w:val="24"/>
        </w:rPr>
        <w:t>10</w:t>
      </w:r>
      <w:r>
        <w:rPr>
          <w:rFonts w:hint="eastAsia" w:ascii="宋体" w:hAnsi="宋体" w:cs="宋体"/>
          <w:color w:val="000000"/>
          <w:sz w:val="24"/>
          <w:lang w:val="zh-CN"/>
        </w:rPr>
        <w:t>.10磋商响应方认为需要的其他文件和说明</w:t>
      </w:r>
    </w:p>
    <w:p>
      <w:pPr>
        <w:snapToGrid w:val="0"/>
        <w:spacing w:line="460" w:lineRule="exact"/>
        <w:ind w:firstLine="487" w:firstLineChars="202"/>
        <w:rPr>
          <w:rFonts w:ascii="宋体" w:hAnsi="宋体" w:cs="宋体"/>
          <w:color w:val="292929"/>
          <w:sz w:val="24"/>
          <w:lang w:val="zh-CN"/>
        </w:rPr>
      </w:pPr>
      <w:r>
        <w:rPr>
          <w:rFonts w:hint="eastAsia" w:ascii="宋体" w:hAnsi="宋体" w:cs="宋体"/>
          <w:b/>
          <w:color w:val="292929"/>
          <w:sz w:val="24"/>
        </w:rPr>
        <w:t>11</w:t>
      </w:r>
      <w:r>
        <w:rPr>
          <w:rFonts w:hint="eastAsia" w:ascii="宋体" w:hAnsi="宋体" w:cs="宋体"/>
          <w:b/>
          <w:color w:val="292929"/>
          <w:sz w:val="24"/>
          <w:lang w:val="zh-CN"/>
        </w:rPr>
        <w:t>、磋商声明格式和磋商供货及报价一览表</w:t>
      </w:r>
    </w:p>
    <w:p>
      <w:pPr>
        <w:snapToGrid w:val="0"/>
        <w:spacing w:line="460" w:lineRule="exact"/>
        <w:ind w:firstLine="484" w:firstLineChars="202"/>
        <w:rPr>
          <w:rFonts w:ascii="宋体" w:hAnsi="宋体" w:cs="宋体"/>
          <w:color w:val="292929"/>
          <w:sz w:val="24"/>
          <w:lang w:val="zh-CN"/>
        </w:rPr>
      </w:pPr>
      <w:r>
        <w:rPr>
          <w:rFonts w:hint="eastAsia" w:ascii="宋体" w:hAnsi="宋体" w:cs="宋体"/>
          <w:color w:val="292929"/>
          <w:sz w:val="24"/>
        </w:rPr>
        <w:t>11.1</w:t>
      </w:r>
      <w:r>
        <w:rPr>
          <w:rFonts w:hint="eastAsia" w:ascii="宋体" w:hAnsi="宋体" w:cs="宋体"/>
          <w:color w:val="292929"/>
          <w:sz w:val="24"/>
          <w:lang w:val="zh-CN"/>
        </w:rPr>
        <w:t>磋商供应商应按照磋商文件中提供的格式填写磋商声明、磋商供货及报价一览表及资格证明文件等。</w:t>
      </w:r>
    </w:p>
    <w:p>
      <w:pPr>
        <w:snapToGrid w:val="0"/>
        <w:spacing w:line="460" w:lineRule="exact"/>
        <w:ind w:firstLine="484" w:firstLineChars="202"/>
        <w:rPr>
          <w:rFonts w:ascii="宋体" w:hAnsi="宋体" w:cs="宋体"/>
          <w:b/>
          <w:bCs/>
          <w:color w:val="292929"/>
          <w:sz w:val="24"/>
        </w:rPr>
      </w:pPr>
      <w:r>
        <w:rPr>
          <w:rFonts w:hint="eastAsia" w:ascii="宋体" w:hAnsi="宋体" w:cs="宋体"/>
          <w:color w:val="292929"/>
          <w:sz w:val="24"/>
        </w:rPr>
        <w:t>11.2磋商响应报价应以人民币为结算货币。须包括</w:t>
      </w:r>
      <w:r>
        <w:rPr>
          <w:rFonts w:hint="eastAsia" w:ascii="宋体" w:hAnsi="宋体" w:cs="宋体"/>
          <w:color w:val="292929"/>
          <w:sz w:val="24"/>
          <w:lang w:val="zh-CN"/>
        </w:rPr>
        <w:t>货物价款</w:t>
      </w:r>
      <w:r>
        <w:rPr>
          <w:rFonts w:hint="eastAsia" w:asciiTheme="minorEastAsia" w:hAnsiTheme="minorEastAsia" w:eastAsiaTheme="minorEastAsia" w:cstheme="minorEastAsia"/>
          <w:color w:val="000000"/>
          <w:sz w:val="24"/>
        </w:rPr>
        <w:t>调试</w:t>
      </w:r>
      <w:r>
        <w:rPr>
          <w:rFonts w:hint="eastAsia" w:ascii="宋体" w:hAnsi="宋体" w:cs="宋体"/>
          <w:color w:val="292929"/>
          <w:sz w:val="24"/>
          <w:lang w:val="zh-CN"/>
        </w:rPr>
        <w:t>安装、调试、检测、验收费、培训指导费、</w:t>
      </w:r>
      <w:r>
        <w:rPr>
          <w:rFonts w:hint="eastAsia" w:ascii="宋体" w:hAnsi="宋体" w:cs="宋体"/>
          <w:color w:val="292929"/>
          <w:sz w:val="24"/>
        </w:rPr>
        <w:t>辅助工作及售后服务、</w:t>
      </w:r>
      <w:r>
        <w:rPr>
          <w:rFonts w:hint="eastAsia" w:ascii="宋体" w:hAnsi="宋体" w:cs="宋体"/>
          <w:color w:val="292929"/>
          <w:sz w:val="24"/>
          <w:lang w:val="zh-CN"/>
        </w:rPr>
        <w:t>保险费、税金等一切费用。</w:t>
      </w:r>
      <w:r>
        <w:rPr>
          <w:rFonts w:hint="eastAsia" w:ascii="宋体" w:hAnsi="宋体" w:cs="宋体"/>
          <w:color w:val="292929"/>
          <w:sz w:val="24"/>
        </w:rPr>
        <w:t>即按采购人要求运到指定地点的价格。磋商响应报价为磋商响应方所能承受的最低、最终报价。</w:t>
      </w:r>
      <w:r>
        <w:rPr>
          <w:rFonts w:hint="eastAsia" w:ascii="宋体" w:hAnsi="宋体" w:cs="宋体"/>
          <w:b/>
          <w:bCs/>
          <w:color w:val="292929"/>
          <w:sz w:val="24"/>
        </w:rPr>
        <w:t>如有漏项，视同已包含在其它项目中，单价不做调整。投标报价为投标人所能承受的最低、最终报价 ，投标人不得再要求追加任何费用。结算货款为最终实际数量乘以中标单价。如最终报价比原价下浮，则每一单价同比例下浮。</w:t>
      </w:r>
    </w:p>
    <w:p>
      <w:pPr>
        <w:snapToGrid w:val="0"/>
        <w:spacing w:line="460" w:lineRule="exact"/>
        <w:ind w:firstLine="487" w:firstLineChars="202"/>
        <w:rPr>
          <w:rFonts w:ascii="宋体" w:hAnsi="宋体" w:cs="宋体"/>
          <w:b/>
          <w:i/>
          <w:color w:val="292929"/>
          <w:sz w:val="24"/>
          <w:u w:val="single"/>
        </w:rPr>
      </w:pPr>
      <w:r>
        <w:rPr>
          <w:rFonts w:hint="eastAsia" w:ascii="宋体" w:hAnsi="宋体" w:cs="宋体"/>
          <w:b/>
          <w:color w:val="292929"/>
          <w:sz w:val="24"/>
        </w:rPr>
        <w:t>12</w:t>
      </w:r>
      <w:r>
        <w:rPr>
          <w:rFonts w:hint="eastAsia" w:ascii="宋体" w:hAnsi="宋体" w:cs="宋体"/>
          <w:b/>
          <w:color w:val="292929"/>
          <w:sz w:val="24"/>
          <w:lang w:val="zh-CN"/>
        </w:rPr>
        <w:t>、证明磋商供应商合格的证明文件</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12.1</w:t>
      </w:r>
      <w:r>
        <w:rPr>
          <w:rFonts w:hint="eastAsia" w:ascii="宋体" w:hAnsi="宋体" w:cs="宋体"/>
          <w:color w:val="292929"/>
          <w:sz w:val="24"/>
          <w:lang w:val="zh-CN"/>
        </w:rPr>
        <w:t>磋商供应商提交的合格性证明文件应能满足本磋商文件第三章“总则”中明确的“合格的磋商供应商”的要求。</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12.2</w:t>
      </w:r>
      <w:r>
        <w:rPr>
          <w:rFonts w:hint="eastAsia" w:ascii="宋体" w:hAnsi="宋体" w:cs="宋体"/>
          <w:color w:val="292929"/>
          <w:sz w:val="24"/>
          <w:lang w:val="zh-CN"/>
        </w:rPr>
        <w:t>磋商供应商应提交证明其有资格参加磋商和成交后有能力履行合同的文件，作为其磋商响应文件的一部分。磋商供应商除必须具有履行合同所必需的提供货物和服务的能力外，还必须具备相应的财务、技术方面的能力。</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12.3</w:t>
      </w:r>
      <w:r>
        <w:rPr>
          <w:rFonts w:hint="eastAsia" w:ascii="宋体" w:hAnsi="宋体" w:cs="宋体"/>
          <w:color w:val="292929"/>
          <w:sz w:val="24"/>
          <w:lang w:val="zh-CN"/>
        </w:rPr>
        <w:t>磋商供应商应按照磋商文件中的要求和格式，顺序制作并提交相关磋商文件所附的“资格证明文件”</w:t>
      </w:r>
    </w:p>
    <w:p>
      <w:pPr>
        <w:snapToGrid w:val="0"/>
        <w:spacing w:line="460" w:lineRule="exact"/>
        <w:ind w:firstLine="482" w:firstLineChars="200"/>
        <w:rPr>
          <w:rFonts w:ascii="宋体" w:hAnsi="宋体" w:cs="宋体"/>
          <w:color w:val="292929"/>
          <w:sz w:val="24"/>
        </w:rPr>
      </w:pPr>
      <w:r>
        <w:rPr>
          <w:rFonts w:hint="eastAsia" w:ascii="宋体" w:hAnsi="宋体" w:cs="宋体"/>
          <w:b/>
          <w:bCs/>
          <w:color w:val="292929"/>
          <w:sz w:val="24"/>
        </w:rPr>
        <w:t>13、</w:t>
      </w:r>
      <w:r>
        <w:rPr>
          <w:rFonts w:hint="eastAsia" w:ascii="宋体" w:hAnsi="宋体" w:cs="宋体"/>
          <w:b/>
          <w:bCs/>
          <w:color w:val="292929"/>
          <w:sz w:val="24"/>
          <w:lang w:val="zh-CN"/>
        </w:rPr>
        <w:t>证明</w:t>
      </w:r>
      <w:r>
        <w:rPr>
          <w:rFonts w:hint="eastAsia" w:ascii="宋体" w:hAnsi="宋体" w:cs="宋体"/>
          <w:b/>
          <w:color w:val="292929"/>
          <w:sz w:val="24"/>
          <w:lang w:val="zh-CN"/>
        </w:rPr>
        <w:t>货物数量及质量和符合磋商文件规定的文件</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13.1参加磋商供应商必须出具与磋商响应货物相匹配的相关证明材料，并出具有效的合格的证明。具体见第10条。</w:t>
      </w:r>
    </w:p>
    <w:p>
      <w:pPr>
        <w:snapToGrid w:val="0"/>
        <w:spacing w:line="460" w:lineRule="exact"/>
        <w:ind w:firstLine="482" w:firstLineChars="200"/>
        <w:rPr>
          <w:rFonts w:ascii="宋体" w:hAnsi="宋体" w:cs="宋体"/>
          <w:color w:val="292929"/>
          <w:sz w:val="24"/>
        </w:rPr>
      </w:pPr>
      <w:r>
        <w:rPr>
          <w:rFonts w:hint="eastAsia" w:ascii="宋体" w:hAnsi="宋体" w:cs="宋体"/>
          <w:b/>
          <w:color w:val="292929"/>
          <w:sz w:val="24"/>
        </w:rPr>
        <w:t>14</w:t>
      </w:r>
      <w:r>
        <w:rPr>
          <w:rFonts w:hint="eastAsia" w:ascii="宋体" w:hAnsi="宋体" w:cs="宋体"/>
          <w:b/>
          <w:color w:val="292929"/>
          <w:sz w:val="24"/>
          <w:lang w:val="zh-CN"/>
        </w:rPr>
        <w:t>、</w:t>
      </w:r>
      <w:r>
        <w:rPr>
          <w:rFonts w:hint="eastAsia" w:ascii="宋体" w:hAnsi="宋体" w:cs="宋体"/>
          <w:color w:val="292929"/>
          <w:sz w:val="24"/>
        </w:rPr>
        <w:t>磋商保证金</w:t>
      </w:r>
    </w:p>
    <w:p>
      <w:pPr>
        <w:snapToGrid w:val="0"/>
        <w:spacing w:line="460" w:lineRule="exact"/>
        <w:ind w:firstLine="480" w:firstLineChars="200"/>
        <w:rPr>
          <w:rFonts w:ascii="宋体" w:hAnsi="宋体" w:cs="宋体"/>
          <w:sz w:val="24"/>
        </w:rPr>
      </w:pPr>
      <w:r>
        <w:rPr>
          <w:rFonts w:hint="eastAsia" w:ascii="宋体" w:hAnsi="宋体" w:cs="宋体"/>
          <w:color w:val="292929"/>
          <w:sz w:val="24"/>
        </w:rPr>
        <w:t>14.1磋商保证金见：无需缴纳</w:t>
      </w:r>
    </w:p>
    <w:p>
      <w:pPr>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15</w:t>
      </w:r>
      <w:r>
        <w:rPr>
          <w:rFonts w:hint="eastAsia" w:ascii="宋体" w:hAnsi="宋体" w:cs="宋体"/>
          <w:b/>
          <w:color w:val="292929"/>
          <w:sz w:val="24"/>
          <w:lang w:val="zh-CN"/>
        </w:rPr>
        <w:t>、磋商有效期</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15.1</w:t>
      </w:r>
      <w:r>
        <w:rPr>
          <w:rFonts w:hint="eastAsia" w:ascii="宋体" w:hAnsi="宋体" w:cs="宋体"/>
          <w:color w:val="292929"/>
          <w:sz w:val="24"/>
          <w:lang w:val="zh-CN"/>
        </w:rPr>
        <w:t>磋商有效期为磋商之日后90日。磋商有效期比规定短的将被视为非响应而予以拒绝。</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15.2</w:t>
      </w:r>
      <w:r>
        <w:rPr>
          <w:rFonts w:hint="eastAsia" w:ascii="宋体" w:hAnsi="宋体" w:cs="宋体"/>
          <w:color w:val="292929"/>
          <w:sz w:val="24"/>
          <w:lang w:val="zh-CN"/>
        </w:rPr>
        <w:t>在特殊情况下</w:t>
      </w:r>
      <w:r>
        <w:rPr>
          <w:rFonts w:hint="eastAsia" w:ascii="宋体" w:hAnsi="宋体" w:cs="宋体"/>
          <w:color w:val="292929"/>
          <w:sz w:val="24"/>
        </w:rPr>
        <w:t>，</w:t>
      </w:r>
      <w:r>
        <w:rPr>
          <w:rFonts w:hint="eastAsia" w:ascii="宋体" w:hAnsi="宋体" w:cs="宋体"/>
          <w:color w:val="292929"/>
          <w:sz w:val="24"/>
          <w:lang w:val="zh-CN"/>
        </w:rPr>
        <w:t>磋商组织人于原磋商有效期满之前</w:t>
      </w:r>
      <w:r>
        <w:rPr>
          <w:rFonts w:hint="eastAsia" w:ascii="宋体" w:hAnsi="宋体" w:cs="宋体"/>
          <w:color w:val="292929"/>
          <w:sz w:val="24"/>
        </w:rPr>
        <w:t>，</w:t>
      </w:r>
      <w:r>
        <w:rPr>
          <w:rFonts w:hint="eastAsia" w:ascii="宋体" w:hAnsi="宋体" w:cs="宋体"/>
          <w:color w:val="292929"/>
          <w:sz w:val="24"/>
          <w:lang w:val="zh-CN"/>
        </w:rPr>
        <w:t>可向参加磋商的供应商提出延长磋商有效期的要求</w:t>
      </w:r>
      <w:r>
        <w:rPr>
          <w:rFonts w:hint="eastAsia" w:ascii="宋体" w:hAnsi="宋体" w:cs="宋体"/>
          <w:color w:val="292929"/>
          <w:sz w:val="24"/>
        </w:rPr>
        <w:t>，</w:t>
      </w:r>
      <w:r>
        <w:rPr>
          <w:rFonts w:hint="eastAsia" w:ascii="宋体" w:hAnsi="宋体" w:cs="宋体"/>
          <w:color w:val="292929"/>
          <w:sz w:val="24"/>
          <w:lang w:val="zh-CN"/>
        </w:rPr>
        <w:t>这种要求与答复</w:t>
      </w:r>
      <w:r>
        <w:rPr>
          <w:rFonts w:hint="eastAsia" w:ascii="宋体" w:hAnsi="宋体" w:cs="宋体"/>
          <w:color w:val="292929"/>
          <w:sz w:val="24"/>
        </w:rPr>
        <w:t>在公告网址予以公布答复，并电话通知</w:t>
      </w:r>
      <w:r>
        <w:rPr>
          <w:rFonts w:hint="eastAsia" w:ascii="宋体" w:hAnsi="宋体" w:cs="宋体"/>
          <w:color w:val="292929"/>
          <w:sz w:val="24"/>
          <w:lang w:val="zh-CN"/>
        </w:rPr>
        <w:t>。参加磋商的供应商可以拒绝接受磋商组织人的这种要求而放弃磋商，磋商组织人将在接到磋商书面答复后，将取消其磋商资格。同意延长的供应商既不能要求也不允许修改其磋商响应文件。</w:t>
      </w:r>
    </w:p>
    <w:p>
      <w:pPr>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16</w:t>
      </w:r>
      <w:r>
        <w:rPr>
          <w:rFonts w:hint="eastAsia" w:ascii="宋体" w:hAnsi="宋体" w:cs="宋体"/>
          <w:b/>
          <w:color w:val="292929"/>
          <w:sz w:val="24"/>
          <w:lang w:val="zh-CN"/>
        </w:rPr>
        <w:t>、磋商响应文件份数和签署</w:t>
      </w:r>
    </w:p>
    <w:p>
      <w:pPr>
        <w:snapToGrid w:val="0"/>
        <w:spacing w:line="460" w:lineRule="exact"/>
        <w:ind w:firstLine="240" w:firstLineChars="100"/>
        <w:rPr>
          <w:rFonts w:ascii="宋体" w:hAnsi="宋体" w:cs="宋体"/>
          <w:color w:val="292929"/>
          <w:sz w:val="24"/>
          <w:lang w:val="zh-CN"/>
        </w:rPr>
      </w:pPr>
      <w:r>
        <w:rPr>
          <w:rFonts w:hint="eastAsia" w:ascii="宋体" w:hAnsi="宋体" w:cs="宋体"/>
          <w:sz w:val="24"/>
          <w:lang w:val="zh-CN"/>
        </w:rPr>
        <w:t>▲</w:t>
      </w:r>
      <w:r>
        <w:rPr>
          <w:rFonts w:hint="eastAsia" w:ascii="宋体" w:hAnsi="宋体" w:cs="宋体"/>
          <w:color w:val="292929"/>
          <w:sz w:val="24"/>
        </w:rPr>
        <w:t>16.1</w:t>
      </w:r>
      <w:r>
        <w:rPr>
          <w:rFonts w:hint="eastAsia" w:ascii="宋体" w:hAnsi="宋体" w:cs="宋体"/>
          <w:color w:val="292929"/>
          <w:sz w:val="24"/>
          <w:lang w:val="zh-CN"/>
        </w:rPr>
        <w:t>磋商供应商应按照磋商供应商须知第</w:t>
      </w:r>
      <w:r>
        <w:rPr>
          <w:rFonts w:hint="eastAsia" w:ascii="宋体" w:hAnsi="宋体" w:cs="宋体"/>
          <w:color w:val="292929"/>
          <w:sz w:val="24"/>
        </w:rPr>
        <w:t>9</w:t>
      </w:r>
      <w:r>
        <w:rPr>
          <w:rFonts w:hint="eastAsia" w:ascii="宋体" w:hAnsi="宋体" w:cs="宋体"/>
          <w:color w:val="292929"/>
          <w:sz w:val="24"/>
          <w:lang w:val="zh-CN"/>
        </w:rPr>
        <w:t>条的要求，准备一式</w:t>
      </w:r>
      <w:r>
        <w:rPr>
          <w:rFonts w:hint="eastAsia" w:ascii="宋体" w:hAnsi="宋体" w:cs="宋体"/>
          <w:color w:val="292929"/>
          <w:sz w:val="24"/>
        </w:rPr>
        <w:t>三</w:t>
      </w:r>
      <w:r>
        <w:rPr>
          <w:rFonts w:hint="eastAsia" w:ascii="宋体" w:hAnsi="宋体" w:cs="宋体"/>
          <w:color w:val="292929"/>
          <w:sz w:val="24"/>
          <w:lang w:val="zh-CN"/>
        </w:rPr>
        <w:t>份磋商响应文件</w:t>
      </w:r>
      <w:r>
        <w:rPr>
          <w:rFonts w:hint="eastAsia" w:ascii="宋体" w:hAnsi="宋体" w:cs="宋体"/>
          <w:bCs/>
          <w:sz w:val="24"/>
          <w:lang w:val="zh-CN"/>
        </w:rPr>
        <w:t>（一份正本、</w:t>
      </w:r>
      <w:r>
        <w:rPr>
          <w:rFonts w:hint="eastAsia" w:ascii="宋体" w:hAnsi="宋体" w:cs="宋体"/>
          <w:bCs/>
          <w:sz w:val="24"/>
        </w:rPr>
        <w:t>二</w:t>
      </w:r>
      <w:r>
        <w:rPr>
          <w:rFonts w:hint="eastAsia" w:ascii="宋体" w:hAnsi="宋体" w:cs="宋体"/>
          <w:bCs/>
          <w:sz w:val="24"/>
          <w:lang w:val="zh-CN"/>
        </w:rPr>
        <w:t>份副本，</w:t>
      </w:r>
      <w:r>
        <w:rPr>
          <w:rFonts w:hint="eastAsia" w:ascii="宋体" w:hAnsi="宋体" w:cs="宋体"/>
          <w:bCs/>
          <w:sz w:val="24"/>
        </w:rPr>
        <w:t>份数不足按无效标处理）</w:t>
      </w:r>
      <w:r>
        <w:rPr>
          <w:rFonts w:hint="eastAsia" w:ascii="宋体" w:hAnsi="宋体" w:cs="宋体"/>
          <w:color w:val="292929"/>
          <w:sz w:val="24"/>
          <w:lang w:val="zh-CN"/>
        </w:rPr>
        <w:t>，每份磋商响应文件须清楚地标明“正本”或“副本”。一旦正本和副本不符，以正本为准。</w:t>
      </w:r>
    </w:p>
    <w:p>
      <w:pPr>
        <w:snapToGrid w:val="0"/>
        <w:spacing w:line="460" w:lineRule="exact"/>
        <w:ind w:firstLine="240" w:firstLineChars="100"/>
        <w:rPr>
          <w:rFonts w:ascii="宋体" w:hAnsi="宋体" w:cs="宋体"/>
          <w:color w:val="292929"/>
          <w:sz w:val="24"/>
          <w:lang w:val="zh-CN"/>
        </w:rPr>
      </w:pPr>
      <w:r>
        <w:rPr>
          <w:rFonts w:hint="eastAsia" w:ascii="宋体" w:hAnsi="宋体" w:cs="宋体"/>
          <w:sz w:val="24"/>
          <w:lang w:val="zh-CN"/>
        </w:rPr>
        <w:t>▲</w:t>
      </w:r>
      <w:r>
        <w:rPr>
          <w:rFonts w:hint="eastAsia" w:ascii="宋体" w:hAnsi="宋体" w:cs="宋体"/>
          <w:color w:val="292929"/>
          <w:sz w:val="24"/>
        </w:rPr>
        <w:t>16.2</w:t>
      </w:r>
      <w:r>
        <w:rPr>
          <w:rFonts w:hint="eastAsia" w:ascii="宋体" w:hAnsi="宋体" w:cs="宋体"/>
          <w:color w:val="292929"/>
          <w:sz w:val="24"/>
          <w:lang w:val="zh-CN"/>
        </w:rPr>
        <w:t>磋商响应文件的正本和所有的副本均需打印或复印，并由磋商供应商法定代表人或其授权代表在相应位置签字。磋商响应文件文件封面须加盖磋商响应单位公章。</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16.3</w:t>
      </w:r>
      <w:r>
        <w:rPr>
          <w:rFonts w:hint="eastAsia" w:ascii="宋体" w:hAnsi="宋体" w:cs="宋体"/>
          <w:color w:val="292929"/>
          <w:sz w:val="24"/>
          <w:lang w:val="zh-CN"/>
        </w:rPr>
        <w:t>除磋商供应商对错处做必要修改外，磋商文件不得行间插字、涂改或增删，如有修改错漏处，必须由磋商文件签署人签字或盖章。</w:t>
      </w:r>
    </w:p>
    <w:p>
      <w:pPr>
        <w:snapToGrid w:val="0"/>
        <w:spacing w:line="460" w:lineRule="exact"/>
        <w:jc w:val="center"/>
        <w:outlineLvl w:val="1"/>
        <w:rPr>
          <w:rFonts w:ascii="宋体" w:hAnsi="宋体" w:cs="宋体"/>
          <w:b/>
          <w:color w:val="292929"/>
          <w:sz w:val="28"/>
          <w:szCs w:val="28"/>
          <w:lang w:val="zh-CN"/>
        </w:rPr>
      </w:pPr>
    </w:p>
    <w:p>
      <w:pPr>
        <w:snapToGrid w:val="0"/>
        <w:spacing w:line="460" w:lineRule="exact"/>
        <w:jc w:val="center"/>
        <w:outlineLvl w:val="1"/>
        <w:rPr>
          <w:rFonts w:ascii="宋体" w:hAnsi="宋体" w:cs="宋体"/>
          <w:b/>
          <w:color w:val="292929"/>
          <w:sz w:val="28"/>
          <w:szCs w:val="28"/>
          <w:lang w:val="zh-CN"/>
        </w:rPr>
      </w:pPr>
      <w:r>
        <w:rPr>
          <w:rFonts w:hint="eastAsia" w:ascii="宋体" w:hAnsi="宋体" w:cs="宋体"/>
          <w:b/>
          <w:color w:val="292929"/>
          <w:sz w:val="28"/>
          <w:szCs w:val="28"/>
          <w:lang w:val="zh-CN"/>
        </w:rPr>
        <w:t>四、磋商响应文件的递交</w:t>
      </w:r>
    </w:p>
    <w:p>
      <w:pPr>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17</w:t>
      </w:r>
      <w:r>
        <w:rPr>
          <w:rFonts w:hint="eastAsia" w:ascii="宋体" w:hAnsi="宋体" w:cs="宋体"/>
          <w:b/>
          <w:color w:val="292929"/>
          <w:sz w:val="24"/>
          <w:lang w:val="zh-CN"/>
        </w:rPr>
        <w:t>、磋商响应文件的密封和标记</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17.1</w:t>
      </w:r>
      <w:r>
        <w:rPr>
          <w:rFonts w:hint="eastAsia" w:ascii="宋体" w:hAnsi="宋体" w:cs="宋体"/>
          <w:color w:val="292929"/>
          <w:sz w:val="24"/>
          <w:lang w:val="zh-CN"/>
        </w:rPr>
        <w:t>磋商供应商应将磋商响应文件正副本用一个包装封套密封装袋。</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17.2包装封套均应：</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 xml:space="preserve">(1) </w:t>
      </w:r>
      <w:r>
        <w:rPr>
          <w:rFonts w:hint="eastAsia" w:ascii="宋体" w:hAnsi="宋体" w:cs="宋体"/>
          <w:color w:val="292929"/>
          <w:sz w:val="24"/>
          <w:lang w:val="zh-CN"/>
        </w:rPr>
        <w:t>按“磋商供应商须知前附表”注明的地址送达磋商组织人；</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 xml:space="preserve">(2) </w:t>
      </w:r>
      <w:r>
        <w:rPr>
          <w:rFonts w:hint="eastAsia" w:ascii="宋体" w:hAnsi="宋体" w:cs="宋体"/>
          <w:b/>
          <w:color w:val="292929"/>
          <w:sz w:val="24"/>
          <w:lang w:val="zh-CN"/>
        </w:rPr>
        <w:t>注明磋商项目名称、采购编号、磋商响应单位名称、包装封套加盖单位公</w:t>
      </w:r>
      <w:r>
        <w:rPr>
          <w:rFonts w:hint="eastAsia" w:ascii="宋体" w:hAnsi="宋体" w:cs="宋体"/>
          <w:b/>
          <w:sz w:val="24"/>
        </w:rPr>
        <w:t>章</w:t>
      </w:r>
      <w:r>
        <w:rPr>
          <w:rFonts w:hint="eastAsia" w:ascii="宋体" w:hAnsi="宋体" w:cs="宋体"/>
          <w:color w:val="292929"/>
          <w:sz w:val="24"/>
          <w:lang w:val="zh-CN"/>
        </w:rPr>
        <w:t>。</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17.3</w:t>
      </w:r>
      <w:r>
        <w:rPr>
          <w:rFonts w:hint="eastAsia" w:ascii="宋体" w:hAnsi="宋体" w:cs="宋体"/>
          <w:color w:val="292929"/>
          <w:sz w:val="24"/>
          <w:lang w:val="zh-CN"/>
        </w:rPr>
        <w:t>如果包装封套未按第</w:t>
      </w:r>
      <w:r>
        <w:rPr>
          <w:rFonts w:hint="eastAsia" w:ascii="宋体" w:hAnsi="宋体" w:cs="宋体"/>
          <w:color w:val="292929"/>
          <w:sz w:val="24"/>
        </w:rPr>
        <w:t>16.2</w:t>
      </w:r>
      <w:r>
        <w:rPr>
          <w:rFonts w:hint="eastAsia" w:ascii="宋体" w:hAnsi="宋体" w:cs="宋体"/>
          <w:color w:val="292929"/>
          <w:sz w:val="24"/>
          <w:lang w:val="zh-CN"/>
        </w:rPr>
        <w:t>条要求密封和加写标记，磋商组织人对误投或过早启封概不负责。对由此造成提前开封的磋商响应文件，磋商组织人将予以拒绝，并退回磋商响应方。</w:t>
      </w:r>
    </w:p>
    <w:p>
      <w:pPr>
        <w:snapToGrid w:val="0"/>
        <w:spacing w:line="460" w:lineRule="exact"/>
        <w:ind w:firstLine="482" w:firstLineChars="200"/>
        <w:rPr>
          <w:rFonts w:ascii="宋体" w:hAnsi="宋体" w:cs="宋体"/>
          <w:b/>
          <w:color w:val="292929"/>
          <w:sz w:val="24"/>
          <w:lang w:val="zh-CN"/>
        </w:rPr>
      </w:pPr>
      <w:r>
        <w:rPr>
          <w:rFonts w:hint="eastAsia" w:ascii="宋体" w:hAnsi="宋体" w:cs="宋体"/>
          <w:b/>
          <w:color w:val="292929"/>
          <w:sz w:val="24"/>
        </w:rPr>
        <w:t>18</w:t>
      </w:r>
      <w:r>
        <w:rPr>
          <w:rFonts w:hint="eastAsia" w:ascii="宋体" w:hAnsi="宋体" w:cs="宋体"/>
          <w:b/>
          <w:color w:val="292929"/>
          <w:sz w:val="24"/>
          <w:lang w:val="zh-CN"/>
        </w:rPr>
        <w:t>、磋商截止时间</w:t>
      </w:r>
      <w:r>
        <w:rPr>
          <w:rFonts w:hint="eastAsia" w:ascii="宋体" w:hAnsi="宋体" w:cs="宋体"/>
          <w:b/>
          <w:color w:val="292929"/>
          <w:sz w:val="24"/>
        </w:rPr>
        <w:t>及</w:t>
      </w:r>
      <w:r>
        <w:rPr>
          <w:rFonts w:hint="eastAsia" w:ascii="宋体" w:hAnsi="宋体" w:cs="宋体"/>
          <w:b/>
          <w:color w:val="292929"/>
          <w:sz w:val="24"/>
          <w:lang w:val="zh-CN"/>
        </w:rPr>
        <w:t>注意事项</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18.1</w:t>
      </w:r>
      <w:r>
        <w:rPr>
          <w:rFonts w:hint="eastAsia" w:ascii="宋体" w:hAnsi="宋体" w:cs="宋体"/>
          <w:color w:val="292929"/>
          <w:sz w:val="24"/>
          <w:lang w:val="zh-CN"/>
        </w:rPr>
        <w:t>磋商组织人收到磋商响应文件的时间不得迟于磋商供应商须知前附表中规定的截止时间。</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（2）投标文件截止时间前将投标文件递交至招标公告指定开标室，逾期不予接收。递交投标文件时还需递交法人（负责人）授权委托书原件及被授权人身份证原件。</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原件应与磋商响应文件同时提交，超过截止时间送达的原件不予接收。所有原件应单独装袋（不需密封），包装封套上应注明磋商响应方名称及粘贴打印的表格式原件清单目录（供参考）。</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18.2</w:t>
      </w:r>
      <w:r>
        <w:rPr>
          <w:rFonts w:hint="eastAsia" w:ascii="宋体" w:hAnsi="宋体" w:cs="宋体"/>
          <w:color w:val="292929"/>
          <w:sz w:val="24"/>
          <w:lang w:val="zh-CN"/>
        </w:rPr>
        <w:t>磋商组织人可以按第</w:t>
      </w:r>
      <w:r>
        <w:rPr>
          <w:rFonts w:hint="eastAsia" w:ascii="宋体" w:hAnsi="宋体" w:cs="宋体"/>
          <w:color w:val="292929"/>
          <w:sz w:val="24"/>
        </w:rPr>
        <w:t>7</w:t>
      </w:r>
      <w:r>
        <w:rPr>
          <w:rFonts w:hint="eastAsia" w:ascii="宋体" w:hAnsi="宋体" w:cs="宋体"/>
          <w:color w:val="292929"/>
          <w:sz w:val="24"/>
          <w:lang w:val="zh-CN"/>
        </w:rPr>
        <w:t>条规定，通过修改磋商文件自行决定酌情延长磋商截止时间。在此情况下，磋商供应商的所有权利和义务以及受制的截止日期均应以延长后新的截止日期为准。</w:t>
      </w:r>
    </w:p>
    <w:p>
      <w:pPr>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19</w:t>
      </w:r>
      <w:r>
        <w:rPr>
          <w:rFonts w:hint="eastAsia" w:ascii="宋体" w:hAnsi="宋体" w:cs="宋体"/>
          <w:b/>
          <w:color w:val="292929"/>
          <w:sz w:val="24"/>
          <w:lang w:val="zh-CN"/>
        </w:rPr>
        <w:t>、迟交的磋商响应文件</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lang w:val="zh-CN"/>
        </w:rPr>
        <w:t>磋商组织人将拒绝并原封退回在其规定的磋商截止时间后收到的任何磋商响应文件。</w:t>
      </w:r>
    </w:p>
    <w:p>
      <w:pPr>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20</w:t>
      </w:r>
      <w:r>
        <w:rPr>
          <w:rFonts w:hint="eastAsia" w:ascii="宋体" w:hAnsi="宋体" w:cs="宋体"/>
          <w:b/>
          <w:color w:val="292929"/>
          <w:sz w:val="24"/>
          <w:lang w:val="zh-CN"/>
        </w:rPr>
        <w:t>、磋商响应文件的修改和撤回</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20.1</w:t>
      </w:r>
      <w:r>
        <w:rPr>
          <w:rFonts w:hint="eastAsia" w:ascii="宋体" w:hAnsi="宋体" w:cs="宋体"/>
          <w:color w:val="292929"/>
          <w:sz w:val="24"/>
          <w:lang w:val="zh-CN"/>
        </w:rPr>
        <w:t>磋商供应商在递交磋商响应文件后，可以在规定的磋商截止时间前，以书面形式通知磋商组织人，修改或撤回其磋商响应文件。修改或撤回文件的时间以修改或撤回通知送达磋商组织人之日为准。</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20.2</w:t>
      </w:r>
      <w:r>
        <w:rPr>
          <w:rFonts w:hint="eastAsia" w:ascii="宋体" w:hAnsi="宋体" w:cs="宋体"/>
          <w:color w:val="292929"/>
          <w:sz w:val="24"/>
          <w:lang w:val="zh-CN"/>
        </w:rPr>
        <w:t>修改文件应按第</w:t>
      </w:r>
      <w:r>
        <w:rPr>
          <w:rFonts w:hint="eastAsia" w:ascii="宋体" w:hAnsi="宋体" w:cs="宋体"/>
          <w:color w:val="292929"/>
          <w:sz w:val="24"/>
        </w:rPr>
        <w:t>15</w:t>
      </w:r>
      <w:r>
        <w:rPr>
          <w:rFonts w:hint="eastAsia" w:ascii="宋体" w:hAnsi="宋体" w:cs="宋体"/>
          <w:color w:val="292929"/>
          <w:sz w:val="24"/>
          <w:lang w:val="zh-CN"/>
        </w:rPr>
        <w:t>条的规定进行编制和签署，并按第</w:t>
      </w:r>
      <w:r>
        <w:rPr>
          <w:rFonts w:hint="eastAsia" w:ascii="宋体" w:hAnsi="宋体" w:cs="宋体"/>
          <w:color w:val="292929"/>
          <w:sz w:val="24"/>
        </w:rPr>
        <w:t>17</w:t>
      </w:r>
      <w:r>
        <w:rPr>
          <w:rFonts w:hint="eastAsia" w:ascii="宋体" w:hAnsi="宋体" w:cs="宋体"/>
          <w:color w:val="292929"/>
          <w:sz w:val="24"/>
          <w:lang w:val="zh-CN"/>
        </w:rPr>
        <w:t>条的规定进行密封、标记，同时还应在封套上加注“修改”字样。修改文件同样必须在磋商截止时间前送达磋商组织人。</w:t>
      </w:r>
    </w:p>
    <w:p>
      <w:pPr>
        <w:snapToGrid w:val="0"/>
        <w:spacing w:line="460" w:lineRule="exact"/>
        <w:ind w:left="-105" w:leftChars="-50" w:firstLine="597" w:firstLineChars="249"/>
        <w:rPr>
          <w:rFonts w:ascii="宋体" w:hAnsi="宋体" w:cs="宋体"/>
          <w:color w:val="292929"/>
          <w:sz w:val="24"/>
        </w:rPr>
      </w:pPr>
      <w:r>
        <w:rPr>
          <w:rFonts w:hint="eastAsia" w:ascii="宋体" w:hAnsi="宋体" w:cs="宋体"/>
          <w:color w:val="292929"/>
          <w:sz w:val="24"/>
        </w:rPr>
        <w:t>20.3</w:t>
      </w:r>
      <w:r>
        <w:rPr>
          <w:rFonts w:hint="eastAsia" w:ascii="宋体" w:hAnsi="宋体" w:cs="宋体"/>
          <w:color w:val="292929"/>
          <w:sz w:val="24"/>
          <w:lang w:val="zh-CN"/>
        </w:rPr>
        <w:t>在磋商截止时间之后，磋商供应商不得对其磋商响应文件做任何主动修改。</w:t>
      </w:r>
    </w:p>
    <w:p>
      <w:pPr>
        <w:snapToGrid w:val="0"/>
        <w:spacing w:line="460" w:lineRule="exact"/>
        <w:ind w:firstLine="470" w:firstLineChars="196"/>
        <w:rPr>
          <w:rFonts w:ascii="宋体" w:hAnsi="宋体" w:cs="宋体"/>
          <w:color w:val="292929"/>
          <w:sz w:val="24"/>
          <w:lang w:val="zh-CN"/>
        </w:rPr>
      </w:pPr>
      <w:r>
        <w:rPr>
          <w:rFonts w:hint="eastAsia" w:ascii="宋体" w:hAnsi="宋体" w:cs="宋体"/>
          <w:color w:val="292929"/>
          <w:sz w:val="24"/>
        </w:rPr>
        <w:t>20.4</w:t>
      </w:r>
      <w:r>
        <w:rPr>
          <w:rFonts w:hint="eastAsia" w:ascii="宋体" w:hAnsi="宋体" w:cs="宋体"/>
          <w:color w:val="292929"/>
          <w:sz w:val="24"/>
          <w:lang w:val="zh-CN"/>
        </w:rPr>
        <w:t>在磋商截止时间至磋商组织人在磋商文件中规定的磋商有效期期满之间的这段时间内，磋商供应商不得撤回其磋商响应文件。</w:t>
      </w:r>
    </w:p>
    <w:p>
      <w:pPr>
        <w:snapToGrid w:val="0"/>
        <w:spacing w:line="460" w:lineRule="exact"/>
        <w:ind w:firstLine="600" w:firstLineChars="200"/>
        <w:rPr>
          <w:rFonts w:ascii="宋体" w:hAnsi="宋体" w:cs="宋体"/>
          <w:color w:val="292929"/>
          <w:sz w:val="30"/>
          <w:szCs w:val="30"/>
        </w:rPr>
      </w:pPr>
    </w:p>
    <w:p>
      <w:pPr>
        <w:snapToGrid w:val="0"/>
        <w:spacing w:line="460" w:lineRule="exact"/>
        <w:jc w:val="center"/>
        <w:outlineLvl w:val="1"/>
        <w:rPr>
          <w:rFonts w:ascii="宋体" w:hAnsi="宋体" w:cs="宋体"/>
          <w:b/>
          <w:color w:val="292929"/>
          <w:sz w:val="28"/>
          <w:szCs w:val="28"/>
        </w:rPr>
      </w:pPr>
      <w:r>
        <w:rPr>
          <w:rFonts w:hint="eastAsia" w:ascii="宋体" w:hAnsi="宋体" w:cs="宋体"/>
          <w:b/>
          <w:color w:val="292929"/>
          <w:sz w:val="28"/>
          <w:szCs w:val="28"/>
          <w:lang w:val="zh-CN"/>
        </w:rPr>
        <w:t>五、磋商与确定成交</w:t>
      </w:r>
    </w:p>
    <w:p>
      <w:pPr>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21</w:t>
      </w:r>
      <w:r>
        <w:rPr>
          <w:rFonts w:hint="eastAsia" w:ascii="宋体" w:hAnsi="宋体" w:cs="宋体"/>
          <w:b/>
          <w:color w:val="292929"/>
          <w:sz w:val="24"/>
          <w:lang w:val="zh-CN"/>
        </w:rPr>
        <w:t>、磋商</w:t>
      </w:r>
    </w:p>
    <w:p>
      <w:pPr>
        <w:snapToGrid w:val="0"/>
        <w:spacing w:line="460" w:lineRule="exact"/>
        <w:ind w:firstLine="480" w:firstLineChars="200"/>
        <w:rPr>
          <w:rFonts w:ascii="宋体" w:hAnsi="宋体" w:cs="宋体"/>
          <w:b/>
          <w:bCs/>
          <w:color w:val="292929"/>
          <w:sz w:val="24"/>
          <w:lang w:val="zh-CN"/>
        </w:rPr>
      </w:pPr>
      <w:r>
        <w:rPr>
          <w:rFonts w:hint="eastAsia" w:ascii="宋体" w:hAnsi="宋体" w:cs="宋体"/>
          <w:color w:val="292929"/>
          <w:sz w:val="24"/>
        </w:rPr>
        <w:t>21.1</w:t>
      </w:r>
      <w:r>
        <w:rPr>
          <w:rFonts w:hint="eastAsia" w:ascii="宋体" w:hAnsi="宋体" w:cs="宋体"/>
          <w:color w:val="292929"/>
          <w:sz w:val="24"/>
          <w:lang w:val="zh-CN"/>
        </w:rPr>
        <w:t>磋商组织人将在“磋商供应商须知前附表”中规定的时间和地点组织磋商。</w:t>
      </w:r>
      <w:r>
        <w:rPr>
          <w:rFonts w:hint="eastAsia" w:ascii="宋体" w:hAnsi="宋体" w:cs="宋体"/>
          <w:b/>
          <w:bCs/>
          <w:color w:val="292929"/>
          <w:sz w:val="24"/>
          <w:lang w:val="zh-CN"/>
        </w:rPr>
        <w:t>磋商供应商必须委派代表准时参加，法人代表或被授权人必须在现场提供授权委托书和身份证明接受磋商组织方人员或公证处身份核验。</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21.2</w:t>
      </w:r>
      <w:r>
        <w:rPr>
          <w:rFonts w:hint="eastAsia" w:ascii="宋体" w:hAnsi="宋体" w:cs="宋体"/>
          <w:color w:val="292929"/>
          <w:sz w:val="24"/>
          <w:lang w:val="zh-CN"/>
        </w:rPr>
        <w:t>按照第</w:t>
      </w:r>
      <w:r>
        <w:rPr>
          <w:rFonts w:hint="eastAsia" w:ascii="宋体" w:hAnsi="宋体" w:cs="宋体"/>
          <w:color w:val="292929"/>
          <w:sz w:val="24"/>
        </w:rPr>
        <w:t>19</w:t>
      </w:r>
      <w:r>
        <w:rPr>
          <w:rFonts w:hint="eastAsia" w:ascii="宋体" w:hAnsi="宋体" w:cs="宋体"/>
          <w:color w:val="292929"/>
          <w:sz w:val="24"/>
          <w:lang w:val="zh-CN"/>
        </w:rPr>
        <w:t>条规定，同意撤回的磋商响应文件将不予开封。</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21.3</w:t>
      </w:r>
      <w:r>
        <w:rPr>
          <w:rFonts w:hint="eastAsia" w:ascii="宋体" w:hAnsi="宋体" w:cs="宋体"/>
          <w:color w:val="292929"/>
          <w:sz w:val="24"/>
          <w:lang w:val="zh-CN"/>
        </w:rPr>
        <w:t>磋商开始前将由公证人员或磋商组织方人员当众检验磋商响应文件的密封情况，确认无误后方可进行拆封、磋商。</w:t>
      </w:r>
    </w:p>
    <w:p>
      <w:pPr>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22</w:t>
      </w:r>
      <w:r>
        <w:rPr>
          <w:rFonts w:hint="eastAsia" w:ascii="宋体" w:hAnsi="宋体" w:cs="宋体"/>
          <w:b/>
          <w:color w:val="292929"/>
          <w:sz w:val="24"/>
          <w:lang w:val="zh-CN"/>
        </w:rPr>
        <w:t>、磋商小组</w:t>
      </w:r>
    </w:p>
    <w:p>
      <w:pPr>
        <w:snapToGrid w:val="0"/>
        <w:spacing w:line="460" w:lineRule="exact"/>
        <w:ind w:right="-210" w:rightChars="-100" w:firstLine="480" w:firstLineChars="200"/>
        <w:rPr>
          <w:rFonts w:ascii="宋体" w:hAnsi="宋体" w:cs="宋体"/>
          <w:color w:val="292929"/>
          <w:sz w:val="24"/>
        </w:rPr>
      </w:pPr>
      <w:r>
        <w:rPr>
          <w:rFonts w:hint="eastAsia" w:ascii="宋体" w:hAnsi="宋体" w:cs="宋体"/>
          <w:color w:val="292929"/>
          <w:sz w:val="24"/>
        </w:rPr>
        <w:t>22.1</w:t>
      </w:r>
      <w:r>
        <w:rPr>
          <w:rFonts w:hint="eastAsia" w:ascii="宋体" w:hAnsi="宋体" w:cs="宋体"/>
          <w:color w:val="292929"/>
          <w:sz w:val="24"/>
          <w:lang w:val="zh-CN"/>
        </w:rPr>
        <w:t>磋商仪式后，磋商组织人将根据有关规定组织磋商小组进行评定。</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22.2</w:t>
      </w:r>
      <w:r>
        <w:rPr>
          <w:rFonts w:hint="eastAsia" w:ascii="宋体" w:hAnsi="宋体" w:cs="宋体"/>
          <w:color w:val="292929"/>
          <w:sz w:val="24"/>
          <w:lang w:val="zh-CN"/>
        </w:rPr>
        <w:t>磋商小组独立开展工作，负责审议所有磋商响应文件，并推荐成交候选人。</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22.3</w:t>
      </w:r>
      <w:r>
        <w:rPr>
          <w:rFonts w:hint="eastAsia" w:ascii="宋体" w:hAnsi="宋体" w:cs="宋体"/>
          <w:color w:val="292929"/>
          <w:sz w:val="24"/>
          <w:lang w:val="zh-CN"/>
        </w:rPr>
        <w:t>磋商小组将对磋商供应商的商业、技术资料予以保密。</w:t>
      </w:r>
    </w:p>
    <w:p>
      <w:pPr>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23</w:t>
      </w:r>
      <w:r>
        <w:rPr>
          <w:rFonts w:hint="eastAsia" w:ascii="宋体" w:hAnsi="宋体" w:cs="宋体"/>
          <w:b/>
          <w:color w:val="292929"/>
          <w:sz w:val="24"/>
          <w:lang w:val="zh-CN"/>
        </w:rPr>
        <w:t>、磋商过程的保密性</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23.1</w:t>
      </w:r>
      <w:r>
        <w:rPr>
          <w:rFonts w:hint="eastAsia" w:ascii="宋体" w:hAnsi="宋体" w:cs="宋体"/>
          <w:color w:val="292929"/>
          <w:sz w:val="24"/>
          <w:lang w:val="zh-CN"/>
        </w:rPr>
        <w:t>磋商响应文件启封后，直至向成交人授予合同时止，凡是与审查、澄清、评价和比较的有关资料以及授标建议等，均不得向磋商供应商及与磋商无关的其他人员透露。</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23.2</w:t>
      </w:r>
      <w:r>
        <w:rPr>
          <w:rFonts w:hint="eastAsia" w:ascii="宋体" w:hAnsi="宋体" w:cs="宋体"/>
          <w:color w:val="292929"/>
          <w:sz w:val="24"/>
          <w:lang w:val="zh-CN"/>
        </w:rPr>
        <w:t>在磋商过程中，如果磋商供应商试图向磋商组织人或参与评定的人员施加任何影响，都将会导致其响应被拒绝。</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23.3</w:t>
      </w:r>
      <w:r>
        <w:rPr>
          <w:rFonts w:hint="eastAsia" w:ascii="宋体" w:hAnsi="宋体" w:cs="宋体"/>
          <w:color w:val="292929"/>
          <w:sz w:val="24"/>
          <w:lang w:val="zh-CN"/>
        </w:rPr>
        <w:t>磋商过程中的磋商响应文件中的初次报价和磋商过程中的报价均不对供应商透露。仅公布各供应商最终报价。</w:t>
      </w:r>
    </w:p>
    <w:p>
      <w:pPr>
        <w:snapToGrid w:val="0"/>
        <w:spacing w:line="460" w:lineRule="exact"/>
        <w:ind w:firstLine="482" w:firstLineChars="200"/>
        <w:rPr>
          <w:rFonts w:ascii="宋体" w:hAnsi="宋体" w:cs="宋体"/>
          <w:b/>
          <w:color w:val="292929"/>
          <w:sz w:val="24"/>
        </w:rPr>
      </w:pPr>
      <w:r>
        <w:rPr>
          <w:rFonts w:hint="eastAsia" w:ascii="宋体" w:hAnsi="宋体" w:cs="宋体"/>
          <w:b/>
          <w:color w:val="292929"/>
          <w:sz w:val="24"/>
        </w:rPr>
        <w:t>24</w:t>
      </w:r>
      <w:r>
        <w:rPr>
          <w:rFonts w:hint="eastAsia" w:ascii="宋体" w:hAnsi="宋体" w:cs="宋体"/>
          <w:b/>
          <w:color w:val="292929"/>
          <w:sz w:val="24"/>
          <w:lang w:val="zh-CN"/>
        </w:rPr>
        <w:t>、对磋商响应文件的初审</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24.1</w:t>
      </w:r>
      <w:r>
        <w:rPr>
          <w:rFonts w:hint="eastAsia" w:ascii="宋体" w:hAnsi="宋体" w:cs="宋体"/>
          <w:color w:val="292929"/>
          <w:sz w:val="24"/>
          <w:lang w:val="zh-CN"/>
        </w:rPr>
        <w:t>磋商小组将审查磋商响应文件是否完整，有无计算上的错误，文件签署是否合格，磋商响应文件是否大体编排有序，且基本符合磋商文件要求。</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24.2在详细评定之前，磋商小组将首先审查每份磋商响应文件是否实质性响应了磋商文件的要求。实质性响应的磋商响应文件应该是与磋商文件要求的全部条款、条件和规格相符，没有重大偏离或保留。所谓重大偏离或保留是指影响到磋商文件规定的质保期、付款方式、供货期、供货范围、质量和功能等，或者在实质上与磋商文件不一致，而且限制了合同中采购人的权利或磋商供应商的义务，纠正这些偏离或保留将会对其他实质性响应要求的磋商供应商的竞争地位产生不公正的影响。重大偏离的认定需经过磋商小组三分之二以上认定。磋商小组决定磋商文件的响应性只根据磋商响应文件本身的内容，而不寻求外部证据。</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24.3</w:t>
      </w:r>
      <w:r>
        <w:rPr>
          <w:rFonts w:hint="eastAsia" w:ascii="宋体" w:hAnsi="宋体" w:cs="宋体"/>
          <w:color w:val="292929"/>
          <w:sz w:val="24"/>
          <w:lang w:val="zh-CN"/>
        </w:rPr>
        <w:t>如果磋商响应文件实质上没有响应本磋商文件的要求，磋商小组将予以拒绝，磋商供应商不得通过修改或撤销不合要求的偏离或保留而使其成为实质性的响应文件。</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rPr>
        <w:t>24.4</w:t>
      </w:r>
      <w:r>
        <w:rPr>
          <w:rFonts w:hint="eastAsia" w:ascii="宋体" w:hAnsi="宋体" w:cs="宋体"/>
          <w:color w:val="292929"/>
          <w:sz w:val="24"/>
          <w:lang w:val="zh-CN"/>
        </w:rPr>
        <w:t>磋商小组将对确定为实质性响应的磋商文件进行进一步的审核，看其是否有计算上或累加上的算术错误，修正错误的原则如下：</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（1）如果用数字表示的金额和用文字表示的金额不一致时，应以文字表示的金额为准进行修正；</w:t>
      </w:r>
    </w:p>
    <w:p>
      <w:pPr>
        <w:snapToGrid w:val="0"/>
        <w:spacing w:line="460" w:lineRule="exact"/>
        <w:ind w:firstLine="480" w:firstLineChars="200"/>
        <w:rPr>
          <w:rFonts w:ascii="宋体" w:hAnsi="宋体" w:cs="宋体"/>
          <w:color w:val="292929"/>
          <w:sz w:val="24"/>
          <w:lang w:val="zh-CN"/>
        </w:rPr>
      </w:pPr>
      <w:r>
        <w:rPr>
          <w:rFonts w:hint="eastAsia" w:ascii="宋体" w:hAnsi="宋体" w:cs="宋体"/>
          <w:color w:val="292929"/>
          <w:sz w:val="24"/>
          <w:lang w:val="zh-CN"/>
        </w:rPr>
        <w:t>（2）当单价与数量的乘积和总价不一致时，以单价为准进行修正。只有在磋商小组认为单价有明显的小数点错误时，才能以标出的总价为准，并修改单价；</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lang w:val="zh-CN"/>
        </w:rPr>
        <w:t>（3）如果磋商供应商提供的折扣数与按折扣率为基准计算的折扣数不一致时，以折扣率计算为基准进行修正。</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24.5</w:t>
      </w:r>
      <w:r>
        <w:rPr>
          <w:rFonts w:hint="eastAsia" w:ascii="宋体" w:hAnsi="宋体" w:cs="宋体"/>
          <w:color w:val="292929"/>
          <w:sz w:val="24"/>
          <w:lang w:val="zh-CN"/>
        </w:rPr>
        <w:t>磋商小组将按上述修正错误的方法调整磋商响应文件中的磋商报价，调整后的价格应对磋商供应商具有约束力。如果磋商供应商不接受修正后的价格，则其磋商响应文件将被拒绝，作投标无效处理。</w:t>
      </w:r>
    </w:p>
    <w:p>
      <w:pPr>
        <w:snapToGrid w:val="0"/>
        <w:spacing w:line="460" w:lineRule="exact"/>
        <w:ind w:firstLine="480" w:firstLineChars="200"/>
        <w:rPr>
          <w:rFonts w:ascii="宋体" w:hAnsi="宋体" w:cs="宋体"/>
          <w:color w:val="292929"/>
          <w:sz w:val="24"/>
        </w:rPr>
      </w:pPr>
      <w:r>
        <w:rPr>
          <w:rFonts w:hint="eastAsia" w:ascii="宋体" w:hAnsi="宋体" w:cs="宋体"/>
          <w:color w:val="292929"/>
          <w:sz w:val="24"/>
        </w:rPr>
        <w:t>24.6</w:t>
      </w:r>
      <w:r>
        <w:rPr>
          <w:rFonts w:hint="eastAsia" w:ascii="宋体" w:hAnsi="宋体" w:cs="宋体"/>
          <w:color w:val="292929"/>
          <w:sz w:val="24"/>
          <w:lang w:val="zh-CN"/>
        </w:rPr>
        <w:t>磋商小组将允许修正磋商文件中不构成重大偏离的、微小的、非正规的、不一致的或不规则的地方，但这些修改不能影响任何磋商供应商相应的名次排列。</w:t>
      </w:r>
    </w:p>
    <w:p>
      <w:pPr>
        <w:snapToGrid w:val="0"/>
        <w:spacing w:line="460" w:lineRule="exact"/>
        <w:ind w:firstLine="482" w:firstLineChars="200"/>
        <w:rPr>
          <w:rFonts w:ascii="宋体" w:hAnsi="宋体" w:cs="宋体"/>
          <w:b/>
          <w:color w:val="353535"/>
          <w:sz w:val="24"/>
          <w:lang w:val="zh-CN"/>
        </w:rPr>
      </w:pPr>
      <w:r>
        <w:rPr>
          <w:rFonts w:hint="eastAsia" w:ascii="宋体" w:hAnsi="宋体" w:cs="宋体"/>
          <w:b/>
          <w:color w:val="353535"/>
          <w:sz w:val="24"/>
        </w:rPr>
        <w:t>25</w:t>
      </w:r>
      <w:r>
        <w:rPr>
          <w:rFonts w:hint="eastAsia" w:ascii="宋体" w:hAnsi="宋体" w:cs="宋体"/>
          <w:b/>
          <w:color w:val="353535"/>
          <w:sz w:val="24"/>
          <w:lang w:val="zh-CN"/>
        </w:rPr>
        <w:t>、磋商过程及磋商响应文件的澄清</w:t>
      </w:r>
    </w:p>
    <w:p>
      <w:pPr>
        <w:snapToGrid w:val="0"/>
        <w:spacing w:line="460" w:lineRule="exact"/>
        <w:ind w:firstLine="480" w:firstLineChars="200"/>
        <w:rPr>
          <w:rFonts w:ascii="宋体" w:hAnsi="宋体" w:cs="宋体"/>
          <w:bCs/>
          <w:color w:val="353535"/>
          <w:sz w:val="24"/>
        </w:rPr>
      </w:pPr>
      <w:r>
        <w:rPr>
          <w:rFonts w:hint="eastAsia" w:ascii="宋体" w:hAnsi="宋体" w:cs="宋体"/>
          <w:color w:val="353535"/>
          <w:sz w:val="24"/>
        </w:rPr>
        <w:t>25.1</w:t>
      </w:r>
      <w:r>
        <w:rPr>
          <w:rFonts w:hint="eastAsia" w:ascii="宋体" w:hAnsi="宋体" w:cs="宋体"/>
          <w:bCs/>
          <w:color w:val="353535"/>
          <w:sz w:val="24"/>
        </w:rPr>
        <w:t>本次磋商按公平、公正、效益的原则分四个阶段进行，第一阶段为开标阶段，第二阶段为资信技术评审阶段，第三阶段为商务报价阶段，第四阶段为决标阶段。</w:t>
      </w:r>
    </w:p>
    <w:p>
      <w:pPr>
        <w:snapToGrid w:val="0"/>
        <w:spacing w:line="460" w:lineRule="exact"/>
        <w:ind w:firstLine="482" w:firstLineChars="200"/>
        <w:rPr>
          <w:rFonts w:ascii="宋体" w:hAnsi="宋体" w:cs="宋体"/>
          <w:bCs/>
          <w:color w:val="353535"/>
          <w:sz w:val="24"/>
        </w:rPr>
      </w:pPr>
      <w:r>
        <w:rPr>
          <w:rFonts w:hint="eastAsia" w:ascii="宋体" w:hAnsi="宋体" w:cs="宋体"/>
          <w:b/>
          <w:color w:val="353535"/>
          <w:sz w:val="24"/>
        </w:rPr>
        <w:t>25.1.1开标阶段：</w:t>
      </w:r>
      <w:r>
        <w:rPr>
          <w:rFonts w:hint="eastAsia" w:ascii="宋体" w:hAnsi="宋体" w:cs="宋体"/>
          <w:bCs/>
          <w:color w:val="353535"/>
          <w:sz w:val="24"/>
        </w:rPr>
        <w:t>由公证人员或磋商组织人员启封磋商响应文件。</w:t>
      </w:r>
    </w:p>
    <w:p>
      <w:pPr>
        <w:snapToGrid w:val="0"/>
        <w:spacing w:line="460" w:lineRule="exact"/>
        <w:ind w:firstLine="482" w:firstLineChars="200"/>
        <w:rPr>
          <w:rFonts w:ascii="宋体" w:hAnsi="宋体" w:cs="宋体"/>
          <w:b/>
          <w:color w:val="FF0000"/>
          <w:sz w:val="24"/>
        </w:rPr>
      </w:pPr>
      <w:r>
        <w:rPr>
          <w:rFonts w:hint="eastAsia" w:ascii="宋体" w:hAnsi="宋体" w:cs="宋体"/>
          <w:b/>
          <w:color w:val="353535"/>
          <w:sz w:val="24"/>
        </w:rPr>
        <w:t>资信技术评审阶段：</w:t>
      </w:r>
      <w:r>
        <w:rPr>
          <w:rFonts w:hint="eastAsia" w:ascii="宋体" w:hAnsi="宋体" w:cs="宋体"/>
          <w:bCs/>
          <w:color w:val="353535"/>
          <w:sz w:val="24"/>
        </w:rPr>
        <w:t>磋商小组将对磋商响应文件进行详细审查、评议，并与认为需要澄清的磋商供应商进行澄清，主要就货物性能质量、价格、供货及售后服务等磋商小组认为与本次采购有关的因素与磋商供应商逐一进行磋商。开标、审标、询标情况为基本依据，对有效的磋商响应文件及其磋商供应商按评标内容进行分析、评议。▲凡不符合有关规定、不实质响应磋商文件要求的或经磋商小组认定有重大偏离的磋商供应商将被拒绝进入第三阶段即商务报价阶段。在磋商过程中如发现有异常情况，由磋商小组集体讨论决定。评分细则见第七章评标办法。</w:t>
      </w:r>
    </w:p>
    <w:p>
      <w:pPr>
        <w:snapToGrid w:val="0"/>
        <w:spacing w:line="460" w:lineRule="exact"/>
        <w:ind w:firstLine="482" w:firstLineChars="200"/>
        <w:rPr>
          <w:rFonts w:ascii="宋体" w:hAnsi="宋体" w:cs="宋体"/>
          <w:bCs/>
          <w:color w:val="353535"/>
          <w:sz w:val="24"/>
        </w:rPr>
      </w:pPr>
      <w:r>
        <w:rPr>
          <w:rFonts w:hint="eastAsia" w:ascii="宋体" w:hAnsi="宋体" w:cs="宋体"/>
          <w:b/>
          <w:color w:val="353535"/>
          <w:sz w:val="24"/>
        </w:rPr>
        <w:t>商务报价阶段</w:t>
      </w:r>
      <w:r>
        <w:rPr>
          <w:rFonts w:hint="eastAsia" w:ascii="宋体" w:hAnsi="宋体" w:cs="宋体"/>
          <w:bCs/>
          <w:color w:val="353535"/>
          <w:sz w:val="24"/>
        </w:rPr>
        <w:t>：磋商小组和通过技术评审阶段的磋商响应供应商进行1－3轮报价磋商，就磋商达成的最终条款进行书面承诺并进行最后一轮报价（磋商小组也有权要求通过技术评审的供应商直接进行最终报价），要求所有磋商供应商在规定的时间内，在统一地点，填写统一格式的最终商务报价表，磋商供应商的最终报价及磋商书面承诺文件将被视为确定成交的最终依据。</w:t>
      </w:r>
      <w:r>
        <w:rPr>
          <w:rFonts w:hint="eastAsia" w:ascii="宋体" w:hAnsi="宋体" w:cs="宋体"/>
          <w:bCs/>
          <w:color w:val="353535"/>
          <w:sz w:val="24"/>
          <w:lang w:val="zh-CN"/>
        </w:rPr>
        <w:t>在磋商文件无实质性变动的情况下，供应商后一次报价均不得超过前一次报价，否则视为无效报价。</w:t>
      </w:r>
    </w:p>
    <w:p>
      <w:pPr>
        <w:snapToGrid w:val="0"/>
        <w:spacing w:line="460" w:lineRule="exact"/>
        <w:ind w:firstLine="482" w:firstLineChars="200"/>
        <w:rPr>
          <w:rFonts w:ascii="宋体" w:hAnsi="宋体" w:cs="宋体"/>
          <w:bCs/>
          <w:color w:val="353535"/>
          <w:sz w:val="24"/>
        </w:rPr>
      </w:pPr>
      <w:r>
        <w:rPr>
          <w:rFonts w:hint="eastAsia" w:ascii="宋体" w:hAnsi="宋体" w:cs="宋体"/>
          <w:b/>
          <w:sz w:val="24"/>
        </w:rPr>
        <w:t>决标阶段：</w:t>
      </w:r>
      <w:r>
        <w:rPr>
          <w:rFonts w:hint="eastAsia" w:ascii="宋体" w:hAnsi="宋体" w:cs="宋体"/>
          <w:bCs/>
          <w:color w:val="353535"/>
          <w:sz w:val="24"/>
        </w:rPr>
        <w:t>根据供应商最终报价计算报价得分，并计算最终综合得分。</w:t>
      </w:r>
    </w:p>
    <w:p>
      <w:pPr>
        <w:snapToGrid w:val="0"/>
        <w:spacing w:line="460" w:lineRule="exact"/>
        <w:ind w:firstLine="480" w:firstLineChars="200"/>
        <w:rPr>
          <w:rFonts w:ascii="宋体" w:hAnsi="宋体" w:cs="宋体"/>
          <w:bCs/>
          <w:color w:val="353535"/>
          <w:sz w:val="24"/>
        </w:rPr>
      </w:pPr>
      <w:r>
        <w:rPr>
          <w:rFonts w:hint="eastAsia" w:ascii="宋体" w:hAnsi="宋体" w:cs="宋体"/>
          <w:bCs/>
          <w:color w:val="353535"/>
          <w:sz w:val="24"/>
        </w:rPr>
        <w:t>25.2接到磋商小组澄清要求的磋商供应商应派人按磋商小组通知的时间和地点做出书面承诺，书面承诺的内容须由磋商供应商法定代表人或授权代表签署，并作为磋商响应文件的补充部分。</w:t>
      </w:r>
    </w:p>
    <w:p>
      <w:pPr>
        <w:snapToGrid w:val="0"/>
        <w:spacing w:line="460" w:lineRule="exact"/>
        <w:ind w:firstLine="480" w:firstLineChars="200"/>
        <w:rPr>
          <w:rFonts w:ascii="宋体" w:hAnsi="宋体" w:cs="宋体"/>
          <w:bCs/>
          <w:color w:val="353535"/>
          <w:sz w:val="24"/>
        </w:rPr>
      </w:pPr>
      <w:r>
        <w:rPr>
          <w:rFonts w:hint="eastAsia" w:ascii="宋体" w:hAnsi="宋体" w:cs="宋体"/>
          <w:bCs/>
          <w:color w:val="353535"/>
          <w:sz w:val="24"/>
        </w:rPr>
        <w:t>25.3接到磋商小组澄清要求的磋商供应商如未按第24.2条的规定做出澄清，其风险由磋商供应商自行承担。</w:t>
      </w:r>
    </w:p>
    <w:p>
      <w:pPr>
        <w:snapToGrid w:val="0"/>
        <w:spacing w:line="460" w:lineRule="exact"/>
        <w:ind w:firstLine="482" w:firstLineChars="200"/>
        <w:rPr>
          <w:rFonts w:ascii="宋体" w:hAnsi="宋体" w:cs="宋体"/>
          <w:b/>
          <w:bCs/>
          <w:color w:val="353535"/>
          <w:sz w:val="24"/>
        </w:rPr>
      </w:pPr>
      <w:r>
        <w:rPr>
          <w:rFonts w:hint="eastAsia" w:ascii="宋体" w:hAnsi="宋体" w:cs="宋体"/>
          <w:b/>
          <w:bCs/>
          <w:color w:val="353535"/>
          <w:sz w:val="24"/>
        </w:rPr>
        <w:t xml:space="preserve">26磋商响应文件的评价和比较 </w:t>
      </w:r>
    </w:p>
    <w:p>
      <w:pPr>
        <w:snapToGrid w:val="0"/>
        <w:spacing w:line="460" w:lineRule="exact"/>
        <w:ind w:firstLine="480" w:firstLineChars="200"/>
        <w:rPr>
          <w:rFonts w:ascii="宋体" w:hAnsi="宋体" w:cs="宋体"/>
          <w:color w:val="353535"/>
          <w:sz w:val="24"/>
        </w:rPr>
      </w:pPr>
      <w:r>
        <w:rPr>
          <w:rFonts w:hint="eastAsia" w:ascii="宋体" w:hAnsi="宋体" w:cs="宋体"/>
          <w:bCs/>
          <w:color w:val="353535"/>
          <w:sz w:val="24"/>
        </w:rPr>
        <w:t>26.1</w:t>
      </w:r>
      <w:r>
        <w:rPr>
          <w:rFonts w:hint="eastAsia" w:ascii="宋体" w:hAnsi="宋体" w:cs="宋体"/>
          <w:color w:val="353535"/>
          <w:sz w:val="24"/>
        </w:rPr>
        <w:t>评定原则：根据符合采购需求、质量和服务等要求，根据评标办法综合评分确定二名成交候选人。评标办法见第七章评分细则。</w:t>
      </w:r>
    </w:p>
    <w:p>
      <w:pPr>
        <w:snapToGrid w:val="0"/>
        <w:spacing w:line="460" w:lineRule="exact"/>
        <w:ind w:firstLine="480" w:firstLineChars="200"/>
        <w:rPr>
          <w:rFonts w:ascii="宋体" w:hAnsi="宋体" w:cs="宋体"/>
          <w:color w:val="353535"/>
          <w:sz w:val="24"/>
        </w:rPr>
      </w:pPr>
      <w:r>
        <w:rPr>
          <w:rFonts w:hint="eastAsia" w:ascii="宋体" w:hAnsi="宋体" w:cs="宋体"/>
          <w:bCs/>
          <w:color w:val="353535"/>
          <w:sz w:val="24"/>
        </w:rPr>
        <w:t>26.2</w:t>
      </w:r>
      <w:r>
        <w:rPr>
          <w:rFonts w:hint="eastAsia" w:ascii="宋体" w:hAnsi="宋体" w:cs="宋体"/>
          <w:color w:val="353535"/>
          <w:sz w:val="24"/>
        </w:rPr>
        <w:t>磋商小组应当根据综合评分情况，评审得分由高到低顺序推荐2名成交供应商。评审得分相同的，按照最后报价由低到高的顺序推荐。评审得分且最后报价相同的，按照技术指标优劣顺序推荐。</w:t>
      </w:r>
    </w:p>
    <w:p>
      <w:pPr>
        <w:snapToGrid w:val="0"/>
        <w:spacing w:line="460" w:lineRule="exact"/>
        <w:ind w:firstLine="480" w:firstLineChars="200"/>
        <w:rPr>
          <w:rFonts w:ascii="宋体" w:hAnsi="宋体" w:cs="宋体"/>
          <w:color w:val="353535"/>
          <w:sz w:val="24"/>
          <w:lang w:val="zh-CN"/>
        </w:rPr>
      </w:pPr>
      <w:r>
        <w:rPr>
          <w:rFonts w:hint="eastAsia" w:ascii="宋体" w:hAnsi="宋体" w:cs="宋体"/>
          <w:bCs/>
          <w:color w:val="353535"/>
          <w:sz w:val="24"/>
        </w:rPr>
        <w:t>26.3</w:t>
      </w:r>
      <w:r>
        <w:rPr>
          <w:rFonts w:hint="eastAsia" w:ascii="宋体" w:hAnsi="宋体" w:cs="宋体"/>
          <w:color w:val="353535"/>
          <w:sz w:val="24"/>
          <w:lang w:val="zh-CN"/>
        </w:rPr>
        <w:t>组织方不向落标方解释未成交原因，同时不退还磋商响应文件。</w:t>
      </w:r>
    </w:p>
    <w:p>
      <w:pPr>
        <w:snapToGrid w:val="0"/>
        <w:spacing w:beforeLines="50" w:afterLines="50" w:line="460" w:lineRule="exact"/>
        <w:ind w:firstLine="482" w:firstLineChars="200"/>
        <w:rPr>
          <w:rFonts w:ascii="宋体" w:hAnsi="宋体" w:cs="宋体"/>
          <w:sz w:val="24"/>
        </w:rPr>
      </w:pPr>
      <w:r>
        <w:rPr>
          <w:rFonts w:hint="eastAsia" w:ascii="宋体" w:hAnsi="宋体" w:cs="宋体"/>
          <w:b/>
          <w:bCs/>
          <w:sz w:val="24"/>
        </w:rPr>
        <w:t>27.保密</w:t>
      </w:r>
    </w:p>
    <w:p>
      <w:pPr>
        <w:snapToGrid w:val="0"/>
        <w:spacing w:beforeLines="50" w:afterLines="50" w:line="460" w:lineRule="exact"/>
        <w:ind w:firstLine="480" w:firstLineChars="200"/>
        <w:rPr>
          <w:rFonts w:ascii="宋体" w:hAnsi="宋体" w:cs="宋体"/>
          <w:sz w:val="24"/>
        </w:rPr>
      </w:pPr>
      <w:r>
        <w:rPr>
          <w:rFonts w:hint="eastAsia" w:ascii="宋体" w:hAnsi="宋体" w:cs="宋体"/>
          <w:color w:val="000000"/>
          <w:sz w:val="24"/>
        </w:rPr>
        <w:t>27.1公开开标后直到宣布授予成交人合同为止,凡属于审查、澄清、评估和比较磋商响应的有关</w:t>
      </w:r>
      <w:r>
        <w:rPr>
          <w:rFonts w:hint="eastAsia" w:ascii="宋体" w:hAnsi="宋体" w:cs="宋体"/>
          <w:bCs/>
          <w:sz w:val="24"/>
        </w:rPr>
        <w:t>资料且与授予合同有关的信息都不得向任何磋商响应单位或与上述评标过程无关的人员透露。</w:t>
      </w:r>
    </w:p>
    <w:p>
      <w:pPr>
        <w:snapToGrid w:val="0"/>
        <w:spacing w:beforeLines="50" w:afterLines="50" w:line="460" w:lineRule="exact"/>
        <w:ind w:firstLine="480" w:firstLineChars="200"/>
        <w:rPr>
          <w:lang w:val="zh-CN"/>
        </w:rPr>
      </w:pPr>
      <w:r>
        <w:rPr>
          <w:rFonts w:hint="eastAsia" w:ascii="宋体" w:hAnsi="宋体" w:cs="宋体"/>
          <w:color w:val="000000"/>
          <w:sz w:val="24"/>
        </w:rPr>
        <w:t>27.2磋商响应单位</w:t>
      </w:r>
      <w:r>
        <w:rPr>
          <w:rFonts w:hint="eastAsia" w:ascii="宋体" w:hAnsi="宋体" w:cs="宋体"/>
          <w:sz w:val="24"/>
        </w:rPr>
        <w:t>对评标、比较或授予合同决定的过程施加影响的企图和行为,都可能导致其磋商响应被拒绝。</w:t>
      </w:r>
    </w:p>
    <w:p>
      <w:pPr>
        <w:numPr>
          <w:ilvl w:val="0"/>
          <w:numId w:val="16"/>
        </w:numPr>
        <w:snapToGrid w:val="0"/>
        <w:spacing w:line="460" w:lineRule="exact"/>
        <w:jc w:val="center"/>
        <w:outlineLvl w:val="1"/>
        <w:rPr>
          <w:rFonts w:ascii="宋体" w:hAnsi="宋体" w:cs="宋体"/>
          <w:b/>
          <w:color w:val="353535"/>
          <w:sz w:val="28"/>
          <w:szCs w:val="28"/>
          <w:lang w:val="zh-CN"/>
        </w:rPr>
      </w:pPr>
      <w:r>
        <w:rPr>
          <w:rFonts w:hint="eastAsia" w:ascii="宋体" w:hAnsi="宋体" w:cs="宋体"/>
          <w:b/>
          <w:color w:val="353535"/>
          <w:sz w:val="28"/>
          <w:szCs w:val="28"/>
          <w:lang w:val="zh-CN"/>
        </w:rPr>
        <w:t>授予合同</w:t>
      </w:r>
    </w:p>
    <w:p>
      <w:pPr>
        <w:pStyle w:val="24"/>
      </w:pPr>
    </w:p>
    <w:p>
      <w:pPr>
        <w:snapToGrid w:val="0"/>
        <w:spacing w:line="460" w:lineRule="exact"/>
        <w:ind w:firstLine="482" w:firstLineChars="200"/>
        <w:rPr>
          <w:rFonts w:ascii="宋体" w:hAnsi="宋体" w:cs="宋体"/>
          <w:b/>
          <w:color w:val="353535"/>
          <w:sz w:val="24"/>
        </w:rPr>
      </w:pPr>
      <w:r>
        <w:rPr>
          <w:rFonts w:hint="eastAsia" w:ascii="宋体" w:hAnsi="宋体" w:cs="宋体"/>
          <w:b/>
          <w:color w:val="353535"/>
          <w:sz w:val="24"/>
        </w:rPr>
        <w:t>28</w:t>
      </w:r>
      <w:r>
        <w:rPr>
          <w:rFonts w:hint="eastAsia" w:ascii="宋体" w:hAnsi="宋体" w:cs="宋体"/>
          <w:b/>
          <w:color w:val="353535"/>
          <w:sz w:val="24"/>
          <w:lang w:val="zh-CN"/>
        </w:rPr>
        <w:t>、合同授予标准</w:t>
      </w:r>
    </w:p>
    <w:p>
      <w:pPr>
        <w:spacing w:line="460" w:lineRule="exact"/>
        <w:ind w:firstLine="480" w:firstLineChars="200"/>
        <w:rPr>
          <w:rFonts w:ascii="宋体" w:hAnsi="宋体" w:cs="宋体"/>
          <w:color w:val="353535"/>
          <w:sz w:val="24"/>
          <w:lang w:val="zh-CN"/>
        </w:rPr>
      </w:pPr>
      <w:r>
        <w:rPr>
          <w:rFonts w:hint="eastAsia" w:ascii="宋体" w:hAnsi="宋体" w:cs="宋体"/>
          <w:color w:val="353535"/>
          <w:sz w:val="24"/>
        </w:rPr>
        <w:t>28.1</w:t>
      </w:r>
      <w:r>
        <w:rPr>
          <w:rFonts w:hint="eastAsia" w:ascii="宋体" w:hAnsi="宋体" w:cs="宋体"/>
          <w:color w:val="353535"/>
          <w:sz w:val="24"/>
          <w:lang w:val="zh-CN"/>
        </w:rPr>
        <w:t>根据《浙江省政府采购供应商注册登记及诚信管理暂行办法》第四条和第三十五条之规定，成交方必须申请注册加入“浙江省政府采购供应商库”。磋商响应方被确定为成交候选供应商的，应及时按规定进行注册申请，否则，</w:t>
      </w:r>
      <w:r>
        <w:rPr>
          <w:rFonts w:hint="eastAsia" w:ascii="宋体" w:hAnsi="宋体" w:cs="宋体"/>
          <w:color w:val="000000"/>
          <w:sz w:val="24"/>
        </w:rPr>
        <w:t>磋商组织人</w:t>
      </w:r>
      <w:r>
        <w:rPr>
          <w:rFonts w:hint="eastAsia" w:ascii="宋体" w:hAnsi="宋体" w:cs="宋体"/>
          <w:color w:val="353535"/>
          <w:sz w:val="24"/>
          <w:lang w:val="zh-CN"/>
        </w:rPr>
        <w:t>有权取消其成交候选资格，</w:t>
      </w:r>
      <w:r>
        <w:rPr>
          <w:rFonts w:hint="eastAsia" w:ascii="宋体" w:hAnsi="宋体" w:cs="宋体"/>
          <w:color w:val="000000"/>
          <w:sz w:val="24"/>
        </w:rPr>
        <w:t>并可以直接推荐排名次之的磋商响应方为成交单位，或者重新组织采购</w:t>
      </w:r>
      <w:r>
        <w:rPr>
          <w:rFonts w:hint="eastAsia" w:ascii="宋体" w:hAnsi="宋体" w:cs="宋体"/>
          <w:color w:val="353535"/>
          <w:sz w:val="24"/>
          <w:lang w:val="zh-CN"/>
        </w:rPr>
        <w:t>。</w:t>
      </w:r>
    </w:p>
    <w:p>
      <w:pPr>
        <w:snapToGrid w:val="0"/>
        <w:spacing w:beforeLines="50" w:afterLines="50" w:line="460" w:lineRule="exact"/>
        <w:ind w:firstLine="480" w:firstLineChars="200"/>
        <w:rPr>
          <w:rFonts w:ascii="宋体" w:hAnsi="宋体" w:cs="宋体"/>
          <w:color w:val="000000"/>
          <w:sz w:val="24"/>
        </w:rPr>
      </w:pPr>
      <w:r>
        <w:rPr>
          <w:rFonts w:hint="eastAsia" w:ascii="宋体" w:hAnsi="宋体" w:cs="宋体"/>
          <w:color w:val="353535"/>
          <w:sz w:val="24"/>
        </w:rPr>
        <w:t>28.2</w:t>
      </w:r>
      <w:r>
        <w:rPr>
          <w:rFonts w:hint="eastAsia" w:ascii="宋体" w:hAnsi="宋体" w:cs="宋体"/>
          <w:color w:val="000000"/>
          <w:sz w:val="24"/>
        </w:rPr>
        <w:t>评定结果经采购人确定成交供应商，龙游博洽投资咨询有限公司将以书面形式发出《成交通知书》。《成交通知书》一经发出即发生法律效力。采购人及磋商组织人无义务向未成交供应商解释落选原因，不退回磋商响应文件。《成交通知书》将作为签订合同的依据。若有异议且成立，采购人可以按照评审报告推荐的成交候选人名单排序，确定下一候选人为成交供应商，也可以重新开展政府采购活动。如有结果有变动，原发出的中标通知书将无条件收回。</w:t>
      </w:r>
    </w:p>
    <w:p>
      <w:pPr>
        <w:snapToGrid w:val="0"/>
        <w:spacing w:line="460" w:lineRule="exact"/>
        <w:ind w:firstLine="480" w:firstLineChars="200"/>
        <w:rPr>
          <w:rFonts w:ascii="宋体" w:hAnsi="宋体" w:cs="宋体"/>
          <w:color w:val="353535"/>
          <w:sz w:val="24"/>
          <w:lang w:val="zh-CN"/>
        </w:rPr>
      </w:pPr>
      <w:r>
        <w:rPr>
          <w:rFonts w:hint="eastAsia" w:ascii="宋体" w:hAnsi="宋体" w:cs="宋体"/>
          <w:color w:val="353535"/>
          <w:sz w:val="24"/>
        </w:rPr>
        <w:t>28.3</w:t>
      </w:r>
      <w:r>
        <w:rPr>
          <w:rFonts w:hint="eastAsia" w:ascii="宋体" w:hAnsi="宋体" w:cs="宋体"/>
          <w:color w:val="353535"/>
          <w:sz w:val="24"/>
          <w:lang w:val="zh-CN"/>
        </w:rPr>
        <w:t>在成交确认书发出后七日内，成交人应在缴纳履约保证金后按成交通知书指定的时间、地点与采购人签订合同。磋商文件、成交人的磋商响应文件及澄清文件等，均为签订合同的依据。</w:t>
      </w:r>
    </w:p>
    <w:p>
      <w:pPr>
        <w:snapToGrid w:val="0"/>
        <w:spacing w:beforeLines="50" w:afterLines="50" w:line="460" w:lineRule="exact"/>
        <w:ind w:firstLine="480" w:firstLineChars="200"/>
        <w:rPr>
          <w:rFonts w:ascii="宋体" w:hAnsi="宋体" w:cs="宋体"/>
          <w:color w:val="000000"/>
          <w:sz w:val="24"/>
        </w:rPr>
      </w:pPr>
      <w:r>
        <w:rPr>
          <w:rFonts w:hint="eastAsia" w:ascii="宋体" w:hAnsi="宋体" w:cs="宋体"/>
          <w:color w:val="000000"/>
          <w:sz w:val="24"/>
        </w:rPr>
        <w:t>28.4成交人不遵守磋商响应文件的要约、承诺，擅自修改磋商响应文件的内容或在接到成交通知书规定的时间内，借故拖延、拒签合同者，依法追究法律责任，同时，采购人将取消该供应商的成交资格。</w:t>
      </w:r>
    </w:p>
    <w:p>
      <w:pPr>
        <w:snapToGrid w:val="0"/>
        <w:spacing w:line="460" w:lineRule="exact"/>
        <w:ind w:firstLine="480" w:firstLineChars="200"/>
        <w:rPr>
          <w:rFonts w:ascii="宋体" w:hAnsi="宋体" w:cs="宋体"/>
          <w:color w:val="353535"/>
          <w:sz w:val="24"/>
          <w:lang w:val="zh-CN"/>
        </w:rPr>
      </w:pPr>
      <w:r>
        <w:rPr>
          <w:rFonts w:hint="eastAsia" w:ascii="宋体" w:hAnsi="宋体" w:cs="宋体"/>
          <w:color w:val="353535"/>
          <w:sz w:val="24"/>
        </w:rPr>
        <w:t>28.5</w:t>
      </w:r>
      <w:r>
        <w:rPr>
          <w:rFonts w:hint="eastAsia" w:ascii="宋体" w:hAnsi="宋体" w:cs="宋体"/>
          <w:color w:val="353535"/>
          <w:sz w:val="24"/>
          <w:lang w:val="zh-CN"/>
        </w:rPr>
        <w:t>采购人与成交人签署合同协议，龙游</w:t>
      </w:r>
      <w:r>
        <w:rPr>
          <w:rFonts w:hint="eastAsia" w:ascii="宋体" w:hAnsi="宋体" w:cs="宋体"/>
          <w:color w:val="353535"/>
          <w:sz w:val="24"/>
        </w:rPr>
        <w:t>博洽投资咨询有限公司</w:t>
      </w:r>
      <w:r>
        <w:rPr>
          <w:rFonts w:hint="eastAsia" w:ascii="宋体" w:hAnsi="宋体" w:cs="宋体"/>
          <w:color w:val="353535"/>
          <w:sz w:val="24"/>
          <w:lang w:val="zh-CN"/>
        </w:rPr>
        <w:t>作为鉴证方共同签订（合同上请标明采购编号）。合同一式</w:t>
      </w:r>
      <w:r>
        <w:rPr>
          <w:rFonts w:hint="eastAsia" w:ascii="宋体" w:hAnsi="宋体" w:cs="宋体"/>
          <w:color w:val="353535"/>
          <w:sz w:val="24"/>
        </w:rPr>
        <w:t>六</w:t>
      </w:r>
      <w:r>
        <w:rPr>
          <w:rFonts w:hint="eastAsia" w:ascii="宋体" w:hAnsi="宋体" w:cs="宋体"/>
          <w:color w:val="353535"/>
          <w:sz w:val="24"/>
          <w:lang w:val="zh-CN"/>
        </w:rPr>
        <w:t>份，采购人、成交人</w:t>
      </w:r>
      <w:r>
        <w:rPr>
          <w:rFonts w:hint="eastAsia" w:ascii="宋体" w:hAnsi="宋体" w:cs="宋体"/>
          <w:color w:val="353535"/>
          <w:sz w:val="24"/>
        </w:rPr>
        <w:t>各二</w:t>
      </w:r>
      <w:r>
        <w:rPr>
          <w:rFonts w:hint="eastAsia" w:ascii="宋体" w:hAnsi="宋体" w:cs="宋体"/>
          <w:color w:val="353535"/>
          <w:sz w:val="24"/>
          <w:lang w:val="zh-CN"/>
        </w:rPr>
        <w:t>份，龙游县</w:t>
      </w:r>
      <w:r>
        <w:rPr>
          <w:rFonts w:hint="eastAsia" w:ascii="宋体" w:hAnsi="宋体" w:cs="宋体"/>
          <w:color w:val="353535"/>
          <w:sz w:val="24"/>
        </w:rPr>
        <w:t>国资办、龙游博洽投资咨询有限公司</w:t>
      </w:r>
      <w:r>
        <w:rPr>
          <w:rFonts w:hint="eastAsia" w:ascii="宋体" w:hAnsi="宋体" w:cs="宋体"/>
          <w:color w:val="353535"/>
          <w:sz w:val="24"/>
          <w:lang w:val="zh-CN"/>
        </w:rPr>
        <w:t>各留存一份。</w:t>
      </w:r>
    </w:p>
    <w:p>
      <w:pPr>
        <w:snapToGrid w:val="0"/>
        <w:spacing w:line="460" w:lineRule="exact"/>
        <w:ind w:firstLine="482" w:firstLineChars="200"/>
        <w:rPr>
          <w:rFonts w:ascii="宋体" w:hAnsi="宋体" w:cs="宋体"/>
          <w:b/>
          <w:color w:val="353535"/>
          <w:sz w:val="24"/>
        </w:rPr>
      </w:pPr>
      <w:r>
        <w:rPr>
          <w:rFonts w:hint="eastAsia" w:ascii="宋体" w:hAnsi="宋体" w:cs="宋体"/>
          <w:b/>
          <w:color w:val="353535"/>
          <w:sz w:val="24"/>
        </w:rPr>
        <w:t>29</w:t>
      </w:r>
      <w:r>
        <w:rPr>
          <w:rFonts w:hint="eastAsia" w:ascii="宋体" w:hAnsi="宋体" w:cs="宋体"/>
          <w:b/>
          <w:color w:val="353535"/>
          <w:sz w:val="24"/>
          <w:lang w:val="zh-CN"/>
        </w:rPr>
        <w:t>、磋商组织人接受和拒绝任何或所有响应的权利</w:t>
      </w:r>
    </w:p>
    <w:p>
      <w:pPr>
        <w:snapToGrid w:val="0"/>
        <w:spacing w:line="460" w:lineRule="exact"/>
        <w:ind w:firstLine="480" w:firstLineChars="200"/>
        <w:rPr>
          <w:rFonts w:ascii="宋体" w:hAnsi="宋体" w:cs="宋体"/>
          <w:color w:val="353535"/>
          <w:sz w:val="24"/>
          <w:lang w:val="zh-CN"/>
        </w:rPr>
      </w:pPr>
      <w:r>
        <w:rPr>
          <w:rFonts w:hint="eastAsia" w:ascii="宋体" w:hAnsi="宋体" w:cs="宋体"/>
          <w:color w:val="353535"/>
          <w:sz w:val="24"/>
          <w:lang w:val="zh-CN"/>
        </w:rPr>
        <w:t>磋商组织人保留在授标之前任何时候接受或拒绝任何磋商响应，宣布磋商程序无效或拒绝所有磋商响应的权力，对受影响的磋商供应商不承担任何责任，但将向受影响的磋商供应商解释采取这一行动的理由。</w:t>
      </w:r>
    </w:p>
    <w:p>
      <w:pPr>
        <w:snapToGrid w:val="0"/>
        <w:spacing w:line="460" w:lineRule="exact"/>
        <w:ind w:firstLine="482" w:firstLineChars="200"/>
        <w:rPr>
          <w:rFonts w:ascii="宋体" w:hAnsi="宋体" w:cs="宋体"/>
          <w:b/>
          <w:color w:val="353535"/>
          <w:sz w:val="24"/>
          <w:lang w:val="zh-CN"/>
        </w:rPr>
      </w:pPr>
      <w:r>
        <w:rPr>
          <w:rFonts w:hint="eastAsia" w:ascii="宋体" w:hAnsi="宋体" w:cs="宋体"/>
          <w:b/>
          <w:color w:val="353535"/>
          <w:sz w:val="24"/>
        </w:rPr>
        <w:t>30</w:t>
      </w:r>
      <w:r>
        <w:rPr>
          <w:rFonts w:hint="eastAsia" w:ascii="宋体" w:hAnsi="宋体" w:cs="宋体"/>
          <w:b/>
          <w:color w:val="353535"/>
          <w:sz w:val="24"/>
          <w:lang w:val="zh-CN"/>
        </w:rPr>
        <w:t>、采购人变更采购货物数量的权利</w:t>
      </w:r>
    </w:p>
    <w:p>
      <w:pPr>
        <w:snapToGrid w:val="0"/>
        <w:spacing w:line="460" w:lineRule="exact"/>
        <w:ind w:firstLine="480" w:firstLineChars="200"/>
        <w:rPr>
          <w:rFonts w:ascii="宋体" w:hAnsi="宋体" w:cs="宋体"/>
          <w:color w:val="353535"/>
          <w:sz w:val="24"/>
          <w:lang w:val="zh-CN"/>
        </w:rPr>
      </w:pPr>
      <w:r>
        <w:rPr>
          <w:rFonts w:hint="eastAsia" w:ascii="宋体" w:hAnsi="宋体" w:cs="宋体"/>
          <w:color w:val="353535"/>
          <w:sz w:val="24"/>
          <w:lang w:val="zh-CN"/>
        </w:rPr>
        <w:t>政府采购合同履行中，采购人需追加与合同标的相同的货物、工程或者服务的，在不改变合同其他条款的前提下，可以与供应商签订补充合同，但所补充合同的采购金额不得超过原采购金额的10%。</w:t>
      </w:r>
    </w:p>
    <w:p>
      <w:pPr>
        <w:snapToGrid w:val="0"/>
        <w:spacing w:line="460" w:lineRule="exact"/>
        <w:ind w:firstLine="482" w:firstLineChars="200"/>
        <w:rPr>
          <w:rFonts w:ascii="宋体" w:hAnsi="宋体" w:cs="宋体"/>
          <w:b/>
          <w:color w:val="353535"/>
          <w:sz w:val="24"/>
          <w:lang w:val="zh-CN"/>
        </w:rPr>
      </w:pPr>
      <w:r>
        <w:rPr>
          <w:rFonts w:hint="eastAsia" w:ascii="宋体" w:hAnsi="宋体" w:cs="宋体"/>
          <w:b/>
          <w:color w:val="353535"/>
          <w:sz w:val="24"/>
        </w:rPr>
        <w:t>31</w:t>
      </w:r>
      <w:r>
        <w:rPr>
          <w:rFonts w:hint="eastAsia" w:ascii="宋体" w:hAnsi="宋体" w:cs="宋体"/>
          <w:b/>
          <w:color w:val="353535"/>
          <w:sz w:val="24"/>
          <w:lang w:val="zh-CN"/>
        </w:rPr>
        <w:t>、验收</w:t>
      </w:r>
    </w:p>
    <w:p>
      <w:pPr>
        <w:snapToGrid w:val="0"/>
        <w:spacing w:line="460" w:lineRule="exact"/>
        <w:ind w:firstLine="480" w:firstLineChars="200"/>
        <w:rPr>
          <w:rFonts w:ascii="宋体" w:hAnsi="宋体" w:cs="宋体"/>
          <w:b/>
          <w:color w:val="353535"/>
          <w:sz w:val="24"/>
          <w:lang w:val="zh-CN"/>
        </w:rPr>
      </w:pPr>
      <w:r>
        <w:rPr>
          <w:rFonts w:hint="eastAsia" w:ascii="宋体" w:hAnsi="宋体" w:cs="宋体"/>
          <w:color w:val="353535"/>
          <w:sz w:val="24"/>
          <w:lang w:val="zh-CN"/>
        </w:rPr>
        <w:t>成交人供货完毕后，提请采购方验收。</w:t>
      </w:r>
    </w:p>
    <w:p>
      <w:pPr>
        <w:numPr>
          <w:ilvl w:val="0"/>
          <w:numId w:val="16"/>
        </w:numPr>
        <w:snapToGrid w:val="0"/>
        <w:spacing w:line="460" w:lineRule="exact"/>
        <w:jc w:val="center"/>
        <w:outlineLvl w:val="1"/>
        <w:rPr>
          <w:lang w:val="zh-CN"/>
        </w:rPr>
      </w:pPr>
      <w:r>
        <w:rPr>
          <w:rFonts w:hint="eastAsia" w:ascii="宋体" w:hAnsi="宋体" w:cs="宋体"/>
          <w:b/>
          <w:color w:val="353535"/>
          <w:sz w:val="28"/>
          <w:szCs w:val="28"/>
          <w:lang w:val="zh-CN"/>
        </w:rPr>
        <w:t>磋商响应无效条款</w:t>
      </w:r>
    </w:p>
    <w:p>
      <w:pPr>
        <w:snapToGrid w:val="0"/>
        <w:spacing w:line="460" w:lineRule="exact"/>
        <w:ind w:firstLine="482" w:firstLineChars="200"/>
        <w:rPr>
          <w:rFonts w:ascii="宋体" w:hAnsi="宋体" w:cs="宋体"/>
          <w:color w:val="353535"/>
          <w:sz w:val="24"/>
        </w:rPr>
      </w:pPr>
      <w:bookmarkStart w:id="18" w:name="_Toc101321791"/>
      <w:r>
        <w:rPr>
          <w:rFonts w:hint="eastAsia" w:ascii="宋体" w:hAnsi="宋体" w:cs="宋体"/>
          <w:b/>
          <w:color w:val="353535"/>
          <w:sz w:val="24"/>
        </w:rPr>
        <w:t>32、</w:t>
      </w:r>
      <w:r>
        <w:rPr>
          <w:rFonts w:hint="eastAsia" w:ascii="宋体" w:hAnsi="宋体" w:cs="宋体"/>
          <w:color w:val="353535"/>
          <w:sz w:val="24"/>
        </w:rPr>
        <w:t>有下列情况之一者其磋商响应或成交无效：</w:t>
      </w:r>
    </w:p>
    <w:p>
      <w:pPr>
        <w:snapToGrid w:val="0"/>
        <w:spacing w:line="460" w:lineRule="exact"/>
        <w:ind w:firstLine="480" w:firstLineChars="200"/>
        <w:rPr>
          <w:rFonts w:ascii="宋体" w:hAnsi="宋体" w:cs="宋体"/>
          <w:bCs/>
          <w:sz w:val="24"/>
        </w:rPr>
      </w:pPr>
      <w:r>
        <w:rPr>
          <w:rFonts w:hint="eastAsia" w:ascii="宋体" w:hAnsi="宋体" w:cs="宋体"/>
          <w:bCs/>
          <w:sz w:val="24"/>
        </w:rPr>
        <w:t>32.1磋商响应文件逾期送达的；</w:t>
      </w:r>
    </w:p>
    <w:p>
      <w:pPr>
        <w:snapToGrid w:val="0"/>
        <w:spacing w:line="460" w:lineRule="exact"/>
        <w:ind w:firstLine="480" w:firstLineChars="200"/>
      </w:pPr>
      <w:r>
        <w:rPr>
          <w:rFonts w:hint="eastAsia" w:ascii="宋体" w:hAnsi="宋体" w:cs="宋体"/>
          <w:bCs/>
          <w:sz w:val="24"/>
        </w:rPr>
        <w:t>32.2不具备磋商文件规定资格要求；</w:t>
      </w:r>
    </w:p>
    <w:p>
      <w:pPr>
        <w:snapToGrid w:val="0"/>
        <w:spacing w:line="460" w:lineRule="exact"/>
        <w:ind w:firstLine="480" w:firstLineChars="200"/>
        <w:rPr>
          <w:rFonts w:ascii="宋体" w:hAnsi="宋体" w:cs="宋体"/>
          <w:bCs/>
          <w:sz w:val="24"/>
        </w:rPr>
      </w:pPr>
      <w:r>
        <w:rPr>
          <w:rFonts w:hint="eastAsia" w:ascii="宋体" w:hAnsi="宋体" w:cs="宋体"/>
          <w:sz w:val="24"/>
        </w:rPr>
        <w:t>32.3法人代表授权书应签字、盖章而未签盖的，法人代表或被授权人无法提供有效身份证明原件的，和其他未有效授权的;</w:t>
      </w:r>
    </w:p>
    <w:p>
      <w:pPr>
        <w:snapToGrid w:val="0"/>
        <w:spacing w:line="460" w:lineRule="exact"/>
        <w:ind w:firstLine="480" w:firstLineChars="200"/>
        <w:rPr>
          <w:rFonts w:ascii="宋体" w:hAnsi="宋体" w:cs="宋体"/>
          <w:sz w:val="24"/>
        </w:rPr>
      </w:pPr>
      <w:r>
        <w:rPr>
          <w:rFonts w:hint="eastAsia" w:ascii="宋体" w:hAnsi="宋体" w:cs="宋体"/>
          <w:sz w:val="24"/>
        </w:rPr>
        <w:t>32.4</w:t>
      </w:r>
      <w:r>
        <w:rPr>
          <w:rFonts w:hint="eastAsia" w:ascii="宋体" w:hAnsi="宋体" w:cs="宋体"/>
          <w:bCs/>
          <w:sz w:val="24"/>
        </w:rPr>
        <w:t>磋商响应文件</w:t>
      </w:r>
      <w:r>
        <w:rPr>
          <w:rFonts w:hint="eastAsia" w:ascii="宋体" w:hAnsi="宋体" w:cs="宋体"/>
          <w:sz w:val="24"/>
        </w:rPr>
        <w:t>中有▲处条款或▲处参数磋商响应方未作实质性响应的；</w:t>
      </w:r>
      <w:r>
        <w:rPr>
          <w:rFonts w:hint="eastAsia" w:ascii="宋体" w:hAnsi="宋体" w:cs="宋体"/>
          <w:color w:val="353535"/>
          <w:sz w:val="24"/>
        </w:rPr>
        <w:t>磋商小组认定有重大偏离或保留的；</w:t>
      </w:r>
    </w:p>
    <w:p>
      <w:pPr>
        <w:snapToGrid w:val="0"/>
        <w:spacing w:line="460" w:lineRule="exact"/>
        <w:ind w:firstLine="480" w:firstLineChars="200"/>
        <w:rPr>
          <w:rFonts w:ascii="宋体" w:hAnsi="宋体" w:cs="宋体"/>
          <w:sz w:val="24"/>
        </w:rPr>
      </w:pPr>
      <w:r>
        <w:rPr>
          <w:rFonts w:hint="eastAsia" w:ascii="宋体" w:hAnsi="宋体" w:cs="宋体"/>
          <w:sz w:val="24"/>
        </w:rPr>
        <w:t>32.5</w:t>
      </w:r>
      <w:r>
        <w:rPr>
          <w:rFonts w:hint="eastAsia" w:ascii="宋体" w:hAnsi="宋体" w:cs="宋体"/>
          <w:bCs/>
          <w:sz w:val="24"/>
        </w:rPr>
        <w:t>磋商响应文件</w:t>
      </w:r>
      <w:r>
        <w:rPr>
          <w:rFonts w:hint="eastAsia" w:ascii="宋体" w:hAnsi="宋体" w:cs="宋体"/>
          <w:sz w:val="24"/>
        </w:rPr>
        <w:t>的实质性内容未使用中文表述、意思表述不明确、前后矛盾或者使用计量单位不符合磋商文件要求的（经磋商小组认定允许其当场更正的笔误除外）；</w:t>
      </w:r>
    </w:p>
    <w:p>
      <w:pPr>
        <w:snapToGrid w:val="0"/>
        <w:spacing w:line="460" w:lineRule="exact"/>
        <w:ind w:firstLine="480" w:firstLineChars="200"/>
        <w:rPr>
          <w:rFonts w:ascii="宋体" w:hAnsi="宋体" w:cs="宋体"/>
          <w:sz w:val="24"/>
        </w:rPr>
      </w:pPr>
      <w:r>
        <w:rPr>
          <w:rFonts w:hint="eastAsia" w:ascii="宋体" w:hAnsi="宋体" w:cs="宋体"/>
          <w:sz w:val="24"/>
        </w:rPr>
        <w:t>32.6磋商响应文件关键内容字迹模糊、无法辨认的；</w:t>
      </w:r>
    </w:p>
    <w:p>
      <w:pPr>
        <w:snapToGrid w:val="0"/>
        <w:spacing w:line="460" w:lineRule="exact"/>
        <w:ind w:firstLine="480" w:firstLineChars="200"/>
        <w:rPr>
          <w:rFonts w:ascii="宋体" w:hAnsi="宋体" w:cs="宋体"/>
          <w:sz w:val="24"/>
        </w:rPr>
      </w:pPr>
      <w:r>
        <w:rPr>
          <w:rFonts w:hint="eastAsia" w:ascii="宋体" w:hAnsi="宋体" w:cs="宋体"/>
          <w:sz w:val="24"/>
        </w:rPr>
        <w:t>32.7未采用人民币报价或者未按照磋商文件标明的币种报价的；</w:t>
      </w:r>
    </w:p>
    <w:p>
      <w:pPr>
        <w:snapToGrid w:val="0"/>
        <w:spacing w:line="460" w:lineRule="exact"/>
        <w:ind w:firstLine="480" w:firstLineChars="200"/>
        <w:rPr>
          <w:rFonts w:ascii="宋体" w:hAnsi="宋体" w:cs="宋体"/>
          <w:sz w:val="24"/>
        </w:rPr>
      </w:pPr>
      <w:r>
        <w:rPr>
          <w:rFonts w:hint="eastAsia" w:ascii="宋体" w:hAnsi="宋体" w:cs="宋体"/>
          <w:sz w:val="24"/>
        </w:rPr>
        <w:t>32.8磋商响应方的报价明显高于其市场价或低于成本价的，该磋商响应方不能合理说明原因并提供证明材料的；</w:t>
      </w:r>
    </w:p>
    <w:p>
      <w:pPr>
        <w:snapToGrid w:val="0"/>
        <w:spacing w:line="460" w:lineRule="exact"/>
        <w:ind w:firstLine="480" w:firstLineChars="200"/>
        <w:rPr>
          <w:rFonts w:ascii="宋体" w:hAnsi="宋体" w:cs="宋体"/>
          <w:sz w:val="24"/>
        </w:rPr>
      </w:pPr>
      <w:r>
        <w:rPr>
          <w:rFonts w:hint="eastAsia" w:ascii="宋体" w:hAnsi="宋体" w:cs="宋体"/>
          <w:sz w:val="24"/>
        </w:rPr>
        <w:t>32.9响应报价漏项超过响应报价5%以上的或漏项超过2项及以上的，均属无效响应；</w:t>
      </w:r>
    </w:p>
    <w:p>
      <w:pPr>
        <w:snapToGrid w:val="0"/>
        <w:spacing w:line="460" w:lineRule="exact"/>
        <w:ind w:firstLine="480" w:firstLineChars="200"/>
        <w:rPr>
          <w:rFonts w:ascii="宋体" w:hAnsi="宋体" w:cs="宋体"/>
          <w:snapToGrid w:val="0"/>
          <w:sz w:val="24"/>
        </w:rPr>
      </w:pPr>
      <w:r>
        <w:rPr>
          <w:rFonts w:hint="eastAsia" w:ascii="宋体" w:hAnsi="宋体" w:cs="宋体"/>
          <w:sz w:val="24"/>
        </w:rPr>
        <w:t>32.10</w:t>
      </w:r>
      <w:r>
        <w:rPr>
          <w:rFonts w:hint="eastAsia" w:ascii="宋体" w:hAnsi="宋体" w:cs="宋体"/>
          <w:snapToGrid w:val="0"/>
          <w:sz w:val="24"/>
        </w:rPr>
        <w:t>报价超出采购预算价（最高限价）的</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32.11提供虚假材料谋取中标的；</w:t>
      </w:r>
    </w:p>
    <w:p>
      <w:pPr>
        <w:snapToGrid w:val="0"/>
        <w:spacing w:line="460" w:lineRule="exact"/>
        <w:ind w:firstLine="480" w:firstLineChars="200"/>
        <w:rPr>
          <w:rFonts w:ascii="宋体" w:hAnsi="宋体" w:cs="宋体"/>
          <w:sz w:val="24"/>
        </w:rPr>
      </w:pPr>
      <w:r>
        <w:rPr>
          <w:rFonts w:hint="eastAsia" w:ascii="宋体" w:hAnsi="宋体" w:cs="宋体"/>
          <w:sz w:val="24"/>
        </w:rPr>
        <w:t>32.12</w:t>
      </w:r>
      <w:r>
        <w:rPr>
          <w:rFonts w:hint="eastAsia" w:ascii="宋体" w:hAnsi="宋体" w:cs="宋体"/>
          <w:color w:val="353535"/>
          <w:sz w:val="24"/>
        </w:rPr>
        <w:t>磋商代表未出席磋商的；</w:t>
      </w:r>
    </w:p>
    <w:p>
      <w:pPr>
        <w:snapToGrid w:val="0"/>
        <w:spacing w:line="460" w:lineRule="exact"/>
        <w:ind w:firstLine="480" w:firstLineChars="200"/>
        <w:rPr>
          <w:rFonts w:ascii="宋体" w:hAnsi="宋体" w:cs="宋体"/>
          <w:sz w:val="24"/>
        </w:rPr>
      </w:pPr>
      <w:r>
        <w:rPr>
          <w:rFonts w:hint="eastAsia" w:ascii="宋体" w:hAnsi="宋体" w:cs="宋体"/>
          <w:sz w:val="24"/>
        </w:rPr>
        <w:t>32.13不符合法律、法规和磋商文件规定的其他实质性要求的；</w:t>
      </w:r>
    </w:p>
    <w:p>
      <w:pPr>
        <w:snapToGrid w:val="0"/>
        <w:spacing w:line="460" w:lineRule="exact"/>
        <w:ind w:firstLine="480" w:firstLineChars="200"/>
        <w:rPr>
          <w:rFonts w:ascii="宋体" w:hAnsi="宋体" w:cs="宋体"/>
          <w:bCs/>
          <w:sz w:val="24"/>
          <w:u w:val="single"/>
        </w:rPr>
      </w:pPr>
      <w:r>
        <w:rPr>
          <w:rFonts w:hint="eastAsia" w:ascii="宋体" w:hAnsi="宋体" w:cs="宋体"/>
          <w:sz w:val="24"/>
        </w:rPr>
        <w:t>32.14</w:t>
      </w:r>
      <w:r>
        <w:rPr>
          <w:rFonts w:hint="eastAsia" w:ascii="宋体" w:hAnsi="宋体" w:cs="宋体"/>
          <w:b/>
          <w:bCs/>
          <w:sz w:val="24"/>
          <w:u w:val="single"/>
        </w:rPr>
        <w:t>响应文件未密封，响应文件错装的，响应文件份数不足的，响应文件包装袋封面、响应文件封面、法定代表人授权书、投标函、开标一览表、投标设备报价明细表应签字、盖章而未签盖的；</w:t>
      </w:r>
    </w:p>
    <w:p>
      <w:pPr>
        <w:snapToGrid w:val="0"/>
        <w:spacing w:line="460" w:lineRule="exact"/>
        <w:ind w:firstLine="480"/>
        <w:rPr>
          <w:rFonts w:ascii="宋体" w:hAnsi="宋体" w:cs="宋体"/>
          <w:sz w:val="24"/>
        </w:rPr>
      </w:pPr>
      <w:r>
        <w:rPr>
          <w:rFonts w:hint="eastAsia" w:ascii="宋体" w:hAnsi="宋体" w:cs="宋体"/>
          <w:sz w:val="24"/>
        </w:rPr>
        <w:t>32.15其它违反政府采购</w:t>
      </w:r>
      <w:bookmarkStart w:id="19" w:name="_Toc361685328"/>
      <w:bookmarkStart w:id="20" w:name="_Toc361685331"/>
      <w:bookmarkStart w:id="21" w:name="_Toc356371441"/>
      <w:r>
        <w:rPr>
          <w:rFonts w:hint="eastAsia" w:ascii="宋体" w:hAnsi="宋体" w:cs="宋体"/>
          <w:sz w:val="24"/>
        </w:rPr>
        <w:t>相关规定的。</w:t>
      </w:r>
    </w:p>
    <w:p>
      <w:pPr>
        <w:pStyle w:val="24"/>
        <w:ind w:firstLine="480"/>
      </w:pPr>
    </w:p>
    <w:p>
      <w:pPr>
        <w:snapToGrid w:val="0"/>
        <w:spacing w:beforeLines="50" w:afterLines="50" w:line="460" w:lineRule="exact"/>
        <w:jc w:val="center"/>
        <w:outlineLvl w:val="1"/>
        <w:rPr>
          <w:rFonts w:ascii="宋体" w:hAnsi="宋体" w:cs="宋体"/>
          <w:b/>
          <w:color w:val="000000"/>
          <w:sz w:val="28"/>
          <w:szCs w:val="28"/>
        </w:rPr>
      </w:pPr>
      <w:r>
        <w:rPr>
          <w:rFonts w:hint="eastAsia" w:ascii="宋体" w:hAnsi="宋体" w:cs="宋体"/>
          <w:b/>
          <w:color w:val="000000"/>
          <w:sz w:val="28"/>
          <w:szCs w:val="28"/>
        </w:rPr>
        <w:t>八、废标的情形</w:t>
      </w:r>
      <w:bookmarkEnd w:id="19"/>
    </w:p>
    <w:p>
      <w:pPr>
        <w:snapToGrid w:val="0"/>
        <w:spacing w:line="460" w:lineRule="exact"/>
        <w:ind w:firstLine="482" w:firstLineChars="200"/>
        <w:rPr>
          <w:rFonts w:ascii="宋体" w:hAnsi="宋体" w:cs="宋体"/>
          <w:color w:val="000000"/>
          <w:sz w:val="24"/>
        </w:rPr>
      </w:pPr>
      <w:r>
        <w:rPr>
          <w:rFonts w:hint="eastAsia" w:ascii="宋体" w:hAnsi="宋体" w:cs="宋体"/>
          <w:b/>
          <w:color w:val="000000"/>
          <w:sz w:val="24"/>
        </w:rPr>
        <w:t>33、</w:t>
      </w:r>
      <w:r>
        <w:rPr>
          <w:rFonts w:hint="eastAsia" w:ascii="宋体" w:hAnsi="宋体" w:cs="宋体"/>
          <w:color w:val="000000"/>
          <w:sz w:val="24"/>
        </w:rPr>
        <w:t>采购中，出现下列情形之一的，应予废标。废标后，采购人应将废标理由通知所有</w:t>
      </w:r>
      <w:r>
        <w:rPr>
          <w:rFonts w:hint="eastAsia" w:ascii="宋体" w:hAnsi="宋体" w:cs="宋体"/>
          <w:color w:val="353535"/>
          <w:sz w:val="24"/>
        </w:rPr>
        <w:t>磋商响应方</w:t>
      </w:r>
      <w:r>
        <w:rPr>
          <w:rFonts w:hint="eastAsia" w:ascii="宋体" w:hAnsi="宋体" w:cs="宋体"/>
          <w:color w:val="000000"/>
          <w:sz w:val="24"/>
        </w:rPr>
        <w:t>：</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33.1符合专业条件的</w:t>
      </w:r>
      <w:r>
        <w:rPr>
          <w:rFonts w:hint="eastAsia" w:ascii="宋体" w:hAnsi="宋体" w:cs="宋体"/>
          <w:color w:val="353535"/>
          <w:sz w:val="24"/>
        </w:rPr>
        <w:t>磋商响应方</w:t>
      </w:r>
      <w:r>
        <w:rPr>
          <w:rFonts w:hint="eastAsia" w:ascii="宋体" w:hAnsi="宋体" w:cs="宋体"/>
          <w:color w:val="000000"/>
          <w:sz w:val="24"/>
        </w:rPr>
        <w:t>或对</w:t>
      </w:r>
      <w:r>
        <w:rPr>
          <w:rFonts w:hint="eastAsia" w:ascii="宋体" w:hAnsi="宋体" w:cs="宋体"/>
          <w:color w:val="353535"/>
          <w:sz w:val="24"/>
        </w:rPr>
        <w:t>磋商</w:t>
      </w:r>
      <w:r>
        <w:rPr>
          <w:rFonts w:hint="eastAsia" w:ascii="宋体" w:hAnsi="宋体" w:cs="宋体"/>
          <w:color w:val="000000"/>
          <w:sz w:val="24"/>
        </w:rPr>
        <w:t>文件作实质性响应的</w:t>
      </w:r>
      <w:r>
        <w:rPr>
          <w:rFonts w:hint="eastAsia" w:ascii="宋体" w:hAnsi="宋体" w:cs="宋体"/>
          <w:color w:val="353535"/>
          <w:sz w:val="24"/>
        </w:rPr>
        <w:t>磋商响应方</w:t>
      </w:r>
      <w:r>
        <w:rPr>
          <w:rFonts w:hint="eastAsia" w:ascii="宋体" w:hAnsi="宋体" w:cs="宋体"/>
          <w:color w:val="000000"/>
          <w:sz w:val="24"/>
        </w:rPr>
        <w:t>不足三家的。</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33.2出现影响采购公正的违法、违规行为的。</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33.3</w:t>
      </w:r>
      <w:r>
        <w:rPr>
          <w:rFonts w:hint="eastAsia" w:ascii="宋体" w:hAnsi="宋体" w:cs="宋体"/>
          <w:color w:val="353535"/>
          <w:sz w:val="24"/>
        </w:rPr>
        <w:t>磋商响应方</w:t>
      </w:r>
      <w:r>
        <w:rPr>
          <w:rFonts w:hint="eastAsia" w:ascii="宋体" w:hAnsi="宋体" w:cs="宋体"/>
          <w:color w:val="000000"/>
          <w:sz w:val="24"/>
        </w:rPr>
        <w:t>的报价均超过了采购预算，采购人不能支付的。</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33.4 因重大变故，采购任务取消的。</w:t>
      </w:r>
    </w:p>
    <w:p>
      <w:pPr>
        <w:snapToGrid w:val="0"/>
        <w:spacing w:beforeLines="50" w:afterLines="50" w:line="460" w:lineRule="exact"/>
        <w:jc w:val="center"/>
        <w:outlineLvl w:val="1"/>
        <w:rPr>
          <w:rFonts w:ascii="宋体" w:hAnsi="宋体" w:cs="宋体"/>
          <w:b/>
          <w:color w:val="000000"/>
          <w:sz w:val="28"/>
          <w:szCs w:val="28"/>
        </w:rPr>
      </w:pPr>
      <w:r>
        <w:rPr>
          <w:rFonts w:hint="eastAsia" w:ascii="宋体" w:hAnsi="宋体" w:cs="宋体"/>
          <w:b/>
          <w:color w:val="000000"/>
          <w:sz w:val="28"/>
          <w:szCs w:val="28"/>
        </w:rPr>
        <w:t>九、法律责任</w:t>
      </w:r>
      <w:bookmarkEnd w:id="20"/>
      <w:bookmarkEnd w:id="21"/>
    </w:p>
    <w:p>
      <w:pPr>
        <w:snapToGrid w:val="0"/>
        <w:spacing w:line="460" w:lineRule="exact"/>
        <w:ind w:firstLine="482" w:firstLineChars="200"/>
        <w:rPr>
          <w:rFonts w:ascii="宋体" w:hAnsi="宋体" w:cs="宋体"/>
          <w:color w:val="000000"/>
          <w:sz w:val="24"/>
        </w:rPr>
      </w:pPr>
      <w:r>
        <w:rPr>
          <w:rFonts w:hint="eastAsia" w:ascii="宋体" w:hAnsi="宋体" w:cs="宋体"/>
          <w:b/>
          <w:color w:val="000000"/>
          <w:sz w:val="24"/>
        </w:rPr>
        <w:t>34、</w:t>
      </w:r>
      <w:r>
        <w:rPr>
          <w:rFonts w:hint="eastAsia" w:ascii="宋体" w:hAnsi="宋体" w:cs="宋体"/>
          <w:color w:val="353535"/>
          <w:sz w:val="24"/>
        </w:rPr>
        <w:t>磋商响应方</w:t>
      </w:r>
      <w:r>
        <w:rPr>
          <w:rFonts w:hint="eastAsia" w:ascii="宋体" w:hAnsi="宋体" w:cs="宋体"/>
          <w:color w:val="000000"/>
          <w:sz w:val="24"/>
        </w:rPr>
        <w:t>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34.1提供虚假材料谋取成交的;</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34.2采取不正当手段诋毁、排挤其他供应商的;</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34.3与采购人、采购代理机构、其他磋商响应方恶意串通的;</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34.4向采购人、采购代理机构行贿或者提供其他不正当利益的;</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34.5不按照磋商文件和成交人的磋商响应文件订立合同,或者与采购人另行订立背离合同实质性内容的协议的;</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34.6拒绝有关部门监督检查或者提供虚假情况的。</w:t>
      </w:r>
    </w:p>
    <w:p>
      <w:pPr>
        <w:pStyle w:val="24"/>
        <w:spacing w:line="460" w:lineRule="exact"/>
        <w:rPr>
          <w:rFonts w:ascii="宋体" w:hAnsi="宋体" w:cs="宋体"/>
          <w:sz w:val="24"/>
        </w:rPr>
      </w:pPr>
    </w:p>
    <w:p>
      <w:pPr>
        <w:pStyle w:val="24"/>
        <w:spacing w:line="460" w:lineRule="exact"/>
        <w:ind w:firstLine="3935" w:firstLineChars="1400"/>
        <w:outlineLvl w:val="1"/>
        <w:rPr>
          <w:rFonts w:ascii="宋体" w:hAnsi="宋体" w:cs="宋体"/>
          <w:b/>
          <w:sz w:val="28"/>
          <w:szCs w:val="28"/>
        </w:rPr>
      </w:pPr>
      <w:r>
        <w:rPr>
          <w:rFonts w:hint="eastAsia" w:ascii="宋体" w:hAnsi="宋体" w:cs="宋体"/>
          <w:b/>
          <w:sz w:val="28"/>
          <w:szCs w:val="28"/>
        </w:rPr>
        <w:t>十、诚信管理</w:t>
      </w:r>
    </w:p>
    <w:p>
      <w:pPr>
        <w:snapToGrid w:val="0"/>
        <w:spacing w:beforeLines="50" w:afterLines="50" w:line="460" w:lineRule="exact"/>
        <w:ind w:firstLine="480" w:firstLineChars="200"/>
        <w:rPr>
          <w:rFonts w:ascii="宋体" w:hAnsi="宋体" w:cs="宋体"/>
          <w:b/>
          <w:sz w:val="24"/>
        </w:rPr>
      </w:pPr>
      <w:r>
        <w:rPr>
          <w:rFonts w:hint="eastAsia" w:ascii="宋体" w:hAnsi="宋体" w:cs="宋体"/>
          <w:color w:val="000000"/>
          <w:sz w:val="24"/>
        </w:rPr>
        <w:t>35、供应商有下列情形之一的，依据《关于印发浙江省政府供应商注册及诚信管理暂行办法通知》[浙财采监字〔2009〕28号]文件第三十八条和第三十九条的规定记录不良行为、黑名单及处罚</w:t>
      </w:r>
      <w:r>
        <w:rPr>
          <w:rFonts w:hint="eastAsia" w:ascii="宋体" w:hAnsi="宋体" w:cs="宋体"/>
          <w:b/>
          <w:sz w:val="24"/>
        </w:rPr>
        <w:t>。</w:t>
      </w:r>
    </w:p>
    <w:p>
      <w:pPr>
        <w:snapToGrid w:val="0"/>
        <w:spacing w:beforeLines="50" w:afterLines="50" w:line="460" w:lineRule="exact"/>
        <w:ind w:firstLine="480" w:firstLineChars="200"/>
        <w:rPr>
          <w:rFonts w:ascii="宋体" w:hAnsi="宋体" w:cs="宋体"/>
          <w:color w:val="000000"/>
          <w:sz w:val="24"/>
        </w:rPr>
      </w:pPr>
      <w:r>
        <w:rPr>
          <w:rFonts w:hint="eastAsia" w:ascii="宋体" w:hAnsi="宋体" w:cs="宋体"/>
          <w:sz w:val="24"/>
        </w:rPr>
        <w:t>35.1</w:t>
      </w:r>
      <w:r>
        <w:rPr>
          <w:rFonts w:hint="eastAsia" w:ascii="宋体" w:hAnsi="宋体" w:cs="宋体"/>
          <w:color w:val="000000"/>
          <w:sz w:val="24"/>
        </w:rPr>
        <w:t>第三十八条 注册供应商有下列情形之一的，采购单位或采购代理机构应按不良行为记入该注册供应商诚信档案中：</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（一）开标后擅自撤回采购投标文件，或扰乱开标现场，影响采购活动继续进行的；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（二）中标、成交后无正当理由拒绝签订政府采购合同，或者与采购单位另行订立背离合同实质内容的协议的；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（三）无正当理由拒绝履行合同和有关承诺，或擅自变更、中止（终止）政府采购合同的；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（四）超过合同约定的供货（或服务）时间达30日以上的；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（五）中标、成交后，将政府采购合同转包或擅自分包给其他供应商的；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（六）提供假冒伪劣产品或走私物品的；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（七）擅自降低产品质量等次和售后服务，或以次充好、偷工减料的；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（八）实际提供的有关产品性能指标和技术服务能力明显低于采购响应文件或询标、谈判时的承诺；</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（九）在供应商库中发布的产品服务信息或在政府采购网上宣传的信息与实际明显不符，或故意误导采购人的；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（十）不按规定或不及时变更供应商库中的有关信息的；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（十一）1年内在全省被质疑或投诉累计分别在20和10次以上且60%以上被驳回的，或恶意举报给采购人或采购代理机构造成损害的；</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（十二）各级财政部门认定的其它有违诚实信用的行为。</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 xml:space="preserve"> 35.2第三十九条 注册供应商有下列情形之一的，采购单位或采购代理机构应向监管部门书面报告，并提请财政部门将其列 入“黑名单”或者依法作出处罚；各级财政部门在依法处罚的同时，应将该情况按不良行为记入该供应商诚信档案中， 同时将该供应商列入“黑名单”公开曝光：</w:t>
      </w:r>
    </w:p>
    <w:p>
      <w:pPr>
        <w:snapToGrid w:val="0"/>
        <w:spacing w:beforeLines="50" w:afterLines="50" w:line="460" w:lineRule="exact"/>
        <w:ind w:firstLine="480" w:firstLineChars="200"/>
        <w:rPr>
          <w:rFonts w:ascii="宋体" w:hAnsi="宋体" w:cs="宋体"/>
          <w:sz w:val="24"/>
        </w:rPr>
      </w:pPr>
      <w:r>
        <w:rPr>
          <w:rFonts w:hint="eastAsia" w:ascii="宋体" w:hAnsi="宋体" w:cs="宋体"/>
          <w:sz w:val="24"/>
        </w:rPr>
        <w:t>（一）提供虚假材料谋取中标、成交的；</w:t>
      </w:r>
    </w:p>
    <w:p>
      <w:pPr>
        <w:snapToGrid w:val="0"/>
        <w:spacing w:beforeLines="50" w:afterLines="50" w:line="460" w:lineRule="exact"/>
        <w:rPr>
          <w:rFonts w:ascii="宋体" w:hAnsi="宋体" w:cs="宋体"/>
          <w:sz w:val="24"/>
        </w:rPr>
      </w:pPr>
      <w:r>
        <w:rPr>
          <w:rFonts w:hint="eastAsia" w:ascii="宋体" w:hAnsi="宋体" w:cs="宋体"/>
          <w:sz w:val="24"/>
        </w:rPr>
        <w:t>（二）采取不正当手段诋毁、排挤其他供应商的；</w:t>
      </w:r>
    </w:p>
    <w:p>
      <w:pPr>
        <w:snapToGrid w:val="0"/>
        <w:spacing w:beforeLines="50" w:afterLines="50" w:line="460" w:lineRule="exact"/>
        <w:ind w:firstLine="480" w:firstLineChars="200"/>
        <w:rPr>
          <w:rFonts w:ascii="宋体" w:hAnsi="宋体" w:cs="宋体"/>
          <w:sz w:val="24"/>
        </w:rPr>
      </w:pPr>
      <w:r>
        <w:rPr>
          <w:rFonts w:hint="eastAsia" w:ascii="宋体" w:hAnsi="宋体" w:cs="宋体"/>
          <w:sz w:val="24"/>
        </w:rPr>
        <w:t>（三）与采购单位、其他供应商或者采购代理机构恶意串通的；</w:t>
      </w:r>
    </w:p>
    <w:p>
      <w:pPr>
        <w:snapToGrid w:val="0"/>
        <w:spacing w:beforeLines="50" w:afterLines="50" w:line="460" w:lineRule="exact"/>
        <w:rPr>
          <w:rFonts w:ascii="宋体" w:hAnsi="宋体" w:cs="宋体"/>
          <w:sz w:val="24"/>
        </w:rPr>
      </w:pPr>
      <w:r>
        <w:rPr>
          <w:rFonts w:hint="eastAsia" w:ascii="宋体" w:hAnsi="宋体" w:cs="宋体"/>
          <w:sz w:val="24"/>
        </w:rPr>
        <w:t xml:space="preserve">    （四）向采购单位、采购代理机构行贿或提供其他不 正当利益，或因此被其他国家机关立案查实的；</w:t>
      </w:r>
    </w:p>
    <w:p>
      <w:pPr>
        <w:snapToGrid w:val="0"/>
        <w:spacing w:beforeLines="50" w:afterLines="50" w:line="460" w:lineRule="exact"/>
        <w:rPr>
          <w:rFonts w:ascii="宋体" w:hAnsi="宋体" w:cs="宋体"/>
          <w:sz w:val="24"/>
        </w:rPr>
      </w:pPr>
      <w:r>
        <w:rPr>
          <w:rFonts w:hint="eastAsia" w:ascii="宋体" w:hAnsi="宋体" w:cs="宋体"/>
          <w:sz w:val="24"/>
        </w:rPr>
        <w:t xml:space="preserve">    （五）在招标采购过程中与采购单位进行协商谈判的；</w:t>
      </w:r>
    </w:p>
    <w:p>
      <w:pPr>
        <w:snapToGrid w:val="0"/>
        <w:spacing w:beforeLines="50" w:afterLines="50" w:line="460" w:lineRule="exact"/>
        <w:rPr>
          <w:rFonts w:ascii="宋体" w:hAnsi="宋体" w:cs="宋体"/>
          <w:sz w:val="24"/>
        </w:rPr>
      </w:pPr>
      <w:r>
        <w:rPr>
          <w:rFonts w:hint="eastAsia" w:ascii="宋体" w:hAnsi="宋体" w:cs="宋体"/>
          <w:sz w:val="24"/>
        </w:rPr>
        <w:t xml:space="preserve">    （六）哄抬、操纵政府采购报价，或政府采购价格（包括产品及其配件、试剂、耗材等价格）明显高于市场平均价的；</w:t>
      </w:r>
    </w:p>
    <w:p>
      <w:pPr>
        <w:snapToGrid w:val="0"/>
        <w:spacing w:beforeLines="50" w:afterLines="50" w:line="460" w:lineRule="exact"/>
        <w:rPr>
          <w:rFonts w:ascii="宋体" w:hAnsi="宋体" w:cs="宋体"/>
          <w:sz w:val="24"/>
        </w:rPr>
      </w:pPr>
      <w:r>
        <w:rPr>
          <w:rFonts w:hint="eastAsia" w:ascii="宋体" w:hAnsi="宋体" w:cs="宋体"/>
          <w:sz w:val="24"/>
        </w:rPr>
        <w:t xml:space="preserve">    （七）提供虚假材料骗取注册供应商资格的；</w:t>
      </w:r>
    </w:p>
    <w:p>
      <w:pPr>
        <w:snapToGrid w:val="0"/>
        <w:spacing w:beforeLines="50" w:afterLines="50" w:line="460" w:lineRule="exact"/>
        <w:rPr>
          <w:rFonts w:ascii="宋体" w:hAnsi="宋体" w:cs="宋体"/>
          <w:sz w:val="24"/>
        </w:rPr>
      </w:pPr>
      <w:r>
        <w:rPr>
          <w:rFonts w:hint="eastAsia" w:ascii="宋体" w:hAnsi="宋体" w:cs="宋体"/>
          <w:sz w:val="24"/>
        </w:rPr>
        <w:t>　  （八）伪造《浙 江省政府采购注册供应商信息登记表》的；</w:t>
      </w:r>
    </w:p>
    <w:p>
      <w:pPr>
        <w:snapToGrid w:val="0"/>
        <w:spacing w:beforeLines="50" w:afterLines="50" w:line="460" w:lineRule="exact"/>
        <w:rPr>
          <w:rFonts w:ascii="宋体" w:hAnsi="宋体" w:cs="宋体"/>
          <w:sz w:val="24"/>
        </w:rPr>
      </w:pPr>
      <w:r>
        <w:rPr>
          <w:rFonts w:hint="eastAsia" w:ascii="宋体" w:hAnsi="宋体" w:cs="宋体"/>
          <w:sz w:val="24"/>
        </w:rPr>
        <w:t xml:space="preserve">    （九）销售或发布法律、法规禁止销售的商品、服务和其他违法信息的；</w:t>
      </w:r>
    </w:p>
    <w:p>
      <w:pPr>
        <w:pStyle w:val="24"/>
        <w:spacing w:line="460" w:lineRule="exact"/>
        <w:rPr>
          <w:rFonts w:ascii="宋体" w:hAnsi="宋体" w:cs="宋体"/>
          <w:b/>
          <w:sz w:val="28"/>
          <w:szCs w:val="28"/>
        </w:rPr>
      </w:pPr>
      <w:r>
        <w:rPr>
          <w:rFonts w:hint="eastAsia" w:ascii="宋体" w:hAnsi="宋体" w:cs="宋体"/>
          <w:sz w:val="24"/>
        </w:rPr>
        <w:t xml:space="preserve">    （十）其它违反法律、法规和政府采购管理有关规定的行为的。</w:t>
      </w:r>
    </w:p>
    <w:p>
      <w:pPr>
        <w:pStyle w:val="24"/>
        <w:spacing w:line="460" w:lineRule="exact"/>
        <w:jc w:val="center"/>
        <w:outlineLvl w:val="1"/>
        <w:rPr>
          <w:rFonts w:ascii="宋体" w:hAnsi="宋体" w:cs="宋体"/>
          <w:b/>
          <w:sz w:val="28"/>
          <w:szCs w:val="28"/>
        </w:rPr>
      </w:pPr>
      <w:r>
        <w:rPr>
          <w:rFonts w:hint="eastAsia" w:ascii="宋体" w:hAnsi="宋体" w:cs="宋体"/>
          <w:b/>
          <w:sz w:val="28"/>
          <w:szCs w:val="28"/>
        </w:rPr>
        <w:t>十一、 招标采购费</w:t>
      </w:r>
      <w:bookmarkStart w:id="22" w:name="_Toc16874"/>
      <w:r>
        <w:rPr>
          <w:rFonts w:hint="eastAsia" w:ascii="宋体" w:hAnsi="宋体" w:cs="宋体"/>
          <w:b/>
          <w:sz w:val="28"/>
          <w:szCs w:val="28"/>
        </w:rPr>
        <w:t>用</w:t>
      </w:r>
    </w:p>
    <w:bookmarkEnd w:id="22"/>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36.1本项目招标代理费参照计价格[2002]520号及发改价格[2011]534号文的规定的收费标准（货物类）（以中标价为基数，不足3000元按3000元计收），由中标单位在领取中标通知书时支付至招标代理机构。代理服务费以成交金额为依据，按差额定率累进法计算，收费标准如下：</w:t>
      </w:r>
    </w:p>
    <w:tbl>
      <w:tblPr>
        <w:tblStyle w:val="59"/>
        <w:tblW w:w="867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4680" w:type="dxa"/>
            <w:tcBorders>
              <w:tl2br w:val="single" w:color="auto" w:sz="4" w:space="0"/>
            </w:tcBorders>
          </w:tcPr>
          <w:p>
            <w:pPr>
              <w:snapToGrid w:val="0"/>
              <w:spacing w:beforeLines="50" w:afterLines="50" w:line="460" w:lineRule="exact"/>
              <w:ind w:firstLine="360" w:firstLineChars="150"/>
              <w:rPr>
                <w:rFonts w:ascii="宋体" w:hAnsi="宋体" w:cs="宋体"/>
                <w:sz w:val="24"/>
              </w:rPr>
            </w:pPr>
            <w:bookmarkStart w:id="23" w:name="OLE_LINK11"/>
            <w:bookmarkEnd w:id="23"/>
            <w:r>
              <w:rPr>
                <w:rFonts w:hint="eastAsia" w:ascii="宋体" w:hAnsi="宋体" w:cs="宋体"/>
                <w:sz w:val="24"/>
              </w:rPr>
              <w:t xml:space="preserve">        费率中标金额</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（万元）</w:t>
            </w:r>
          </w:p>
        </w:tc>
        <w:tc>
          <w:tcPr>
            <w:tcW w:w="3990" w:type="dxa"/>
            <w:vAlign w:val="center"/>
          </w:tcPr>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680" w:type="dxa"/>
          </w:tcPr>
          <w:p>
            <w:pPr>
              <w:snapToGrid w:val="0"/>
              <w:spacing w:beforeLines="50" w:afterLines="50"/>
              <w:ind w:firstLine="360" w:firstLineChars="150"/>
              <w:rPr>
                <w:rFonts w:ascii="宋体" w:hAnsi="宋体" w:cs="宋体"/>
                <w:sz w:val="24"/>
              </w:rPr>
            </w:pPr>
            <w:r>
              <w:rPr>
                <w:rFonts w:hint="eastAsia" w:ascii="宋体" w:hAnsi="宋体" w:cs="宋体"/>
                <w:sz w:val="24"/>
              </w:rPr>
              <w:t>100以下</w:t>
            </w:r>
          </w:p>
        </w:tc>
        <w:tc>
          <w:tcPr>
            <w:tcW w:w="3990" w:type="dxa"/>
            <w:vAlign w:val="center"/>
          </w:tcPr>
          <w:p>
            <w:pPr>
              <w:snapToGrid w:val="0"/>
              <w:spacing w:beforeLines="50" w:afterLines="50"/>
              <w:ind w:firstLine="360" w:firstLineChars="150"/>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680" w:type="dxa"/>
          </w:tcPr>
          <w:p>
            <w:pPr>
              <w:snapToGrid w:val="0"/>
              <w:spacing w:beforeLines="50" w:afterLines="50"/>
              <w:ind w:firstLine="360" w:firstLineChars="150"/>
              <w:rPr>
                <w:rFonts w:ascii="宋体" w:hAnsi="宋体" w:cs="宋体"/>
                <w:sz w:val="24"/>
              </w:rPr>
            </w:pPr>
            <w:r>
              <w:rPr>
                <w:rFonts w:hint="eastAsia" w:ascii="宋体" w:hAnsi="宋体" w:cs="宋体"/>
                <w:sz w:val="24"/>
              </w:rPr>
              <w:t>100-500</w:t>
            </w:r>
          </w:p>
        </w:tc>
        <w:tc>
          <w:tcPr>
            <w:tcW w:w="3990" w:type="dxa"/>
            <w:vAlign w:val="center"/>
          </w:tcPr>
          <w:p>
            <w:pPr>
              <w:snapToGrid w:val="0"/>
              <w:spacing w:beforeLines="50" w:afterLines="50"/>
              <w:ind w:firstLine="360" w:firstLineChars="150"/>
              <w:rPr>
                <w:rFonts w:ascii="宋体" w:hAnsi="宋体" w:cs="宋体"/>
                <w:sz w:val="24"/>
              </w:rPr>
            </w:pPr>
            <w:r>
              <w:rPr>
                <w:rFonts w:hint="eastAsia" w:ascii="宋体" w:hAnsi="宋体" w:cs="宋体"/>
                <w:sz w:val="24"/>
              </w:rPr>
              <w:t>1.1%</w:t>
            </w:r>
          </w:p>
        </w:tc>
      </w:tr>
    </w:tbl>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36.2代理费、评审费（按实）、公证费（如有）由中标单位支付。</w:t>
      </w:r>
    </w:p>
    <w:p>
      <w:pPr>
        <w:snapToGrid w:val="0"/>
        <w:spacing w:beforeLines="50" w:afterLines="50" w:line="460" w:lineRule="exact"/>
        <w:ind w:firstLine="360" w:firstLineChars="150"/>
        <w:rPr>
          <w:rFonts w:ascii="宋体" w:hAnsi="宋体" w:cs="宋体"/>
          <w:sz w:val="24"/>
        </w:rPr>
      </w:pPr>
      <w:r>
        <w:rPr>
          <w:rFonts w:hint="eastAsia" w:ascii="宋体" w:hAnsi="宋体" w:cs="宋体"/>
          <w:sz w:val="24"/>
        </w:rPr>
        <w:t>36.3以上费用不在报价中单列，请供应商在报价中予以考虑。在领取中标通知书当时一次性支付给采购代理机构。</w:t>
      </w:r>
    </w:p>
    <w:bookmarkEnd w:id="18"/>
    <w:p>
      <w:pPr>
        <w:pStyle w:val="80"/>
        <w:spacing w:before="157"/>
        <w:rPr>
          <w:rFonts w:ascii="宋体" w:hAnsi="宋体" w:cs="宋体"/>
        </w:rPr>
        <w:sectPr>
          <w:headerReference r:id="rId7" w:type="default"/>
          <w:footerReference r:id="rId8" w:type="default"/>
          <w:pgSz w:w="11906" w:h="16838"/>
          <w:pgMar w:top="1440" w:right="1080" w:bottom="1440" w:left="1080" w:header="850" w:footer="992" w:gutter="0"/>
          <w:pgBorders>
            <w:top w:val="none" w:sz="0" w:space="0"/>
            <w:left w:val="none" w:sz="0" w:space="0"/>
            <w:bottom w:val="none" w:sz="0" w:space="0"/>
            <w:right w:val="none" w:sz="0" w:space="0"/>
          </w:pgBorders>
          <w:cols w:space="0" w:num="1"/>
          <w:docGrid w:type="lines" w:linePitch="314" w:charSpace="0"/>
        </w:sectPr>
      </w:pPr>
      <w:bookmarkStart w:id="24" w:name="_Toc536418606"/>
      <w:bookmarkStart w:id="25" w:name="_Toc536419198"/>
      <w:bookmarkStart w:id="26" w:name="_Toc81372956"/>
      <w:bookmarkStart w:id="27" w:name="_Toc46111068"/>
      <w:bookmarkStart w:id="28" w:name="_Toc81372779"/>
      <w:bookmarkStart w:id="29" w:name="_Toc7323822"/>
      <w:bookmarkStart w:id="30" w:name="_Toc7322054"/>
      <w:bookmarkStart w:id="31" w:name="_Toc89661111"/>
      <w:bookmarkStart w:id="32" w:name="_Toc153725"/>
      <w:bookmarkStart w:id="33" w:name="_Toc80157768"/>
      <w:bookmarkStart w:id="34" w:name="_Toc536419058"/>
      <w:bookmarkStart w:id="35" w:name="_Toc536418876"/>
      <w:bookmarkStart w:id="36" w:name="_Toc536419157"/>
      <w:bookmarkStart w:id="37" w:name="_Toc84325932"/>
    </w:p>
    <w:p>
      <w:pPr>
        <w:pStyle w:val="80"/>
        <w:spacing w:before="157"/>
        <w:jc w:val="center"/>
        <w:rPr>
          <w:rFonts w:ascii="宋体" w:hAnsi="宋体" w:cs="宋体"/>
          <w:sz w:val="44"/>
          <w:szCs w:val="44"/>
        </w:rPr>
      </w:pPr>
      <w:r>
        <w:rPr>
          <w:rFonts w:hint="eastAsia" w:ascii="宋体" w:hAnsi="宋体" w:cs="宋体"/>
          <w:sz w:val="44"/>
          <w:szCs w:val="44"/>
        </w:rPr>
        <w:t>第四章采购内容及要求</w:t>
      </w:r>
    </w:p>
    <w:p>
      <w:pPr>
        <w:spacing w:line="360" w:lineRule="auto"/>
        <w:ind w:firstLine="482" w:firstLineChars="200"/>
        <w:rPr>
          <w:rFonts w:ascii="宋体" w:hAnsi="宋体" w:cs="宋体"/>
          <w:color w:val="auto"/>
          <w:sz w:val="44"/>
          <w:szCs w:val="44"/>
        </w:rPr>
      </w:pPr>
      <w:bookmarkStart w:id="63" w:name="_GoBack"/>
      <w:r>
        <w:rPr>
          <w:rFonts w:hint="eastAsia" w:ascii="宋体" w:hAnsi="宋体" w:cs="宋体"/>
          <w:b/>
          <w:color w:val="auto"/>
          <w:sz w:val="24"/>
        </w:rPr>
        <w:t>一   采购内容及要求</w:t>
      </w:r>
    </w:p>
    <w:bookmarkEnd w:id="63"/>
    <w:tbl>
      <w:tblPr>
        <w:tblStyle w:val="60"/>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78"/>
        <w:gridCol w:w="1084"/>
        <w:gridCol w:w="9943"/>
        <w:gridCol w:w="709"/>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序号</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产品名称</w:t>
            </w:r>
          </w:p>
        </w:tc>
        <w:tc>
          <w:tcPr>
            <w:tcW w:w="108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品牌型号</w:t>
            </w:r>
          </w:p>
        </w:tc>
        <w:tc>
          <w:tcPr>
            <w:tcW w:w="9943"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产品规格/功能描述</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数量</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5" w:type="dxa"/>
            <w:gridSpan w:val="6"/>
          </w:tcPr>
          <w:p>
            <w:pPr>
              <w:rPr>
                <w:rFonts w:ascii="宋体" w:hAnsi="宋体" w:cs="宋体"/>
                <w:sz w:val="20"/>
                <w:szCs w:val="20"/>
              </w:rPr>
            </w:pPr>
            <w:r>
              <w:rPr>
                <w:rFonts w:hint="eastAsia" w:ascii="宋体" w:hAnsi="宋体" w:cs="宋体"/>
                <w:sz w:val="20"/>
                <w:szCs w:val="20"/>
              </w:rPr>
              <w:t>一、软件部分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电子票务云平台系统软件V1.0</w:t>
            </w:r>
          </w:p>
        </w:tc>
        <w:tc>
          <w:tcPr>
            <w:tcW w:w="108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云票务系统</w:t>
            </w:r>
          </w:p>
        </w:tc>
        <w:tc>
          <w:tcPr>
            <w:tcW w:w="9943" w:type="dxa"/>
          </w:tcPr>
          <w:p>
            <w:pPr>
              <w:widowControl/>
              <w:jc w:val="left"/>
              <w:textAlignment w:val="top"/>
              <w:rPr>
                <w:rFonts w:ascii="宋体" w:hAnsi="宋体" w:cs="宋体"/>
                <w:sz w:val="20"/>
                <w:szCs w:val="20"/>
              </w:rPr>
            </w:pPr>
            <w:r>
              <w:rPr>
                <w:rFonts w:hint="eastAsia" w:ascii="宋体" w:hAnsi="宋体" w:cs="宋体"/>
                <w:color w:val="000000"/>
                <w:kern w:val="0"/>
                <w:sz w:val="20"/>
                <w:szCs w:val="20"/>
              </w:rPr>
              <w:t>仓库管理：仓库设置、总仓入库、总仓退库、门票转仓、门票领用、门退库；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客户关系管理：客户信息管理、导游信息管理、协议政策管理、客户类型管理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售票客户端：电子售票、门票查询、门票重打、预售票核销、废票登记、互联网取票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报表中心：售票员日报表、售检票查询、门票销售流水、分成报表、景区报表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系统管理：景点分区设置、检票通道设置、票型价格管理、门票分类设置、系统参数设置、季节类型设置、数据字典管理</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商城</w:t>
            </w:r>
          </w:p>
        </w:tc>
        <w:tc>
          <w:tcPr>
            <w:tcW w:w="1084" w:type="dxa"/>
            <w:vAlign w:val="center"/>
          </w:tcPr>
          <w:p>
            <w:pPr>
              <w:jc w:val="center"/>
              <w:rPr>
                <w:rFonts w:ascii="宋体" w:hAnsi="宋体" w:cs="宋体"/>
                <w:sz w:val="20"/>
                <w:szCs w:val="20"/>
              </w:rPr>
            </w:pP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官网：平台PC版本可实现自定义页面、剧院、门票、酒店板块，个人中心功能展示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景区：景区基础信息维护，票型信息、售票规则、日历价格库存 维护，支持在线预订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基础订单管理： 管理店铺订单、退单管理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基础数据报表： 管理店铺营业报表、分销营业报表、检票报表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门票产品、订单对接智游宝 短信套餐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快速进入各系统 解决多系统切换问题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配套提供给商城APP应用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微信公众号 ：配套提供微信公众（H5）页面</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营销玩法： 优惠券、买即送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微信小程序：同时可配套提供微信小程序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含扫码购，用于现场易拉宝游客扫码购票；含支付宝、微信小程序、实名制分时预约（线上）</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3</w:t>
            </w:r>
          </w:p>
        </w:tc>
        <w:tc>
          <w:tcPr>
            <w:tcW w:w="1078" w:type="dxa"/>
            <w:vAlign w:val="center"/>
          </w:tcPr>
          <w:p>
            <w:pPr>
              <w:widowControl/>
              <w:jc w:val="center"/>
              <w:textAlignment w:val="center"/>
              <w:rPr>
                <w:rFonts w:ascii="宋体" w:hAnsi="宋体" w:cs="宋体"/>
                <w:sz w:val="20"/>
                <w:szCs w:val="20"/>
              </w:rPr>
            </w:pPr>
            <w:r>
              <w:rPr>
                <w:rStyle w:val="227"/>
                <w:rFonts w:hint="eastAsia" w:ascii="宋体" w:hAnsi="宋体" w:cs="宋体"/>
                <w:sz w:val="20"/>
                <w:szCs w:val="20"/>
              </w:rPr>
              <w:t>OTA对接系统</w:t>
            </w:r>
          </w:p>
        </w:tc>
        <w:tc>
          <w:tcPr>
            <w:tcW w:w="1084" w:type="dxa"/>
            <w:vAlign w:val="center"/>
          </w:tcPr>
          <w:p>
            <w:pPr>
              <w:jc w:val="center"/>
              <w:rPr>
                <w:rFonts w:ascii="宋体" w:hAnsi="宋体" w:cs="宋体"/>
                <w:sz w:val="20"/>
                <w:szCs w:val="20"/>
              </w:rPr>
            </w:pP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线下票和官方电商平台、直销平台（微信、阿里旅行、淘宝、去哪儿）、OTA平台（携程、同程、途牛、驴妈妈等）、团购平台（美团、拉手、大众点评、糯米等）、MTA（一块去旅行、在路上、蚂蜂窝等）的门票技术对接，实现O2O一体化应用，各销售渠道的数据可实现一体化管理、统计、分析。2、景区也可利用智游宝平台开展B2B销售。</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4</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企业服务总线系统软件V1.0</w:t>
            </w:r>
          </w:p>
        </w:tc>
        <w:tc>
          <w:tcPr>
            <w:tcW w:w="108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企业服务总线系统软件V1.0</w:t>
            </w: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平台基础能力：服务运行平台、服务管理平台、运营监管平台、日志分析应用、数据推送应用、数据一致性校验、统一数据报表应用（TESB扩展应用）、通讯机、消息组件；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票务标准接口能力：线上下单标准接口、线上下单线下检票标准接口、线上下单线上检票标准接口、线上下单线上退票标准接口、已检票异常退标准接口、线上下单线上改单标准接口、线上系统查询线上订单在线下系统状态的标准接口、票务标准接口异常告警和状态反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采用SaaS部署，无定制化接口</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5</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聚合支付管理系统V1.0</w:t>
            </w:r>
          </w:p>
        </w:tc>
        <w:tc>
          <w:tcPr>
            <w:tcW w:w="108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聚合支付管理系统V1.0</w:t>
            </w: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实现景区电子门票、线上商城、二消等的微信、支付宝等支付，费率按照第三方要求的税率执行。</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6</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社保卡接口对接</w:t>
            </w:r>
          </w:p>
        </w:tc>
        <w:tc>
          <w:tcPr>
            <w:tcW w:w="1084" w:type="dxa"/>
            <w:vAlign w:val="center"/>
          </w:tcPr>
          <w:p>
            <w:pPr>
              <w:jc w:val="center"/>
              <w:rPr>
                <w:rFonts w:ascii="宋体" w:hAnsi="宋体" w:cs="宋体"/>
                <w:sz w:val="20"/>
                <w:szCs w:val="20"/>
              </w:rPr>
            </w:pP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对接社保卡接口，实现窗口刷社保卡实名制售取票；实名制购票后，能够通过社保卡刷卡入园（社保卡含实体社保卡和弟子社保卡）。</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7</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票务系统测温防疫升级</w:t>
            </w:r>
          </w:p>
        </w:tc>
        <w:tc>
          <w:tcPr>
            <w:tcW w:w="1084" w:type="dxa"/>
            <w:vAlign w:val="center"/>
          </w:tcPr>
          <w:p>
            <w:pPr>
              <w:jc w:val="center"/>
              <w:rPr>
                <w:rFonts w:ascii="宋体" w:hAnsi="宋体" w:cs="宋体"/>
                <w:sz w:val="20"/>
                <w:szCs w:val="20"/>
              </w:rPr>
            </w:pP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正常情况：闸机提示“检票成功”或“无效票”（根据票的有效情况），闸机屏幕显示实际体温（绿色）与实名制信息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异常情况：闸机提示“体温异常”（不检票），闸机屏幕显示实际体温（红色）与实名制信息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配套检票报表：交易号、条码号、检票景点、闸机IP、实际体温、人脸照片（若有）、实名信息（若有）</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5" w:type="dxa"/>
            <w:gridSpan w:val="6"/>
          </w:tcPr>
          <w:p>
            <w:pPr>
              <w:rPr>
                <w:rFonts w:ascii="宋体" w:hAnsi="宋体" w:cs="宋体"/>
                <w:sz w:val="20"/>
                <w:szCs w:val="20"/>
              </w:rPr>
            </w:pPr>
            <w:r>
              <w:rPr>
                <w:rFonts w:hint="eastAsia" w:ascii="宋体" w:hAnsi="宋体" w:cs="宋体"/>
                <w:sz w:val="20"/>
                <w:szCs w:val="20"/>
              </w:rPr>
              <w:t>硬件部分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8</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入口验证三辊闸（智能闸机控制系统软件V1.0）</w:t>
            </w:r>
          </w:p>
        </w:tc>
        <w:tc>
          <w:tcPr>
            <w:tcW w:w="1084" w:type="dxa"/>
            <w:vAlign w:val="center"/>
          </w:tcPr>
          <w:p>
            <w:pPr>
              <w:jc w:val="center"/>
              <w:rPr>
                <w:rFonts w:ascii="宋体" w:hAnsi="宋体" w:cs="宋体"/>
                <w:sz w:val="20"/>
                <w:szCs w:val="20"/>
              </w:rPr>
            </w:pPr>
          </w:p>
        </w:tc>
        <w:tc>
          <w:tcPr>
            <w:tcW w:w="9943" w:type="dxa"/>
          </w:tcPr>
          <w:p>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整机外观：开模R40箱体/整机无棱角设计/采用304#不锈钢材料/整体板材厚度不低于1.5mm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三辊闸机芯：全电动机芯自动落杆/机械传动基于牙钳式离合器控制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箱体尺寸： 1440mm*260mm*1040mm（长*宽*高）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通道宽度 ：500~520mm(不含箱体)/棍长500mm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主控系统：采用嵌入式一体机设计，主控单元Cortex-A9，含嵌入式系统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通讯方式：TCP/IP（标配）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游客显示系统：7寸LCD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★通行速度 ：最大值：40 人次/分钟以上</w:t>
            </w:r>
          </w:p>
          <w:p>
            <w:pPr>
              <w:widowControl/>
              <w:jc w:val="left"/>
              <w:textAlignment w:val="top"/>
              <w:rPr>
                <w:rFonts w:ascii="宋体" w:hAnsi="宋体" w:cs="宋体"/>
                <w:sz w:val="20"/>
                <w:szCs w:val="20"/>
              </w:rPr>
            </w:pPr>
            <w:r>
              <w:rPr>
                <w:rFonts w:hint="eastAsia" w:ascii="宋体" w:hAnsi="宋体" w:cs="宋体"/>
                <w:color w:val="000000"/>
                <w:kern w:val="0"/>
                <w:sz w:val="20"/>
                <w:szCs w:val="20"/>
              </w:rPr>
              <w:t>★智能识别系统应能够满足≥80次/min的扫码响应要求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支持异常断电自动保护电路，保护关键数据完整性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采用AES、MD5加密技术，保障设备通信安全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工作电压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输入：AC220V±10%/50HZ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输出：DC24V 2.5A</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 ：-20℃至60℃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工作湿度： 5%~95%</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★整机功耗 ：峰值60W</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★MTBF≥1000万次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含防尘防雨罩、语音提示模块、电源模块、通道指示灯</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4</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9</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智慧景区测温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热成像系统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（含热成像仪、安装支架、网络交换机）</w:t>
            </w:r>
          </w:p>
        </w:tc>
        <w:tc>
          <w:tcPr>
            <w:tcW w:w="1084" w:type="dxa"/>
            <w:vAlign w:val="center"/>
          </w:tcPr>
          <w:p>
            <w:pPr>
              <w:jc w:val="center"/>
              <w:rPr>
                <w:rFonts w:ascii="宋体" w:hAnsi="宋体" w:cs="宋体"/>
                <w:sz w:val="20"/>
                <w:szCs w:val="20"/>
              </w:rPr>
            </w:pP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【热成像仪参数】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热成像：分辨率160*120  焦距：6mm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视场角：25°x18.7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可见光：分辨率2688*1520°焦距8mm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视频模式：双光融合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【安装支架参数】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测温设备闸机安装专用支架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【网络交换机参数】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千兆以太网交换机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传输速率：10/100/1000Mbps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背板带宽：16Gbps  包转发率：11.9Mpps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端口数量：8个10/100/1000自适应以太网电口</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4</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10</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8口千兆百兆混合接入交换机</w:t>
            </w:r>
          </w:p>
        </w:tc>
        <w:tc>
          <w:tcPr>
            <w:tcW w:w="108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H3C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S3100V3-10TP-SI</w:t>
            </w:r>
          </w:p>
        </w:tc>
        <w:tc>
          <w:tcPr>
            <w:tcW w:w="9943" w:type="dxa"/>
          </w:tcPr>
          <w:p>
            <w:pPr>
              <w:widowControl/>
              <w:jc w:val="left"/>
              <w:textAlignment w:val="top"/>
              <w:rPr>
                <w:rFonts w:ascii="宋体" w:hAnsi="宋体" w:cs="宋体"/>
                <w:sz w:val="20"/>
                <w:szCs w:val="20"/>
              </w:rPr>
            </w:pPr>
            <w:r>
              <w:rPr>
                <w:rFonts w:hint="eastAsia" w:ascii="宋体" w:hAnsi="宋体" w:cs="宋体"/>
                <w:color w:val="000000"/>
                <w:kern w:val="0"/>
                <w:sz w:val="20"/>
                <w:szCs w:val="20"/>
              </w:rPr>
              <w:t>千百兆组合以太网交换机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传输速率：10/100/1000Mbps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交换容量：128Gbps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包转发率：9.6Mpps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端口数量：4个10/100Base-TX以太网端口；4个10/100/1000Base-T以太网端口，2个100/1000Base-X SFP端口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外形尺寸:266(W)×161(D)×43.6(H) 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工作温度:0℃～40℃</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11</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手持检票机</w:t>
            </w:r>
          </w:p>
        </w:tc>
        <w:tc>
          <w:tcPr>
            <w:tcW w:w="1084" w:type="dxa"/>
            <w:vAlign w:val="center"/>
          </w:tcPr>
          <w:p>
            <w:pPr>
              <w:jc w:val="center"/>
              <w:rPr>
                <w:rFonts w:ascii="宋体" w:hAnsi="宋体" w:cs="宋体"/>
                <w:sz w:val="20"/>
                <w:szCs w:val="20"/>
              </w:rPr>
            </w:pP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深度优化定制Android 操作系统，嵌入式ARM Cortex A53处理器，采用集RFID 身份证模块、条码阅读器、NFC 等多种验证识别模块于一体，支持快充，具备良好的电池续航能力，天线采用法国Satimo SG24 OTA 认证测试系统，符合CTIA标准，满足国际及国内各大运营商标准；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CPU：八核64 位ARM Cortex-A53 处理器，主频2.0GHz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GPU：AdrenoTM 506 GPU @ 650MHz，支持64 位寻址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内置存储：2GB LPDDR3 + 16GB eMMC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操作系统：Android 7.1</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显示屏：5.5 英寸工业级多点式电容触摸屏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具备重力传感器，光线传感器，距离传感器，震动马达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电池：高压充电式锂聚合物电池（3.8V 5000mAh)，可拆卸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支持WLAN、4G</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支持GPS/BeiDou/GLONASS定位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800W 像素高清摄像头，支持自动对焦、闪光灯、防抖、微距拍摄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支持二维码扫描、二代证识别、NFC</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工作环境：-20℃～55℃，5% ～95% RH（无冷凝）</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外形尺寸：长185mm×宽84mm×高23.7m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整机重量：≤400g</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12</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条码扫描枪</w:t>
            </w:r>
          </w:p>
        </w:tc>
        <w:tc>
          <w:tcPr>
            <w:tcW w:w="108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石科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SD-9750</w:t>
            </w:r>
          </w:p>
        </w:tc>
        <w:tc>
          <w:tcPr>
            <w:tcW w:w="9943" w:type="dxa"/>
          </w:tcPr>
          <w:p>
            <w:pPr>
              <w:widowControl/>
              <w:jc w:val="left"/>
              <w:textAlignment w:val="top"/>
              <w:rPr>
                <w:rFonts w:ascii="宋体" w:hAnsi="宋体" w:cs="宋体"/>
                <w:sz w:val="20"/>
                <w:szCs w:val="20"/>
              </w:rPr>
            </w:pPr>
            <w:r>
              <w:rPr>
                <w:rFonts w:hint="eastAsia" w:ascii="宋体" w:hAnsi="宋体" w:cs="宋体"/>
                <w:color w:val="000000"/>
                <w:kern w:val="0"/>
                <w:sz w:val="20"/>
                <w:szCs w:val="20"/>
              </w:rPr>
              <w:t>扫描方式：二维影像式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传输速度：波特率范围1200-115200bps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配有四颗625NM的红光照明，适用于某些光照不佳的情况下的补光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配备光标指示器，指示器工作时能和照明灯明显区分，且带有闪烁功能，可以明确指示条码中心位置，便于密集型场合下的菜单式扫描应用。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二维条码扫描器人体工程设计，性能卓越，携带方便，对所有1D ,2D的条码都具有极强的扫描功能。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提供USB-HID,USB模拟串口，UART,HID-POS五种接口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抗震性能：通过1.8米自由落体测试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使用温度：-20℃-60℃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工业等级：IP41</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13</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桌面式五合一阅读器</w:t>
            </w:r>
          </w:p>
        </w:tc>
        <w:tc>
          <w:tcPr>
            <w:tcW w:w="108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德卡</w:t>
            </w:r>
          </w:p>
        </w:tc>
        <w:tc>
          <w:tcPr>
            <w:tcW w:w="9943" w:type="dxa"/>
            <w:vAlign w:val="center"/>
          </w:tcPr>
          <w:p>
            <w:pPr>
              <w:widowControl/>
              <w:jc w:val="left"/>
              <w:textAlignment w:val="center"/>
              <w:rPr>
                <w:rFonts w:ascii="宋体" w:hAnsi="宋体" w:cs="宋体"/>
                <w:sz w:val="20"/>
                <w:szCs w:val="20"/>
              </w:rPr>
            </w:pPr>
            <w:r>
              <w:rPr>
                <w:rStyle w:val="218"/>
                <w:rFonts w:hint="eastAsia" w:ascii="宋体" w:hAnsi="宋体" w:cs="宋体"/>
                <w:bCs/>
              </w:rPr>
              <w:t>支持二维码、二代居民身份证、IC卡、以及二代三代社保卡（接触式及非接触式）阅读</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4</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14</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条码打印机</w:t>
            </w:r>
          </w:p>
        </w:tc>
        <w:tc>
          <w:tcPr>
            <w:tcW w:w="108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Honeywell</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PD43（203dpi）</w:t>
            </w:r>
          </w:p>
        </w:tc>
        <w:tc>
          <w:tcPr>
            <w:tcW w:w="9943" w:type="dxa"/>
          </w:tcPr>
          <w:p>
            <w:pPr>
              <w:widowControl/>
              <w:jc w:val="left"/>
              <w:textAlignment w:val="top"/>
              <w:rPr>
                <w:rFonts w:ascii="宋体" w:hAnsi="宋体" w:cs="宋体"/>
                <w:sz w:val="20"/>
                <w:szCs w:val="20"/>
              </w:rPr>
            </w:pPr>
            <w:r>
              <w:rPr>
                <w:rFonts w:hint="eastAsia" w:ascii="宋体" w:hAnsi="宋体" w:cs="宋体"/>
                <w:color w:val="000000"/>
                <w:kern w:val="0"/>
                <w:sz w:val="20"/>
                <w:szCs w:val="20"/>
              </w:rPr>
              <w:t xml:space="preserve">打印方式:热转印/热敏方式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分辨率(dpi):203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打印宽度(mm):104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打印速度(mm/s):203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最大打印长度(mm):17270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内存(MB):128 MB 闪存, 128 MB 随机存取内存(DDR2)</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接口类型:USB</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4</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15</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社保卡阅读器</w:t>
            </w:r>
          </w:p>
        </w:tc>
        <w:tc>
          <w:tcPr>
            <w:tcW w:w="108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德卡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T10-MX1 </w:t>
            </w: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闸机增配社保卡阅读器，需同时支持接触式读卡和非接触式读卡两种读卡方式，兼容第二代、第三代社保卡</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2</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16</w:t>
            </w:r>
          </w:p>
        </w:tc>
        <w:tc>
          <w:tcPr>
            <w:tcW w:w="1078"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闸机改造</w:t>
            </w:r>
          </w:p>
        </w:tc>
        <w:tc>
          <w:tcPr>
            <w:tcW w:w="1084" w:type="dxa"/>
            <w:vAlign w:val="center"/>
          </w:tcPr>
          <w:p>
            <w:pPr>
              <w:jc w:val="center"/>
              <w:rPr>
                <w:rFonts w:ascii="宋体" w:hAnsi="宋体" w:cs="宋体"/>
                <w:sz w:val="20"/>
                <w:szCs w:val="20"/>
              </w:rPr>
            </w:pPr>
          </w:p>
        </w:tc>
        <w:tc>
          <w:tcPr>
            <w:tcW w:w="9943" w:type="dxa"/>
            <w:vAlign w:val="center"/>
          </w:tcPr>
          <w:p>
            <w:pPr>
              <w:widowControl/>
              <w:jc w:val="left"/>
              <w:textAlignment w:val="center"/>
              <w:rPr>
                <w:rFonts w:ascii="宋体" w:hAnsi="宋体" w:cs="宋体"/>
                <w:sz w:val="20"/>
                <w:szCs w:val="20"/>
              </w:rPr>
            </w:pPr>
            <w:r>
              <w:rPr>
                <w:rFonts w:hint="eastAsia" w:ascii="宋体" w:hAnsi="宋体" w:cs="宋体"/>
                <w:color w:val="000000"/>
                <w:kern w:val="0"/>
                <w:sz w:val="20"/>
                <w:szCs w:val="20"/>
              </w:rPr>
              <w:t>民居苑景区4台出口闸机线路改造、固定支架及相关配件</w:t>
            </w:r>
          </w:p>
        </w:tc>
        <w:tc>
          <w:tcPr>
            <w:tcW w:w="709"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4</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5" w:type="dxa"/>
            <w:gridSpan w:val="6"/>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第三方部分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78"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电子发票</w:t>
            </w:r>
          </w:p>
        </w:tc>
        <w:tc>
          <w:tcPr>
            <w:tcW w:w="1084" w:type="dxa"/>
            <w:vAlign w:val="center"/>
          </w:tcPr>
          <w:p>
            <w:pPr>
              <w:jc w:val="center"/>
              <w:rPr>
                <w:rFonts w:ascii="宋体" w:hAnsi="宋体" w:cs="宋体"/>
                <w:sz w:val="20"/>
                <w:szCs w:val="20"/>
              </w:rPr>
            </w:pPr>
          </w:p>
        </w:tc>
        <w:tc>
          <w:tcPr>
            <w:tcW w:w="9943"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基于票务系统与电子发票供应商进行对接，实现：</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增值税电子发票开具，门票上二码合一（核销与开票），游客可使用一个码进行入园核销及开发；（门票核销后方可开票）</w:t>
            </w:r>
          </w:p>
        </w:tc>
        <w:tc>
          <w:tcPr>
            <w:tcW w:w="709"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90" w:type="dxa"/>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套</w:t>
            </w:r>
          </w:p>
        </w:tc>
      </w:tr>
    </w:tbl>
    <w:p>
      <w:pPr>
        <w:rPr>
          <w:rFonts w:ascii="宋体" w:hAnsi="宋体" w:cs="宋体"/>
          <w:kern w:val="0"/>
          <w:sz w:val="24"/>
        </w:rPr>
      </w:pPr>
      <w:r>
        <w:rPr>
          <w:rFonts w:hint="eastAsia" w:ascii="宋体" w:hAnsi="宋体" w:cs="宋体"/>
          <w:kern w:val="0"/>
          <w:sz w:val="24"/>
        </w:rPr>
        <w:t>注：</w:t>
      </w:r>
    </w:p>
    <w:p>
      <w:pPr>
        <w:pStyle w:val="80"/>
        <w:spacing w:before="157"/>
        <w:ind w:firstLine="0"/>
        <w:rPr>
          <w:rFonts w:ascii="宋体" w:hAnsi="宋体" w:cs="宋体"/>
        </w:rPr>
      </w:pPr>
      <w:r>
        <w:rPr>
          <w:rFonts w:hint="eastAsia" w:ascii="宋体" w:hAnsi="宋体" w:cs="宋体"/>
        </w:rPr>
        <w:t>1.本表仅供参考，具体现场对工程有关的因素由投标人自行考察，厂家可以根据自身产品特点和实际情况自行决定系统配件，但必须实现本文件要求的系统功能，如有必需性配件需要增加都包含在项目报价中，采购方不另外追加。</w:t>
      </w:r>
    </w:p>
    <w:p>
      <w:pPr>
        <w:pStyle w:val="80"/>
        <w:spacing w:before="157"/>
        <w:ind w:firstLine="0"/>
        <w:rPr>
          <w:rFonts w:ascii="宋体" w:hAnsi="宋体" w:cs="宋体"/>
        </w:rPr>
      </w:pPr>
      <w:r>
        <w:rPr>
          <w:rFonts w:hint="eastAsia" w:ascii="宋体" w:hAnsi="宋体" w:cs="宋体"/>
        </w:rPr>
        <w:t>2.防雷要求：应具备外部和内部避雷措施。</w:t>
      </w:r>
    </w:p>
    <w:p>
      <w:pPr>
        <w:pStyle w:val="80"/>
        <w:spacing w:before="157"/>
        <w:ind w:firstLine="0"/>
        <w:rPr>
          <w:rFonts w:ascii="宋体" w:hAnsi="宋体" w:cs="宋体"/>
        </w:rPr>
      </w:pPr>
      <w:r>
        <w:rPr>
          <w:rFonts w:hint="eastAsia" w:ascii="宋体" w:hAnsi="宋体" w:cs="宋体"/>
        </w:rPr>
        <w:t>3.投标人提供的整套设备应能构成一个完整的系统并按技术要求连续运行。需要采购人自行解决的设备、附件应在投标文件中列出，否则系统正常运行所缺的设备及附件，均视为免费及时提供。</w:t>
      </w:r>
    </w:p>
    <w:p>
      <w:pPr>
        <w:pStyle w:val="80"/>
        <w:spacing w:before="157"/>
        <w:ind w:firstLine="0"/>
        <w:rPr>
          <w:rFonts w:ascii="宋体" w:hAnsi="宋体" w:cs="宋体"/>
        </w:rPr>
      </w:pPr>
      <w:r>
        <w:rPr>
          <w:rFonts w:hint="eastAsia" w:ascii="宋体" w:hAnsi="宋体" w:cs="宋体"/>
        </w:rPr>
        <w:t>4.投标人需按招标文件的要求提供货物及运输、安装、调试、维护、售后服务等，上述各设备的报价均包含从设备采购至安装建设完成并交付使用所需的一切费用。</w:t>
      </w:r>
    </w:p>
    <w:p>
      <w:pPr>
        <w:pStyle w:val="80"/>
        <w:spacing w:before="157"/>
        <w:ind w:firstLine="0"/>
        <w:rPr>
          <w:rFonts w:ascii="宋体" w:hAnsi="宋体" w:cs="宋体"/>
        </w:rPr>
      </w:pPr>
      <w:r>
        <w:rPr>
          <w:rFonts w:hint="eastAsia" w:ascii="宋体" w:hAnsi="宋体" w:cs="宋体"/>
          <w:color w:val="000000"/>
        </w:rPr>
        <w:t>▲</w:t>
      </w:r>
      <w:r>
        <w:rPr>
          <w:rFonts w:hint="eastAsia" w:ascii="宋体" w:hAnsi="宋体" w:cs="宋体"/>
        </w:rPr>
        <w:t>商务要求：</w:t>
      </w:r>
    </w:p>
    <w:p>
      <w:pPr>
        <w:snapToGrid w:val="0"/>
        <w:spacing w:line="460" w:lineRule="atLeast"/>
        <w:outlineLvl w:val="1"/>
        <w:rPr>
          <w:rFonts w:ascii="宋体" w:hAnsi="宋体" w:cs="宋体"/>
          <w:kern w:val="0"/>
          <w:sz w:val="24"/>
        </w:rPr>
      </w:pPr>
      <w:r>
        <w:rPr>
          <w:rFonts w:hint="eastAsia" w:ascii="宋体" w:hAnsi="宋体" w:cs="宋体"/>
          <w:kern w:val="0"/>
          <w:sz w:val="24"/>
        </w:rPr>
        <w:t>1.在5月18号之前实现本景区与全省及长三角地区社保卡实体卡、电子卡刷卡入及互联互通，并验收合格。</w:t>
      </w:r>
    </w:p>
    <w:p>
      <w:pPr>
        <w:snapToGrid w:val="0"/>
        <w:spacing w:line="460" w:lineRule="exact"/>
        <w:rPr>
          <w:rFonts w:ascii="宋体" w:hAnsi="宋体" w:cs="宋体"/>
          <w:sz w:val="24"/>
        </w:rPr>
      </w:pPr>
      <w:r>
        <w:rPr>
          <w:rFonts w:hint="eastAsia" w:ascii="宋体" w:hAnsi="宋体" w:cs="宋体"/>
          <w:sz w:val="24"/>
        </w:rPr>
        <w:t>2.货物安装完毕调试并验收合格后支付结算总额的95%；5%作为整体质量保证金，待一年质保期满后一次性付清。</w:t>
      </w:r>
    </w:p>
    <w:p>
      <w:pPr>
        <w:pStyle w:val="80"/>
        <w:spacing w:before="157"/>
        <w:rPr>
          <w:rFonts w:ascii="宋体" w:hAnsi="宋体" w:cs="宋体"/>
        </w:rPr>
      </w:pPr>
    </w:p>
    <w:p>
      <w:pPr>
        <w:pStyle w:val="80"/>
        <w:spacing w:before="157"/>
        <w:rPr>
          <w:rFonts w:ascii="宋体" w:hAnsi="宋体" w:cs="宋体"/>
        </w:rPr>
      </w:pPr>
    </w:p>
    <w:p>
      <w:pPr>
        <w:pStyle w:val="80"/>
        <w:spacing w:before="157"/>
        <w:ind w:firstLine="0"/>
        <w:rPr>
          <w:rFonts w:ascii="宋体" w:hAnsi="宋体" w:cs="宋体"/>
        </w:rPr>
        <w:sectPr>
          <w:pgSz w:w="16838" w:h="11906" w:orient="landscape"/>
          <w:pgMar w:top="1080" w:right="1440" w:bottom="1080" w:left="1440" w:header="850" w:footer="992" w:gutter="0"/>
          <w:pgBorders>
            <w:top w:val="none" w:sz="0" w:space="0"/>
            <w:left w:val="none" w:sz="0" w:space="0"/>
            <w:bottom w:val="none" w:sz="0" w:space="0"/>
            <w:right w:val="none" w:sz="0" w:space="0"/>
          </w:pgBorders>
          <w:cols w:space="0" w:num="1"/>
          <w:docGrid w:type="lines" w:linePitch="314" w:charSpace="0"/>
        </w:sectPr>
      </w:pPr>
    </w:p>
    <w:p>
      <w:pPr>
        <w:pStyle w:val="80"/>
        <w:adjustRightInd w:val="0"/>
        <w:snapToGrid w:val="0"/>
        <w:spacing w:before="157"/>
        <w:ind w:firstLine="0"/>
        <w:rPr>
          <w:rFonts w:ascii="宋体" w:hAnsi="宋体"/>
          <w:color w:val="000000"/>
        </w:rPr>
      </w:pPr>
    </w:p>
    <w:p>
      <w:pPr>
        <w:numPr>
          <w:ilvl w:val="0"/>
          <w:numId w:val="17"/>
        </w:numPr>
        <w:spacing w:line="500" w:lineRule="exact"/>
        <w:ind w:firstLine="2240" w:firstLineChars="700"/>
        <w:outlineLvl w:val="0"/>
        <w:rPr>
          <w:rFonts w:asciiTheme="minorEastAsia" w:hAnsiTheme="minorEastAsia" w:eastAsiaTheme="minorEastAsia" w:cstheme="minorEastAsia"/>
          <w:color w:val="000000"/>
          <w:sz w:val="32"/>
          <w:szCs w:val="32"/>
        </w:rPr>
      </w:pPr>
      <w:bookmarkStart w:id="38" w:name="_Toc1873"/>
      <w:r>
        <w:rPr>
          <w:rFonts w:hint="eastAsia" w:asciiTheme="minorEastAsia" w:hAnsiTheme="minorEastAsia" w:eastAsiaTheme="minorEastAsia" w:cstheme="minorEastAsia"/>
          <w:color w:val="000000"/>
          <w:sz w:val="32"/>
          <w:szCs w:val="32"/>
        </w:rPr>
        <w:t>合同的通用和专用条款</w:t>
      </w:r>
      <w:bookmarkEnd w:id="38"/>
    </w:p>
    <w:p>
      <w:pPr>
        <w:pStyle w:val="24"/>
      </w:pP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甲  方（使用方）：</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乙  方（供应商）:</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参照《中华人民共和国政府采购法》、《中华人民共和国合同法》的规定，经招标，确定乙方为中标单位。按照招标文件和投标结果，为明确双方的权利和义务，经甲乙双方协商达成合同如下：</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一：合同金额</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本合同金额为（大写）：_________________元（￥_______________元）人民币。</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注：以上合同总价须包括</w:t>
      </w:r>
      <w:r>
        <w:rPr>
          <w:rFonts w:hint="eastAsia" w:ascii="宋体" w:hAnsi="宋体" w:cs="宋体"/>
          <w:color w:val="292929"/>
          <w:sz w:val="24"/>
          <w:lang w:val="zh-CN"/>
        </w:rPr>
        <w:t>货物价款</w:t>
      </w:r>
      <w:r>
        <w:rPr>
          <w:rFonts w:hint="eastAsia" w:asciiTheme="minorEastAsia" w:hAnsiTheme="minorEastAsia" w:eastAsiaTheme="minorEastAsia" w:cstheme="minorEastAsia"/>
          <w:color w:val="000000"/>
          <w:sz w:val="24"/>
        </w:rPr>
        <w:t>调试</w:t>
      </w:r>
      <w:r>
        <w:rPr>
          <w:rFonts w:hint="eastAsia" w:ascii="宋体" w:hAnsi="宋体" w:cs="宋体"/>
          <w:color w:val="292929"/>
          <w:sz w:val="24"/>
          <w:lang w:val="zh-CN"/>
        </w:rPr>
        <w:t>安装、调试、检测、验收费、培训指导费、</w:t>
      </w:r>
      <w:r>
        <w:rPr>
          <w:rFonts w:hint="eastAsia" w:ascii="宋体" w:hAnsi="宋体" w:cs="宋体"/>
          <w:color w:val="292929"/>
          <w:sz w:val="24"/>
        </w:rPr>
        <w:t>辅助工作及售后服务、</w:t>
      </w:r>
      <w:r>
        <w:rPr>
          <w:rFonts w:hint="eastAsia" w:ascii="宋体" w:hAnsi="宋体" w:cs="宋体"/>
          <w:color w:val="292929"/>
          <w:sz w:val="24"/>
          <w:lang w:val="zh-CN"/>
        </w:rPr>
        <w:t>保险费、税金等一切费用</w:t>
      </w:r>
      <w:r>
        <w:rPr>
          <w:rFonts w:hint="eastAsia" w:ascii="宋体" w:hAnsi="宋体" w:cs="宋体"/>
          <w:color w:val="000000"/>
          <w:sz w:val="24"/>
          <w:lang w:val="zh-CN"/>
        </w:rPr>
        <w:t>。</w:t>
      </w:r>
      <w:r>
        <w:rPr>
          <w:rFonts w:hint="eastAsia" w:ascii="宋体" w:hAnsi="宋体" w:cs="宋体"/>
          <w:color w:val="000000"/>
          <w:sz w:val="24"/>
        </w:rPr>
        <w:t>即按采购人要求运到指定地点的价格。磋商响应报价为磋商响应方所能承受的最低、最终报价。如有漏项，视同已包含在其它项目中，总价不做调整。投标报价为投标人所能承受的最低、最终报价 (即交钥匙工程)，投标人不得再要求追加任何费用。结算货款为最终实际数量乘以中标单价。</w:t>
      </w:r>
      <w:bookmarkStart w:id="39" w:name="_Toc12689_WPSOffice_Level2"/>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二：</w:t>
      </w:r>
      <w:bookmarkEnd w:id="39"/>
      <w:r>
        <w:rPr>
          <w:rFonts w:hint="eastAsia" w:ascii="宋体" w:hAnsi="宋体" w:cs="宋体"/>
          <w:color w:val="000000"/>
          <w:sz w:val="24"/>
        </w:rPr>
        <w:t>技术资料</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1.乙方应按招标文件规定的时间向甲方提供使用货物的有关技术资料。</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三、知识产权</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乙方应保证所提供的货物或其任何一部分均不会侵犯任何第三方的知识产权。</w:t>
      </w:r>
    </w:p>
    <w:p>
      <w:pPr>
        <w:snapToGrid w:val="0"/>
        <w:spacing w:line="460" w:lineRule="exact"/>
        <w:ind w:firstLine="480" w:firstLineChars="200"/>
        <w:rPr>
          <w:rFonts w:ascii="宋体" w:hAnsi="宋体" w:cs="宋体"/>
          <w:color w:val="000000"/>
          <w:sz w:val="24"/>
        </w:rPr>
      </w:pPr>
      <w:bookmarkStart w:id="40" w:name="_Toc20017_WPSOffice_Level2"/>
      <w:r>
        <w:rPr>
          <w:rFonts w:hint="eastAsia" w:ascii="宋体" w:hAnsi="宋体" w:cs="宋体"/>
          <w:color w:val="000000"/>
          <w:sz w:val="24"/>
        </w:rPr>
        <w:t>第三条：</w:t>
      </w:r>
      <w:bookmarkEnd w:id="40"/>
      <w:r>
        <w:rPr>
          <w:rFonts w:hint="eastAsia" w:ascii="宋体" w:hAnsi="宋体" w:cs="宋体"/>
          <w:color w:val="000000"/>
          <w:sz w:val="24"/>
        </w:rPr>
        <w:t>产权担保</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乙方保证所交付的货物的所有权完全属于乙方且无任何抵押、查封等产权瑕疵。</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履约保证金</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本项目履约保证金（合同总价的5%）元，乙方应按招标文件约定交纳，在合同履约期满后，15个工作日内无息退还。</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转包或分包</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1.本合同范围的货物，应由乙方直接供应，不得转让他人供应；</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2.乙方不得将本合同范围的货物全部或部分分包给他人供应；</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3.如有转让和分包行为，甲方有权解除合同，没收履约保证金并追究乙方的违约责任。</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九、质保期</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 xml:space="preserve"> 质保期年。（自交货验收合格之日起计）</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十、交货期、交货地点</w:t>
      </w:r>
    </w:p>
    <w:p>
      <w:pPr>
        <w:snapToGrid w:val="0"/>
        <w:spacing w:line="460" w:lineRule="exact"/>
        <w:ind w:firstLine="480" w:firstLineChars="200"/>
        <w:rPr>
          <w:rFonts w:ascii="宋体" w:hAnsi="宋体" w:cs="宋体"/>
          <w:color w:val="000000" w:themeColor="text1"/>
          <w:sz w:val="24"/>
        </w:rPr>
      </w:pPr>
      <w:r>
        <w:rPr>
          <w:rFonts w:hint="eastAsia" w:ascii="宋体" w:hAnsi="宋体" w:cs="宋体"/>
          <w:color w:val="000000"/>
          <w:sz w:val="24"/>
        </w:rPr>
        <w:t>1. 交货期：</w:t>
      </w:r>
      <w:r>
        <w:rPr>
          <w:rFonts w:hint="eastAsia" w:asciiTheme="minorEastAsia" w:hAnsiTheme="minorEastAsia" w:eastAsiaTheme="minorEastAsia" w:cstheme="minorEastAsia"/>
          <w:color w:val="000000" w:themeColor="text1"/>
          <w:sz w:val="24"/>
        </w:rPr>
        <w:t>签订合同后七个日历天完成安装、调试，5月18号之前实现本景区与全省及长三角地区社保卡实体卡、电子卡刷卡入及互联互通，并验收合格。</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 交货地点：</w:t>
      </w:r>
    </w:p>
    <w:p>
      <w:pPr>
        <w:snapToGrid w:val="0"/>
        <w:spacing w:line="460" w:lineRule="exact"/>
        <w:ind w:firstLine="480" w:firstLineChars="200"/>
        <w:rPr>
          <w:rFonts w:ascii="宋体" w:hAnsi="宋体" w:cs="宋体"/>
          <w:color w:val="000000"/>
          <w:sz w:val="24"/>
        </w:rPr>
      </w:pPr>
      <w:bookmarkStart w:id="41" w:name="_Toc21884_WPSOffice_Level2"/>
      <w:r>
        <w:rPr>
          <w:rFonts w:hint="eastAsia" w:ascii="宋体" w:hAnsi="宋体" w:cs="宋体"/>
          <w:color w:val="000000"/>
          <w:sz w:val="24"/>
        </w:rPr>
        <w:t>货款支付</w:t>
      </w:r>
    </w:p>
    <w:p>
      <w:pPr>
        <w:snapToGrid w:val="0"/>
        <w:spacing w:line="460" w:lineRule="exact"/>
        <w:ind w:firstLine="480" w:firstLineChars="200"/>
        <w:rPr>
          <w:rFonts w:ascii="宋体" w:hAnsi="宋体" w:cs="宋体"/>
          <w:sz w:val="24"/>
        </w:rPr>
      </w:pPr>
      <w:r>
        <w:rPr>
          <w:rFonts w:hint="eastAsia" w:ascii="宋体" w:hAnsi="宋体" w:cs="宋体"/>
          <w:sz w:val="24"/>
        </w:rPr>
        <w:t>货物安装完毕调试并验收合格后支付结算总额的95%；5%作为整体质量保证金，待一年质保期满后一次性付清。</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税费</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本合同执行中相关的一切税费均由乙方负担。</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十三、质量保证及售后服务</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 乙方应按招标文件规定的货物性能、技术要求、质量标准向甲方提供未经使用的全新产品。</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 乙方提供的货物在质保期内因货物本身的质量问题发生故障，乙方应负责免费更换。对达不到技术要求者，根据实际情况，经双方协商，可按以下办法处理：</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⑴更换：由乙方承担所发生的全部费用。</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⑵贬值处理：由甲乙双方合议定价。</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⑶退货处理：乙方应退还甲方支付的合同款，同时应承担该货物的直接费用（运输、保险、检验、货款利息及银行手续费等）。</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 如在使用过程中发生质量问题，乙方在接到甲方通知后在小时内到达甲方现场。</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4. 在质保期内，乙方应对货物出现的质量及安全问题负责处理解决并承担一切费用。</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5. 货物免费保修期参照招标文件约定时间执行。超过保修期的设备部件，终生维修，维修时只收取相应的部件成本费。</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十四、调试和验收</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 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宋体" w:hAnsi="宋体" w:cs="宋体"/>
          <w:sz w:val="24"/>
        </w:rPr>
        <w:t>七个工</w:t>
      </w:r>
      <w:r>
        <w:rPr>
          <w:rFonts w:hint="eastAsia" w:ascii="宋体" w:hAnsi="宋体" w:cs="宋体"/>
          <w:color w:val="000000"/>
          <w:sz w:val="24"/>
        </w:rPr>
        <w:t>作日内组织验收。</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 乙方交货前应对产品作出全面检查和对验收文件进行整理，并列出清单，作为甲方收货验收和使用的技术条件依据，检验的结果应随货物交甲方。</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 甲方对乙方提供的货物在使用前进行调试时，乙方需负责安装并培训甲方的使用操作人员，并协助甲方一起调试，直到符合技术要求，甲方才做最终验收。</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4. 项目终验：甲方按照招标文件要求，自行组织验收,验收时乙方必须在现场。</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十五、货物包装、发运及运输</w:t>
      </w:r>
    </w:p>
    <w:p>
      <w:pPr>
        <w:pStyle w:val="32"/>
        <w:snapToGrid w:val="0"/>
        <w:spacing w:before="120" w:after="120" w:line="360" w:lineRule="auto"/>
        <w:ind w:left="479" w:leftChars="228"/>
        <w:rPr>
          <w:rFonts w:hAnsi="宋体"/>
          <w:sz w:val="24"/>
        </w:rPr>
      </w:pPr>
      <w:r>
        <w:rPr>
          <w:rFonts w:hint="eastAsia" w:hAnsi="宋体" w:cs="宋体"/>
          <w:color w:val="000000"/>
          <w:sz w:val="24"/>
        </w:rPr>
        <w:t>15.1</w:t>
      </w:r>
      <w:r>
        <w:rPr>
          <w:rFonts w:hint="eastAsia" w:hAnsi="宋体"/>
          <w:sz w:val="24"/>
        </w:rPr>
        <w:t>方应在货物发运前对其进行满足运输距离等要求包装，以保证货物安全运达甲方指定地点。</w:t>
      </w:r>
    </w:p>
    <w:p>
      <w:pPr>
        <w:pStyle w:val="32"/>
        <w:snapToGrid w:val="0"/>
        <w:spacing w:before="120" w:after="120" w:line="360" w:lineRule="auto"/>
        <w:ind w:left="479" w:leftChars="228"/>
        <w:rPr>
          <w:rFonts w:hAnsi="宋体"/>
          <w:sz w:val="24"/>
        </w:rPr>
      </w:pPr>
      <w:r>
        <w:rPr>
          <w:rFonts w:hint="eastAsia" w:hAnsi="宋体"/>
          <w:sz w:val="24"/>
        </w:rPr>
        <w:t>15.2 使用说明书、质量检验证明书、随配附件和工具以及清单一并附于货物内。</w:t>
      </w:r>
    </w:p>
    <w:p>
      <w:pPr>
        <w:pStyle w:val="32"/>
        <w:snapToGrid w:val="0"/>
        <w:spacing w:before="120" w:after="120" w:line="360" w:lineRule="auto"/>
        <w:ind w:left="479" w:leftChars="228"/>
        <w:rPr>
          <w:rFonts w:hAnsi="宋体"/>
          <w:sz w:val="24"/>
        </w:rPr>
      </w:pPr>
      <w:r>
        <w:rPr>
          <w:rFonts w:hint="eastAsia" w:hAnsi="宋体"/>
          <w:sz w:val="24"/>
        </w:rPr>
        <w:t>15.3 乙方在货物发运手续办理完毕后24小时内或货到甲方48小时前通知甲方，以准备接货。</w:t>
      </w:r>
    </w:p>
    <w:p>
      <w:pPr>
        <w:pStyle w:val="32"/>
        <w:snapToGrid w:val="0"/>
        <w:spacing w:before="120" w:after="120" w:line="360" w:lineRule="auto"/>
        <w:ind w:left="479" w:leftChars="228"/>
        <w:rPr>
          <w:rFonts w:hAnsi="宋体"/>
          <w:sz w:val="24"/>
        </w:rPr>
      </w:pPr>
      <w:r>
        <w:rPr>
          <w:rFonts w:hint="eastAsia" w:hAnsi="宋体"/>
          <w:sz w:val="24"/>
        </w:rPr>
        <w:t>15.4 货物在交付甲方前发生的风险均由乙方负责。</w:t>
      </w:r>
    </w:p>
    <w:p>
      <w:pPr>
        <w:pStyle w:val="32"/>
        <w:snapToGrid w:val="0"/>
        <w:spacing w:before="120" w:after="120" w:line="360" w:lineRule="auto"/>
        <w:ind w:left="479" w:leftChars="228" w:right="26"/>
        <w:rPr>
          <w:rFonts w:hAnsi="宋体" w:cs="宋体"/>
          <w:color w:val="000000"/>
          <w:sz w:val="24"/>
        </w:rPr>
      </w:pPr>
      <w:r>
        <w:rPr>
          <w:rFonts w:hint="eastAsia" w:hAnsi="宋体"/>
          <w:sz w:val="24"/>
        </w:rPr>
        <w:t>15.5 货物在规定的交付期限内由乙方送达甲方指定的地点视为交付，乙方同时需通知甲方货物已送达。</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十六、违约责任</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 甲方无正当理由拒收货物的，甲方向乙方偿付拒收货款总值百分之五违约金。</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 乙方无正当理由违反本合同约定条款的，向甲方支付合同总标的价款的百分之五违约金。</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 甲方无故逾期验收和办理货款支付手续的,甲方应按逾期付款总额每日万分之五向乙方支付违约金。</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4.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6. 乙方未按投标文件所约定的时间完成相应进度，逾期超过5个工作日的，甲方可解除本合同并追究乙方的违约责任。</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十七、不可抗力事件处理</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 在合同有效期内，任何一方因不可抗力事件导致不能履行合同，则合同履行期可延长，其延长期与不可抗力影响期相同。</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 不可抗力事件发生后，应立即通知对方，并寄送有关权威机构出具的证明。</w:t>
      </w:r>
    </w:p>
    <w:p>
      <w:pPr>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 不可抗力事件延续120天以上，双方应通过友好协商，确定是否继续履行合同。</w:t>
      </w:r>
    </w:p>
    <w:bookmarkEnd w:id="41"/>
    <w:p>
      <w:pPr>
        <w:autoSpaceDE w:val="0"/>
        <w:adjustRightInd w:val="0"/>
        <w:snapToGrid w:val="0"/>
        <w:spacing w:line="460" w:lineRule="exact"/>
        <w:ind w:firstLine="504" w:firstLineChars="209"/>
        <w:rPr>
          <w:rFonts w:ascii="宋体" w:hAnsi="宋体"/>
          <w:b/>
          <w:color w:val="000000"/>
          <w:kern w:val="0"/>
          <w:sz w:val="24"/>
        </w:rPr>
      </w:pPr>
      <w:r>
        <w:rPr>
          <w:rFonts w:hint="eastAsia" w:ascii="宋体" w:hAnsi="宋体"/>
          <w:b/>
          <w:color w:val="000000"/>
          <w:kern w:val="0"/>
          <w:sz w:val="24"/>
        </w:rPr>
        <w:t>第十一条：争议的解决</w:t>
      </w:r>
    </w:p>
    <w:p>
      <w:pPr>
        <w:autoSpaceDE w:val="0"/>
        <w:adjustRightInd w:val="0"/>
        <w:snapToGrid w:val="0"/>
        <w:spacing w:line="460" w:lineRule="exact"/>
        <w:ind w:firstLine="501" w:firstLineChars="209"/>
        <w:rPr>
          <w:rFonts w:ascii="宋体" w:hAnsi="宋体"/>
          <w:color w:val="000000"/>
          <w:kern w:val="0"/>
          <w:sz w:val="24"/>
        </w:rPr>
      </w:pPr>
      <w:r>
        <w:rPr>
          <w:rFonts w:hint="eastAsia" w:ascii="宋体" w:hAnsi="宋体"/>
          <w:color w:val="000000"/>
          <w:kern w:val="0"/>
          <w:sz w:val="24"/>
        </w:rPr>
        <w:t>1．因质量问题发生争议的，由</w:t>
      </w:r>
      <w:r>
        <w:rPr>
          <w:rFonts w:hint="eastAsia" w:ascii="宋体" w:hAnsi="宋体"/>
          <w:color w:val="000000"/>
          <w:sz w:val="24"/>
        </w:rPr>
        <w:t>甲</w:t>
      </w:r>
      <w:r>
        <w:rPr>
          <w:rFonts w:hint="eastAsia" w:ascii="宋体" w:hAnsi="宋体"/>
          <w:color w:val="000000"/>
          <w:kern w:val="0"/>
          <w:sz w:val="24"/>
        </w:rPr>
        <w:t>方委托有关技术部门进行质量鉴定，该鉴定的结论</w:t>
      </w:r>
      <w:r>
        <w:rPr>
          <w:rFonts w:hint="eastAsia" w:ascii="宋体" w:hAnsi="宋体"/>
          <w:color w:val="000000"/>
          <w:sz w:val="24"/>
        </w:rPr>
        <w:t>甲</w:t>
      </w:r>
      <w:r>
        <w:rPr>
          <w:rFonts w:hint="eastAsia" w:ascii="宋体" w:hAnsi="宋体"/>
          <w:bCs/>
          <w:color w:val="000000"/>
          <w:kern w:val="0"/>
          <w:sz w:val="24"/>
        </w:rPr>
        <w:t>乙</w:t>
      </w:r>
      <w:r>
        <w:rPr>
          <w:rFonts w:hint="eastAsia" w:ascii="宋体" w:hAnsi="宋体"/>
          <w:color w:val="000000"/>
          <w:kern w:val="0"/>
          <w:sz w:val="24"/>
        </w:rPr>
        <w:t>双方应当接受，各方均有权直接向对方索赔，并签订书面处理协议书，报见证方备案。</w:t>
      </w:r>
    </w:p>
    <w:p>
      <w:pPr>
        <w:autoSpaceDE w:val="0"/>
        <w:adjustRightInd w:val="0"/>
        <w:snapToGrid w:val="0"/>
        <w:spacing w:line="460" w:lineRule="exact"/>
        <w:ind w:firstLine="501" w:firstLineChars="209"/>
        <w:rPr>
          <w:rFonts w:ascii="宋体" w:hAnsi="宋体"/>
          <w:color w:val="000000"/>
          <w:kern w:val="0"/>
          <w:sz w:val="24"/>
        </w:rPr>
      </w:pPr>
      <w:r>
        <w:rPr>
          <w:rFonts w:hint="eastAsia" w:ascii="宋体" w:hAnsi="宋体"/>
          <w:color w:val="000000"/>
          <w:kern w:val="0"/>
          <w:sz w:val="24"/>
        </w:rPr>
        <w:t>2．双方无法通过协商解决合同争议的，任何一方有权向</w:t>
      </w:r>
      <w:r>
        <w:rPr>
          <w:rFonts w:hint="eastAsia" w:ascii="宋体" w:hAnsi="宋体"/>
          <w:color w:val="000000"/>
          <w:kern w:val="0"/>
          <w:sz w:val="24"/>
          <w:u w:val="single"/>
        </w:rPr>
        <w:t xml:space="preserve"> 龙游县</w:t>
      </w:r>
      <w:r>
        <w:rPr>
          <w:rFonts w:hint="eastAsia" w:ascii="宋体" w:hAnsi="宋体"/>
          <w:color w:val="000000"/>
          <w:kern w:val="0"/>
          <w:sz w:val="24"/>
        </w:rPr>
        <w:t>人民法院提出诉讼。</w:t>
      </w:r>
    </w:p>
    <w:p>
      <w:pPr>
        <w:adjustRightInd w:val="0"/>
        <w:snapToGrid w:val="0"/>
        <w:spacing w:line="460" w:lineRule="exact"/>
        <w:ind w:firstLine="600"/>
        <w:rPr>
          <w:rFonts w:ascii="宋体" w:hAnsi="宋体"/>
          <w:b/>
          <w:color w:val="000000"/>
          <w:sz w:val="24"/>
        </w:rPr>
      </w:pPr>
      <w:r>
        <w:rPr>
          <w:rFonts w:hint="eastAsia" w:ascii="宋体" w:hAnsi="宋体"/>
          <w:b/>
          <w:color w:val="000000"/>
          <w:sz w:val="24"/>
        </w:rPr>
        <w:t>第十二条  合同的生效</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1、本合同经甲方、乙方法定代表人或其委托人签字并加盖双方公章，龙游博洽投资咨询有限公司加盖鉴证章后国资办备案生效。</w:t>
      </w:r>
    </w:p>
    <w:p>
      <w:pPr>
        <w:adjustRightInd w:val="0"/>
        <w:snapToGrid w:val="0"/>
        <w:spacing w:line="460" w:lineRule="exact"/>
        <w:ind w:left="210" w:leftChars="100" w:firstLine="240" w:firstLineChars="100"/>
        <w:rPr>
          <w:rFonts w:ascii="宋体" w:hAnsi="宋体" w:cs="宋体"/>
          <w:color w:val="000000"/>
          <w:sz w:val="24"/>
        </w:rPr>
      </w:pPr>
      <w:r>
        <w:rPr>
          <w:rFonts w:hint="eastAsia" w:ascii="宋体" w:hAnsi="宋体" w:cs="宋体"/>
          <w:color w:val="000000"/>
          <w:sz w:val="24"/>
        </w:rPr>
        <w:t>2、本合同一式六份，甲方、乙方双方各贰份，龙游县国资办、龙游博洽投资咨询有限公司各壹份。</w:t>
      </w:r>
    </w:p>
    <w:p>
      <w:pPr>
        <w:pStyle w:val="53"/>
        <w:widowControl w:val="0"/>
        <w:snapToGrid w:val="0"/>
        <w:spacing w:before="0" w:beforeAutospacing="0" w:after="0" w:afterAutospacing="0" w:line="500" w:lineRule="exact"/>
        <w:ind w:firstLine="338" w:firstLineChars="121"/>
        <w:jc w:val="both"/>
        <w:rPr>
          <w:rFonts w:cs="宋体"/>
          <w:color w:val="000000"/>
          <w:spacing w:val="20"/>
          <w:kern w:val="52"/>
        </w:rPr>
      </w:pPr>
      <w:r>
        <w:rPr>
          <w:rFonts w:hint="eastAsia" w:cs="宋体"/>
          <w:color w:val="000000"/>
          <w:spacing w:val="20"/>
          <w:kern w:val="52"/>
        </w:rPr>
        <w:t>甲方（盖章）：                  乙方（盖章）：</w:t>
      </w:r>
    </w:p>
    <w:p>
      <w:pPr>
        <w:pStyle w:val="53"/>
        <w:widowControl w:val="0"/>
        <w:snapToGrid w:val="0"/>
        <w:spacing w:before="0" w:beforeAutospacing="0" w:after="0" w:afterAutospacing="0" w:line="500" w:lineRule="exact"/>
        <w:ind w:firstLine="338" w:firstLineChars="121"/>
        <w:jc w:val="both"/>
        <w:rPr>
          <w:rFonts w:cs="宋体"/>
          <w:color w:val="000000"/>
          <w:spacing w:val="20"/>
          <w:kern w:val="52"/>
        </w:rPr>
      </w:pPr>
      <w:r>
        <w:rPr>
          <w:rFonts w:hint="eastAsia" w:cs="宋体"/>
          <w:color w:val="000000"/>
          <w:spacing w:val="20"/>
          <w:kern w:val="52"/>
        </w:rPr>
        <w:t>法定代表人：                    法定代表人：</w:t>
      </w:r>
    </w:p>
    <w:p>
      <w:pPr>
        <w:pStyle w:val="53"/>
        <w:widowControl w:val="0"/>
        <w:snapToGrid w:val="0"/>
        <w:spacing w:before="0" w:beforeAutospacing="0" w:after="0" w:afterAutospacing="0" w:line="500" w:lineRule="exact"/>
        <w:ind w:firstLine="338" w:firstLineChars="121"/>
        <w:jc w:val="both"/>
        <w:rPr>
          <w:rFonts w:cs="宋体"/>
          <w:color w:val="000000"/>
          <w:spacing w:val="20"/>
          <w:kern w:val="52"/>
        </w:rPr>
      </w:pPr>
      <w:r>
        <w:rPr>
          <w:rFonts w:hint="eastAsia" w:cs="宋体"/>
          <w:color w:val="000000"/>
          <w:spacing w:val="20"/>
          <w:kern w:val="52"/>
        </w:rPr>
        <w:t>委托代理人：                    委托代理人：</w:t>
      </w:r>
    </w:p>
    <w:p>
      <w:pPr>
        <w:pStyle w:val="53"/>
        <w:widowControl w:val="0"/>
        <w:snapToGrid w:val="0"/>
        <w:spacing w:before="0" w:beforeAutospacing="0" w:after="0" w:afterAutospacing="0" w:line="500" w:lineRule="exact"/>
        <w:ind w:firstLine="338" w:firstLineChars="121"/>
        <w:jc w:val="both"/>
        <w:rPr>
          <w:rFonts w:cs="宋体"/>
          <w:color w:val="000000"/>
          <w:spacing w:val="20"/>
          <w:kern w:val="52"/>
        </w:rPr>
      </w:pPr>
      <w:r>
        <w:rPr>
          <w:rFonts w:hint="eastAsia" w:cs="宋体"/>
          <w:color w:val="000000"/>
          <w:spacing w:val="20"/>
          <w:kern w:val="52"/>
        </w:rPr>
        <w:t>银行账号：</w:t>
      </w:r>
    </w:p>
    <w:p>
      <w:pPr>
        <w:pStyle w:val="53"/>
        <w:widowControl w:val="0"/>
        <w:snapToGrid w:val="0"/>
        <w:spacing w:before="0" w:beforeAutospacing="0" w:after="0" w:afterAutospacing="0" w:line="500" w:lineRule="exact"/>
        <w:ind w:firstLine="338" w:firstLineChars="121"/>
        <w:jc w:val="both"/>
        <w:rPr>
          <w:rFonts w:cs="宋体"/>
          <w:color w:val="000000"/>
          <w:spacing w:val="20"/>
          <w:kern w:val="52"/>
        </w:rPr>
      </w:pPr>
      <w:r>
        <w:rPr>
          <w:rFonts w:hint="eastAsia" w:cs="宋体"/>
          <w:color w:val="000000"/>
          <w:spacing w:val="20"/>
          <w:kern w:val="52"/>
        </w:rPr>
        <w:t>开户行：</w:t>
      </w:r>
    </w:p>
    <w:p>
      <w:pPr>
        <w:pStyle w:val="53"/>
        <w:widowControl w:val="0"/>
        <w:snapToGrid w:val="0"/>
        <w:spacing w:before="0" w:beforeAutospacing="0" w:after="0" w:afterAutospacing="0" w:line="500" w:lineRule="exact"/>
        <w:ind w:firstLine="338" w:firstLineChars="121"/>
        <w:jc w:val="both"/>
        <w:rPr>
          <w:rFonts w:cs="宋体"/>
          <w:color w:val="000000"/>
          <w:spacing w:val="20"/>
          <w:kern w:val="52"/>
          <w:sz w:val="21"/>
          <w:szCs w:val="21"/>
        </w:rPr>
      </w:pPr>
      <w:r>
        <w:rPr>
          <w:rFonts w:hint="eastAsia" w:cs="宋体"/>
          <w:color w:val="000000"/>
          <w:spacing w:val="20"/>
          <w:kern w:val="52"/>
        </w:rPr>
        <w:t>时间：2021年  月  日              时间：2021年  月  日</w:t>
      </w:r>
    </w:p>
    <w:p>
      <w:pPr>
        <w:pStyle w:val="53"/>
        <w:widowControl w:val="0"/>
        <w:snapToGrid w:val="0"/>
        <w:spacing w:before="0" w:beforeAutospacing="0" w:after="0" w:afterAutospacing="0" w:line="500" w:lineRule="exact"/>
        <w:ind w:firstLine="338" w:firstLineChars="121"/>
        <w:jc w:val="both"/>
        <w:rPr>
          <w:rFonts w:cs="宋体"/>
          <w:color w:val="000000"/>
          <w:spacing w:val="20"/>
          <w:kern w:val="52"/>
        </w:rPr>
      </w:pPr>
    </w:p>
    <w:p>
      <w:pPr>
        <w:pStyle w:val="53"/>
        <w:widowControl w:val="0"/>
        <w:snapToGrid w:val="0"/>
        <w:spacing w:before="0" w:beforeAutospacing="0" w:after="0" w:afterAutospacing="0" w:line="500" w:lineRule="exact"/>
        <w:ind w:firstLine="338" w:firstLineChars="121"/>
        <w:jc w:val="both"/>
        <w:rPr>
          <w:rFonts w:cs="宋体"/>
          <w:color w:val="292929"/>
        </w:rPr>
      </w:pPr>
      <w:r>
        <w:rPr>
          <w:rFonts w:hint="eastAsia" w:cs="宋体"/>
          <w:color w:val="000000"/>
          <w:spacing w:val="20"/>
          <w:kern w:val="52"/>
        </w:rPr>
        <w:t xml:space="preserve">鉴证方: （盖章）龙游博洽投资咨询有限公司 </w:t>
      </w:r>
    </w:p>
    <w:p>
      <w:pPr>
        <w:pStyle w:val="53"/>
        <w:widowControl w:val="0"/>
        <w:snapToGrid w:val="0"/>
        <w:spacing w:before="0" w:beforeAutospacing="0" w:after="0" w:afterAutospacing="0" w:line="500" w:lineRule="exact"/>
        <w:ind w:firstLine="338" w:firstLineChars="121"/>
        <w:jc w:val="both"/>
        <w:rPr>
          <w:rFonts w:cs="宋体"/>
          <w:color w:val="000000"/>
          <w:spacing w:val="20"/>
          <w:kern w:val="52"/>
          <w:sz w:val="21"/>
          <w:szCs w:val="21"/>
        </w:rPr>
      </w:pPr>
      <w:r>
        <w:rPr>
          <w:rFonts w:hint="eastAsia" w:cs="宋体"/>
          <w:color w:val="000000"/>
          <w:spacing w:val="20"/>
          <w:kern w:val="52"/>
        </w:rPr>
        <w:t>时间：2021年  月  日</w:t>
      </w:r>
    </w:p>
    <w:p>
      <w:pPr>
        <w:pStyle w:val="24"/>
        <w:rPr>
          <w:highlight w:val="green"/>
        </w:rPr>
      </w:pPr>
    </w:p>
    <w:p>
      <w:pPr>
        <w:pStyle w:val="53"/>
        <w:widowControl w:val="0"/>
        <w:snapToGrid w:val="0"/>
        <w:spacing w:before="0" w:beforeAutospacing="0" w:after="0" w:afterAutospacing="0" w:line="500" w:lineRule="exact"/>
        <w:ind w:firstLine="280" w:firstLineChars="100"/>
        <w:jc w:val="both"/>
        <w:rPr>
          <w:rFonts w:cs="宋体"/>
          <w:color w:val="000000"/>
          <w:spacing w:val="20"/>
          <w:kern w:val="52"/>
        </w:rPr>
      </w:pPr>
      <w:bookmarkStart w:id="42" w:name="_Toc12848"/>
      <w:r>
        <w:rPr>
          <w:rFonts w:hint="eastAsia" w:cs="宋体"/>
          <w:color w:val="000000"/>
          <w:spacing w:val="20"/>
          <w:kern w:val="52"/>
        </w:rPr>
        <w:t xml:space="preserve">合同备案：龙游县人民政府国有资产监督管理办公室  </w:t>
      </w:r>
    </w:p>
    <w:p>
      <w:pPr>
        <w:pStyle w:val="53"/>
        <w:widowControl w:val="0"/>
        <w:snapToGrid w:val="0"/>
        <w:spacing w:before="0" w:beforeAutospacing="0" w:after="0" w:afterAutospacing="0" w:line="500" w:lineRule="exact"/>
        <w:ind w:firstLine="280" w:firstLineChars="100"/>
        <w:jc w:val="both"/>
        <w:rPr>
          <w:rFonts w:asciiTheme="minorEastAsia" w:hAnsiTheme="minorEastAsia" w:eastAsiaTheme="minorEastAsia" w:cstheme="minorEastAsia"/>
          <w:b/>
          <w:bCs/>
          <w:color w:val="000000"/>
          <w:sz w:val="32"/>
          <w:szCs w:val="32"/>
        </w:rPr>
      </w:pPr>
      <w:r>
        <w:rPr>
          <w:rFonts w:hint="eastAsia" w:cs="宋体"/>
          <w:color w:val="000000"/>
          <w:spacing w:val="20"/>
          <w:kern w:val="52"/>
        </w:rPr>
        <w:t>时间：2021年 月 日</w:t>
      </w:r>
    </w:p>
    <w:p>
      <w:pPr>
        <w:tabs>
          <w:tab w:val="left" w:pos="1035"/>
        </w:tabs>
        <w:snapToGrid w:val="0"/>
        <w:spacing w:line="500" w:lineRule="exact"/>
        <w:jc w:val="left"/>
        <w:outlineLvl w:val="0"/>
        <w:rPr>
          <w:rFonts w:asciiTheme="minorEastAsia" w:hAnsiTheme="minorEastAsia" w:eastAsiaTheme="minorEastAsia" w:cstheme="minorEastAsia"/>
          <w:b/>
          <w:bCs/>
          <w:color w:val="000000"/>
          <w:sz w:val="32"/>
          <w:szCs w:val="32"/>
        </w:rPr>
      </w:pPr>
    </w:p>
    <w:p>
      <w:pPr>
        <w:tabs>
          <w:tab w:val="left" w:pos="1035"/>
        </w:tabs>
        <w:snapToGrid w:val="0"/>
        <w:spacing w:line="500" w:lineRule="exact"/>
        <w:jc w:val="center"/>
        <w:outlineLvl w:val="0"/>
        <w:rPr>
          <w:rFonts w:asciiTheme="minorEastAsia" w:hAnsiTheme="minorEastAsia" w:eastAsiaTheme="minorEastAsia" w:cstheme="minorEastAsia"/>
          <w:b/>
          <w:bCs/>
          <w:color w:val="000000"/>
          <w:sz w:val="32"/>
          <w:szCs w:val="32"/>
        </w:rPr>
      </w:pPr>
    </w:p>
    <w:p>
      <w:pPr>
        <w:tabs>
          <w:tab w:val="left" w:pos="1035"/>
        </w:tabs>
        <w:snapToGrid w:val="0"/>
        <w:spacing w:line="500" w:lineRule="exact"/>
        <w:outlineLvl w:val="0"/>
        <w:rPr>
          <w:rFonts w:asciiTheme="minorEastAsia" w:hAnsiTheme="minorEastAsia" w:eastAsiaTheme="minorEastAsia" w:cstheme="minorEastAsia"/>
          <w:b/>
          <w:bCs/>
          <w:color w:val="000000"/>
          <w:sz w:val="32"/>
          <w:szCs w:val="32"/>
        </w:rPr>
      </w:pPr>
    </w:p>
    <w:p>
      <w:pPr>
        <w:tabs>
          <w:tab w:val="left" w:pos="1035"/>
        </w:tabs>
        <w:snapToGrid w:val="0"/>
        <w:spacing w:line="500" w:lineRule="exact"/>
        <w:outlineLvl w:val="0"/>
        <w:rPr>
          <w:rFonts w:asciiTheme="minorEastAsia" w:hAnsiTheme="minorEastAsia" w:eastAsiaTheme="minorEastAsia" w:cstheme="minorEastAsia"/>
          <w:b/>
          <w:bCs/>
          <w:color w:val="000000"/>
          <w:sz w:val="32"/>
          <w:szCs w:val="32"/>
        </w:rPr>
      </w:pPr>
    </w:p>
    <w:p>
      <w:pPr>
        <w:tabs>
          <w:tab w:val="left" w:pos="1035"/>
        </w:tabs>
        <w:snapToGrid w:val="0"/>
        <w:spacing w:line="500" w:lineRule="exact"/>
        <w:jc w:val="center"/>
        <w:outlineLvl w:val="0"/>
        <w:rPr>
          <w:rFonts w:asciiTheme="minorEastAsia" w:hAnsiTheme="minorEastAsia" w:eastAsiaTheme="minorEastAsia" w:cstheme="minorEastAsia"/>
          <w:b/>
          <w:bCs/>
          <w:color w:val="292929"/>
          <w:sz w:val="32"/>
          <w:szCs w:val="32"/>
        </w:rPr>
      </w:pPr>
      <w:r>
        <w:rPr>
          <w:rFonts w:hint="eastAsia" w:asciiTheme="minorEastAsia" w:hAnsiTheme="minorEastAsia" w:eastAsiaTheme="minorEastAsia" w:cstheme="minorEastAsia"/>
          <w:b/>
          <w:bCs/>
          <w:color w:val="000000"/>
          <w:sz w:val="32"/>
          <w:szCs w:val="32"/>
        </w:rPr>
        <w:t>第六章 磋商响应文件（统一格式部分）</w:t>
      </w:r>
      <w:bookmarkEnd w:id="42"/>
    </w:p>
    <w:p>
      <w:pPr>
        <w:spacing w:line="500" w:lineRule="exact"/>
        <w:ind w:firstLine="2800"/>
        <w:rPr>
          <w:rStyle w:val="244"/>
          <w:rFonts w:asciiTheme="minorEastAsia" w:hAnsiTheme="minorEastAsia" w:eastAsiaTheme="minorEastAsia" w:cstheme="minorEastAsia"/>
          <w:color w:val="000000"/>
          <w:sz w:val="21"/>
          <w:szCs w:val="21"/>
        </w:rPr>
      </w:pPr>
      <w:bookmarkStart w:id="43" w:name="_Toc366144051"/>
    </w:p>
    <w:p>
      <w:pPr>
        <w:spacing w:line="460" w:lineRule="exact"/>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一、磋商响应文件封面</w:t>
      </w:r>
      <w:bookmarkEnd w:id="43"/>
    </w:p>
    <w:p>
      <w:pPr>
        <w:spacing w:line="500" w:lineRule="exact"/>
        <w:ind w:left="1800" w:leftChars="857"/>
        <w:jc w:val="right"/>
        <w:rPr>
          <w:rFonts w:asciiTheme="minorEastAsia" w:hAnsiTheme="minorEastAsia" w:eastAsiaTheme="minorEastAsia" w:cstheme="minorEastAsia"/>
          <w:szCs w:val="21"/>
        </w:rPr>
      </w:pPr>
    </w:p>
    <w:p>
      <w:pPr>
        <w:spacing w:line="500" w:lineRule="exact"/>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正本（副本）</w:t>
      </w:r>
    </w:p>
    <w:p>
      <w:pPr>
        <w:spacing w:line="500" w:lineRule="exact"/>
        <w:rPr>
          <w:rFonts w:asciiTheme="minorEastAsia" w:hAnsiTheme="minorEastAsia" w:eastAsiaTheme="minorEastAsia" w:cstheme="minorEastAsia"/>
          <w:szCs w:val="21"/>
        </w:rPr>
      </w:pPr>
    </w:p>
    <w:p>
      <w:pPr>
        <w:snapToGrid w:val="0"/>
        <w:spacing w:line="500" w:lineRule="exact"/>
        <w:rPr>
          <w:rFonts w:asciiTheme="minorEastAsia" w:hAnsiTheme="minorEastAsia" w:eastAsiaTheme="minorEastAsia" w:cstheme="minorEastAsia"/>
          <w:sz w:val="44"/>
          <w:szCs w:val="44"/>
        </w:rPr>
      </w:pPr>
    </w:p>
    <w:p>
      <w:pPr>
        <w:snapToGrid w:val="0"/>
        <w:spacing w:line="500" w:lineRule="exact"/>
        <w:ind w:firstLine="3080" w:firstLineChars="700"/>
        <w:outlineLvl w:val="0"/>
        <w:rPr>
          <w:rFonts w:asciiTheme="minorEastAsia" w:hAnsiTheme="minorEastAsia" w:eastAsiaTheme="minorEastAsia" w:cstheme="minorEastAsia"/>
          <w:sz w:val="44"/>
          <w:szCs w:val="44"/>
        </w:rPr>
      </w:pPr>
      <w:bookmarkStart w:id="44" w:name="_Toc4252"/>
      <w:r>
        <w:rPr>
          <w:rFonts w:hint="eastAsia" w:asciiTheme="minorEastAsia" w:hAnsiTheme="minorEastAsia" w:eastAsiaTheme="minorEastAsia" w:cstheme="minorEastAsia"/>
          <w:sz w:val="44"/>
          <w:szCs w:val="44"/>
        </w:rPr>
        <w:t>磋商响应文件</w:t>
      </w:r>
      <w:bookmarkEnd w:id="44"/>
    </w:p>
    <w:p>
      <w:pPr>
        <w:pStyle w:val="24"/>
        <w:spacing w:line="500" w:lineRule="exact"/>
        <w:rPr>
          <w:rFonts w:asciiTheme="minorEastAsia" w:hAnsiTheme="minorEastAsia" w:eastAsiaTheme="minorEastAsia"/>
        </w:rPr>
      </w:pPr>
    </w:p>
    <w:p>
      <w:pPr>
        <w:spacing w:line="800" w:lineRule="exact"/>
        <w:ind w:firstLine="640" w:firstLineChars="200"/>
        <w:jc w:val="left"/>
        <w:rPr>
          <w:rFonts w:ascii="宋体" w:hAnsi="宋体" w:cs="微软雅黑"/>
          <w:sz w:val="32"/>
          <w:szCs w:val="32"/>
        </w:rPr>
      </w:pPr>
      <w:bookmarkStart w:id="45" w:name="_Toc357410802"/>
    </w:p>
    <w:p>
      <w:pPr>
        <w:spacing w:line="800" w:lineRule="exact"/>
        <w:ind w:firstLine="640" w:firstLineChars="200"/>
        <w:jc w:val="left"/>
        <w:rPr>
          <w:rFonts w:ascii="宋体" w:hAnsi="宋体" w:cs="微软雅黑"/>
          <w:sz w:val="32"/>
          <w:szCs w:val="32"/>
        </w:rPr>
      </w:pPr>
    </w:p>
    <w:p>
      <w:pPr>
        <w:spacing w:line="800" w:lineRule="exact"/>
        <w:ind w:firstLine="640" w:firstLineChars="200"/>
        <w:jc w:val="left"/>
        <w:rPr>
          <w:rFonts w:ascii="宋体" w:hAnsi="宋体"/>
          <w:color w:val="000000"/>
          <w:kern w:val="0"/>
          <w:sz w:val="28"/>
          <w:szCs w:val="28"/>
          <w:u w:val="single"/>
        </w:rPr>
      </w:pPr>
      <w:r>
        <w:rPr>
          <w:rFonts w:hint="eastAsia" w:ascii="宋体" w:hAnsi="宋体" w:cs="微软雅黑"/>
          <w:sz w:val="32"/>
          <w:szCs w:val="32"/>
        </w:rPr>
        <w:t>项目名称:</w:t>
      </w:r>
      <w:r>
        <w:rPr>
          <w:rFonts w:hint="eastAsia" w:asciiTheme="minorEastAsia" w:hAnsiTheme="minorEastAsia" w:eastAsiaTheme="minorEastAsia" w:cstheme="minorEastAsia"/>
          <w:sz w:val="30"/>
          <w:szCs w:val="30"/>
          <w:u w:val="single"/>
        </w:rPr>
        <w:t>龙游石窟景区、龙游民居苑景区票务系统新建项目</w:t>
      </w:r>
    </w:p>
    <w:p>
      <w:pPr>
        <w:snapToGrid w:val="0"/>
        <w:spacing w:line="360" w:lineRule="auto"/>
        <w:ind w:firstLine="640" w:firstLineChars="200"/>
        <w:rPr>
          <w:rFonts w:ascii="宋体" w:hAnsi="宋体" w:cs="微软雅黑"/>
          <w:sz w:val="32"/>
          <w:szCs w:val="32"/>
        </w:rPr>
      </w:pPr>
    </w:p>
    <w:p>
      <w:pPr>
        <w:snapToGrid w:val="0"/>
        <w:spacing w:line="360" w:lineRule="auto"/>
        <w:ind w:firstLine="640" w:firstLineChars="200"/>
        <w:rPr>
          <w:rFonts w:ascii="宋体" w:hAnsi="宋体" w:cs="微软雅黑"/>
          <w:sz w:val="32"/>
          <w:szCs w:val="32"/>
        </w:rPr>
      </w:pPr>
      <w:r>
        <w:rPr>
          <w:rFonts w:hint="eastAsia" w:ascii="宋体" w:hAnsi="宋体" w:cs="微软雅黑"/>
          <w:sz w:val="32"/>
          <w:szCs w:val="32"/>
        </w:rPr>
        <w:t>项目编号：</w:t>
      </w:r>
      <w:r>
        <w:rPr>
          <w:rFonts w:hint="eastAsia" w:asciiTheme="minorEastAsia" w:hAnsiTheme="minorEastAsia" w:eastAsiaTheme="minorEastAsia" w:cstheme="minorEastAsia"/>
          <w:sz w:val="30"/>
          <w:szCs w:val="30"/>
          <w:u w:val="single"/>
        </w:rPr>
        <w:t>LYBQGC2021-14</w:t>
      </w:r>
    </w:p>
    <w:p>
      <w:pPr>
        <w:snapToGrid w:val="0"/>
        <w:spacing w:line="360" w:lineRule="auto"/>
        <w:ind w:right="206" w:rightChars="98" w:firstLine="640" w:firstLineChars="200"/>
        <w:rPr>
          <w:rFonts w:ascii="宋体" w:hAnsi="宋体" w:cs="微软雅黑"/>
          <w:sz w:val="32"/>
          <w:szCs w:val="32"/>
        </w:rPr>
      </w:pPr>
    </w:p>
    <w:p>
      <w:pPr>
        <w:snapToGrid w:val="0"/>
        <w:spacing w:line="360" w:lineRule="auto"/>
        <w:ind w:right="206" w:rightChars="98" w:firstLine="640" w:firstLineChars="200"/>
        <w:rPr>
          <w:rFonts w:ascii="宋体" w:hAnsi="宋体" w:cs="微软雅黑"/>
          <w:sz w:val="32"/>
          <w:szCs w:val="32"/>
        </w:rPr>
      </w:pPr>
      <w:r>
        <w:rPr>
          <w:rFonts w:hint="eastAsia" w:ascii="宋体" w:hAnsi="宋体" w:cs="微软雅黑"/>
          <w:sz w:val="32"/>
          <w:szCs w:val="32"/>
        </w:rPr>
        <w:t>询价响应方：</w:t>
      </w:r>
      <w:r>
        <w:rPr>
          <w:rFonts w:hint="eastAsia" w:ascii="宋体" w:hAnsi="宋体" w:cs="微软雅黑"/>
          <w:sz w:val="32"/>
          <w:szCs w:val="32"/>
          <w:u w:val="single"/>
        </w:rPr>
        <w:t xml:space="preserve">                  （盖单位公章）</w:t>
      </w:r>
    </w:p>
    <w:p>
      <w:pPr>
        <w:snapToGrid w:val="0"/>
        <w:spacing w:line="360" w:lineRule="auto"/>
        <w:ind w:left="-718" w:leftChars="-342" w:right="206" w:rightChars="98" w:firstLine="812" w:firstLineChars="254"/>
        <w:rPr>
          <w:rFonts w:ascii="宋体" w:hAnsi="宋体" w:cs="微软雅黑"/>
          <w:sz w:val="32"/>
          <w:szCs w:val="32"/>
        </w:rPr>
      </w:pPr>
    </w:p>
    <w:p>
      <w:pPr>
        <w:pStyle w:val="5"/>
        <w:numPr>
          <w:ilvl w:val="2"/>
          <w:numId w:val="0"/>
        </w:numPr>
        <w:ind w:left="851"/>
      </w:pPr>
    </w:p>
    <w:p>
      <w:pPr>
        <w:pStyle w:val="24"/>
        <w:spacing w:line="640" w:lineRule="exact"/>
        <w:jc w:val="center"/>
        <w:rPr>
          <w:sz w:val="32"/>
          <w:szCs w:val="32"/>
        </w:rPr>
      </w:pPr>
      <w:r>
        <w:rPr>
          <w:rFonts w:hAnsi="宋体" w:cs="宋体"/>
          <w:bCs/>
          <w:sz w:val="32"/>
          <w:szCs w:val="32"/>
        </w:rPr>
        <w:t xml:space="preserve">在    </w:t>
      </w:r>
      <w:r>
        <w:rPr>
          <w:rFonts w:hAnsi="宋体" w:cs="宋体"/>
          <w:sz w:val="32"/>
          <w:szCs w:val="32"/>
        </w:rPr>
        <w:t>年   月   日</w:t>
      </w:r>
      <w:r>
        <w:rPr>
          <w:rFonts w:hAnsi="宋体" w:cs="宋体"/>
          <w:bCs/>
          <w:sz w:val="32"/>
          <w:szCs w:val="32"/>
        </w:rPr>
        <w:t xml:space="preserve">    时   分之前不得启封</w:t>
      </w:r>
    </w:p>
    <w:p>
      <w:pPr>
        <w:snapToGrid w:val="0"/>
        <w:spacing w:line="640" w:lineRule="exact"/>
        <w:jc w:val="both"/>
        <w:rPr>
          <w:rFonts w:asciiTheme="minorEastAsia" w:hAnsiTheme="minorEastAsia" w:eastAsiaTheme="minorEastAsia" w:cstheme="minorEastAsia"/>
          <w:sz w:val="24"/>
        </w:rPr>
      </w:pPr>
    </w:p>
    <w:p>
      <w:pPr>
        <w:snapToGrid w:val="0"/>
        <w:spacing w:line="6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注：响应文件组成部分有格式要求的按格式提供，无格式要求的内容请自行提供。</w:t>
      </w:r>
      <w:bookmarkEnd w:id="45"/>
    </w:p>
    <w:p>
      <w:pPr>
        <w:snapToGrid w:val="0"/>
        <w:spacing w:line="500" w:lineRule="exact"/>
        <w:outlineLvl w:val="0"/>
        <w:rPr>
          <w:rFonts w:asciiTheme="minorEastAsia" w:hAnsiTheme="minorEastAsia" w:eastAsiaTheme="minorEastAsia" w:cstheme="minorEastAsia"/>
          <w:b/>
          <w:color w:val="353535"/>
          <w:sz w:val="28"/>
          <w:szCs w:val="28"/>
          <w:lang w:val="zh-CN"/>
        </w:rPr>
      </w:pPr>
      <w:bookmarkStart w:id="46" w:name="_Toc9863"/>
    </w:p>
    <w:p>
      <w:pPr>
        <w:snapToGrid w:val="0"/>
        <w:spacing w:afterLines="50" w:line="312" w:lineRule="auto"/>
        <w:jc w:val="center"/>
        <w:rPr>
          <w:sz w:val="36"/>
        </w:rPr>
      </w:pPr>
      <w:r>
        <w:rPr>
          <w:rFonts w:hint="eastAsia"/>
          <w:sz w:val="36"/>
        </w:rPr>
        <w:t>目  录</w:t>
      </w:r>
    </w:p>
    <w:p>
      <w:pPr>
        <w:tabs>
          <w:tab w:val="left" w:pos="397"/>
        </w:tabs>
        <w:adjustRightInd w:val="0"/>
        <w:snapToGrid w:val="0"/>
        <w:spacing w:line="312" w:lineRule="auto"/>
        <w:ind w:left="630" w:leftChars="300" w:right="630" w:rightChars="300"/>
        <w:jc w:val="center"/>
        <w:rPr>
          <w:sz w:val="28"/>
          <w:szCs w:val="28"/>
          <w:lang w:val="zh-CN"/>
        </w:rPr>
      </w:pPr>
      <w:r>
        <w:rPr>
          <w:rFonts w:hint="eastAsia"/>
          <w:sz w:val="28"/>
          <w:szCs w:val="28"/>
          <w:lang w:val="zh-CN"/>
        </w:rPr>
        <w:t>【</w:t>
      </w:r>
      <w:r>
        <w:rPr>
          <w:rFonts w:hint="eastAsia"/>
          <w:sz w:val="28"/>
          <w:szCs w:val="28"/>
        </w:rPr>
        <w:t>根据响应文件组成内容、顺序、附件格式编制响应文件，编制目录</w:t>
      </w:r>
      <w:r>
        <w:rPr>
          <w:rFonts w:hint="eastAsia"/>
          <w:sz w:val="28"/>
          <w:szCs w:val="28"/>
          <w:lang w:val="zh-CN"/>
        </w:rPr>
        <w:t>】</w:t>
      </w:r>
    </w:p>
    <w:p>
      <w:pPr>
        <w:pStyle w:val="5"/>
        <w:numPr>
          <w:ilvl w:val="2"/>
          <w:numId w:val="0"/>
        </w:numPr>
        <w:ind w:left="851"/>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pStyle w:val="57"/>
        <w:rPr>
          <w:lang w:val="zh-CN"/>
        </w:rPr>
      </w:pPr>
    </w:p>
    <w:p>
      <w:pPr>
        <w:rPr>
          <w:lang w:val="zh-CN"/>
        </w:rPr>
      </w:pPr>
    </w:p>
    <w:p>
      <w:pPr>
        <w:snapToGrid w:val="0"/>
        <w:spacing w:line="500" w:lineRule="exact"/>
        <w:outlineLvl w:val="0"/>
        <w:rPr>
          <w:rFonts w:asciiTheme="minorEastAsia" w:hAnsiTheme="minorEastAsia" w:eastAsiaTheme="minorEastAsia" w:cstheme="minorEastAsia"/>
          <w:b/>
          <w:color w:val="353535"/>
          <w:sz w:val="30"/>
          <w:szCs w:val="30"/>
        </w:rPr>
      </w:pPr>
      <w:r>
        <w:rPr>
          <w:rFonts w:hint="eastAsia" w:asciiTheme="minorEastAsia" w:hAnsiTheme="minorEastAsia" w:eastAsiaTheme="minorEastAsia" w:cstheme="minorEastAsia"/>
          <w:b/>
          <w:color w:val="353535"/>
          <w:sz w:val="28"/>
          <w:szCs w:val="28"/>
          <w:lang w:val="zh-CN"/>
        </w:rPr>
        <w:t>附件一</w:t>
      </w:r>
      <w:r>
        <w:rPr>
          <w:rFonts w:hint="eastAsia" w:asciiTheme="minorEastAsia" w:hAnsiTheme="minorEastAsia" w:eastAsiaTheme="minorEastAsia" w:cstheme="minorEastAsia"/>
          <w:b/>
          <w:color w:val="353535"/>
          <w:sz w:val="30"/>
          <w:szCs w:val="30"/>
        </w:rPr>
        <w:t>报价一览表</w:t>
      </w:r>
      <w:bookmarkEnd w:id="46"/>
    </w:p>
    <w:p>
      <w:pPr>
        <w:spacing w:line="460" w:lineRule="exact"/>
        <w:rPr>
          <w:rFonts w:asciiTheme="minorEastAsia" w:hAnsiTheme="minorEastAsia" w:eastAsiaTheme="minorEastAsia" w:cstheme="minorEastAsia"/>
          <w:sz w:val="24"/>
        </w:rPr>
      </w:pPr>
    </w:p>
    <w:p>
      <w:p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lang w:val="zh-CN"/>
        </w:rPr>
        <w:t>龙游石窟景区、龙游民居苑景区票务系统新建项目</w:t>
      </w:r>
    </w:p>
    <w:p>
      <w:pPr>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项目编号：LYBQGC2021-14金额单位：人民币(元)</w:t>
      </w:r>
    </w:p>
    <w:tbl>
      <w:tblPr>
        <w:tblStyle w:val="59"/>
        <w:tblpPr w:leftFromText="180" w:rightFromText="180" w:vertAnchor="text" w:horzAnchor="page" w:tblpX="1070" w:tblpY="148"/>
        <w:tblOverlap w:val="never"/>
        <w:tblW w:w="10295"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50"/>
        <w:gridCol w:w="1633"/>
        <w:gridCol w:w="1533"/>
        <w:gridCol w:w="970"/>
        <w:gridCol w:w="830"/>
        <w:gridCol w:w="1018"/>
        <w:gridCol w:w="860"/>
        <w:gridCol w:w="1292"/>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09" w:type="dxa"/>
            <w:noWrap/>
            <w:vAlign w:val="center"/>
          </w:tcPr>
          <w:p>
            <w:pPr>
              <w:widowControl/>
              <w:spacing w:line="460" w:lineRule="exact"/>
              <w:rPr>
                <w:rFonts w:ascii="宋体" w:hAnsi="宋体" w:cs="宋体"/>
                <w:sz w:val="24"/>
              </w:rPr>
            </w:pPr>
            <w:r>
              <w:rPr>
                <w:rFonts w:hint="eastAsia" w:ascii="宋体" w:hAnsi="宋体" w:cs="宋体"/>
                <w:sz w:val="24"/>
              </w:rPr>
              <w:t>序号</w:t>
            </w:r>
          </w:p>
        </w:tc>
        <w:tc>
          <w:tcPr>
            <w:tcW w:w="1350" w:type="dxa"/>
            <w:noWrap/>
            <w:vAlign w:val="center"/>
          </w:tcPr>
          <w:p>
            <w:pPr>
              <w:widowControl/>
              <w:spacing w:line="460" w:lineRule="exact"/>
              <w:jc w:val="center"/>
              <w:rPr>
                <w:rFonts w:ascii="宋体" w:hAnsi="宋体" w:cs="宋体"/>
                <w:sz w:val="24"/>
              </w:rPr>
            </w:pPr>
            <w:r>
              <w:rPr>
                <w:rFonts w:hint="eastAsia" w:ascii="宋体" w:hAnsi="宋体" w:cs="宋体"/>
                <w:sz w:val="24"/>
              </w:rPr>
              <w:t>产品名称</w:t>
            </w:r>
          </w:p>
        </w:tc>
        <w:tc>
          <w:tcPr>
            <w:tcW w:w="1633" w:type="dxa"/>
            <w:noWrap/>
            <w:vAlign w:val="center"/>
          </w:tcPr>
          <w:p>
            <w:pPr>
              <w:widowControl/>
              <w:spacing w:line="460" w:lineRule="exact"/>
              <w:jc w:val="center"/>
            </w:pPr>
            <w:r>
              <w:rPr>
                <w:rFonts w:hint="eastAsia"/>
              </w:rPr>
              <w:t>品牌型号</w:t>
            </w:r>
          </w:p>
        </w:tc>
        <w:tc>
          <w:tcPr>
            <w:tcW w:w="1533" w:type="dxa"/>
            <w:noWrap/>
            <w:vAlign w:val="center"/>
          </w:tcPr>
          <w:p>
            <w:pPr>
              <w:widowControl/>
              <w:spacing w:line="460" w:lineRule="exact"/>
              <w:jc w:val="center"/>
            </w:pPr>
            <w:r>
              <w:rPr>
                <w:rFonts w:hint="eastAsia"/>
              </w:rPr>
              <w:t>产品规格/</w:t>
            </w:r>
          </w:p>
          <w:p>
            <w:pPr>
              <w:widowControl/>
              <w:spacing w:line="460" w:lineRule="exact"/>
              <w:jc w:val="center"/>
              <w:rPr>
                <w:rFonts w:ascii="宋体" w:hAnsi="宋体" w:cs="宋体"/>
                <w:sz w:val="24"/>
              </w:rPr>
            </w:pPr>
            <w:r>
              <w:rPr>
                <w:rFonts w:hint="eastAsia"/>
              </w:rPr>
              <w:t>功能描述</w:t>
            </w:r>
          </w:p>
        </w:tc>
        <w:tc>
          <w:tcPr>
            <w:tcW w:w="970" w:type="dxa"/>
            <w:noWrap/>
            <w:vAlign w:val="center"/>
          </w:tcPr>
          <w:p>
            <w:pPr>
              <w:widowControl/>
              <w:spacing w:line="460" w:lineRule="exact"/>
              <w:jc w:val="center"/>
              <w:rPr>
                <w:rFonts w:ascii="宋体" w:hAnsi="宋体" w:cs="宋体"/>
                <w:sz w:val="24"/>
              </w:rPr>
            </w:pPr>
            <w:r>
              <w:rPr>
                <w:rFonts w:hint="eastAsia" w:ascii="宋体" w:hAnsi="宋体" w:cs="宋体"/>
                <w:sz w:val="24"/>
              </w:rPr>
              <w:t>数量</w:t>
            </w:r>
          </w:p>
        </w:tc>
        <w:tc>
          <w:tcPr>
            <w:tcW w:w="830" w:type="dxa"/>
            <w:noWrap/>
            <w:vAlign w:val="center"/>
          </w:tcPr>
          <w:p>
            <w:pPr>
              <w:widowControl/>
              <w:spacing w:line="460" w:lineRule="exact"/>
              <w:jc w:val="center"/>
              <w:rPr>
                <w:rFonts w:ascii="宋体" w:hAnsi="宋体" w:cs="宋体"/>
                <w:sz w:val="24"/>
              </w:rPr>
            </w:pPr>
            <w:r>
              <w:rPr>
                <w:rFonts w:hint="eastAsia" w:ascii="宋体" w:hAnsi="宋体" w:cs="宋体"/>
                <w:sz w:val="24"/>
              </w:rPr>
              <w:t>单位</w:t>
            </w:r>
          </w:p>
        </w:tc>
        <w:tc>
          <w:tcPr>
            <w:tcW w:w="1018" w:type="dxa"/>
            <w:noWrap/>
            <w:vAlign w:val="center"/>
          </w:tcPr>
          <w:p>
            <w:pPr>
              <w:widowControl/>
              <w:spacing w:line="460" w:lineRule="exact"/>
              <w:rPr>
                <w:rFonts w:ascii="宋体" w:hAnsi="宋体" w:cs="宋体"/>
                <w:sz w:val="24"/>
              </w:rPr>
            </w:pPr>
            <w:r>
              <w:rPr>
                <w:rFonts w:hint="eastAsia" w:ascii="宋体" w:hAnsi="宋体" w:cs="宋体"/>
                <w:sz w:val="24"/>
              </w:rPr>
              <w:t>单价（元）</w:t>
            </w:r>
          </w:p>
        </w:tc>
        <w:tc>
          <w:tcPr>
            <w:tcW w:w="860" w:type="dxa"/>
            <w:noWrap/>
            <w:vAlign w:val="center"/>
          </w:tcPr>
          <w:p>
            <w:pPr>
              <w:widowControl/>
              <w:spacing w:line="460" w:lineRule="exact"/>
              <w:jc w:val="center"/>
              <w:rPr>
                <w:rFonts w:ascii="宋体" w:hAnsi="宋体" w:cs="宋体"/>
                <w:sz w:val="24"/>
              </w:rPr>
            </w:pPr>
            <w:r>
              <w:rPr>
                <w:rFonts w:hint="eastAsia" w:ascii="宋体" w:hAnsi="宋体" w:cs="宋体"/>
                <w:sz w:val="24"/>
              </w:rPr>
              <w:t>税费</w:t>
            </w:r>
          </w:p>
        </w:tc>
        <w:tc>
          <w:tcPr>
            <w:tcW w:w="1292" w:type="dxa"/>
            <w:noWrap/>
            <w:vAlign w:val="center"/>
          </w:tcPr>
          <w:p>
            <w:pPr>
              <w:widowControl/>
              <w:spacing w:line="460" w:lineRule="exact"/>
              <w:rPr>
                <w:rFonts w:ascii="宋体" w:hAnsi="宋体" w:cs="宋体"/>
                <w:sz w:val="24"/>
              </w:rPr>
            </w:pPr>
            <w:r>
              <w:rPr>
                <w:rFonts w:hint="eastAsia" w:ascii="宋体" w:hAnsi="宋体" w:cs="宋体"/>
                <w:sz w:val="24"/>
              </w:rPr>
              <w:t>总价（元）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09" w:type="dxa"/>
            <w:noWrap/>
          </w:tcPr>
          <w:p>
            <w:pPr>
              <w:widowControl/>
              <w:spacing w:line="460" w:lineRule="exact"/>
              <w:jc w:val="center"/>
              <w:rPr>
                <w:rFonts w:ascii="宋体" w:hAnsi="宋体" w:cs="宋体"/>
                <w:sz w:val="24"/>
              </w:rPr>
            </w:pPr>
            <w:r>
              <w:rPr>
                <w:rFonts w:hint="eastAsia" w:ascii="宋体" w:hAnsi="宋体" w:cs="宋体"/>
                <w:sz w:val="24"/>
              </w:rPr>
              <w:t>1</w:t>
            </w:r>
          </w:p>
        </w:tc>
        <w:tc>
          <w:tcPr>
            <w:tcW w:w="1350" w:type="dxa"/>
            <w:noWrap/>
          </w:tcPr>
          <w:p>
            <w:pPr>
              <w:widowControl/>
              <w:spacing w:line="460" w:lineRule="exact"/>
              <w:ind w:firstLine="480"/>
              <w:rPr>
                <w:rFonts w:ascii="宋体" w:hAnsi="宋体" w:cs="宋体"/>
                <w:sz w:val="24"/>
              </w:rPr>
            </w:pPr>
          </w:p>
        </w:tc>
        <w:tc>
          <w:tcPr>
            <w:tcW w:w="1633" w:type="dxa"/>
            <w:noWrap/>
          </w:tcPr>
          <w:p>
            <w:pPr>
              <w:widowControl/>
              <w:spacing w:line="460" w:lineRule="exact"/>
              <w:ind w:firstLine="480"/>
              <w:rPr>
                <w:rFonts w:ascii="宋体" w:hAnsi="宋体" w:cs="宋体"/>
                <w:sz w:val="24"/>
              </w:rPr>
            </w:pPr>
          </w:p>
        </w:tc>
        <w:tc>
          <w:tcPr>
            <w:tcW w:w="1533" w:type="dxa"/>
            <w:noWrap/>
          </w:tcPr>
          <w:p>
            <w:pPr>
              <w:widowControl/>
              <w:spacing w:line="460" w:lineRule="exact"/>
              <w:ind w:firstLine="480"/>
              <w:rPr>
                <w:rFonts w:ascii="宋体" w:hAnsi="宋体" w:cs="宋体"/>
                <w:sz w:val="24"/>
              </w:rPr>
            </w:pPr>
          </w:p>
        </w:tc>
        <w:tc>
          <w:tcPr>
            <w:tcW w:w="970" w:type="dxa"/>
            <w:noWrap/>
          </w:tcPr>
          <w:p>
            <w:pPr>
              <w:widowControl/>
              <w:spacing w:line="460" w:lineRule="exact"/>
              <w:ind w:firstLine="480"/>
              <w:rPr>
                <w:rFonts w:ascii="宋体" w:hAnsi="宋体" w:cs="宋体"/>
                <w:sz w:val="24"/>
              </w:rPr>
            </w:pPr>
          </w:p>
        </w:tc>
        <w:tc>
          <w:tcPr>
            <w:tcW w:w="830" w:type="dxa"/>
            <w:noWrap/>
          </w:tcPr>
          <w:p>
            <w:pPr>
              <w:widowControl/>
              <w:spacing w:line="460" w:lineRule="exact"/>
              <w:ind w:firstLine="480"/>
              <w:rPr>
                <w:rFonts w:ascii="宋体" w:hAnsi="宋体" w:cs="宋体"/>
                <w:sz w:val="24"/>
              </w:rPr>
            </w:pPr>
          </w:p>
        </w:tc>
        <w:tc>
          <w:tcPr>
            <w:tcW w:w="1018" w:type="dxa"/>
            <w:noWrap/>
          </w:tcPr>
          <w:p>
            <w:pPr>
              <w:widowControl/>
              <w:spacing w:line="460" w:lineRule="exact"/>
              <w:ind w:firstLine="480"/>
              <w:rPr>
                <w:rFonts w:ascii="宋体" w:hAnsi="宋体" w:cs="宋体"/>
                <w:sz w:val="24"/>
              </w:rPr>
            </w:pPr>
          </w:p>
        </w:tc>
        <w:tc>
          <w:tcPr>
            <w:tcW w:w="860" w:type="dxa"/>
            <w:noWrap/>
          </w:tcPr>
          <w:p>
            <w:pPr>
              <w:widowControl/>
              <w:spacing w:line="460" w:lineRule="exact"/>
              <w:ind w:firstLine="480"/>
              <w:rPr>
                <w:rFonts w:ascii="宋体" w:hAnsi="宋体" w:cs="宋体"/>
                <w:sz w:val="24"/>
              </w:rPr>
            </w:pPr>
          </w:p>
        </w:tc>
        <w:tc>
          <w:tcPr>
            <w:tcW w:w="1292" w:type="dxa"/>
            <w:noWrap/>
          </w:tcPr>
          <w:p>
            <w:pPr>
              <w:widowControl/>
              <w:spacing w:line="460" w:lineRule="exact"/>
              <w:ind w:firstLine="480"/>
              <w:rPr>
                <w:rFonts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09" w:type="dxa"/>
            <w:noWrap/>
          </w:tcPr>
          <w:p>
            <w:pPr>
              <w:widowControl/>
              <w:spacing w:line="460" w:lineRule="exact"/>
              <w:jc w:val="center"/>
              <w:rPr>
                <w:rFonts w:ascii="宋体" w:hAnsi="宋体" w:cs="宋体"/>
                <w:sz w:val="24"/>
              </w:rPr>
            </w:pPr>
            <w:r>
              <w:rPr>
                <w:rFonts w:hint="eastAsia" w:ascii="宋体" w:hAnsi="宋体" w:cs="宋体"/>
                <w:sz w:val="24"/>
              </w:rPr>
              <w:t>2</w:t>
            </w:r>
          </w:p>
        </w:tc>
        <w:tc>
          <w:tcPr>
            <w:tcW w:w="1350" w:type="dxa"/>
            <w:noWrap/>
          </w:tcPr>
          <w:p>
            <w:pPr>
              <w:widowControl/>
              <w:spacing w:line="460" w:lineRule="exact"/>
              <w:ind w:firstLine="480"/>
              <w:rPr>
                <w:rFonts w:ascii="宋体" w:hAnsi="宋体" w:cs="宋体"/>
                <w:sz w:val="24"/>
              </w:rPr>
            </w:pPr>
          </w:p>
        </w:tc>
        <w:tc>
          <w:tcPr>
            <w:tcW w:w="1633" w:type="dxa"/>
            <w:noWrap/>
          </w:tcPr>
          <w:p>
            <w:pPr>
              <w:widowControl/>
              <w:spacing w:line="460" w:lineRule="exact"/>
              <w:ind w:firstLine="480"/>
              <w:rPr>
                <w:rFonts w:ascii="宋体" w:hAnsi="宋体" w:cs="宋体"/>
                <w:sz w:val="24"/>
              </w:rPr>
            </w:pPr>
          </w:p>
        </w:tc>
        <w:tc>
          <w:tcPr>
            <w:tcW w:w="1533" w:type="dxa"/>
            <w:noWrap/>
          </w:tcPr>
          <w:p>
            <w:pPr>
              <w:widowControl/>
              <w:spacing w:line="460" w:lineRule="exact"/>
              <w:ind w:firstLine="480"/>
              <w:rPr>
                <w:rFonts w:ascii="宋体" w:hAnsi="宋体" w:cs="宋体"/>
                <w:sz w:val="24"/>
              </w:rPr>
            </w:pPr>
          </w:p>
        </w:tc>
        <w:tc>
          <w:tcPr>
            <w:tcW w:w="970" w:type="dxa"/>
            <w:noWrap/>
          </w:tcPr>
          <w:p>
            <w:pPr>
              <w:widowControl/>
              <w:spacing w:line="460" w:lineRule="exact"/>
              <w:ind w:firstLine="480"/>
              <w:rPr>
                <w:rFonts w:ascii="宋体" w:hAnsi="宋体" w:cs="宋体"/>
                <w:sz w:val="24"/>
              </w:rPr>
            </w:pPr>
          </w:p>
        </w:tc>
        <w:tc>
          <w:tcPr>
            <w:tcW w:w="830" w:type="dxa"/>
            <w:noWrap/>
          </w:tcPr>
          <w:p>
            <w:pPr>
              <w:widowControl/>
              <w:spacing w:line="460" w:lineRule="exact"/>
              <w:ind w:firstLine="480"/>
              <w:rPr>
                <w:rFonts w:ascii="宋体" w:hAnsi="宋体" w:cs="宋体"/>
                <w:sz w:val="24"/>
              </w:rPr>
            </w:pPr>
          </w:p>
        </w:tc>
        <w:tc>
          <w:tcPr>
            <w:tcW w:w="1018" w:type="dxa"/>
            <w:noWrap/>
          </w:tcPr>
          <w:p>
            <w:pPr>
              <w:widowControl/>
              <w:spacing w:line="460" w:lineRule="exact"/>
              <w:ind w:firstLine="480"/>
              <w:rPr>
                <w:rFonts w:ascii="宋体" w:hAnsi="宋体" w:cs="宋体"/>
                <w:sz w:val="24"/>
              </w:rPr>
            </w:pPr>
          </w:p>
        </w:tc>
        <w:tc>
          <w:tcPr>
            <w:tcW w:w="860" w:type="dxa"/>
            <w:noWrap/>
          </w:tcPr>
          <w:p>
            <w:pPr>
              <w:widowControl/>
              <w:spacing w:line="460" w:lineRule="exact"/>
              <w:ind w:firstLine="480"/>
              <w:rPr>
                <w:rFonts w:ascii="宋体" w:hAnsi="宋体" w:cs="宋体"/>
                <w:sz w:val="24"/>
              </w:rPr>
            </w:pPr>
          </w:p>
        </w:tc>
        <w:tc>
          <w:tcPr>
            <w:tcW w:w="1292" w:type="dxa"/>
            <w:noWrap/>
          </w:tcPr>
          <w:p>
            <w:pPr>
              <w:widowControl/>
              <w:spacing w:line="460" w:lineRule="exact"/>
              <w:ind w:firstLine="480"/>
              <w:rPr>
                <w:rFonts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09" w:type="dxa"/>
            <w:noWrap/>
          </w:tcPr>
          <w:p>
            <w:pPr>
              <w:widowControl/>
              <w:spacing w:line="460" w:lineRule="exact"/>
              <w:jc w:val="center"/>
              <w:rPr>
                <w:rFonts w:ascii="宋体" w:hAnsi="宋体" w:cs="宋体"/>
                <w:sz w:val="24"/>
              </w:rPr>
            </w:pPr>
            <w:r>
              <w:rPr>
                <w:rFonts w:hint="eastAsia" w:ascii="宋体" w:hAnsi="宋体" w:cs="宋体"/>
                <w:sz w:val="24"/>
              </w:rPr>
              <w:t>3</w:t>
            </w:r>
          </w:p>
        </w:tc>
        <w:tc>
          <w:tcPr>
            <w:tcW w:w="1350" w:type="dxa"/>
            <w:noWrap/>
          </w:tcPr>
          <w:p>
            <w:pPr>
              <w:widowControl/>
              <w:spacing w:line="460" w:lineRule="exact"/>
              <w:ind w:firstLine="480"/>
              <w:rPr>
                <w:rFonts w:ascii="宋体" w:hAnsi="宋体" w:cs="宋体"/>
                <w:sz w:val="24"/>
              </w:rPr>
            </w:pPr>
          </w:p>
        </w:tc>
        <w:tc>
          <w:tcPr>
            <w:tcW w:w="1633" w:type="dxa"/>
            <w:noWrap/>
          </w:tcPr>
          <w:p>
            <w:pPr>
              <w:widowControl/>
              <w:spacing w:line="460" w:lineRule="exact"/>
              <w:ind w:firstLine="480"/>
              <w:rPr>
                <w:rFonts w:ascii="宋体" w:hAnsi="宋体" w:cs="宋体"/>
                <w:sz w:val="24"/>
              </w:rPr>
            </w:pPr>
          </w:p>
        </w:tc>
        <w:tc>
          <w:tcPr>
            <w:tcW w:w="1533" w:type="dxa"/>
            <w:noWrap/>
          </w:tcPr>
          <w:p>
            <w:pPr>
              <w:widowControl/>
              <w:spacing w:line="460" w:lineRule="exact"/>
              <w:ind w:firstLine="480"/>
              <w:rPr>
                <w:rFonts w:ascii="宋体" w:hAnsi="宋体" w:cs="宋体"/>
                <w:sz w:val="24"/>
              </w:rPr>
            </w:pPr>
          </w:p>
        </w:tc>
        <w:tc>
          <w:tcPr>
            <w:tcW w:w="970" w:type="dxa"/>
            <w:noWrap/>
          </w:tcPr>
          <w:p>
            <w:pPr>
              <w:widowControl/>
              <w:spacing w:line="460" w:lineRule="exact"/>
              <w:ind w:firstLine="480"/>
              <w:rPr>
                <w:rFonts w:ascii="宋体" w:hAnsi="宋体" w:cs="宋体"/>
                <w:sz w:val="24"/>
              </w:rPr>
            </w:pPr>
          </w:p>
        </w:tc>
        <w:tc>
          <w:tcPr>
            <w:tcW w:w="830" w:type="dxa"/>
            <w:noWrap/>
          </w:tcPr>
          <w:p>
            <w:pPr>
              <w:widowControl/>
              <w:spacing w:line="460" w:lineRule="exact"/>
              <w:ind w:firstLine="480"/>
              <w:rPr>
                <w:rFonts w:ascii="宋体" w:hAnsi="宋体" w:cs="宋体"/>
                <w:sz w:val="24"/>
              </w:rPr>
            </w:pPr>
          </w:p>
        </w:tc>
        <w:tc>
          <w:tcPr>
            <w:tcW w:w="1018" w:type="dxa"/>
            <w:noWrap/>
          </w:tcPr>
          <w:p>
            <w:pPr>
              <w:widowControl/>
              <w:spacing w:line="460" w:lineRule="exact"/>
              <w:ind w:firstLine="480"/>
              <w:rPr>
                <w:rFonts w:ascii="宋体" w:hAnsi="宋体" w:cs="宋体"/>
                <w:sz w:val="24"/>
              </w:rPr>
            </w:pPr>
          </w:p>
        </w:tc>
        <w:tc>
          <w:tcPr>
            <w:tcW w:w="860" w:type="dxa"/>
            <w:noWrap/>
          </w:tcPr>
          <w:p>
            <w:pPr>
              <w:widowControl/>
              <w:spacing w:line="460" w:lineRule="exact"/>
              <w:ind w:firstLine="480"/>
              <w:rPr>
                <w:rFonts w:ascii="宋体" w:hAnsi="宋体" w:cs="宋体"/>
                <w:sz w:val="24"/>
              </w:rPr>
            </w:pPr>
          </w:p>
        </w:tc>
        <w:tc>
          <w:tcPr>
            <w:tcW w:w="1292" w:type="dxa"/>
            <w:noWrap/>
          </w:tcPr>
          <w:p>
            <w:pPr>
              <w:widowControl/>
              <w:spacing w:line="460" w:lineRule="exact"/>
              <w:ind w:firstLine="480"/>
              <w:rPr>
                <w:rFonts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09" w:type="dxa"/>
            <w:noWrap/>
          </w:tcPr>
          <w:p>
            <w:pPr>
              <w:widowControl/>
              <w:spacing w:line="460" w:lineRule="exact"/>
              <w:rPr>
                <w:rFonts w:ascii="宋体" w:hAnsi="宋体" w:cs="宋体"/>
                <w:sz w:val="24"/>
              </w:rPr>
            </w:pPr>
            <w:r>
              <w:rPr>
                <w:rFonts w:hint="eastAsia" w:ascii="宋体" w:hAnsi="宋体" w:cs="宋体"/>
                <w:sz w:val="24"/>
              </w:rPr>
              <w:t>……</w:t>
            </w:r>
          </w:p>
        </w:tc>
        <w:tc>
          <w:tcPr>
            <w:tcW w:w="1350" w:type="dxa"/>
            <w:noWrap/>
          </w:tcPr>
          <w:p>
            <w:pPr>
              <w:widowControl/>
              <w:spacing w:line="460" w:lineRule="exact"/>
              <w:ind w:firstLine="480"/>
              <w:rPr>
                <w:rFonts w:ascii="宋体" w:hAnsi="宋体" w:cs="宋体"/>
                <w:sz w:val="24"/>
              </w:rPr>
            </w:pPr>
          </w:p>
        </w:tc>
        <w:tc>
          <w:tcPr>
            <w:tcW w:w="1633" w:type="dxa"/>
            <w:noWrap/>
          </w:tcPr>
          <w:p>
            <w:pPr>
              <w:widowControl/>
              <w:spacing w:line="460" w:lineRule="exact"/>
              <w:ind w:firstLine="480"/>
              <w:rPr>
                <w:rFonts w:ascii="宋体" w:hAnsi="宋体" w:cs="宋体"/>
                <w:sz w:val="24"/>
              </w:rPr>
            </w:pPr>
          </w:p>
        </w:tc>
        <w:tc>
          <w:tcPr>
            <w:tcW w:w="1533" w:type="dxa"/>
            <w:noWrap/>
          </w:tcPr>
          <w:p>
            <w:pPr>
              <w:widowControl/>
              <w:spacing w:line="460" w:lineRule="exact"/>
              <w:ind w:firstLine="480"/>
              <w:rPr>
                <w:rFonts w:ascii="宋体" w:hAnsi="宋体" w:cs="宋体"/>
                <w:sz w:val="24"/>
              </w:rPr>
            </w:pPr>
          </w:p>
        </w:tc>
        <w:tc>
          <w:tcPr>
            <w:tcW w:w="970" w:type="dxa"/>
            <w:noWrap/>
          </w:tcPr>
          <w:p>
            <w:pPr>
              <w:widowControl/>
              <w:spacing w:line="460" w:lineRule="exact"/>
              <w:ind w:firstLine="480"/>
              <w:rPr>
                <w:rFonts w:ascii="宋体" w:hAnsi="宋体" w:cs="宋体"/>
                <w:sz w:val="24"/>
              </w:rPr>
            </w:pPr>
          </w:p>
        </w:tc>
        <w:tc>
          <w:tcPr>
            <w:tcW w:w="830" w:type="dxa"/>
            <w:noWrap/>
          </w:tcPr>
          <w:p>
            <w:pPr>
              <w:widowControl/>
              <w:spacing w:line="460" w:lineRule="exact"/>
              <w:ind w:firstLine="480"/>
              <w:rPr>
                <w:rFonts w:ascii="宋体" w:hAnsi="宋体" w:cs="宋体"/>
                <w:sz w:val="24"/>
              </w:rPr>
            </w:pPr>
          </w:p>
        </w:tc>
        <w:tc>
          <w:tcPr>
            <w:tcW w:w="1018" w:type="dxa"/>
            <w:noWrap/>
          </w:tcPr>
          <w:p>
            <w:pPr>
              <w:widowControl/>
              <w:spacing w:line="460" w:lineRule="exact"/>
              <w:ind w:firstLine="480"/>
              <w:rPr>
                <w:rFonts w:ascii="宋体" w:hAnsi="宋体" w:cs="宋体"/>
                <w:sz w:val="24"/>
              </w:rPr>
            </w:pPr>
          </w:p>
        </w:tc>
        <w:tc>
          <w:tcPr>
            <w:tcW w:w="860" w:type="dxa"/>
            <w:noWrap/>
          </w:tcPr>
          <w:p>
            <w:pPr>
              <w:widowControl/>
              <w:spacing w:line="460" w:lineRule="exact"/>
              <w:ind w:firstLine="480"/>
              <w:rPr>
                <w:rFonts w:ascii="宋体" w:hAnsi="宋体" w:cs="宋体"/>
                <w:sz w:val="24"/>
              </w:rPr>
            </w:pPr>
          </w:p>
        </w:tc>
        <w:tc>
          <w:tcPr>
            <w:tcW w:w="1292" w:type="dxa"/>
            <w:noWrap/>
          </w:tcPr>
          <w:p>
            <w:pPr>
              <w:widowControl/>
              <w:spacing w:line="460" w:lineRule="exact"/>
              <w:ind w:firstLine="480"/>
              <w:rPr>
                <w:rFonts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159" w:type="dxa"/>
            <w:gridSpan w:val="2"/>
            <w:noWrap/>
          </w:tcPr>
          <w:p>
            <w:pPr>
              <w:widowControl/>
              <w:spacing w:line="460" w:lineRule="exact"/>
              <w:ind w:firstLine="480"/>
              <w:rPr>
                <w:rFonts w:ascii="宋体" w:hAnsi="宋体" w:cs="宋体"/>
                <w:sz w:val="24"/>
              </w:rPr>
            </w:pPr>
            <w:r>
              <w:rPr>
                <w:rFonts w:hint="eastAsia" w:ascii="宋体" w:hAnsi="宋体" w:cs="宋体"/>
                <w:sz w:val="24"/>
              </w:rPr>
              <w:t>合计</w:t>
            </w:r>
          </w:p>
        </w:tc>
        <w:tc>
          <w:tcPr>
            <w:tcW w:w="8136" w:type="dxa"/>
            <w:gridSpan w:val="7"/>
            <w:noWrap/>
          </w:tcPr>
          <w:p>
            <w:pPr>
              <w:widowControl/>
              <w:spacing w:line="460" w:lineRule="exact"/>
              <w:rPr>
                <w:rFonts w:ascii="宋体" w:hAnsi="宋体" w:cs="宋体"/>
                <w:sz w:val="24"/>
              </w:rPr>
            </w:pPr>
            <w:r>
              <w:rPr>
                <w:rFonts w:hint="eastAsia" w:ascii="宋体" w:hAnsi="宋体" w:cs="宋体"/>
                <w:sz w:val="24"/>
              </w:rPr>
              <w:t>总价(大写);元整；小写：¥</w:t>
            </w:r>
            <w:r>
              <w:rPr>
                <w:rFonts w:hint="eastAsia" w:ascii="宋体" w:hAnsi="宋体" w:cs="宋体"/>
                <w:sz w:val="24"/>
                <w:u w:val="single"/>
              </w:rPr>
              <w:t xml:space="preserve">：       元 </w:t>
            </w:r>
          </w:p>
        </w:tc>
      </w:tr>
    </w:tbl>
    <w:p>
      <w:pPr>
        <w:snapToGrid w:val="0"/>
        <w:spacing w:line="500" w:lineRule="exact"/>
        <w:jc w:val="left"/>
        <w:rPr>
          <w:rFonts w:asciiTheme="minorEastAsia" w:hAnsiTheme="minorEastAsia" w:eastAsiaTheme="minorEastAsia" w:cstheme="minorEastAsia"/>
          <w:color w:val="353535"/>
          <w:sz w:val="24"/>
          <w:lang w:val="zh-CN"/>
        </w:rPr>
      </w:pPr>
      <w:r>
        <w:rPr>
          <w:rFonts w:hint="eastAsia" w:asciiTheme="minorEastAsia" w:hAnsiTheme="minorEastAsia" w:eastAsiaTheme="minorEastAsia" w:cstheme="minorEastAsia"/>
          <w:color w:val="353535"/>
          <w:sz w:val="24"/>
          <w:lang w:val="zh-CN"/>
        </w:rPr>
        <w:t>注：1、本表由磋商响应供应商填写，供开标会议唱标所用。</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b/>
          <w:sz w:val="24"/>
          <w:u w:val="single"/>
        </w:rPr>
        <w:t>报价填写必须为印刷体打印，手写无效报价</w:t>
      </w:r>
      <w:r>
        <w:rPr>
          <w:rFonts w:hint="eastAsia" w:asciiTheme="minorEastAsia" w:hAnsiTheme="minorEastAsia" w:eastAsiaTheme="minorEastAsia" w:cstheme="minorEastAsia"/>
          <w:color w:val="353535"/>
          <w:sz w:val="24"/>
          <w:lang w:val="zh-CN"/>
        </w:rPr>
        <w:t>。</w:t>
      </w:r>
    </w:p>
    <w:p>
      <w:pPr>
        <w:snapToGrid w:val="0"/>
        <w:spacing w:line="460" w:lineRule="exact"/>
        <w:ind w:firstLine="484" w:firstLineChars="202"/>
        <w:rPr>
          <w:rFonts w:ascii="宋体" w:hAnsi="宋体" w:cs="宋体"/>
          <w:b/>
          <w:bCs/>
          <w:color w:val="292929"/>
          <w:sz w:val="24"/>
        </w:rPr>
      </w:pPr>
      <w:r>
        <w:rPr>
          <w:rFonts w:hint="eastAsia" w:asciiTheme="minorEastAsia" w:hAnsiTheme="minorEastAsia" w:eastAsiaTheme="minorEastAsia" w:cstheme="minorEastAsia"/>
          <w:color w:val="353535"/>
          <w:sz w:val="24"/>
          <w:lang w:val="zh-CN"/>
        </w:rPr>
        <w:t>2、</w:t>
      </w:r>
      <w:r>
        <w:rPr>
          <w:rFonts w:hint="eastAsia" w:ascii="宋体" w:hAnsi="宋体" w:cs="宋体"/>
          <w:color w:val="292929"/>
          <w:sz w:val="24"/>
        </w:rPr>
        <w:t>磋商响应报价应以人民币为结算货币。报价须包括</w:t>
      </w:r>
      <w:r>
        <w:rPr>
          <w:rFonts w:hint="eastAsia" w:asciiTheme="minorEastAsia" w:hAnsiTheme="minorEastAsia" w:eastAsiaTheme="minorEastAsia" w:cstheme="minorEastAsia"/>
          <w:color w:val="000000"/>
          <w:sz w:val="24"/>
        </w:rPr>
        <w:t>调试</w:t>
      </w:r>
      <w:r>
        <w:rPr>
          <w:rFonts w:hint="eastAsia" w:ascii="宋体" w:hAnsi="宋体" w:cs="宋体"/>
          <w:color w:val="292929"/>
          <w:sz w:val="24"/>
          <w:lang w:val="zh-CN"/>
        </w:rPr>
        <w:t>安装、调试、检测、验收费、培训指导费、</w:t>
      </w:r>
      <w:r>
        <w:rPr>
          <w:rFonts w:hint="eastAsia" w:ascii="宋体" w:hAnsi="宋体" w:cs="宋体"/>
          <w:color w:val="292929"/>
          <w:sz w:val="24"/>
        </w:rPr>
        <w:t>辅助工作及售后服务、</w:t>
      </w:r>
      <w:r>
        <w:rPr>
          <w:rFonts w:hint="eastAsia" w:ascii="宋体" w:hAnsi="宋体" w:cs="宋体"/>
          <w:color w:val="292929"/>
          <w:sz w:val="24"/>
          <w:lang w:val="zh-CN"/>
        </w:rPr>
        <w:t>保险费、税金等一切费用。</w:t>
      </w:r>
      <w:r>
        <w:rPr>
          <w:rFonts w:hint="eastAsia" w:ascii="宋体" w:hAnsi="宋体" w:cs="宋体"/>
          <w:color w:val="292929"/>
          <w:sz w:val="24"/>
        </w:rPr>
        <w:t>即按采购人要求运到指定地点的价格。磋商响应报价为磋商响应方所能承受的最低、最终报价。</w:t>
      </w:r>
      <w:r>
        <w:rPr>
          <w:rFonts w:hint="eastAsia" w:ascii="宋体" w:hAnsi="宋体" w:cs="宋体"/>
          <w:b/>
          <w:bCs/>
          <w:color w:val="292929"/>
          <w:sz w:val="24"/>
        </w:rPr>
        <w:t>如有漏项，视同已包含在其它项目中，单价不做调整。投标报价为投标人所能承受的最低、最终报价 (即交钥匙工程)，投标人不得再要求追加任何费用。结算货款为最终实际数量乘以中标单价。如最终报价比原价下浮，则每一单价同比例下浮。</w:t>
      </w:r>
    </w:p>
    <w:p>
      <w:pPr>
        <w:spacing w:line="500" w:lineRule="exact"/>
        <w:ind w:firstLine="480" w:firstLineChars="200"/>
        <w:rPr>
          <w:rFonts w:asciiTheme="minorEastAsia" w:hAnsiTheme="minorEastAsia" w:eastAsiaTheme="minorEastAsia" w:cstheme="minorEastAsia"/>
          <w:color w:val="353535"/>
          <w:sz w:val="24"/>
          <w:lang w:val="zh-CN"/>
        </w:rPr>
      </w:pPr>
      <w:r>
        <w:rPr>
          <w:rFonts w:hint="eastAsia" w:asciiTheme="minorEastAsia" w:hAnsiTheme="minorEastAsia" w:eastAsiaTheme="minorEastAsia" w:cstheme="minorEastAsia"/>
          <w:color w:val="353535"/>
          <w:sz w:val="24"/>
          <w:lang w:val="zh-CN"/>
        </w:rPr>
        <w:t>3、本次报价仅做磋商参考，不做成交依据。</w:t>
      </w:r>
    </w:p>
    <w:p>
      <w:pPr>
        <w:snapToGrid w:val="0"/>
        <w:spacing w:line="500" w:lineRule="exact"/>
        <w:ind w:firstLine="4948" w:firstLineChars="2062"/>
        <w:rPr>
          <w:rFonts w:asciiTheme="minorEastAsia" w:hAnsiTheme="minorEastAsia" w:eastAsiaTheme="minorEastAsia" w:cstheme="minorEastAsia"/>
          <w:color w:val="353535"/>
          <w:sz w:val="24"/>
          <w:lang w:val="zh-CN"/>
        </w:rPr>
      </w:pPr>
    </w:p>
    <w:p>
      <w:pPr>
        <w:snapToGrid w:val="0"/>
        <w:spacing w:line="500" w:lineRule="exact"/>
        <w:ind w:firstLine="4948" w:firstLineChars="2062"/>
        <w:rPr>
          <w:rFonts w:asciiTheme="minorEastAsia" w:hAnsiTheme="minorEastAsia" w:eastAsiaTheme="minorEastAsia" w:cstheme="minorEastAsia"/>
          <w:color w:val="353535"/>
          <w:sz w:val="24"/>
          <w:lang w:val="zh-CN"/>
        </w:rPr>
      </w:pPr>
    </w:p>
    <w:p>
      <w:pPr>
        <w:snapToGrid w:val="0"/>
        <w:spacing w:line="500" w:lineRule="exact"/>
        <w:ind w:firstLine="4948" w:firstLineChars="2062"/>
        <w:rPr>
          <w:rFonts w:asciiTheme="minorEastAsia" w:hAnsiTheme="minorEastAsia" w:eastAsiaTheme="minorEastAsia" w:cstheme="minorEastAsia"/>
          <w:color w:val="353535"/>
          <w:sz w:val="24"/>
          <w:lang w:val="zh-CN"/>
        </w:rPr>
      </w:pPr>
      <w:r>
        <w:rPr>
          <w:rFonts w:hint="eastAsia" w:asciiTheme="minorEastAsia" w:hAnsiTheme="minorEastAsia" w:eastAsiaTheme="minorEastAsia" w:cstheme="minorEastAsia"/>
          <w:color w:val="353535"/>
          <w:sz w:val="24"/>
          <w:lang w:val="zh-CN"/>
        </w:rPr>
        <w:t>磋商响应供应商名称（盖章）：</w:t>
      </w:r>
    </w:p>
    <w:p>
      <w:pPr>
        <w:snapToGrid w:val="0"/>
        <w:spacing w:line="500" w:lineRule="exact"/>
        <w:ind w:left="-204" w:leftChars="-97" w:firstLine="3480" w:firstLineChars="1450"/>
        <w:rPr>
          <w:rFonts w:asciiTheme="minorEastAsia" w:hAnsiTheme="minorEastAsia" w:eastAsiaTheme="minorEastAsia" w:cstheme="minorEastAsia"/>
          <w:color w:val="353535"/>
          <w:sz w:val="24"/>
        </w:rPr>
      </w:pPr>
      <w:r>
        <w:rPr>
          <w:rFonts w:hint="eastAsia" w:asciiTheme="minorEastAsia" w:hAnsiTheme="minorEastAsia" w:eastAsiaTheme="minorEastAsia" w:cstheme="minorEastAsia"/>
          <w:color w:val="353535"/>
          <w:sz w:val="24"/>
        </w:rPr>
        <w:t>法定代表人或授权委托人（签字）：</w:t>
      </w:r>
    </w:p>
    <w:p>
      <w:pPr>
        <w:snapToGrid w:val="0"/>
        <w:spacing w:line="500" w:lineRule="exact"/>
        <w:jc w:val="center"/>
        <w:rPr>
          <w:rFonts w:asciiTheme="minorEastAsia" w:hAnsiTheme="minorEastAsia" w:eastAsiaTheme="minorEastAsia" w:cstheme="minorEastAsia"/>
          <w:color w:val="353535"/>
          <w:sz w:val="24"/>
        </w:rPr>
      </w:pPr>
      <w:r>
        <w:rPr>
          <w:rFonts w:hint="eastAsia" w:asciiTheme="minorEastAsia" w:hAnsiTheme="minorEastAsia" w:eastAsiaTheme="minorEastAsia" w:cstheme="minorEastAsia"/>
          <w:color w:val="353535"/>
          <w:sz w:val="24"/>
        </w:rPr>
        <w:t xml:space="preserve"> 日期：     年     月    日</w:t>
      </w:r>
    </w:p>
    <w:p>
      <w:pPr>
        <w:snapToGrid w:val="0"/>
        <w:spacing w:line="500" w:lineRule="exact"/>
        <w:ind w:firstLine="1680" w:firstLineChars="600"/>
        <w:outlineLvl w:val="0"/>
        <w:rPr>
          <w:rFonts w:asciiTheme="minorEastAsia" w:hAnsiTheme="minorEastAsia" w:eastAsiaTheme="minorEastAsia" w:cstheme="minorEastAsia"/>
          <w:color w:val="353535"/>
          <w:sz w:val="28"/>
          <w:szCs w:val="28"/>
        </w:rPr>
      </w:pPr>
    </w:p>
    <w:p>
      <w:pPr>
        <w:snapToGrid w:val="0"/>
        <w:spacing w:line="500" w:lineRule="exact"/>
        <w:ind w:firstLine="3373" w:firstLineChars="1200"/>
        <w:outlineLvl w:val="0"/>
        <w:rPr>
          <w:rFonts w:ascii="仿宋" w:hAnsi="仿宋" w:cs="仿宋"/>
          <w:b/>
          <w:sz w:val="28"/>
          <w:szCs w:val="28"/>
        </w:rPr>
      </w:pPr>
      <w:r>
        <w:rPr>
          <w:rFonts w:hint="eastAsia" w:ascii="仿宋" w:hAnsi="仿宋" w:cs="仿宋"/>
          <w:b/>
          <w:sz w:val="28"/>
          <w:szCs w:val="28"/>
        </w:rPr>
        <w:t>最终报价表</w:t>
      </w:r>
    </w:p>
    <w:p>
      <w:pPr>
        <w:spacing w:line="460" w:lineRule="exact"/>
        <w:rPr>
          <w:rFonts w:asciiTheme="minorEastAsia" w:hAnsiTheme="minorEastAsia" w:eastAsiaTheme="minorEastAsia" w:cstheme="minorEastAsia"/>
          <w:sz w:val="24"/>
        </w:rPr>
      </w:pPr>
    </w:p>
    <w:p>
      <w:pPr>
        <w:spacing w:line="46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lang w:val="zh-CN"/>
        </w:rPr>
        <w:t>龙游石窟景区、龙游民居苑景区票务系统新建项目</w:t>
      </w:r>
    </w:p>
    <w:p>
      <w:pPr>
        <w:snapToGri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项目编号：LYBQGC2021-14金额单位：人民币(元)</w:t>
      </w:r>
    </w:p>
    <w:tbl>
      <w:tblPr>
        <w:tblStyle w:val="59"/>
        <w:tblpPr w:leftFromText="180" w:rightFromText="180" w:vertAnchor="text" w:horzAnchor="page" w:tblpX="1070" w:tblpY="148"/>
        <w:tblOverlap w:val="never"/>
        <w:tblW w:w="10037"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65"/>
        <w:gridCol w:w="1939"/>
        <w:gridCol w:w="715"/>
        <w:gridCol w:w="966"/>
        <w:gridCol w:w="1184"/>
        <w:gridCol w:w="1000"/>
        <w:gridCol w:w="1503"/>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65" w:type="dxa"/>
            <w:noWrap/>
            <w:vAlign w:val="center"/>
          </w:tcPr>
          <w:p>
            <w:pPr>
              <w:widowControl/>
              <w:spacing w:line="460" w:lineRule="exact"/>
              <w:rPr>
                <w:rFonts w:ascii="宋体" w:hAnsi="宋体" w:cs="宋体"/>
                <w:sz w:val="24"/>
              </w:rPr>
            </w:pPr>
            <w:r>
              <w:rPr>
                <w:rFonts w:hint="eastAsia" w:ascii="宋体" w:hAnsi="宋体" w:cs="宋体"/>
                <w:sz w:val="24"/>
              </w:rPr>
              <w:t>序号</w:t>
            </w:r>
          </w:p>
        </w:tc>
        <w:tc>
          <w:tcPr>
            <w:tcW w:w="1965" w:type="dxa"/>
            <w:noWrap/>
            <w:vAlign w:val="center"/>
          </w:tcPr>
          <w:p>
            <w:pPr>
              <w:widowControl/>
              <w:spacing w:line="460" w:lineRule="exact"/>
              <w:ind w:firstLine="480"/>
              <w:rPr>
                <w:rFonts w:ascii="宋体" w:hAnsi="宋体" w:cs="宋体"/>
                <w:sz w:val="24"/>
              </w:rPr>
            </w:pPr>
            <w:r>
              <w:rPr>
                <w:rFonts w:hint="eastAsia" w:ascii="宋体" w:hAnsi="宋体" w:cs="宋体"/>
                <w:sz w:val="24"/>
              </w:rPr>
              <w:t>产品名称</w:t>
            </w:r>
          </w:p>
        </w:tc>
        <w:tc>
          <w:tcPr>
            <w:tcW w:w="1939" w:type="dxa"/>
            <w:noWrap/>
            <w:vAlign w:val="center"/>
          </w:tcPr>
          <w:p>
            <w:pPr>
              <w:widowControl/>
              <w:spacing w:line="460" w:lineRule="exact"/>
              <w:jc w:val="center"/>
            </w:pPr>
            <w:r>
              <w:rPr>
                <w:rFonts w:hint="eastAsia"/>
              </w:rPr>
              <w:t>产品规格/</w:t>
            </w:r>
          </w:p>
          <w:p>
            <w:pPr>
              <w:widowControl/>
              <w:spacing w:line="460" w:lineRule="exact"/>
              <w:jc w:val="center"/>
              <w:rPr>
                <w:rFonts w:ascii="宋体" w:hAnsi="宋体" w:cs="宋体"/>
                <w:sz w:val="24"/>
              </w:rPr>
            </w:pPr>
            <w:r>
              <w:rPr>
                <w:rFonts w:hint="eastAsia"/>
              </w:rPr>
              <w:t>功能描述</w:t>
            </w:r>
          </w:p>
        </w:tc>
        <w:tc>
          <w:tcPr>
            <w:tcW w:w="715" w:type="dxa"/>
            <w:noWrap/>
            <w:vAlign w:val="center"/>
          </w:tcPr>
          <w:p>
            <w:pPr>
              <w:widowControl/>
              <w:spacing w:line="460" w:lineRule="exact"/>
              <w:jc w:val="center"/>
              <w:rPr>
                <w:rFonts w:ascii="宋体" w:hAnsi="宋体" w:cs="宋体"/>
                <w:sz w:val="24"/>
              </w:rPr>
            </w:pPr>
            <w:r>
              <w:rPr>
                <w:rFonts w:hint="eastAsia" w:ascii="宋体" w:hAnsi="宋体" w:cs="宋体"/>
                <w:sz w:val="24"/>
              </w:rPr>
              <w:t>数量</w:t>
            </w:r>
          </w:p>
        </w:tc>
        <w:tc>
          <w:tcPr>
            <w:tcW w:w="966" w:type="dxa"/>
            <w:noWrap/>
            <w:vAlign w:val="center"/>
          </w:tcPr>
          <w:p>
            <w:pPr>
              <w:widowControl/>
              <w:spacing w:line="460" w:lineRule="exact"/>
              <w:jc w:val="center"/>
              <w:rPr>
                <w:rFonts w:ascii="宋体" w:hAnsi="宋体" w:cs="宋体"/>
                <w:sz w:val="24"/>
              </w:rPr>
            </w:pPr>
            <w:r>
              <w:rPr>
                <w:rFonts w:hint="eastAsia" w:ascii="宋体" w:hAnsi="宋体" w:cs="宋体"/>
                <w:sz w:val="24"/>
              </w:rPr>
              <w:t>单位</w:t>
            </w:r>
          </w:p>
        </w:tc>
        <w:tc>
          <w:tcPr>
            <w:tcW w:w="1184" w:type="dxa"/>
            <w:noWrap/>
            <w:vAlign w:val="center"/>
          </w:tcPr>
          <w:p>
            <w:pPr>
              <w:widowControl/>
              <w:spacing w:line="460" w:lineRule="exact"/>
              <w:rPr>
                <w:rFonts w:ascii="宋体" w:hAnsi="宋体" w:cs="宋体"/>
                <w:sz w:val="24"/>
              </w:rPr>
            </w:pPr>
            <w:r>
              <w:rPr>
                <w:rFonts w:hint="eastAsia" w:ascii="宋体" w:hAnsi="宋体" w:cs="宋体"/>
                <w:sz w:val="24"/>
              </w:rPr>
              <w:t>单价（元）</w:t>
            </w:r>
          </w:p>
        </w:tc>
        <w:tc>
          <w:tcPr>
            <w:tcW w:w="1000" w:type="dxa"/>
            <w:noWrap/>
            <w:vAlign w:val="center"/>
          </w:tcPr>
          <w:p>
            <w:pPr>
              <w:widowControl/>
              <w:spacing w:line="460" w:lineRule="exact"/>
              <w:jc w:val="center"/>
              <w:rPr>
                <w:rFonts w:ascii="宋体" w:hAnsi="宋体" w:cs="宋体"/>
                <w:sz w:val="24"/>
              </w:rPr>
            </w:pPr>
            <w:r>
              <w:rPr>
                <w:rFonts w:hint="eastAsia" w:ascii="宋体" w:hAnsi="宋体" w:cs="宋体"/>
                <w:sz w:val="24"/>
              </w:rPr>
              <w:t>税费</w:t>
            </w:r>
          </w:p>
        </w:tc>
        <w:tc>
          <w:tcPr>
            <w:tcW w:w="1503" w:type="dxa"/>
            <w:noWrap/>
            <w:vAlign w:val="center"/>
          </w:tcPr>
          <w:p>
            <w:pPr>
              <w:widowControl/>
              <w:spacing w:line="460" w:lineRule="exact"/>
              <w:rPr>
                <w:rFonts w:ascii="宋体" w:hAnsi="宋体" w:cs="宋体"/>
                <w:sz w:val="24"/>
              </w:rPr>
            </w:pPr>
            <w:r>
              <w:rPr>
                <w:rFonts w:hint="eastAsia" w:ascii="宋体" w:hAnsi="宋体" w:cs="宋体"/>
                <w:sz w:val="24"/>
              </w:rPr>
              <w:t>总价（元）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765" w:type="dxa"/>
            <w:noWrap/>
          </w:tcPr>
          <w:p>
            <w:pPr>
              <w:widowControl/>
              <w:spacing w:line="460" w:lineRule="exact"/>
              <w:jc w:val="center"/>
              <w:rPr>
                <w:rFonts w:ascii="宋体" w:hAnsi="宋体" w:cs="宋体"/>
                <w:sz w:val="24"/>
              </w:rPr>
            </w:pPr>
            <w:r>
              <w:rPr>
                <w:rFonts w:hint="eastAsia" w:ascii="宋体" w:hAnsi="宋体" w:cs="宋体"/>
                <w:sz w:val="24"/>
              </w:rPr>
              <w:t>1</w:t>
            </w:r>
          </w:p>
        </w:tc>
        <w:tc>
          <w:tcPr>
            <w:tcW w:w="1965" w:type="dxa"/>
            <w:noWrap/>
          </w:tcPr>
          <w:p>
            <w:pPr>
              <w:widowControl/>
              <w:spacing w:line="460" w:lineRule="exact"/>
              <w:ind w:firstLine="480"/>
              <w:rPr>
                <w:rFonts w:ascii="宋体" w:hAnsi="宋体" w:cs="宋体"/>
                <w:sz w:val="24"/>
              </w:rPr>
            </w:pPr>
          </w:p>
        </w:tc>
        <w:tc>
          <w:tcPr>
            <w:tcW w:w="1939" w:type="dxa"/>
            <w:noWrap/>
          </w:tcPr>
          <w:p>
            <w:pPr>
              <w:widowControl/>
              <w:spacing w:line="460" w:lineRule="exact"/>
              <w:ind w:firstLine="480"/>
              <w:rPr>
                <w:rFonts w:ascii="宋体" w:hAnsi="宋体" w:cs="宋体"/>
                <w:sz w:val="24"/>
              </w:rPr>
            </w:pPr>
          </w:p>
        </w:tc>
        <w:tc>
          <w:tcPr>
            <w:tcW w:w="715" w:type="dxa"/>
            <w:noWrap/>
          </w:tcPr>
          <w:p>
            <w:pPr>
              <w:widowControl/>
              <w:spacing w:line="460" w:lineRule="exact"/>
              <w:ind w:firstLine="480"/>
              <w:rPr>
                <w:rFonts w:ascii="宋体" w:hAnsi="宋体" w:cs="宋体"/>
                <w:sz w:val="24"/>
              </w:rPr>
            </w:pPr>
          </w:p>
        </w:tc>
        <w:tc>
          <w:tcPr>
            <w:tcW w:w="966" w:type="dxa"/>
            <w:noWrap/>
          </w:tcPr>
          <w:p>
            <w:pPr>
              <w:widowControl/>
              <w:spacing w:line="460" w:lineRule="exact"/>
              <w:ind w:firstLine="480"/>
              <w:rPr>
                <w:rFonts w:ascii="宋体" w:hAnsi="宋体" w:cs="宋体"/>
                <w:sz w:val="24"/>
              </w:rPr>
            </w:pPr>
          </w:p>
        </w:tc>
        <w:tc>
          <w:tcPr>
            <w:tcW w:w="1184" w:type="dxa"/>
            <w:noWrap/>
          </w:tcPr>
          <w:p>
            <w:pPr>
              <w:widowControl/>
              <w:spacing w:line="460" w:lineRule="exact"/>
              <w:ind w:firstLine="480"/>
              <w:rPr>
                <w:rFonts w:ascii="宋体" w:hAnsi="宋体" w:cs="宋体"/>
                <w:sz w:val="24"/>
              </w:rPr>
            </w:pPr>
          </w:p>
        </w:tc>
        <w:tc>
          <w:tcPr>
            <w:tcW w:w="1000" w:type="dxa"/>
            <w:noWrap/>
          </w:tcPr>
          <w:p>
            <w:pPr>
              <w:widowControl/>
              <w:spacing w:line="460" w:lineRule="exact"/>
              <w:ind w:firstLine="480"/>
              <w:rPr>
                <w:rFonts w:ascii="宋体" w:hAnsi="宋体" w:cs="宋体"/>
                <w:sz w:val="24"/>
              </w:rPr>
            </w:pPr>
          </w:p>
        </w:tc>
        <w:tc>
          <w:tcPr>
            <w:tcW w:w="1503" w:type="dxa"/>
            <w:noWrap/>
          </w:tcPr>
          <w:p>
            <w:pPr>
              <w:widowControl/>
              <w:spacing w:line="460" w:lineRule="exact"/>
              <w:ind w:firstLine="480"/>
              <w:rPr>
                <w:rFonts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765" w:type="dxa"/>
            <w:noWrap/>
          </w:tcPr>
          <w:p>
            <w:pPr>
              <w:widowControl/>
              <w:spacing w:line="460" w:lineRule="exact"/>
              <w:jc w:val="center"/>
              <w:rPr>
                <w:rFonts w:ascii="宋体" w:hAnsi="宋体" w:cs="宋体"/>
                <w:sz w:val="24"/>
              </w:rPr>
            </w:pPr>
            <w:r>
              <w:rPr>
                <w:rFonts w:hint="eastAsia" w:ascii="宋体" w:hAnsi="宋体" w:cs="宋体"/>
                <w:sz w:val="24"/>
              </w:rPr>
              <w:t>2</w:t>
            </w:r>
          </w:p>
        </w:tc>
        <w:tc>
          <w:tcPr>
            <w:tcW w:w="1965" w:type="dxa"/>
            <w:noWrap/>
          </w:tcPr>
          <w:p>
            <w:pPr>
              <w:widowControl/>
              <w:spacing w:line="460" w:lineRule="exact"/>
              <w:ind w:firstLine="480"/>
              <w:rPr>
                <w:rFonts w:ascii="宋体" w:hAnsi="宋体" w:cs="宋体"/>
                <w:sz w:val="24"/>
              </w:rPr>
            </w:pPr>
          </w:p>
        </w:tc>
        <w:tc>
          <w:tcPr>
            <w:tcW w:w="1939" w:type="dxa"/>
            <w:noWrap/>
          </w:tcPr>
          <w:p>
            <w:pPr>
              <w:widowControl/>
              <w:spacing w:line="460" w:lineRule="exact"/>
              <w:ind w:firstLine="480"/>
              <w:rPr>
                <w:rFonts w:ascii="宋体" w:hAnsi="宋体" w:cs="宋体"/>
                <w:sz w:val="24"/>
              </w:rPr>
            </w:pPr>
          </w:p>
        </w:tc>
        <w:tc>
          <w:tcPr>
            <w:tcW w:w="715" w:type="dxa"/>
            <w:noWrap/>
          </w:tcPr>
          <w:p>
            <w:pPr>
              <w:widowControl/>
              <w:spacing w:line="460" w:lineRule="exact"/>
              <w:ind w:firstLine="480"/>
              <w:rPr>
                <w:rFonts w:ascii="宋体" w:hAnsi="宋体" w:cs="宋体"/>
                <w:sz w:val="24"/>
              </w:rPr>
            </w:pPr>
          </w:p>
        </w:tc>
        <w:tc>
          <w:tcPr>
            <w:tcW w:w="966" w:type="dxa"/>
            <w:noWrap/>
          </w:tcPr>
          <w:p>
            <w:pPr>
              <w:widowControl/>
              <w:spacing w:line="460" w:lineRule="exact"/>
              <w:ind w:firstLine="480"/>
              <w:rPr>
                <w:rFonts w:ascii="宋体" w:hAnsi="宋体" w:cs="宋体"/>
                <w:sz w:val="24"/>
              </w:rPr>
            </w:pPr>
          </w:p>
        </w:tc>
        <w:tc>
          <w:tcPr>
            <w:tcW w:w="1184" w:type="dxa"/>
            <w:noWrap/>
          </w:tcPr>
          <w:p>
            <w:pPr>
              <w:widowControl/>
              <w:spacing w:line="460" w:lineRule="exact"/>
              <w:ind w:firstLine="480"/>
              <w:rPr>
                <w:rFonts w:ascii="宋体" w:hAnsi="宋体" w:cs="宋体"/>
                <w:sz w:val="24"/>
              </w:rPr>
            </w:pPr>
          </w:p>
        </w:tc>
        <w:tc>
          <w:tcPr>
            <w:tcW w:w="1000" w:type="dxa"/>
            <w:noWrap/>
          </w:tcPr>
          <w:p>
            <w:pPr>
              <w:widowControl/>
              <w:spacing w:line="460" w:lineRule="exact"/>
              <w:ind w:firstLine="480"/>
              <w:rPr>
                <w:rFonts w:ascii="宋体" w:hAnsi="宋体" w:cs="宋体"/>
                <w:sz w:val="24"/>
              </w:rPr>
            </w:pPr>
          </w:p>
        </w:tc>
        <w:tc>
          <w:tcPr>
            <w:tcW w:w="1503" w:type="dxa"/>
            <w:noWrap/>
          </w:tcPr>
          <w:p>
            <w:pPr>
              <w:widowControl/>
              <w:spacing w:line="460" w:lineRule="exact"/>
              <w:ind w:firstLine="480"/>
              <w:rPr>
                <w:rFonts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765" w:type="dxa"/>
            <w:noWrap/>
          </w:tcPr>
          <w:p>
            <w:pPr>
              <w:widowControl/>
              <w:spacing w:line="460" w:lineRule="exact"/>
              <w:jc w:val="center"/>
              <w:rPr>
                <w:rFonts w:ascii="宋体" w:hAnsi="宋体" w:cs="宋体"/>
                <w:sz w:val="24"/>
              </w:rPr>
            </w:pPr>
            <w:r>
              <w:rPr>
                <w:rFonts w:hint="eastAsia" w:ascii="宋体" w:hAnsi="宋体" w:cs="宋体"/>
                <w:sz w:val="24"/>
              </w:rPr>
              <w:t>3</w:t>
            </w:r>
          </w:p>
        </w:tc>
        <w:tc>
          <w:tcPr>
            <w:tcW w:w="1965" w:type="dxa"/>
            <w:noWrap/>
          </w:tcPr>
          <w:p>
            <w:pPr>
              <w:widowControl/>
              <w:spacing w:line="460" w:lineRule="exact"/>
              <w:ind w:firstLine="480"/>
              <w:rPr>
                <w:rFonts w:ascii="宋体" w:hAnsi="宋体" w:cs="宋体"/>
                <w:sz w:val="24"/>
              </w:rPr>
            </w:pPr>
          </w:p>
        </w:tc>
        <w:tc>
          <w:tcPr>
            <w:tcW w:w="1939" w:type="dxa"/>
            <w:noWrap/>
          </w:tcPr>
          <w:p>
            <w:pPr>
              <w:widowControl/>
              <w:spacing w:line="460" w:lineRule="exact"/>
              <w:ind w:firstLine="480"/>
              <w:rPr>
                <w:rFonts w:ascii="宋体" w:hAnsi="宋体" w:cs="宋体"/>
                <w:sz w:val="24"/>
              </w:rPr>
            </w:pPr>
          </w:p>
        </w:tc>
        <w:tc>
          <w:tcPr>
            <w:tcW w:w="715" w:type="dxa"/>
            <w:noWrap/>
          </w:tcPr>
          <w:p>
            <w:pPr>
              <w:widowControl/>
              <w:spacing w:line="460" w:lineRule="exact"/>
              <w:ind w:firstLine="480"/>
              <w:rPr>
                <w:rFonts w:ascii="宋体" w:hAnsi="宋体" w:cs="宋体"/>
                <w:sz w:val="24"/>
              </w:rPr>
            </w:pPr>
          </w:p>
        </w:tc>
        <w:tc>
          <w:tcPr>
            <w:tcW w:w="966" w:type="dxa"/>
            <w:noWrap/>
          </w:tcPr>
          <w:p>
            <w:pPr>
              <w:widowControl/>
              <w:spacing w:line="460" w:lineRule="exact"/>
              <w:ind w:firstLine="480"/>
              <w:rPr>
                <w:rFonts w:ascii="宋体" w:hAnsi="宋体" w:cs="宋体"/>
                <w:sz w:val="24"/>
              </w:rPr>
            </w:pPr>
          </w:p>
        </w:tc>
        <w:tc>
          <w:tcPr>
            <w:tcW w:w="1184" w:type="dxa"/>
            <w:noWrap/>
          </w:tcPr>
          <w:p>
            <w:pPr>
              <w:widowControl/>
              <w:spacing w:line="460" w:lineRule="exact"/>
              <w:ind w:firstLine="480"/>
              <w:rPr>
                <w:rFonts w:ascii="宋体" w:hAnsi="宋体" w:cs="宋体"/>
                <w:sz w:val="24"/>
              </w:rPr>
            </w:pPr>
          </w:p>
        </w:tc>
        <w:tc>
          <w:tcPr>
            <w:tcW w:w="1000" w:type="dxa"/>
            <w:noWrap/>
          </w:tcPr>
          <w:p>
            <w:pPr>
              <w:widowControl/>
              <w:spacing w:line="460" w:lineRule="exact"/>
              <w:ind w:firstLine="480"/>
              <w:rPr>
                <w:rFonts w:ascii="宋体" w:hAnsi="宋体" w:cs="宋体"/>
                <w:sz w:val="24"/>
              </w:rPr>
            </w:pPr>
          </w:p>
        </w:tc>
        <w:tc>
          <w:tcPr>
            <w:tcW w:w="1503" w:type="dxa"/>
            <w:noWrap/>
          </w:tcPr>
          <w:p>
            <w:pPr>
              <w:widowControl/>
              <w:spacing w:line="460" w:lineRule="exact"/>
              <w:ind w:firstLine="480"/>
              <w:rPr>
                <w:rFonts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765" w:type="dxa"/>
            <w:noWrap/>
          </w:tcPr>
          <w:p>
            <w:pPr>
              <w:widowControl/>
              <w:spacing w:line="460" w:lineRule="exact"/>
              <w:rPr>
                <w:rFonts w:ascii="宋体" w:hAnsi="宋体" w:cs="宋体"/>
                <w:sz w:val="24"/>
              </w:rPr>
            </w:pPr>
            <w:r>
              <w:rPr>
                <w:rFonts w:hint="eastAsia" w:ascii="宋体" w:hAnsi="宋体" w:cs="宋体"/>
                <w:sz w:val="24"/>
              </w:rPr>
              <w:t>……</w:t>
            </w:r>
          </w:p>
        </w:tc>
        <w:tc>
          <w:tcPr>
            <w:tcW w:w="1965" w:type="dxa"/>
            <w:noWrap/>
          </w:tcPr>
          <w:p>
            <w:pPr>
              <w:widowControl/>
              <w:spacing w:line="460" w:lineRule="exact"/>
              <w:ind w:firstLine="480"/>
              <w:rPr>
                <w:rFonts w:ascii="宋体" w:hAnsi="宋体" w:cs="宋体"/>
                <w:sz w:val="24"/>
              </w:rPr>
            </w:pPr>
          </w:p>
        </w:tc>
        <w:tc>
          <w:tcPr>
            <w:tcW w:w="1939" w:type="dxa"/>
            <w:noWrap/>
          </w:tcPr>
          <w:p>
            <w:pPr>
              <w:widowControl/>
              <w:spacing w:line="460" w:lineRule="exact"/>
              <w:ind w:firstLine="480"/>
              <w:rPr>
                <w:rFonts w:ascii="宋体" w:hAnsi="宋体" w:cs="宋体"/>
                <w:sz w:val="24"/>
              </w:rPr>
            </w:pPr>
          </w:p>
        </w:tc>
        <w:tc>
          <w:tcPr>
            <w:tcW w:w="715" w:type="dxa"/>
            <w:noWrap/>
          </w:tcPr>
          <w:p>
            <w:pPr>
              <w:widowControl/>
              <w:spacing w:line="460" w:lineRule="exact"/>
              <w:ind w:firstLine="480"/>
              <w:rPr>
                <w:rFonts w:ascii="宋体" w:hAnsi="宋体" w:cs="宋体"/>
                <w:sz w:val="24"/>
              </w:rPr>
            </w:pPr>
          </w:p>
        </w:tc>
        <w:tc>
          <w:tcPr>
            <w:tcW w:w="966" w:type="dxa"/>
            <w:noWrap/>
          </w:tcPr>
          <w:p>
            <w:pPr>
              <w:widowControl/>
              <w:spacing w:line="460" w:lineRule="exact"/>
              <w:ind w:firstLine="480"/>
              <w:rPr>
                <w:rFonts w:ascii="宋体" w:hAnsi="宋体" w:cs="宋体"/>
                <w:sz w:val="24"/>
              </w:rPr>
            </w:pPr>
          </w:p>
        </w:tc>
        <w:tc>
          <w:tcPr>
            <w:tcW w:w="1184" w:type="dxa"/>
            <w:noWrap/>
          </w:tcPr>
          <w:p>
            <w:pPr>
              <w:widowControl/>
              <w:spacing w:line="460" w:lineRule="exact"/>
              <w:ind w:firstLine="480"/>
              <w:rPr>
                <w:rFonts w:ascii="宋体" w:hAnsi="宋体" w:cs="宋体"/>
                <w:sz w:val="24"/>
              </w:rPr>
            </w:pPr>
          </w:p>
        </w:tc>
        <w:tc>
          <w:tcPr>
            <w:tcW w:w="1000" w:type="dxa"/>
            <w:noWrap/>
          </w:tcPr>
          <w:p>
            <w:pPr>
              <w:widowControl/>
              <w:spacing w:line="460" w:lineRule="exact"/>
              <w:ind w:firstLine="480"/>
              <w:rPr>
                <w:rFonts w:ascii="宋体" w:hAnsi="宋体" w:cs="宋体"/>
                <w:sz w:val="24"/>
              </w:rPr>
            </w:pPr>
          </w:p>
        </w:tc>
        <w:tc>
          <w:tcPr>
            <w:tcW w:w="1503" w:type="dxa"/>
            <w:noWrap/>
          </w:tcPr>
          <w:p>
            <w:pPr>
              <w:widowControl/>
              <w:spacing w:line="460" w:lineRule="exact"/>
              <w:ind w:firstLine="480"/>
              <w:rPr>
                <w:rFonts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4669" w:type="dxa"/>
            <w:gridSpan w:val="3"/>
            <w:noWrap/>
          </w:tcPr>
          <w:p>
            <w:pPr>
              <w:widowControl/>
              <w:spacing w:line="460" w:lineRule="exact"/>
              <w:ind w:firstLine="480"/>
              <w:rPr>
                <w:rFonts w:ascii="宋体" w:hAnsi="宋体" w:cs="宋体"/>
                <w:sz w:val="24"/>
              </w:rPr>
            </w:pPr>
            <w:r>
              <w:rPr>
                <w:rFonts w:hint="eastAsia" w:ascii="宋体" w:hAnsi="宋体" w:cs="宋体"/>
                <w:sz w:val="24"/>
              </w:rPr>
              <w:t>运输、安装、实施、调试等费用</w:t>
            </w:r>
          </w:p>
        </w:tc>
        <w:tc>
          <w:tcPr>
            <w:tcW w:w="715" w:type="dxa"/>
            <w:noWrap/>
          </w:tcPr>
          <w:p>
            <w:pPr>
              <w:widowControl/>
              <w:spacing w:line="460" w:lineRule="exact"/>
              <w:ind w:firstLine="480"/>
              <w:rPr>
                <w:rFonts w:ascii="宋体" w:hAnsi="宋体" w:cs="宋体"/>
                <w:sz w:val="24"/>
              </w:rPr>
            </w:pPr>
          </w:p>
        </w:tc>
        <w:tc>
          <w:tcPr>
            <w:tcW w:w="966" w:type="dxa"/>
            <w:noWrap/>
          </w:tcPr>
          <w:p>
            <w:pPr>
              <w:widowControl/>
              <w:spacing w:line="460" w:lineRule="exact"/>
              <w:ind w:firstLine="480"/>
              <w:rPr>
                <w:rFonts w:ascii="宋体" w:hAnsi="宋体" w:cs="宋体"/>
                <w:sz w:val="24"/>
              </w:rPr>
            </w:pPr>
          </w:p>
        </w:tc>
        <w:tc>
          <w:tcPr>
            <w:tcW w:w="1184" w:type="dxa"/>
            <w:noWrap/>
          </w:tcPr>
          <w:p>
            <w:pPr>
              <w:widowControl/>
              <w:spacing w:line="460" w:lineRule="exact"/>
              <w:ind w:firstLine="480"/>
              <w:rPr>
                <w:rFonts w:ascii="宋体" w:hAnsi="宋体" w:cs="宋体"/>
                <w:sz w:val="24"/>
              </w:rPr>
            </w:pPr>
          </w:p>
        </w:tc>
        <w:tc>
          <w:tcPr>
            <w:tcW w:w="1000" w:type="dxa"/>
            <w:noWrap/>
          </w:tcPr>
          <w:p>
            <w:pPr>
              <w:widowControl/>
              <w:spacing w:line="460" w:lineRule="exact"/>
              <w:ind w:firstLine="480"/>
              <w:rPr>
                <w:rFonts w:ascii="宋体" w:hAnsi="宋体" w:cs="宋体"/>
                <w:sz w:val="24"/>
              </w:rPr>
            </w:pPr>
          </w:p>
        </w:tc>
        <w:tc>
          <w:tcPr>
            <w:tcW w:w="1503" w:type="dxa"/>
            <w:noWrap/>
          </w:tcPr>
          <w:p>
            <w:pPr>
              <w:widowControl/>
              <w:spacing w:line="460" w:lineRule="exact"/>
              <w:ind w:firstLine="480"/>
              <w:rPr>
                <w:rFonts w:ascii="宋体" w:hAnsi="宋体" w:cs="宋体"/>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730" w:type="dxa"/>
            <w:gridSpan w:val="2"/>
            <w:noWrap/>
          </w:tcPr>
          <w:p>
            <w:pPr>
              <w:widowControl/>
              <w:spacing w:line="460" w:lineRule="exact"/>
              <w:ind w:firstLine="480"/>
              <w:rPr>
                <w:rFonts w:ascii="宋体" w:hAnsi="宋体" w:cs="宋体"/>
                <w:sz w:val="24"/>
              </w:rPr>
            </w:pPr>
            <w:r>
              <w:rPr>
                <w:rFonts w:hint="eastAsia" w:ascii="宋体" w:hAnsi="宋体" w:cs="宋体"/>
                <w:sz w:val="24"/>
              </w:rPr>
              <w:t>合计</w:t>
            </w:r>
          </w:p>
        </w:tc>
        <w:tc>
          <w:tcPr>
            <w:tcW w:w="7307" w:type="dxa"/>
            <w:gridSpan w:val="6"/>
            <w:noWrap/>
          </w:tcPr>
          <w:p>
            <w:pPr>
              <w:widowControl/>
              <w:spacing w:line="460" w:lineRule="exact"/>
              <w:rPr>
                <w:rFonts w:ascii="宋体" w:hAnsi="宋体" w:cs="宋体"/>
                <w:sz w:val="24"/>
              </w:rPr>
            </w:pPr>
            <w:r>
              <w:rPr>
                <w:rFonts w:hint="eastAsia" w:ascii="宋体" w:hAnsi="宋体" w:cs="宋体"/>
                <w:sz w:val="24"/>
              </w:rPr>
              <w:t>总价(大写);元整；小写：¥</w:t>
            </w:r>
            <w:r>
              <w:rPr>
                <w:rFonts w:hint="eastAsia" w:ascii="宋体" w:hAnsi="宋体" w:cs="宋体"/>
                <w:sz w:val="24"/>
                <w:u w:val="single"/>
              </w:rPr>
              <w:t xml:space="preserve">：       元 </w:t>
            </w:r>
          </w:p>
        </w:tc>
      </w:tr>
    </w:tbl>
    <w:p>
      <w:pPr>
        <w:spacing w:line="500" w:lineRule="exact"/>
        <w:rPr>
          <w:rFonts w:asciiTheme="minorEastAsia" w:hAnsiTheme="minorEastAsia" w:eastAsiaTheme="minorEastAsia" w:cstheme="minorEastAsia"/>
          <w:color w:val="353535"/>
          <w:sz w:val="24"/>
          <w:lang w:val="zh-CN"/>
        </w:rPr>
      </w:pPr>
    </w:p>
    <w:p>
      <w:pPr>
        <w:spacing w:line="500" w:lineRule="exact"/>
        <w:ind w:firstLine="480"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353535"/>
          <w:sz w:val="24"/>
          <w:lang w:val="zh-CN"/>
        </w:rPr>
        <w:t>注：</w:t>
      </w: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b/>
          <w:bCs/>
          <w:color w:val="000000"/>
          <w:sz w:val="24"/>
        </w:rPr>
        <w:t>此表无需在制作竞争性磋商响应文件时填写，但供应商须提前打印并签字加盖公章，作为磋商过程后最终报价时填写。</w:t>
      </w:r>
    </w:p>
    <w:p>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2.此表填写后需单独装入信封在规定时间递交（上传）工作人员。</w:t>
      </w:r>
    </w:p>
    <w:p>
      <w:pPr>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3.填写此表时不得改变表格的形式。</w:t>
      </w:r>
    </w:p>
    <w:p>
      <w:pPr>
        <w:spacing w:line="500" w:lineRule="exact"/>
        <w:ind w:firstLine="480" w:firstLineChars="200"/>
        <w:rPr>
          <w:rFonts w:asciiTheme="minorEastAsia" w:hAnsiTheme="minorEastAsia" w:eastAsiaTheme="minorEastAsia" w:cstheme="minorEastAsia"/>
          <w:color w:val="353535"/>
          <w:sz w:val="24"/>
          <w:lang w:val="zh-CN"/>
        </w:rPr>
      </w:pPr>
    </w:p>
    <w:p>
      <w:pPr>
        <w:snapToGrid w:val="0"/>
        <w:spacing w:line="500" w:lineRule="exact"/>
        <w:ind w:firstLine="4948" w:firstLineChars="2062"/>
        <w:rPr>
          <w:rFonts w:asciiTheme="minorEastAsia" w:hAnsiTheme="minorEastAsia" w:eastAsiaTheme="minorEastAsia" w:cstheme="minorEastAsia"/>
          <w:color w:val="353535"/>
          <w:sz w:val="24"/>
          <w:lang w:val="zh-CN"/>
        </w:rPr>
      </w:pPr>
    </w:p>
    <w:p>
      <w:pPr>
        <w:snapToGrid w:val="0"/>
        <w:spacing w:line="500" w:lineRule="exact"/>
        <w:ind w:firstLine="4948" w:firstLineChars="2062"/>
        <w:rPr>
          <w:rFonts w:asciiTheme="minorEastAsia" w:hAnsiTheme="minorEastAsia" w:eastAsiaTheme="minorEastAsia" w:cstheme="minorEastAsia"/>
          <w:color w:val="353535"/>
          <w:sz w:val="24"/>
          <w:lang w:val="zh-CN"/>
        </w:rPr>
      </w:pPr>
    </w:p>
    <w:p>
      <w:pPr>
        <w:rPr>
          <w:lang w:val="zh-CN"/>
        </w:rPr>
      </w:pPr>
    </w:p>
    <w:p>
      <w:pPr>
        <w:snapToGrid w:val="0"/>
        <w:spacing w:line="500" w:lineRule="exact"/>
        <w:ind w:firstLine="4948" w:firstLineChars="2062"/>
        <w:rPr>
          <w:rFonts w:asciiTheme="minorEastAsia" w:hAnsiTheme="minorEastAsia" w:eastAsiaTheme="minorEastAsia" w:cstheme="minorEastAsia"/>
          <w:color w:val="353535"/>
          <w:sz w:val="24"/>
          <w:lang w:val="zh-CN"/>
        </w:rPr>
      </w:pPr>
      <w:r>
        <w:rPr>
          <w:rFonts w:hint="eastAsia" w:asciiTheme="minorEastAsia" w:hAnsiTheme="minorEastAsia" w:eastAsiaTheme="minorEastAsia" w:cstheme="minorEastAsia"/>
          <w:color w:val="353535"/>
          <w:sz w:val="24"/>
          <w:lang w:val="zh-CN"/>
        </w:rPr>
        <w:t>磋商响应供应商名称（盖章）：</w:t>
      </w:r>
    </w:p>
    <w:p>
      <w:pPr>
        <w:snapToGrid w:val="0"/>
        <w:spacing w:line="500" w:lineRule="exact"/>
        <w:ind w:left="-204" w:leftChars="-97" w:firstLine="3480" w:firstLineChars="1450"/>
        <w:rPr>
          <w:rFonts w:asciiTheme="minorEastAsia" w:hAnsiTheme="minorEastAsia" w:eastAsiaTheme="minorEastAsia" w:cstheme="minorEastAsia"/>
          <w:color w:val="353535"/>
          <w:sz w:val="24"/>
        </w:rPr>
      </w:pPr>
      <w:r>
        <w:rPr>
          <w:rFonts w:hint="eastAsia" w:asciiTheme="minorEastAsia" w:hAnsiTheme="minorEastAsia" w:eastAsiaTheme="minorEastAsia" w:cstheme="minorEastAsia"/>
          <w:color w:val="353535"/>
          <w:sz w:val="24"/>
        </w:rPr>
        <w:t>法定代表人或授权委托人（签字）：</w:t>
      </w:r>
    </w:p>
    <w:p>
      <w:pPr>
        <w:snapToGrid w:val="0"/>
        <w:spacing w:line="500" w:lineRule="exact"/>
        <w:jc w:val="center"/>
        <w:rPr>
          <w:sz w:val="24"/>
        </w:rPr>
      </w:pPr>
      <w:r>
        <w:rPr>
          <w:rFonts w:hint="eastAsia" w:asciiTheme="minorEastAsia" w:hAnsiTheme="minorEastAsia" w:eastAsiaTheme="minorEastAsia" w:cstheme="minorEastAsia"/>
          <w:color w:val="353535"/>
          <w:sz w:val="24"/>
        </w:rPr>
        <w:t xml:space="preserve"> 日期：     年     月    日</w:t>
      </w:r>
    </w:p>
    <w:p>
      <w:pPr>
        <w:pStyle w:val="24"/>
      </w:pPr>
    </w:p>
    <w:p>
      <w:pPr>
        <w:pStyle w:val="24"/>
      </w:pPr>
    </w:p>
    <w:p>
      <w:pPr>
        <w:pStyle w:val="24"/>
      </w:pPr>
    </w:p>
    <w:p>
      <w:pPr>
        <w:snapToGrid w:val="0"/>
        <w:spacing w:line="500" w:lineRule="exact"/>
        <w:outlineLvl w:val="0"/>
        <w:rPr>
          <w:rFonts w:asciiTheme="minorEastAsia" w:hAnsiTheme="minorEastAsia" w:eastAsiaTheme="minorEastAsia" w:cstheme="minorEastAsia"/>
          <w:b/>
          <w:color w:val="353535"/>
          <w:sz w:val="28"/>
          <w:szCs w:val="28"/>
        </w:rPr>
      </w:pPr>
      <w:bookmarkStart w:id="47" w:name="_Toc32714"/>
      <w:r>
        <w:rPr>
          <w:rFonts w:hint="eastAsia" w:asciiTheme="minorEastAsia" w:hAnsiTheme="minorEastAsia" w:eastAsiaTheme="minorEastAsia" w:cstheme="minorEastAsia"/>
          <w:b/>
          <w:color w:val="353535"/>
          <w:sz w:val="28"/>
          <w:szCs w:val="28"/>
          <w:lang w:val="zh-CN"/>
        </w:rPr>
        <w:t>附件</w:t>
      </w:r>
      <w:bookmarkEnd w:id="47"/>
      <w:r>
        <w:rPr>
          <w:rFonts w:hint="eastAsia" w:asciiTheme="minorEastAsia" w:hAnsiTheme="minorEastAsia" w:eastAsiaTheme="minorEastAsia" w:cstheme="minorEastAsia"/>
          <w:b/>
          <w:color w:val="353535"/>
          <w:sz w:val="28"/>
          <w:szCs w:val="28"/>
        </w:rPr>
        <w:t>二</w:t>
      </w:r>
    </w:p>
    <w:p>
      <w:pPr>
        <w:autoSpaceDE w:val="0"/>
        <w:autoSpaceDN w:val="0"/>
        <w:adjustRightInd w:val="0"/>
        <w:snapToGrid w:val="0"/>
        <w:spacing w:afterLines="50" w:line="360" w:lineRule="auto"/>
        <w:jc w:val="center"/>
        <w:rPr>
          <w:rFonts w:ascii="宋体" w:hAnsi="宋体" w:cs="仿宋"/>
          <w:kern w:val="0"/>
          <w:sz w:val="24"/>
        </w:rPr>
      </w:pPr>
      <w:r>
        <w:rPr>
          <w:rFonts w:hint="eastAsia"/>
          <w:bCs/>
          <w:spacing w:val="28"/>
          <w:sz w:val="32"/>
          <w:szCs w:val="32"/>
          <w:lang w:val="zh-CN"/>
        </w:rPr>
        <w:t>中小企业声明</w:t>
      </w:r>
      <w:r>
        <w:rPr>
          <w:rFonts w:hint="eastAsia"/>
          <w:bCs/>
          <w:sz w:val="32"/>
          <w:szCs w:val="32"/>
          <w:lang w:val="zh-CN"/>
        </w:rPr>
        <w:t>函</w:t>
      </w:r>
    </w:p>
    <w:p>
      <w:pPr>
        <w:autoSpaceDE w:val="0"/>
        <w:autoSpaceDN w:val="0"/>
        <w:spacing w:line="400" w:lineRule="exact"/>
        <w:ind w:left="120" w:right="355" w:firstLine="640"/>
        <w:jc w:val="left"/>
        <w:rPr>
          <w:rFonts w:ascii="宋体" w:hAnsi="宋体" w:cs="仿宋"/>
          <w:kern w:val="0"/>
          <w:sz w:val="24"/>
        </w:rPr>
      </w:pPr>
      <w:r>
        <w:rPr>
          <w:rFonts w:ascii="宋体" w:hAnsi="宋体" w:cs="仿宋"/>
          <w:kern w:val="0"/>
          <w:sz w:val="24"/>
        </w:rPr>
        <w:t>本公司（联合体）郑重声明，根据《政府采购促进中小企业发展管理办法》（财库</w:t>
      </w:r>
      <w:r>
        <w:rPr>
          <w:rFonts w:hint="eastAsia" w:ascii="宋体" w:hAnsi="宋体" w:cs="仿宋"/>
          <w:kern w:val="0"/>
          <w:sz w:val="24"/>
        </w:rPr>
        <w:t>﹝</w:t>
      </w:r>
      <w:r>
        <w:rPr>
          <w:rFonts w:ascii="宋体" w:hAnsi="宋体" w:cs="仿宋"/>
          <w:kern w:val="0"/>
          <w:sz w:val="24"/>
        </w:rPr>
        <w:t>2020</w:t>
      </w:r>
      <w:r>
        <w:rPr>
          <w:rFonts w:hint="eastAsia" w:ascii="宋体" w:hAnsi="宋体" w:cs="仿宋"/>
          <w:kern w:val="0"/>
          <w:sz w:val="24"/>
        </w:rPr>
        <w:t>﹞</w:t>
      </w:r>
      <w:r>
        <w:rPr>
          <w:rFonts w:ascii="宋体" w:hAnsi="宋体" w:cs="仿宋"/>
          <w:kern w:val="0"/>
          <w:sz w:val="24"/>
        </w:rPr>
        <w:t>46 号）的规定，本公司参加</w:t>
      </w:r>
      <w:r>
        <w:rPr>
          <w:rFonts w:ascii="宋体" w:hAnsi="宋体" w:cs="仿宋"/>
          <w:kern w:val="0"/>
          <w:sz w:val="24"/>
          <w:u w:val="single"/>
        </w:rPr>
        <w:t>（单位名称）</w:t>
      </w:r>
      <w:r>
        <w:rPr>
          <w:rFonts w:ascii="宋体" w:hAnsi="宋体" w:cs="仿宋"/>
          <w:kern w:val="0"/>
          <w:sz w:val="24"/>
        </w:rPr>
        <w:t>的</w:t>
      </w:r>
      <w:r>
        <w:rPr>
          <w:rFonts w:ascii="宋体" w:hAnsi="宋体" w:cs="仿宋"/>
          <w:kern w:val="0"/>
          <w:sz w:val="24"/>
          <w:u w:val="single"/>
        </w:rPr>
        <w:t>（项目名称）</w:t>
      </w:r>
      <w:r>
        <w:rPr>
          <w:rFonts w:ascii="宋体" w:hAnsi="宋体" w:cs="仿宋"/>
          <w:kern w:val="0"/>
          <w:sz w:val="24"/>
        </w:rPr>
        <w:t>采购活动，提供的货物全部由符合政策要求的中小企业制造。相关企业</w:t>
      </w:r>
    </w:p>
    <w:p>
      <w:pPr>
        <w:autoSpaceDE w:val="0"/>
        <w:autoSpaceDN w:val="0"/>
        <w:spacing w:line="400" w:lineRule="exact"/>
        <w:ind w:left="120" w:right="345"/>
        <w:jc w:val="left"/>
        <w:rPr>
          <w:rFonts w:ascii="宋体" w:hAnsi="宋体" w:cs="仿宋"/>
          <w:kern w:val="0"/>
          <w:sz w:val="24"/>
        </w:rPr>
      </w:pPr>
      <w:r>
        <w:rPr>
          <w:rFonts w:ascii="宋体" w:hAnsi="宋体" w:cs="仿宋"/>
          <w:kern w:val="0"/>
          <w:sz w:val="24"/>
        </w:rPr>
        <w:t>（含联合体中的中小企业、签订分包意向协议的中小企业） 的具体情况如下：</w:t>
      </w:r>
    </w:p>
    <w:p>
      <w:pPr>
        <w:numPr>
          <w:ilvl w:val="0"/>
          <w:numId w:val="18"/>
        </w:numPr>
        <w:tabs>
          <w:tab w:val="left" w:pos="1083"/>
          <w:tab w:val="left" w:pos="1384"/>
          <w:tab w:val="left" w:pos="4562"/>
          <w:tab w:val="left" w:pos="6803"/>
        </w:tabs>
        <w:autoSpaceDE w:val="0"/>
        <w:autoSpaceDN w:val="0"/>
        <w:spacing w:line="400" w:lineRule="exact"/>
        <w:ind w:right="109" w:firstLine="655"/>
        <w:rPr>
          <w:rFonts w:ascii="宋体" w:hAnsi="宋体" w:cs="仿宋"/>
          <w:kern w:val="0"/>
          <w:sz w:val="24"/>
        </w:rPr>
      </w:pPr>
      <w:r>
        <w:rPr>
          <w:rFonts w:ascii="宋体" w:hAnsi="宋体" w:cs="仿宋"/>
          <w:kern w:val="0"/>
          <w:sz w:val="24"/>
          <w:u w:val="single"/>
        </w:rPr>
        <w:t xml:space="preserve"> （ 标 的 名 称 ）</w:t>
      </w:r>
      <w:r>
        <w:rPr>
          <w:rFonts w:ascii="宋体" w:hAnsi="宋体" w:cs="仿宋"/>
          <w:kern w:val="0"/>
          <w:sz w:val="24"/>
        </w:rPr>
        <w:t xml:space="preserve"> ， 属 于 （ </w:t>
      </w:r>
      <w:r>
        <w:rPr>
          <w:rFonts w:ascii="宋体" w:hAnsi="宋体" w:cs="仿宋"/>
          <w:kern w:val="0"/>
          <w:sz w:val="24"/>
          <w:u w:val="single"/>
        </w:rPr>
        <w:t>采 购 文 件 中 明 确 的 所 属 行 业 ） 行业</w:t>
      </w:r>
      <w:r>
        <w:rPr>
          <w:rFonts w:ascii="宋体" w:hAnsi="宋体" w:cs="仿宋"/>
          <w:kern w:val="0"/>
          <w:sz w:val="24"/>
        </w:rPr>
        <w:t>；制造商为</w:t>
      </w:r>
      <w:r>
        <w:rPr>
          <w:rFonts w:ascii="宋体" w:hAnsi="宋体" w:cs="仿宋"/>
          <w:kern w:val="0"/>
          <w:sz w:val="24"/>
          <w:u w:val="single"/>
        </w:rPr>
        <w:t>（企业名称）</w:t>
      </w:r>
      <w:r>
        <w:rPr>
          <w:rFonts w:ascii="宋体" w:hAnsi="宋体" w:cs="仿宋"/>
          <w:kern w:val="0"/>
          <w:sz w:val="24"/>
        </w:rPr>
        <w:t>，从业人员</w:t>
      </w:r>
      <w:r>
        <w:rPr>
          <w:rFonts w:ascii="宋体" w:hAnsi="宋体" w:cs="仿宋"/>
          <w:kern w:val="0"/>
          <w:sz w:val="24"/>
          <w:u w:val="single"/>
        </w:rPr>
        <w:tab/>
      </w:r>
      <w:r>
        <w:rPr>
          <w:rFonts w:ascii="宋体" w:hAnsi="宋体" w:cs="仿宋"/>
          <w:kern w:val="0"/>
          <w:sz w:val="24"/>
        </w:rPr>
        <w:t>人，营业收入为</w:t>
      </w:r>
      <w:r>
        <w:rPr>
          <w:rFonts w:ascii="宋体" w:hAnsi="宋体" w:cs="仿宋"/>
          <w:kern w:val="0"/>
          <w:sz w:val="24"/>
          <w:u w:val="single"/>
        </w:rPr>
        <w:tab/>
      </w:r>
      <w:r>
        <w:rPr>
          <w:rFonts w:ascii="宋体" w:hAnsi="宋体" w:cs="仿宋"/>
          <w:kern w:val="0"/>
          <w:sz w:val="24"/>
        </w:rPr>
        <w:t>万元，资产总额为</w:t>
      </w:r>
      <w:r>
        <w:rPr>
          <w:rFonts w:ascii="宋体" w:hAnsi="宋体" w:cs="仿宋"/>
          <w:kern w:val="0"/>
          <w:sz w:val="24"/>
          <w:u w:val="single"/>
        </w:rPr>
        <w:tab/>
      </w:r>
      <w:r>
        <w:rPr>
          <w:rFonts w:ascii="宋体" w:hAnsi="宋体" w:cs="仿宋"/>
          <w:kern w:val="0"/>
          <w:sz w:val="24"/>
        </w:rPr>
        <w:t>万元</w:t>
      </w:r>
      <w:r>
        <w:fldChar w:fldCharType="begin"/>
      </w:r>
      <w:r>
        <w:instrText xml:space="preserve"> HYPERLINK \l "_bookmark0" </w:instrText>
      </w:r>
      <w:r>
        <w:fldChar w:fldCharType="separate"/>
      </w:r>
      <w:r>
        <w:rPr>
          <w:rFonts w:ascii="宋体" w:hAnsi="宋体" w:cs="仿宋"/>
          <w:kern w:val="0"/>
          <w:position w:val="16"/>
          <w:sz w:val="24"/>
        </w:rPr>
        <w:t>1</w:t>
      </w:r>
      <w:r>
        <w:rPr>
          <w:rFonts w:ascii="宋体" w:hAnsi="宋体" w:cs="仿宋"/>
          <w:kern w:val="0"/>
          <w:position w:val="16"/>
          <w:sz w:val="24"/>
        </w:rPr>
        <w:fldChar w:fldCharType="end"/>
      </w:r>
      <w:r>
        <w:rPr>
          <w:rFonts w:ascii="宋体" w:hAnsi="宋体" w:cs="仿宋"/>
          <w:kern w:val="0"/>
          <w:sz w:val="24"/>
        </w:rPr>
        <w:t>，属于</w:t>
      </w:r>
      <w:r>
        <w:rPr>
          <w:rFonts w:ascii="宋体" w:hAnsi="宋体" w:cs="仿宋"/>
          <w:kern w:val="0"/>
          <w:sz w:val="24"/>
          <w:u w:val="single"/>
        </w:rPr>
        <w:t>（中型企业、小 型企业、微型企业）</w:t>
      </w:r>
      <w:r>
        <w:rPr>
          <w:rFonts w:ascii="宋体" w:hAnsi="宋体" w:cs="仿宋"/>
          <w:kern w:val="0"/>
          <w:sz w:val="24"/>
        </w:rPr>
        <w:t>；</w:t>
      </w:r>
    </w:p>
    <w:p>
      <w:pPr>
        <w:numPr>
          <w:ilvl w:val="0"/>
          <w:numId w:val="18"/>
        </w:numPr>
        <w:tabs>
          <w:tab w:val="left" w:pos="1065"/>
          <w:tab w:val="left" w:pos="1083"/>
          <w:tab w:val="left" w:pos="4262"/>
          <w:tab w:val="left" w:pos="6477"/>
        </w:tabs>
        <w:autoSpaceDE w:val="0"/>
        <w:autoSpaceDN w:val="0"/>
        <w:spacing w:line="400" w:lineRule="exact"/>
        <w:ind w:right="109" w:firstLine="655"/>
        <w:rPr>
          <w:rFonts w:ascii="宋体" w:hAnsi="宋体" w:cs="仿宋"/>
          <w:kern w:val="0"/>
          <w:sz w:val="24"/>
        </w:rPr>
      </w:pPr>
      <w:r>
        <w:rPr>
          <w:rFonts w:ascii="宋体" w:hAnsi="宋体" w:cs="仿宋"/>
          <w:kern w:val="0"/>
          <w:sz w:val="24"/>
          <w:u w:val="single"/>
        </w:rPr>
        <w:t xml:space="preserve"> （ 标 的 名 称 ）</w:t>
      </w:r>
      <w:r>
        <w:rPr>
          <w:rFonts w:ascii="宋体" w:hAnsi="宋体" w:cs="仿宋"/>
          <w:kern w:val="0"/>
          <w:sz w:val="24"/>
        </w:rPr>
        <w:t xml:space="preserve"> ， 属 于 （ </w:t>
      </w:r>
      <w:r>
        <w:rPr>
          <w:rFonts w:ascii="宋体" w:hAnsi="宋体" w:cs="仿宋"/>
          <w:kern w:val="0"/>
          <w:sz w:val="24"/>
          <w:u w:val="single"/>
        </w:rPr>
        <w:t>采 购 文 件 中 明 确 的 所 属 行 业 ） 行业</w:t>
      </w:r>
      <w:r>
        <w:rPr>
          <w:rFonts w:ascii="宋体" w:hAnsi="宋体" w:cs="仿宋"/>
          <w:kern w:val="0"/>
          <w:sz w:val="24"/>
        </w:rPr>
        <w:t>；制造商为</w:t>
      </w:r>
      <w:r>
        <w:rPr>
          <w:rFonts w:ascii="宋体" w:hAnsi="宋体" w:cs="仿宋"/>
          <w:kern w:val="0"/>
          <w:sz w:val="24"/>
          <w:u w:val="single"/>
        </w:rPr>
        <w:t>（企业名称）</w:t>
      </w:r>
      <w:r>
        <w:rPr>
          <w:rFonts w:ascii="宋体" w:hAnsi="宋体" w:cs="仿宋"/>
          <w:kern w:val="0"/>
          <w:sz w:val="24"/>
        </w:rPr>
        <w:t>，从业人员</w:t>
      </w:r>
      <w:r>
        <w:rPr>
          <w:rFonts w:ascii="宋体" w:hAnsi="宋体" w:cs="仿宋"/>
          <w:kern w:val="0"/>
          <w:sz w:val="24"/>
          <w:u w:val="single"/>
        </w:rPr>
        <w:tab/>
      </w:r>
      <w:r>
        <w:rPr>
          <w:rFonts w:ascii="宋体" w:hAnsi="宋体" w:cs="仿宋"/>
          <w:kern w:val="0"/>
          <w:sz w:val="24"/>
        </w:rPr>
        <w:t>人，营业收入为</w:t>
      </w:r>
      <w:r>
        <w:rPr>
          <w:rFonts w:ascii="宋体" w:hAnsi="宋体" w:cs="仿宋"/>
          <w:kern w:val="0"/>
          <w:sz w:val="24"/>
          <w:u w:val="single"/>
        </w:rPr>
        <w:tab/>
      </w:r>
      <w:r>
        <w:rPr>
          <w:rFonts w:ascii="宋体" w:hAnsi="宋体" w:cs="仿宋"/>
          <w:kern w:val="0"/>
          <w:sz w:val="24"/>
        </w:rPr>
        <w:t>万元，资产总额为</w:t>
      </w:r>
      <w:r>
        <w:rPr>
          <w:rFonts w:ascii="宋体" w:hAnsi="宋体" w:cs="仿宋"/>
          <w:kern w:val="0"/>
          <w:sz w:val="24"/>
          <w:u w:val="single"/>
        </w:rPr>
        <w:tab/>
      </w:r>
      <w:r>
        <w:rPr>
          <w:rFonts w:ascii="宋体" w:hAnsi="宋体" w:cs="仿宋"/>
          <w:kern w:val="0"/>
          <w:sz w:val="24"/>
        </w:rPr>
        <w:t>万元，属于</w:t>
      </w:r>
      <w:r>
        <w:rPr>
          <w:rFonts w:ascii="宋体" w:hAnsi="宋体" w:cs="仿宋"/>
          <w:kern w:val="0"/>
          <w:sz w:val="24"/>
          <w:u w:val="single"/>
        </w:rPr>
        <w:t>（中型企业、小型 企业、微型企业）</w:t>
      </w:r>
      <w:r>
        <w:rPr>
          <w:rFonts w:ascii="宋体" w:hAnsi="宋体" w:cs="仿宋"/>
          <w:kern w:val="0"/>
          <w:sz w:val="24"/>
        </w:rPr>
        <w:t>；</w:t>
      </w:r>
    </w:p>
    <w:p>
      <w:pPr>
        <w:autoSpaceDE w:val="0"/>
        <w:autoSpaceDN w:val="0"/>
        <w:spacing w:line="400" w:lineRule="exact"/>
        <w:ind w:left="760"/>
        <w:jc w:val="left"/>
        <w:rPr>
          <w:rFonts w:ascii="宋体" w:hAnsi="宋体" w:cs="仿宋"/>
          <w:kern w:val="0"/>
          <w:sz w:val="24"/>
        </w:rPr>
      </w:pPr>
      <w:r>
        <w:rPr>
          <w:rFonts w:ascii="宋体" w:hAnsi="宋体" w:cs="仿宋"/>
          <w:kern w:val="0"/>
          <w:sz w:val="24"/>
        </w:rPr>
        <w:t>……</w:t>
      </w:r>
    </w:p>
    <w:p>
      <w:pPr>
        <w:autoSpaceDE w:val="0"/>
        <w:autoSpaceDN w:val="0"/>
        <w:spacing w:line="400" w:lineRule="exact"/>
        <w:ind w:left="120" w:right="357" w:firstLine="645"/>
        <w:rPr>
          <w:rFonts w:ascii="宋体" w:hAnsi="宋体" w:cs="仿宋"/>
          <w:kern w:val="0"/>
          <w:sz w:val="24"/>
        </w:rPr>
      </w:pPr>
      <w:r>
        <w:rPr>
          <w:rFonts w:ascii="宋体" w:hAnsi="宋体" w:cs="仿宋"/>
          <w:kern w:val="0"/>
          <w:sz w:val="24"/>
        </w:rPr>
        <w:t>以上企业，不属于大企业的分支机构，不存在控股股东为大企业的情形，也不存在与大企业的负责人为同一人的情 形。</w:t>
      </w:r>
    </w:p>
    <w:p>
      <w:pPr>
        <w:autoSpaceDE w:val="0"/>
        <w:autoSpaceDN w:val="0"/>
        <w:spacing w:line="400" w:lineRule="exact"/>
        <w:ind w:left="120" w:right="360" w:firstLine="645"/>
        <w:jc w:val="left"/>
        <w:rPr>
          <w:rFonts w:ascii="宋体" w:hAnsi="宋体" w:cs="仿宋"/>
          <w:kern w:val="0"/>
          <w:sz w:val="24"/>
        </w:rPr>
      </w:pPr>
      <w:r>
        <w:rPr>
          <w:rFonts w:ascii="宋体" w:hAnsi="宋体" w:cs="仿宋"/>
          <w:kern w:val="0"/>
          <w:sz w:val="24"/>
        </w:rPr>
        <w:t>本企业对上述声明内容的真实性负责。如有虚假，将依 法承担相应责任。</w:t>
      </w:r>
    </w:p>
    <w:p>
      <w:pPr>
        <w:pStyle w:val="5"/>
        <w:numPr>
          <w:ilvl w:val="2"/>
          <w:numId w:val="0"/>
        </w:numPr>
        <w:ind w:left="851"/>
      </w:pPr>
    </w:p>
    <w:tbl>
      <w:tblPr>
        <w:tblStyle w:val="59"/>
        <w:tblW w:w="0" w:type="auto"/>
        <w:jc w:val="right"/>
        <w:tblLayout w:type="fixed"/>
        <w:tblCellMar>
          <w:top w:w="0" w:type="dxa"/>
          <w:left w:w="108" w:type="dxa"/>
          <w:bottom w:w="0" w:type="dxa"/>
          <w:right w:w="108" w:type="dxa"/>
        </w:tblCellMar>
      </w:tblPr>
      <w:tblGrid>
        <w:gridCol w:w="2388"/>
        <w:gridCol w:w="2387"/>
      </w:tblGrid>
      <w:tr>
        <w:tblPrEx>
          <w:tblCellMar>
            <w:top w:w="0" w:type="dxa"/>
            <w:left w:w="108" w:type="dxa"/>
            <w:bottom w:w="0" w:type="dxa"/>
            <w:right w:w="108" w:type="dxa"/>
          </w:tblCellMar>
        </w:tblPrEx>
        <w:trPr>
          <w:jc w:val="right"/>
        </w:trPr>
        <w:tc>
          <w:tcPr>
            <w:tcW w:w="2388" w:type="dxa"/>
            <w:noWrap/>
            <w:vAlign w:val="center"/>
          </w:tcPr>
          <w:p>
            <w:pPr>
              <w:adjustRightInd w:val="0"/>
              <w:snapToGrid w:val="0"/>
              <w:spacing w:beforeLines="50" w:afterLines="50"/>
              <w:jc w:val="left"/>
              <w:rPr>
                <w:sz w:val="24"/>
                <w:szCs w:val="28"/>
              </w:rPr>
            </w:pPr>
            <w:r>
              <w:rPr>
                <w:rFonts w:hint="eastAsia"/>
                <w:sz w:val="24"/>
              </w:rPr>
              <w:t>供应商全称:（盖章）</w:t>
            </w:r>
          </w:p>
        </w:tc>
        <w:tc>
          <w:tcPr>
            <w:tcW w:w="2387" w:type="dxa"/>
            <w:noWrap/>
            <w:vAlign w:val="center"/>
          </w:tcPr>
          <w:p>
            <w:pPr>
              <w:adjustRightInd w:val="0"/>
              <w:snapToGrid w:val="0"/>
              <w:spacing w:beforeLines="50" w:afterLines="50"/>
              <w:ind w:left="-105" w:leftChars="-50"/>
              <w:rPr>
                <w:sz w:val="24"/>
                <w:szCs w:val="28"/>
              </w:rPr>
            </w:pPr>
          </w:p>
        </w:tc>
      </w:tr>
      <w:tr>
        <w:tblPrEx>
          <w:tblCellMar>
            <w:top w:w="0" w:type="dxa"/>
            <w:left w:w="108" w:type="dxa"/>
            <w:bottom w:w="0" w:type="dxa"/>
            <w:right w:w="108" w:type="dxa"/>
          </w:tblCellMar>
        </w:tblPrEx>
        <w:trPr>
          <w:jc w:val="right"/>
        </w:trPr>
        <w:tc>
          <w:tcPr>
            <w:tcW w:w="2388" w:type="dxa"/>
            <w:noWrap/>
            <w:vAlign w:val="center"/>
          </w:tcPr>
          <w:p>
            <w:pPr>
              <w:adjustRightInd w:val="0"/>
              <w:snapToGrid w:val="0"/>
              <w:spacing w:beforeLines="50" w:afterLines="50"/>
              <w:jc w:val="left"/>
              <w:rPr>
                <w:sz w:val="24"/>
                <w:szCs w:val="28"/>
              </w:rPr>
            </w:pPr>
            <w:r>
              <w:rPr>
                <w:rFonts w:hint="eastAsia"/>
                <w:sz w:val="24"/>
              </w:rPr>
              <w:t>法定代表人或授权代理人:（签字或盖章）</w:t>
            </w:r>
          </w:p>
        </w:tc>
        <w:tc>
          <w:tcPr>
            <w:tcW w:w="2387" w:type="dxa"/>
            <w:noWrap/>
            <w:vAlign w:val="center"/>
          </w:tcPr>
          <w:p>
            <w:pPr>
              <w:adjustRightInd w:val="0"/>
              <w:snapToGrid w:val="0"/>
              <w:spacing w:beforeLines="50" w:afterLines="50"/>
              <w:ind w:left="-105" w:leftChars="-50"/>
              <w:rPr>
                <w:sz w:val="24"/>
                <w:szCs w:val="28"/>
              </w:rPr>
            </w:pPr>
          </w:p>
        </w:tc>
      </w:tr>
      <w:tr>
        <w:tblPrEx>
          <w:tblCellMar>
            <w:top w:w="0" w:type="dxa"/>
            <w:left w:w="108" w:type="dxa"/>
            <w:bottom w:w="0" w:type="dxa"/>
            <w:right w:w="108" w:type="dxa"/>
          </w:tblCellMar>
        </w:tblPrEx>
        <w:trPr>
          <w:jc w:val="right"/>
        </w:trPr>
        <w:tc>
          <w:tcPr>
            <w:tcW w:w="4775" w:type="dxa"/>
            <w:gridSpan w:val="2"/>
            <w:noWrap/>
            <w:vAlign w:val="center"/>
          </w:tcPr>
          <w:p>
            <w:pPr>
              <w:adjustRightInd w:val="0"/>
              <w:snapToGrid w:val="0"/>
              <w:spacing w:beforeLines="50" w:afterLines="50"/>
              <w:jc w:val="center"/>
              <w:rPr>
                <w:sz w:val="24"/>
                <w:szCs w:val="28"/>
              </w:rPr>
            </w:pPr>
            <w:r>
              <w:rPr>
                <w:rFonts w:hint="eastAsia"/>
                <w:sz w:val="24"/>
              </w:rPr>
              <w:t>日 期:年   月   日</w:t>
            </w:r>
          </w:p>
        </w:tc>
      </w:tr>
    </w:tbl>
    <w:p>
      <w:pPr>
        <w:snapToGrid w:val="0"/>
        <w:spacing w:line="400" w:lineRule="exact"/>
        <w:rPr>
          <w:rFonts w:ascii="宋体" w:hAnsi="宋体" w:cs="宋体"/>
          <w:b/>
          <w:sz w:val="24"/>
        </w:rPr>
      </w:pPr>
      <w:r>
        <w:rPr>
          <w:rFonts w:hint="eastAsia" w:ascii="宋体" w:hAnsi="宋体" w:cs="宋体"/>
          <w:b/>
          <w:sz w:val="24"/>
        </w:rPr>
        <w:t>特别说明：</w:t>
      </w:r>
    </w:p>
    <w:p>
      <w:pPr>
        <w:snapToGrid w:val="0"/>
        <w:spacing w:line="400" w:lineRule="exact"/>
        <w:ind w:firstLine="482" w:firstLineChars="200"/>
        <w:rPr>
          <w:rFonts w:ascii="宋体" w:hAnsi="宋体" w:cs="宋体"/>
          <w:b/>
          <w:sz w:val="24"/>
        </w:rPr>
      </w:pPr>
      <w:r>
        <w:rPr>
          <w:rFonts w:hint="eastAsia" w:ascii="宋体" w:hAnsi="宋体" w:cs="宋体"/>
          <w:b/>
          <w:sz w:val="24"/>
        </w:rPr>
        <w:t>1、从业人员、营业收入、资产总额填报上一年度数据，无上一年度数据的新成立企业可不填报。</w:t>
      </w:r>
    </w:p>
    <w:p>
      <w:pPr>
        <w:snapToGrid w:val="0"/>
        <w:spacing w:line="400" w:lineRule="exact"/>
        <w:ind w:firstLine="482" w:firstLineChars="200"/>
        <w:rPr>
          <w:rFonts w:ascii="宋体" w:hAnsi="宋体" w:cs="宋体"/>
          <w:b/>
          <w:sz w:val="24"/>
        </w:rPr>
      </w:pPr>
      <w:r>
        <w:rPr>
          <w:rFonts w:hint="eastAsia" w:ascii="宋体" w:hAnsi="宋体" w:cs="宋体"/>
          <w:b/>
          <w:sz w:val="24"/>
        </w:rPr>
        <w:t>2、投标人在填写上述声明函前，须先自查本企业及投标产品制造商是否满足小微企业认定标准，可通过“国家企业信用信息公示系统——小微企业名录”页面查询，未按要求出具声明函的，投标报价不予扣减。未如实填写的，将依法承担相应责任。</w:t>
      </w:r>
    </w:p>
    <w:p>
      <w:pPr>
        <w:adjustRightInd w:val="0"/>
        <w:snapToGrid w:val="0"/>
        <w:spacing w:line="400" w:lineRule="exact"/>
        <w:rPr>
          <w:rFonts w:ascii="宋体" w:hAnsi="宋体" w:cs="宋体"/>
          <w:sz w:val="24"/>
        </w:rPr>
      </w:pPr>
      <w:r>
        <w:rPr>
          <w:rFonts w:hint="eastAsia" w:ascii="宋体" w:hAnsi="宋体" w:cs="宋体"/>
          <w:sz w:val="24"/>
        </w:rPr>
        <w:t>注:供应商和制造商均为小型微型企业的提供此函（</w:t>
      </w:r>
      <w:r>
        <w:rPr>
          <w:rFonts w:hint="eastAsia" w:ascii="宋体" w:hAnsi="宋体" w:cs="宋体"/>
          <w:bCs/>
          <w:sz w:val="24"/>
          <w:lang w:val="zh-CN"/>
        </w:rPr>
        <w:t>非小微企业不需提供</w:t>
      </w:r>
      <w:r>
        <w:rPr>
          <w:rFonts w:hint="eastAsia" w:ascii="宋体" w:hAnsi="宋体" w:cs="宋体"/>
          <w:sz w:val="24"/>
        </w:rPr>
        <w:t>），经国家企业信用公示系统-小微企业名录查询网页截图附后。</w:t>
      </w:r>
    </w:p>
    <w:p>
      <w:pPr>
        <w:autoSpaceDE w:val="0"/>
        <w:autoSpaceDN w:val="0"/>
        <w:adjustRightInd w:val="0"/>
        <w:snapToGrid w:val="0"/>
        <w:spacing w:afterLines="50" w:line="360" w:lineRule="auto"/>
        <w:jc w:val="center"/>
        <w:rPr>
          <w:bCs/>
          <w:spacing w:val="28"/>
          <w:sz w:val="32"/>
          <w:szCs w:val="32"/>
          <w:lang w:val="zh-CN"/>
        </w:rPr>
      </w:pPr>
    </w:p>
    <w:p>
      <w:pPr>
        <w:snapToGrid w:val="0"/>
        <w:spacing w:line="500" w:lineRule="exact"/>
        <w:outlineLvl w:val="0"/>
        <w:rPr>
          <w:rFonts w:asciiTheme="minorEastAsia" w:hAnsiTheme="minorEastAsia" w:eastAsiaTheme="minorEastAsia" w:cstheme="minorEastAsia"/>
          <w:b/>
          <w:color w:val="353535"/>
          <w:sz w:val="28"/>
          <w:szCs w:val="28"/>
        </w:rPr>
      </w:pPr>
      <w:r>
        <w:rPr>
          <w:rFonts w:hint="eastAsia" w:asciiTheme="minorEastAsia" w:hAnsiTheme="minorEastAsia" w:eastAsiaTheme="minorEastAsia" w:cstheme="minorEastAsia"/>
          <w:b/>
          <w:color w:val="353535"/>
          <w:sz w:val="28"/>
          <w:szCs w:val="28"/>
          <w:lang w:val="zh-CN"/>
        </w:rPr>
        <w:t>附件</w:t>
      </w:r>
      <w:r>
        <w:rPr>
          <w:rFonts w:hint="eastAsia" w:asciiTheme="minorEastAsia" w:hAnsiTheme="minorEastAsia" w:eastAsiaTheme="minorEastAsia" w:cstheme="minorEastAsia"/>
          <w:b/>
          <w:color w:val="353535"/>
          <w:sz w:val="28"/>
          <w:szCs w:val="28"/>
        </w:rPr>
        <w:t>三</w:t>
      </w:r>
    </w:p>
    <w:p>
      <w:pPr>
        <w:autoSpaceDE w:val="0"/>
        <w:autoSpaceDN w:val="0"/>
        <w:adjustRightInd w:val="0"/>
        <w:snapToGrid w:val="0"/>
        <w:spacing w:afterLines="50" w:line="360" w:lineRule="auto"/>
        <w:jc w:val="center"/>
        <w:rPr>
          <w:bCs/>
          <w:spacing w:val="28"/>
          <w:sz w:val="32"/>
          <w:szCs w:val="32"/>
          <w:lang w:val="zh-CN"/>
        </w:rPr>
      </w:pPr>
    </w:p>
    <w:p>
      <w:pPr>
        <w:autoSpaceDE w:val="0"/>
        <w:autoSpaceDN w:val="0"/>
        <w:adjustRightInd w:val="0"/>
        <w:snapToGrid w:val="0"/>
        <w:spacing w:afterLines="50" w:line="360" w:lineRule="auto"/>
        <w:jc w:val="center"/>
        <w:rPr>
          <w:bCs/>
          <w:sz w:val="32"/>
          <w:szCs w:val="32"/>
          <w:lang w:val="zh-CN"/>
        </w:rPr>
      </w:pPr>
      <w:r>
        <w:rPr>
          <w:rFonts w:hint="eastAsia"/>
          <w:bCs/>
          <w:spacing w:val="28"/>
          <w:sz w:val="32"/>
          <w:szCs w:val="32"/>
          <w:lang w:val="zh-CN"/>
        </w:rPr>
        <w:t>监狱企业声明</w:t>
      </w:r>
      <w:r>
        <w:rPr>
          <w:rFonts w:hint="eastAsia"/>
          <w:bCs/>
          <w:sz w:val="32"/>
          <w:szCs w:val="32"/>
          <w:lang w:val="zh-CN"/>
        </w:rPr>
        <w:t>函</w:t>
      </w:r>
    </w:p>
    <w:p>
      <w:pPr>
        <w:adjustRightInd w:val="0"/>
        <w:snapToGrid w:val="0"/>
        <w:spacing w:line="312" w:lineRule="auto"/>
        <w:ind w:firstLine="480" w:firstLineChars="200"/>
        <w:jc w:val="left"/>
        <w:rPr>
          <w:sz w:val="24"/>
        </w:rPr>
      </w:pPr>
      <w:r>
        <w:rPr>
          <w:rFonts w:hint="eastAsia"/>
          <w:sz w:val="24"/>
        </w:rPr>
        <w:t>本企业郑重声明，根据《关于政府采购支持监狱企业发展有关问题的通知》（财库[2014]68号）的规定，本企业为</w:t>
      </w:r>
      <w:r>
        <w:rPr>
          <w:rFonts w:hint="eastAsia"/>
          <w:sz w:val="24"/>
          <w:u w:val="single"/>
        </w:rPr>
        <w:t>监狱企业</w:t>
      </w:r>
      <w:r>
        <w:rPr>
          <w:rFonts w:hint="eastAsia"/>
          <w:sz w:val="24"/>
        </w:rPr>
        <w:t>。</w:t>
      </w:r>
    </w:p>
    <w:p>
      <w:pPr>
        <w:adjustRightInd w:val="0"/>
        <w:snapToGrid w:val="0"/>
        <w:spacing w:line="312" w:lineRule="auto"/>
        <w:ind w:firstLine="480" w:firstLineChars="200"/>
        <w:jc w:val="left"/>
        <w:rPr>
          <w:sz w:val="24"/>
        </w:rPr>
      </w:pPr>
      <w:r>
        <w:rPr>
          <w:rFonts w:hint="eastAsia"/>
          <w:sz w:val="24"/>
        </w:rPr>
        <w:t>根据上述标准，我企业属于</w:t>
      </w:r>
      <w:r>
        <w:rPr>
          <w:rFonts w:hint="eastAsia"/>
          <w:sz w:val="24"/>
          <w:u w:val="single"/>
        </w:rPr>
        <w:t>监狱企业</w:t>
      </w:r>
      <w:r>
        <w:rPr>
          <w:rFonts w:hint="eastAsia"/>
          <w:sz w:val="24"/>
        </w:rPr>
        <w:t>的理由为：</w:t>
      </w:r>
    </w:p>
    <w:p>
      <w:pPr>
        <w:adjustRightInd w:val="0"/>
        <w:snapToGrid w:val="0"/>
        <w:spacing w:line="312" w:lineRule="auto"/>
        <w:ind w:firstLine="480" w:firstLineChars="200"/>
        <w:rPr>
          <w:sz w:val="24"/>
        </w:rPr>
      </w:pPr>
      <w:r>
        <w:rPr>
          <w:rFonts w:hint="eastAsia"/>
          <w:sz w:val="24"/>
        </w:rPr>
        <w:t>本企业为参加（项目名称：）（项目编号：）采购活动提供本企业的产品。</w:t>
      </w:r>
    </w:p>
    <w:p>
      <w:pPr>
        <w:adjustRightInd w:val="0"/>
        <w:snapToGrid w:val="0"/>
        <w:spacing w:line="312" w:lineRule="auto"/>
        <w:ind w:firstLine="480" w:firstLineChars="200"/>
        <w:rPr>
          <w:sz w:val="24"/>
        </w:rPr>
      </w:pPr>
      <w:r>
        <w:rPr>
          <w:rFonts w:hint="eastAsia"/>
          <w:sz w:val="24"/>
        </w:rPr>
        <w:t>本企业对上述声明的真实性负责。如有虚假，将依法承担相应责任。</w:t>
      </w:r>
    </w:p>
    <w:p>
      <w:pPr>
        <w:adjustRightInd w:val="0"/>
        <w:snapToGrid w:val="0"/>
        <w:spacing w:line="312" w:lineRule="auto"/>
        <w:jc w:val="center"/>
        <w:rPr>
          <w:sz w:val="24"/>
        </w:rPr>
      </w:pPr>
    </w:p>
    <w:p>
      <w:pPr>
        <w:adjustRightInd w:val="0"/>
        <w:snapToGrid w:val="0"/>
        <w:spacing w:line="312" w:lineRule="auto"/>
        <w:jc w:val="center"/>
        <w:rPr>
          <w:sz w:val="24"/>
        </w:rPr>
      </w:pPr>
    </w:p>
    <w:p>
      <w:pPr>
        <w:adjustRightInd w:val="0"/>
        <w:snapToGrid w:val="0"/>
        <w:spacing w:line="312" w:lineRule="auto"/>
        <w:jc w:val="center"/>
        <w:rPr>
          <w:sz w:val="24"/>
        </w:rPr>
      </w:pPr>
    </w:p>
    <w:p>
      <w:pPr>
        <w:adjustRightInd w:val="0"/>
        <w:snapToGrid w:val="0"/>
        <w:spacing w:line="312" w:lineRule="auto"/>
        <w:jc w:val="center"/>
        <w:rPr>
          <w:sz w:val="24"/>
        </w:rPr>
      </w:pPr>
    </w:p>
    <w:p>
      <w:pPr>
        <w:adjustRightInd w:val="0"/>
        <w:snapToGrid w:val="0"/>
        <w:spacing w:line="312" w:lineRule="auto"/>
        <w:jc w:val="center"/>
        <w:rPr>
          <w:sz w:val="24"/>
        </w:rPr>
      </w:pPr>
    </w:p>
    <w:p>
      <w:pPr>
        <w:adjustRightInd w:val="0"/>
        <w:snapToGrid w:val="0"/>
        <w:spacing w:line="312" w:lineRule="auto"/>
        <w:jc w:val="center"/>
        <w:rPr>
          <w:sz w:val="24"/>
        </w:rPr>
      </w:pPr>
    </w:p>
    <w:p>
      <w:pPr>
        <w:adjustRightInd w:val="0"/>
        <w:snapToGrid w:val="0"/>
        <w:spacing w:line="312" w:lineRule="auto"/>
        <w:jc w:val="center"/>
        <w:rPr>
          <w:sz w:val="24"/>
        </w:rPr>
      </w:pPr>
    </w:p>
    <w:p>
      <w:pPr>
        <w:adjustRightInd w:val="0"/>
        <w:snapToGrid w:val="0"/>
        <w:spacing w:line="312" w:lineRule="auto"/>
        <w:jc w:val="center"/>
        <w:rPr>
          <w:sz w:val="24"/>
        </w:rPr>
      </w:pPr>
    </w:p>
    <w:p>
      <w:pPr>
        <w:pStyle w:val="58"/>
        <w:ind w:left="0" w:firstLine="0"/>
        <w:jc w:val="center"/>
        <w:rPr>
          <w:rFonts w:hAnsi="宋体"/>
          <w:szCs w:val="24"/>
        </w:rPr>
      </w:pPr>
    </w:p>
    <w:p>
      <w:pPr>
        <w:adjustRightInd w:val="0"/>
        <w:snapToGrid w:val="0"/>
        <w:spacing w:line="312" w:lineRule="auto"/>
        <w:rPr>
          <w:sz w:val="24"/>
        </w:rPr>
      </w:pPr>
    </w:p>
    <w:p>
      <w:pPr>
        <w:pStyle w:val="58"/>
        <w:ind w:left="0" w:firstLine="0"/>
        <w:jc w:val="center"/>
        <w:rPr>
          <w:rFonts w:hAnsi="宋体"/>
        </w:rPr>
      </w:pPr>
    </w:p>
    <w:tbl>
      <w:tblPr>
        <w:tblStyle w:val="59"/>
        <w:tblW w:w="0" w:type="auto"/>
        <w:jc w:val="right"/>
        <w:tblLayout w:type="fixed"/>
        <w:tblCellMar>
          <w:top w:w="0" w:type="dxa"/>
          <w:left w:w="108" w:type="dxa"/>
          <w:bottom w:w="0" w:type="dxa"/>
          <w:right w:w="108" w:type="dxa"/>
        </w:tblCellMar>
      </w:tblPr>
      <w:tblGrid>
        <w:gridCol w:w="2506"/>
        <w:gridCol w:w="2379"/>
      </w:tblGrid>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sz w:val="24"/>
                <w:szCs w:val="28"/>
              </w:rPr>
            </w:pPr>
            <w:r>
              <w:rPr>
                <w:rFonts w:hint="eastAsia"/>
                <w:sz w:val="24"/>
              </w:rPr>
              <w:t>供应商全称:（盖章）</w:t>
            </w:r>
          </w:p>
        </w:tc>
        <w:tc>
          <w:tcPr>
            <w:tcW w:w="2379" w:type="dxa"/>
            <w:noWrap/>
            <w:vAlign w:val="center"/>
          </w:tcPr>
          <w:p>
            <w:pPr>
              <w:adjustRightInd w:val="0"/>
              <w:snapToGrid w:val="0"/>
              <w:spacing w:beforeLines="50" w:afterLines="50"/>
              <w:ind w:left="-105" w:leftChars="-50"/>
              <w:rPr>
                <w:sz w:val="24"/>
                <w:szCs w:val="28"/>
              </w:rPr>
            </w:pPr>
          </w:p>
        </w:tc>
      </w:tr>
      <w:tr>
        <w:trPr>
          <w:jc w:val="right"/>
        </w:trPr>
        <w:tc>
          <w:tcPr>
            <w:tcW w:w="2506" w:type="dxa"/>
            <w:noWrap/>
            <w:vAlign w:val="center"/>
          </w:tcPr>
          <w:p>
            <w:pPr>
              <w:adjustRightInd w:val="0"/>
              <w:snapToGrid w:val="0"/>
              <w:spacing w:beforeLines="50" w:afterLines="50"/>
              <w:jc w:val="left"/>
              <w:rPr>
                <w:sz w:val="24"/>
                <w:szCs w:val="28"/>
              </w:rPr>
            </w:pPr>
            <w:r>
              <w:rPr>
                <w:rFonts w:hint="eastAsia"/>
                <w:sz w:val="24"/>
              </w:rPr>
              <w:t>法定代表人或授权代理人:（签字或盖章）</w:t>
            </w:r>
          </w:p>
        </w:tc>
        <w:tc>
          <w:tcPr>
            <w:tcW w:w="2379" w:type="dxa"/>
            <w:noWrap/>
            <w:vAlign w:val="center"/>
          </w:tcPr>
          <w:p>
            <w:pPr>
              <w:adjustRightInd w:val="0"/>
              <w:snapToGrid w:val="0"/>
              <w:spacing w:beforeLines="50" w:afterLines="50"/>
              <w:ind w:left="-105" w:leftChars="-50"/>
              <w:rPr>
                <w:sz w:val="24"/>
                <w:szCs w:val="28"/>
              </w:rPr>
            </w:pPr>
          </w:p>
        </w:tc>
      </w:tr>
      <w:tr>
        <w:tblPrEx>
          <w:tblCellMar>
            <w:top w:w="0" w:type="dxa"/>
            <w:left w:w="108" w:type="dxa"/>
            <w:bottom w:w="0" w:type="dxa"/>
            <w:right w:w="108" w:type="dxa"/>
          </w:tblCellMar>
        </w:tblPrEx>
        <w:trPr>
          <w:jc w:val="right"/>
        </w:trPr>
        <w:tc>
          <w:tcPr>
            <w:tcW w:w="4885" w:type="dxa"/>
            <w:gridSpan w:val="2"/>
            <w:noWrap/>
            <w:vAlign w:val="center"/>
          </w:tcPr>
          <w:p>
            <w:pPr>
              <w:adjustRightInd w:val="0"/>
              <w:snapToGrid w:val="0"/>
              <w:spacing w:beforeLines="50" w:afterLines="50"/>
              <w:jc w:val="center"/>
              <w:rPr>
                <w:sz w:val="24"/>
                <w:szCs w:val="28"/>
              </w:rPr>
            </w:pPr>
            <w:r>
              <w:rPr>
                <w:rFonts w:hint="eastAsia"/>
                <w:sz w:val="24"/>
              </w:rPr>
              <w:t>日 期:年   月   日</w:t>
            </w:r>
          </w:p>
        </w:tc>
      </w:tr>
    </w:tbl>
    <w:p>
      <w:pPr>
        <w:adjustRightInd w:val="0"/>
        <w:snapToGrid w:val="0"/>
        <w:spacing w:line="312" w:lineRule="auto"/>
        <w:rPr>
          <w:sz w:val="24"/>
        </w:rPr>
      </w:pPr>
    </w:p>
    <w:p>
      <w:pPr>
        <w:adjustRightInd w:val="0"/>
        <w:snapToGrid w:val="0"/>
        <w:spacing w:line="312" w:lineRule="auto"/>
        <w:jc w:val="center"/>
        <w:rPr>
          <w:sz w:val="24"/>
        </w:rPr>
      </w:pPr>
    </w:p>
    <w:p>
      <w:pPr>
        <w:snapToGrid w:val="0"/>
        <w:spacing w:line="312" w:lineRule="auto"/>
        <w:rPr>
          <w:rFonts w:ascii="楷体" w:hAnsi="楷体" w:eastAsia="楷体" w:cs="楷体"/>
          <w:sz w:val="24"/>
        </w:rPr>
      </w:pPr>
      <w:r>
        <w:rPr>
          <w:rFonts w:hint="eastAsia" w:ascii="楷体" w:hAnsi="楷体" w:eastAsia="楷体" w:cs="楷体"/>
          <w:sz w:val="24"/>
        </w:rPr>
        <w:t>注:供应商为监狱企业的提供此函（</w:t>
      </w:r>
      <w:r>
        <w:rPr>
          <w:rFonts w:hint="eastAsia" w:ascii="楷体" w:hAnsi="楷体" w:eastAsia="楷体" w:cs="楷体"/>
          <w:bCs/>
          <w:sz w:val="24"/>
          <w:lang w:val="zh-CN"/>
        </w:rPr>
        <w:t>非监狱企业不需提供</w:t>
      </w:r>
      <w:r>
        <w:rPr>
          <w:rFonts w:hint="eastAsia" w:ascii="楷体" w:hAnsi="楷体" w:eastAsia="楷体" w:cs="楷体"/>
          <w:sz w:val="24"/>
        </w:rPr>
        <w:t>）。</w:t>
      </w:r>
    </w:p>
    <w:p>
      <w:pPr>
        <w:snapToGrid w:val="0"/>
        <w:spacing w:line="312" w:lineRule="auto"/>
        <w:rPr>
          <w:rFonts w:ascii="楷体" w:hAnsi="楷体" w:eastAsia="楷体" w:cs="楷体"/>
          <w:sz w:val="24"/>
        </w:rPr>
      </w:pPr>
      <w:r>
        <w:rPr>
          <w:rFonts w:hint="eastAsia" w:ascii="楷体" w:hAnsi="楷体" w:eastAsia="楷体" w:cs="楷体"/>
          <w:sz w:val="24"/>
        </w:rPr>
        <w:t>监狱企业参加政府采购活动时，应当提供由省级以上监狱管理局、戒毒管理局（含新疆生产建设兵团）出具的属于监狱企业的证明文件。</w:t>
      </w:r>
    </w:p>
    <w:p>
      <w:pPr>
        <w:autoSpaceDE w:val="0"/>
        <w:autoSpaceDN w:val="0"/>
        <w:adjustRightInd w:val="0"/>
        <w:snapToGrid w:val="0"/>
        <w:spacing w:afterLines="50" w:line="360" w:lineRule="auto"/>
        <w:jc w:val="left"/>
        <w:rPr>
          <w:rFonts w:asciiTheme="minorEastAsia" w:hAnsiTheme="minorEastAsia" w:eastAsiaTheme="minorEastAsia" w:cstheme="minorEastAsia"/>
          <w:b/>
          <w:color w:val="353535"/>
          <w:sz w:val="28"/>
          <w:szCs w:val="28"/>
        </w:rPr>
      </w:pPr>
      <w:r>
        <w:rPr>
          <w:rFonts w:hint="eastAsia" w:asciiTheme="minorEastAsia" w:hAnsiTheme="minorEastAsia" w:eastAsiaTheme="minorEastAsia" w:cstheme="minorEastAsia"/>
          <w:b/>
          <w:color w:val="353535"/>
          <w:sz w:val="28"/>
          <w:szCs w:val="28"/>
          <w:lang w:val="zh-CN"/>
        </w:rPr>
        <w:t>附件</w:t>
      </w:r>
      <w:r>
        <w:rPr>
          <w:rFonts w:hint="eastAsia" w:asciiTheme="minorEastAsia" w:hAnsiTheme="minorEastAsia" w:eastAsiaTheme="minorEastAsia" w:cstheme="minorEastAsia"/>
          <w:b/>
          <w:color w:val="353535"/>
          <w:sz w:val="28"/>
          <w:szCs w:val="28"/>
        </w:rPr>
        <w:t>四</w:t>
      </w:r>
    </w:p>
    <w:p>
      <w:pPr>
        <w:autoSpaceDE w:val="0"/>
        <w:autoSpaceDN w:val="0"/>
        <w:adjustRightInd w:val="0"/>
        <w:snapToGrid w:val="0"/>
        <w:spacing w:afterLines="50" w:line="360" w:lineRule="auto"/>
        <w:jc w:val="center"/>
        <w:rPr>
          <w:bCs/>
          <w:sz w:val="32"/>
          <w:szCs w:val="32"/>
          <w:lang w:val="zh-CN"/>
        </w:rPr>
      </w:pPr>
      <w:r>
        <w:rPr>
          <w:rFonts w:hint="eastAsia"/>
          <w:bCs/>
          <w:sz w:val="32"/>
          <w:szCs w:val="32"/>
          <w:lang w:val="zh-CN"/>
        </w:rPr>
        <w:t>残疾人福利性单位声明函</w:t>
      </w:r>
    </w:p>
    <w:p>
      <w:pPr>
        <w:snapToGrid w:val="0"/>
        <w:spacing w:line="312" w:lineRule="auto"/>
        <w:ind w:firstLine="504" w:firstLineChars="200"/>
        <w:rPr>
          <w:spacing w:val="6"/>
          <w:sz w:val="24"/>
        </w:rPr>
      </w:pPr>
      <w:r>
        <w:rPr>
          <w:rFonts w:hint="eastAsia"/>
          <w:spacing w:val="6"/>
          <w:sz w:val="24"/>
        </w:rPr>
        <w:t>本单位郑重声明，根据《财政部民政部中国残疾人联合会关于促进残疾人就业政府采购政策的通知》（财库</w:t>
      </w:r>
      <w:r>
        <w:rPr>
          <w:rFonts w:hint="eastAsia"/>
          <w:sz w:val="24"/>
        </w:rPr>
        <w:t>〔2017〕141</w:t>
      </w:r>
      <w:r>
        <w:rPr>
          <w:rFonts w:hint="eastAsia"/>
          <w:spacing w:val="6"/>
          <w:sz w:val="24"/>
        </w:rPr>
        <w:t>号）的规定，本单位为符合条件的残疾人福利性单位，且本单位参加</w:t>
      </w:r>
      <w:r>
        <w:rPr>
          <w:rFonts w:hint="eastAsia"/>
          <w:spacing w:val="6"/>
          <w:sz w:val="24"/>
          <w:u w:val="single"/>
        </w:rPr>
        <w:t>（采购人名称）</w:t>
      </w:r>
      <w:r>
        <w:rPr>
          <w:rFonts w:hint="eastAsia"/>
          <w:spacing w:val="6"/>
          <w:sz w:val="24"/>
        </w:rPr>
        <w:t>单位的</w:t>
      </w:r>
      <w:r>
        <w:rPr>
          <w:rFonts w:hint="eastAsia"/>
          <w:spacing w:val="6"/>
          <w:sz w:val="24"/>
          <w:u w:val="single"/>
        </w:rPr>
        <w:t>（项目名称）</w:t>
      </w:r>
      <w:r>
        <w:rPr>
          <w:rFonts w:hint="eastAsia"/>
          <w:spacing w:val="6"/>
          <w:sz w:val="24"/>
        </w:rPr>
        <w:t>项目采购活动提供本单位制造的产品（由本单位承担工程/提供服务），或者提供其他残疾人福利性单位制造的产品（不包括使用非残疾人福利性单位注册商标的产品）。</w:t>
      </w:r>
    </w:p>
    <w:p>
      <w:pPr>
        <w:snapToGrid w:val="0"/>
        <w:spacing w:line="312" w:lineRule="auto"/>
        <w:ind w:firstLine="504" w:firstLineChars="200"/>
        <w:rPr>
          <w:spacing w:val="6"/>
          <w:sz w:val="24"/>
        </w:rPr>
      </w:pPr>
      <w:r>
        <w:rPr>
          <w:rFonts w:hint="eastAsia"/>
          <w:spacing w:val="6"/>
          <w:sz w:val="24"/>
        </w:rPr>
        <w:t>本单位对上述声明的真实性负责。如有虚假，将依法承担相应责任。</w:t>
      </w:r>
    </w:p>
    <w:p>
      <w:pPr>
        <w:adjustRightInd w:val="0"/>
        <w:snapToGrid w:val="0"/>
        <w:spacing w:line="312" w:lineRule="auto"/>
        <w:jc w:val="left"/>
        <w:rPr>
          <w:spacing w:val="6"/>
          <w:sz w:val="24"/>
        </w:rPr>
      </w:pPr>
    </w:p>
    <w:p>
      <w:pPr>
        <w:adjustRightInd w:val="0"/>
        <w:snapToGrid w:val="0"/>
        <w:spacing w:line="312" w:lineRule="auto"/>
        <w:jc w:val="left"/>
        <w:rPr>
          <w:spacing w:val="6"/>
          <w:sz w:val="24"/>
        </w:rPr>
      </w:pPr>
    </w:p>
    <w:p>
      <w:pPr>
        <w:adjustRightInd w:val="0"/>
        <w:snapToGrid w:val="0"/>
        <w:spacing w:line="312" w:lineRule="auto"/>
        <w:jc w:val="left"/>
        <w:rPr>
          <w:sz w:val="24"/>
        </w:rPr>
      </w:pPr>
    </w:p>
    <w:p>
      <w:pPr>
        <w:adjustRightInd w:val="0"/>
        <w:snapToGrid w:val="0"/>
        <w:spacing w:line="312" w:lineRule="auto"/>
        <w:jc w:val="left"/>
        <w:rPr>
          <w:sz w:val="24"/>
        </w:rPr>
      </w:pPr>
    </w:p>
    <w:p>
      <w:pPr>
        <w:adjustRightInd w:val="0"/>
        <w:snapToGrid w:val="0"/>
        <w:spacing w:line="312" w:lineRule="auto"/>
        <w:jc w:val="left"/>
        <w:rPr>
          <w:sz w:val="24"/>
        </w:rPr>
      </w:pPr>
    </w:p>
    <w:p>
      <w:pPr>
        <w:adjustRightInd w:val="0"/>
        <w:snapToGrid w:val="0"/>
        <w:spacing w:line="312" w:lineRule="auto"/>
        <w:jc w:val="left"/>
        <w:rPr>
          <w:sz w:val="24"/>
        </w:rPr>
      </w:pPr>
    </w:p>
    <w:p>
      <w:pPr>
        <w:adjustRightInd w:val="0"/>
        <w:snapToGrid w:val="0"/>
        <w:spacing w:line="312" w:lineRule="auto"/>
        <w:jc w:val="left"/>
        <w:rPr>
          <w:sz w:val="24"/>
        </w:rPr>
      </w:pPr>
    </w:p>
    <w:p>
      <w:pPr>
        <w:adjustRightInd w:val="0"/>
        <w:snapToGrid w:val="0"/>
        <w:spacing w:line="312" w:lineRule="auto"/>
        <w:jc w:val="left"/>
        <w:rPr>
          <w:sz w:val="24"/>
        </w:rPr>
      </w:pPr>
    </w:p>
    <w:p>
      <w:pPr>
        <w:adjustRightInd w:val="0"/>
        <w:snapToGrid w:val="0"/>
        <w:spacing w:line="312" w:lineRule="auto"/>
        <w:jc w:val="left"/>
        <w:rPr>
          <w:sz w:val="24"/>
        </w:rPr>
      </w:pPr>
    </w:p>
    <w:p>
      <w:pPr>
        <w:adjustRightInd w:val="0"/>
        <w:snapToGrid w:val="0"/>
        <w:spacing w:line="312" w:lineRule="auto"/>
        <w:jc w:val="left"/>
        <w:rPr>
          <w:sz w:val="24"/>
        </w:rPr>
      </w:pPr>
    </w:p>
    <w:p>
      <w:pPr>
        <w:pStyle w:val="58"/>
        <w:adjustRightInd w:val="0"/>
        <w:ind w:left="0" w:firstLine="0"/>
        <w:jc w:val="left"/>
        <w:rPr>
          <w:rFonts w:hAnsi="宋体"/>
          <w:szCs w:val="24"/>
        </w:rPr>
      </w:pPr>
    </w:p>
    <w:p>
      <w:pPr>
        <w:adjustRightInd w:val="0"/>
        <w:snapToGrid w:val="0"/>
        <w:spacing w:line="312" w:lineRule="auto"/>
        <w:jc w:val="left"/>
        <w:rPr>
          <w:sz w:val="24"/>
        </w:rPr>
      </w:pPr>
    </w:p>
    <w:tbl>
      <w:tblPr>
        <w:tblStyle w:val="59"/>
        <w:tblW w:w="0" w:type="auto"/>
        <w:jc w:val="right"/>
        <w:tblLayout w:type="fixed"/>
        <w:tblCellMar>
          <w:top w:w="0" w:type="dxa"/>
          <w:left w:w="108" w:type="dxa"/>
          <w:bottom w:w="0" w:type="dxa"/>
          <w:right w:w="108" w:type="dxa"/>
        </w:tblCellMar>
      </w:tblPr>
      <w:tblGrid>
        <w:gridCol w:w="2506"/>
        <w:gridCol w:w="2402"/>
      </w:tblGrid>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sz w:val="24"/>
                <w:szCs w:val="28"/>
              </w:rPr>
            </w:pPr>
            <w:r>
              <w:rPr>
                <w:rFonts w:hint="eastAsia"/>
                <w:sz w:val="24"/>
              </w:rPr>
              <w:t>供应商全称:（盖章）</w:t>
            </w:r>
          </w:p>
        </w:tc>
        <w:tc>
          <w:tcPr>
            <w:tcW w:w="2402" w:type="dxa"/>
            <w:noWrap/>
            <w:vAlign w:val="center"/>
          </w:tcPr>
          <w:p>
            <w:pPr>
              <w:adjustRightInd w:val="0"/>
              <w:snapToGrid w:val="0"/>
              <w:spacing w:beforeLines="50" w:afterLines="50"/>
              <w:ind w:left="-105" w:leftChars="-50"/>
              <w:rPr>
                <w:sz w:val="24"/>
                <w:szCs w:val="28"/>
              </w:rPr>
            </w:pPr>
          </w:p>
        </w:tc>
      </w:tr>
      <w:tr>
        <w:tblPrEx>
          <w:tblCellMar>
            <w:top w:w="0" w:type="dxa"/>
            <w:left w:w="108" w:type="dxa"/>
            <w:bottom w:w="0" w:type="dxa"/>
            <w:right w:w="108" w:type="dxa"/>
          </w:tblCellMar>
        </w:tblPrEx>
        <w:trPr>
          <w:jc w:val="right"/>
        </w:trPr>
        <w:tc>
          <w:tcPr>
            <w:tcW w:w="2506" w:type="dxa"/>
            <w:noWrap/>
            <w:vAlign w:val="center"/>
          </w:tcPr>
          <w:p>
            <w:pPr>
              <w:adjustRightInd w:val="0"/>
              <w:snapToGrid w:val="0"/>
              <w:spacing w:beforeLines="50" w:afterLines="50"/>
              <w:jc w:val="left"/>
              <w:rPr>
                <w:sz w:val="24"/>
                <w:szCs w:val="28"/>
              </w:rPr>
            </w:pPr>
            <w:r>
              <w:rPr>
                <w:rFonts w:hint="eastAsia"/>
                <w:sz w:val="24"/>
              </w:rPr>
              <w:t>法定代表人或授权代理人:（签字或盖章）</w:t>
            </w:r>
          </w:p>
        </w:tc>
        <w:tc>
          <w:tcPr>
            <w:tcW w:w="2402" w:type="dxa"/>
            <w:noWrap/>
            <w:vAlign w:val="center"/>
          </w:tcPr>
          <w:p>
            <w:pPr>
              <w:adjustRightInd w:val="0"/>
              <w:snapToGrid w:val="0"/>
              <w:spacing w:beforeLines="50" w:afterLines="50"/>
              <w:ind w:left="-105" w:leftChars="-50"/>
              <w:rPr>
                <w:sz w:val="24"/>
                <w:szCs w:val="28"/>
              </w:rPr>
            </w:pPr>
          </w:p>
        </w:tc>
      </w:tr>
      <w:tr>
        <w:tblPrEx>
          <w:tblCellMar>
            <w:top w:w="0" w:type="dxa"/>
            <w:left w:w="108" w:type="dxa"/>
            <w:bottom w:w="0" w:type="dxa"/>
            <w:right w:w="108" w:type="dxa"/>
          </w:tblCellMar>
        </w:tblPrEx>
        <w:trPr>
          <w:jc w:val="right"/>
        </w:trPr>
        <w:tc>
          <w:tcPr>
            <w:tcW w:w="4908" w:type="dxa"/>
            <w:gridSpan w:val="2"/>
            <w:noWrap/>
            <w:vAlign w:val="center"/>
          </w:tcPr>
          <w:p>
            <w:pPr>
              <w:adjustRightInd w:val="0"/>
              <w:snapToGrid w:val="0"/>
              <w:spacing w:beforeLines="50" w:afterLines="50"/>
              <w:jc w:val="center"/>
              <w:rPr>
                <w:sz w:val="24"/>
                <w:szCs w:val="28"/>
              </w:rPr>
            </w:pPr>
            <w:r>
              <w:rPr>
                <w:rFonts w:hint="eastAsia"/>
                <w:sz w:val="24"/>
              </w:rPr>
              <w:t>日 期:年   月   日</w:t>
            </w:r>
          </w:p>
        </w:tc>
      </w:tr>
    </w:tbl>
    <w:p>
      <w:pPr>
        <w:adjustRightInd w:val="0"/>
        <w:snapToGrid w:val="0"/>
        <w:spacing w:line="312" w:lineRule="auto"/>
        <w:jc w:val="left"/>
        <w:rPr>
          <w:sz w:val="24"/>
        </w:rPr>
      </w:pPr>
    </w:p>
    <w:p>
      <w:pPr>
        <w:pStyle w:val="58"/>
        <w:ind w:left="0" w:firstLine="0"/>
        <w:jc w:val="left"/>
        <w:rPr>
          <w:rFonts w:hAnsi="宋体"/>
          <w:szCs w:val="24"/>
        </w:rPr>
      </w:pPr>
    </w:p>
    <w:p>
      <w:pPr>
        <w:pStyle w:val="32"/>
        <w:tabs>
          <w:tab w:val="left" w:pos="420"/>
        </w:tabs>
        <w:adjustRightInd w:val="0"/>
        <w:snapToGrid w:val="0"/>
        <w:spacing w:line="312" w:lineRule="auto"/>
        <w:jc w:val="left"/>
        <w:rPr>
          <w:rFonts w:hAnsi="宋体" w:cs="宋体"/>
          <w:sz w:val="24"/>
        </w:rPr>
      </w:pPr>
    </w:p>
    <w:p>
      <w:pPr>
        <w:pStyle w:val="32"/>
        <w:tabs>
          <w:tab w:val="left" w:pos="420"/>
        </w:tabs>
        <w:adjustRightInd w:val="0"/>
        <w:snapToGrid w:val="0"/>
        <w:spacing w:line="312" w:lineRule="auto"/>
        <w:jc w:val="left"/>
        <w:rPr>
          <w:rFonts w:hAnsi="宋体" w:cs="宋体"/>
          <w:sz w:val="24"/>
        </w:rPr>
      </w:pPr>
    </w:p>
    <w:p>
      <w:pPr>
        <w:pStyle w:val="32"/>
        <w:tabs>
          <w:tab w:val="left" w:pos="420"/>
        </w:tabs>
        <w:adjustRightInd w:val="0"/>
        <w:snapToGrid w:val="0"/>
        <w:spacing w:line="312" w:lineRule="auto"/>
        <w:rPr>
          <w:rFonts w:hAnsi="宋体" w:cs="宋体"/>
          <w:sz w:val="24"/>
        </w:rPr>
      </w:pPr>
    </w:p>
    <w:p>
      <w:pPr>
        <w:pStyle w:val="32"/>
        <w:tabs>
          <w:tab w:val="left" w:pos="420"/>
        </w:tabs>
        <w:adjustRightInd w:val="0"/>
        <w:snapToGrid w:val="0"/>
        <w:spacing w:line="312" w:lineRule="auto"/>
        <w:rPr>
          <w:rFonts w:hAnsi="宋体" w:cs="宋体"/>
          <w:sz w:val="24"/>
        </w:rPr>
      </w:pPr>
      <w:r>
        <w:rPr>
          <w:rFonts w:hint="eastAsia" w:hAnsi="宋体" w:cs="宋体"/>
          <w:sz w:val="24"/>
        </w:rPr>
        <w:t>注:供应商为残疾人福利性单位的提供此函（</w:t>
      </w:r>
      <w:r>
        <w:rPr>
          <w:rFonts w:hint="eastAsia" w:hAnsi="宋体" w:cs="宋体"/>
          <w:bCs/>
          <w:sz w:val="24"/>
          <w:lang w:val="zh-CN"/>
        </w:rPr>
        <w:t>非残疾人福利性单位不需提供</w:t>
      </w:r>
      <w:r>
        <w:rPr>
          <w:rFonts w:hint="eastAsia" w:hAnsi="宋体" w:cs="宋体"/>
          <w:sz w:val="24"/>
        </w:rPr>
        <w:t>）</w:t>
      </w:r>
      <w:r>
        <w:rPr>
          <w:rFonts w:hint="eastAsia" w:hAnsi="宋体" w:cs="宋体"/>
          <w:spacing w:val="6"/>
          <w:sz w:val="24"/>
        </w:rPr>
        <w:t>。</w:t>
      </w:r>
    </w:p>
    <w:p>
      <w:pPr>
        <w:pStyle w:val="57"/>
      </w:pPr>
    </w:p>
    <w:p>
      <w:pPr>
        <w:pStyle w:val="3"/>
        <w:numPr>
          <w:ilvl w:val="0"/>
          <w:numId w:val="0"/>
        </w:numPr>
        <w:rPr>
          <w:rFonts w:asciiTheme="minorEastAsia" w:hAnsiTheme="minorEastAsia" w:eastAsiaTheme="minorEastAsia" w:cstheme="minorEastAsia"/>
          <w:color w:val="353535"/>
          <w:sz w:val="30"/>
          <w:szCs w:val="30"/>
          <w:lang w:val="zh-CN"/>
        </w:rPr>
      </w:pPr>
      <w:bookmarkStart w:id="48" w:name="_Toc25330"/>
      <w:r>
        <w:rPr>
          <w:rFonts w:hint="eastAsia" w:asciiTheme="minorEastAsia" w:hAnsiTheme="minorEastAsia" w:eastAsiaTheme="minorEastAsia" w:cstheme="minorEastAsia"/>
          <w:bCs/>
          <w:kern w:val="2"/>
          <w:sz w:val="28"/>
          <w:szCs w:val="28"/>
        </w:rPr>
        <w:t xml:space="preserve">附件六            </w:t>
      </w:r>
      <w:r>
        <w:rPr>
          <w:rFonts w:hint="eastAsia" w:asciiTheme="minorEastAsia" w:hAnsiTheme="minorEastAsia" w:eastAsiaTheme="minorEastAsia" w:cstheme="minorEastAsia"/>
          <w:color w:val="353535"/>
          <w:sz w:val="30"/>
          <w:szCs w:val="30"/>
          <w:lang w:val="zh-CN"/>
        </w:rPr>
        <w:t>磋商声明</w:t>
      </w:r>
      <w:bookmarkEnd w:id="48"/>
    </w:p>
    <w:p>
      <w:pPr>
        <w:spacing w:line="46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353535"/>
          <w:sz w:val="24"/>
          <w:lang w:val="zh-CN"/>
        </w:rPr>
        <w:t>致：</w:t>
      </w:r>
      <w:r>
        <w:rPr>
          <w:rFonts w:hint="eastAsia" w:asciiTheme="minorEastAsia" w:hAnsiTheme="minorEastAsia" w:eastAsiaTheme="minorEastAsia" w:cstheme="minorEastAsia"/>
          <w:color w:val="000000"/>
          <w:sz w:val="24"/>
          <w:lang w:val="zh-CN"/>
        </w:rPr>
        <w:t xml:space="preserve">龙游石窟风景旅游有限公司、龙游博洽投资咨询有限公司 </w:t>
      </w:r>
    </w:p>
    <w:p>
      <w:pPr>
        <w:spacing w:line="460" w:lineRule="exact"/>
        <w:ind w:firstLine="480" w:firstLineChars="200"/>
        <w:rPr>
          <w:rFonts w:asciiTheme="minorEastAsia" w:hAnsiTheme="minorEastAsia" w:eastAsiaTheme="minorEastAsia" w:cstheme="minorEastAsia"/>
          <w:color w:val="353535"/>
          <w:sz w:val="24"/>
          <w:lang w:val="zh-CN"/>
        </w:rPr>
      </w:pPr>
      <w:r>
        <w:rPr>
          <w:rFonts w:hint="eastAsia" w:asciiTheme="minorEastAsia" w:hAnsiTheme="minorEastAsia" w:eastAsiaTheme="minorEastAsia" w:cstheme="minorEastAsia"/>
          <w:color w:val="353535"/>
          <w:sz w:val="24"/>
          <w:lang w:val="zh-CN"/>
        </w:rPr>
        <w:t>根据贵方</w:t>
      </w:r>
      <w:r>
        <w:rPr>
          <w:rFonts w:hint="eastAsia" w:asciiTheme="minorEastAsia" w:hAnsiTheme="minorEastAsia" w:eastAsiaTheme="minorEastAsia" w:cstheme="minorEastAsia"/>
          <w:color w:val="000000"/>
          <w:sz w:val="24"/>
        </w:rPr>
        <w:t>龙游石窟景区、龙游民居苑景区票务系统新建项目</w:t>
      </w:r>
      <w:r>
        <w:rPr>
          <w:rFonts w:hint="eastAsia" w:asciiTheme="minorEastAsia" w:hAnsiTheme="minorEastAsia" w:eastAsiaTheme="minorEastAsia" w:cstheme="minorEastAsia"/>
          <w:color w:val="353535"/>
          <w:sz w:val="24"/>
          <w:lang w:val="zh-CN"/>
        </w:rPr>
        <w:t>LYBQGC2021-14磋商文件，正式授权下述签字人</w:t>
      </w:r>
      <w:r>
        <w:rPr>
          <w:rFonts w:hint="eastAsia" w:asciiTheme="minorEastAsia" w:hAnsiTheme="minorEastAsia" w:eastAsiaTheme="minorEastAsia" w:cstheme="minorEastAsia"/>
          <w:color w:val="353535"/>
          <w:sz w:val="24"/>
          <w:u w:val="single"/>
          <w:lang w:val="zh-CN"/>
        </w:rPr>
        <w:t xml:space="preserve">   　</w:t>
      </w:r>
      <w:r>
        <w:rPr>
          <w:rFonts w:hint="eastAsia" w:asciiTheme="minorEastAsia" w:hAnsiTheme="minorEastAsia" w:eastAsiaTheme="minorEastAsia" w:cstheme="minorEastAsia"/>
          <w:color w:val="353535"/>
          <w:sz w:val="24"/>
          <w:lang w:val="zh-CN"/>
        </w:rPr>
        <w:t>(姓名和职务)代表我方</w:t>
      </w:r>
      <w:r>
        <w:rPr>
          <w:rFonts w:hint="eastAsia" w:asciiTheme="minorEastAsia" w:hAnsiTheme="minorEastAsia" w:eastAsiaTheme="minorEastAsia" w:cstheme="minorEastAsia"/>
          <w:color w:val="353535"/>
          <w:sz w:val="24"/>
          <w:u w:val="single"/>
          <w:lang w:val="zh-CN"/>
        </w:rPr>
        <w:t xml:space="preserve">  　　　    　</w:t>
      </w:r>
      <w:r>
        <w:rPr>
          <w:rFonts w:hint="eastAsia" w:asciiTheme="minorEastAsia" w:hAnsiTheme="minorEastAsia" w:eastAsiaTheme="minorEastAsia" w:cstheme="minorEastAsia"/>
          <w:color w:val="353535"/>
          <w:sz w:val="24"/>
          <w:lang w:val="zh-CN"/>
        </w:rPr>
        <w:t>（磋商供应商全称），全权处理本次项目磋商的有关事宜。</w:t>
      </w:r>
    </w:p>
    <w:p>
      <w:pPr>
        <w:snapToGrid w:val="0"/>
        <w:spacing w:line="500" w:lineRule="exact"/>
        <w:ind w:firstLine="480" w:firstLineChars="200"/>
        <w:rPr>
          <w:rFonts w:asciiTheme="minorEastAsia" w:hAnsiTheme="minorEastAsia" w:eastAsiaTheme="minorEastAsia" w:cstheme="minorEastAsia"/>
          <w:color w:val="353535"/>
          <w:sz w:val="24"/>
          <w:lang w:val="zh-CN"/>
        </w:rPr>
      </w:pPr>
      <w:r>
        <w:rPr>
          <w:rFonts w:hint="eastAsia" w:asciiTheme="minorEastAsia" w:hAnsiTheme="minorEastAsia" w:eastAsiaTheme="minorEastAsia" w:cstheme="minorEastAsia"/>
          <w:color w:val="353535"/>
          <w:sz w:val="24"/>
          <w:lang w:val="zh-CN"/>
        </w:rPr>
        <w:t>据此函，签字人兹宣布同意如下：</w:t>
      </w:r>
    </w:p>
    <w:p>
      <w:pPr>
        <w:snapToGrid w:val="0"/>
        <w:spacing w:line="500" w:lineRule="exact"/>
        <w:ind w:firstLine="480" w:firstLineChars="200"/>
        <w:rPr>
          <w:rFonts w:asciiTheme="minorEastAsia" w:hAnsiTheme="minorEastAsia" w:eastAsiaTheme="minorEastAsia" w:cstheme="minorEastAsia"/>
          <w:color w:val="353535"/>
          <w:sz w:val="24"/>
          <w:lang w:val="zh-CN"/>
        </w:rPr>
      </w:pPr>
      <w:r>
        <w:rPr>
          <w:rFonts w:hint="eastAsia" w:asciiTheme="minorEastAsia" w:hAnsiTheme="minorEastAsia" w:eastAsiaTheme="minorEastAsia" w:cstheme="minorEastAsia"/>
          <w:color w:val="353535"/>
          <w:sz w:val="24"/>
          <w:lang w:val="zh-CN"/>
        </w:rPr>
        <w:t>1、我方为本次项目提交的磋商响应文件一式</w:t>
      </w:r>
      <w:r>
        <w:rPr>
          <w:rFonts w:hint="eastAsia" w:asciiTheme="minorEastAsia" w:hAnsiTheme="minorEastAsia" w:eastAsiaTheme="minorEastAsia" w:cstheme="minorEastAsia"/>
          <w:color w:val="353535"/>
          <w:sz w:val="24"/>
        </w:rPr>
        <w:t>三</w:t>
      </w:r>
      <w:r>
        <w:rPr>
          <w:rFonts w:hint="eastAsia" w:asciiTheme="minorEastAsia" w:hAnsiTheme="minorEastAsia" w:eastAsiaTheme="minorEastAsia" w:cstheme="minorEastAsia"/>
          <w:color w:val="353535"/>
          <w:sz w:val="24"/>
          <w:lang w:val="zh-CN"/>
        </w:rPr>
        <w:t>份。我们已详细审核全部磋商文件及其有效补充文件，我们知道必须放弃提出含糊不清或误解问题的权利。</w:t>
      </w:r>
    </w:p>
    <w:p>
      <w:pPr>
        <w:snapToGrid w:val="0"/>
        <w:spacing w:line="500" w:lineRule="exact"/>
        <w:ind w:firstLine="480" w:firstLineChars="200"/>
        <w:rPr>
          <w:rFonts w:asciiTheme="minorEastAsia" w:hAnsiTheme="minorEastAsia" w:eastAsiaTheme="minorEastAsia" w:cstheme="minorEastAsia"/>
          <w:color w:val="353535"/>
          <w:sz w:val="24"/>
          <w:lang w:val="zh-CN"/>
        </w:rPr>
      </w:pPr>
      <w:r>
        <w:rPr>
          <w:rFonts w:hint="eastAsia" w:asciiTheme="minorEastAsia" w:hAnsiTheme="minorEastAsia" w:eastAsiaTheme="minorEastAsia" w:cstheme="minorEastAsia"/>
          <w:color w:val="353535"/>
          <w:sz w:val="24"/>
          <w:lang w:val="zh-CN"/>
        </w:rPr>
        <w:t>2、我们同意从规定的磋商日期起遵循本磋商响应文件，并在规定的磋商有效期期满之前均具有约束力。</w:t>
      </w:r>
    </w:p>
    <w:p>
      <w:pPr>
        <w:snapToGrid w:val="0"/>
        <w:spacing w:line="500" w:lineRule="exact"/>
        <w:ind w:firstLine="480" w:firstLineChars="200"/>
        <w:rPr>
          <w:rFonts w:asciiTheme="minorEastAsia" w:hAnsiTheme="minorEastAsia" w:eastAsiaTheme="minorEastAsia" w:cstheme="minorEastAsia"/>
          <w:color w:val="353535"/>
          <w:sz w:val="24"/>
          <w:lang w:val="zh-CN"/>
        </w:rPr>
      </w:pPr>
      <w:r>
        <w:rPr>
          <w:rFonts w:asciiTheme="minorEastAsia" w:hAnsiTheme="minorEastAsia" w:eastAsiaTheme="minorEastAsia" w:cstheme="minorEastAsia"/>
          <w:color w:val="353535"/>
          <w:sz w:val="24"/>
          <w:lang w:val="zh-CN"/>
        </w:rPr>
        <w:t>3</w:t>
      </w:r>
      <w:r>
        <w:rPr>
          <w:rFonts w:hint="eastAsia" w:asciiTheme="minorEastAsia" w:hAnsiTheme="minorEastAsia" w:eastAsiaTheme="minorEastAsia" w:cstheme="minorEastAsia"/>
          <w:color w:val="353535"/>
          <w:sz w:val="24"/>
          <w:lang w:val="zh-CN"/>
        </w:rPr>
        <w:t>、同意向贵方提供贵方可能另外要求的与磋商有关的任何证据或资料，并保证我方已提供和将要提供的文件是真实的、准确的。</w:t>
      </w:r>
    </w:p>
    <w:p>
      <w:pPr>
        <w:snapToGrid w:val="0"/>
        <w:spacing w:line="500" w:lineRule="exact"/>
        <w:ind w:firstLine="480" w:firstLineChars="200"/>
        <w:rPr>
          <w:rFonts w:asciiTheme="minorEastAsia" w:hAnsiTheme="minorEastAsia" w:eastAsiaTheme="minorEastAsia" w:cstheme="minorEastAsia"/>
          <w:color w:val="353535"/>
          <w:sz w:val="24"/>
          <w:lang w:val="zh-CN"/>
        </w:rPr>
      </w:pPr>
      <w:r>
        <w:rPr>
          <w:rFonts w:asciiTheme="minorEastAsia" w:hAnsiTheme="minorEastAsia" w:eastAsiaTheme="minorEastAsia" w:cstheme="minorEastAsia"/>
          <w:color w:val="353535"/>
          <w:sz w:val="24"/>
          <w:lang w:val="zh-CN"/>
        </w:rPr>
        <w:t>4</w:t>
      </w:r>
      <w:r>
        <w:rPr>
          <w:rFonts w:hint="eastAsia" w:asciiTheme="minorEastAsia" w:hAnsiTheme="minorEastAsia" w:eastAsiaTheme="minorEastAsia" w:cstheme="minorEastAsia"/>
          <w:color w:val="353535"/>
          <w:sz w:val="24"/>
          <w:lang w:val="zh-CN"/>
        </w:rPr>
        <w:t>、一旦我方成交，我方将根据磋商文件的规定，严格履行合同的责任和义务，并保证于磋商文件中规定的时间交货，并完成与之配套的服务工作，交付采购人（或受采购人委托的使用方）验收、使用。</w:t>
      </w:r>
    </w:p>
    <w:p>
      <w:pPr>
        <w:snapToGrid w:val="0"/>
        <w:spacing w:line="500" w:lineRule="exact"/>
        <w:ind w:firstLine="480" w:firstLineChars="200"/>
        <w:rPr>
          <w:rFonts w:asciiTheme="minorEastAsia" w:hAnsiTheme="minorEastAsia" w:eastAsiaTheme="minorEastAsia" w:cstheme="minorEastAsia"/>
          <w:color w:val="353535"/>
          <w:sz w:val="24"/>
          <w:lang w:val="zh-CN"/>
        </w:rPr>
      </w:pPr>
      <w:r>
        <w:rPr>
          <w:rFonts w:asciiTheme="minorEastAsia" w:hAnsiTheme="minorEastAsia" w:eastAsiaTheme="minorEastAsia" w:cstheme="minorEastAsia"/>
          <w:color w:val="353535"/>
          <w:sz w:val="24"/>
          <w:lang w:val="zh-CN"/>
        </w:rPr>
        <w:t>5</w:t>
      </w:r>
      <w:r>
        <w:rPr>
          <w:rFonts w:hint="eastAsia" w:asciiTheme="minorEastAsia" w:hAnsiTheme="minorEastAsia" w:eastAsiaTheme="minorEastAsia" w:cstheme="minorEastAsia"/>
          <w:color w:val="353535"/>
          <w:sz w:val="24"/>
          <w:lang w:val="zh-CN"/>
        </w:rPr>
        <w:t>、与本次磋商有关的正式联系方式为：</w:t>
      </w:r>
    </w:p>
    <w:p>
      <w:pPr>
        <w:snapToGrid w:val="0"/>
        <w:spacing w:line="500" w:lineRule="exact"/>
        <w:rPr>
          <w:rFonts w:asciiTheme="minorEastAsia" w:hAnsiTheme="minorEastAsia" w:eastAsiaTheme="minorEastAsia" w:cstheme="minorEastAsia"/>
          <w:color w:val="353535"/>
          <w:sz w:val="24"/>
        </w:rPr>
      </w:pPr>
      <w:r>
        <w:rPr>
          <w:rFonts w:hint="eastAsia" w:asciiTheme="minorEastAsia" w:hAnsiTheme="minorEastAsia" w:eastAsiaTheme="minorEastAsia" w:cstheme="minorEastAsia"/>
          <w:color w:val="353535"/>
          <w:sz w:val="24"/>
          <w:lang w:val="zh-CN"/>
        </w:rPr>
        <w:t>地   址：</w:t>
      </w:r>
      <w:r>
        <w:rPr>
          <w:rFonts w:hint="eastAsia" w:asciiTheme="minorEastAsia" w:hAnsiTheme="minorEastAsia" w:eastAsiaTheme="minorEastAsia" w:cstheme="minorEastAsia"/>
          <w:color w:val="353535"/>
          <w:sz w:val="24"/>
          <w:u w:val="single"/>
          <w:lang w:val="zh-CN"/>
        </w:rPr>
        <w:t xml:space="preserve">             　　　　　　　  </w:t>
      </w:r>
      <w:r>
        <w:rPr>
          <w:rFonts w:hint="eastAsia" w:asciiTheme="minorEastAsia" w:hAnsiTheme="minorEastAsia" w:eastAsiaTheme="minorEastAsia" w:cstheme="minorEastAsia"/>
          <w:color w:val="353535"/>
          <w:sz w:val="24"/>
          <w:lang w:val="zh-CN"/>
        </w:rPr>
        <w:t>　邮   编：</w:t>
      </w:r>
      <w:r>
        <w:rPr>
          <w:rFonts w:hint="eastAsia" w:asciiTheme="minorEastAsia" w:hAnsiTheme="minorEastAsia" w:eastAsiaTheme="minorEastAsia" w:cstheme="minorEastAsia"/>
          <w:color w:val="353535"/>
          <w:sz w:val="24"/>
          <w:u w:val="single"/>
          <w:lang w:val="zh-CN"/>
        </w:rPr>
        <w:t xml:space="preserve">        　    </w:t>
      </w:r>
    </w:p>
    <w:p>
      <w:pPr>
        <w:snapToGrid w:val="0"/>
        <w:spacing w:line="500" w:lineRule="exact"/>
        <w:rPr>
          <w:rFonts w:asciiTheme="minorEastAsia" w:hAnsiTheme="minorEastAsia" w:eastAsiaTheme="minorEastAsia" w:cstheme="minorEastAsia"/>
          <w:color w:val="353535"/>
          <w:sz w:val="24"/>
          <w:u w:val="single"/>
          <w:lang w:val="zh-CN"/>
        </w:rPr>
      </w:pPr>
      <w:r>
        <w:rPr>
          <w:rFonts w:hint="eastAsia" w:asciiTheme="minorEastAsia" w:hAnsiTheme="minorEastAsia" w:eastAsiaTheme="minorEastAsia" w:cstheme="minorEastAsia"/>
          <w:color w:val="353535"/>
          <w:sz w:val="24"/>
          <w:lang w:val="zh-CN"/>
        </w:rPr>
        <w:t>电   话：　　　　传   真：</w:t>
      </w:r>
    </w:p>
    <w:p>
      <w:pPr>
        <w:snapToGrid w:val="0"/>
        <w:spacing w:line="500" w:lineRule="exact"/>
        <w:rPr>
          <w:rFonts w:asciiTheme="minorEastAsia" w:hAnsiTheme="minorEastAsia" w:eastAsiaTheme="minorEastAsia" w:cstheme="minorEastAsia"/>
          <w:color w:val="353535"/>
          <w:sz w:val="24"/>
          <w:u w:val="single"/>
          <w:lang w:val="zh-CN"/>
        </w:rPr>
      </w:pPr>
      <w:r>
        <w:rPr>
          <w:rFonts w:hint="eastAsia" w:asciiTheme="minorEastAsia" w:hAnsiTheme="minorEastAsia" w:eastAsiaTheme="minorEastAsia" w:cstheme="minorEastAsia"/>
          <w:color w:val="353535"/>
          <w:sz w:val="24"/>
          <w:lang w:val="zh-CN"/>
        </w:rPr>
        <w:t>磋商供应商开户行：</w:t>
      </w:r>
    </w:p>
    <w:p>
      <w:pPr>
        <w:snapToGrid w:val="0"/>
        <w:spacing w:line="500" w:lineRule="exact"/>
        <w:rPr>
          <w:rFonts w:asciiTheme="minorEastAsia" w:hAnsiTheme="minorEastAsia" w:eastAsiaTheme="minorEastAsia" w:cstheme="minorEastAsia"/>
          <w:color w:val="353535"/>
          <w:sz w:val="24"/>
        </w:rPr>
      </w:pPr>
      <w:r>
        <w:rPr>
          <w:rFonts w:hint="eastAsia" w:asciiTheme="minorEastAsia" w:hAnsiTheme="minorEastAsia" w:eastAsiaTheme="minorEastAsia" w:cstheme="minorEastAsia"/>
          <w:color w:val="353535"/>
          <w:sz w:val="24"/>
          <w:lang w:val="zh-CN"/>
        </w:rPr>
        <w:t>账   户：</w:t>
      </w:r>
    </w:p>
    <w:p>
      <w:pPr>
        <w:snapToGrid w:val="0"/>
        <w:spacing w:line="500" w:lineRule="exact"/>
        <w:rPr>
          <w:rFonts w:asciiTheme="minorEastAsia" w:hAnsiTheme="minorEastAsia" w:eastAsiaTheme="minorEastAsia" w:cstheme="minorEastAsia"/>
          <w:color w:val="353535"/>
          <w:sz w:val="24"/>
          <w:u w:val="single"/>
          <w:lang w:val="zh-CN"/>
        </w:rPr>
      </w:pPr>
      <w:r>
        <w:rPr>
          <w:rFonts w:hint="eastAsia" w:asciiTheme="minorEastAsia" w:hAnsiTheme="minorEastAsia" w:eastAsiaTheme="minorEastAsia" w:cstheme="minorEastAsia"/>
          <w:color w:val="353535"/>
          <w:sz w:val="24"/>
          <w:lang w:val="zh-CN"/>
        </w:rPr>
        <w:t>磋商供应商授权代表姓名（签字）：</w:t>
      </w:r>
    </w:p>
    <w:p>
      <w:pPr>
        <w:snapToGrid w:val="0"/>
        <w:spacing w:line="500" w:lineRule="exact"/>
        <w:rPr>
          <w:rFonts w:asciiTheme="minorEastAsia" w:hAnsiTheme="minorEastAsia" w:eastAsiaTheme="minorEastAsia" w:cstheme="minorEastAsia"/>
          <w:color w:val="353535"/>
          <w:sz w:val="24"/>
        </w:rPr>
      </w:pPr>
      <w:r>
        <w:rPr>
          <w:rFonts w:hint="eastAsia" w:asciiTheme="minorEastAsia" w:hAnsiTheme="minorEastAsia" w:eastAsiaTheme="minorEastAsia" w:cstheme="minorEastAsia"/>
          <w:color w:val="353535"/>
          <w:sz w:val="24"/>
          <w:lang w:val="zh-CN"/>
        </w:rPr>
        <w:t>磋商供应商名称（公章）：</w:t>
      </w:r>
    </w:p>
    <w:p>
      <w:pPr>
        <w:snapToGrid w:val="0"/>
        <w:spacing w:line="500" w:lineRule="exact"/>
        <w:rPr>
          <w:rFonts w:asciiTheme="minorEastAsia" w:hAnsiTheme="minorEastAsia" w:eastAsiaTheme="minorEastAsia" w:cstheme="minorEastAsia"/>
          <w:color w:val="353535"/>
          <w:sz w:val="24"/>
          <w:lang w:val="zh-CN"/>
        </w:rPr>
      </w:pPr>
      <w:r>
        <w:rPr>
          <w:rFonts w:hint="eastAsia" w:asciiTheme="minorEastAsia" w:hAnsiTheme="minorEastAsia" w:eastAsiaTheme="minorEastAsia" w:cstheme="minorEastAsia"/>
          <w:color w:val="353535"/>
          <w:sz w:val="24"/>
          <w:lang w:val="zh-CN"/>
        </w:rPr>
        <w:t>日    期：       年    月    日</w:t>
      </w:r>
    </w:p>
    <w:p>
      <w:pPr>
        <w:spacing w:line="500" w:lineRule="exact"/>
        <w:outlineLvl w:val="0"/>
        <w:rPr>
          <w:rFonts w:asciiTheme="minorEastAsia" w:hAnsiTheme="minorEastAsia" w:eastAsiaTheme="minorEastAsia" w:cstheme="minorEastAsia"/>
          <w:b/>
          <w:color w:val="353535"/>
          <w:sz w:val="28"/>
          <w:szCs w:val="28"/>
          <w:lang w:val="zh-CN"/>
        </w:rPr>
      </w:pPr>
      <w:r>
        <w:rPr>
          <w:rFonts w:hint="eastAsia" w:asciiTheme="minorEastAsia" w:hAnsiTheme="minorEastAsia" w:eastAsiaTheme="minorEastAsia" w:cstheme="minorEastAsia"/>
          <w:color w:val="353535"/>
          <w:sz w:val="24"/>
          <w:lang w:val="zh-CN"/>
        </w:rPr>
        <w:br w:type="page"/>
      </w:r>
      <w:bookmarkStart w:id="49" w:name="_Toc15605"/>
      <w:r>
        <w:rPr>
          <w:rFonts w:hint="eastAsia" w:asciiTheme="minorEastAsia" w:hAnsiTheme="minorEastAsia" w:eastAsiaTheme="minorEastAsia" w:cstheme="minorEastAsia"/>
          <w:b/>
          <w:color w:val="353535"/>
          <w:sz w:val="28"/>
          <w:szCs w:val="28"/>
          <w:lang w:val="zh-CN"/>
        </w:rPr>
        <w:t>附件</w:t>
      </w:r>
      <w:bookmarkEnd w:id="49"/>
      <w:r>
        <w:rPr>
          <w:rFonts w:hint="eastAsia" w:asciiTheme="minorEastAsia" w:hAnsiTheme="minorEastAsia" w:eastAsiaTheme="minorEastAsia" w:cstheme="minorEastAsia"/>
          <w:b/>
          <w:color w:val="353535"/>
          <w:sz w:val="28"/>
          <w:szCs w:val="28"/>
        </w:rPr>
        <w:t>七</w:t>
      </w:r>
    </w:p>
    <w:p>
      <w:pPr>
        <w:spacing w:line="500" w:lineRule="exact"/>
        <w:ind w:firstLine="281" w:firstLineChars="100"/>
        <w:jc w:val="center"/>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bCs/>
          <w:color w:val="000000"/>
          <w:sz w:val="28"/>
          <w:szCs w:val="28"/>
        </w:rPr>
        <w:t>法定代表人授权书</w:t>
      </w:r>
    </w:p>
    <w:p>
      <w:pPr>
        <w:spacing w:line="500" w:lineRule="exact"/>
        <w:rPr>
          <w:rFonts w:asciiTheme="minorEastAsia" w:hAnsiTheme="minorEastAsia" w:eastAsiaTheme="minorEastAsia" w:cstheme="minorEastAsia"/>
          <w:color w:val="000000"/>
          <w:szCs w:val="21"/>
        </w:rPr>
      </w:pPr>
    </w:p>
    <w:p>
      <w:pPr>
        <w:spacing w:line="500" w:lineRule="exac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353535"/>
          <w:sz w:val="24"/>
          <w:lang w:val="zh-CN"/>
        </w:rPr>
        <w:t>致</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u w:val="single"/>
          <w:lang w:val="zh-CN"/>
        </w:rPr>
        <w:t>龙游石窟风景旅游有限公司</w:t>
      </w:r>
    </w:p>
    <w:p>
      <w:pPr>
        <w:spacing w:line="460" w:lineRule="exact"/>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（磋商响应方全称）法定代表人授权（全权代表姓名）为全权代表，参加贵方组织的</w:t>
      </w:r>
      <w:r>
        <w:rPr>
          <w:rFonts w:hint="eastAsia" w:asciiTheme="minorEastAsia" w:hAnsiTheme="minorEastAsia" w:eastAsiaTheme="minorEastAsia" w:cstheme="minorEastAsia"/>
          <w:color w:val="000000"/>
          <w:sz w:val="24"/>
          <w:u w:val="single"/>
          <w:lang w:val="zh-CN"/>
        </w:rPr>
        <w:t>龙游石窟景区、龙游民居苑景区票务系统新建项目</w:t>
      </w:r>
      <w:r>
        <w:rPr>
          <w:rFonts w:hint="eastAsia" w:asciiTheme="majorEastAsia" w:hAnsiTheme="majorEastAsia" w:eastAsiaTheme="majorEastAsia" w:cstheme="majorEastAsia"/>
          <w:color w:val="000000"/>
          <w:sz w:val="24"/>
          <w:u w:val="single"/>
        </w:rPr>
        <w:t>（项目编号：</w:t>
      </w:r>
      <w:r>
        <w:rPr>
          <w:rFonts w:hint="eastAsia" w:asciiTheme="minorEastAsia" w:hAnsiTheme="minorEastAsia" w:eastAsiaTheme="minorEastAsia" w:cstheme="minorEastAsia"/>
          <w:color w:val="353535"/>
          <w:sz w:val="24"/>
          <w:u w:val="single"/>
          <w:lang w:val="zh-CN"/>
        </w:rPr>
        <w:t>LYBQGC2021-14</w:t>
      </w:r>
      <w:r>
        <w:rPr>
          <w:rFonts w:hint="eastAsia" w:asciiTheme="majorEastAsia" w:hAnsiTheme="majorEastAsia" w:eastAsiaTheme="majorEastAsia" w:cstheme="majorEastAsia"/>
          <w:color w:val="000000"/>
          <w:sz w:val="24"/>
          <w:u w:val="single"/>
        </w:rPr>
        <w:t>）</w:t>
      </w:r>
      <w:r>
        <w:rPr>
          <w:rFonts w:hint="eastAsia" w:asciiTheme="majorEastAsia" w:hAnsiTheme="majorEastAsia" w:eastAsiaTheme="majorEastAsia" w:cstheme="majorEastAsia"/>
          <w:color w:val="000000"/>
          <w:sz w:val="24"/>
        </w:rPr>
        <w:t>采购活动，并全权处理采购活动中的一切事宜。</w:t>
      </w:r>
    </w:p>
    <w:p>
      <w:pPr>
        <w:spacing w:beforeLines="50" w:afterLines="50"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法定代表人签字或盖章：</w:t>
      </w:r>
    </w:p>
    <w:p>
      <w:pPr>
        <w:spacing w:beforeLines="50" w:afterLines="50"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磋商响应方全称（公章）：</w:t>
      </w:r>
    </w:p>
    <w:p>
      <w:pPr>
        <w:spacing w:beforeLines="50" w:afterLines="50"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日  期：</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附：</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授权代表姓名：           性别：</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职务：                   职称：</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详细通讯地址：</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电话：                   传真：</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移动电话：</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邮政编码：</w:t>
      </w:r>
    </w:p>
    <w:p>
      <w:pPr>
        <w:spacing w:line="360" w:lineRule="auto"/>
        <w:rPr>
          <w:rFonts w:asciiTheme="majorEastAsia" w:hAnsiTheme="majorEastAsia" w:eastAsiaTheme="majorEastAsia" w:cstheme="majorEastAsia"/>
          <w:color w:val="000000"/>
          <w:sz w:val="24"/>
        </w:rPr>
      </w:pPr>
    </w:p>
    <w:p>
      <w:pPr>
        <w:spacing w:line="440" w:lineRule="exact"/>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color w:val="000000"/>
          <w:sz w:val="24"/>
        </w:rPr>
        <w:t>法定代表人身份证件复印件</w:t>
      </w:r>
      <w:r>
        <w:rPr>
          <w:rFonts w:hint="eastAsia" w:asciiTheme="majorEastAsia" w:hAnsiTheme="majorEastAsia" w:eastAsiaTheme="majorEastAsia" w:cstheme="majorEastAsia"/>
          <w:bCs/>
          <w:sz w:val="24"/>
        </w:rPr>
        <w:t>：</w:t>
      </w:r>
    </w:p>
    <w:tbl>
      <w:tblPr>
        <w:tblStyle w:val="59"/>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185" w:type="dxa"/>
          </w:tcPr>
          <w:p>
            <w:pPr>
              <w:spacing w:line="440" w:lineRule="exact"/>
              <w:rPr>
                <w:rFonts w:asciiTheme="majorEastAsia" w:hAnsiTheme="majorEastAsia" w:eastAsiaTheme="majorEastAsia" w:cstheme="majorEastAsia"/>
                <w:bCs/>
                <w:sz w:val="24"/>
              </w:rPr>
            </w:pPr>
          </w:p>
          <w:p>
            <w:pPr>
              <w:spacing w:line="440" w:lineRule="exact"/>
              <w:rPr>
                <w:rFonts w:asciiTheme="majorEastAsia" w:hAnsiTheme="majorEastAsia" w:eastAsiaTheme="majorEastAsia" w:cstheme="majorEastAsia"/>
                <w:bCs/>
                <w:sz w:val="24"/>
              </w:rPr>
            </w:pPr>
          </w:p>
        </w:tc>
      </w:tr>
    </w:tbl>
    <w:p>
      <w:pPr>
        <w:spacing w:line="440" w:lineRule="exact"/>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color w:val="000000"/>
          <w:sz w:val="24"/>
        </w:rPr>
        <w:t>被委托人（授权代表)身份证复印件</w:t>
      </w:r>
      <w:r>
        <w:rPr>
          <w:rFonts w:hint="eastAsia" w:asciiTheme="majorEastAsia" w:hAnsiTheme="majorEastAsia" w:eastAsiaTheme="majorEastAsia" w:cstheme="majorEastAsia"/>
          <w:bCs/>
          <w:sz w:val="24"/>
        </w:rPr>
        <w:t>：</w:t>
      </w:r>
    </w:p>
    <w:tbl>
      <w:tblPr>
        <w:tblStyle w:val="59"/>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78" w:type="dxa"/>
          </w:tcPr>
          <w:p>
            <w:pPr>
              <w:spacing w:line="440" w:lineRule="exact"/>
              <w:rPr>
                <w:rFonts w:asciiTheme="majorEastAsia" w:hAnsiTheme="majorEastAsia" w:eastAsiaTheme="majorEastAsia" w:cstheme="majorEastAsia"/>
                <w:bCs/>
                <w:sz w:val="24"/>
              </w:rPr>
            </w:pPr>
          </w:p>
        </w:tc>
      </w:tr>
    </w:tbl>
    <w:p>
      <w:pPr>
        <w:snapToGrid w:val="0"/>
        <w:spacing w:line="500" w:lineRule="exact"/>
        <w:rPr>
          <w:rFonts w:asciiTheme="minorEastAsia" w:hAnsiTheme="minorEastAsia" w:eastAsiaTheme="minorEastAsia" w:cstheme="minorEastAsia"/>
          <w:b/>
          <w:color w:val="353535"/>
          <w:sz w:val="28"/>
          <w:szCs w:val="28"/>
        </w:rPr>
      </w:pPr>
    </w:p>
    <w:p>
      <w:pPr>
        <w:snapToGrid w:val="0"/>
        <w:spacing w:line="500" w:lineRule="exact"/>
        <w:outlineLvl w:val="0"/>
        <w:rPr>
          <w:rFonts w:asciiTheme="minorEastAsia" w:hAnsiTheme="minorEastAsia" w:eastAsiaTheme="minorEastAsia" w:cstheme="minorEastAsia"/>
          <w:b/>
          <w:color w:val="353535"/>
          <w:sz w:val="28"/>
          <w:szCs w:val="28"/>
        </w:rPr>
      </w:pPr>
      <w:bookmarkStart w:id="50" w:name="_Toc4106"/>
    </w:p>
    <w:p>
      <w:pPr>
        <w:snapToGrid w:val="0"/>
        <w:spacing w:line="500" w:lineRule="exact"/>
        <w:outlineLvl w:val="0"/>
        <w:rPr>
          <w:rFonts w:asciiTheme="minorEastAsia" w:hAnsiTheme="minorEastAsia" w:eastAsiaTheme="minorEastAsia" w:cstheme="minorEastAsia"/>
          <w:b/>
          <w:color w:val="353535"/>
          <w:sz w:val="28"/>
          <w:szCs w:val="28"/>
        </w:rPr>
      </w:pPr>
    </w:p>
    <w:p>
      <w:pPr>
        <w:snapToGrid w:val="0"/>
        <w:spacing w:line="500" w:lineRule="exact"/>
        <w:outlineLvl w:val="0"/>
        <w:rPr>
          <w:rFonts w:asciiTheme="minorEastAsia" w:hAnsiTheme="minorEastAsia" w:eastAsiaTheme="minorEastAsia" w:cstheme="minorEastAsia"/>
          <w:b/>
          <w:color w:val="353535"/>
          <w:sz w:val="28"/>
          <w:szCs w:val="28"/>
        </w:rPr>
      </w:pPr>
    </w:p>
    <w:p>
      <w:pPr>
        <w:snapToGrid w:val="0"/>
        <w:spacing w:line="500" w:lineRule="exact"/>
        <w:outlineLvl w:val="0"/>
        <w:rPr>
          <w:rFonts w:asciiTheme="minorEastAsia" w:hAnsiTheme="minorEastAsia" w:eastAsiaTheme="minorEastAsia" w:cstheme="minorEastAsia"/>
          <w:b/>
          <w:color w:val="353535"/>
          <w:sz w:val="28"/>
          <w:szCs w:val="28"/>
        </w:rPr>
      </w:pPr>
      <w:r>
        <w:rPr>
          <w:rFonts w:hint="eastAsia" w:asciiTheme="minorEastAsia" w:hAnsiTheme="minorEastAsia" w:eastAsiaTheme="minorEastAsia" w:cstheme="minorEastAsia"/>
          <w:b/>
          <w:color w:val="353535"/>
          <w:sz w:val="28"/>
          <w:szCs w:val="28"/>
        </w:rPr>
        <w:t>附件</w:t>
      </w:r>
      <w:bookmarkEnd w:id="50"/>
      <w:r>
        <w:rPr>
          <w:rFonts w:hint="eastAsia" w:asciiTheme="minorEastAsia" w:hAnsiTheme="minorEastAsia" w:eastAsiaTheme="minorEastAsia" w:cstheme="minorEastAsia"/>
          <w:b/>
          <w:color w:val="353535"/>
          <w:sz w:val="28"/>
          <w:szCs w:val="28"/>
        </w:rPr>
        <w:t>八</w:t>
      </w:r>
    </w:p>
    <w:p>
      <w:pPr>
        <w:snapToGrid w:val="0"/>
        <w:spacing w:line="500" w:lineRule="exact"/>
        <w:jc w:val="center"/>
        <w:rPr>
          <w:rFonts w:asciiTheme="minorEastAsia" w:hAnsiTheme="minorEastAsia" w:eastAsiaTheme="minorEastAsia" w:cstheme="minorEastAsia"/>
          <w:b/>
          <w:color w:val="353535"/>
          <w:sz w:val="30"/>
          <w:szCs w:val="30"/>
        </w:rPr>
      </w:pPr>
      <w:r>
        <w:rPr>
          <w:rFonts w:hint="eastAsia" w:asciiTheme="minorEastAsia" w:hAnsiTheme="minorEastAsia" w:eastAsiaTheme="minorEastAsia" w:cstheme="minorEastAsia"/>
          <w:b/>
          <w:color w:val="353535"/>
          <w:sz w:val="30"/>
          <w:szCs w:val="30"/>
        </w:rPr>
        <w:t>资格声明函</w:t>
      </w:r>
    </w:p>
    <w:p>
      <w:pPr>
        <w:tabs>
          <w:tab w:val="left" w:pos="1824"/>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基本情况</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供应商名称：</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地   址：电  话：</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成立和注册日期：</w:t>
      </w:r>
      <w:r>
        <w:rPr>
          <w:rFonts w:hint="eastAsia" w:asciiTheme="minorEastAsia" w:hAnsiTheme="minorEastAsia" w:eastAsiaTheme="minorEastAsia" w:cstheme="minorEastAsia"/>
          <w:sz w:val="24"/>
          <w:u w:val="single"/>
          <w:lang w:val="zh-CN"/>
        </w:rPr>
        <w:t xml:space="preserve">             　</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主管部门：</w:t>
      </w:r>
      <w:r>
        <w:rPr>
          <w:rFonts w:hint="eastAsia" w:asciiTheme="minorEastAsia" w:hAnsiTheme="minorEastAsia" w:eastAsiaTheme="minorEastAsia" w:cstheme="minorEastAsia"/>
          <w:sz w:val="24"/>
          <w:u w:val="single"/>
          <w:lang w:val="zh-CN"/>
        </w:rPr>
        <w:t xml:space="preserve">                   　</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公司性质：</w:t>
      </w:r>
      <w:r>
        <w:rPr>
          <w:rFonts w:hint="eastAsia" w:asciiTheme="minorEastAsia" w:hAnsiTheme="minorEastAsia" w:eastAsiaTheme="minorEastAsia" w:cstheme="minorEastAsia"/>
          <w:sz w:val="24"/>
          <w:u w:val="single"/>
          <w:lang w:val="zh-CN"/>
        </w:rPr>
        <w:t xml:space="preserve">                  　 </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主要负责人：</w:t>
      </w:r>
      <w:r>
        <w:rPr>
          <w:rFonts w:hint="eastAsia" w:asciiTheme="minorEastAsia" w:hAnsiTheme="minorEastAsia" w:eastAsiaTheme="minorEastAsia" w:cstheme="minorEastAsia"/>
          <w:sz w:val="24"/>
          <w:u w:val="single"/>
          <w:lang w:val="zh-CN"/>
        </w:rPr>
        <w:t xml:space="preserve">             　　　</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职工人数：(其中:技术人员)</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最近公司(企业)的主要财务情况（到</w:t>
      </w:r>
      <w:r>
        <w:rPr>
          <w:rFonts w:hint="eastAsia" w:asciiTheme="minorEastAsia" w:hAnsiTheme="minorEastAsia" w:eastAsiaTheme="minorEastAsia" w:cstheme="minorEastAsia"/>
          <w:b/>
          <w:bCs/>
          <w:sz w:val="24"/>
          <w:lang w:val="zh-CN"/>
        </w:rPr>
        <w:t>20</w:t>
      </w:r>
      <w:r>
        <w:rPr>
          <w:rFonts w:hint="eastAsia" w:asciiTheme="minorEastAsia" w:hAnsiTheme="minorEastAsia" w:eastAsiaTheme="minorEastAsia" w:cstheme="minorEastAsia"/>
          <w:b/>
          <w:bCs/>
          <w:sz w:val="24"/>
        </w:rPr>
        <w:t>21</w:t>
      </w:r>
      <w:r>
        <w:rPr>
          <w:rFonts w:hint="eastAsia" w:asciiTheme="minorEastAsia" w:hAnsiTheme="minorEastAsia" w:eastAsiaTheme="minorEastAsia" w:cstheme="minorEastAsia"/>
          <w:b/>
          <w:bCs/>
          <w:sz w:val="24"/>
          <w:lang w:val="zh-CN"/>
        </w:rPr>
        <w:t>年</w:t>
      </w:r>
      <w:r>
        <w:rPr>
          <w:rFonts w:hint="eastAsia" w:asciiTheme="minorEastAsia" w:hAnsiTheme="minorEastAsia" w:eastAsiaTheme="minorEastAsia" w:cstheme="minorEastAsia"/>
          <w:b/>
          <w:bCs/>
          <w:sz w:val="24"/>
        </w:rPr>
        <w:t>3</w:t>
      </w:r>
      <w:r>
        <w:rPr>
          <w:rFonts w:hint="eastAsia" w:asciiTheme="minorEastAsia" w:hAnsiTheme="minorEastAsia" w:eastAsiaTheme="minorEastAsia" w:cstheme="minorEastAsia"/>
          <w:b/>
          <w:bCs/>
          <w:sz w:val="24"/>
          <w:lang w:val="zh-CN"/>
        </w:rPr>
        <w:t>月3</w:t>
      </w:r>
      <w:r>
        <w:rPr>
          <w:rFonts w:hint="eastAsia" w:asciiTheme="minorEastAsia" w:hAnsiTheme="minorEastAsia" w:eastAsiaTheme="minorEastAsia" w:cstheme="minorEastAsia"/>
          <w:b/>
          <w:bCs/>
          <w:sz w:val="24"/>
        </w:rPr>
        <w:t>1</w:t>
      </w:r>
      <w:r>
        <w:rPr>
          <w:rFonts w:hint="eastAsia" w:asciiTheme="minorEastAsia" w:hAnsiTheme="minorEastAsia" w:eastAsiaTheme="minorEastAsia" w:cstheme="minorEastAsia"/>
          <w:b/>
          <w:bCs/>
          <w:sz w:val="24"/>
          <w:lang w:val="zh-CN"/>
        </w:rPr>
        <w:t>日</w:t>
      </w:r>
      <w:r>
        <w:rPr>
          <w:rFonts w:hint="eastAsia" w:asciiTheme="minorEastAsia" w:hAnsiTheme="minorEastAsia" w:eastAsiaTheme="minorEastAsia" w:cstheme="minorEastAsia"/>
          <w:sz w:val="24"/>
          <w:lang w:val="zh-CN"/>
        </w:rPr>
        <w:t>止）</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注册资金：</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固定资产：</w:t>
      </w:r>
    </w:p>
    <w:p>
      <w:pPr>
        <w:autoSpaceDE w:val="0"/>
        <w:autoSpaceDN w:val="0"/>
        <w:adjustRightInd w:val="0"/>
        <w:spacing w:line="500" w:lineRule="exact"/>
        <w:ind w:firstLine="480" w:firstLineChars="200"/>
        <w:rPr>
          <w:rFonts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lang w:val="zh-CN"/>
        </w:rPr>
        <w:t>原值：</w:t>
      </w:r>
    </w:p>
    <w:p>
      <w:pPr>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净值：</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流动资产：</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长期负债：</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短期负债：</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营业收入/主营业务收入：</w:t>
      </w:r>
    </w:p>
    <w:p>
      <w:pPr>
        <w:tabs>
          <w:tab w:val="left" w:pos="840"/>
        </w:tabs>
        <w:autoSpaceDE w:val="0"/>
        <w:autoSpaceDN w:val="0"/>
        <w:adjustRightInd w:val="0"/>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利润：</w:t>
      </w:r>
    </w:p>
    <w:p>
      <w:pPr>
        <w:autoSpaceDE w:val="0"/>
        <w:autoSpaceDN w:val="0"/>
        <w:adjustRightInd w:val="0"/>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 xml:space="preserve">  2、最近二年的年度总营业额：</w:t>
      </w:r>
    </w:p>
    <w:p>
      <w:pPr>
        <w:autoSpaceDE w:val="0"/>
        <w:autoSpaceDN w:val="0"/>
        <w:adjustRightInd w:val="0"/>
        <w:spacing w:line="50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val="zh-CN"/>
        </w:rPr>
        <w:t xml:space="preserve">    年   份    总  额</w:t>
      </w:r>
    </w:p>
    <w:p>
      <w:pPr>
        <w:autoSpaceDE w:val="0"/>
        <w:autoSpaceDN w:val="0"/>
        <w:adjustRightInd w:val="0"/>
        <w:spacing w:line="500" w:lineRule="exact"/>
        <w:ind w:firstLine="480" w:firstLineChars="200"/>
        <w:rPr>
          <w:rFonts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u w:val="single"/>
          <w:lang w:val="zh-CN"/>
        </w:rPr>
        <w:t>201</w:t>
      </w:r>
      <w:r>
        <w:rPr>
          <w:rFonts w:hint="eastAsia" w:asciiTheme="minorEastAsia" w:hAnsiTheme="minorEastAsia" w:eastAsiaTheme="minorEastAsia" w:cstheme="minorEastAsia"/>
          <w:sz w:val="24"/>
          <w:u w:val="single"/>
        </w:rPr>
        <w:t>9</w:t>
      </w:r>
      <w:r>
        <w:rPr>
          <w:rFonts w:hint="eastAsia" w:asciiTheme="minorEastAsia" w:hAnsiTheme="minorEastAsia" w:eastAsiaTheme="minorEastAsia" w:cstheme="minorEastAsia"/>
          <w:sz w:val="24"/>
          <w:u w:val="single"/>
          <w:lang w:val="zh-CN"/>
        </w:rPr>
        <w:t>年</w:t>
      </w:r>
    </w:p>
    <w:p>
      <w:pPr>
        <w:autoSpaceDE w:val="0"/>
        <w:autoSpaceDN w:val="0"/>
        <w:adjustRightInd w:val="0"/>
        <w:spacing w:line="500" w:lineRule="exact"/>
        <w:ind w:firstLine="480" w:firstLineChars="200"/>
        <w:rPr>
          <w:rFonts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u w:val="single"/>
          <w:lang w:val="zh-CN"/>
        </w:rPr>
        <w:t>20</w:t>
      </w:r>
      <w:r>
        <w:rPr>
          <w:rFonts w:hint="eastAsia" w:asciiTheme="minorEastAsia" w:hAnsiTheme="minorEastAsia" w:eastAsiaTheme="minorEastAsia" w:cstheme="minorEastAsia"/>
          <w:sz w:val="24"/>
          <w:u w:val="single"/>
        </w:rPr>
        <w:t>20</w:t>
      </w:r>
      <w:r>
        <w:rPr>
          <w:rFonts w:hint="eastAsia" w:asciiTheme="minorEastAsia" w:hAnsiTheme="minorEastAsia" w:eastAsiaTheme="minorEastAsia" w:cstheme="minorEastAsia"/>
          <w:sz w:val="24"/>
          <w:u w:val="single"/>
          <w:lang w:val="zh-CN"/>
        </w:rPr>
        <w:t>年</w:t>
      </w:r>
    </w:p>
    <w:p>
      <w:pPr>
        <w:autoSpaceDE w:val="0"/>
        <w:autoSpaceDN w:val="0"/>
        <w:adjustRightInd w:val="0"/>
        <w:spacing w:line="500" w:lineRule="exact"/>
        <w:ind w:firstLine="24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3、最近二年与其他客户签订的较大项目合同：</w:t>
      </w:r>
    </w:p>
    <w:p>
      <w:pPr>
        <w:autoSpaceDE w:val="0"/>
        <w:autoSpaceDN w:val="0"/>
        <w:adjustRightInd w:val="0"/>
        <w:spacing w:line="500" w:lineRule="exact"/>
        <w:ind w:left="420" w:left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val="zh-CN"/>
        </w:rPr>
        <w:t>项目名称      地   址    　时  间  　金额(人民币元)</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u w:val="single"/>
          <w:lang w:val="zh-CN"/>
        </w:rPr>
        <w:t xml:space="preserve">             　</w:t>
      </w:r>
    </w:p>
    <w:p>
      <w:pPr>
        <w:autoSpaceDE w:val="0"/>
        <w:autoSpaceDN w:val="0"/>
        <w:adjustRightInd w:val="0"/>
        <w:spacing w:line="500" w:lineRule="exact"/>
        <w:ind w:left="210" w:left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4、供应商最近二年法律纠纷情况</w:t>
      </w:r>
    </w:p>
    <w:p>
      <w:pPr>
        <w:autoSpaceDE w:val="0"/>
        <w:autoSpaceDN w:val="0"/>
        <w:adjustRightInd w:val="0"/>
        <w:spacing w:line="500" w:lineRule="exact"/>
        <w:ind w:left="210" w:leftChars="100" w:firstLine="240" w:firstLineChars="100"/>
        <w:rPr>
          <w:rFonts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lang w:val="zh-CN"/>
        </w:rPr>
        <w:t>时间     案由    涉及金额     目前办理情况</w:t>
      </w:r>
      <w:r>
        <w:rPr>
          <w:rFonts w:hint="eastAsia" w:asciiTheme="minorEastAsia" w:hAnsiTheme="minorEastAsia" w:eastAsiaTheme="minorEastAsia" w:cstheme="minorEastAsia"/>
          <w:sz w:val="24"/>
        </w:rPr>
        <w:br w:type="textWrapping"/>
      </w:r>
    </w:p>
    <w:p>
      <w:pPr>
        <w:autoSpaceDE w:val="0"/>
        <w:autoSpaceDN w:val="0"/>
        <w:adjustRightInd w:val="0"/>
        <w:spacing w:line="500" w:lineRule="exact"/>
        <w:ind w:firstLine="24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5、有关银行的名称和地址：</w:t>
      </w:r>
    </w:p>
    <w:p>
      <w:pPr>
        <w:autoSpaceDE w:val="0"/>
        <w:autoSpaceDN w:val="0"/>
        <w:adjustRightInd w:val="0"/>
        <w:spacing w:line="500" w:lineRule="exact"/>
        <w:ind w:firstLine="24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6、其他情况：</w:t>
      </w:r>
    </w:p>
    <w:p>
      <w:pPr>
        <w:autoSpaceDE w:val="0"/>
        <w:autoSpaceDN w:val="0"/>
        <w:adjustRightInd w:val="0"/>
        <w:spacing w:line="5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就我们所知，兹证明上述声明是真实的、正确的，并提供了全部能提供资料和数据，我们同意遵照贵方要求出示此证明文件。</w:t>
      </w:r>
    </w:p>
    <w:p>
      <w:pPr>
        <w:autoSpaceDE w:val="0"/>
        <w:autoSpaceDN w:val="0"/>
        <w:adjustRightInd w:val="0"/>
        <w:spacing w:line="500" w:lineRule="exact"/>
        <w:ind w:firstLine="480"/>
        <w:rPr>
          <w:rFonts w:asciiTheme="minorEastAsia" w:hAnsiTheme="minorEastAsia" w:eastAsiaTheme="minorEastAsia" w:cstheme="minorEastAsia"/>
          <w:sz w:val="24"/>
        </w:rPr>
      </w:pPr>
    </w:p>
    <w:p>
      <w:pPr>
        <w:autoSpaceDE w:val="0"/>
        <w:autoSpaceDN w:val="0"/>
        <w:adjustRightInd w:val="0"/>
        <w:spacing w:line="500" w:lineRule="exact"/>
        <w:ind w:firstLine="480"/>
        <w:rPr>
          <w:rFonts w:asciiTheme="minorEastAsia" w:hAnsiTheme="minorEastAsia" w:eastAsiaTheme="minorEastAsia" w:cstheme="minorEastAsia"/>
          <w:sz w:val="24"/>
        </w:rPr>
      </w:pPr>
    </w:p>
    <w:p>
      <w:pPr>
        <w:autoSpaceDE w:val="0"/>
        <w:autoSpaceDN w:val="0"/>
        <w:adjustRightInd w:val="0"/>
        <w:spacing w:line="500" w:lineRule="exact"/>
        <w:ind w:firstLine="480"/>
        <w:rPr>
          <w:rFonts w:asciiTheme="minorEastAsia" w:hAnsiTheme="minorEastAsia" w:eastAsiaTheme="minorEastAsia" w:cstheme="minorEastAsia"/>
          <w:sz w:val="24"/>
        </w:rPr>
      </w:pPr>
    </w:p>
    <w:p>
      <w:pPr>
        <w:autoSpaceDE w:val="0"/>
        <w:autoSpaceDN w:val="0"/>
        <w:adjustRightInd w:val="0"/>
        <w:spacing w:line="5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日期</w:t>
      </w:r>
      <w:r>
        <w:rPr>
          <w:rFonts w:hint="eastAsia" w:asciiTheme="minorEastAsia" w:hAnsiTheme="minorEastAsia" w:eastAsiaTheme="minorEastAsia" w:cstheme="minorEastAsia"/>
          <w:sz w:val="24"/>
        </w:rPr>
        <w:t>：</w:t>
      </w:r>
    </w:p>
    <w:p>
      <w:pPr>
        <w:autoSpaceDE w:val="0"/>
        <w:autoSpaceDN w:val="0"/>
        <w:adjustRightInd w:val="0"/>
        <w:spacing w:line="5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授权代表签字：</w:t>
      </w:r>
    </w:p>
    <w:p>
      <w:pPr>
        <w:autoSpaceDE w:val="0"/>
        <w:autoSpaceDN w:val="0"/>
        <w:adjustRightInd w:val="0"/>
        <w:spacing w:line="5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授权代表的印刷字体姓名：</w:t>
      </w:r>
    </w:p>
    <w:p>
      <w:pPr>
        <w:autoSpaceDE w:val="0"/>
        <w:autoSpaceDN w:val="0"/>
        <w:adjustRightInd w:val="0"/>
        <w:spacing w:line="5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授权代表的职务：</w:t>
      </w:r>
    </w:p>
    <w:p>
      <w:pPr>
        <w:autoSpaceDE w:val="0"/>
        <w:autoSpaceDN w:val="0"/>
        <w:adjustRightInd w:val="0"/>
        <w:spacing w:line="5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电话号和传真号：</w:t>
      </w:r>
    </w:p>
    <w:p>
      <w:pPr>
        <w:autoSpaceDE w:val="0"/>
        <w:autoSpaceDN w:val="0"/>
        <w:adjustRightInd w:val="0"/>
        <w:spacing w:line="5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lang w:val="zh-CN"/>
        </w:rPr>
        <w:t>公章</w:t>
      </w:r>
      <w:r>
        <w:rPr>
          <w:rFonts w:hint="eastAsia" w:asciiTheme="minorEastAsia" w:hAnsiTheme="minorEastAsia" w:eastAsiaTheme="minorEastAsia" w:cstheme="minorEastAsia"/>
          <w:sz w:val="24"/>
        </w:rPr>
        <w:t>：</w:t>
      </w:r>
    </w:p>
    <w:p>
      <w:pPr>
        <w:autoSpaceDE w:val="0"/>
        <w:autoSpaceDN w:val="0"/>
        <w:adjustRightInd w:val="0"/>
        <w:spacing w:line="500" w:lineRule="exact"/>
        <w:rPr>
          <w:rFonts w:asciiTheme="minorEastAsia" w:hAnsiTheme="minorEastAsia" w:eastAsiaTheme="minorEastAsia" w:cstheme="minorEastAsia"/>
          <w:sz w:val="24"/>
          <w:u w:val="single"/>
        </w:rPr>
      </w:pPr>
    </w:p>
    <w:p>
      <w:pPr>
        <w:spacing w:line="500" w:lineRule="exact"/>
        <w:jc w:val="center"/>
        <w:rPr>
          <w:rFonts w:asciiTheme="minorEastAsia" w:hAnsiTheme="minorEastAsia" w:eastAsiaTheme="minorEastAsia" w:cstheme="minorEastAsia"/>
          <w:b/>
          <w:color w:val="353535"/>
          <w:sz w:val="24"/>
        </w:rPr>
      </w:pPr>
    </w:p>
    <w:p>
      <w:pPr>
        <w:spacing w:line="500" w:lineRule="exact"/>
        <w:jc w:val="center"/>
        <w:rPr>
          <w:rFonts w:asciiTheme="minorEastAsia" w:hAnsiTheme="minorEastAsia" w:eastAsiaTheme="minorEastAsia" w:cstheme="minorEastAsia"/>
          <w:b/>
          <w:color w:val="353535"/>
          <w:sz w:val="24"/>
        </w:rPr>
      </w:pPr>
    </w:p>
    <w:p>
      <w:pPr>
        <w:spacing w:line="500" w:lineRule="exact"/>
        <w:jc w:val="center"/>
        <w:rPr>
          <w:rFonts w:asciiTheme="minorEastAsia" w:hAnsiTheme="minorEastAsia" w:eastAsiaTheme="minorEastAsia" w:cstheme="minorEastAsia"/>
          <w:b/>
          <w:color w:val="353535"/>
          <w:sz w:val="24"/>
        </w:rPr>
      </w:pPr>
    </w:p>
    <w:p>
      <w:pPr>
        <w:spacing w:line="500" w:lineRule="exact"/>
        <w:jc w:val="center"/>
        <w:rPr>
          <w:rFonts w:asciiTheme="minorEastAsia" w:hAnsiTheme="minorEastAsia" w:eastAsiaTheme="minorEastAsia" w:cstheme="minorEastAsia"/>
          <w:b/>
          <w:color w:val="353535"/>
          <w:sz w:val="24"/>
        </w:rPr>
      </w:pPr>
    </w:p>
    <w:p>
      <w:pPr>
        <w:spacing w:line="500" w:lineRule="exact"/>
        <w:jc w:val="center"/>
        <w:rPr>
          <w:rFonts w:asciiTheme="minorEastAsia" w:hAnsiTheme="minorEastAsia" w:eastAsiaTheme="minorEastAsia" w:cstheme="minorEastAsia"/>
          <w:b/>
          <w:color w:val="353535"/>
          <w:sz w:val="24"/>
        </w:rPr>
      </w:pPr>
    </w:p>
    <w:p>
      <w:pPr>
        <w:spacing w:line="500" w:lineRule="exact"/>
        <w:jc w:val="center"/>
        <w:rPr>
          <w:rFonts w:asciiTheme="minorEastAsia" w:hAnsiTheme="minorEastAsia" w:eastAsiaTheme="minorEastAsia" w:cstheme="minorEastAsia"/>
          <w:b/>
          <w:color w:val="353535"/>
          <w:szCs w:val="21"/>
        </w:rPr>
      </w:pPr>
    </w:p>
    <w:p>
      <w:pPr>
        <w:rPr>
          <w:rFonts w:asciiTheme="minorEastAsia" w:hAnsiTheme="minorEastAsia" w:eastAsiaTheme="minorEastAsia" w:cstheme="minorEastAsia"/>
          <w:b/>
          <w:color w:val="353535"/>
          <w:szCs w:val="21"/>
        </w:rPr>
      </w:pPr>
    </w:p>
    <w:p>
      <w:pPr>
        <w:pStyle w:val="5"/>
        <w:numPr>
          <w:ilvl w:val="2"/>
          <w:numId w:val="0"/>
        </w:numPr>
        <w:ind w:left="851"/>
        <w:rPr>
          <w:rFonts w:asciiTheme="minorEastAsia" w:hAnsiTheme="minorEastAsia" w:eastAsiaTheme="minorEastAsia" w:cstheme="minorEastAsia"/>
          <w:color w:val="353535"/>
          <w:szCs w:val="21"/>
        </w:rPr>
      </w:pPr>
    </w:p>
    <w:p>
      <w:pPr>
        <w:rPr>
          <w:rFonts w:asciiTheme="minorEastAsia" w:hAnsiTheme="minorEastAsia" w:eastAsiaTheme="minorEastAsia" w:cstheme="minorEastAsia"/>
          <w:b/>
          <w:color w:val="353535"/>
          <w:szCs w:val="21"/>
        </w:rPr>
      </w:pPr>
    </w:p>
    <w:p>
      <w:pPr>
        <w:pStyle w:val="183"/>
        <w:spacing w:before="0" w:beforeAutospacing="0" w:after="0" w:afterAutospacing="0" w:line="500" w:lineRule="exact"/>
        <w:outlineLvl w:val="0"/>
        <w:rPr>
          <w:rFonts w:asciiTheme="minorEastAsia" w:hAnsiTheme="minorEastAsia" w:eastAsiaTheme="minorEastAsia" w:cstheme="minorEastAsia"/>
          <w:b/>
          <w:color w:val="000000"/>
          <w:kern w:val="2"/>
          <w:sz w:val="28"/>
          <w:szCs w:val="28"/>
        </w:rPr>
      </w:pPr>
      <w:bookmarkStart w:id="51" w:name="_Toc30878"/>
    </w:p>
    <w:p>
      <w:pPr>
        <w:pStyle w:val="183"/>
        <w:spacing w:before="0" w:beforeAutospacing="0" w:after="0" w:afterAutospacing="0" w:line="500" w:lineRule="exact"/>
        <w:outlineLvl w:val="0"/>
        <w:rPr>
          <w:rFonts w:asciiTheme="minorEastAsia" w:hAnsiTheme="minorEastAsia" w:eastAsiaTheme="minorEastAsia" w:cstheme="minorEastAsia"/>
          <w:b/>
          <w:color w:val="000000"/>
          <w:kern w:val="2"/>
          <w:sz w:val="28"/>
          <w:szCs w:val="28"/>
        </w:rPr>
      </w:pPr>
      <w:r>
        <w:rPr>
          <w:rFonts w:hint="eastAsia" w:asciiTheme="minorEastAsia" w:hAnsiTheme="minorEastAsia" w:eastAsiaTheme="minorEastAsia" w:cstheme="minorEastAsia"/>
          <w:b/>
          <w:color w:val="000000"/>
          <w:kern w:val="2"/>
          <w:sz w:val="28"/>
          <w:szCs w:val="28"/>
        </w:rPr>
        <w:t>附件</w:t>
      </w:r>
      <w:bookmarkEnd w:id="51"/>
      <w:r>
        <w:rPr>
          <w:rFonts w:hint="eastAsia" w:asciiTheme="minorEastAsia" w:hAnsiTheme="minorEastAsia" w:eastAsiaTheme="minorEastAsia" w:cstheme="minorEastAsia"/>
          <w:b/>
          <w:color w:val="000000"/>
          <w:kern w:val="2"/>
          <w:sz w:val="28"/>
          <w:szCs w:val="28"/>
        </w:rPr>
        <w:t>九</w:t>
      </w:r>
    </w:p>
    <w:p>
      <w:pPr>
        <w:pStyle w:val="183"/>
        <w:spacing w:before="0" w:beforeAutospacing="0" w:after="0" w:afterAutospacing="0" w:line="500" w:lineRule="exact"/>
        <w:jc w:val="center"/>
        <w:rPr>
          <w:rFonts w:asciiTheme="minorEastAsia" w:hAnsiTheme="minorEastAsia" w:eastAsiaTheme="minorEastAsia" w:cstheme="minorEastAsia"/>
          <w:bCs/>
          <w:color w:val="000000"/>
          <w:kern w:val="2"/>
          <w:sz w:val="28"/>
          <w:szCs w:val="28"/>
        </w:rPr>
      </w:pPr>
      <w:r>
        <w:rPr>
          <w:rFonts w:hint="eastAsia" w:asciiTheme="minorEastAsia" w:hAnsiTheme="minorEastAsia" w:eastAsiaTheme="minorEastAsia" w:cstheme="minorEastAsia"/>
          <w:b/>
          <w:color w:val="000000"/>
          <w:kern w:val="2"/>
          <w:sz w:val="28"/>
          <w:szCs w:val="28"/>
        </w:rPr>
        <w:t>近三年内，在经营活动中没有重大违法记录的承诺书</w:t>
      </w:r>
    </w:p>
    <w:p>
      <w:pPr>
        <w:pStyle w:val="183"/>
        <w:spacing w:before="0" w:beforeAutospacing="0" w:after="0" w:afterAutospacing="0" w:line="500" w:lineRule="exact"/>
        <w:ind w:firstLine="105" w:firstLineChars="50"/>
        <w:rPr>
          <w:rFonts w:asciiTheme="minorEastAsia" w:hAnsiTheme="minorEastAsia" w:eastAsiaTheme="minorEastAsia" w:cstheme="minorEastAsia"/>
          <w:sz w:val="21"/>
          <w:szCs w:val="21"/>
        </w:rPr>
      </w:pPr>
    </w:p>
    <w:p>
      <w:pPr>
        <w:pStyle w:val="183"/>
        <w:spacing w:before="0" w:beforeAutospacing="0" w:after="0" w:afterAutospacing="0" w:line="360" w:lineRule="auto"/>
        <w:rPr>
          <w:rFonts w:asciiTheme="majorEastAsia" w:hAnsiTheme="majorEastAsia" w:eastAsiaTheme="majorEastAsia" w:cstheme="majorEastAsia"/>
        </w:rPr>
      </w:pPr>
      <w:r>
        <w:rPr>
          <w:rFonts w:hint="eastAsia" w:asciiTheme="minorEastAsia" w:hAnsiTheme="minorEastAsia" w:eastAsiaTheme="minorEastAsia" w:cstheme="minorEastAsia"/>
        </w:rPr>
        <w:t>致</w:t>
      </w:r>
      <w:r>
        <w:rPr>
          <w:rFonts w:hint="eastAsia" w:asciiTheme="majorEastAsia" w:hAnsiTheme="majorEastAsia" w:eastAsiaTheme="majorEastAsia" w:cstheme="majorEastAsia"/>
          <w:lang w:val="zh-CN"/>
        </w:rPr>
        <w:t>龙游石窟风景旅游有限公司</w:t>
      </w:r>
      <w:r>
        <w:rPr>
          <w:rFonts w:hint="eastAsia" w:asciiTheme="majorEastAsia" w:hAnsiTheme="majorEastAsia" w:eastAsiaTheme="majorEastAsia" w:cstheme="majorEastAsia"/>
        </w:rPr>
        <w:t>：</w:t>
      </w:r>
    </w:p>
    <w:p>
      <w:pPr>
        <w:pStyle w:val="185"/>
        <w:spacing w:before="0" w:beforeAutospacing="0" w:after="0" w:afterAutospacing="0" w:line="360" w:lineRule="auto"/>
        <w:rPr>
          <w:rFonts w:asciiTheme="majorEastAsia" w:hAnsiTheme="majorEastAsia" w:eastAsiaTheme="majorEastAsia" w:cstheme="majorEastAsia"/>
        </w:rPr>
      </w:pPr>
      <w:r>
        <w:rPr>
          <w:rFonts w:hint="eastAsia" w:asciiTheme="minorEastAsia" w:hAnsiTheme="minorEastAsia" w:eastAsiaTheme="minorEastAsia" w:cstheme="minorEastAsia"/>
        </w:rPr>
        <w:t>  </w:t>
      </w:r>
      <w:r>
        <w:rPr>
          <w:rFonts w:hint="eastAsia" w:asciiTheme="majorEastAsia" w:hAnsiTheme="majorEastAsia" w:eastAsiaTheme="majorEastAsia" w:cstheme="majorEastAsia"/>
        </w:rPr>
        <w:t>我单位近三年内，在经营活动中没有重大违法记录，特此承诺如下：</w:t>
      </w:r>
    </w:p>
    <w:p>
      <w:pPr>
        <w:spacing w:line="4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若采购单位在本项目</w:t>
      </w:r>
      <w:r>
        <w:rPr>
          <w:rFonts w:hint="eastAsia" w:asciiTheme="minorEastAsia" w:hAnsiTheme="minorEastAsia" w:eastAsiaTheme="minorEastAsia" w:cstheme="minorEastAsia"/>
          <w:color w:val="000000"/>
          <w:sz w:val="24"/>
          <w:u w:val="single"/>
          <w:lang w:val="zh-CN"/>
        </w:rPr>
        <w:t>龙游石窟景区、龙游民居苑景区票务系统新建项目</w:t>
      </w:r>
      <w:r>
        <w:rPr>
          <w:rFonts w:hint="eastAsia" w:asciiTheme="majorEastAsia" w:hAnsiTheme="majorEastAsia" w:eastAsiaTheme="majorEastAsia" w:cstheme="majorEastAsia"/>
          <w:color w:val="000000"/>
          <w:sz w:val="24"/>
          <w:u w:val="single"/>
        </w:rPr>
        <w:t>（项目编号：</w:t>
      </w:r>
      <w:r>
        <w:rPr>
          <w:rFonts w:hint="eastAsia" w:asciiTheme="minorEastAsia" w:hAnsiTheme="minorEastAsia" w:eastAsiaTheme="minorEastAsia" w:cstheme="minorEastAsia"/>
          <w:color w:val="353535"/>
          <w:sz w:val="24"/>
          <w:u w:val="single"/>
          <w:lang w:val="zh-CN"/>
        </w:rPr>
        <w:t>LYBQGC2021-14</w:t>
      </w:r>
      <w:r>
        <w:rPr>
          <w:rFonts w:hint="eastAsia" w:asciiTheme="majorEastAsia" w:hAnsiTheme="majorEastAsia" w:eastAsiaTheme="majorEastAsia" w:cstheme="majorEastAsia"/>
          <w:color w:val="000000"/>
          <w:sz w:val="24"/>
          <w:u w:val="single"/>
        </w:rPr>
        <w:t>）</w:t>
      </w:r>
      <w:r>
        <w:rPr>
          <w:rFonts w:hint="eastAsia" w:asciiTheme="majorEastAsia" w:hAnsiTheme="majorEastAsia" w:eastAsiaTheme="majorEastAsia" w:cstheme="majorEastAsia"/>
          <w:sz w:val="24"/>
        </w:rPr>
        <w:t>采购过程中发现我单位近三年内在经营活动中有重大违法记录，我单位将无条件地退出本项目的采购活动，并承担因此引起的一切后果。时间为开标之日起往前推三年。</w:t>
      </w:r>
    </w:p>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我单位经事先主动查询，没有被</w:t>
      </w:r>
      <w:r>
        <w:rPr>
          <w:rFonts w:hint="eastAsia" w:asciiTheme="majorEastAsia" w:hAnsiTheme="majorEastAsia" w:eastAsiaTheme="majorEastAsia" w:cstheme="majorEastAsia"/>
          <w:b/>
          <w:bCs/>
          <w:sz w:val="24"/>
        </w:rPr>
        <w:t>“信用中国”网站（www.creditchina.gov.vn）</w:t>
      </w:r>
      <w:r>
        <w:rPr>
          <w:rFonts w:hint="eastAsia" w:asciiTheme="majorEastAsia" w:hAnsiTheme="majorEastAsia" w:eastAsiaTheme="majorEastAsia" w:cstheme="majorEastAsia"/>
          <w:sz w:val="24"/>
        </w:rPr>
        <w:t>列入失信被执行人、重大税收违法案件当事人名单、政府采购严重违法失信名单；在投标截止之日至前三年内，没有在</w:t>
      </w:r>
      <w:r>
        <w:rPr>
          <w:rFonts w:hint="eastAsia" w:asciiTheme="majorEastAsia" w:hAnsiTheme="majorEastAsia" w:eastAsiaTheme="majorEastAsia" w:cstheme="majorEastAsia"/>
          <w:b/>
          <w:bCs/>
          <w:sz w:val="24"/>
        </w:rPr>
        <w:t>“中国政府采购网”(www.ccgp.gov.cn)</w:t>
      </w:r>
      <w:r>
        <w:rPr>
          <w:rFonts w:hint="eastAsia" w:asciiTheme="majorEastAsia" w:hAnsiTheme="majorEastAsia" w:eastAsiaTheme="majorEastAsia" w:cstheme="majorEastAsia"/>
          <w:sz w:val="24"/>
        </w:rPr>
        <w:t>列入政府采购严重违法失信行为记录名单中的且在处罚有效期内的；在投标截止之日至前三年内，没有在</w:t>
      </w:r>
      <w:r>
        <w:rPr>
          <w:rFonts w:hint="eastAsia" w:asciiTheme="majorEastAsia" w:hAnsiTheme="majorEastAsia" w:eastAsiaTheme="majorEastAsia" w:cstheme="majorEastAsia"/>
          <w:b/>
          <w:bCs/>
          <w:sz w:val="24"/>
        </w:rPr>
        <w:t>“浙江政府采购网”（www.zjzfcg.gov.cn）“曝光台”</w:t>
      </w:r>
      <w:r>
        <w:rPr>
          <w:rFonts w:hint="eastAsia" w:asciiTheme="majorEastAsia" w:hAnsiTheme="majorEastAsia" w:eastAsiaTheme="majorEastAsia" w:cstheme="majorEastAsia"/>
          <w:sz w:val="24"/>
        </w:rPr>
        <w:t>中被曝光且在处罚有效期内的。我公司承诺以开标当日网页查询记录为准，如开标当日查询记录有存在上述不良记录，我单位无条件地退出本项目的采购活动（包括已中标），并承担因此引起的一切后果。</w:t>
      </w:r>
    </w:p>
    <w:p>
      <w:pPr>
        <w:spacing w:line="500" w:lineRule="exact"/>
        <w:ind w:firstLine="480" w:firstLineChars="200"/>
        <w:rPr>
          <w:rFonts w:asciiTheme="majorEastAsia" w:hAnsiTheme="majorEastAsia" w:eastAsiaTheme="majorEastAsia" w:cstheme="majorEastAsia"/>
          <w:sz w:val="24"/>
        </w:rPr>
      </w:pPr>
    </w:p>
    <w:p>
      <w:pPr>
        <w:spacing w:line="360" w:lineRule="auto"/>
        <w:ind w:firstLine="3000" w:firstLineChars="1250"/>
        <w:rPr>
          <w:rFonts w:asciiTheme="minorEastAsia" w:hAnsiTheme="minorEastAsia" w:eastAsiaTheme="minorEastAsia" w:cstheme="minorEastAsia"/>
          <w:color w:val="333333"/>
          <w:sz w:val="24"/>
          <w:lang w:val="zh-CN"/>
        </w:rPr>
      </w:pPr>
    </w:p>
    <w:p>
      <w:pPr>
        <w:spacing w:line="500" w:lineRule="exact"/>
        <w:ind w:firstLine="3000" w:firstLineChars="1250"/>
        <w:rPr>
          <w:rFonts w:asciiTheme="minorEastAsia" w:hAnsiTheme="minorEastAsia" w:eastAsiaTheme="minorEastAsia" w:cstheme="minorEastAsia"/>
          <w:color w:val="333333"/>
          <w:sz w:val="24"/>
          <w:lang w:val="zh-CN"/>
        </w:rPr>
      </w:pPr>
    </w:p>
    <w:p>
      <w:pPr>
        <w:spacing w:line="500" w:lineRule="exact"/>
        <w:ind w:firstLine="5160" w:firstLineChars="2150"/>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 xml:space="preserve">磋商响应方代表签字：                                            </w:t>
      </w:r>
    </w:p>
    <w:p>
      <w:pPr>
        <w:spacing w:line="500" w:lineRule="exact"/>
        <w:ind w:firstLine="5160" w:firstLineChars="2150"/>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磋商响应方（加盖公章）：</w:t>
      </w:r>
    </w:p>
    <w:p>
      <w:pPr>
        <w:spacing w:line="500" w:lineRule="exact"/>
        <w:ind w:firstLine="5160" w:firstLineChars="2150"/>
        <w:rPr>
          <w:rFonts w:asciiTheme="minorEastAsia" w:hAnsiTheme="minorEastAsia" w:eastAsiaTheme="minorEastAsia" w:cstheme="minorEastAsia"/>
          <w:b/>
          <w:color w:val="353535"/>
          <w:sz w:val="24"/>
        </w:rPr>
      </w:pPr>
      <w:r>
        <w:rPr>
          <w:rFonts w:hint="eastAsia" w:asciiTheme="minorEastAsia" w:hAnsiTheme="minorEastAsia" w:eastAsiaTheme="minorEastAsia" w:cstheme="minorEastAsia"/>
          <w:color w:val="333333"/>
          <w:sz w:val="24"/>
          <w:lang w:val="zh-CN"/>
        </w:rPr>
        <w:t>日期：</w:t>
      </w:r>
    </w:p>
    <w:p>
      <w:pPr>
        <w:pStyle w:val="24"/>
      </w:pPr>
    </w:p>
    <w:p>
      <w:pPr>
        <w:pStyle w:val="57"/>
      </w:pPr>
    </w:p>
    <w:p/>
    <w:p>
      <w:pPr>
        <w:pStyle w:val="80"/>
        <w:spacing w:before="157"/>
      </w:pPr>
    </w:p>
    <w:p>
      <w:pPr>
        <w:pStyle w:val="94"/>
        <w:spacing w:line="500" w:lineRule="exact"/>
        <w:ind w:firstLine="0" w:firstLineChars="0"/>
        <w:outlineLvl w:val="0"/>
        <w:rPr>
          <w:rFonts w:asciiTheme="minorEastAsia" w:hAnsiTheme="minorEastAsia" w:eastAsiaTheme="minorEastAsia" w:cstheme="minorEastAsia"/>
          <w:b/>
          <w:color w:val="000000"/>
          <w:sz w:val="28"/>
        </w:rPr>
      </w:pPr>
      <w:bookmarkStart w:id="52" w:name="_Toc18908"/>
    </w:p>
    <w:p>
      <w:pPr>
        <w:pStyle w:val="94"/>
        <w:spacing w:line="500" w:lineRule="exact"/>
        <w:ind w:firstLine="0" w:firstLineChars="0"/>
        <w:outlineLvl w:val="0"/>
        <w:rPr>
          <w:rFonts w:asciiTheme="minorEastAsia" w:hAnsiTheme="minorEastAsia" w:eastAsiaTheme="minorEastAsia" w:cstheme="minorEastAsia"/>
          <w:b/>
          <w:color w:val="000000"/>
          <w:sz w:val="28"/>
        </w:rPr>
      </w:pPr>
    </w:p>
    <w:p>
      <w:pPr>
        <w:pStyle w:val="94"/>
        <w:spacing w:line="500" w:lineRule="exact"/>
        <w:ind w:firstLine="0" w:firstLineChars="0"/>
        <w:outlineLvl w:val="0"/>
        <w:rPr>
          <w:rFonts w:asciiTheme="minorEastAsia" w:hAnsiTheme="minorEastAsia" w:eastAsiaTheme="minorEastAsia" w:cstheme="minorEastAsia"/>
          <w:b/>
          <w:color w:val="000000"/>
          <w:sz w:val="28"/>
        </w:rPr>
      </w:pPr>
    </w:p>
    <w:p>
      <w:pPr>
        <w:pStyle w:val="94"/>
        <w:spacing w:line="500" w:lineRule="exact"/>
        <w:ind w:firstLine="0" w:firstLineChars="0"/>
        <w:outlineLvl w:val="0"/>
        <w:rPr>
          <w:rFonts w:asciiTheme="minorEastAsia" w:hAnsiTheme="minorEastAsia" w:eastAsiaTheme="minorEastAsia" w:cstheme="minorEastAsia"/>
          <w:b/>
          <w:color w:val="000000"/>
          <w:sz w:val="28"/>
        </w:rPr>
      </w:pPr>
      <w:r>
        <w:rPr>
          <w:rFonts w:hint="eastAsia" w:asciiTheme="minorEastAsia" w:hAnsiTheme="minorEastAsia" w:eastAsiaTheme="minorEastAsia" w:cstheme="minorEastAsia"/>
          <w:b/>
          <w:color w:val="000000"/>
          <w:sz w:val="28"/>
        </w:rPr>
        <w:t>附件十</w:t>
      </w:r>
      <w:bookmarkEnd w:id="52"/>
    </w:p>
    <w:p>
      <w:pPr>
        <w:pStyle w:val="94"/>
        <w:spacing w:line="500" w:lineRule="exact"/>
        <w:ind w:firstLine="0" w:firstLineChars="0"/>
        <w:jc w:val="center"/>
        <w:rPr>
          <w:rFonts w:asciiTheme="minorEastAsia" w:hAnsiTheme="minorEastAsia" w:eastAsiaTheme="minorEastAsia" w:cstheme="minorEastAsia"/>
          <w:b/>
          <w:color w:val="000000"/>
          <w:sz w:val="30"/>
          <w:szCs w:val="30"/>
        </w:rPr>
      </w:pPr>
      <w:r>
        <w:rPr>
          <w:rFonts w:hint="eastAsia" w:asciiTheme="minorEastAsia" w:hAnsiTheme="minorEastAsia" w:eastAsiaTheme="minorEastAsia" w:cstheme="minorEastAsia"/>
          <w:b/>
          <w:color w:val="000000"/>
          <w:sz w:val="30"/>
          <w:szCs w:val="30"/>
        </w:rPr>
        <w:t>技术支持及服务承诺书</w:t>
      </w:r>
    </w:p>
    <w:p>
      <w:pPr>
        <w:widowControl/>
        <w:spacing w:line="500" w:lineRule="exact"/>
        <w:jc w:val="center"/>
        <w:textAlignment w:val="baseline"/>
        <w:rPr>
          <w:rFonts w:asciiTheme="minorEastAsia" w:hAnsiTheme="minorEastAsia" w:eastAsiaTheme="minorEastAsia" w:cstheme="minorEastAsia"/>
          <w:color w:val="000000"/>
          <w:kern w:val="0"/>
          <w:szCs w:val="21"/>
        </w:rPr>
      </w:pPr>
    </w:p>
    <w:p>
      <w:pPr>
        <w:autoSpaceDE w:val="0"/>
        <w:autoSpaceDN w:val="0"/>
        <w:adjustRightInd w:val="0"/>
        <w:spacing w:line="500" w:lineRule="exact"/>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格式自拟</w:t>
      </w:r>
    </w:p>
    <w:p>
      <w:pPr>
        <w:autoSpaceDE w:val="0"/>
        <w:autoSpaceDN w:val="0"/>
        <w:adjustRightInd w:val="0"/>
        <w:spacing w:line="500" w:lineRule="exact"/>
        <w:rPr>
          <w:rFonts w:asciiTheme="minorEastAsia" w:hAnsiTheme="minorEastAsia" w:eastAsiaTheme="minorEastAsia" w:cstheme="minorEastAsia"/>
          <w:color w:val="000000"/>
          <w:sz w:val="24"/>
        </w:rPr>
      </w:pPr>
    </w:p>
    <w:p>
      <w:pPr>
        <w:pStyle w:val="57"/>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sz w:val="24"/>
        </w:rPr>
      </w:pPr>
    </w:p>
    <w:p>
      <w:pPr>
        <w:pStyle w:val="57"/>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sz w:val="24"/>
        </w:rPr>
      </w:pPr>
    </w:p>
    <w:p>
      <w:pPr>
        <w:pStyle w:val="57"/>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sz w:val="24"/>
        </w:rPr>
      </w:pPr>
    </w:p>
    <w:p>
      <w:pPr>
        <w:pStyle w:val="57"/>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sz w:val="24"/>
        </w:rPr>
      </w:pPr>
    </w:p>
    <w:p>
      <w:pPr>
        <w:pStyle w:val="57"/>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sz w:val="24"/>
        </w:rPr>
      </w:pPr>
    </w:p>
    <w:p>
      <w:pPr>
        <w:pStyle w:val="57"/>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sz w:val="24"/>
        </w:rPr>
      </w:pPr>
    </w:p>
    <w:p>
      <w:pPr>
        <w:pStyle w:val="57"/>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sz w:val="24"/>
        </w:rPr>
      </w:pPr>
    </w:p>
    <w:p>
      <w:pPr>
        <w:pStyle w:val="57"/>
        <w:rPr>
          <w:rFonts w:asciiTheme="minorEastAsia" w:hAnsiTheme="minorEastAsia" w:eastAsiaTheme="minorEastAsia" w:cstheme="minorEastAsia"/>
          <w:color w:val="000000"/>
        </w:rPr>
      </w:pPr>
    </w:p>
    <w:p>
      <w:pPr>
        <w:rPr>
          <w:rFonts w:asciiTheme="minorEastAsia" w:hAnsiTheme="minorEastAsia" w:eastAsiaTheme="minorEastAsia" w:cstheme="minorEastAsia"/>
          <w:color w:val="000000"/>
          <w:sz w:val="24"/>
        </w:rPr>
      </w:pPr>
    </w:p>
    <w:p>
      <w:pPr>
        <w:pStyle w:val="57"/>
        <w:rPr>
          <w:rFonts w:asciiTheme="minorEastAsia" w:hAnsiTheme="minorEastAsia" w:eastAsiaTheme="minorEastAsia" w:cstheme="minorEastAsia"/>
          <w:color w:val="000000"/>
        </w:rPr>
      </w:pPr>
    </w:p>
    <w:p/>
    <w:p>
      <w:pPr>
        <w:snapToGrid w:val="0"/>
        <w:spacing w:line="500" w:lineRule="exact"/>
        <w:ind w:firstLine="5280" w:firstLineChars="2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磋商响应方（盖章）：</w:t>
      </w:r>
    </w:p>
    <w:p>
      <w:pPr>
        <w:snapToGrid w:val="0"/>
        <w:spacing w:line="500" w:lineRule="exact"/>
        <w:ind w:firstLine="5280" w:firstLineChars="2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法定代表人或其授权代表人（签字）：                                   </w:t>
      </w:r>
    </w:p>
    <w:p>
      <w:pPr>
        <w:autoSpaceDE w:val="0"/>
        <w:autoSpaceDN w:val="0"/>
        <w:adjustRightInd w:val="0"/>
        <w:snapToGrid w:val="0"/>
        <w:spacing w:line="500" w:lineRule="exact"/>
        <w:ind w:firstLine="5520" w:firstLineChars="23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日期：</w:t>
      </w:r>
    </w:p>
    <w:p>
      <w:pPr>
        <w:spacing w:line="500" w:lineRule="exact"/>
        <w:ind w:firstLine="2289" w:firstLineChars="950"/>
        <w:rPr>
          <w:rFonts w:asciiTheme="minorEastAsia" w:hAnsiTheme="minorEastAsia" w:eastAsiaTheme="minorEastAsia" w:cstheme="minorEastAsia"/>
          <w:b/>
          <w:color w:val="353535"/>
          <w:sz w:val="24"/>
        </w:rPr>
      </w:pPr>
    </w:p>
    <w:p>
      <w:pPr>
        <w:spacing w:line="500" w:lineRule="exact"/>
        <w:rPr>
          <w:rFonts w:asciiTheme="minorEastAsia" w:hAnsiTheme="minorEastAsia" w:eastAsiaTheme="minorEastAsia" w:cstheme="minorEastAsia"/>
          <w:b/>
          <w:color w:val="353535"/>
          <w:szCs w:val="21"/>
        </w:rPr>
      </w:pPr>
    </w:p>
    <w:p>
      <w:pPr>
        <w:spacing w:line="500" w:lineRule="exact"/>
        <w:rPr>
          <w:rFonts w:asciiTheme="minorEastAsia" w:hAnsiTheme="minorEastAsia" w:eastAsiaTheme="minorEastAsia" w:cstheme="minorEastAsia"/>
          <w:b/>
          <w:color w:val="353535"/>
          <w:szCs w:val="21"/>
        </w:rPr>
      </w:pPr>
    </w:p>
    <w:p>
      <w:pPr>
        <w:spacing w:line="500" w:lineRule="exact"/>
        <w:outlineLvl w:val="0"/>
        <w:rPr>
          <w:rFonts w:asciiTheme="minorEastAsia" w:hAnsiTheme="minorEastAsia" w:eastAsiaTheme="minorEastAsia" w:cstheme="minorEastAsia"/>
          <w:b/>
          <w:color w:val="353535"/>
          <w:sz w:val="28"/>
          <w:szCs w:val="28"/>
        </w:rPr>
      </w:pPr>
      <w:bookmarkStart w:id="53" w:name="_Toc8335"/>
      <w:r>
        <w:rPr>
          <w:rFonts w:hint="eastAsia" w:asciiTheme="minorEastAsia" w:hAnsiTheme="minorEastAsia" w:eastAsiaTheme="minorEastAsia" w:cstheme="minorEastAsia"/>
          <w:b/>
          <w:color w:val="353535"/>
          <w:sz w:val="28"/>
          <w:szCs w:val="28"/>
        </w:rPr>
        <w:t>附件十</w:t>
      </w:r>
      <w:bookmarkEnd w:id="53"/>
      <w:r>
        <w:rPr>
          <w:rFonts w:hint="eastAsia" w:asciiTheme="minorEastAsia" w:hAnsiTheme="minorEastAsia" w:eastAsiaTheme="minorEastAsia" w:cstheme="minorEastAsia"/>
          <w:b/>
          <w:color w:val="353535"/>
          <w:sz w:val="28"/>
          <w:szCs w:val="28"/>
        </w:rPr>
        <w:t>一</w:t>
      </w:r>
    </w:p>
    <w:p>
      <w:pPr>
        <w:spacing w:line="500" w:lineRule="exact"/>
        <w:jc w:val="center"/>
        <w:rPr>
          <w:rFonts w:asciiTheme="minorEastAsia" w:hAnsiTheme="minorEastAsia" w:eastAsiaTheme="minorEastAsia" w:cstheme="minorEastAsia"/>
          <w:b/>
          <w:color w:val="353535"/>
          <w:sz w:val="30"/>
          <w:szCs w:val="30"/>
        </w:rPr>
      </w:pPr>
      <w:r>
        <w:rPr>
          <w:rFonts w:hint="eastAsia" w:asciiTheme="minorEastAsia" w:hAnsiTheme="minorEastAsia" w:eastAsiaTheme="minorEastAsia" w:cstheme="minorEastAsia"/>
          <w:b/>
          <w:color w:val="353535"/>
          <w:sz w:val="30"/>
          <w:szCs w:val="30"/>
        </w:rPr>
        <w:t>技术要求偏离表</w:t>
      </w:r>
    </w:p>
    <w:p>
      <w:pPr>
        <w:snapToGrid w:val="0"/>
        <w:spacing w:line="500" w:lineRule="exact"/>
        <w:rPr>
          <w:rFonts w:asciiTheme="minorEastAsia" w:hAnsiTheme="minorEastAsia" w:eastAsiaTheme="minorEastAsia" w:cstheme="minorEastAsia"/>
          <w:szCs w:val="21"/>
        </w:rPr>
      </w:pPr>
    </w:p>
    <w:tbl>
      <w:tblPr>
        <w:tblStyle w:val="59"/>
        <w:tblpPr w:leftFromText="180" w:rightFromText="180" w:vertAnchor="text" w:horzAnchor="margin" w:tblpXSpec="center" w:tblpY="190"/>
        <w:tblW w:w="9197"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6"/>
        <w:gridCol w:w="1157"/>
        <w:gridCol w:w="1299"/>
        <w:gridCol w:w="1833"/>
        <w:gridCol w:w="1844"/>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2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序号</w:t>
            </w:r>
          </w:p>
        </w:tc>
        <w:tc>
          <w:tcPr>
            <w:tcW w:w="1157"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名称</w:t>
            </w:r>
          </w:p>
        </w:tc>
        <w:tc>
          <w:tcPr>
            <w:tcW w:w="1299"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型号</w:t>
            </w:r>
          </w:p>
        </w:tc>
        <w:tc>
          <w:tcPr>
            <w:tcW w:w="1833" w:type="dxa"/>
            <w:tcBorders>
              <w:top w:val="single" w:color="000000" w:sz="4" w:space="0"/>
              <w:left w:val="single" w:color="auto" w:sz="4" w:space="0"/>
              <w:bottom w:val="single" w:color="000000" w:sz="4" w:space="0"/>
              <w:right w:val="single" w:color="000000" w:sz="4" w:space="0"/>
            </w:tcBorders>
          </w:tcPr>
          <w:p>
            <w:pPr>
              <w:snapToGrid w:val="0"/>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磋商文件</w:t>
            </w:r>
          </w:p>
          <w:p>
            <w:pPr>
              <w:snapToGrid w:val="0"/>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要求</w:t>
            </w:r>
          </w:p>
        </w:tc>
        <w:tc>
          <w:tcPr>
            <w:tcW w:w="1844" w:type="dxa"/>
            <w:tcBorders>
              <w:top w:val="single" w:color="000000" w:sz="4" w:space="0"/>
              <w:left w:val="single" w:color="auto" w:sz="4" w:space="0"/>
              <w:bottom w:val="single" w:color="000000" w:sz="4" w:space="0"/>
              <w:right w:val="single" w:color="000000" w:sz="4" w:space="0"/>
            </w:tcBorders>
          </w:tcPr>
          <w:p>
            <w:pPr>
              <w:snapToGrid w:val="0"/>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磋商响应文</w:t>
            </w:r>
          </w:p>
          <w:p>
            <w:pPr>
              <w:snapToGrid w:val="0"/>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件响应内容</w:t>
            </w:r>
          </w:p>
        </w:tc>
        <w:tc>
          <w:tcPr>
            <w:tcW w:w="2038"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26"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157"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299"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3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44"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38"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26"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157"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299"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3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44"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38"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26"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157"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299"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3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44"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38"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26"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157"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299"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3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44"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38"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26"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157"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299"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3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44"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38"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26" w:type="dxa"/>
            <w:tcBorders>
              <w:top w:val="single" w:color="auto" w:sz="4" w:space="0"/>
              <w:left w:val="single" w:color="000000"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157"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299"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33"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44"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38"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26" w:type="dxa"/>
            <w:tcBorders>
              <w:top w:val="single" w:color="auto" w:sz="4" w:space="0"/>
              <w:left w:val="single" w:color="000000"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157"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299"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33"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844"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38"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bl>
    <w:p>
      <w:pPr>
        <w:pStyle w:val="23"/>
        <w:spacing w:line="500" w:lineRule="exact"/>
        <w:ind w:firstLine="240" w:firstLineChars="1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333333"/>
          <w:sz w:val="24"/>
          <w:lang w:val="zh-CN"/>
        </w:rPr>
        <w:t xml:space="preserve">注： </w:t>
      </w:r>
      <w:r>
        <w:rPr>
          <w:rFonts w:hint="eastAsia" w:asciiTheme="minorEastAsia" w:hAnsiTheme="minorEastAsia" w:eastAsiaTheme="minorEastAsia" w:cstheme="minorEastAsia"/>
          <w:color w:val="000000"/>
          <w:sz w:val="24"/>
        </w:rPr>
        <w:t>1、在填写其中的技术响应内容时，磋商响应单位必须对照本磋商文件“技术要求”中各指标项逐条说明，写出各自响应产品的具体参数响应内容</w:t>
      </w:r>
      <w:r>
        <w:rPr>
          <w:rFonts w:hint="eastAsia" w:asciiTheme="minorEastAsia" w:hAnsiTheme="minorEastAsia" w:eastAsiaTheme="minorEastAsia" w:cstheme="minorEastAsia"/>
          <w:color w:val="000000"/>
          <w:sz w:val="24"/>
          <w:u w:val="single"/>
        </w:rPr>
        <w:t>且不局限于本磋商文件技术要求</w:t>
      </w:r>
      <w:r>
        <w:rPr>
          <w:rFonts w:hint="eastAsia" w:asciiTheme="minorEastAsia" w:hAnsiTheme="minorEastAsia" w:eastAsiaTheme="minorEastAsia" w:cstheme="minorEastAsia"/>
          <w:color w:val="000000"/>
          <w:sz w:val="24"/>
        </w:rPr>
        <w:t>，不得以“符合”或“满足”等词语作简单回答，否则磋商小组有权视其响应文件未实质响应磋商文件要求；</w:t>
      </w:r>
    </w:p>
    <w:p>
      <w:pPr>
        <w:pStyle w:val="23"/>
        <w:spacing w:line="5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2、磋商响应单位应根据本身设备的性能指标、对照磋商文件要求在“偏离情况”栏注明“正偏离”、“负偏离”或“无偏离”。 带▲的负偏离取消其磋商响应资格。</w:t>
      </w:r>
    </w:p>
    <w:p>
      <w:pPr>
        <w:spacing w:line="500" w:lineRule="exact"/>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rPr>
        <w:t>3、若本磋商文件技术参数要求提供图片、检测报告、证书等证明材料，请附表后，并在上表中标明查看页码。</w:t>
      </w:r>
      <w:r>
        <w:rPr>
          <w:rFonts w:hint="eastAsia" w:asciiTheme="minorEastAsia" w:hAnsiTheme="minorEastAsia" w:eastAsiaTheme="minorEastAsia" w:cstheme="minorEastAsia"/>
          <w:b/>
          <w:bCs/>
          <w:color w:val="000000"/>
          <w:sz w:val="24"/>
          <w:u w:val="single"/>
        </w:rPr>
        <w:t>带▲的条款中要求提供而不提供的取消其磋商响应资格。</w:t>
      </w:r>
    </w:p>
    <w:p>
      <w:pPr>
        <w:spacing w:line="500" w:lineRule="exact"/>
        <w:ind w:left="540" w:hanging="540"/>
        <w:rPr>
          <w:rFonts w:asciiTheme="minorEastAsia" w:hAnsiTheme="minorEastAsia" w:eastAsiaTheme="minorEastAsia" w:cstheme="minorEastAsia"/>
          <w:color w:val="333333"/>
          <w:sz w:val="24"/>
          <w:lang w:val="zh-CN"/>
        </w:rPr>
      </w:pPr>
    </w:p>
    <w:p>
      <w:pPr>
        <w:spacing w:line="500" w:lineRule="exact"/>
        <w:ind w:left="540" w:hanging="540"/>
        <w:rPr>
          <w:rFonts w:asciiTheme="minorEastAsia" w:hAnsiTheme="minorEastAsia" w:eastAsiaTheme="minorEastAsia" w:cstheme="minorEastAsia"/>
          <w:color w:val="333333"/>
          <w:sz w:val="24"/>
          <w:lang w:val="zh-CN"/>
        </w:rPr>
      </w:pPr>
    </w:p>
    <w:p>
      <w:pPr>
        <w:spacing w:line="500" w:lineRule="exact"/>
        <w:ind w:left="651" w:leftChars="310" w:firstLine="3460" w:firstLineChars="1442"/>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 xml:space="preserve">磋商响应方代表签字：                                            </w:t>
      </w:r>
    </w:p>
    <w:p>
      <w:pPr>
        <w:spacing w:line="500" w:lineRule="exact"/>
        <w:ind w:firstLine="4080" w:firstLineChars="1700"/>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磋商响应方（加盖公章）：</w:t>
      </w:r>
    </w:p>
    <w:p>
      <w:pPr>
        <w:tabs>
          <w:tab w:val="left" w:pos="1575"/>
        </w:tabs>
        <w:snapToGrid w:val="0"/>
        <w:spacing w:line="500" w:lineRule="exact"/>
        <w:ind w:firstLine="5040" w:firstLineChars="2100"/>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 xml:space="preserve">日期：       </w:t>
      </w:r>
    </w:p>
    <w:p>
      <w:pPr>
        <w:tabs>
          <w:tab w:val="left" w:pos="1575"/>
        </w:tabs>
        <w:snapToGrid w:val="0"/>
        <w:spacing w:line="500" w:lineRule="exact"/>
        <w:outlineLvl w:val="0"/>
        <w:rPr>
          <w:rFonts w:asciiTheme="minorEastAsia" w:hAnsiTheme="minorEastAsia" w:eastAsiaTheme="minorEastAsia"/>
          <w:b/>
          <w:color w:val="353535"/>
          <w:sz w:val="28"/>
          <w:szCs w:val="28"/>
        </w:rPr>
      </w:pPr>
      <w:bookmarkStart w:id="54" w:name="_Toc28287"/>
    </w:p>
    <w:p>
      <w:pPr>
        <w:tabs>
          <w:tab w:val="left" w:pos="1575"/>
        </w:tabs>
        <w:snapToGrid w:val="0"/>
        <w:spacing w:line="500" w:lineRule="exact"/>
        <w:outlineLvl w:val="0"/>
        <w:rPr>
          <w:rFonts w:asciiTheme="minorEastAsia" w:hAnsiTheme="minorEastAsia" w:eastAsiaTheme="minorEastAsia"/>
          <w:b/>
          <w:color w:val="353535"/>
          <w:sz w:val="28"/>
          <w:szCs w:val="28"/>
        </w:rPr>
      </w:pPr>
      <w:r>
        <w:rPr>
          <w:rFonts w:hint="eastAsia" w:asciiTheme="minorEastAsia" w:hAnsiTheme="minorEastAsia" w:eastAsiaTheme="minorEastAsia"/>
          <w:b/>
          <w:color w:val="353535"/>
          <w:sz w:val="28"/>
          <w:szCs w:val="28"/>
        </w:rPr>
        <w:t>附件十二</w:t>
      </w:r>
    </w:p>
    <w:p>
      <w:pPr>
        <w:tabs>
          <w:tab w:val="left" w:pos="1575"/>
        </w:tabs>
        <w:snapToGrid w:val="0"/>
        <w:spacing w:line="500" w:lineRule="exact"/>
        <w:ind w:firstLine="3935" w:firstLineChars="1400"/>
        <w:outlineLvl w:val="0"/>
        <w:rPr>
          <w:rFonts w:asciiTheme="minorEastAsia" w:hAnsiTheme="minorEastAsia" w:eastAsiaTheme="minorEastAsia" w:cstheme="minorEastAsia"/>
          <w:b/>
          <w:color w:val="333333"/>
          <w:sz w:val="28"/>
          <w:szCs w:val="28"/>
        </w:rPr>
      </w:pPr>
      <w:r>
        <w:rPr>
          <w:rFonts w:hint="eastAsia" w:asciiTheme="minorEastAsia" w:hAnsiTheme="minorEastAsia" w:eastAsiaTheme="minorEastAsia" w:cstheme="minorEastAsia"/>
          <w:b/>
          <w:color w:val="353535"/>
          <w:sz w:val="28"/>
          <w:szCs w:val="28"/>
        </w:rPr>
        <w:t>商务要求偏离表</w:t>
      </w:r>
      <w:bookmarkEnd w:id="54"/>
    </w:p>
    <w:p>
      <w:pPr>
        <w:snapToGrid w:val="0"/>
        <w:spacing w:line="500" w:lineRule="exact"/>
        <w:rPr>
          <w:rFonts w:asciiTheme="minorEastAsia" w:hAnsiTheme="minorEastAsia" w:eastAsiaTheme="minorEastAsia" w:cstheme="minorEastAsia"/>
          <w:color w:val="333333"/>
          <w:szCs w:val="21"/>
          <w:lang w:val="zh-CN"/>
        </w:rPr>
      </w:pPr>
    </w:p>
    <w:tbl>
      <w:tblPr>
        <w:tblStyle w:val="59"/>
        <w:tblpPr w:leftFromText="180" w:rightFromText="180" w:vertAnchor="text" w:horzAnchor="margin" w:tblpXSpec="center" w:tblpY="190"/>
        <w:tblW w:w="9406" w:type="dxa"/>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2000"/>
        <w:gridCol w:w="1983"/>
        <w:gridCol w:w="210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序号</w:t>
            </w:r>
          </w:p>
        </w:tc>
        <w:tc>
          <w:tcPr>
            <w:tcW w:w="2000"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磋商文件条目号</w:t>
            </w:r>
          </w:p>
        </w:tc>
        <w:tc>
          <w:tcPr>
            <w:tcW w:w="1983" w:type="dxa"/>
            <w:tcBorders>
              <w:top w:val="single" w:color="000000" w:sz="4" w:space="0"/>
              <w:left w:val="single" w:color="auto" w:sz="4" w:space="0"/>
              <w:bottom w:val="single" w:color="000000" w:sz="4" w:space="0"/>
              <w:right w:val="single" w:color="000000" w:sz="4" w:space="0"/>
            </w:tcBorders>
          </w:tcPr>
          <w:p>
            <w:pPr>
              <w:snapToGrid w:val="0"/>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磋商文件</w:t>
            </w:r>
          </w:p>
          <w:p>
            <w:pPr>
              <w:snapToGrid w:val="0"/>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要求</w:t>
            </w:r>
          </w:p>
        </w:tc>
        <w:tc>
          <w:tcPr>
            <w:tcW w:w="2100" w:type="dxa"/>
            <w:tcBorders>
              <w:top w:val="single" w:color="000000" w:sz="4" w:space="0"/>
              <w:left w:val="single" w:color="auto" w:sz="4" w:space="0"/>
              <w:bottom w:val="single" w:color="000000" w:sz="4" w:space="0"/>
              <w:right w:val="single" w:color="000000" w:sz="4" w:space="0"/>
            </w:tcBorders>
          </w:tcPr>
          <w:p>
            <w:pPr>
              <w:snapToGrid w:val="0"/>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磋商响应文件响应内容</w:t>
            </w:r>
          </w:p>
        </w:tc>
        <w:tc>
          <w:tcPr>
            <w:tcW w:w="2295"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auto"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028" w:type="dxa"/>
            <w:tcBorders>
              <w:top w:val="single" w:color="auto" w:sz="4" w:space="0"/>
              <w:left w:val="single" w:color="000000"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0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1983"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100"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c>
          <w:tcPr>
            <w:tcW w:w="2295" w:type="dxa"/>
            <w:tcBorders>
              <w:top w:val="single" w:color="auto" w:sz="4" w:space="0"/>
              <w:left w:val="single" w:color="auto" w:sz="4" w:space="0"/>
              <w:bottom w:val="single" w:color="000000" w:sz="4" w:space="0"/>
              <w:right w:val="single" w:color="000000" w:sz="4" w:space="0"/>
            </w:tcBorders>
          </w:tcPr>
          <w:p>
            <w:pPr>
              <w:spacing w:line="500" w:lineRule="exact"/>
              <w:rPr>
                <w:rFonts w:asciiTheme="minorEastAsia" w:hAnsiTheme="minorEastAsia" w:eastAsiaTheme="minorEastAsia" w:cstheme="minorEastAsia"/>
                <w:color w:val="333333"/>
                <w:sz w:val="24"/>
                <w:lang w:val="zh-CN"/>
              </w:rPr>
            </w:pPr>
          </w:p>
        </w:tc>
      </w:tr>
    </w:tbl>
    <w:p>
      <w:pPr>
        <w:pStyle w:val="35"/>
        <w:snapToGrid w:val="0"/>
        <w:spacing w:line="500" w:lineRule="exact"/>
        <w:ind w:left="6000"/>
        <w:rPr>
          <w:rFonts w:asciiTheme="minorEastAsia" w:hAnsiTheme="minorEastAsia" w:eastAsiaTheme="minorEastAsia" w:cstheme="minorEastAsia"/>
          <w:color w:val="333333"/>
          <w:sz w:val="21"/>
          <w:szCs w:val="21"/>
          <w:lang w:val="zh-CN"/>
        </w:rPr>
      </w:pPr>
    </w:p>
    <w:p>
      <w:pPr>
        <w:spacing w:line="500" w:lineRule="exact"/>
        <w:ind w:firstLine="480" w:firstLineChars="200"/>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注：1.无偏离请注明“完全响应”，有偏离请详细填写。</w:t>
      </w:r>
    </w:p>
    <w:p>
      <w:pPr>
        <w:spacing w:line="500" w:lineRule="exact"/>
        <w:ind w:firstLine="480" w:firstLineChars="200"/>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2.本表与磋商响应文件其他表述前后不一致的，如果是非实质性条款，磋商响应方可以承诺修改；如果是实质性条款，则不得修改，按磋商文件要求取消磋商资格。</w:t>
      </w:r>
    </w:p>
    <w:p>
      <w:pPr>
        <w:pStyle w:val="24"/>
        <w:rPr>
          <w:sz w:val="24"/>
          <w:lang w:val="zh-CN"/>
        </w:rPr>
      </w:pPr>
    </w:p>
    <w:p>
      <w:pPr>
        <w:pStyle w:val="24"/>
      </w:pPr>
    </w:p>
    <w:p>
      <w:pPr>
        <w:spacing w:line="500" w:lineRule="exact"/>
        <w:ind w:left="651" w:leftChars="310" w:firstLine="3460" w:firstLineChars="1442"/>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 xml:space="preserve">磋商响应方代表签字：                                            </w:t>
      </w:r>
    </w:p>
    <w:p>
      <w:pPr>
        <w:spacing w:line="500" w:lineRule="exact"/>
        <w:ind w:firstLine="4080" w:firstLineChars="1700"/>
        <w:rPr>
          <w:rFonts w:asciiTheme="minorEastAsia" w:hAnsiTheme="minorEastAsia" w:eastAsiaTheme="minorEastAsia" w:cstheme="minorEastAsia"/>
          <w:color w:val="333333"/>
          <w:sz w:val="24"/>
          <w:lang w:val="zh-CN"/>
        </w:rPr>
      </w:pPr>
      <w:r>
        <w:rPr>
          <w:rFonts w:hint="eastAsia" w:asciiTheme="minorEastAsia" w:hAnsiTheme="minorEastAsia" w:eastAsiaTheme="minorEastAsia" w:cstheme="minorEastAsia"/>
          <w:color w:val="333333"/>
          <w:sz w:val="24"/>
          <w:lang w:val="zh-CN"/>
        </w:rPr>
        <w:t>磋商响应方（加盖公章）：</w:t>
      </w:r>
    </w:p>
    <w:p>
      <w:pPr>
        <w:snapToGrid w:val="0"/>
        <w:spacing w:line="640" w:lineRule="exact"/>
        <w:ind w:firstLine="4560" w:firstLineChars="1900"/>
        <w:rPr>
          <w:rStyle w:val="244"/>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333333"/>
          <w:sz w:val="24"/>
          <w:lang w:val="zh-CN"/>
        </w:rPr>
        <w:t xml:space="preserve">日期：   </w:t>
      </w:r>
    </w:p>
    <w:p>
      <w:pPr>
        <w:snapToGrid w:val="0"/>
        <w:spacing w:line="500" w:lineRule="exact"/>
        <w:jc w:val="center"/>
        <w:rPr>
          <w:rFonts w:asciiTheme="minorEastAsia" w:hAnsiTheme="minorEastAsia" w:eastAsiaTheme="minorEastAsia" w:cstheme="minorEastAsia"/>
          <w:b/>
          <w:bCs/>
          <w:color w:val="000000"/>
          <w:sz w:val="28"/>
          <w:szCs w:val="28"/>
          <w:lang w:val="zh-CN"/>
        </w:rPr>
      </w:pPr>
      <w:r>
        <w:rPr>
          <w:rFonts w:hint="eastAsia" w:asciiTheme="minorEastAsia" w:hAnsiTheme="minorEastAsia" w:eastAsiaTheme="minorEastAsia" w:cstheme="minorEastAsia"/>
          <w:color w:val="353535"/>
          <w:szCs w:val="21"/>
          <w:lang w:val="zh-CN"/>
        </w:rPr>
        <w:br w:type="page"/>
      </w:r>
    </w:p>
    <w:p>
      <w:pPr>
        <w:snapToGrid w:val="0"/>
        <w:spacing w:line="500" w:lineRule="exact"/>
        <w:jc w:val="center"/>
        <w:rPr>
          <w:lang w:val="zh-CN"/>
        </w:rPr>
      </w:pPr>
      <w:r>
        <w:rPr>
          <w:rFonts w:asciiTheme="majorEastAsia" w:hAnsiTheme="majorEastAsia" w:eastAsiaTheme="majorEastAsia" w:cstheme="majorEastAsia"/>
          <w:b/>
          <w:bCs/>
          <w:sz w:val="32"/>
          <w:szCs w:val="32"/>
        </w:rPr>
        <w:pict>
          <v:shape id="自选图形 71" o:spid="_x0000_s1026" o:spt="100" style="position:absolute;left:0pt;margin-left:-9.7pt;margin-top:-8.25pt;height:850.15pt;width:853.9pt;mso-position-horizontal-relative:page;mso-position-vertical-relative:page;z-index:-251655168;mso-width-relative:page;mso-height-relative:page;" filled="f" stroked="t" coordsize="21600,21600" o:gfxdata="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946Ir2AAA&#10;AA0BAAAPAAAAAAAAAAEAIAAAACIAAABkcnMvZG93bnJldi54bWxQSwECFAAUAAAACACHTuJAwTcc&#10;SJACAAAUBgAADgAAAAAAAAABACAAAAAnAQAAZHJzL2Uyb0RvYy54bWxQSwUGAAAAAAYABgBZAQAA&#10;KQYAAAAA&#10;" path="m0,84113l0,84113,59513,84113,59513,84113,59513,0,59513,0,0,0,0,0,0,84113e">
            <v:path o:connecttype="segments"/>
            <v:fill on="f" focussize="0,0"/>
            <v:stroke color="#7D60A0" joinstyle="round"/>
            <v:imagedata o:title=""/>
            <o:lock v:ext="edit"/>
          </v:shape>
        </w:pic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hint="eastAsia" w:asciiTheme="majorEastAsia" w:hAnsiTheme="majorEastAsia" w:eastAsiaTheme="majorEastAsia" w:cstheme="majorEastAsia"/>
          <w:b/>
          <w:bCs/>
          <w:color w:val="000000"/>
          <w:sz w:val="32"/>
          <w:szCs w:val="32"/>
        </w:rPr>
        <w:t>第七章  评分细则</w:t>
      </w:r>
    </w:p>
    <w:p>
      <w:pPr>
        <w:pStyle w:val="276"/>
        <w:autoSpaceDE w:val="0"/>
        <w:autoSpaceDN w:val="0"/>
        <w:adjustRightInd w:val="0"/>
        <w:snapToGrid w:val="0"/>
        <w:spacing w:line="400" w:lineRule="exact"/>
        <w:ind w:left="422" w:firstLine="0" w:firstLineChars="0"/>
        <w:outlineLvl w:val="1"/>
        <w:rPr>
          <w:rFonts w:asciiTheme="minorEastAsia" w:hAnsiTheme="minorEastAsia" w:eastAsiaTheme="minorEastAsia" w:cstheme="minorEastAsia"/>
          <w:b/>
          <w:bCs/>
          <w:color w:val="000000"/>
          <w:sz w:val="24"/>
        </w:rPr>
      </w:pPr>
      <w:bookmarkStart w:id="55" w:name="_Toc356371472"/>
      <w:bookmarkStart w:id="56" w:name="_Toc446336204"/>
      <w:r>
        <w:rPr>
          <w:rFonts w:hint="eastAsia" w:asciiTheme="minorEastAsia" w:hAnsiTheme="minorEastAsia" w:eastAsiaTheme="minorEastAsia" w:cstheme="minorEastAsia"/>
          <w:b/>
          <w:bCs/>
          <w:color w:val="000000"/>
          <w:sz w:val="24"/>
        </w:rPr>
        <w:t>一、磋商小组</w:t>
      </w:r>
      <w:r>
        <w:rPr>
          <w:rFonts w:hint="eastAsia" w:asciiTheme="minorEastAsia" w:hAnsiTheme="minorEastAsia" w:eastAsiaTheme="minorEastAsia" w:cstheme="minorEastAsia"/>
          <w:b/>
          <w:bCs/>
          <w:color w:val="000000"/>
          <w:sz w:val="24"/>
          <w:lang w:val="zh-CN"/>
        </w:rPr>
        <w:t>的组成</w:t>
      </w:r>
      <w:bookmarkEnd w:id="55"/>
      <w:bookmarkEnd w:id="56"/>
    </w:p>
    <w:p>
      <w:pPr>
        <w:autoSpaceDE w:val="0"/>
        <w:autoSpaceDN w:val="0"/>
        <w:adjustRightInd w:val="0"/>
        <w:snapToGrid w:val="0"/>
        <w:spacing w:line="400" w:lineRule="exact"/>
        <w:ind w:firstLine="480" w:firstLineChars="200"/>
        <w:rPr>
          <w:rFonts w:asciiTheme="minorEastAsia" w:hAnsiTheme="minorEastAsia" w:eastAsiaTheme="minorEastAsia" w:cstheme="minorEastAsia"/>
          <w:bCs/>
          <w:color w:val="000000"/>
          <w:sz w:val="24"/>
        </w:rPr>
      </w:pPr>
      <w:r>
        <w:rPr>
          <w:rFonts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rPr>
        <w:t>评标委员会按相关规定组成，磋商小组对磋商响应文件进行审查、质疑、评估和比较。采购单位代表由采购单位推荐，但不得担任磋商小组组长。</w:t>
      </w:r>
    </w:p>
    <w:p>
      <w:pPr>
        <w:autoSpaceDE w:val="0"/>
        <w:autoSpaceDN w:val="0"/>
        <w:adjustRightInd w:val="0"/>
        <w:snapToGrid w:val="0"/>
        <w:spacing w:line="400" w:lineRule="exact"/>
        <w:ind w:firstLine="480"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2</w:t>
      </w:r>
      <w:r>
        <w:rPr>
          <w:rFonts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rPr>
        <w:t>询标期间，供应商法人代表或法人委托人必须在场。负责解答有关事宜。如不在场，则事后不得对采购过程及结果提出异议。</w:t>
      </w:r>
    </w:p>
    <w:p>
      <w:pPr>
        <w:autoSpaceDE w:val="0"/>
        <w:autoSpaceDN w:val="0"/>
        <w:adjustRightInd w:val="0"/>
        <w:snapToGrid w:val="0"/>
        <w:spacing w:line="400" w:lineRule="exact"/>
        <w:ind w:firstLine="482" w:firstLineChars="200"/>
        <w:outlineLvl w:val="1"/>
        <w:rPr>
          <w:rFonts w:asciiTheme="minorEastAsia" w:hAnsiTheme="minorEastAsia" w:eastAsiaTheme="minorEastAsia" w:cstheme="minorEastAsia"/>
          <w:b/>
          <w:bCs/>
          <w:color w:val="000000"/>
          <w:sz w:val="24"/>
        </w:rPr>
      </w:pPr>
      <w:bookmarkStart w:id="57" w:name="_Toc446336205"/>
      <w:bookmarkStart w:id="58" w:name="_Toc356371473"/>
      <w:r>
        <w:rPr>
          <w:rFonts w:hint="eastAsia" w:asciiTheme="minorEastAsia" w:hAnsiTheme="minorEastAsia" w:eastAsiaTheme="minorEastAsia" w:cstheme="minorEastAsia"/>
          <w:b/>
          <w:bCs/>
          <w:color w:val="000000"/>
          <w:sz w:val="24"/>
        </w:rPr>
        <w:t>二、磋商</w:t>
      </w:r>
      <w:r>
        <w:rPr>
          <w:rFonts w:hint="eastAsia" w:asciiTheme="minorEastAsia" w:hAnsiTheme="minorEastAsia" w:eastAsiaTheme="minorEastAsia" w:cstheme="minorEastAsia"/>
          <w:b/>
          <w:bCs/>
          <w:color w:val="000000"/>
          <w:sz w:val="24"/>
          <w:lang w:val="zh-CN"/>
        </w:rPr>
        <w:t>原则</w:t>
      </w:r>
      <w:bookmarkEnd w:id="57"/>
      <w:bookmarkEnd w:id="58"/>
    </w:p>
    <w:p>
      <w:pPr>
        <w:autoSpaceDE w:val="0"/>
        <w:autoSpaceDN w:val="0"/>
        <w:adjustRightInd w:val="0"/>
        <w:snapToGrid w:val="0"/>
        <w:spacing w:line="400" w:lineRule="exact"/>
        <w:ind w:firstLine="480"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3</w:t>
      </w:r>
      <w:r>
        <w:rPr>
          <w:rFonts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rPr>
        <w:t>本磋商办法采用综合评分法，由资信技术分和报价分合计组成,满分为100分。</w:t>
      </w:r>
    </w:p>
    <w:p>
      <w:pPr>
        <w:autoSpaceDE w:val="0"/>
        <w:autoSpaceDN w:val="0"/>
        <w:adjustRightInd w:val="0"/>
        <w:snapToGrid w:val="0"/>
        <w:spacing w:line="400" w:lineRule="exact"/>
        <w:ind w:firstLine="480" w:firstLineChars="200"/>
        <w:rPr>
          <w:rFonts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4.</w:t>
      </w:r>
      <w:r>
        <w:rPr>
          <w:rFonts w:hint="eastAsia" w:asciiTheme="minorEastAsia" w:hAnsiTheme="minorEastAsia" w:eastAsiaTheme="minorEastAsia" w:cstheme="minorEastAsia"/>
          <w:color w:val="000000"/>
          <w:sz w:val="24"/>
        </w:rPr>
        <w:t>资信技术分与报价分合计得分最高者为第一成交候选人，得分次高者为第二成交候选人，总分相同时，价格低者优先。</w:t>
      </w:r>
    </w:p>
    <w:p>
      <w:pPr>
        <w:autoSpaceDE w:val="0"/>
        <w:autoSpaceDN w:val="0"/>
        <w:adjustRightInd w:val="0"/>
        <w:snapToGrid w:val="0"/>
        <w:spacing w:line="400" w:lineRule="exact"/>
        <w:ind w:firstLine="480" w:firstLineChars="200"/>
        <w:rPr>
          <w:rFonts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r>
        <w:rPr>
          <w:rFonts w:hint="eastAsia" w:asciiTheme="minorEastAsia" w:hAnsiTheme="minorEastAsia" w:eastAsiaTheme="minorEastAsia" w:cstheme="minorEastAsia"/>
          <w:color w:val="000000"/>
          <w:sz w:val="24"/>
        </w:rPr>
        <w:t>磋商小组根据磋商文件和磋商响应文件，结合评分细则对各磋商响应方的资信技术部分进行评审。磋商小组各成员所评分值的算术平均值即为各磋商响应方的资信技术分值（计算时四舍五入保留二位小数）。</w:t>
      </w:r>
    </w:p>
    <w:p>
      <w:pPr>
        <w:snapToGrid w:val="0"/>
        <w:spacing w:line="400" w:lineRule="exact"/>
        <w:ind w:firstLine="480" w:firstLineChars="200"/>
        <w:rPr>
          <w:rFonts w:asciiTheme="minorEastAsia" w:hAnsiTheme="minorEastAsia" w:eastAsiaTheme="minorEastAsia" w:cstheme="minorEastAsia"/>
          <w:color w:val="000000"/>
          <w:sz w:val="24"/>
        </w:rPr>
      </w:pPr>
      <w:bookmarkStart w:id="59" w:name="_Toc356371474"/>
      <w:r>
        <w:rPr>
          <w:rFonts w:hint="eastAsia" w:asciiTheme="minorEastAsia" w:hAnsiTheme="minorEastAsia" w:eastAsiaTheme="minorEastAsia" w:cstheme="minorEastAsia"/>
          <w:color w:val="000000"/>
          <w:sz w:val="24"/>
        </w:rPr>
        <w:t>6.评定结果经采购人确定后，龙游博洽投资咨询有限公司在成交供应商确定之日起2个工作日内将以书面形式发出《成交通知书》，并在指定的媒体上公告成交结果。</w:t>
      </w:r>
    </w:p>
    <w:p>
      <w:pPr>
        <w:autoSpaceDE w:val="0"/>
        <w:autoSpaceDN w:val="0"/>
        <w:adjustRightInd w:val="0"/>
        <w:snapToGrid w:val="0"/>
        <w:spacing w:line="400" w:lineRule="exact"/>
        <w:ind w:firstLine="482" w:firstLineChars="200"/>
        <w:outlineLvl w:val="1"/>
        <w:rPr>
          <w:rFonts w:asciiTheme="minorEastAsia" w:hAnsiTheme="minorEastAsia" w:eastAsiaTheme="minorEastAsia" w:cstheme="minorEastAsia"/>
          <w:b/>
          <w:bCs/>
          <w:color w:val="000000"/>
          <w:sz w:val="24"/>
          <w:lang w:val="zh-CN"/>
        </w:rPr>
      </w:pPr>
      <w:bookmarkStart w:id="60" w:name="_Toc446336206"/>
      <w:r>
        <w:rPr>
          <w:rFonts w:hint="eastAsia" w:asciiTheme="minorEastAsia" w:hAnsiTheme="minorEastAsia" w:eastAsiaTheme="minorEastAsia" w:cstheme="minorEastAsia"/>
          <w:b/>
          <w:bCs/>
          <w:color w:val="000000"/>
          <w:sz w:val="24"/>
          <w:lang w:val="zh-CN"/>
        </w:rPr>
        <w:t>三、注意事项</w:t>
      </w:r>
      <w:bookmarkEnd w:id="59"/>
      <w:bookmarkEnd w:id="60"/>
    </w:p>
    <w:p>
      <w:pPr>
        <w:snapToGrid w:val="0"/>
        <w:spacing w:line="400" w:lineRule="exact"/>
        <w:ind w:firstLine="480" w:firstLineChars="200"/>
        <w:rPr>
          <w:rFonts w:asciiTheme="minorEastAsia" w:hAnsiTheme="minorEastAsia" w:eastAsiaTheme="minorEastAsia"/>
          <w:sz w:val="24"/>
        </w:rPr>
      </w:pPr>
      <w:r>
        <w:rPr>
          <w:rFonts w:hint="eastAsia" w:asciiTheme="minorEastAsia" w:hAnsiTheme="minorEastAsia" w:eastAsiaTheme="minorEastAsia" w:cstheme="minorEastAsia"/>
          <w:color w:val="000000"/>
          <w:sz w:val="24"/>
        </w:rPr>
        <w:t>7</w:t>
      </w:r>
      <w:r>
        <w:rPr>
          <w:rFonts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rPr>
        <w:t>评审时如发现供应商的报价明显高于其市场报价或低于成本价的，磋商小组可要求该供应商书面说明并提供相关证明材料。该供应商不能合理说明原因并提供证明材料的，评审小组应将该供应商的采购响应文件作无效处理，同时采购组织机构应将该情况报监管部门，并视情将其列入不良供应商名单。</w:t>
      </w:r>
    </w:p>
    <w:p>
      <w:pPr>
        <w:autoSpaceDE w:val="0"/>
        <w:autoSpaceDN w:val="0"/>
        <w:adjustRightInd w:val="0"/>
        <w:snapToGrid w:val="0"/>
        <w:spacing w:line="400" w:lineRule="exact"/>
        <w:ind w:firstLine="562" w:firstLineChars="200"/>
        <w:outlineLvl w:val="1"/>
        <w:rPr>
          <w:rFonts w:asciiTheme="minorEastAsia" w:hAnsiTheme="minorEastAsia" w:eastAsiaTheme="minorEastAsia" w:cstheme="minorEastAsia"/>
          <w:b/>
          <w:bCs/>
          <w:color w:val="000000"/>
          <w:sz w:val="28"/>
          <w:szCs w:val="28"/>
          <w:lang w:val="zh-CN"/>
        </w:rPr>
      </w:pPr>
      <w:bookmarkStart w:id="61" w:name="_Toc356371475"/>
      <w:bookmarkStart w:id="62" w:name="_Toc446336207"/>
      <w:r>
        <w:rPr>
          <w:rFonts w:hint="eastAsia" w:asciiTheme="minorEastAsia" w:hAnsiTheme="minorEastAsia" w:eastAsiaTheme="minorEastAsia" w:cstheme="minorEastAsia"/>
          <w:b/>
          <w:bCs/>
          <w:color w:val="000000"/>
          <w:sz w:val="28"/>
          <w:szCs w:val="28"/>
          <w:lang w:val="zh-CN"/>
        </w:rPr>
        <w:t>四、评分标准</w:t>
      </w:r>
      <w:bookmarkEnd w:id="61"/>
      <w:bookmarkEnd w:id="62"/>
    </w:p>
    <w:p>
      <w:pPr>
        <w:snapToGrid w:val="0"/>
        <w:spacing w:line="400" w:lineRule="exact"/>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1.商务部分(30分)</w:t>
      </w:r>
    </w:p>
    <w:p>
      <w:pPr>
        <w:snapToGrid w:val="0"/>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以满足磋商文件要求且最后报价最低的供应商的价格为磋商基准价，其价格分为30分。其他供应商的价格分统一按照下列公式计算：</w:t>
      </w:r>
    </w:p>
    <w:p>
      <w:pPr>
        <w:snapToGrid w:val="0"/>
        <w:spacing w:line="40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磋商报价得分=（磋商基准价/最后磋商报价）×30%×100</w:t>
      </w:r>
    </w:p>
    <w:tbl>
      <w:tblPr>
        <w:tblStyle w:val="59"/>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8518"/>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319" w:type="dxa"/>
            <w:gridSpan w:val="3"/>
            <w:tcBorders>
              <w:top w:val="single" w:color="auto" w:sz="4" w:space="0"/>
              <w:left w:val="single" w:color="auto" w:sz="4" w:space="0"/>
              <w:bottom w:val="single" w:color="auto" w:sz="4" w:space="0"/>
              <w:right w:val="single" w:color="auto" w:sz="4" w:space="0"/>
            </w:tcBorders>
            <w:noWrap/>
            <w:vAlign w:val="center"/>
          </w:tcPr>
          <w:p>
            <w:pPr>
              <w:tabs>
                <w:tab w:val="left" w:pos="360"/>
                <w:tab w:val="left" w:pos="840"/>
              </w:tabs>
              <w:jc w:val="center"/>
              <w:rPr>
                <w:rFonts w:ascii="宋体" w:hAnsi="宋体" w:cs="宋体"/>
                <w:color w:val="000000"/>
                <w:sz w:val="24"/>
                <w:highlight w:val="yellow"/>
              </w:rPr>
            </w:pPr>
            <w:r>
              <w:rPr>
                <w:rFonts w:hint="eastAsia" w:ascii="宋体" w:hAnsi="宋体" w:cs="宋体"/>
                <w:color w:val="000000"/>
                <w:sz w:val="24"/>
              </w:rPr>
              <w:t>报价分30分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tabs>
                <w:tab w:val="left" w:pos="360"/>
                <w:tab w:val="left" w:pos="840"/>
              </w:tabs>
              <w:jc w:val="center"/>
              <w:rPr>
                <w:rFonts w:ascii="宋体" w:hAnsi="宋体" w:cs="宋体"/>
                <w:color w:val="000000"/>
                <w:sz w:val="24"/>
              </w:rPr>
            </w:pPr>
            <w:r>
              <w:rPr>
                <w:rFonts w:hint="eastAsia" w:ascii="宋体" w:hAnsi="宋体" w:cs="宋体"/>
                <w:color w:val="000000"/>
                <w:sz w:val="24"/>
              </w:rPr>
              <w:t>报价</w:t>
            </w:r>
          </w:p>
        </w:tc>
        <w:tc>
          <w:tcPr>
            <w:tcW w:w="8518" w:type="dxa"/>
            <w:tcBorders>
              <w:top w:val="single" w:color="auto" w:sz="4" w:space="0"/>
              <w:left w:val="single" w:color="auto" w:sz="4" w:space="0"/>
              <w:bottom w:val="single" w:color="auto" w:sz="4" w:space="0"/>
              <w:right w:val="single" w:color="auto" w:sz="4" w:space="0"/>
            </w:tcBorders>
            <w:noWrap/>
            <w:vAlign w:val="center"/>
          </w:tcPr>
          <w:p>
            <w:pPr>
              <w:spacing w:line="460" w:lineRule="atLeast"/>
              <w:jc w:val="left"/>
              <w:rPr>
                <w:rFonts w:ascii="宋体"/>
                <w:sz w:val="24"/>
              </w:rPr>
            </w:pPr>
            <w:r>
              <w:rPr>
                <w:rFonts w:hint="eastAsia" w:ascii="宋体"/>
                <w:sz w:val="24"/>
              </w:rPr>
              <w:t>本项目以有效报价的最低价为评标基准价，其价格分为满分。其他投标人的价格分按照下列公式计算：投标报价得分=（评标基准价/投标报价）*30%*100，投标报价金额超过最高限价的，为无效投标文件。</w:t>
            </w:r>
          </w:p>
          <w:p>
            <w:pPr>
              <w:spacing w:line="460" w:lineRule="atLeast"/>
              <w:jc w:val="left"/>
              <w:rPr>
                <w:rFonts w:ascii="宋体" w:hAnsi="宋体" w:cs="宋体"/>
                <w:color w:val="000000"/>
                <w:sz w:val="24"/>
              </w:rPr>
            </w:pPr>
            <w:r>
              <w:rPr>
                <w:rFonts w:hint="eastAsia" w:ascii="宋体"/>
                <w:sz w:val="24"/>
              </w:rPr>
              <w:t>根据财库[2020]46号文件中《政府采购促进中小企业发展暂行办法》的规定，本项目实行对小型和微型企业产品的价格给予6%的扣除，用扣除后的价格参与评审。（企业需填写《中小企业声明函》和国家企业信用信息公示系统——小微企业名录查询记录）。符合《财政部、司法部关于政府采购支持监狱企业发展有关问题的通知》（财库[2014]68号）规定的“监狱企业”和符合《财政部、民政部、中国残疾人联合会关于促进残疾人就业政府采购政策的通知》（财库[2017]141号）“残疾人福利性单位”给予相同价格优惠扶持。</w:t>
            </w:r>
          </w:p>
        </w:tc>
        <w:tc>
          <w:tcPr>
            <w:tcW w:w="883" w:type="dxa"/>
            <w:tcBorders>
              <w:top w:val="single" w:color="auto" w:sz="4" w:space="0"/>
              <w:left w:val="single" w:color="auto" w:sz="4" w:space="0"/>
              <w:bottom w:val="single" w:color="auto" w:sz="4" w:space="0"/>
              <w:right w:val="single" w:color="auto" w:sz="4" w:space="0"/>
            </w:tcBorders>
            <w:noWrap/>
            <w:vAlign w:val="center"/>
          </w:tcPr>
          <w:p>
            <w:pPr>
              <w:tabs>
                <w:tab w:val="left" w:pos="360"/>
                <w:tab w:val="left" w:pos="840"/>
              </w:tabs>
              <w:jc w:val="center"/>
              <w:rPr>
                <w:rFonts w:ascii="宋体" w:hAnsi="宋体" w:cs="宋体"/>
                <w:color w:val="000000"/>
                <w:sz w:val="24"/>
              </w:rPr>
            </w:pPr>
            <w:r>
              <w:rPr>
                <w:rFonts w:hint="eastAsia" w:ascii="宋体" w:hAnsi="宋体" w:cs="宋体"/>
                <w:color w:val="000000"/>
                <w:sz w:val="24"/>
              </w:rPr>
              <w:t>30分</w:t>
            </w:r>
          </w:p>
        </w:tc>
      </w:tr>
    </w:tbl>
    <w:p>
      <w:pPr>
        <w:snapToGrid w:val="0"/>
        <w:spacing w:line="460" w:lineRule="exact"/>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资信部分(70分)</w:t>
      </w:r>
    </w:p>
    <w:tbl>
      <w:tblPr>
        <w:tblStyle w:val="59"/>
        <w:tblW w:w="102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76"/>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156" w:type="dxa"/>
            <w:gridSpan w:val="2"/>
            <w:vAlign w:val="center"/>
          </w:tcPr>
          <w:p>
            <w:pPr>
              <w:jc w:val="center"/>
              <w:rPr>
                <w:rFonts w:ascii="宋体" w:hAnsi="宋体" w:cs="宋体"/>
                <w:color w:val="000000"/>
                <w:sz w:val="24"/>
              </w:rPr>
            </w:pPr>
            <w:r>
              <w:rPr>
                <w:rFonts w:hint="eastAsia" w:ascii="宋体" w:hAnsi="宋体" w:cs="宋体"/>
                <w:color w:val="000000"/>
                <w:sz w:val="24"/>
              </w:rPr>
              <w:t>内容</w:t>
            </w:r>
          </w:p>
        </w:tc>
        <w:tc>
          <w:tcPr>
            <w:tcW w:w="8126"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0" w:type="dxa"/>
            <w:vMerge w:val="restart"/>
            <w:vAlign w:val="center"/>
          </w:tcPr>
          <w:p>
            <w:pPr>
              <w:spacing w:line="400" w:lineRule="exact"/>
              <w:jc w:val="center"/>
              <w:rPr>
                <w:rFonts w:ascii="宋体" w:hAnsi="宋体" w:cs="宋体"/>
                <w:color w:val="000000"/>
                <w:sz w:val="24"/>
              </w:rPr>
            </w:pPr>
            <w:r>
              <w:rPr>
                <w:rFonts w:hint="eastAsia" w:ascii="宋体" w:hAnsi="宋体" w:cs="宋体"/>
                <w:color w:val="000000"/>
                <w:sz w:val="24"/>
              </w:rPr>
              <w:t>商务资信分</w:t>
            </w:r>
          </w:p>
          <w:p>
            <w:pPr>
              <w:spacing w:line="400" w:lineRule="exact"/>
              <w:jc w:val="center"/>
              <w:rPr>
                <w:rFonts w:ascii="宋体" w:hAnsi="宋体" w:cs="宋体"/>
                <w:color w:val="000000"/>
                <w:sz w:val="24"/>
              </w:rPr>
            </w:pPr>
            <w:r>
              <w:rPr>
                <w:rFonts w:hint="eastAsia" w:ascii="宋体" w:hAnsi="宋体" w:cs="宋体"/>
                <w:color w:val="000000"/>
                <w:sz w:val="24"/>
              </w:rPr>
              <w:t>29分</w:t>
            </w:r>
          </w:p>
        </w:tc>
        <w:tc>
          <w:tcPr>
            <w:tcW w:w="1276" w:type="dxa"/>
            <w:vAlign w:val="center"/>
          </w:tcPr>
          <w:p>
            <w:pPr>
              <w:spacing w:line="400" w:lineRule="exact"/>
              <w:ind w:left="240" w:hanging="240" w:hangingChars="100"/>
              <w:rPr>
                <w:rFonts w:ascii="宋体" w:hAnsi="宋体" w:cs="宋体"/>
                <w:sz w:val="24"/>
              </w:rPr>
            </w:pPr>
            <w:r>
              <w:rPr>
                <w:rFonts w:hint="eastAsia" w:ascii="宋体" w:hAnsi="宋体" w:cs="宋体"/>
                <w:sz w:val="24"/>
              </w:rPr>
              <w:t>公司资质</w:t>
            </w:r>
          </w:p>
          <w:p>
            <w:pPr>
              <w:spacing w:line="400" w:lineRule="exact"/>
              <w:ind w:left="240" w:hanging="240" w:hangingChars="100"/>
              <w:rPr>
                <w:rFonts w:ascii="宋体" w:hAnsi="宋体" w:cs="宋体"/>
                <w:sz w:val="24"/>
              </w:rPr>
            </w:pPr>
            <w:r>
              <w:rPr>
                <w:rFonts w:hint="eastAsia" w:ascii="宋体" w:hAnsi="宋体" w:cs="宋体"/>
                <w:sz w:val="24"/>
              </w:rPr>
              <w:t>（15分）</w:t>
            </w:r>
          </w:p>
        </w:tc>
        <w:tc>
          <w:tcPr>
            <w:tcW w:w="8126" w:type="dxa"/>
            <w:vAlign w:val="center"/>
          </w:tcPr>
          <w:p>
            <w:pPr>
              <w:spacing w:line="300" w:lineRule="exact"/>
              <w:jc w:val="left"/>
              <w:rPr>
                <w:rFonts w:ascii="宋体" w:hAnsi="宋体" w:cs="宋体"/>
                <w:sz w:val="24"/>
              </w:rPr>
            </w:pPr>
            <w:r>
              <w:rPr>
                <w:rFonts w:hint="eastAsia" w:ascii="宋体" w:hAnsi="宋体" w:cs="宋体"/>
                <w:sz w:val="24"/>
              </w:rPr>
              <w:t>1、提供有效的CMMI5（需含有软件能力成熟度集成模型5级及以上）资质证书得3分；</w:t>
            </w:r>
          </w:p>
          <w:p>
            <w:pPr>
              <w:spacing w:line="300" w:lineRule="exact"/>
              <w:jc w:val="left"/>
              <w:rPr>
                <w:rFonts w:ascii="宋体" w:hAnsi="宋体" w:cs="宋体"/>
                <w:sz w:val="24"/>
              </w:rPr>
            </w:pPr>
            <w:r>
              <w:rPr>
                <w:rFonts w:hint="eastAsia" w:ascii="宋体" w:hAnsi="宋体" w:cs="宋体"/>
                <w:sz w:val="24"/>
              </w:rPr>
              <w:t>2、提供有效期内ISO9001（GB/T19001）质量管理体系认证、ISO14000环境管理体系认证、职业健康安全管理体系认证（GB/T 45001-2020/ISO 45001:2018）的，得3分，缺少任何一项不得分.</w:t>
            </w:r>
          </w:p>
          <w:p>
            <w:pPr>
              <w:spacing w:line="300" w:lineRule="exact"/>
              <w:jc w:val="left"/>
              <w:rPr>
                <w:rFonts w:ascii="宋体" w:hAnsi="宋体" w:cs="宋体"/>
                <w:sz w:val="24"/>
              </w:rPr>
            </w:pPr>
            <w:r>
              <w:rPr>
                <w:rFonts w:hint="eastAsia" w:ascii="宋体" w:hAnsi="宋体" w:cs="宋体"/>
                <w:sz w:val="24"/>
              </w:rPr>
              <w:t>3、提供ISO/IEC20000-1:2011IT服务管理体系，得1分；</w:t>
            </w:r>
          </w:p>
          <w:p>
            <w:pPr>
              <w:spacing w:line="300" w:lineRule="exact"/>
              <w:jc w:val="left"/>
              <w:rPr>
                <w:rFonts w:ascii="宋体" w:hAnsi="宋体" w:cs="宋体"/>
                <w:sz w:val="24"/>
              </w:rPr>
            </w:pPr>
            <w:r>
              <w:rPr>
                <w:rFonts w:hint="eastAsia" w:ascii="宋体" w:hAnsi="宋体" w:cs="宋体"/>
                <w:sz w:val="24"/>
              </w:rPr>
              <w:t>4、提供ISO/IEC27001：2013信息安全管理体系认证的，得1分；</w:t>
            </w:r>
          </w:p>
          <w:p>
            <w:pPr>
              <w:spacing w:line="300" w:lineRule="exact"/>
              <w:jc w:val="left"/>
              <w:rPr>
                <w:rFonts w:ascii="宋体" w:hAnsi="宋体" w:cs="宋体"/>
                <w:sz w:val="24"/>
              </w:rPr>
            </w:pPr>
            <w:r>
              <w:rPr>
                <w:rFonts w:hint="eastAsia" w:ascii="宋体" w:hAnsi="宋体" w:cs="宋体"/>
                <w:sz w:val="24"/>
              </w:rPr>
              <w:t>5、提供安全生产标准化三级证书及以上，得1分；</w:t>
            </w:r>
          </w:p>
          <w:p>
            <w:pPr>
              <w:spacing w:line="300" w:lineRule="exact"/>
              <w:jc w:val="left"/>
              <w:rPr>
                <w:rFonts w:ascii="宋体" w:hAnsi="宋体" w:cs="宋体"/>
                <w:sz w:val="24"/>
              </w:rPr>
            </w:pPr>
            <w:r>
              <w:rPr>
                <w:rFonts w:hint="eastAsia" w:ascii="宋体" w:hAnsi="宋体" w:cs="宋体"/>
                <w:sz w:val="24"/>
              </w:rPr>
              <w:t>6、提供ITSS信息技术服务运行维护标准符合性三级及以上认证，得1分；</w:t>
            </w:r>
          </w:p>
          <w:p>
            <w:pPr>
              <w:spacing w:line="300" w:lineRule="exact"/>
              <w:jc w:val="left"/>
              <w:rPr>
                <w:rFonts w:ascii="宋体" w:hAnsi="宋体" w:cs="宋体"/>
                <w:sz w:val="24"/>
              </w:rPr>
            </w:pPr>
            <w:r>
              <w:rPr>
                <w:rFonts w:hint="eastAsia" w:ascii="宋体" w:hAnsi="宋体" w:cs="宋体"/>
                <w:sz w:val="24"/>
              </w:rPr>
              <w:t>7、提供省级高新技术企业研究开发中心证书，得2分；</w:t>
            </w:r>
          </w:p>
          <w:p>
            <w:pPr>
              <w:spacing w:line="300" w:lineRule="exact"/>
              <w:jc w:val="left"/>
              <w:rPr>
                <w:rFonts w:ascii="宋体" w:hAnsi="宋体" w:cs="宋体"/>
                <w:sz w:val="24"/>
              </w:rPr>
            </w:pPr>
            <w:r>
              <w:rPr>
                <w:rFonts w:hint="eastAsia" w:ascii="宋体" w:hAnsi="宋体" w:cs="宋体"/>
                <w:sz w:val="24"/>
              </w:rPr>
              <w:t>8、提供高新技术企业证书，得1分；</w:t>
            </w:r>
          </w:p>
          <w:p>
            <w:pPr>
              <w:spacing w:line="300" w:lineRule="exact"/>
              <w:jc w:val="left"/>
              <w:rPr>
                <w:rFonts w:ascii="宋体" w:hAnsi="宋体" w:cs="宋体"/>
                <w:sz w:val="24"/>
              </w:rPr>
            </w:pPr>
            <w:r>
              <w:rPr>
                <w:rFonts w:hint="eastAsia" w:ascii="宋体" w:hAnsi="宋体" w:cs="宋体"/>
                <w:sz w:val="24"/>
              </w:rPr>
              <w:t>9、提供国家重点软件企业和集成电路企业截图证明，得2分；</w:t>
            </w:r>
          </w:p>
          <w:p>
            <w:pPr>
              <w:spacing w:line="300" w:lineRule="exact"/>
              <w:jc w:val="left"/>
              <w:rPr>
                <w:rFonts w:ascii="宋体" w:hAnsi="宋体" w:cs="宋体"/>
                <w:sz w:val="24"/>
              </w:rPr>
            </w:pPr>
            <w:r>
              <w:rPr>
                <w:rFonts w:hint="eastAsia" w:ascii="宋体" w:hAnsi="宋体" w:cs="宋体"/>
                <w:b/>
                <w:bCs/>
                <w:sz w:val="24"/>
              </w:rPr>
              <w:t>以上证书须提供证书原件扫描件并加盖公章，且证书须在有效期内，未提供不得分。（原件备查，未提供不得分）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0" w:type="dxa"/>
            <w:vMerge w:val="continue"/>
            <w:vAlign w:val="center"/>
          </w:tcPr>
          <w:p>
            <w:pPr>
              <w:spacing w:line="400" w:lineRule="exact"/>
              <w:rPr>
                <w:rFonts w:ascii="宋体" w:hAnsi="宋体" w:cs="宋体"/>
                <w:color w:val="000000"/>
                <w:sz w:val="24"/>
              </w:rPr>
            </w:pPr>
          </w:p>
        </w:tc>
        <w:tc>
          <w:tcPr>
            <w:tcW w:w="1276" w:type="dxa"/>
            <w:vAlign w:val="center"/>
          </w:tcPr>
          <w:p>
            <w:pPr>
              <w:spacing w:line="400" w:lineRule="exact"/>
              <w:rPr>
                <w:rFonts w:ascii="宋体" w:hAnsi="宋体" w:cs="宋体"/>
                <w:color w:val="000000"/>
                <w:sz w:val="24"/>
              </w:rPr>
            </w:pPr>
            <w:r>
              <w:rPr>
                <w:rFonts w:hint="eastAsia" w:ascii="宋体" w:hAnsi="宋体" w:cs="宋体"/>
                <w:color w:val="000000"/>
                <w:sz w:val="24"/>
              </w:rPr>
              <w:t>同类项目业绩（10分）</w:t>
            </w:r>
          </w:p>
        </w:tc>
        <w:tc>
          <w:tcPr>
            <w:tcW w:w="8126" w:type="dxa"/>
            <w:vAlign w:val="center"/>
          </w:tcPr>
          <w:p>
            <w:pPr>
              <w:spacing w:line="300" w:lineRule="exact"/>
              <w:jc w:val="left"/>
              <w:rPr>
                <w:rFonts w:ascii="宋体" w:hAnsi="宋体" w:cs="宋体"/>
                <w:sz w:val="24"/>
              </w:rPr>
            </w:pPr>
            <w:r>
              <w:rPr>
                <w:rFonts w:hint="eastAsia" w:ascii="宋体" w:hAnsi="宋体" w:cs="宋体"/>
                <w:sz w:val="24"/>
              </w:rPr>
              <w:t>投标人自2018年1月1日至今（以合同签订时间为准），具有4A级</w:t>
            </w:r>
            <w:r>
              <w:rPr>
                <w:rFonts w:hint="eastAsia" w:ascii="宋体" w:hAnsi="宋体" w:cs="宋体"/>
                <w:sz w:val="24"/>
                <w:lang w:val="en-US" w:eastAsia="zh-CN"/>
              </w:rPr>
              <w:t>及</w:t>
            </w:r>
            <w:r>
              <w:rPr>
                <w:rFonts w:hint="eastAsia" w:ascii="宋体" w:hAnsi="宋体" w:cs="宋体"/>
                <w:sz w:val="24"/>
              </w:rPr>
              <w:t>以上景区新建电子售检票系统建设项目的案例。每提供1个得2分，最多得10分。</w:t>
            </w:r>
          </w:p>
          <w:p>
            <w:pPr>
              <w:spacing w:line="300" w:lineRule="exact"/>
              <w:jc w:val="left"/>
              <w:rPr>
                <w:rFonts w:ascii="宋体" w:hAnsi="宋体" w:cs="宋体"/>
                <w:color w:val="000000"/>
                <w:sz w:val="24"/>
              </w:rPr>
            </w:pPr>
            <w:r>
              <w:rPr>
                <w:rFonts w:hint="eastAsia" w:ascii="宋体" w:hAnsi="宋体" w:cs="宋体"/>
                <w:b/>
                <w:bCs/>
                <w:sz w:val="24"/>
              </w:rPr>
              <w:t>注：提供项目业绩合同原件扫描件并加盖公章，原件备查</w:t>
            </w:r>
            <w:r>
              <w:rPr>
                <w:rFonts w:hint="eastAsia" w:ascii="宋体" w:hAnsi="宋体" w:cs="宋体"/>
                <w:b/>
                <w:bCs/>
                <w:color w:val="auto"/>
                <w:sz w:val="24"/>
              </w:rPr>
              <w:t>，并提供相关证明景区级别的截图，未提供不得分。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continue"/>
            <w:vAlign w:val="center"/>
          </w:tcPr>
          <w:p>
            <w:pPr>
              <w:spacing w:line="400" w:lineRule="exact"/>
              <w:rPr>
                <w:rFonts w:ascii="宋体" w:hAnsi="宋体" w:cs="宋体"/>
                <w:color w:val="000000"/>
                <w:sz w:val="24"/>
              </w:rPr>
            </w:pPr>
          </w:p>
        </w:tc>
        <w:tc>
          <w:tcPr>
            <w:tcW w:w="1276"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实施团队</w:t>
            </w:r>
          </w:p>
          <w:p>
            <w:pPr>
              <w:spacing w:line="400" w:lineRule="exact"/>
              <w:jc w:val="center"/>
              <w:rPr>
                <w:rFonts w:ascii="宋体" w:hAnsi="宋体" w:cs="宋体"/>
                <w:color w:val="000000"/>
                <w:sz w:val="24"/>
              </w:rPr>
            </w:pPr>
            <w:r>
              <w:rPr>
                <w:rFonts w:hint="eastAsia" w:ascii="宋体" w:hAnsi="宋体" w:cs="宋体"/>
                <w:color w:val="000000"/>
                <w:sz w:val="24"/>
              </w:rPr>
              <w:t>（4分）</w:t>
            </w:r>
          </w:p>
        </w:tc>
        <w:tc>
          <w:tcPr>
            <w:tcW w:w="8126" w:type="dxa"/>
            <w:vAlign w:val="center"/>
          </w:tcPr>
          <w:p>
            <w:pPr>
              <w:spacing w:line="300" w:lineRule="exact"/>
              <w:jc w:val="left"/>
              <w:rPr>
                <w:rFonts w:ascii="宋体" w:hAnsi="宋体" w:cs="宋体"/>
                <w:sz w:val="24"/>
              </w:rPr>
            </w:pPr>
            <w:r>
              <w:rPr>
                <w:rFonts w:hint="eastAsia" w:ascii="宋体" w:hAnsi="宋体" w:cs="宋体"/>
                <w:color w:val="000000"/>
                <w:sz w:val="24"/>
              </w:rPr>
              <w:t>1、投标人实施团队成员中具</w:t>
            </w:r>
            <w:r>
              <w:rPr>
                <w:rFonts w:hint="eastAsia" w:ascii="宋体" w:hAnsi="宋体" w:cs="宋体"/>
                <w:sz w:val="24"/>
              </w:rPr>
              <w:t>有工程师、网络工程师、系统集成项目管理工程师、PMP，每种认证提供1人得1分，最高得4分，重复不得分；</w:t>
            </w:r>
          </w:p>
          <w:p>
            <w:pPr>
              <w:spacing w:line="300" w:lineRule="exact"/>
              <w:jc w:val="left"/>
              <w:rPr>
                <w:rFonts w:ascii="宋体" w:hAnsi="宋体" w:cs="宋体"/>
                <w:color w:val="000000"/>
                <w:sz w:val="24"/>
              </w:rPr>
            </w:pPr>
            <w:r>
              <w:rPr>
                <w:rFonts w:hint="eastAsia" w:ascii="宋体" w:hAnsi="宋体" w:cs="宋体"/>
                <w:b/>
                <w:bCs/>
                <w:sz w:val="24"/>
              </w:rPr>
              <w:t>注：需提供相关证书原件及投标人为其缴纳的近</w:t>
            </w:r>
            <w:r>
              <w:rPr>
                <w:rFonts w:hint="eastAsia" w:ascii="宋体" w:hAnsi="宋体" w:cs="宋体"/>
                <w:b/>
                <w:bCs/>
                <w:color w:val="000000"/>
                <w:sz w:val="24"/>
              </w:rPr>
              <w:t>3个月任意一个月的社保缴纳凭</w:t>
            </w:r>
            <w:r>
              <w:rPr>
                <w:rFonts w:hint="eastAsia" w:ascii="宋体" w:hAnsi="宋体" w:cs="宋体"/>
                <w:b/>
                <w:bCs/>
                <w:sz w:val="24"/>
              </w:rPr>
              <w:t>证并加盖公章，原件备查，</w:t>
            </w:r>
            <w:r>
              <w:rPr>
                <w:rFonts w:hint="eastAsia" w:ascii="宋体" w:hAnsi="宋体" w:cs="宋体"/>
                <w:b/>
                <w:bCs/>
                <w:color w:val="000000"/>
                <w:sz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80" w:type="dxa"/>
            <w:vMerge w:val="restart"/>
            <w:vAlign w:val="center"/>
          </w:tcPr>
          <w:p>
            <w:pPr>
              <w:spacing w:line="400" w:lineRule="exact"/>
              <w:jc w:val="center"/>
              <w:rPr>
                <w:rFonts w:ascii="宋体" w:hAnsi="宋体" w:cs="宋体"/>
                <w:color w:val="000000"/>
                <w:sz w:val="24"/>
              </w:rPr>
            </w:pPr>
            <w:r>
              <w:rPr>
                <w:rFonts w:hint="eastAsia" w:ascii="宋体" w:hAnsi="宋体" w:cs="宋体"/>
                <w:color w:val="000000"/>
                <w:sz w:val="24"/>
              </w:rPr>
              <w:t>技术分</w:t>
            </w:r>
          </w:p>
          <w:p>
            <w:pPr>
              <w:spacing w:line="400" w:lineRule="exact"/>
              <w:jc w:val="center"/>
              <w:rPr>
                <w:rFonts w:ascii="宋体" w:hAnsi="宋体" w:cs="宋体"/>
                <w:color w:val="000000"/>
                <w:sz w:val="24"/>
              </w:rPr>
            </w:pPr>
            <w:r>
              <w:rPr>
                <w:rFonts w:hint="eastAsia" w:ascii="宋体" w:hAnsi="宋体" w:cs="宋体"/>
                <w:color w:val="000000"/>
                <w:sz w:val="24"/>
              </w:rPr>
              <w:t>41分</w:t>
            </w:r>
          </w:p>
        </w:tc>
        <w:tc>
          <w:tcPr>
            <w:tcW w:w="1276" w:type="dxa"/>
            <w:tcBorders>
              <w:bottom w:val="single" w:color="auto" w:sz="4" w:space="0"/>
            </w:tcBorders>
            <w:vAlign w:val="center"/>
          </w:tcPr>
          <w:p>
            <w:pPr>
              <w:spacing w:line="400" w:lineRule="exact"/>
              <w:jc w:val="center"/>
              <w:rPr>
                <w:rFonts w:ascii="宋体" w:hAnsi="宋体" w:cs="宋体"/>
                <w:color w:val="000000"/>
                <w:sz w:val="24"/>
              </w:rPr>
            </w:pPr>
            <w:r>
              <w:rPr>
                <w:rFonts w:hint="eastAsia" w:ascii="宋体" w:hAnsi="宋体" w:cs="宋体"/>
                <w:color w:val="000000"/>
                <w:sz w:val="24"/>
              </w:rPr>
              <w:t>技术能力</w:t>
            </w:r>
          </w:p>
          <w:p>
            <w:pPr>
              <w:spacing w:line="400" w:lineRule="exact"/>
              <w:jc w:val="center"/>
              <w:rPr>
                <w:rFonts w:ascii="宋体" w:hAnsi="宋体" w:cs="宋体"/>
                <w:color w:val="000000"/>
                <w:sz w:val="24"/>
              </w:rPr>
            </w:pPr>
            <w:r>
              <w:rPr>
                <w:rFonts w:hint="eastAsia" w:ascii="宋体" w:hAnsi="宋体" w:cs="宋体"/>
                <w:color w:val="000000"/>
                <w:sz w:val="24"/>
              </w:rPr>
              <w:t>（20分）</w:t>
            </w:r>
          </w:p>
        </w:tc>
        <w:tc>
          <w:tcPr>
            <w:tcW w:w="8126" w:type="dxa"/>
            <w:tcBorders>
              <w:bottom w:val="single" w:color="auto" w:sz="4" w:space="0"/>
            </w:tcBorders>
            <w:vAlign w:val="center"/>
          </w:tcPr>
          <w:p>
            <w:pPr>
              <w:spacing w:line="300" w:lineRule="exact"/>
              <w:jc w:val="left"/>
              <w:rPr>
                <w:rFonts w:ascii="宋体" w:hAnsi="宋体" w:cs="宋体"/>
                <w:sz w:val="24"/>
              </w:rPr>
            </w:pPr>
            <w:r>
              <w:rPr>
                <w:rFonts w:hint="eastAsia" w:ascii="宋体" w:hAnsi="宋体" w:cs="宋体"/>
                <w:sz w:val="24"/>
              </w:rPr>
              <w:t>投标人所投系统软件产品：</w:t>
            </w:r>
          </w:p>
          <w:p>
            <w:pPr>
              <w:spacing w:line="300" w:lineRule="exact"/>
              <w:jc w:val="left"/>
              <w:rPr>
                <w:rFonts w:ascii="宋体" w:hAnsi="宋体" w:cs="宋体"/>
                <w:sz w:val="24"/>
              </w:rPr>
            </w:pPr>
            <w:r>
              <w:rPr>
                <w:rFonts w:hint="eastAsia" w:ascii="宋体" w:hAnsi="宋体" w:cs="宋体"/>
                <w:sz w:val="24"/>
              </w:rPr>
              <w:t>（1）具有OTA 电商平台对接自主电商平台技术，需至少提供3家OTA平台（携程、美团、同程、马蜂窝、飞猪、驴妈妈）API接口协议等证明材料，提供得5分，未提供或提供数量少于3家不得分；</w:t>
            </w:r>
          </w:p>
          <w:p>
            <w:pPr>
              <w:spacing w:line="300" w:lineRule="exact"/>
              <w:jc w:val="left"/>
              <w:rPr>
                <w:rFonts w:ascii="宋体" w:hAnsi="宋体" w:cs="宋体"/>
                <w:sz w:val="24"/>
              </w:rPr>
            </w:pPr>
            <w:r>
              <w:rPr>
                <w:rFonts w:hint="eastAsia" w:ascii="宋体" w:hAnsi="宋体" w:cs="宋体"/>
                <w:sz w:val="24"/>
              </w:rPr>
              <w:t>（2）投标人需具有以下软件著作权登记证书：云票务检票系统软件、旅游景区电子商务系统软件、全员营销管理系统软件、聚合支付管理系统、旅游企业服务总线系统软件，提供得5分，缺少一项不得分；</w:t>
            </w:r>
          </w:p>
          <w:p>
            <w:pPr>
              <w:pStyle w:val="2"/>
              <w:rPr>
                <w:rFonts w:ascii="宋体" w:hAnsi="宋体" w:cs="宋体"/>
                <w:sz w:val="24"/>
                <w:szCs w:val="24"/>
              </w:rPr>
            </w:pPr>
            <w:r>
              <w:rPr>
                <w:rFonts w:hint="eastAsia" w:ascii="宋体" w:hAnsi="宋体" w:cs="宋体"/>
                <w:sz w:val="24"/>
                <w:szCs w:val="24"/>
              </w:rPr>
              <w:t>（3）投标人需具有以下软件测评报告，且报告中软件名称要与以上软件著作权证书登记名称一致：云票务检票系统软件、旅游景区电子商务系统软件，智能闸机控制系统软件，得3分，缺一项不得分；</w:t>
            </w:r>
          </w:p>
          <w:p>
            <w:pPr>
              <w:spacing w:line="300" w:lineRule="exact"/>
              <w:jc w:val="left"/>
              <w:rPr>
                <w:rFonts w:ascii="宋体" w:hAnsi="宋体" w:cs="宋体"/>
                <w:sz w:val="24"/>
              </w:rPr>
            </w:pPr>
            <w:r>
              <w:rPr>
                <w:rFonts w:hint="eastAsia" w:ascii="宋体" w:hAnsi="宋体" w:cs="宋体"/>
                <w:sz w:val="24"/>
              </w:rPr>
              <w:t>（4）投标人需具硬件自助研发能力，有以下软件著作权登记证书：智能闸机控制系统软件、A9闸机主控板控制软件；提供得2分，缺少一项不得分；</w:t>
            </w:r>
          </w:p>
          <w:p>
            <w:pPr>
              <w:spacing w:line="300" w:lineRule="exact"/>
              <w:jc w:val="left"/>
              <w:rPr>
                <w:rFonts w:ascii="宋体" w:hAnsi="宋体" w:cs="宋体"/>
                <w:sz w:val="24"/>
              </w:rPr>
            </w:pPr>
            <w:r>
              <w:rPr>
                <w:rFonts w:hint="eastAsia" w:ascii="宋体" w:hAnsi="宋体" w:cs="宋体"/>
                <w:sz w:val="24"/>
              </w:rPr>
              <w:t>（5）投标人需具备硬件自主生产能力，需提供三辊式闸机相关专利证书，提供的2分，未提供不得分；</w:t>
            </w:r>
          </w:p>
          <w:p>
            <w:pPr>
              <w:spacing w:line="300" w:lineRule="exact"/>
              <w:jc w:val="left"/>
              <w:rPr>
                <w:rFonts w:ascii="宋体" w:hAnsi="宋体" w:cs="宋体"/>
                <w:sz w:val="24"/>
              </w:rPr>
            </w:pPr>
            <w:r>
              <w:rPr>
                <w:rFonts w:hint="eastAsia" w:ascii="宋体" w:hAnsi="宋体" w:cs="宋体"/>
                <w:sz w:val="24"/>
              </w:rPr>
              <w:t>（6）标</w:t>
            </w:r>
            <w:r>
              <w:rPr>
                <w:rFonts w:hint="eastAsia" w:ascii="宋体" w:hAnsi="宋体" w:cs="宋体"/>
                <w:color w:val="000000"/>
                <w:kern w:val="0"/>
                <w:sz w:val="24"/>
              </w:rPr>
              <w:t>★</w:t>
            </w:r>
            <w:r>
              <w:rPr>
                <w:rFonts w:hint="eastAsia" w:ascii="宋体" w:hAnsi="宋体" w:cs="宋体"/>
                <w:sz w:val="24"/>
              </w:rPr>
              <w:t>参数需提供三辊闸检测报告证明，提供得3分。</w:t>
            </w:r>
          </w:p>
          <w:p>
            <w:pPr>
              <w:spacing w:line="300" w:lineRule="exact"/>
              <w:jc w:val="left"/>
              <w:rPr>
                <w:rFonts w:ascii="宋体" w:hAnsi="宋体" w:cs="宋体"/>
                <w:sz w:val="24"/>
              </w:rPr>
            </w:pPr>
            <w:r>
              <w:rPr>
                <w:rFonts w:hint="eastAsia" w:ascii="宋体" w:hAnsi="宋体" w:cs="宋体"/>
                <w:b/>
                <w:bCs/>
                <w:sz w:val="24"/>
              </w:rPr>
              <w:t>以上证书须提供证书原件扫描件并加盖公章，且证书须在有效期内，未提供不得分。（原件备查，未提供不得分）。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80" w:type="dxa"/>
            <w:vMerge w:val="continue"/>
            <w:vAlign w:val="center"/>
          </w:tcPr>
          <w:p>
            <w:pPr>
              <w:spacing w:line="400" w:lineRule="exact"/>
              <w:jc w:val="center"/>
              <w:rPr>
                <w:rFonts w:ascii="宋体" w:hAnsi="宋体" w:cs="宋体"/>
                <w:color w:val="000000"/>
                <w:sz w:val="24"/>
              </w:rPr>
            </w:pPr>
          </w:p>
        </w:tc>
        <w:tc>
          <w:tcPr>
            <w:tcW w:w="1276" w:type="dxa"/>
            <w:vAlign w:val="center"/>
          </w:tcPr>
          <w:p>
            <w:pPr>
              <w:pStyle w:val="26"/>
              <w:adjustRightInd w:val="0"/>
              <w:spacing w:line="380" w:lineRule="exact"/>
              <w:ind w:left="0" w:firstLine="0"/>
              <w:rPr>
                <w:rFonts w:hAnsi="宋体" w:cs="宋体"/>
              </w:rPr>
            </w:pPr>
            <w:r>
              <w:rPr>
                <w:rFonts w:hint="eastAsia" w:hAnsi="宋体" w:cs="宋体"/>
              </w:rPr>
              <w:t>技术及实施方案（6分）</w:t>
            </w:r>
          </w:p>
        </w:tc>
        <w:tc>
          <w:tcPr>
            <w:tcW w:w="8126" w:type="dxa"/>
            <w:vAlign w:val="center"/>
          </w:tcPr>
          <w:p>
            <w:pPr>
              <w:pStyle w:val="26"/>
              <w:adjustRightInd w:val="0"/>
              <w:spacing w:line="380" w:lineRule="exact"/>
              <w:ind w:left="0" w:firstLine="0"/>
              <w:rPr>
                <w:rFonts w:hAnsi="宋体" w:cs="宋体"/>
              </w:rPr>
            </w:pPr>
            <w:r>
              <w:rPr>
                <w:rFonts w:hint="eastAsia" w:hAnsi="宋体" w:cs="宋体"/>
              </w:rPr>
              <w:t>根据投标人提供的技术及实施方案进行打分，内容需包括软件技术功能说明、项目组织机构、实施计划、供货保障、项目风险管理等，得0-6分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0" w:type="dxa"/>
            <w:vMerge w:val="continue"/>
            <w:vAlign w:val="center"/>
          </w:tcPr>
          <w:p>
            <w:pPr>
              <w:spacing w:line="400" w:lineRule="exact"/>
              <w:jc w:val="center"/>
              <w:rPr>
                <w:rFonts w:ascii="宋体" w:hAnsi="宋体" w:cs="宋体"/>
                <w:color w:val="000000"/>
                <w:sz w:val="24"/>
              </w:rPr>
            </w:pPr>
          </w:p>
        </w:tc>
        <w:tc>
          <w:tcPr>
            <w:tcW w:w="1276" w:type="dxa"/>
            <w:vAlign w:val="center"/>
          </w:tcPr>
          <w:p>
            <w:pPr>
              <w:pStyle w:val="26"/>
              <w:adjustRightInd w:val="0"/>
              <w:spacing w:line="380" w:lineRule="exact"/>
              <w:ind w:left="0" w:firstLine="0"/>
              <w:rPr>
                <w:rFonts w:hAnsi="宋体" w:cs="宋体"/>
              </w:rPr>
            </w:pPr>
            <w:r>
              <w:rPr>
                <w:rFonts w:hint="eastAsia" w:hAnsi="宋体" w:cs="宋体"/>
              </w:rPr>
              <w:t>售后及培训方案（5分）</w:t>
            </w:r>
          </w:p>
        </w:tc>
        <w:tc>
          <w:tcPr>
            <w:tcW w:w="8126" w:type="dxa"/>
            <w:vAlign w:val="center"/>
          </w:tcPr>
          <w:p>
            <w:pPr>
              <w:pStyle w:val="26"/>
              <w:adjustRightInd w:val="0"/>
              <w:spacing w:line="380" w:lineRule="exact"/>
              <w:ind w:left="0" w:firstLine="0"/>
              <w:rPr>
                <w:rFonts w:hAnsi="宋体" w:cs="宋体"/>
              </w:rPr>
            </w:pPr>
            <w:r>
              <w:rPr>
                <w:rFonts w:hint="eastAsia" w:hAnsi="宋体" w:cs="宋体"/>
              </w:rPr>
              <w:t>根据投标人提供的售后服务方案及培训方案进行打分，内容需包括售后服务管理体系、售后服务团队及技术支持、产品续保服务、培训任务、培训方式等，得0-5分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80" w:type="dxa"/>
            <w:vMerge w:val="continue"/>
            <w:vAlign w:val="center"/>
          </w:tcPr>
          <w:p>
            <w:pPr>
              <w:spacing w:line="400" w:lineRule="exact"/>
              <w:jc w:val="center"/>
              <w:rPr>
                <w:rFonts w:ascii="宋体" w:hAnsi="宋体" w:cs="宋体"/>
                <w:color w:val="000000"/>
                <w:sz w:val="24"/>
              </w:rPr>
            </w:pPr>
          </w:p>
        </w:tc>
        <w:tc>
          <w:tcPr>
            <w:tcW w:w="1276" w:type="dxa"/>
            <w:vAlign w:val="center"/>
          </w:tcPr>
          <w:p>
            <w:pPr>
              <w:pStyle w:val="26"/>
              <w:adjustRightInd w:val="0"/>
              <w:spacing w:line="380" w:lineRule="exact"/>
              <w:ind w:left="0" w:firstLine="0"/>
              <w:rPr>
                <w:rFonts w:hAnsi="宋体" w:cs="宋体"/>
              </w:rPr>
            </w:pPr>
            <w:r>
              <w:rPr>
                <w:rFonts w:hint="eastAsia" w:hAnsi="宋体" w:cs="宋体"/>
              </w:rPr>
              <w:t>售后服务（5分）</w:t>
            </w:r>
          </w:p>
        </w:tc>
        <w:tc>
          <w:tcPr>
            <w:tcW w:w="8126" w:type="dxa"/>
            <w:vAlign w:val="center"/>
          </w:tcPr>
          <w:p>
            <w:pPr>
              <w:spacing w:line="380" w:lineRule="exact"/>
              <w:rPr>
                <w:rFonts w:ascii="宋体" w:hAnsi="宋体" w:cs="宋体"/>
                <w:sz w:val="24"/>
              </w:rPr>
            </w:pPr>
            <w:r>
              <w:rPr>
                <w:rFonts w:hint="eastAsia" w:ascii="宋体" w:hAnsi="宋体" w:cs="宋体"/>
                <w:sz w:val="24"/>
              </w:rPr>
              <w:t>投标单位注册在浙江省范围内且及时响应招标单位并确保工程师与24小时内到达景区提供售后服务的，得5分；投标单位在浙江省范围内有工商注册的分支机构的且及时响应招标单位并确保工程师与24小时内到达景区提供售后服务的得4分；投标单位在承诺中标后在浙江省范围内设立工商注册的分支机构的且及时响应招标单位并确保工程师与24小时内到达景区提供售后服务的得3分；投标单位未在浙江省范围注册或设立分支机构且不承诺设立的，但投标单位能及时响应招标单位并确保工程师与24小时内到达景区提供售后服务的得2分。其它不得分。</w:t>
            </w:r>
            <w:r>
              <w:rPr>
                <w:rFonts w:hint="eastAsia" w:ascii="宋体" w:hAnsi="宋体" w:cs="宋体"/>
                <w:b/>
                <w:bCs/>
                <w:sz w:val="24"/>
              </w:rPr>
              <w:t>本项最高5分，不重复计分。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880" w:type="dxa"/>
            <w:vMerge w:val="continue"/>
            <w:vAlign w:val="center"/>
          </w:tcPr>
          <w:p>
            <w:pPr>
              <w:spacing w:line="400" w:lineRule="exact"/>
              <w:jc w:val="center"/>
              <w:rPr>
                <w:rFonts w:ascii="宋体" w:hAnsi="宋体" w:cs="宋体"/>
                <w:color w:val="000000"/>
                <w:sz w:val="24"/>
              </w:rPr>
            </w:pPr>
          </w:p>
        </w:tc>
        <w:tc>
          <w:tcPr>
            <w:tcW w:w="1276" w:type="dxa"/>
            <w:vAlign w:val="center"/>
          </w:tcPr>
          <w:p>
            <w:pPr>
              <w:pStyle w:val="26"/>
              <w:adjustRightInd w:val="0"/>
              <w:spacing w:line="380" w:lineRule="exact"/>
              <w:ind w:left="0" w:firstLine="0"/>
              <w:rPr>
                <w:rFonts w:hAnsi="宋体" w:cs="宋体"/>
              </w:rPr>
            </w:pPr>
            <w:r>
              <w:rPr>
                <w:rFonts w:hint="eastAsia" w:hAnsi="宋体" w:cs="宋体"/>
              </w:rPr>
              <w:t>社保卡应用（5分）</w:t>
            </w:r>
          </w:p>
        </w:tc>
        <w:tc>
          <w:tcPr>
            <w:tcW w:w="8126" w:type="dxa"/>
            <w:vAlign w:val="center"/>
          </w:tcPr>
          <w:p>
            <w:pPr>
              <w:spacing w:line="380" w:lineRule="exact"/>
              <w:rPr>
                <w:rFonts w:ascii="宋体" w:hAnsi="宋体" w:cs="宋体"/>
                <w:sz w:val="24"/>
              </w:rPr>
            </w:pPr>
            <w:r>
              <w:rPr>
                <w:rFonts w:hint="eastAsia" w:ascii="宋体" w:hAnsi="宋体" w:cs="宋体"/>
                <w:sz w:val="24"/>
              </w:rPr>
              <w:t>投标人承诺能够支持招标人落实省社保卡居民服务“一卡通”相关工作且投标人明确被《关于推进省社会保障卡居民服务“一卡通”工作相关情况说明的函》列入“一卡通”集成服务厂商名单，得5分；若投标人不在《关于推进省社会保障卡居民服务“一卡通”工作相关情况说明的函》名单内，但承诺能够支持招标人落实省社保卡居民服务“一卡通”相关工作，实现省文化和旅游厅一卡通系统实现无缝对接或有相关工作经验的，得4分。其他的不得分。不重复计分，本项最高5分。</w:t>
            </w:r>
          </w:p>
          <w:p>
            <w:pPr>
              <w:spacing w:line="380" w:lineRule="exact"/>
              <w:rPr>
                <w:rFonts w:ascii="宋体" w:hAnsi="宋体" w:cs="宋体"/>
                <w:sz w:val="24"/>
              </w:rPr>
            </w:pPr>
            <w:r>
              <w:rPr>
                <w:rFonts w:hint="eastAsia" w:ascii="宋体" w:hAnsi="宋体" w:cs="宋体"/>
                <w:b/>
                <w:bCs/>
                <w:sz w:val="24"/>
              </w:rPr>
              <w:t>注：提供相关资料证明文件，未提供不得分</w:t>
            </w:r>
          </w:p>
        </w:tc>
      </w:tr>
    </w:tbl>
    <w:p>
      <w:pPr>
        <w:rPr>
          <w:lang w:val="zh-CN"/>
        </w:rPr>
      </w:pPr>
    </w:p>
    <w:p>
      <w:pPr>
        <w:spacing w:line="300" w:lineRule="exact"/>
        <w:jc w:val="left"/>
        <w:rPr>
          <w:rFonts w:ascii="宋体" w:hAnsi="宋体" w:cs="宋体"/>
          <w:b/>
          <w:bCs/>
          <w:color w:val="000000"/>
          <w:sz w:val="24"/>
          <w:lang w:val="zh-CN"/>
        </w:rPr>
      </w:pPr>
      <w:r>
        <w:rPr>
          <w:rFonts w:hint="eastAsia" w:ascii="宋体" w:hAnsi="宋体" w:cs="宋体"/>
          <w:b/>
          <w:bCs/>
          <w:color w:val="000000"/>
          <w:sz w:val="24"/>
        </w:rPr>
        <w:t>以上要求原件备查，请提供有效原件，否则不得分。</w:t>
      </w:r>
    </w:p>
    <w:sectPr>
      <w:pgSz w:w="11906" w:h="16838"/>
      <w:pgMar w:top="1440" w:right="1080" w:bottom="1440" w:left="1080" w:header="850" w:footer="992" w:gutter="0"/>
      <w:pgBorders>
        <w:top w:val="none" w:sz="0" w:space="0"/>
        <w:left w:val="none" w:sz="0" w:space="0"/>
        <w:bottom w:val="none" w:sz="0" w:space="0"/>
        <w:right w:val="none" w:sz="0" w:space="0"/>
      </w:pgBorders>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FuturaA Bk BT">
    <w:altName w:val="Arial"/>
    <w:panose1 w:val="00000000000000000000"/>
    <w:charset w:val="00"/>
    <w:family w:val="swiss"/>
    <w:pitch w:val="default"/>
    <w:sig w:usb0="00000000" w:usb1="00000000" w:usb2="00000000" w:usb3="00000000" w:csb0="0000001B" w:csb1="00000000"/>
  </w:font>
  <w:font w:name="Book Antiqua">
    <w:altName w:val="Segoe Print"/>
    <w:panose1 w:val="02040602050305030304"/>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path/>
          <v:fill on="f" focussize="0,0"/>
          <v:stroke on="f" weight="0.5pt" joinstyle="miter"/>
          <v:imagedata o:title=""/>
          <o:lock v:ext="edit"/>
          <v:textbox inset="0mm,0mm,0mm,0mm" style="mso-fit-shape-to-text:t;">
            <w:txbxContent>
              <w:p>
                <w:pPr>
                  <w:pStyle w:val="39"/>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w:r>
    <w:r>
      <w:pict>
        <v:shape id="文本框 4" o:spid="_x0000_s2050" o:spt="202" type="#_x0000_t202" style="position:absolute;left:0pt;margin-top:0pt;height:12.8pt;width:9.05pt;mso-position-horizontal:center;mso-position-horizontal-relative:margin;mso-wrap-style:none;z-index:251660288;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S1FrXRAAAAAwEAAA8AAAAAAAAAAQAgAAAAIgAAAGRycy9k&#10;b3ducmV2LnhtbFBLAQIUABQAAAAIAIdO4kCn3YMy0AEAAJQDAAAOAAAAAAAAAAEAIAAAACABAABk&#10;cnMvZTJvRG9jLnhtbFBLBQYAAAAABgAGAFkBAABiBQ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_x0000_s2053" o:spid="_x0000_s2053" o:spt="202" type="#_x0000_t202" style="position:absolute;left:0pt;margin-top:0pt;height:23.35pt;width:76.7pt;mso-position-horizontal:center;mso-position-horizontal-relative:margin;mso-wrap-style:none;z-index:251661312;mso-width-relative:page;mso-height-relative:page;" filled="f" stroked="f" coordsize="21600,21600" o:gfxdata="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s1tuvSAAAABAEAAA8AAAAAAAAAAQAgAAAAIgAAAGRycy9k&#10;b3ducmV2LnhtbFBLAQIUABQAAAAIAIdO4kC8wNpIzwEAAJQDAAAOAAAAAAAAAAEAIAAAACEBAABk&#10;cnMvZTJvRG9jLnhtbFBLBQYAAAAABgAGAFkBAABiBQ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6</w:t>
                </w:r>
                <w:r>
                  <w:rPr>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39"/>
                </w:pPr>
                <w:r>
                  <w:fldChar w:fldCharType="begin"/>
                </w:r>
                <w:r>
                  <w:instrText xml:space="preserve"> PAGE  \* MERGEFORMAT </w:instrText>
                </w:r>
                <w:r>
                  <w:fldChar w:fldCharType="separate"/>
                </w:r>
                <w:r>
                  <w:t>51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rPr>
        <w:rFonts w:ascii="仿宋_GB2312" w:eastAsia="仿宋_GB2312"/>
        <w:sz w:val="18"/>
        <w:szCs w:val="18"/>
      </w:rPr>
      <w:pict>
        <v:line id="直线 1027" o:spid="_x0000_s2052" o:spt="20" style="position:absolute;left:0pt;margin-left:-6.05pt;margin-top:34240.6pt;height:0pt;width:468pt;z-index:251659264;mso-width-relative:page;mso-height-relative:page;" coordsize="21600,21600" o:gfxdata="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UmU1PZAAAA&#10;DwEAAA8AAAAAAAAAAQAgAAAAIgAAAGRycy9kb3ducmV2LnhtbFBLAQIUABQAAAAIAIdO4kBHJ215&#10;4wEAANIDAAAOAAAAAAAAAAEAIAAAACgBAABkcnMvZTJvRG9jLnhtbFBLBQYAAAAABgAGAFkBAAB9&#10;BQAAAAA=&#10;">
          <v:path arrowok="t"/>
          <v:fill focussize="0,0"/>
          <v:stroke/>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75C03"/>
    <w:multiLevelType w:val="singleLevel"/>
    <w:tmpl w:val="DA375C03"/>
    <w:lvl w:ilvl="0" w:tentative="0">
      <w:start w:val="5"/>
      <w:numFmt w:val="chineseCounting"/>
      <w:suff w:val="space"/>
      <w:lvlText w:val="第%1章"/>
      <w:lvlJc w:val="left"/>
      <w:rPr>
        <w:rFonts w:hint="eastAsia"/>
      </w:rPr>
    </w:lvl>
  </w:abstractNum>
  <w:abstractNum w:abstractNumId="1">
    <w:nsid w:val="00000006"/>
    <w:multiLevelType w:val="multilevel"/>
    <w:tmpl w:val="00000006"/>
    <w:lvl w:ilvl="0" w:tentative="0">
      <w:start w:val="1"/>
      <w:numFmt w:val="bullet"/>
      <w:pStyle w:val="16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7"/>
    <w:multiLevelType w:val="multilevel"/>
    <w:tmpl w:val="00000007"/>
    <w:lvl w:ilvl="0" w:tentative="0">
      <w:start w:val="1"/>
      <w:numFmt w:val="lowerLetter"/>
      <w:pStyle w:val="16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0000009"/>
    <w:multiLevelType w:val="multilevel"/>
    <w:tmpl w:val="00000009"/>
    <w:lvl w:ilvl="0" w:tentative="0">
      <w:start w:val="1"/>
      <w:numFmt w:val="bullet"/>
      <w:pStyle w:val="8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A"/>
    <w:multiLevelType w:val="singleLevel"/>
    <w:tmpl w:val="0000000A"/>
    <w:lvl w:ilvl="0" w:tentative="0">
      <w:start w:val="1"/>
      <w:numFmt w:val="decimal"/>
      <w:pStyle w:val="186"/>
      <w:lvlText w:val="%1．"/>
      <w:lvlJc w:val="left"/>
      <w:pPr>
        <w:tabs>
          <w:tab w:val="left" w:pos="360"/>
        </w:tabs>
        <w:ind w:left="245" w:hanging="245"/>
      </w:pPr>
      <w:rPr>
        <w:rFonts w:ascii="Times New Roman" w:hAnsi="Times New Roman" w:eastAsia="Times New Roman" w:cs="Times New Roman"/>
      </w:rPr>
    </w:lvl>
  </w:abstractNum>
  <w:abstractNum w:abstractNumId="5">
    <w:nsid w:val="0000000C"/>
    <w:multiLevelType w:val="multilevel"/>
    <w:tmpl w:val="0000000C"/>
    <w:lvl w:ilvl="0" w:tentative="0">
      <w:start w:val="12"/>
      <w:numFmt w:val="decimal"/>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pStyle w:val="109"/>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0000000D"/>
    <w:multiLevelType w:val="multilevel"/>
    <w:tmpl w:val="0000000D"/>
    <w:lvl w:ilvl="0" w:tentative="0">
      <w:start w:val="1"/>
      <w:numFmt w:val="lowerLetter"/>
      <w:pStyle w:val="124"/>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000000F"/>
    <w:multiLevelType w:val="multilevel"/>
    <w:tmpl w:val="0000000F"/>
    <w:lvl w:ilvl="0" w:tentative="0">
      <w:start w:val="1"/>
      <w:numFmt w:val="decimal"/>
      <w:pStyle w:val="102"/>
      <w:lvlText w:val="%1."/>
      <w:lvlJc w:val="left"/>
      <w:pPr>
        <w:tabs>
          <w:tab w:val="left" w:pos="720"/>
        </w:tabs>
        <w:ind w:left="720" w:hanging="720"/>
      </w:pPr>
      <w:rPr>
        <w:rFonts w:hint="default"/>
      </w:rPr>
    </w:lvl>
    <w:lvl w:ilvl="1" w:tentative="0">
      <w:start w:val="1"/>
      <w:numFmt w:val="decimal"/>
      <w:pStyle w:val="140"/>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2"/>
    <w:multiLevelType w:val="multilevel"/>
    <w:tmpl w:val="00000012"/>
    <w:lvl w:ilvl="0" w:tentative="0">
      <w:start w:val="1"/>
      <w:numFmt w:val="chineseCountingThousand"/>
      <w:lvlText w:val="第%1部分"/>
      <w:lvlJc w:val="left"/>
      <w:pPr>
        <w:tabs>
          <w:tab w:val="left" w:pos="1800"/>
        </w:tabs>
        <w:ind w:left="0" w:firstLine="0"/>
      </w:pPr>
      <w:rPr>
        <w:rFonts w:hint="eastAsia"/>
      </w:rPr>
    </w:lvl>
    <w:lvl w:ilvl="1" w:tentative="0">
      <w:start w:val="1"/>
      <w:numFmt w:val="decimal"/>
      <w:lvlText w:val="%2."/>
      <w:lvlJc w:val="left"/>
      <w:pPr>
        <w:tabs>
          <w:tab w:val="left" w:pos="360"/>
        </w:tabs>
        <w:ind w:left="0" w:firstLine="0"/>
      </w:pPr>
      <w:rPr>
        <w:rFonts w:hint="eastAsia"/>
      </w:rPr>
    </w:lvl>
    <w:lvl w:ilvl="2" w:tentative="0">
      <w:start w:val="1"/>
      <w:numFmt w:val="decimal"/>
      <w:lvlText w:val="%2.%3"/>
      <w:lvlJc w:val="left"/>
      <w:pPr>
        <w:tabs>
          <w:tab w:val="left" w:pos="720"/>
        </w:tabs>
        <w:ind w:left="0" w:firstLine="0"/>
      </w:pPr>
      <w:rPr>
        <w:rFonts w:hint="eastAsia"/>
      </w:rPr>
    </w:lvl>
    <w:lvl w:ilvl="3" w:tentative="0">
      <w:start w:val="1"/>
      <w:numFmt w:val="decimal"/>
      <w:lvlText w:val="%1.%2.%3.%4"/>
      <w:lvlJc w:val="left"/>
      <w:pPr>
        <w:tabs>
          <w:tab w:val="left" w:pos="1440"/>
        </w:tabs>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9">
    <w:nsid w:val="00000013"/>
    <w:multiLevelType w:val="multilevel"/>
    <w:tmpl w:val="00000013"/>
    <w:lvl w:ilvl="0" w:tentative="0">
      <w:start w:val="1"/>
      <w:numFmt w:val="decimal"/>
      <w:pStyle w:val="3"/>
      <w:suff w:val="space"/>
      <w:lvlText w:val="第 %1 章"/>
      <w:lvlJc w:val="left"/>
      <w:pPr>
        <w:ind w:left="425" w:hanging="425"/>
      </w:pPr>
      <w:rPr>
        <w:rFonts w:hint="eastAsia"/>
      </w:rPr>
    </w:lvl>
    <w:lvl w:ilvl="1" w:tentative="0">
      <w:start w:val="1"/>
      <w:numFmt w:val="decimal"/>
      <w:pStyle w:val="4"/>
      <w:lvlText w:val="%1.%2 "/>
      <w:lvlJc w:val="left"/>
      <w:pPr>
        <w:tabs>
          <w:tab w:val="left" w:pos="1145"/>
        </w:tabs>
        <w:ind w:left="992" w:hanging="567"/>
      </w:pPr>
      <w:rPr>
        <w:rFonts w:hint="eastAsia"/>
      </w:rPr>
    </w:lvl>
    <w:lvl w:ilvl="2" w:tentative="0">
      <w:start w:val="1"/>
      <w:numFmt w:val="decimal"/>
      <w:pStyle w:val="5"/>
      <w:lvlText w:val="〔%3〕、"/>
      <w:lvlJc w:val="left"/>
      <w:pPr>
        <w:tabs>
          <w:tab w:val="left" w:pos="2651"/>
        </w:tabs>
        <w:ind w:left="1418" w:hanging="567"/>
      </w:pPr>
      <w:rPr>
        <w:rFonts w:hint="eastAsia"/>
      </w:rPr>
    </w:lvl>
    <w:lvl w:ilvl="3" w:tentative="0">
      <w:start w:val="1"/>
      <w:numFmt w:val="none"/>
      <w:pStyle w:val="6"/>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14"/>
    <w:multiLevelType w:val="multilevel"/>
    <w:tmpl w:val="00000014"/>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pStyle w:val="87"/>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1">
    <w:nsid w:val="00000015"/>
    <w:multiLevelType w:val="multilevel"/>
    <w:tmpl w:val="00000015"/>
    <w:lvl w:ilvl="0" w:tentative="0">
      <w:start w:val="1"/>
      <w:numFmt w:val="decimal"/>
      <w:pStyle w:val="151"/>
      <w:lvlText w:val="%1."/>
      <w:lvlJc w:val="left"/>
      <w:pPr>
        <w:tabs>
          <w:tab w:val="left" w:pos="902"/>
        </w:tabs>
        <w:ind w:left="902" w:hanging="42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japaneseCounting"/>
      <w:lvlText w:val="%3．"/>
      <w:lvlJc w:val="left"/>
      <w:pPr>
        <w:tabs>
          <w:tab w:val="left" w:pos="1742"/>
        </w:tabs>
        <w:ind w:left="1742" w:hanging="420"/>
      </w:pPr>
      <w:rPr>
        <w:rFonts w:hint="eastAsia"/>
      </w:rPr>
    </w:lvl>
    <w:lvl w:ilvl="3" w:tentative="0">
      <w:start w:val="1"/>
      <w:numFmt w:val="japaneseCounting"/>
      <w:lvlText w:val="（%4）"/>
      <w:lvlJc w:val="left"/>
      <w:pPr>
        <w:tabs>
          <w:tab w:val="left" w:pos="720"/>
        </w:tabs>
        <w:ind w:left="720" w:hanging="720"/>
      </w:pPr>
      <w:rPr>
        <w:rFonts w:hint="eastAsia"/>
        <w:lang w:val="en-US"/>
      </w:rPr>
    </w:lvl>
    <w:lvl w:ilvl="4" w:tentative="0">
      <w:start w:val="1"/>
      <w:numFmt w:val="decimal"/>
      <w:lvlText w:val="%5)"/>
      <w:lvlJc w:val="left"/>
      <w:pPr>
        <w:tabs>
          <w:tab w:val="left" w:pos="2582"/>
        </w:tabs>
        <w:ind w:left="2582" w:hanging="420"/>
      </w:pPr>
      <w:rPr>
        <w:rFonts w:hint="eastAsia"/>
      </w:rPr>
    </w:lvl>
    <w:lvl w:ilvl="5" w:tentative="0">
      <w:start w:val="1"/>
      <w:numFmt w:val="japaneseCounting"/>
      <w:lvlText w:val="%6、"/>
      <w:lvlJc w:val="left"/>
      <w:pPr>
        <w:tabs>
          <w:tab w:val="left" w:pos="3062"/>
        </w:tabs>
        <w:ind w:left="3062" w:hanging="480"/>
      </w:pPr>
      <w:rPr>
        <w:rFonts w:hint="eastAsia"/>
      </w:r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2">
    <w:nsid w:val="00000016"/>
    <w:multiLevelType w:val="multilevel"/>
    <w:tmpl w:val="00000016"/>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15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00000017"/>
    <w:multiLevelType w:val="multilevel"/>
    <w:tmpl w:val="00000017"/>
    <w:lvl w:ilvl="0" w:tentative="0">
      <w:start w:val="1"/>
      <w:numFmt w:val="decimal"/>
      <w:pStyle w:val="100"/>
      <w:lvlText w:val="%1"/>
      <w:lvlJc w:val="left"/>
      <w:pPr>
        <w:tabs>
          <w:tab w:val="left" w:pos="1440"/>
        </w:tabs>
        <w:ind w:left="1440" w:hanging="720"/>
      </w:pPr>
      <w:rPr>
        <w:rFonts w:hint="default"/>
      </w:rPr>
    </w:lvl>
    <w:lvl w:ilvl="1" w:tentative="0">
      <w:start w:val="1"/>
      <w:numFmt w:val="decimal"/>
      <w:pStyle w:val="146"/>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162"/>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14">
    <w:nsid w:val="00000018"/>
    <w:multiLevelType w:val="multilevel"/>
    <w:tmpl w:val="0000001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10"/>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0000001F"/>
    <w:multiLevelType w:val="singleLevel"/>
    <w:tmpl w:val="0000001F"/>
    <w:lvl w:ilvl="0" w:tentative="0">
      <w:start w:val="1"/>
      <w:numFmt w:val="decimal"/>
      <w:suff w:val="nothing"/>
      <w:lvlText w:val="%1"/>
      <w:lvlJc w:val="left"/>
      <w:pPr>
        <w:tabs>
          <w:tab w:val="left" w:pos="0"/>
        </w:tabs>
        <w:ind w:left="0" w:firstLine="0"/>
      </w:pPr>
      <w:rPr>
        <w:rFonts w:hint="default" w:ascii="宋体" w:hAnsi="宋体" w:eastAsia="宋体" w:cs="宋体"/>
      </w:rPr>
    </w:lvl>
  </w:abstractNum>
  <w:abstractNum w:abstractNumId="16">
    <w:nsid w:val="71662365"/>
    <w:multiLevelType w:val="multilevel"/>
    <w:tmpl w:val="71662365"/>
    <w:lvl w:ilvl="0" w:tentative="0">
      <w:start w:val="1"/>
      <w:numFmt w:val="decimal"/>
      <w:lvlText w:val="%1."/>
      <w:lvlJc w:val="left"/>
      <w:pPr>
        <w:ind w:left="105" w:hanging="322"/>
      </w:pPr>
      <w:rPr>
        <w:rFonts w:hint="default" w:ascii="仿宋" w:hAnsi="仿宋" w:eastAsia="仿宋" w:cs="仿宋"/>
        <w:spacing w:val="-46"/>
        <w:w w:val="99"/>
        <w:sz w:val="30"/>
        <w:szCs w:val="30"/>
      </w:rPr>
    </w:lvl>
    <w:lvl w:ilvl="1" w:tentative="0">
      <w:start w:val="0"/>
      <w:numFmt w:val="bullet"/>
      <w:lvlText w:val="•"/>
      <w:lvlJc w:val="left"/>
      <w:pPr>
        <w:ind w:left="968" w:hanging="322"/>
      </w:pPr>
      <w:rPr>
        <w:rFonts w:hint="default"/>
      </w:rPr>
    </w:lvl>
    <w:lvl w:ilvl="2" w:tentative="0">
      <w:start w:val="0"/>
      <w:numFmt w:val="bullet"/>
      <w:lvlText w:val="•"/>
      <w:lvlJc w:val="left"/>
      <w:pPr>
        <w:ind w:left="1837" w:hanging="322"/>
      </w:pPr>
      <w:rPr>
        <w:rFonts w:hint="default"/>
      </w:rPr>
    </w:lvl>
    <w:lvl w:ilvl="3" w:tentative="0">
      <w:start w:val="0"/>
      <w:numFmt w:val="bullet"/>
      <w:lvlText w:val="•"/>
      <w:lvlJc w:val="left"/>
      <w:pPr>
        <w:ind w:left="2705" w:hanging="322"/>
      </w:pPr>
      <w:rPr>
        <w:rFonts w:hint="default"/>
      </w:rPr>
    </w:lvl>
    <w:lvl w:ilvl="4" w:tentative="0">
      <w:start w:val="0"/>
      <w:numFmt w:val="bullet"/>
      <w:lvlText w:val="•"/>
      <w:lvlJc w:val="left"/>
      <w:pPr>
        <w:ind w:left="3574" w:hanging="322"/>
      </w:pPr>
      <w:rPr>
        <w:rFonts w:hint="default"/>
      </w:rPr>
    </w:lvl>
    <w:lvl w:ilvl="5" w:tentative="0">
      <w:start w:val="0"/>
      <w:numFmt w:val="bullet"/>
      <w:lvlText w:val="•"/>
      <w:lvlJc w:val="left"/>
      <w:pPr>
        <w:ind w:left="4443" w:hanging="322"/>
      </w:pPr>
      <w:rPr>
        <w:rFonts w:hint="default"/>
      </w:rPr>
    </w:lvl>
    <w:lvl w:ilvl="6" w:tentative="0">
      <w:start w:val="0"/>
      <w:numFmt w:val="bullet"/>
      <w:lvlText w:val="•"/>
      <w:lvlJc w:val="left"/>
      <w:pPr>
        <w:ind w:left="5311" w:hanging="322"/>
      </w:pPr>
      <w:rPr>
        <w:rFonts w:hint="default"/>
      </w:rPr>
    </w:lvl>
    <w:lvl w:ilvl="7" w:tentative="0">
      <w:start w:val="0"/>
      <w:numFmt w:val="bullet"/>
      <w:lvlText w:val="•"/>
      <w:lvlJc w:val="left"/>
      <w:pPr>
        <w:ind w:left="6180" w:hanging="322"/>
      </w:pPr>
      <w:rPr>
        <w:rFonts w:hint="default"/>
      </w:rPr>
    </w:lvl>
    <w:lvl w:ilvl="8" w:tentative="0">
      <w:start w:val="0"/>
      <w:numFmt w:val="bullet"/>
      <w:lvlText w:val="•"/>
      <w:lvlJc w:val="left"/>
      <w:pPr>
        <w:ind w:left="7048" w:hanging="322"/>
      </w:pPr>
      <w:rPr>
        <w:rFonts w:hint="default"/>
      </w:rPr>
    </w:lvl>
  </w:abstractNum>
  <w:abstractNum w:abstractNumId="17">
    <w:nsid w:val="79EE24C2"/>
    <w:multiLevelType w:val="singleLevel"/>
    <w:tmpl w:val="79EE24C2"/>
    <w:lvl w:ilvl="0" w:tentative="0">
      <w:start w:val="6"/>
      <w:numFmt w:val="chineseCounting"/>
      <w:suff w:val="nothing"/>
      <w:lvlText w:val="%1、"/>
      <w:lvlJc w:val="left"/>
      <w:rPr>
        <w:rFonts w:hint="eastAsia"/>
      </w:rPr>
    </w:lvl>
  </w:abstractNum>
  <w:num w:numId="1">
    <w:abstractNumId w:val="9"/>
  </w:num>
  <w:num w:numId="2">
    <w:abstractNumId w:val="8"/>
  </w:num>
  <w:num w:numId="3">
    <w:abstractNumId w:val="10"/>
  </w:num>
  <w:num w:numId="4">
    <w:abstractNumId w:val="3"/>
  </w:num>
  <w:num w:numId="5">
    <w:abstractNumId w:val="13"/>
  </w:num>
  <w:num w:numId="6">
    <w:abstractNumId w:val="7"/>
  </w:num>
  <w:num w:numId="7">
    <w:abstractNumId w:val="5"/>
  </w:num>
  <w:num w:numId="8">
    <w:abstractNumId w:val="14"/>
  </w:num>
  <w:num w:numId="9">
    <w:abstractNumId w:val="6"/>
  </w:num>
  <w:num w:numId="10">
    <w:abstractNumId w:val="11"/>
  </w:num>
  <w:num w:numId="11">
    <w:abstractNumId w:val="12"/>
  </w:num>
  <w:num w:numId="12">
    <w:abstractNumId w:val="2"/>
  </w:num>
  <w:num w:numId="13">
    <w:abstractNumId w:val="1"/>
  </w:num>
  <w:num w:numId="14">
    <w:abstractNumId w:val="4"/>
  </w:num>
  <w:num w:numId="15">
    <w:abstractNumId w:val="15"/>
  </w:num>
  <w:num w:numId="16">
    <w:abstractNumId w:val="1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10"/>
  <w:drawingGridVerticalSpacing w:val="157"/>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6298"/>
    <w:rsid w:val="000828EC"/>
    <w:rsid w:val="00087AB2"/>
    <w:rsid w:val="000B7BED"/>
    <w:rsid w:val="001E4EC9"/>
    <w:rsid w:val="002152AE"/>
    <w:rsid w:val="00246C80"/>
    <w:rsid w:val="00303264"/>
    <w:rsid w:val="00403168"/>
    <w:rsid w:val="00536298"/>
    <w:rsid w:val="005C1B2D"/>
    <w:rsid w:val="00611EE9"/>
    <w:rsid w:val="00612253"/>
    <w:rsid w:val="006D062E"/>
    <w:rsid w:val="006E649E"/>
    <w:rsid w:val="007A6AA1"/>
    <w:rsid w:val="007B27E1"/>
    <w:rsid w:val="007E6281"/>
    <w:rsid w:val="007F2F50"/>
    <w:rsid w:val="008E6040"/>
    <w:rsid w:val="00930B5B"/>
    <w:rsid w:val="00952982"/>
    <w:rsid w:val="009E687F"/>
    <w:rsid w:val="009F20B2"/>
    <w:rsid w:val="009F501B"/>
    <w:rsid w:val="00A33B5B"/>
    <w:rsid w:val="00AB0830"/>
    <w:rsid w:val="00B024AF"/>
    <w:rsid w:val="00B447E4"/>
    <w:rsid w:val="00B52238"/>
    <w:rsid w:val="00BF17E6"/>
    <w:rsid w:val="00C46208"/>
    <w:rsid w:val="00C83668"/>
    <w:rsid w:val="00CA10C6"/>
    <w:rsid w:val="00CC4739"/>
    <w:rsid w:val="00D26498"/>
    <w:rsid w:val="00D51A29"/>
    <w:rsid w:val="00E24001"/>
    <w:rsid w:val="00E34B24"/>
    <w:rsid w:val="0105598D"/>
    <w:rsid w:val="01240124"/>
    <w:rsid w:val="01260E34"/>
    <w:rsid w:val="018F6E38"/>
    <w:rsid w:val="01C87F27"/>
    <w:rsid w:val="01D0796F"/>
    <w:rsid w:val="024A6E98"/>
    <w:rsid w:val="025D6EAC"/>
    <w:rsid w:val="027022C3"/>
    <w:rsid w:val="02BF30E6"/>
    <w:rsid w:val="0318485F"/>
    <w:rsid w:val="032E0E59"/>
    <w:rsid w:val="03537352"/>
    <w:rsid w:val="036A7634"/>
    <w:rsid w:val="039E5EDD"/>
    <w:rsid w:val="03B52E19"/>
    <w:rsid w:val="03CC0788"/>
    <w:rsid w:val="03DB71F1"/>
    <w:rsid w:val="03F07B50"/>
    <w:rsid w:val="04001150"/>
    <w:rsid w:val="042445E6"/>
    <w:rsid w:val="042938ED"/>
    <w:rsid w:val="04611D39"/>
    <w:rsid w:val="046A1953"/>
    <w:rsid w:val="047061A0"/>
    <w:rsid w:val="047A6F02"/>
    <w:rsid w:val="048756E3"/>
    <w:rsid w:val="048E48B7"/>
    <w:rsid w:val="049B78C3"/>
    <w:rsid w:val="04CE2EE5"/>
    <w:rsid w:val="04EE7065"/>
    <w:rsid w:val="04F8446E"/>
    <w:rsid w:val="050830BB"/>
    <w:rsid w:val="051C21AB"/>
    <w:rsid w:val="052C7006"/>
    <w:rsid w:val="05385374"/>
    <w:rsid w:val="055704DC"/>
    <w:rsid w:val="05865DEF"/>
    <w:rsid w:val="05873E0B"/>
    <w:rsid w:val="0594229B"/>
    <w:rsid w:val="05BC2CDD"/>
    <w:rsid w:val="05BD3492"/>
    <w:rsid w:val="061816CD"/>
    <w:rsid w:val="062311A9"/>
    <w:rsid w:val="06485B0D"/>
    <w:rsid w:val="064E1DC8"/>
    <w:rsid w:val="067B20B9"/>
    <w:rsid w:val="069905F2"/>
    <w:rsid w:val="06B221D7"/>
    <w:rsid w:val="06C621DB"/>
    <w:rsid w:val="070D3731"/>
    <w:rsid w:val="0717702E"/>
    <w:rsid w:val="074265A0"/>
    <w:rsid w:val="075D780C"/>
    <w:rsid w:val="07621375"/>
    <w:rsid w:val="07A65292"/>
    <w:rsid w:val="07AB053A"/>
    <w:rsid w:val="07F444BE"/>
    <w:rsid w:val="07FA43FB"/>
    <w:rsid w:val="080143B9"/>
    <w:rsid w:val="08146025"/>
    <w:rsid w:val="08404387"/>
    <w:rsid w:val="086A7427"/>
    <w:rsid w:val="08702F6E"/>
    <w:rsid w:val="088B6C9E"/>
    <w:rsid w:val="08D653FA"/>
    <w:rsid w:val="09106B99"/>
    <w:rsid w:val="091A68BC"/>
    <w:rsid w:val="09561E50"/>
    <w:rsid w:val="09647E92"/>
    <w:rsid w:val="09B01059"/>
    <w:rsid w:val="09CF2130"/>
    <w:rsid w:val="09DF5A7E"/>
    <w:rsid w:val="0A43342D"/>
    <w:rsid w:val="0A494CF2"/>
    <w:rsid w:val="0A4C0104"/>
    <w:rsid w:val="0A8939CF"/>
    <w:rsid w:val="0AAA5D19"/>
    <w:rsid w:val="0AB4179E"/>
    <w:rsid w:val="0AD77AC4"/>
    <w:rsid w:val="0AE30466"/>
    <w:rsid w:val="0AE36AD4"/>
    <w:rsid w:val="0B032296"/>
    <w:rsid w:val="0B1608C9"/>
    <w:rsid w:val="0B493DE4"/>
    <w:rsid w:val="0B74673B"/>
    <w:rsid w:val="0BF71C2A"/>
    <w:rsid w:val="0C2546D4"/>
    <w:rsid w:val="0C7048E1"/>
    <w:rsid w:val="0C780062"/>
    <w:rsid w:val="0CBF3201"/>
    <w:rsid w:val="0CD27A28"/>
    <w:rsid w:val="0CDC4E73"/>
    <w:rsid w:val="0CF259AB"/>
    <w:rsid w:val="0D105E82"/>
    <w:rsid w:val="0D497EB8"/>
    <w:rsid w:val="0D7E4C62"/>
    <w:rsid w:val="0DC56E99"/>
    <w:rsid w:val="0DFA7628"/>
    <w:rsid w:val="0E4048C5"/>
    <w:rsid w:val="0E557298"/>
    <w:rsid w:val="0E6749B6"/>
    <w:rsid w:val="0E702CEF"/>
    <w:rsid w:val="0EDD2010"/>
    <w:rsid w:val="0EEB4B7F"/>
    <w:rsid w:val="0F0410F6"/>
    <w:rsid w:val="0F062FE7"/>
    <w:rsid w:val="0F1C4A81"/>
    <w:rsid w:val="0F7911AF"/>
    <w:rsid w:val="0FA76627"/>
    <w:rsid w:val="0FAA3E5A"/>
    <w:rsid w:val="0FE16E2B"/>
    <w:rsid w:val="0FE52CFF"/>
    <w:rsid w:val="0FEE150F"/>
    <w:rsid w:val="0FF70977"/>
    <w:rsid w:val="0FF93D86"/>
    <w:rsid w:val="1012729A"/>
    <w:rsid w:val="10147163"/>
    <w:rsid w:val="104A07A8"/>
    <w:rsid w:val="104F6787"/>
    <w:rsid w:val="105A3E03"/>
    <w:rsid w:val="1068142A"/>
    <w:rsid w:val="107268DE"/>
    <w:rsid w:val="10CF6F0F"/>
    <w:rsid w:val="10EA7A5B"/>
    <w:rsid w:val="10F81990"/>
    <w:rsid w:val="11346C45"/>
    <w:rsid w:val="115F3FF4"/>
    <w:rsid w:val="117E6CD7"/>
    <w:rsid w:val="119A0D6B"/>
    <w:rsid w:val="11A84ED1"/>
    <w:rsid w:val="11D150B3"/>
    <w:rsid w:val="11F1633D"/>
    <w:rsid w:val="11F402CD"/>
    <w:rsid w:val="122B7FB1"/>
    <w:rsid w:val="123C36A9"/>
    <w:rsid w:val="123F72DD"/>
    <w:rsid w:val="125354AF"/>
    <w:rsid w:val="12883ED3"/>
    <w:rsid w:val="12981B77"/>
    <w:rsid w:val="12CA2C05"/>
    <w:rsid w:val="12D530CD"/>
    <w:rsid w:val="12D74EA7"/>
    <w:rsid w:val="12D93AA8"/>
    <w:rsid w:val="12F460DB"/>
    <w:rsid w:val="12F6197D"/>
    <w:rsid w:val="130C498A"/>
    <w:rsid w:val="131C0234"/>
    <w:rsid w:val="135B5EE5"/>
    <w:rsid w:val="135E2801"/>
    <w:rsid w:val="136F1839"/>
    <w:rsid w:val="13BE057B"/>
    <w:rsid w:val="14066F99"/>
    <w:rsid w:val="141F0005"/>
    <w:rsid w:val="144D5136"/>
    <w:rsid w:val="1454456A"/>
    <w:rsid w:val="15126D73"/>
    <w:rsid w:val="153A6FF8"/>
    <w:rsid w:val="15466AC6"/>
    <w:rsid w:val="15752C72"/>
    <w:rsid w:val="159944C6"/>
    <w:rsid w:val="15ED1D12"/>
    <w:rsid w:val="15F5022A"/>
    <w:rsid w:val="161669EC"/>
    <w:rsid w:val="164E3045"/>
    <w:rsid w:val="169704F7"/>
    <w:rsid w:val="16AA5F94"/>
    <w:rsid w:val="16BF2F74"/>
    <w:rsid w:val="16C2569C"/>
    <w:rsid w:val="16ED704F"/>
    <w:rsid w:val="16F23DD2"/>
    <w:rsid w:val="172278D7"/>
    <w:rsid w:val="172D51A5"/>
    <w:rsid w:val="173A0C6D"/>
    <w:rsid w:val="174A2488"/>
    <w:rsid w:val="174E50FA"/>
    <w:rsid w:val="17B82980"/>
    <w:rsid w:val="17CC1453"/>
    <w:rsid w:val="17D713AC"/>
    <w:rsid w:val="1809291C"/>
    <w:rsid w:val="1829512C"/>
    <w:rsid w:val="1834378C"/>
    <w:rsid w:val="18393B70"/>
    <w:rsid w:val="185B4581"/>
    <w:rsid w:val="186C70DA"/>
    <w:rsid w:val="18AE574C"/>
    <w:rsid w:val="18BD4794"/>
    <w:rsid w:val="18F14039"/>
    <w:rsid w:val="18F65AF3"/>
    <w:rsid w:val="192F1BE8"/>
    <w:rsid w:val="19802CA4"/>
    <w:rsid w:val="1988631B"/>
    <w:rsid w:val="19917182"/>
    <w:rsid w:val="19A309D5"/>
    <w:rsid w:val="19B87407"/>
    <w:rsid w:val="19D26199"/>
    <w:rsid w:val="1A056295"/>
    <w:rsid w:val="1A0750F6"/>
    <w:rsid w:val="1A2D4259"/>
    <w:rsid w:val="1A363ABB"/>
    <w:rsid w:val="1A66624F"/>
    <w:rsid w:val="1A8B7C0D"/>
    <w:rsid w:val="1ADB75D0"/>
    <w:rsid w:val="1AF854C6"/>
    <w:rsid w:val="1B3731CD"/>
    <w:rsid w:val="1B4125E2"/>
    <w:rsid w:val="1B6D05BC"/>
    <w:rsid w:val="1B9A56CC"/>
    <w:rsid w:val="1BAF384E"/>
    <w:rsid w:val="1C0021C5"/>
    <w:rsid w:val="1C204336"/>
    <w:rsid w:val="1C7E6C7B"/>
    <w:rsid w:val="1CD22683"/>
    <w:rsid w:val="1CD93BA3"/>
    <w:rsid w:val="1CF25B3F"/>
    <w:rsid w:val="1D1B66D0"/>
    <w:rsid w:val="1D374E25"/>
    <w:rsid w:val="1D884448"/>
    <w:rsid w:val="1DF5193C"/>
    <w:rsid w:val="1E180C0B"/>
    <w:rsid w:val="1E3956F6"/>
    <w:rsid w:val="1E397D8D"/>
    <w:rsid w:val="1E6A0C44"/>
    <w:rsid w:val="1E79053E"/>
    <w:rsid w:val="1E964009"/>
    <w:rsid w:val="1EA70667"/>
    <w:rsid w:val="1ECC759A"/>
    <w:rsid w:val="1EE724C7"/>
    <w:rsid w:val="1F020C3D"/>
    <w:rsid w:val="1F21164B"/>
    <w:rsid w:val="1F5D2451"/>
    <w:rsid w:val="1F6B6BB9"/>
    <w:rsid w:val="1FA1122D"/>
    <w:rsid w:val="1FA56077"/>
    <w:rsid w:val="1FB84D68"/>
    <w:rsid w:val="1FE45D90"/>
    <w:rsid w:val="1FFF6949"/>
    <w:rsid w:val="20420323"/>
    <w:rsid w:val="20A84519"/>
    <w:rsid w:val="20D41A58"/>
    <w:rsid w:val="20DA2058"/>
    <w:rsid w:val="20F84036"/>
    <w:rsid w:val="213B4730"/>
    <w:rsid w:val="214D067A"/>
    <w:rsid w:val="216975F8"/>
    <w:rsid w:val="21E02FD8"/>
    <w:rsid w:val="22232611"/>
    <w:rsid w:val="225C4F1F"/>
    <w:rsid w:val="22715245"/>
    <w:rsid w:val="227503F2"/>
    <w:rsid w:val="22755132"/>
    <w:rsid w:val="22967A0D"/>
    <w:rsid w:val="22982AAE"/>
    <w:rsid w:val="229C2C29"/>
    <w:rsid w:val="22C40784"/>
    <w:rsid w:val="22DA1ADA"/>
    <w:rsid w:val="22FD77BF"/>
    <w:rsid w:val="23000756"/>
    <w:rsid w:val="23365CCD"/>
    <w:rsid w:val="2377156A"/>
    <w:rsid w:val="237A6E36"/>
    <w:rsid w:val="23940BE8"/>
    <w:rsid w:val="239F661B"/>
    <w:rsid w:val="23CC1E60"/>
    <w:rsid w:val="23FF5B46"/>
    <w:rsid w:val="240848DD"/>
    <w:rsid w:val="2409755A"/>
    <w:rsid w:val="241365E9"/>
    <w:rsid w:val="2415233A"/>
    <w:rsid w:val="24277765"/>
    <w:rsid w:val="24390469"/>
    <w:rsid w:val="245B5C4B"/>
    <w:rsid w:val="245D40BC"/>
    <w:rsid w:val="24983A86"/>
    <w:rsid w:val="249A4879"/>
    <w:rsid w:val="24A56096"/>
    <w:rsid w:val="24C7794A"/>
    <w:rsid w:val="24F75E3C"/>
    <w:rsid w:val="250529BB"/>
    <w:rsid w:val="250D3D40"/>
    <w:rsid w:val="25180F7F"/>
    <w:rsid w:val="254D4BD4"/>
    <w:rsid w:val="25511739"/>
    <w:rsid w:val="255678AF"/>
    <w:rsid w:val="25615E37"/>
    <w:rsid w:val="256E175E"/>
    <w:rsid w:val="256E1906"/>
    <w:rsid w:val="25725803"/>
    <w:rsid w:val="25787460"/>
    <w:rsid w:val="25A56ADC"/>
    <w:rsid w:val="25E76156"/>
    <w:rsid w:val="25E803AA"/>
    <w:rsid w:val="26015114"/>
    <w:rsid w:val="264435A2"/>
    <w:rsid w:val="26766A0C"/>
    <w:rsid w:val="267D3BC4"/>
    <w:rsid w:val="268124E5"/>
    <w:rsid w:val="26951BF0"/>
    <w:rsid w:val="26952D95"/>
    <w:rsid w:val="26A737C2"/>
    <w:rsid w:val="26AB39C0"/>
    <w:rsid w:val="26B51EB1"/>
    <w:rsid w:val="26BE0B04"/>
    <w:rsid w:val="26D35252"/>
    <w:rsid w:val="26E612A0"/>
    <w:rsid w:val="26E714A5"/>
    <w:rsid w:val="2724694F"/>
    <w:rsid w:val="27412E5B"/>
    <w:rsid w:val="274A7BEC"/>
    <w:rsid w:val="274D5595"/>
    <w:rsid w:val="27621A49"/>
    <w:rsid w:val="27680C59"/>
    <w:rsid w:val="276C5C15"/>
    <w:rsid w:val="279D0DFA"/>
    <w:rsid w:val="27B2709D"/>
    <w:rsid w:val="27C45F08"/>
    <w:rsid w:val="27F74080"/>
    <w:rsid w:val="27FA11BB"/>
    <w:rsid w:val="281C05EF"/>
    <w:rsid w:val="283C029E"/>
    <w:rsid w:val="284B30A8"/>
    <w:rsid w:val="28580B4A"/>
    <w:rsid w:val="287C7B08"/>
    <w:rsid w:val="28AE14E1"/>
    <w:rsid w:val="28B92313"/>
    <w:rsid w:val="28FD3185"/>
    <w:rsid w:val="296E4810"/>
    <w:rsid w:val="296F299B"/>
    <w:rsid w:val="297777E0"/>
    <w:rsid w:val="29910C62"/>
    <w:rsid w:val="299D57A4"/>
    <w:rsid w:val="29A17BC2"/>
    <w:rsid w:val="29B71096"/>
    <w:rsid w:val="29E83970"/>
    <w:rsid w:val="29E92435"/>
    <w:rsid w:val="29FC27AC"/>
    <w:rsid w:val="2A0B0DCF"/>
    <w:rsid w:val="2A105DFF"/>
    <w:rsid w:val="2A273C43"/>
    <w:rsid w:val="2A297818"/>
    <w:rsid w:val="2A320CC1"/>
    <w:rsid w:val="2A3214CB"/>
    <w:rsid w:val="2A4E04FE"/>
    <w:rsid w:val="2A5E3538"/>
    <w:rsid w:val="2AE429F2"/>
    <w:rsid w:val="2AE618A9"/>
    <w:rsid w:val="2B2D4946"/>
    <w:rsid w:val="2B3D60EF"/>
    <w:rsid w:val="2B5144F6"/>
    <w:rsid w:val="2B837C10"/>
    <w:rsid w:val="2BA719E0"/>
    <w:rsid w:val="2BCB674E"/>
    <w:rsid w:val="2C17491E"/>
    <w:rsid w:val="2C3174E5"/>
    <w:rsid w:val="2C5C2B4B"/>
    <w:rsid w:val="2C8E16C3"/>
    <w:rsid w:val="2CB61523"/>
    <w:rsid w:val="2CEF7F6D"/>
    <w:rsid w:val="2CF357FE"/>
    <w:rsid w:val="2D03715B"/>
    <w:rsid w:val="2D102428"/>
    <w:rsid w:val="2D512BF3"/>
    <w:rsid w:val="2D76764F"/>
    <w:rsid w:val="2DAA1696"/>
    <w:rsid w:val="2DBF711E"/>
    <w:rsid w:val="2E260BD8"/>
    <w:rsid w:val="2E2C0FDE"/>
    <w:rsid w:val="2E580882"/>
    <w:rsid w:val="2E796F03"/>
    <w:rsid w:val="2E7A4956"/>
    <w:rsid w:val="2E93631D"/>
    <w:rsid w:val="2E9442B8"/>
    <w:rsid w:val="2EB47477"/>
    <w:rsid w:val="2EBA1EE3"/>
    <w:rsid w:val="2EBA1F3F"/>
    <w:rsid w:val="2EC6693E"/>
    <w:rsid w:val="2ECF2B7D"/>
    <w:rsid w:val="2ED0432B"/>
    <w:rsid w:val="2ED565AD"/>
    <w:rsid w:val="2ED634D9"/>
    <w:rsid w:val="2ED97F3B"/>
    <w:rsid w:val="2EE05EB5"/>
    <w:rsid w:val="2EFE08E8"/>
    <w:rsid w:val="2F0074F0"/>
    <w:rsid w:val="2F055C86"/>
    <w:rsid w:val="2F0B70F2"/>
    <w:rsid w:val="2F1D6CF9"/>
    <w:rsid w:val="2F4F6E4A"/>
    <w:rsid w:val="2F690E80"/>
    <w:rsid w:val="2F826823"/>
    <w:rsid w:val="2F8B470D"/>
    <w:rsid w:val="2FC93C3C"/>
    <w:rsid w:val="2FCF5DCA"/>
    <w:rsid w:val="2FDB52AB"/>
    <w:rsid w:val="2FE549AE"/>
    <w:rsid w:val="30017608"/>
    <w:rsid w:val="301D6CFA"/>
    <w:rsid w:val="304536CC"/>
    <w:rsid w:val="30595871"/>
    <w:rsid w:val="306F1E55"/>
    <w:rsid w:val="3076158A"/>
    <w:rsid w:val="309C4103"/>
    <w:rsid w:val="30BC78F4"/>
    <w:rsid w:val="30C9250A"/>
    <w:rsid w:val="30FC4079"/>
    <w:rsid w:val="31041692"/>
    <w:rsid w:val="3117126E"/>
    <w:rsid w:val="31330586"/>
    <w:rsid w:val="31514373"/>
    <w:rsid w:val="315643E9"/>
    <w:rsid w:val="31A749A4"/>
    <w:rsid w:val="31B00686"/>
    <w:rsid w:val="31DB18A3"/>
    <w:rsid w:val="32043850"/>
    <w:rsid w:val="32372650"/>
    <w:rsid w:val="32576A8C"/>
    <w:rsid w:val="32A62E50"/>
    <w:rsid w:val="32BE77AF"/>
    <w:rsid w:val="32E33F16"/>
    <w:rsid w:val="32EE4A06"/>
    <w:rsid w:val="32F25B74"/>
    <w:rsid w:val="3304495C"/>
    <w:rsid w:val="33536C88"/>
    <w:rsid w:val="33B117F0"/>
    <w:rsid w:val="33C62BF6"/>
    <w:rsid w:val="33D92E37"/>
    <w:rsid w:val="33EE0E60"/>
    <w:rsid w:val="340F2A99"/>
    <w:rsid w:val="34D23A27"/>
    <w:rsid w:val="34E60763"/>
    <w:rsid w:val="34F72022"/>
    <w:rsid w:val="35104EB9"/>
    <w:rsid w:val="352351DB"/>
    <w:rsid w:val="354E0790"/>
    <w:rsid w:val="354E0CA1"/>
    <w:rsid w:val="35781BC0"/>
    <w:rsid w:val="35911E68"/>
    <w:rsid w:val="35EA3AF6"/>
    <w:rsid w:val="35F13712"/>
    <w:rsid w:val="36040FEF"/>
    <w:rsid w:val="361504BA"/>
    <w:rsid w:val="361C713B"/>
    <w:rsid w:val="362C4870"/>
    <w:rsid w:val="36625403"/>
    <w:rsid w:val="36AA4C1D"/>
    <w:rsid w:val="36AB747D"/>
    <w:rsid w:val="36CD53B5"/>
    <w:rsid w:val="36E13D7C"/>
    <w:rsid w:val="370A0C41"/>
    <w:rsid w:val="371F0610"/>
    <w:rsid w:val="373B077D"/>
    <w:rsid w:val="3749090D"/>
    <w:rsid w:val="375F7B0E"/>
    <w:rsid w:val="37652522"/>
    <w:rsid w:val="378A1CAF"/>
    <w:rsid w:val="37996821"/>
    <w:rsid w:val="37AA370C"/>
    <w:rsid w:val="38074A8B"/>
    <w:rsid w:val="382A3D8D"/>
    <w:rsid w:val="38414F58"/>
    <w:rsid w:val="38E27B05"/>
    <w:rsid w:val="38E82713"/>
    <w:rsid w:val="38F9481A"/>
    <w:rsid w:val="391570B2"/>
    <w:rsid w:val="39176B24"/>
    <w:rsid w:val="39962BC1"/>
    <w:rsid w:val="399C04DE"/>
    <w:rsid w:val="39A427AF"/>
    <w:rsid w:val="39BF0AF2"/>
    <w:rsid w:val="39D716B2"/>
    <w:rsid w:val="39E76679"/>
    <w:rsid w:val="3A0111A9"/>
    <w:rsid w:val="3A23211E"/>
    <w:rsid w:val="3A2E7287"/>
    <w:rsid w:val="3A3B15BF"/>
    <w:rsid w:val="3A632287"/>
    <w:rsid w:val="3B0D214D"/>
    <w:rsid w:val="3B0F678F"/>
    <w:rsid w:val="3B233C39"/>
    <w:rsid w:val="3B454B35"/>
    <w:rsid w:val="3B912B1F"/>
    <w:rsid w:val="3BBD4A08"/>
    <w:rsid w:val="3BC613A1"/>
    <w:rsid w:val="3BCB7A80"/>
    <w:rsid w:val="3BFB67DF"/>
    <w:rsid w:val="3C4F1136"/>
    <w:rsid w:val="3C5E17B9"/>
    <w:rsid w:val="3C954E00"/>
    <w:rsid w:val="3C9F703B"/>
    <w:rsid w:val="3CAF6DDF"/>
    <w:rsid w:val="3CB201E2"/>
    <w:rsid w:val="3CF767D7"/>
    <w:rsid w:val="3CFE57B2"/>
    <w:rsid w:val="3D0446B5"/>
    <w:rsid w:val="3D107E70"/>
    <w:rsid w:val="3D125028"/>
    <w:rsid w:val="3DB22C90"/>
    <w:rsid w:val="3DD05305"/>
    <w:rsid w:val="3DD60073"/>
    <w:rsid w:val="3DDC68C1"/>
    <w:rsid w:val="3DE464F2"/>
    <w:rsid w:val="3DE87377"/>
    <w:rsid w:val="3DEE51C5"/>
    <w:rsid w:val="3E220104"/>
    <w:rsid w:val="3E2A4753"/>
    <w:rsid w:val="3E4A126B"/>
    <w:rsid w:val="3E6B4F54"/>
    <w:rsid w:val="3E8546AD"/>
    <w:rsid w:val="3E8669EC"/>
    <w:rsid w:val="3E9F7128"/>
    <w:rsid w:val="3EDD5381"/>
    <w:rsid w:val="3EF370CD"/>
    <w:rsid w:val="3EFE3CB1"/>
    <w:rsid w:val="3F0B0F8B"/>
    <w:rsid w:val="3F235FD2"/>
    <w:rsid w:val="3F256407"/>
    <w:rsid w:val="3F43237A"/>
    <w:rsid w:val="3F59570E"/>
    <w:rsid w:val="3F5C700D"/>
    <w:rsid w:val="3F710000"/>
    <w:rsid w:val="3FEA6601"/>
    <w:rsid w:val="3FF1395B"/>
    <w:rsid w:val="400379FA"/>
    <w:rsid w:val="40273C27"/>
    <w:rsid w:val="403B751E"/>
    <w:rsid w:val="40704870"/>
    <w:rsid w:val="407635CC"/>
    <w:rsid w:val="40AF4D8E"/>
    <w:rsid w:val="40C87B7A"/>
    <w:rsid w:val="40CD103A"/>
    <w:rsid w:val="40E352EC"/>
    <w:rsid w:val="4107605D"/>
    <w:rsid w:val="41151677"/>
    <w:rsid w:val="416E4542"/>
    <w:rsid w:val="416E77BC"/>
    <w:rsid w:val="41A07BEC"/>
    <w:rsid w:val="41B668DA"/>
    <w:rsid w:val="41D1205A"/>
    <w:rsid w:val="41D1500A"/>
    <w:rsid w:val="41DA59A5"/>
    <w:rsid w:val="41E74426"/>
    <w:rsid w:val="41EF2309"/>
    <w:rsid w:val="4203763A"/>
    <w:rsid w:val="42161F97"/>
    <w:rsid w:val="421F1040"/>
    <w:rsid w:val="42256B81"/>
    <w:rsid w:val="423478FA"/>
    <w:rsid w:val="425B51BF"/>
    <w:rsid w:val="42923258"/>
    <w:rsid w:val="42D772FD"/>
    <w:rsid w:val="42F75E37"/>
    <w:rsid w:val="43146715"/>
    <w:rsid w:val="431C6980"/>
    <w:rsid w:val="43290D16"/>
    <w:rsid w:val="43524FFC"/>
    <w:rsid w:val="43532D69"/>
    <w:rsid w:val="436379DB"/>
    <w:rsid w:val="436761B7"/>
    <w:rsid w:val="43E71116"/>
    <w:rsid w:val="43EB52B6"/>
    <w:rsid w:val="43EC2485"/>
    <w:rsid w:val="44043D13"/>
    <w:rsid w:val="440E2257"/>
    <w:rsid w:val="441560A5"/>
    <w:rsid w:val="44255DD4"/>
    <w:rsid w:val="44296568"/>
    <w:rsid w:val="442F191D"/>
    <w:rsid w:val="44636DE0"/>
    <w:rsid w:val="44AA37C2"/>
    <w:rsid w:val="44C24682"/>
    <w:rsid w:val="45203132"/>
    <w:rsid w:val="453F0852"/>
    <w:rsid w:val="454D3A09"/>
    <w:rsid w:val="45544DD7"/>
    <w:rsid w:val="455B2F54"/>
    <w:rsid w:val="455C501B"/>
    <w:rsid w:val="45660D82"/>
    <w:rsid w:val="459104E3"/>
    <w:rsid w:val="45A50E61"/>
    <w:rsid w:val="45D31D9E"/>
    <w:rsid w:val="45D94EEE"/>
    <w:rsid w:val="45E12BEE"/>
    <w:rsid w:val="460808D8"/>
    <w:rsid w:val="460D2A41"/>
    <w:rsid w:val="461D22BF"/>
    <w:rsid w:val="462D5D6D"/>
    <w:rsid w:val="4631083B"/>
    <w:rsid w:val="466B11A8"/>
    <w:rsid w:val="467D1DD9"/>
    <w:rsid w:val="46893C9A"/>
    <w:rsid w:val="46A162A3"/>
    <w:rsid w:val="46A92722"/>
    <w:rsid w:val="46A954ED"/>
    <w:rsid w:val="46AB59A1"/>
    <w:rsid w:val="46B04949"/>
    <w:rsid w:val="46D9540D"/>
    <w:rsid w:val="470E1D23"/>
    <w:rsid w:val="47474F30"/>
    <w:rsid w:val="474E2C3D"/>
    <w:rsid w:val="47780053"/>
    <w:rsid w:val="479F632C"/>
    <w:rsid w:val="47B3753C"/>
    <w:rsid w:val="47E97657"/>
    <w:rsid w:val="47FA69B9"/>
    <w:rsid w:val="48144E7A"/>
    <w:rsid w:val="481563B4"/>
    <w:rsid w:val="48167D7C"/>
    <w:rsid w:val="483E24FE"/>
    <w:rsid w:val="48401961"/>
    <w:rsid w:val="486559F8"/>
    <w:rsid w:val="488D2459"/>
    <w:rsid w:val="488F5542"/>
    <w:rsid w:val="48CE614B"/>
    <w:rsid w:val="48E758EF"/>
    <w:rsid w:val="48EC21BA"/>
    <w:rsid w:val="491233D8"/>
    <w:rsid w:val="49126EF6"/>
    <w:rsid w:val="491B6432"/>
    <w:rsid w:val="491E20C6"/>
    <w:rsid w:val="49340B23"/>
    <w:rsid w:val="49347DF5"/>
    <w:rsid w:val="49536638"/>
    <w:rsid w:val="495675F4"/>
    <w:rsid w:val="496D20BA"/>
    <w:rsid w:val="49A6702F"/>
    <w:rsid w:val="49CF464F"/>
    <w:rsid w:val="4A213204"/>
    <w:rsid w:val="4A2B7E92"/>
    <w:rsid w:val="4A393D1E"/>
    <w:rsid w:val="4A4B78ED"/>
    <w:rsid w:val="4A4E5B65"/>
    <w:rsid w:val="4A7867E5"/>
    <w:rsid w:val="4AB17BD8"/>
    <w:rsid w:val="4AC44A7F"/>
    <w:rsid w:val="4AF32381"/>
    <w:rsid w:val="4B4829D4"/>
    <w:rsid w:val="4C1F51FC"/>
    <w:rsid w:val="4C49387B"/>
    <w:rsid w:val="4C741266"/>
    <w:rsid w:val="4CA653DC"/>
    <w:rsid w:val="4CB86B52"/>
    <w:rsid w:val="4CCB390F"/>
    <w:rsid w:val="4CCF0267"/>
    <w:rsid w:val="4CD45F2E"/>
    <w:rsid w:val="4CD73ECA"/>
    <w:rsid w:val="4CDC5579"/>
    <w:rsid w:val="4CE62BB0"/>
    <w:rsid w:val="4D101622"/>
    <w:rsid w:val="4D110381"/>
    <w:rsid w:val="4D24471D"/>
    <w:rsid w:val="4D2E1F20"/>
    <w:rsid w:val="4D3D77D9"/>
    <w:rsid w:val="4D53726D"/>
    <w:rsid w:val="4D7D3C92"/>
    <w:rsid w:val="4D820CB2"/>
    <w:rsid w:val="4D942FB8"/>
    <w:rsid w:val="4D983814"/>
    <w:rsid w:val="4DA33629"/>
    <w:rsid w:val="4E507B0F"/>
    <w:rsid w:val="4E5D144B"/>
    <w:rsid w:val="4E7C2A41"/>
    <w:rsid w:val="4EAB35FC"/>
    <w:rsid w:val="4EC203AA"/>
    <w:rsid w:val="4EC61081"/>
    <w:rsid w:val="4ECE450B"/>
    <w:rsid w:val="4F065408"/>
    <w:rsid w:val="4F1B6EF0"/>
    <w:rsid w:val="4F247C67"/>
    <w:rsid w:val="4F3516D3"/>
    <w:rsid w:val="4F3D7043"/>
    <w:rsid w:val="4F504862"/>
    <w:rsid w:val="4F6A3D6D"/>
    <w:rsid w:val="4F9E2A48"/>
    <w:rsid w:val="4FC17E04"/>
    <w:rsid w:val="4FE76FD0"/>
    <w:rsid w:val="4FE93F60"/>
    <w:rsid w:val="4FEB02D4"/>
    <w:rsid w:val="4FF236C4"/>
    <w:rsid w:val="4FF5101A"/>
    <w:rsid w:val="4FFD2DE8"/>
    <w:rsid w:val="4FFF17D7"/>
    <w:rsid w:val="50021F95"/>
    <w:rsid w:val="502837C6"/>
    <w:rsid w:val="50513B67"/>
    <w:rsid w:val="505576DC"/>
    <w:rsid w:val="5058145E"/>
    <w:rsid w:val="508E2BBF"/>
    <w:rsid w:val="509A01D0"/>
    <w:rsid w:val="50A261D1"/>
    <w:rsid w:val="50A74BFE"/>
    <w:rsid w:val="50A84638"/>
    <w:rsid w:val="50D54355"/>
    <w:rsid w:val="50FE00DF"/>
    <w:rsid w:val="510337E6"/>
    <w:rsid w:val="5136666D"/>
    <w:rsid w:val="51CC013E"/>
    <w:rsid w:val="51CE3D7E"/>
    <w:rsid w:val="51F1322D"/>
    <w:rsid w:val="51FE3D77"/>
    <w:rsid w:val="52302E92"/>
    <w:rsid w:val="52475372"/>
    <w:rsid w:val="52524A13"/>
    <w:rsid w:val="52564B5E"/>
    <w:rsid w:val="5257565C"/>
    <w:rsid w:val="525860C8"/>
    <w:rsid w:val="52662D21"/>
    <w:rsid w:val="527853C8"/>
    <w:rsid w:val="528117A1"/>
    <w:rsid w:val="52A03837"/>
    <w:rsid w:val="52B33C01"/>
    <w:rsid w:val="52D04629"/>
    <w:rsid w:val="52DE6518"/>
    <w:rsid w:val="52EA77D4"/>
    <w:rsid w:val="52EC2A1D"/>
    <w:rsid w:val="52F70AD6"/>
    <w:rsid w:val="52FB53A6"/>
    <w:rsid w:val="52FE2165"/>
    <w:rsid w:val="531408AC"/>
    <w:rsid w:val="538F5C0A"/>
    <w:rsid w:val="53D14327"/>
    <w:rsid w:val="53FF25CC"/>
    <w:rsid w:val="5405356B"/>
    <w:rsid w:val="541412B9"/>
    <w:rsid w:val="54256075"/>
    <w:rsid w:val="54501389"/>
    <w:rsid w:val="54514A81"/>
    <w:rsid w:val="545875AA"/>
    <w:rsid w:val="54AC12F2"/>
    <w:rsid w:val="54D67A58"/>
    <w:rsid w:val="54EA2661"/>
    <w:rsid w:val="55190476"/>
    <w:rsid w:val="551B0CA7"/>
    <w:rsid w:val="551C6EA7"/>
    <w:rsid w:val="55787F88"/>
    <w:rsid w:val="557D5743"/>
    <w:rsid w:val="558C67D0"/>
    <w:rsid w:val="559F09FD"/>
    <w:rsid w:val="55AA524B"/>
    <w:rsid w:val="55BB11A6"/>
    <w:rsid w:val="55D938AF"/>
    <w:rsid w:val="55E019FF"/>
    <w:rsid w:val="560911DF"/>
    <w:rsid w:val="563D0CED"/>
    <w:rsid w:val="564C67D5"/>
    <w:rsid w:val="566D0EFC"/>
    <w:rsid w:val="567F4652"/>
    <w:rsid w:val="569C7B21"/>
    <w:rsid w:val="56AD4BC5"/>
    <w:rsid w:val="56B674E1"/>
    <w:rsid w:val="56CA472C"/>
    <w:rsid w:val="57342590"/>
    <w:rsid w:val="574D574A"/>
    <w:rsid w:val="575E475A"/>
    <w:rsid w:val="576E0532"/>
    <w:rsid w:val="577327A5"/>
    <w:rsid w:val="578C351F"/>
    <w:rsid w:val="5797022A"/>
    <w:rsid w:val="57AF311D"/>
    <w:rsid w:val="57DD1F3A"/>
    <w:rsid w:val="58105CAF"/>
    <w:rsid w:val="581C3980"/>
    <w:rsid w:val="58366ADA"/>
    <w:rsid w:val="584B506E"/>
    <w:rsid w:val="58714CFB"/>
    <w:rsid w:val="58877F3B"/>
    <w:rsid w:val="588C6615"/>
    <w:rsid w:val="589B4DC1"/>
    <w:rsid w:val="58D80CB1"/>
    <w:rsid w:val="590755E9"/>
    <w:rsid w:val="595B5C40"/>
    <w:rsid w:val="596A5B6F"/>
    <w:rsid w:val="597E7762"/>
    <w:rsid w:val="59A52463"/>
    <w:rsid w:val="59A53934"/>
    <w:rsid w:val="59E5742D"/>
    <w:rsid w:val="59F80256"/>
    <w:rsid w:val="5A1A3608"/>
    <w:rsid w:val="5A595BE2"/>
    <w:rsid w:val="5A764972"/>
    <w:rsid w:val="5A781E16"/>
    <w:rsid w:val="5AB30ED7"/>
    <w:rsid w:val="5AB62283"/>
    <w:rsid w:val="5AD57BC3"/>
    <w:rsid w:val="5AE15BA7"/>
    <w:rsid w:val="5B327793"/>
    <w:rsid w:val="5B4C2643"/>
    <w:rsid w:val="5B525B3D"/>
    <w:rsid w:val="5B7D325A"/>
    <w:rsid w:val="5BA524BB"/>
    <w:rsid w:val="5BA627A5"/>
    <w:rsid w:val="5BB429D5"/>
    <w:rsid w:val="5C106E26"/>
    <w:rsid w:val="5C3B5E97"/>
    <w:rsid w:val="5C5D5AA8"/>
    <w:rsid w:val="5C6977E6"/>
    <w:rsid w:val="5C776B3A"/>
    <w:rsid w:val="5C8A77E5"/>
    <w:rsid w:val="5C93701B"/>
    <w:rsid w:val="5CAA6DAB"/>
    <w:rsid w:val="5CC21263"/>
    <w:rsid w:val="5CC21962"/>
    <w:rsid w:val="5CCC54D2"/>
    <w:rsid w:val="5CED2442"/>
    <w:rsid w:val="5D5F7544"/>
    <w:rsid w:val="5D642778"/>
    <w:rsid w:val="5D776FDA"/>
    <w:rsid w:val="5D7D2357"/>
    <w:rsid w:val="5DEA3518"/>
    <w:rsid w:val="5E01175A"/>
    <w:rsid w:val="5E110E82"/>
    <w:rsid w:val="5E257FEA"/>
    <w:rsid w:val="5E2A6F84"/>
    <w:rsid w:val="5E3736FE"/>
    <w:rsid w:val="5E9B7860"/>
    <w:rsid w:val="5EAC4B42"/>
    <w:rsid w:val="5EB55AA6"/>
    <w:rsid w:val="5EC10A10"/>
    <w:rsid w:val="5EE83182"/>
    <w:rsid w:val="5F010F76"/>
    <w:rsid w:val="5F2E6199"/>
    <w:rsid w:val="5F7E7024"/>
    <w:rsid w:val="5FA615BD"/>
    <w:rsid w:val="5FCD57BE"/>
    <w:rsid w:val="5FFB6EE1"/>
    <w:rsid w:val="60053CFA"/>
    <w:rsid w:val="603F4A8C"/>
    <w:rsid w:val="60441A0E"/>
    <w:rsid w:val="60494A88"/>
    <w:rsid w:val="60495140"/>
    <w:rsid w:val="604C213B"/>
    <w:rsid w:val="60626FEC"/>
    <w:rsid w:val="6066348F"/>
    <w:rsid w:val="6074796D"/>
    <w:rsid w:val="60781117"/>
    <w:rsid w:val="608608EC"/>
    <w:rsid w:val="608C50A5"/>
    <w:rsid w:val="60902C74"/>
    <w:rsid w:val="6090500B"/>
    <w:rsid w:val="609A4C04"/>
    <w:rsid w:val="609B0E12"/>
    <w:rsid w:val="60AF4523"/>
    <w:rsid w:val="60C02E97"/>
    <w:rsid w:val="60FA617A"/>
    <w:rsid w:val="61163C3E"/>
    <w:rsid w:val="61295644"/>
    <w:rsid w:val="613D0E2B"/>
    <w:rsid w:val="616145BF"/>
    <w:rsid w:val="61B7216E"/>
    <w:rsid w:val="61E5283F"/>
    <w:rsid w:val="62876998"/>
    <w:rsid w:val="62A103F1"/>
    <w:rsid w:val="62AF5EDF"/>
    <w:rsid w:val="62D908E8"/>
    <w:rsid w:val="62E37348"/>
    <w:rsid w:val="62F059A7"/>
    <w:rsid w:val="635A33C0"/>
    <w:rsid w:val="635E2A68"/>
    <w:rsid w:val="63750EA7"/>
    <w:rsid w:val="63E47A44"/>
    <w:rsid w:val="63F93FCA"/>
    <w:rsid w:val="641A50B9"/>
    <w:rsid w:val="641C3825"/>
    <w:rsid w:val="641D408A"/>
    <w:rsid w:val="642D28C5"/>
    <w:rsid w:val="64B51E43"/>
    <w:rsid w:val="64DF10D6"/>
    <w:rsid w:val="64E61B2D"/>
    <w:rsid w:val="651D1EBD"/>
    <w:rsid w:val="65491A8B"/>
    <w:rsid w:val="658244B9"/>
    <w:rsid w:val="65973432"/>
    <w:rsid w:val="65C22265"/>
    <w:rsid w:val="65DE7049"/>
    <w:rsid w:val="65E57E81"/>
    <w:rsid w:val="65E65488"/>
    <w:rsid w:val="65F01B7C"/>
    <w:rsid w:val="66061F64"/>
    <w:rsid w:val="66097120"/>
    <w:rsid w:val="66384A97"/>
    <w:rsid w:val="66524F0E"/>
    <w:rsid w:val="666E0C22"/>
    <w:rsid w:val="668941A8"/>
    <w:rsid w:val="66FD4E7C"/>
    <w:rsid w:val="67120EC0"/>
    <w:rsid w:val="671C7CC2"/>
    <w:rsid w:val="673768A3"/>
    <w:rsid w:val="67660E68"/>
    <w:rsid w:val="677B3FA8"/>
    <w:rsid w:val="67805F24"/>
    <w:rsid w:val="67833157"/>
    <w:rsid w:val="67842AB8"/>
    <w:rsid w:val="67B1532A"/>
    <w:rsid w:val="67B91DF6"/>
    <w:rsid w:val="67E3419B"/>
    <w:rsid w:val="67E3722B"/>
    <w:rsid w:val="67F93E93"/>
    <w:rsid w:val="67FF2345"/>
    <w:rsid w:val="68610262"/>
    <w:rsid w:val="68813517"/>
    <w:rsid w:val="688B5713"/>
    <w:rsid w:val="68DE5240"/>
    <w:rsid w:val="68F61EDF"/>
    <w:rsid w:val="68F93B90"/>
    <w:rsid w:val="69541AF2"/>
    <w:rsid w:val="695D6F49"/>
    <w:rsid w:val="69627766"/>
    <w:rsid w:val="696F0BEE"/>
    <w:rsid w:val="696F5786"/>
    <w:rsid w:val="69706836"/>
    <w:rsid w:val="69824C66"/>
    <w:rsid w:val="698C51CE"/>
    <w:rsid w:val="69B86B5F"/>
    <w:rsid w:val="69D1321C"/>
    <w:rsid w:val="69E63197"/>
    <w:rsid w:val="6A6F717E"/>
    <w:rsid w:val="6A872A5A"/>
    <w:rsid w:val="6AAD2907"/>
    <w:rsid w:val="6AC35DA4"/>
    <w:rsid w:val="6AE122BB"/>
    <w:rsid w:val="6AF46377"/>
    <w:rsid w:val="6B121468"/>
    <w:rsid w:val="6B4E79E9"/>
    <w:rsid w:val="6B53755D"/>
    <w:rsid w:val="6B9102AF"/>
    <w:rsid w:val="6BD72CA2"/>
    <w:rsid w:val="6BE27E27"/>
    <w:rsid w:val="6BF97AE4"/>
    <w:rsid w:val="6C072286"/>
    <w:rsid w:val="6C381621"/>
    <w:rsid w:val="6C676D68"/>
    <w:rsid w:val="6CE7693A"/>
    <w:rsid w:val="6CFB6EC1"/>
    <w:rsid w:val="6D1968BD"/>
    <w:rsid w:val="6D1B47FE"/>
    <w:rsid w:val="6D2021CC"/>
    <w:rsid w:val="6D2B75D9"/>
    <w:rsid w:val="6D5E5D21"/>
    <w:rsid w:val="6D7D3AD4"/>
    <w:rsid w:val="6D806BC9"/>
    <w:rsid w:val="6D8A796A"/>
    <w:rsid w:val="6DB71054"/>
    <w:rsid w:val="6DC23951"/>
    <w:rsid w:val="6DDA0C7C"/>
    <w:rsid w:val="6DF05923"/>
    <w:rsid w:val="6E052422"/>
    <w:rsid w:val="6E674101"/>
    <w:rsid w:val="6E6B5D91"/>
    <w:rsid w:val="6E771FF7"/>
    <w:rsid w:val="6EB25A7A"/>
    <w:rsid w:val="6EE33E6A"/>
    <w:rsid w:val="6EF10BC3"/>
    <w:rsid w:val="6F007356"/>
    <w:rsid w:val="6F186AFA"/>
    <w:rsid w:val="6F1904CD"/>
    <w:rsid w:val="6F3B50FC"/>
    <w:rsid w:val="6F69197E"/>
    <w:rsid w:val="6F6A2AA4"/>
    <w:rsid w:val="6F6C4D00"/>
    <w:rsid w:val="6F714936"/>
    <w:rsid w:val="6F773E7C"/>
    <w:rsid w:val="6FA9233F"/>
    <w:rsid w:val="6FAE7945"/>
    <w:rsid w:val="6FD31238"/>
    <w:rsid w:val="7011522B"/>
    <w:rsid w:val="701C6772"/>
    <w:rsid w:val="702C424C"/>
    <w:rsid w:val="70AE635C"/>
    <w:rsid w:val="70D30D62"/>
    <w:rsid w:val="70DC3C8A"/>
    <w:rsid w:val="70F1312A"/>
    <w:rsid w:val="711068E4"/>
    <w:rsid w:val="714264AB"/>
    <w:rsid w:val="716F7A88"/>
    <w:rsid w:val="717B01B6"/>
    <w:rsid w:val="71E01788"/>
    <w:rsid w:val="71F95B4C"/>
    <w:rsid w:val="71FD4BFD"/>
    <w:rsid w:val="72045625"/>
    <w:rsid w:val="720806FB"/>
    <w:rsid w:val="7225745F"/>
    <w:rsid w:val="722F39D8"/>
    <w:rsid w:val="724E1FE4"/>
    <w:rsid w:val="7269722A"/>
    <w:rsid w:val="727534DC"/>
    <w:rsid w:val="72B72C2D"/>
    <w:rsid w:val="72BE6560"/>
    <w:rsid w:val="72D92F11"/>
    <w:rsid w:val="72D94313"/>
    <w:rsid w:val="733363CE"/>
    <w:rsid w:val="73407467"/>
    <w:rsid w:val="73502B16"/>
    <w:rsid w:val="7358005D"/>
    <w:rsid w:val="73582AFE"/>
    <w:rsid w:val="73A93938"/>
    <w:rsid w:val="73C916D1"/>
    <w:rsid w:val="73D660FC"/>
    <w:rsid w:val="73EE537F"/>
    <w:rsid w:val="73F96ECD"/>
    <w:rsid w:val="74121742"/>
    <w:rsid w:val="741A0F72"/>
    <w:rsid w:val="743337E9"/>
    <w:rsid w:val="748E6A89"/>
    <w:rsid w:val="74966BA8"/>
    <w:rsid w:val="74A24B12"/>
    <w:rsid w:val="74DB2230"/>
    <w:rsid w:val="75052234"/>
    <w:rsid w:val="75232095"/>
    <w:rsid w:val="752D4BF4"/>
    <w:rsid w:val="755C4078"/>
    <w:rsid w:val="75665CBD"/>
    <w:rsid w:val="757E600C"/>
    <w:rsid w:val="7587112B"/>
    <w:rsid w:val="75BA4386"/>
    <w:rsid w:val="75C15074"/>
    <w:rsid w:val="75E27F81"/>
    <w:rsid w:val="75F649DD"/>
    <w:rsid w:val="75F9008F"/>
    <w:rsid w:val="75FA428C"/>
    <w:rsid w:val="76095693"/>
    <w:rsid w:val="760E1179"/>
    <w:rsid w:val="764E5BE6"/>
    <w:rsid w:val="76552BEE"/>
    <w:rsid w:val="766108B2"/>
    <w:rsid w:val="76795E1C"/>
    <w:rsid w:val="767A5602"/>
    <w:rsid w:val="7692365B"/>
    <w:rsid w:val="7698163D"/>
    <w:rsid w:val="769A2025"/>
    <w:rsid w:val="76A371A5"/>
    <w:rsid w:val="76BC74E6"/>
    <w:rsid w:val="76CA7D9B"/>
    <w:rsid w:val="76CD72F4"/>
    <w:rsid w:val="771370B1"/>
    <w:rsid w:val="77274F43"/>
    <w:rsid w:val="77352098"/>
    <w:rsid w:val="773C17BA"/>
    <w:rsid w:val="77623BBA"/>
    <w:rsid w:val="77717257"/>
    <w:rsid w:val="77771655"/>
    <w:rsid w:val="779B5DC4"/>
    <w:rsid w:val="77C0132C"/>
    <w:rsid w:val="77C40EC4"/>
    <w:rsid w:val="77F474D7"/>
    <w:rsid w:val="77FA7011"/>
    <w:rsid w:val="77FB4054"/>
    <w:rsid w:val="7805063C"/>
    <w:rsid w:val="780D3FD0"/>
    <w:rsid w:val="781B09E9"/>
    <w:rsid w:val="78365BA0"/>
    <w:rsid w:val="78BC604B"/>
    <w:rsid w:val="78CC498E"/>
    <w:rsid w:val="790226A3"/>
    <w:rsid w:val="791F28F9"/>
    <w:rsid w:val="792128DD"/>
    <w:rsid w:val="79226D61"/>
    <w:rsid w:val="79522980"/>
    <w:rsid w:val="797D6580"/>
    <w:rsid w:val="79DD4E87"/>
    <w:rsid w:val="79E9036D"/>
    <w:rsid w:val="7A0D6047"/>
    <w:rsid w:val="7A2F68AC"/>
    <w:rsid w:val="7A4E60D0"/>
    <w:rsid w:val="7A6460DA"/>
    <w:rsid w:val="7A647AB7"/>
    <w:rsid w:val="7A7706BB"/>
    <w:rsid w:val="7B080400"/>
    <w:rsid w:val="7B234A2E"/>
    <w:rsid w:val="7B452195"/>
    <w:rsid w:val="7B51057F"/>
    <w:rsid w:val="7B5C67F6"/>
    <w:rsid w:val="7B7C3152"/>
    <w:rsid w:val="7B7E3183"/>
    <w:rsid w:val="7BAC3BE6"/>
    <w:rsid w:val="7BAF6340"/>
    <w:rsid w:val="7C2777C1"/>
    <w:rsid w:val="7C324AEC"/>
    <w:rsid w:val="7C503D4D"/>
    <w:rsid w:val="7C7928F8"/>
    <w:rsid w:val="7C796F42"/>
    <w:rsid w:val="7C7B1BB7"/>
    <w:rsid w:val="7CB521DB"/>
    <w:rsid w:val="7CE779D0"/>
    <w:rsid w:val="7D0D681C"/>
    <w:rsid w:val="7D291ECA"/>
    <w:rsid w:val="7D632BE9"/>
    <w:rsid w:val="7D6E1DB2"/>
    <w:rsid w:val="7D773553"/>
    <w:rsid w:val="7DC05CA9"/>
    <w:rsid w:val="7DFE50BA"/>
    <w:rsid w:val="7E137497"/>
    <w:rsid w:val="7E251E99"/>
    <w:rsid w:val="7E300A97"/>
    <w:rsid w:val="7E482651"/>
    <w:rsid w:val="7E70577B"/>
    <w:rsid w:val="7E8C5D97"/>
    <w:rsid w:val="7E920338"/>
    <w:rsid w:val="7E990AFD"/>
    <w:rsid w:val="7E9B6404"/>
    <w:rsid w:val="7EFC799F"/>
    <w:rsid w:val="7F0F5A30"/>
    <w:rsid w:val="7F1B309E"/>
    <w:rsid w:val="7F2E49EA"/>
    <w:rsid w:val="7F5223A9"/>
    <w:rsid w:val="7F5B482E"/>
    <w:rsid w:val="7FBB7C8F"/>
    <w:rsid w:val="7FC022A7"/>
    <w:rsid w:val="7FCB3F26"/>
    <w:rsid w:val="7FF202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3"/>
    <w:qFormat/>
    <w:uiPriority w:val="0"/>
    <w:pPr>
      <w:keepNext/>
      <w:keepLines/>
      <w:numPr>
        <w:ilvl w:val="0"/>
        <w:numId w:val="1"/>
      </w:numPr>
      <w:spacing w:before="340" w:after="330" w:line="576" w:lineRule="auto"/>
      <w:outlineLvl w:val="0"/>
    </w:pPr>
    <w:rPr>
      <w:rFonts w:eastAsia="仿宋_GB2312"/>
      <w:b/>
      <w:kern w:val="44"/>
      <w:sz w:val="44"/>
    </w:rPr>
  </w:style>
  <w:style w:type="paragraph" w:styleId="4">
    <w:name w:val="heading 2"/>
    <w:basedOn w:val="1"/>
    <w:next w:val="1"/>
    <w:link w:val="284"/>
    <w:qFormat/>
    <w:uiPriority w:val="0"/>
    <w:pPr>
      <w:keepNext/>
      <w:keepLines/>
      <w:numPr>
        <w:ilvl w:val="1"/>
        <w:numId w:val="1"/>
      </w:numPr>
      <w:spacing w:before="260" w:after="260" w:line="415" w:lineRule="auto"/>
      <w:outlineLvl w:val="1"/>
    </w:pPr>
    <w:rPr>
      <w:rFonts w:ascii="Arial" w:hAnsi="Arial" w:eastAsia="黑体"/>
      <w:b/>
      <w:sz w:val="32"/>
    </w:rPr>
  </w:style>
  <w:style w:type="paragraph" w:styleId="5">
    <w:name w:val="heading 3"/>
    <w:basedOn w:val="1"/>
    <w:next w:val="1"/>
    <w:link w:val="274"/>
    <w:qFormat/>
    <w:uiPriority w:val="0"/>
    <w:pPr>
      <w:keepNext/>
      <w:keepLines/>
      <w:numPr>
        <w:ilvl w:val="2"/>
        <w:numId w:val="1"/>
      </w:numPr>
      <w:spacing w:before="260" w:after="260" w:line="415" w:lineRule="auto"/>
      <w:outlineLvl w:val="2"/>
    </w:pPr>
    <w:rPr>
      <w:rFonts w:eastAsia="仿宋_GB2312"/>
      <w:b/>
      <w:sz w:val="32"/>
    </w:rPr>
  </w:style>
  <w:style w:type="paragraph" w:styleId="6">
    <w:name w:val="heading 4"/>
    <w:basedOn w:val="1"/>
    <w:next w:val="1"/>
    <w:qFormat/>
    <w:uiPriority w:val="0"/>
    <w:pPr>
      <w:keepNext/>
      <w:keepLines/>
      <w:numPr>
        <w:ilvl w:val="3"/>
        <w:numId w:val="1"/>
      </w:numPr>
      <w:spacing w:before="280" w:after="290" w:line="374" w:lineRule="auto"/>
      <w:outlineLvl w:val="3"/>
    </w:pPr>
    <w:rPr>
      <w:rFonts w:ascii="Arial" w:hAnsi="Arial" w:eastAsia="黑体"/>
      <w:b/>
      <w:sz w:val="28"/>
    </w:rPr>
  </w:style>
  <w:style w:type="paragraph" w:styleId="7">
    <w:name w:val="heading 5"/>
    <w:basedOn w:val="1"/>
    <w:next w:val="8"/>
    <w:qFormat/>
    <w:uiPriority w:val="0"/>
    <w:pPr>
      <w:keepNext/>
      <w:keepLines/>
      <w:spacing w:before="280" w:after="290" w:line="374" w:lineRule="auto"/>
      <w:outlineLvl w:val="4"/>
    </w:pPr>
    <w:rPr>
      <w:b/>
      <w:sz w:val="28"/>
    </w:rPr>
  </w:style>
  <w:style w:type="paragraph" w:styleId="9">
    <w:name w:val="heading 6"/>
    <w:basedOn w:val="1"/>
    <w:next w:val="1"/>
    <w:qFormat/>
    <w:uiPriority w:val="0"/>
    <w:pPr>
      <w:keepNext/>
      <w:keepLines/>
      <w:numPr>
        <w:ilvl w:val="5"/>
        <w:numId w:val="2"/>
      </w:numPr>
      <w:spacing w:before="240" w:after="64" w:line="319" w:lineRule="auto"/>
      <w:outlineLvl w:val="5"/>
    </w:pPr>
    <w:rPr>
      <w:rFonts w:ascii="Arial" w:hAnsi="Arial" w:eastAsia="黑体"/>
      <w:b/>
      <w:sz w:val="24"/>
    </w:rPr>
  </w:style>
  <w:style w:type="paragraph" w:styleId="10">
    <w:name w:val="heading 7"/>
    <w:basedOn w:val="1"/>
    <w:next w:val="8"/>
    <w:qFormat/>
    <w:uiPriority w:val="0"/>
    <w:pPr>
      <w:keepNext/>
      <w:keepLines/>
      <w:numPr>
        <w:ilvl w:val="6"/>
        <w:numId w:val="2"/>
      </w:numPr>
      <w:spacing w:before="240" w:after="64" w:line="319" w:lineRule="auto"/>
      <w:outlineLvl w:val="6"/>
    </w:pPr>
    <w:rPr>
      <w:b/>
      <w:sz w:val="24"/>
    </w:rPr>
  </w:style>
  <w:style w:type="paragraph" w:styleId="11">
    <w:name w:val="heading 8"/>
    <w:basedOn w:val="1"/>
    <w:next w:val="8"/>
    <w:qFormat/>
    <w:uiPriority w:val="0"/>
    <w:pPr>
      <w:keepNext/>
      <w:keepLines/>
      <w:numPr>
        <w:ilvl w:val="7"/>
        <w:numId w:val="2"/>
      </w:numPr>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numPr>
        <w:ilvl w:val="8"/>
        <w:numId w:val="2"/>
      </w:numPr>
      <w:spacing w:before="240" w:after="64" w:line="319" w:lineRule="auto"/>
      <w:outlineLvl w:val="8"/>
    </w:pPr>
    <w:rPr>
      <w:rFonts w:ascii="Arial" w:hAnsi="Arial" w:eastAsia="黑体"/>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8">
    <w:name w:val="Normal Indent"/>
    <w:basedOn w:val="1"/>
    <w:next w:val="1"/>
    <w:qFormat/>
    <w:uiPriority w:val="0"/>
    <w:pPr>
      <w:ind w:firstLine="420" w:firstLineChars="200"/>
    </w:pPr>
  </w:style>
  <w:style w:type="paragraph" w:styleId="13">
    <w:name w:val="List 3"/>
    <w:basedOn w:val="1"/>
    <w:qFormat/>
    <w:uiPriority w:val="0"/>
    <w:pPr>
      <w:widowControl/>
      <w:ind w:left="1080" w:hanging="360"/>
      <w:jc w:val="left"/>
    </w:pPr>
    <w:rPr>
      <w:rFonts w:ascii="仿宋_GB2312" w:eastAsia="仿宋_GB2312"/>
      <w:kern w:val="0"/>
      <w:sz w:val="24"/>
      <w:szCs w:val="28"/>
    </w:rPr>
  </w:style>
  <w:style w:type="paragraph" w:styleId="14">
    <w:name w:val="toc 7"/>
    <w:basedOn w:val="1"/>
    <w:next w:val="1"/>
    <w:semiHidden/>
    <w:qFormat/>
    <w:uiPriority w:val="0"/>
    <w:pPr>
      <w:ind w:left="1260"/>
      <w:jc w:val="left"/>
    </w:pPr>
    <w:rPr>
      <w:rFonts w:ascii="仿宋_GB2312" w:eastAsia="仿宋_GB2312"/>
      <w:sz w:val="18"/>
      <w:szCs w:val="18"/>
    </w:rPr>
  </w:style>
  <w:style w:type="paragraph" w:styleId="15">
    <w:name w:val="index 8"/>
    <w:basedOn w:val="1"/>
    <w:next w:val="1"/>
    <w:semiHidden/>
    <w:qFormat/>
    <w:uiPriority w:val="0"/>
    <w:pPr>
      <w:widowControl/>
      <w:ind w:left="1920" w:hanging="240"/>
      <w:jc w:val="left"/>
    </w:pPr>
    <w:rPr>
      <w:rFonts w:ascii="仿宋_GB2312" w:eastAsia="仿宋_GB2312"/>
      <w:kern w:val="0"/>
      <w:sz w:val="24"/>
      <w:szCs w:val="28"/>
    </w:rPr>
  </w:style>
  <w:style w:type="paragraph" w:styleId="16">
    <w:name w:val="caption"/>
    <w:basedOn w:val="1"/>
    <w:next w:val="1"/>
    <w:unhideWhenUsed/>
    <w:qFormat/>
    <w:uiPriority w:val="0"/>
    <w:pPr>
      <w:spacing w:before="152" w:after="160"/>
    </w:pPr>
    <w:rPr>
      <w:rFonts w:ascii="Arial" w:hAnsi="Arial" w:eastAsia="黑体" w:cs="Arial"/>
      <w:sz w:val="20"/>
    </w:rPr>
  </w:style>
  <w:style w:type="paragraph" w:styleId="17">
    <w:name w:val="index 5"/>
    <w:basedOn w:val="1"/>
    <w:next w:val="1"/>
    <w:semiHidden/>
    <w:qFormat/>
    <w:uiPriority w:val="0"/>
    <w:pPr>
      <w:widowControl/>
      <w:ind w:left="1200" w:hanging="240"/>
      <w:jc w:val="left"/>
    </w:pPr>
    <w:rPr>
      <w:rFonts w:ascii="仿宋_GB2312" w:eastAsia="仿宋_GB2312"/>
      <w:kern w:val="0"/>
      <w:sz w:val="24"/>
      <w:szCs w:val="28"/>
    </w:rPr>
  </w:style>
  <w:style w:type="paragraph" w:styleId="18">
    <w:name w:val="List Bullet"/>
    <w:basedOn w:val="19"/>
    <w:qFormat/>
    <w:uiPriority w:val="0"/>
    <w:pPr>
      <w:widowControl/>
      <w:tabs>
        <w:tab w:val="left" w:pos="840"/>
      </w:tabs>
      <w:spacing w:line="360" w:lineRule="auto"/>
      <w:ind w:left="840" w:right="720" w:hanging="420" w:firstLineChars="0"/>
      <w:jc w:val="left"/>
    </w:pPr>
    <w:rPr>
      <w:kern w:val="0"/>
      <w:sz w:val="24"/>
      <w:szCs w:val="20"/>
    </w:rPr>
  </w:style>
  <w:style w:type="paragraph" w:styleId="19">
    <w:name w:val="List"/>
    <w:basedOn w:val="1"/>
    <w:qFormat/>
    <w:uiPriority w:val="0"/>
    <w:pPr>
      <w:ind w:left="200" w:hanging="200" w:hangingChars="200"/>
    </w:pPr>
    <w:rPr>
      <w:rFonts w:ascii="仿宋_GB2312" w:eastAsia="仿宋_GB2312"/>
      <w:sz w:val="28"/>
      <w:szCs w:val="28"/>
    </w:rPr>
  </w:style>
  <w:style w:type="paragraph" w:styleId="20">
    <w:name w:val="Document Map"/>
    <w:basedOn w:val="1"/>
    <w:link w:val="212"/>
    <w:semiHidden/>
    <w:qFormat/>
    <w:uiPriority w:val="0"/>
    <w:pPr>
      <w:shd w:val="clear" w:color="auto" w:fill="000080"/>
    </w:pPr>
  </w:style>
  <w:style w:type="paragraph" w:styleId="21">
    <w:name w:val="annotation text"/>
    <w:basedOn w:val="1"/>
    <w:link w:val="248"/>
    <w:semiHidden/>
    <w:qFormat/>
    <w:uiPriority w:val="0"/>
    <w:pPr>
      <w:jc w:val="left"/>
    </w:pPr>
    <w:rPr>
      <w:rFonts w:ascii="仿宋_GB2312" w:eastAsia="仿宋_GB2312"/>
      <w:sz w:val="28"/>
      <w:szCs w:val="28"/>
    </w:rPr>
  </w:style>
  <w:style w:type="paragraph" w:styleId="22">
    <w:name w:val="index 6"/>
    <w:basedOn w:val="1"/>
    <w:next w:val="1"/>
    <w:semiHidden/>
    <w:qFormat/>
    <w:uiPriority w:val="0"/>
    <w:pPr>
      <w:widowControl/>
      <w:ind w:left="1440" w:hanging="240"/>
      <w:jc w:val="left"/>
    </w:pPr>
    <w:rPr>
      <w:rFonts w:ascii="仿宋_GB2312" w:eastAsia="仿宋_GB2312"/>
      <w:kern w:val="0"/>
      <w:sz w:val="24"/>
      <w:szCs w:val="28"/>
    </w:rPr>
  </w:style>
  <w:style w:type="paragraph" w:styleId="23">
    <w:name w:val="Body Text 3"/>
    <w:basedOn w:val="1"/>
    <w:qFormat/>
    <w:uiPriority w:val="0"/>
    <w:pPr>
      <w:widowControl/>
    </w:pPr>
    <w:rPr>
      <w:rFonts w:ascii="宋体" w:hAnsi="Courier New"/>
    </w:rPr>
  </w:style>
  <w:style w:type="paragraph" w:styleId="24">
    <w:name w:val="Body Text"/>
    <w:basedOn w:val="1"/>
    <w:next w:val="25"/>
    <w:link w:val="232"/>
    <w:qFormat/>
    <w:uiPriority w:val="0"/>
    <w:pPr>
      <w:spacing w:after="120"/>
    </w:pPr>
  </w:style>
  <w:style w:type="paragraph" w:styleId="25">
    <w:name w:val="toc 4"/>
    <w:basedOn w:val="1"/>
    <w:next w:val="1"/>
    <w:semiHidden/>
    <w:qFormat/>
    <w:uiPriority w:val="0"/>
    <w:pPr>
      <w:ind w:left="630"/>
      <w:jc w:val="left"/>
    </w:pPr>
    <w:rPr>
      <w:rFonts w:ascii="仿宋_GB2312" w:eastAsia="仿宋_GB2312"/>
      <w:sz w:val="18"/>
      <w:szCs w:val="18"/>
    </w:rPr>
  </w:style>
  <w:style w:type="paragraph" w:styleId="26">
    <w:name w:val="Body Text Indent"/>
    <w:basedOn w:val="1"/>
    <w:next w:val="8"/>
    <w:link w:val="199"/>
    <w:qFormat/>
    <w:uiPriority w:val="0"/>
    <w:pPr>
      <w:snapToGrid w:val="0"/>
      <w:spacing w:line="500" w:lineRule="atLeast"/>
      <w:ind w:left="-525" w:firstLine="525"/>
    </w:pPr>
    <w:rPr>
      <w:rFonts w:ascii="宋体"/>
      <w:sz w:val="24"/>
    </w:rPr>
  </w:style>
  <w:style w:type="paragraph" w:styleId="27">
    <w:name w:val="List 2"/>
    <w:basedOn w:val="19"/>
    <w:qFormat/>
    <w:uiPriority w:val="0"/>
    <w:pPr>
      <w:spacing w:after="120" w:line="400" w:lineRule="exact"/>
      <w:ind w:left="0" w:firstLine="0" w:firstLineChars="0"/>
    </w:pPr>
    <w:rPr>
      <w:sz w:val="24"/>
      <w:szCs w:val="20"/>
    </w:rPr>
  </w:style>
  <w:style w:type="paragraph" w:styleId="28">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29">
    <w:name w:val="index 4"/>
    <w:basedOn w:val="1"/>
    <w:next w:val="1"/>
    <w:semiHidden/>
    <w:qFormat/>
    <w:uiPriority w:val="0"/>
    <w:pPr>
      <w:widowControl/>
      <w:ind w:left="960" w:hanging="240"/>
      <w:jc w:val="left"/>
    </w:pPr>
    <w:rPr>
      <w:rFonts w:ascii="仿宋_GB2312" w:eastAsia="仿宋_GB2312"/>
      <w:kern w:val="0"/>
      <w:sz w:val="24"/>
      <w:szCs w:val="28"/>
    </w:rPr>
  </w:style>
  <w:style w:type="paragraph" w:styleId="30">
    <w:name w:val="toc 5"/>
    <w:basedOn w:val="1"/>
    <w:next w:val="1"/>
    <w:semiHidden/>
    <w:qFormat/>
    <w:uiPriority w:val="0"/>
    <w:pPr>
      <w:ind w:left="840"/>
      <w:jc w:val="left"/>
    </w:pPr>
    <w:rPr>
      <w:rFonts w:ascii="仿宋_GB2312" w:eastAsia="仿宋_GB2312"/>
      <w:sz w:val="18"/>
      <w:szCs w:val="18"/>
    </w:rPr>
  </w:style>
  <w:style w:type="paragraph" w:styleId="31">
    <w:name w:val="toc 3"/>
    <w:basedOn w:val="1"/>
    <w:next w:val="1"/>
    <w:semiHidden/>
    <w:qFormat/>
    <w:uiPriority w:val="0"/>
    <w:pPr>
      <w:ind w:left="420"/>
      <w:jc w:val="left"/>
    </w:pPr>
    <w:rPr>
      <w:rFonts w:ascii="仿宋_GB2312" w:eastAsia="仿宋_GB2312"/>
      <w:i/>
      <w:iCs/>
      <w:sz w:val="20"/>
      <w:szCs w:val="20"/>
    </w:rPr>
  </w:style>
  <w:style w:type="paragraph" w:styleId="32">
    <w:name w:val="Plain Text"/>
    <w:basedOn w:val="1"/>
    <w:next w:val="1"/>
    <w:qFormat/>
    <w:uiPriority w:val="0"/>
    <w:rPr>
      <w:rFonts w:ascii="宋体" w:hAnsi="Courier New"/>
    </w:rPr>
  </w:style>
  <w:style w:type="paragraph" w:styleId="33">
    <w:name w:val="toc 8"/>
    <w:basedOn w:val="1"/>
    <w:next w:val="1"/>
    <w:semiHidden/>
    <w:qFormat/>
    <w:uiPriority w:val="0"/>
    <w:pPr>
      <w:ind w:left="1470"/>
      <w:jc w:val="left"/>
    </w:pPr>
    <w:rPr>
      <w:rFonts w:ascii="仿宋_GB2312" w:eastAsia="仿宋_GB2312"/>
      <w:sz w:val="18"/>
      <w:szCs w:val="18"/>
    </w:rPr>
  </w:style>
  <w:style w:type="paragraph" w:styleId="34">
    <w:name w:val="index 3"/>
    <w:basedOn w:val="1"/>
    <w:next w:val="1"/>
    <w:semiHidden/>
    <w:qFormat/>
    <w:uiPriority w:val="0"/>
    <w:pPr>
      <w:widowControl/>
      <w:ind w:left="720" w:hanging="240"/>
      <w:jc w:val="left"/>
    </w:pPr>
    <w:rPr>
      <w:rFonts w:ascii="仿宋_GB2312" w:eastAsia="仿宋_GB2312"/>
      <w:kern w:val="0"/>
      <w:sz w:val="24"/>
      <w:szCs w:val="28"/>
    </w:rPr>
  </w:style>
  <w:style w:type="paragraph" w:styleId="35">
    <w:name w:val="Date"/>
    <w:basedOn w:val="1"/>
    <w:next w:val="1"/>
    <w:qFormat/>
    <w:uiPriority w:val="0"/>
    <w:rPr>
      <w:rFonts w:ascii="楷体_GB2312" w:eastAsia="楷体_GB2312"/>
      <w:b/>
      <w:sz w:val="28"/>
    </w:rPr>
  </w:style>
  <w:style w:type="paragraph" w:styleId="36">
    <w:name w:val="Body Text Indent 2"/>
    <w:basedOn w:val="1"/>
    <w:qFormat/>
    <w:uiPriority w:val="0"/>
    <w:pPr>
      <w:autoSpaceDE w:val="0"/>
      <w:autoSpaceDN w:val="0"/>
      <w:spacing w:line="440" w:lineRule="exact"/>
      <w:ind w:firstLine="360" w:firstLineChars="150"/>
    </w:pPr>
    <w:rPr>
      <w:rFonts w:ascii="仿宋_GB2312" w:hAnsi="GulimChe" w:eastAsia="仿宋_GB2312"/>
      <w:color w:val="000000"/>
      <w:sz w:val="24"/>
    </w:rPr>
  </w:style>
  <w:style w:type="paragraph" w:styleId="37">
    <w:name w:val="endnote text"/>
    <w:basedOn w:val="1"/>
    <w:semiHidden/>
    <w:qFormat/>
    <w:uiPriority w:val="0"/>
    <w:pPr>
      <w:snapToGrid w:val="0"/>
      <w:jc w:val="left"/>
    </w:pPr>
    <w:rPr>
      <w:rFonts w:ascii="仿宋_GB2312" w:eastAsia="仿宋_GB2312"/>
      <w:sz w:val="28"/>
      <w:szCs w:val="28"/>
    </w:rPr>
  </w:style>
  <w:style w:type="paragraph" w:styleId="38">
    <w:name w:val="Balloon Text"/>
    <w:basedOn w:val="1"/>
    <w:qFormat/>
    <w:uiPriority w:val="0"/>
    <w:rPr>
      <w:rFonts w:ascii="仿宋_GB2312" w:eastAsia="仿宋_GB2312"/>
      <w:sz w:val="18"/>
      <w:szCs w:val="18"/>
    </w:rPr>
  </w:style>
  <w:style w:type="paragraph" w:styleId="39">
    <w:name w:val="footer"/>
    <w:basedOn w:val="1"/>
    <w:link w:val="226"/>
    <w:qFormat/>
    <w:uiPriority w:val="0"/>
    <w:pPr>
      <w:tabs>
        <w:tab w:val="center" w:pos="4153"/>
        <w:tab w:val="right" w:pos="8306"/>
      </w:tabs>
    </w:pPr>
  </w:style>
  <w:style w:type="paragraph" w:styleId="40">
    <w:name w:val="header"/>
    <w:basedOn w:val="1"/>
    <w:link w:val="257"/>
    <w:qFormat/>
    <w:uiPriority w:val="0"/>
    <w:pPr>
      <w:tabs>
        <w:tab w:val="center" w:pos="4153"/>
        <w:tab w:val="right" w:pos="8306"/>
      </w:tabs>
    </w:pPr>
  </w:style>
  <w:style w:type="paragraph" w:styleId="41">
    <w:name w:val="toc 1"/>
    <w:basedOn w:val="1"/>
    <w:next w:val="1"/>
    <w:semiHidden/>
    <w:qFormat/>
    <w:uiPriority w:val="0"/>
  </w:style>
  <w:style w:type="paragraph" w:styleId="42">
    <w:name w:val="index heading"/>
    <w:basedOn w:val="1"/>
    <w:next w:val="43"/>
    <w:semiHidden/>
    <w:qFormat/>
    <w:uiPriority w:val="0"/>
    <w:pPr>
      <w:widowControl/>
      <w:jc w:val="left"/>
    </w:pPr>
    <w:rPr>
      <w:rFonts w:ascii="仿宋_GB2312" w:eastAsia="仿宋_GB2312"/>
      <w:kern w:val="0"/>
      <w:sz w:val="24"/>
      <w:szCs w:val="28"/>
    </w:rPr>
  </w:style>
  <w:style w:type="paragraph" w:styleId="43">
    <w:name w:val="index 1"/>
    <w:basedOn w:val="1"/>
    <w:next w:val="1"/>
    <w:semiHidden/>
    <w:qFormat/>
    <w:uiPriority w:val="0"/>
    <w:pPr>
      <w:widowControl/>
      <w:spacing w:line="360" w:lineRule="auto"/>
      <w:ind w:left="240" w:hanging="240"/>
      <w:jc w:val="left"/>
    </w:pPr>
    <w:rPr>
      <w:rFonts w:ascii="Arial" w:hAnsi="Arial" w:eastAsia="仿宋_GB2312" w:cs="Arial"/>
      <w:kern w:val="0"/>
      <w:sz w:val="28"/>
      <w:szCs w:val="21"/>
    </w:rPr>
  </w:style>
  <w:style w:type="paragraph" w:styleId="44">
    <w:name w:val="footnote text"/>
    <w:basedOn w:val="1"/>
    <w:semiHidden/>
    <w:qFormat/>
    <w:uiPriority w:val="0"/>
    <w:pPr>
      <w:snapToGrid w:val="0"/>
      <w:jc w:val="left"/>
    </w:pPr>
    <w:rPr>
      <w:rFonts w:ascii="仿宋_GB2312" w:eastAsia="仿宋_GB2312"/>
      <w:sz w:val="18"/>
      <w:szCs w:val="18"/>
    </w:rPr>
  </w:style>
  <w:style w:type="paragraph" w:styleId="45">
    <w:name w:val="toc 6"/>
    <w:basedOn w:val="1"/>
    <w:next w:val="1"/>
    <w:semiHidden/>
    <w:qFormat/>
    <w:uiPriority w:val="0"/>
    <w:pPr>
      <w:ind w:left="1050"/>
      <w:jc w:val="left"/>
    </w:pPr>
    <w:rPr>
      <w:rFonts w:ascii="仿宋_GB2312" w:eastAsia="仿宋_GB2312"/>
      <w:sz w:val="18"/>
      <w:szCs w:val="18"/>
    </w:rPr>
  </w:style>
  <w:style w:type="paragraph" w:styleId="46">
    <w:name w:val="Body Text Indent 3"/>
    <w:basedOn w:val="1"/>
    <w:qFormat/>
    <w:uiPriority w:val="0"/>
    <w:pPr>
      <w:autoSpaceDE w:val="0"/>
      <w:autoSpaceDN w:val="0"/>
      <w:adjustRightInd w:val="0"/>
      <w:spacing w:after="120"/>
      <w:ind w:left="420"/>
      <w:jc w:val="left"/>
    </w:pPr>
    <w:rPr>
      <w:sz w:val="16"/>
      <w:szCs w:val="16"/>
    </w:rPr>
  </w:style>
  <w:style w:type="paragraph" w:styleId="47">
    <w:name w:val="index 7"/>
    <w:basedOn w:val="1"/>
    <w:next w:val="1"/>
    <w:semiHidden/>
    <w:qFormat/>
    <w:uiPriority w:val="0"/>
    <w:pPr>
      <w:widowControl/>
      <w:ind w:left="1680" w:hanging="240"/>
      <w:jc w:val="left"/>
    </w:pPr>
    <w:rPr>
      <w:rFonts w:ascii="仿宋_GB2312" w:eastAsia="仿宋_GB2312"/>
      <w:kern w:val="0"/>
      <w:sz w:val="24"/>
      <w:szCs w:val="28"/>
    </w:rPr>
  </w:style>
  <w:style w:type="paragraph" w:styleId="48">
    <w:name w:val="index 9"/>
    <w:basedOn w:val="1"/>
    <w:next w:val="1"/>
    <w:semiHidden/>
    <w:qFormat/>
    <w:uiPriority w:val="0"/>
    <w:pPr>
      <w:widowControl/>
      <w:ind w:left="2160" w:hanging="240"/>
      <w:jc w:val="left"/>
    </w:pPr>
    <w:rPr>
      <w:rFonts w:ascii="仿宋_GB2312" w:eastAsia="仿宋_GB2312"/>
      <w:kern w:val="0"/>
      <w:sz w:val="24"/>
      <w:szCs w:val="28"/>
    </w:rPr>
  </w:style>
  <w:style w:type="paragraph" w:styleId="49">
    <w:name w:val="table of figures"/>
    <w:basedOn w:val="1"/>
    <w:next w:val="1"/>
    <w:semiHidden/>
    <w:qFormat/>
    <w:uiPriority w:val="0"/>
    <w:pPr>
      <w:widowControl/>
      <w:ind w:left="480" w:hanging="480"/>
      <w:jc w:val="left"/>
    </w:pPr>
    <w:rPr>
      <w:rFonts w:ascii="仿宋_GB2312" w:eastAsia="仿宋_GB2312"/>
      <w:kern w:val="0"/>
      <w:sz w:val="24"/>
      <w:szCs w:val="28"/>
    </w:rPr>
  </w:style>
  <w:style w:type="paragraph" w:styleId="50">
    <w:name w:val="toc 2"/>
    <w:basedOn w:val="1"/>
    <w:next w:val="1"/>
    <w:semiHidden/>
    <w:qFormat/>
    <w:uiPriority w:val="0"/>
    <w:pPr>
      <w:ind w:left="210"/>
      <w:jc w:val="left"/>
    </w:pPr>
    <w:rPr>
      <w:rFonts w:ascii="仿宋_GB2312" w:eastAsia="仿宋_GB2312"/>
      <w:smallCaps/>
      <w:sz w:val="20"/>
      <w:szCs w:val="20"/>
    </w:rPr>
  </w:style>
  <w:style w:type="paragraph" w:styleId="51">
    <w:name w:val="toc 9"/>
    <w:basedOn w:val="1"/>
    <w:next w:val="1"/>
    <w:semiHidden/>
    <w:qFormat/>
    <w:uiPriority w:val="0"/>
    <w:pPr>
      <w:ind w:left="1680"/>
      <w:jc w:val="left"/>
    </w:pPr>
    <w:rPr>
      <w:rFonts w:ascii="仿宋_GB2312" w:eastAsia="仿宋_GB2312"/>
      <w:sz w:val="18"/>
      <w:szCs w:val="18"/>
    </w:rPr>
  </w:style>
  <w:style w:type="paragraph" w:styleId="52">
    <w:name w:val="Body Text 2"/>
    <w:basedOn w:val="1"/>
    <w:qFormat/>
    <w:uiPriority w:val="0"/>
    <w:pPr>
      <w:spacing w:after="120" w:line="480" w:lineRule="auto"/>
    </w:pPr>
    <w:rPr>
      <w:rFonts w:ascii="仿宋_GB2312" w:eastAsia="仿宋_GB2312"/>
      <w:sz w:val="28"/>
      <w:szCs w:val="28"/>
    </w:rPr>
  </w:style>
  <w:style w:type="paragraph" w:styleId="53">
    <w:name w:val="Normal (Web)"/>
    <w:basedOn w:val="1"/>
    <w:qFormat/>
    <w:uiPriority w:val="0"/>
    <w:pPr>
      <w:widowControl/>
      <w:spacing w:before="100" w:beforeAutospacing="1" w:after="100" w:afterAutospacing="1"/>
      <w:jc w:val="left"/>
    </w:pPr>
    <w:rPr>
      <w:rFonts w:ascii="宋体" w:hAnsi="宋体"/>
      <w:kern w:val="0"/>
      <w:sz w:val="24"/>
    </w:rPr>
  </w:style>
  <w:style w:type="paragraph" w:styleId="54">
    <w:name w:val="index 2"/>
    <w:basedOn w:val="1"/>
    <w:next w:val="1"/>
    <w:semiHidden/>
    <w:qFormat/>
    <w:uiPriority w:val="0"/>
    <w:pPr>
      <w:widowControl/>
      <w:ind w:left="480" w:hanging="240"/>
      <w:jc w:val="left"/>
    </w:pPr>
    <w:rPr>
      <w:rFonts w:ascii="仿宋_GB2312" w:eastAsia="仿宋_GB2312"/>
      <w:kern w:val="0"/>
      <w:sz w:val="24"/>
      <w:szCs w:val="28"/>
    </w:rPr>
  </w:style>
  <w:style w:type="paragraph" w:styleId="55">
    <w:name w:val="Title"/>
    <w:basedOn w:val="1"/>
    <w:next w:val="1"/>
    <w:link w:val="264"/>
    <w:qFormat/>
    <w:uiPriority w:val="0"/>
    <w:pPr>
      <w:jc w:val="center"/>
    </w:pPr>
    <w:rPr>
      <w:rFonts w:ascii="Arial" w:hAnsi="Arial" w:eastAsia="仿宋_GB2312"/>
      <w:b/>
      <w:sz w:val="36"/>
      <w:lang w:eastAsia="en-US"/>
    </w:rPr>
  </w:style>
  <w:style w:type="paragraph" w:styleId="56">
    <w:name w:val="annotation subject"/>
    <w:basedOn w:val="21"/>
    <w:next w:val="21"/>
    <w:qFormat/>
    <w:uiPriority w:val="0"/>
    <w:rPr>
      <w:b/>
      <w:bCs/>
    </w:rPr>
  </w:style>
  <w:style w:type="paragraph" w:styleId="57">
    <w:name w:val="Body Text First Indent"/>
    <w:basedOn w:val="24"/>
    <w:next w:val="1"/>
    <w:qFormat/>
    <w:uiPriority w:val="0"/>
    <w:pPr>
      <w:adjustRightInd w:val="0"/>
      <w:spacing w:line="360" w:lineRule="auto"/>
      <w:ind w:firstLine="420"/>
      <w:textAlignment w:val="baseline"/>
    </w:pPr>
    <w:rPr>
      <w:rFonts w:eastAsia="楷体_GB2312"/>
      <w:sz w:val="24"/>
    </w:rPr>
  </w:style>
  <w:style w:type="paragraph" w:styleId="58">
    <w:name w:val="Body Text First Indent 2"/>
    <w:basedOn w:val="26"/>
    <w:next w:val="1"/>
    <w:qFormat/>
    <w:uiPriority w:val="0"/>
    <w:pPr>
      <w:tabs>
        <w:tab w:val="left" w:pos="0"/>
        <w:tab w:val="left" w:pos="993"/>
        <w:tab w:val="left" w:pos="1134"/>
      </w:tabs>
      <w:ind w:firstLine="420"/>
    </w:pPr>
    <w:rPr>
      <w:rFonts w:cs="宋体"/>
      <w:szCs w:val="21"/>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2">
    <w:name w:val="Strong"/>
    <w:basedOn w:val="61"/>
    <w:qFormat/>
    <w:uiPriority w:val="0"/>
    <w:rPr>
      <w:bCs/>
    </w:rPr>
  </w:style>
  <w:style w:type="character" w:styleId="63">
    <w:name w:val="endnote reference"/>
    <w:basedOn w:val="61"/>
    <w:semiHidden/>
    <w:qFormat/>
    <w:uiPriority w:val="0"/>
    <w:rPr>
      <w:vertAlign w:val="superscript"/>
    </w:rPr>
  </w:style>
  <w:style w:type="character" w:styleId="64">
    <w:name w:val="page number"/>
    <w:basedOn w:val="61"/>
    <w:qFormat/>
    <w:uiPriority w:val="0"/>
  </w:style>
  <w:style w:type="character" w:styleId="65">
    <w:name w:val="FollowedHyperlink"/>
    <w:basedOn w:val="61"/>
    <w:qFormat/>
    <w:uiPriority w:val="0"/>
    <w:rPr>
      <w:color w:val="800080"/>
      <w:u w:val="single"/>
    </w:rPr>
  </w:style>
  <w:style w:type="character" w:styleId="66">
    <w:name w:val="Emphasis"/>
    <w:basedOn w:val="61"/>
    <w:qFormat/>
    <w:uiPriority w:val="0"/>
    <w:rPr>
      <w:color w:val="CC0033"/>
    </w:rPr>
  </w:style>
  <w:style w:type="character" w:styleId="67">
    <w:name w:val="Hyperlink"/>
    <w:basedOn w:val="61"/>
    <w:qFormat/>
    <w:uiPriority w:val="0"/>
    <w:rPr>
      <w:color w:val="0000FF"/>
      <w:u w:val="single"/>
    </w:rPr>
  </w:style>
  <w:style w:type="character" w:styleId="68">
    <w:name w:val="annotation reference"/>
    <w:basedOn w:val="61"/>
    <w:semiHidden/>
    <w:qFormat/>
    <w:uiPriority w:val="0"/>
    <w:rPr>
      <w:sz w:val="21"/>
      <w:szCs w:val="21"/>
    </w:rPr>
  </w:style>
  <w:style w:type="character" w:styleId="69">
    <w:name w:val="footnote reference"/>
    <w:basedOn w:val="61"/>
    <w:semiHidden/>
    <w:qFormat/>
    <w:uiPriority w:val="0"/>
    <w:rPr>
      <w:vertAlign w:val="superscript"/>
    </w:rPr>
  </w:style>
  <w:style w:type="paragraph" w:customStyle="1" w:styleId="70">
    <w:name w:val="_Style 10"/>
    <w:basedOn w:val="1"/>
    <w:qFormat/>
    <w:uiPriority w:val="0"/>
    <w:rPr>
      <w:rFonts w:ascii="仿宋_GB2312" w:eastAsia="仿宋_GB2312"/>
      <w:b/>
      <w:sz w:val="32"/>
      <w:szCs w:val="32"/>
    </w:rPr>
  </w:style>
  <w:style w:type="paragraph" w:customStyle="1" w:styleId="71">
    <w:name w:val="表格文字"/>
    <w:basedOn w:val="32"/>
    <w:next w:val="24"/>
    <w:qFormat/>
    <w:uiPriority w:val="0"/>
    <w:pPr>
      <w:autoSpaceDE w:val="0"/>
      <w:autoSpaceDN w:val="0"/>
      <w:adjustRightInd w:val="0"/>
      <w:spacing w:before="100" w:beforeAutospacing="1" w:after="100" w:afterAutospacing="1" w:line="360" w:lineRule="auto"/>
      <w:jc w:val="center"/>
      <w:textAlignment w:val="baseline"/>
    </w:pPr>
    <w:rPr>
      <w:rFonts w:eastAsia="楷体_GB2312"/>
      <w:color w:val="000000"/>
      <w:kern w:val="0"/>
      <w:sz w:val="24"/>
      <w:szCs w:val="20"/>
    </w:rPr>
  </w:style>
  <w:style w:type="paragraph" w:customStyle="1" w:styleId="72">
    <w:name w:val="[Normal]"/>
    <w:qFormat/>
    <w:uiPriority w:val="0"/>
    <w:rPr>
      <w:rFonts w:ascii="宋体" w:hAnsi="宋体" w:eastAsia="宋体" w:cs="Times New Roman"/>
      <w:sz w:val="24"/>
      <w:szCs w:val="22"/>
      <w:lang w:val="zh-CN" w:eastAsia="zh-CN" w:bidi="ar-SA"/>
    </w:rPr>
  </w:style>
  <w:style w:type="paragraph" w:customStyle="1" w:styleId="73">
    <w:name w:val="样式 表格正文 + 两端对齐"/>
    <w:basedOn w:val="1"/>
    <w:next w:val="74"/>
    <w:qFormat/>
    <w:uiPriority w:val="99"/>
    <w:pPr>
      <w:spacing w:line="300" w:lineRule="auto"/>
    </w:pPr>
    <w:rPr>
      <w:sz w:val="24"/>
    </w:rPr>
  </w:style>
  <w:style w:type="paragraph" w:customStyle="1" w:styleId="74">
    <w:name w:val="正文1"/>
    <w:basedOn w:val="1"/>
    <w:next w:val="75"/>
    <w:qFormat/>
    <w:uiPriority w:val="99"/>
    <w:pPr>
      <w:widowControl/>
      <w:snapToGrid w:val="0"/>
      <w:spacing w:line="500" w:lineRule="exact"/>
      <w:ind w:firstLine="567"/>
    </w:pPr>
    <w:rPr>
      <w:rFonts w:ascii="楷体_GB2312" w:eastAsia="楷体_GB2312"/>
      <w:kern w:val="0"/>
      <w:sz w:val="28"/>
    </w:rPr>
  </w:style>
  <w:style w:type="paragraph" w:customStyle="1" w:styleId="75">
    <w:name w:val="自动更正"/>
    <w:next w:val="76"/>
    <w:qFormat/>
    <w:uiPriority w:val="0"/>
    <w:pPr>
      <w:widowControl w:val="0"/>
      <w:jc w:val="both"/>
    </w:pPr>
    <w:rPr>
      <w:rFonts w:ascii="Calibri" w:hAnsi="Calibri" w:eastAsia="宋体" w:cs="Times New Roman"/>
      <w:kern w:val="2"/>
      <w:sz w:val="21"/>
      <w:szCs w:val="24"/>
      <w:lang w:val="en-US" w:eastAsia="zh-CN" w:bidi="ar-SA"/>
    </w:rPr>
  </w:style>
  <w:style w:type="paragraph" w:customStyle="1" w:styleId="76">
    <w:name w:val="xl39"/>
    <w:basedOn w:val="1"/>
    <w:next w:val="77"/>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kern w:val="0"/>
      <w:sz w:val="20"/>
      <w:szCs w:val="20"/>
    </w:rPr>
  </w:style>
  <w:style w:type="paragraph" w:customStyle="1" w:styleId="77">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78">
    <w:name w:val="文章正文"/>
    <w:basedOn w:val="1"/>
    <w:qFormat/>
    <w:uiPriority w:val="0"/>
    <w:pPr>
      <w:spacing w:line="360" w:lineRule="auto"/>
      <w:ind w:firstLine="200" w:firstLineChars="200"/>
    </w:pPr>
    <w:rPr>
      <w:sz w:val="24"/>
    </w:rPr>
  </w:style>
  <w:style w:type="paragraph" w:customStyle="1" w:styleId="79">
    <w:name w:val="无间隔1"/>
    <w:qFormat/>
    <w:uiPriority w:val="0"/>
    <w:rPr>
      <w:rFonts w:ascii="Calibri" w:hAnsi="Calibri" w:eastAsia="??" w:cs="宋体"/>
      <w:sz w:val="22"/>
      <w:szCs w:val="22"/>
      <w:lang w:val="en-US" w:eastAsia="en-US" w:bidi="ar-SA"/>
    </w:rPr>
  </w:style>
  <w:style w:type="paragraph" w:customStyle="1" w:styleId="80">
    <w:name w:val="章正文"/>
    <w:basedOn w:val="1"/>
    <w:qFormat/>
    <w:uiPriority w:val="0"/>
    <w:pPr>
      <w:spacing w:beforeLines="50" w:line="300" w:lineRule="auto"/>
      <w:ind w:firstLine="480"/>
    </w:pPr>
    <w:rPr>
      <w:rFonts w:ascii="Helvetica" w:hAnsi="Helvetica"/>
      <w:kern w:val="0"/>
      <w:sz w:val="24"/>
    </w:rPr>
  </w:style>
  <w:style w:type="paragraph" w:customStyle="1" w:styleId="81">
    <w:name w:val="Char"/>
    <w:basedOn w:val="1"/>
    <w:qFormat/>
    <w:uiPriority w:val="0"/>
    <w:pPr>
      <w:widowControl/>
      <w:spacing w:line="400" w:lineRule="exact"/>
      <w:jc w:val="center"/>
    </w:pPr>
    <w:rPr>
      <w:rFonts w:ascii="Verdana" w:hAnsi="Verdana"/>
      <w:kern w:val="0"/>
      <w:szCs w:val="20"/>
      <w:lang w:eastAsia="en-US"/>
    </w:rPr>
  </w:style>
  <w:style w:type="paragraph" w:customStyle="1" w:styleId="82">
    <w:name w:val="表正文"/>
    <w:basedOn w:val="1"/>
    <w:next w:val="32"/>
    <w:qFormat/>
    <w:uiPriority w:val="0"/>
    <w:rPr>
      <w:rFonts w:ascii="宋体" w:hAnsi="Courier New"/>
      <w:szCs w:val="20"/>
    </w:rPr>
  </w:style>
  <w:style w:type="paragraph" w:customStyle="1" w:styleId="83">
    <w:name w:val="纯文本1"/>
    <w:basedOn w:val="1"/>
    <w:qFormat/>
    <w:uiPriority w:val="0"/>
    <w:rPr>
      <w:rFonts w:ascii="宋体" w:hAnsi="Courier New"/>
      <w:szCs w:val="20"/>
    </w:rPr>
  </w:style>
  <w:style w:type="paragraph" w:customStyle="1" w:styleId="84">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85">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86">
    <w:name w:val="p0"/>
    <w:basedOn w:val="1"/>
    <w:qFormat/>
    <w:uiPriority w:val="0"/>
    <w:pPr>
      <w:widowControl/>
    </w:pPr>
    <w:rPr>
      <w:rFonts w:ascii="Times New Roman" w:hAnsi="Times New Roman"/>
      <w:kern w:val="0"/>
      <w:szCs w:val="21"/>
    </w:rPr>
  </w:style>
  <w:style w:type="paragraph" w:customStyle="1" w:styleId="87">
    <w:name w:val="1.1.1Head2"/>
    <w:qFormat/>
    <w:uiPriority w:val="0"/>
    <w:pPr>
      <w:numPr>
        <w:ilvl w:val="2"/>
        <w:numId w:val="3"/>
      </w:numPr>
      <w:spacing w:before="28" w:after="28"/>
      <w:outlineLvl w:val="2"/>
    </w:pPr>
    <w:rPr>
      <w:rFonts w:ascii="Arial" w:hAnsi="Arial" w:eastAsia="宋体" w:cs="Times New Roman"/>
      <w:b/>
      <w:lang w:val="en-US" w:eastAsia="en-US" w:bidi="ar-SA"/>
    </w:rPr>
  </w:style>
  <w:style w:type="paragraph" w:customStyle="1" w:styleId="88">
    <w:name w:val="列表内容"/>
    <w:basedOn w:val="1"/>
    <w:next w:val="1"/>
    <w:qFormat/>
    <w:uiPriority w:val="0"/>
    <w:pPr>
      <w:widowControl/>
      <w:numPr>
        <w:ilvl w:val="0"/>
        <w:numId w:val="4"/>
      </w:numPr>
      <w:jc w:val="left"/>
    </w:pPr>
    <w:rPr>
      <w:rFonts w:ascii="仿宋_GB2312" w:eastAsia="仿宋_GB2312"/>
      <w:kern w:val="0"/>
      <w:sz w:val="18"/>
      <w:szCs w:val="28"/>
    </w:rPr>
  </w:style>
  <w:style w:type="paragraph" w:customStyle="1" w:styleId="89">
    <w:name w:val="Head2"/>
    <w:qFormat/>
    <w:uiPriority w:val="0"/>
    <w:pPr>
      <w:tabs>
        <w:tab w:val="left" w:pos="576"/>
      </w:tabs>
      <w:spacing w:before="28" w:after="28"/>
      <w:ind w:left="576" w:hanging="576"/>
      <w:outlineLvl w:val="2"/>
    </w:pPr>
    <w:rPr>
      <w:rFonts w:ascii="Arial" w:hAnsi="Arial" w:eastAsia="宋体" w:cs="Times New Roman"/>
      <w:b/>
      <w:lang w:val="en-US" w:eastAsia="en-US" w:bidi="ar-SA"/>
    </w:rPr>
  </w:style>
  <w:style w:type="paragraph" w:customStyle="1" w:styleId="90">
    <w:name w:val="Normal 1.0"/>
    <w:basedOn w:val="1"/>
    <w:qFormat/>
    <w:uiPriority w:val="0"/>
    <w:pPr>
      <w:keepLines/>
      <w:widowControl/>
      <w:spacing w:before="180" w:after="120"/>
      <w:ind w:left="1440"/>
    </w:pPr>
    <w:rPr>
      <w:rFonts w:ascii="仿宋_GB2312" w:eastAsia="仿宋_GB2312"/>
      <w:kern w:val="0"/>
      <w:sz w:val="24"/>
      <w:szCs w:val="28"/>
      <w:lang w:val="en-GB" w:eastAsia="en-US"/>
    </w:rPr>
  </w:style>
  <w:style w:type="paragraph" w:customStyle="1" w:styleId="91">
    <w:name w:val="Level 3: (a)"/>
    <w:basedOn w:val="1"/>
    <w:qFormat/>
    <w:uiPriority w:val="0"/>
    <w:pPr>
      <w:widowControl/>
      <w:tabs>
        <w:tab w:val="left" w:pos="1080"/>
        <w:tab w:val="left" w:pos="1440"/>
      </w:tabs>
      <w:spacing w:before="72" w:after="72"/>
      <w:ind w:left="720"/>
      <w:outlineLvl w:val="5"/>
    </w:pPr>
    <w:rPr>
      <w:rFonts w:ascii="Arial" w:hAnsi="Arial" w:eastAsia="仿宋_GB2312"/>
      <w:kern w:val="0"/>
      <w:sz w:val="20"/>
      <w:szCs w:val="20"/>
      <w:lang w:eastAsia="en-US"/>
    </w:rPr>
  </w:style>
  <w:style w:type="paragraph" w:customStyle="1" w:styleId="92">
    <w:name w:val="正文缩进6格"/>
    <w:basedOn w:val="93"/>
    <w:qFormat/>
    <w:uiPriority w:val="0"/>
    <w:pPr>
      <w:ind w:left="1758" w:leftChars="854"/>
    </w:pPr>
  </w:style>
  <w:style w:type="paragraph" w:customStyle="1" w:styleId="93">
    <w:name w:val="正文缩进4格"/>
    <w:basedOn w:val="94"/>
    <w:qFormat/>
    <w:uiPriority w:val="0"/>
    <w:pPr>
      <w:ind w:left="651" w:leftChars="310" w:firstLine="608" w:firstLineChars="196"/>
    </w:pPr>
    <w:rPr>
      <w:color w:val="00000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Char Char Char Char"/>
    <w:basedOn w:val="1"/>
    <w:qFormat/>
    <w:uiPriority w:val="0"/>
    <w:rPr>
      <w:rFonts w:ascii="Tahoma" w:hAnsi="Tahoma"/>
      <w:sz w:val="24"/>
      <w:szCs w:val="20"/>
    </w:rPr>
  </w:style>
  <w:style w:type="paragraph" w:customStyle="1" w:styleId="9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97">
    <w:name w:val="Char1"/>
    <w:basedOn w:val="1"/>
    <w:qFormat/>
    <w:uiPriority w:val="0"/>
    <w:rPr>
      <w:rFonts w:ascii="仿宋_GB2312" w:eastAsia="仿宋_GB2312"/>
      <w:b/>
      <w:sz w:val="32"/>
      <w:szCs w:val="32"/>
    </w:rPr>
  </w:style>
  <w:style w:type="paragraph" w:customStyle="1" w:styleId="98">
    <w:name w:val="RFI Heading 1st Level"/>
    <w:basedOn w:val="1"/>
    <w:qFormat/>
    <w:uiPriority w:val="0"/>
    <w:pPr>
      <w:widowControl/>
      <w:spacing w:before="120" w:after="240"/>
      <w:jc w:val="left"/>
    </w:pPr>
    <w:rPr>
      <w:rFonts w:ascii="Arial (W1)" w:hAnsi="Arial (W1)" w:eastAsia="仿宋_GB2312"/>
      <w:b/>
      <w:bCs/>
      <w:color w:val="0000FF"/>
      <w:kern w:val="0"/>
      <w:sz w:val="32"/>
      <w:szCs w:val="28"/>
      <w:lang w:val="en-GB"/>
    </w:rPr>
  </w:style>
  <w:style w:type="paragraph" w:customStyle="1" w:styleId="99">
    <w:name w:val="表格"/>
    <w:basedOn w:val="1"/>
    <w:qFormat/>
    <w:uiPriority w:val="0"/>
    <w:pPr>
      <w:snapToGrid w:val="0"/>
      <w:ind w:firstLine="42" w:firstLineChars="21"/>
    </w:pPr>
    <w:rPr>
      <w:rFonts w:ascii="宋体" w:hAnsi="宋体"/>
    </w:rPr>
  </w:style>
  <w:style w:type="paragraph" w:customStyle="1" w:styleId="100">
    <w:name w:val="Reset levels"/>
    <w:basedOn w:val="1"/>
    <w:qFormat/>
    <w:uiPriority w:val="0"/>
    <w:pPr>
      <w:widowControl/>
      <w:numPr>
        <w:ilvl w:val="0"/>
        <w:numId w:val="5"/>
      </w:numPr>
      <w:jc w:val="left"/>
    </w:pPr>
    <w:rPr>
      <w:rFonts w:ascii="Arial" w:hAnsi="Arial" w:eastAsia="仿宋_GB2312"/>
      <w:b/>
      <w:kern w:val="0"/>
      <w:sz w:val="24"/>
      <w:szCs w:val="20"/>
      <w:lang w:eastAsia="en-US"/>
    </w:rPr>
  </w:style>
  <w:style w:type="paragraph" w:customStyle="1" w:styleId="101">
    <w:name w:val="RFI List 1"/>
    <w:basedOn w:val="102"/>
    <w:qFormat/>
    <w:uiPriority w:val="0"/>
    <w:pPr>
      <w:numPr>
        <w:numId w:val="0"/>
      </w:numPr>
      <w:tabs>
        <w:tab w:val="left" w:pos="360"/>
        <w:tab w:val="left" w:pos="720"/>
        <w:tab w:val="left" w:pos="1800"/>
      </w:tabs>
      <w:spacing w:before="240" w:after="160"/>
      <w:ind w:left="720" w:hanging="720"/>
      <w:outlineLvl w:val="0"/>
    </w:pPr>
    <w:rPr>
      <w:b/>
      <w:color w:val="auto"/>
    </w:rPr>
  </w:style>
  <w:style w:type="paragraph" w:customStyle="1" w:styleId="102">
    <w:name w:val="RFI Heading 3rd Level"/>
    <w:basedOn w:val="1"/>
    <w:qFormat/>
    <w:uiPriority w:val="0"/>
    <w:pPr>
      <w:widowControl/>
      <w:numPr>
        <w:ilvl w:val="0"/>
        <w:numId w:val="6"/>
      </w:numPr>
      <w:jc w:val="left"/>
    </w:pPr>
    <w:rPr>
      <w:rFonts w:ascii="Arial (W1)" w:hAnsi="Arial (W1)" w:eastAsia="仿宋_GB2312"/>
      <w:color w:val="000000"/>
      <w:kern w:val="0"/>
      <w:sz w:val="24"/>
      <w:szCs w:val="28"/>
      <w:lang w:val="en-GB" w:eastAsia="en-US"/>
    </w:rPr>
  </w:style>
  <w:style w:type="paragraph" w:customStyle="1" w:styleId="103">
    <w:name w:val="www正文"/>
    <w:basedOn w:val="1"/>
    <w:qFormat/>
    <w:uiPriority w:val="0"/>
    <w:pPr>
      <w:ind w:firstLine="480" w:firstLineChars="200"/>
    </w:pPr>
    <w:rPr>
      <w:rFonts w:ascii="仿宋_GB2312" w:eastAsia="仿宋_GB2312"/>
      <w:sz w:val="24"/>
      <w:szCs w:val="28"/>
    </w:rPr>
  </w:style>
  <w:style w:type="paragraph" w:customStyle="1" w:styleId="104">
    <w:name w:val="xl48"/>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105">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106">
    <w:name w:val="GP正文(无首行缩进)"/>
    <w:basedOn w:val="1"/>
    <w:qFormat/>
    <w:uiPriority w:val="0"/>
    <w:pPr>
      <w:spacing w:line="360" w:lineRule="auto"/>
      <w:ind w:firstLine="480" w:firstLineChars="200"/>
      <w:jc w:val="left"/>
    </w:pPr>
    <w:rPr>
      <w:rFonts w:hAnsi="宋体"/>
      <w:sz w:val="24"/>
    </w:rPr>
  </w:style>
  <w:style w:type="paragraph" w:customStyle="1" w:styleId="107">
    <w:name w:val="文字"/>
    <w:basedOn w:val="1"/>
    <w:qFormat/>
    <w:uiPriority w:val="0"/>
    <w:pPr>
      <w:tabs>
        <w:tab w:val="left" w:pos="8520"/>
      </w:tabs>
      <w:spacing w:line="312" w:lineRule="auto"/>
      <w:ind w:right="-210" w:firstLine="556"/>
    </w:pPr>
    <w:rPr>
      <w:rFonts w:ascii="宋体" w:hAnsi="宋体"/>
      <w:sz w:val="28"/>
    </w:rPr>
  </w:style>
  <w:style w:type="paragraph" w:customStyle="1" w:styleId="108">
    <w:name w:val="文章总标题"/>
    <w:basedOn w:val="1"/>
    <w:next w:val="1"/>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09">
    <w:name w:val="Style Heading 3 + Line spacing:  1.5 lines"/>
    <w:basedOn w:val="5"/>
    <w:qFormat/>
    <w:uiPriority w:val="0"/>
    <w:pPr>
      <w:keepLines w:val="0"/>
      <w:widowControl/>
      <w:numPr>
        <w:numId w:val="7"/>
      </w:numPr>
      <w:tabs>
        <w:tab w:val="left" w:pos="720"/>
        <w:tab w:val="left" w:pos="1152"/>
        <w:tab w:val="left" w:pos="1680"/>
      </w:tabs>
      <w:spacing w:before="0" w:after="0" w:line="360" w:lineRule="auto"/>
      <w:ind w:left="236" w:leftChars="236" w:hanging="420"/>
    </w:pPr>
    <w:rPr>
      <w:rFonts w:ascii="仿宋_GB2312" w:eastAsia="黑体"/>
      <w:bCs/>
      <w:kern w:val="0"/>
      <w:sz w:val="28"/>
    </w:rPr>
  </w:style>
  <w:style w:type="paragraph" w:customStyle="1" w:styleId="110">
    <w:name w:val="项目1"/>
    <w:basedOn w:val="8"/>
    <w:next w:val="8"/>
    <w:qFormat/>
    <w:uiPriority w:val="0"/>
    <w:pPr>
      <w:numPr>
        <w:ilvl w:val="3"/>
        <w:numId w:val="8"/>
      </w:numPr>
      <w:spacing w:beforeLines="50" w:afterLines="50" w:line="360" w:lineRule="auto"/>
      <w:ind w:left="-4" w:leftChars="-2" w:firstLine="468" w:firstLineChars="195"/>
      <w:jc w:val="left"/>
    </w:pPr>
    <w:rPr>
      <w:rFonts w:ascii="宋体" w:hAnsi="宋体" w:eastAsia="仿宋_GB2312"/>
      <w:bCs/>
      <w:sz w:val="24"/>
    </w:rPr>
  </w:style>
  <w:style w:type="paragraph" w:customStyle="1" w:styleId="111">
    <w:name w:val="正文文字缩进"/>
    <w:basedOn w:val="1"/>
    <w:qFormat/>
    <w:uiPriority w:val="0"/>
    <w:pPr>
      <w:widowControl/>
      <w:spacing w:line="748" w:lineRule="atLeast"/>
      <w:ind w:left="-521" w:firstLine="527"/>
      <w:textAlignment w:val="baseline"/>
    </w:pPr>
    <w:rPr>
      <w:rFonts w:ascii="宋体"/>
      <w:color w:val="000000"/>
      <w:kern w:val="0"/>
      <w:sz w:val="24"/>
      <w:szCs w:val="20"/>
      <w:u w:color="000000"/>
    </w:rPr>
  </w:style>
  <w:style w:type="paragraph" w:customStyle="1" w:styleId="112">
    <w:name w:val="xl26"/>
    <w:basedOn w:val="1"/>
    <w:qFormat/>
    <w:uiPriority w:val="0"/>
    <w:pPr>
      <w:widowControl/>
      <w:spacing w:before="100" w:beforeAutospacing="1" w:after="100" w:afterAutospacing="1"/>
      <w:jc w:val="center"/>
    </w:pPr>
    <w:rPr>
      <w:rFonts w:hint="eastAsia" w:ascii="仿宋_GB2312" w:hAnsi="宋体" w:eastAsia="仿宋_GB2312"/>
      <w:kern w:val="0"/>
      <w:sz w:val="24"/>
      <w:szCs w:val="28"/>
    </w:rPr>
  </w:style>
  <w:style w:type="paragraph" w:customStyle="1" w:styleId="113">
    <w:name w:val="日期右"/>
    <w:basedOn w:val="35"/>
    <w:qFormat/>
    <w:uiPriority w:val="0"/>
    <w:pPr>
      <w:spacing w:line="600" w:lineRule="exact"/>
      <w:jc w:val="right"/>
    </w:pPr>
    <w:rPr>
      <w:rFonts w:ascii="仿宋_GB2312" w:eastAsia="仿宋_GB2312"/>
      <w:b w:val="0"/>
      <w:sz w:val="31"/>
    </w:rPr>
  </w:style>
  <w:style w:type="paragraph" w:customStyle="1" w:styleId="114">
    <w:name w:val="标题 3.5"/>
    <w:basedOn w:val="5"/>
    <w:qFormat/>
    <w:uiPriority w:val="0"/>
    <w:pPr>
      <w:keepNext w:val="0"/>
      <w:keepLines w:val="0"/>
      <w:numPr>
        <w:numId w:val="0"/>
      </w:numPr>
      <w:spacing w:before="0" w:after="0" w:line="600" w:lineRule="exact"/>
      <w:outlineLvl w:val="9"/>
    </w:pPr>
    <w:rPr>
      <w:rFonts w:ascii="仿宋_GB2312"/>
      <w:b w:val="0"/>
      <w:sz w:val="31"/>
    </w:rPr>
  </w:style>
  <w:style w:type="paragraph" w:customStyle="1" w:styleId="115">
    <w:name w:val="TOC 标题1"/>
    <w:basedOn w:val="3"/>
    <w:next w:val="1"/>
    <w:qFormat/>
    <w:uiPriority w:val="0"/>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16">
    <w:name w:val="Style Left:  0.81&quot; First line:  0&quot; Line spacing:  1.5 lines Char"/>
    <w:basedOn w:val="1"/>
    <w:qFormat/>
    <w:uiPriority w:val="0"/>
    <w:pPr>
      <w:widowControl/>
      <w:spacing w:line="360" w:lineRule="auto"/>
      <w:ind w:left="1152"/>
    </w:pPr>
    <w:rPr>
      <w:rFonts w:ascii="仿宋_GB2312" w:eastAsia="仿宋_GB2312"/>
      <w:kern w:val="0"/>
      <w:sz w:val="24"/>
      <w:szCs w:val="20"/>
      <w:lang w:eastAsia="en-US"/>
    </w:rPr>
  </w:style>
  <w:style w:type="paragraph" w:customStyle="1" w:styleId="117">
    <w:name w:val="1 Char Char Char Char"/>
    <w:basedOn w:val="1"/>
    <w:qFormat/>
    <w:uiPriority w:val="0"/>
    <w:rPr>
      <w:rFonts w:ascii="Tahoma" w:hAnsi="Tahoma"/>
      <w:sz w:val="24"/>
      <w:szCs w:val="20"/>
    </w:rPr>
  </w:style>
  <w:style w:type="paragraph" w:customStyle="1" w:styleId="118">
    <w:name w:val="样式1"/>
    <w:basedOn w:val="4"/>
    <w:qFormat/>
    <w:uiPriority w:val="0"/>
    <w:pPr>
      <w:jc w:val="center"/>
    </w:pPr>
    <w:rPr>
      <w:sz w:val="36"/>
      <w:szCs w:val="36"/>
    </w:rPr>
  </w:style>
  <w:style w:type="paragraph" w:customStyle="1" w:styleId="119">
    <w:name w:val="正文无缩进"/>
    <w:basedOn w:val="94"/>
    <w:qFormat/>
    <w:uiPriority w:val="0"/>
    <w:pPr>
      <w:ind w:firstLine="0" w:firstLineChars="0"/>
    </w:pPr>
  </w:style>
  <w:style w:type="paragraph" w:customStyle="1" w:styleId="120">
    <w:name w:val="www序号1)"/>
    <w:basedOn w:val="1"/>
    <w:qFormat/>
    <w:uiPriority w:val="0"/>
    <w:pPr>
      <w:tabs>
        <w:tab w:val="left" w:pos="2160"/>
      </w:tabs>
      <w:ind w:left="2160" w:hanging="420"/>
    </w:pPr>
    <w:rPr>
      <w:rFonts w:ascii="仿宋_GB2312" w:eastAsia="仿宋_GB2312"/>
      <w:sz w:val="24"/>
      <w:szCs w:val="28"/>
    </w:rPr>
  </w:style>
  <w:style w:type="paragraph" w:customStyle="1" w:styleId="121">
    <w:name w:val="标准"/>
    <w:basedOn w:val="1"/>
    <w:qFormat/>
    <w:uiPriority w:val="0"/>
    <w:pPr>
      <w:overflowPunct w:val="0"/>
      <w:autoSpaceDE w:val="0"/>
      <w:autoSpaceDN w:val="0"/>
      <w:adjustRightInd w:val="0"/>
      <w:spacing w:line="240" w:lineRule="atLeast"/>
    </w:pPr>
    <w:rPr>
      <w:rFonts w:eastAsia="楷体_GB2312"/>
      <w:kern w:val="0"/>
      <w:sz w:val="24"/>
      <w:szCs w:val="20"/>
    </w:rPr>
  </w:style>
  <w:style w:type="paragraph" w:customStyle="1" w:styleId="122">
    <w:name w:val="Char21"/>
    <w:basedOn w:val="1"/>
    <w:qFormat/>
    <w:uiPriority w:val="0"/>
    <w:rPr>
      <w:rFonts w:ascii="仿宋_GB2312" w:eastAsia="仿宋_GB2312"/>
      <w:sz w:val="28"/>
      <w:szCs w:val="28"/>
    </w:rPr>
  </w:style>
  <w:style w:type="paragraph" w:customStyle="1" w:styleId="123">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124">
    <w:name w:val="RFI List 2"/>
    <w:basedOn w:val="101"/>
    <w:qFormat/>
    <w:uiPriority w:val="0"/>
    <w:pPr>
      <w:numPr>
        <w:numId w:val="9"/>
      </w:numPr>
      <w:tabs>
        <w:tab w:val="left" w:pos="2304"/>
        <w:tab w:val="clear" w:pos="360"/>
        <w:tab w:val="clear" w:pos="1800"/>
      </w:tabs>
      <w:ind w:left="720" w:hanging="720"/>
    </w:pPr>
    <w:rPr>
      <w:rFonts w:eastAsia="Times New Roman"/>
      <w:b w:val="0"/>
      <w:bCs/>
    </w:rPr>
  </w:style>
  <w:style w:type="paragraph" w:customStyle="1" w:styleId="125">
    <w:name w:val="Level 5: (1)"/>
    <w:basedOn w:val="1"/>
    <w:qFormat/>
    <w:uiPriority w:val="0"/>
    <w:pPr>
      <w:widowControl/>
      <w:tabs>
        <w:tab w:val="left" w:pos="1800"/>
      </w:tabs>
      <w:spacing w:before="72" w:after="72"/>
      <w:ind w:left="1800" w:hanging="360"/>
      <w:outlineLvl w:val="7"/>
    </w:pPr>
    <w:rPr>
      <w:rFonts w:ascii="Arial" w:hAnsi="Arial" w:eastAsia="仿宋_GB2312"/>
      <w:kern w:val="0"/>
      <w:sz w:val="20"/>
      <w:szCs w:val="20"/>
      <w:lang w:eastAsia="en-US"/>
    </w:rPr>
  </w:style>
  <w:style w:type="paragraph" w:customStyle="1" w:styleId="126">
    <w:name w:val="Style Body Text Indent 2 + 11 pt Line spacing:  1.5 lines"/>
    <w:basedOn w:val="36"/>
    <w:qFormat/>
    <w:uiPriority w:val="0"/>
    <w:pPr>
      <w:widowControl/>
      <w:tabs>
        <w:tab w:val="left" w:pos="900"/>
      </w:tabs>
      <w:autoSpaceDE/>
      <w:autoSpaceDN/>
      <w:spacing w:line="360" w:lineRule="auto"/>
      <w:ind w:firstLine="0" w:firstLineChars="0"/>
    </w:pPr>
    <w:rPr>
      <w:rFonts w:ascii="宋体" w:hAnsi="宋体" w:eastAsia="宋体"/>
      <w:color w:val="auto"/>
      <w:kern w:val="0"/>
      <w:sz w:val="22"/>
      <w:szCs w:val="20"/>
      <w:lang w:val="en-GB"/>
    </w:rPr>
  </w:style>
  <w:style w:type="paragraph" w:customStyle="1" w:styleId="127">
    <w:name w:val="Level 4: (i)"/>
    <w:basedOn w:val="1"/>
    <w:qFormat/>
    <w:uiPriority w:val="0"/>
    <w:pPr>
      <w:widowControl/>
      <w:tabs>
        <w:tab w:val="left" w:pos="1440"/>
        <w:tab w:val="left" w:pos="1800"/>
      </w:tabs>
      <w:spacing w:before="72" w:after="72"/>
      <w:ind w:left="1440" w:hanging="360"/>
      <w:outlineLvl w:val="6"/>
    </w:pPr>
    <w:rPr>
      <w:rFonts w:ascii="Arial" w:hAnsi="Arial" w:eastAsia="仿宋_GB2312"/>
      <w:kern w:val="0"/>
      <w:sz w:val="20"/>
      <w:szCs w:val="20"/>
      <w:lang w:eastAsia="en-US"/>
    </w:rPr>
  </w:style>
  <w:style w:type="paragraph" w:customStyle="1" w:styleId="128">
    <w:name w:val="项目符号2"/>
    <w:basedOn w:val="1"/>
    <w:qFormat/>
    <w:uiPriority w:val="0"/>
    <w:pPr>
      <w:tabs>
        <w:tab w:val="left" w:pos="2591"/>
      </w:tabs>
      <w:snapToGrid w:val="0"/>
      <w:spacing w:line="300" w:lineRule="auto"/>
      <w:ind w:left="2155" w:hanging="284"/>
    </w:pPr>
    <w:rPr>
      <w:rFonts w:ascii="宋体" w:eastAsia="仿宋_GB2312"/>
      <w:sz w:val="24"/>
      <w:szCs w:val="20"/>
    </w:rPr>
  </w:style>
  <w:style w:type="paragraph" w:customStyle="1" w:styleId="129">
    <w:name w:val="Normal 0.51"/>
    <w:basedOn w:val="1"/>
    <w:qFormat/>
    <w:uiPriority w:val="0"/>
    <w:pPr>
      <w:keepNext/>
      <w:keepLines/>
      <w:widowControl/>
      <w:spacing w:before="180" w:after="120"/>
      <w:ind w:left="720"/>
    </w:pPr>
    <w:rPr>
      <w:rFonts w:ascii="仿宋_GB2312" w:eastAsia="仿宋_GB2312"/>
      <w:kern w:val="0"/>
      <w:sz w:val="24"/>
      <w:szCs w:val="20"/>
      <w:lang w:val="en-GB" w:eastAsia="en-US"/>
    </w:rPr>
  </w:style>
  <w:style w:type="paragraph" w:customStyle="1" w:styleId="130">
    <w:name w:val="水印"/>
    <w:basedOn w:val="1"/>
    <w:qFormat/>
    <w:uiPriority w:val="0"/>
    <w:pPr>
      <w:adjustRightInd w:val="0"/>
      <w:spacing w:line="240" w:lineRule="atLeast"/>
      <w:textAlignment w:val="baseline"/>
    </w:pPr>
    <w:rPr>
      <w:rFonts w:ascii="仿宋_GB2312" w:eastAsia="仿宋_GB2312"/>
      <w:kern w:val="0"/>
      <w:sz w:val="28"/>
      <w:szCs w:val="20"/>
    </w:rPr>
  </w:style>
  <w:style w:type="paragraph" w:customStyle="1" w:styleId="131">
    <w:name w:val="简单回函地址"/>
    <w:basedOn w:val="1"/>
    <w:qFormat/>
    <w:uiPriority w:val="0"/>
    <w:rPr>
      <w:rFonts w:ascii="宋体" w:hAnsi="宋体" w:eastAsia="仿宋_GB2312"/>
      <w:color w:val="000000"/>
      <w:sz w:val="28"/>
      <w:szCs w:val="21"/>
    </w:rPr>
  </w:style>
  <w:style w:type="paragraph" w:customStyle="1" w:styleId="132">
    <w:name w:val="Char Char Char Char1"/>
    <w:basedOn w:val="1"/>
    <w:qFormat/>
    <w:uiPriority w:val="0"/>
    <w:pPr>
      <w:widowControl/>
      <w:spacing w:line="400" w:lineRule="exact"/>
      <w:jc w:val="center"/>
    </w:pPr>
    <w:rPr>
      <w:rFonts w:ascii="Verdana" w:hAnsi="Verdana" w:eastAsia="仿宋_GB2312"/>
      <w:kern w:val="0"/>
      <w:sz w:val="28"/>
      <w:szCs w:val="20"/>
      <w:lang w:eastAsia="en-US"/>
    </w:rPr>
  </w:style>
  <w:style w:type="paragraph" w:customStyle="1" w:styleId="133">
    <w:name w:val="Proposals body"/>
    <w:basedOn w:val="1"/>
    <w:next w:val="1"/>
    <w:qFormat/>
    <w:uiPriority w:val="0"/>
    <w:pPr>
      <w:widowControl/>
      <w:spacing w:line="360" w:lineRule="auto"/>
      <w:jc w:val="left"/>
    </w:pPr>
    <w:rPr>
      <w:rFonts w:ascii="宋体" w:eastAsia="仿宋_GB2312"/>
      <w:snapToGrid w:val="0"/>
      <w:color w:val="000000"/>
      <w:kern w:val="0"/>
      <w:sz w:val="24"/>
      <w:szCs w:val="20"/>
    </w:rPr>
  </w:style>
  <w:style w:type="paragraph" w:customStyle="1" w:styleId="134">
    <w:name w:val="Figure"/>
    <w:basedOn w:val="1"/>
    <w:next w:val="1"/>
    <w:qFormat/>
    <w:uiPriority w:val="0"/>
    <w:pPr>
      <w:keepNext/>
      <w:ind w:left="1701"/>
    </w:pPr>
  </w:style>
  <w:style w:type="paragraph" w:customStyle="1" w:styleId="135">
    <w:name w:val="默认"/>
    <w:basedOn w:val="1"/>
    <w:qFormat/>
    <w:uiPriority w:val="0"/>
    <w:pPr>
      <w:widowControl/>
      <w:jc w:val="left"/>
    </w:pPr>
    <w:rPr>
      <w:rFonts w:ascii="Arial Unicode MS" w:hAnsi="Arial Unicode MS" w:eastAsia="Helvetica"/>
      <w:color w:val="000000"/>
      <w:kern w:val="0"/>
      <w:sz w:val="22"/>
      <w:szCs w:val="22"/>
    </w:rPr>
  </w:style>
  <w:style w:type="paragraph" w:customStyle="1" w:styleId="136">
    <w:name w:val="样式 标题 3列表编号3h33rd level + 段前: 1 行"/>
    <w:basedOn w:val="5"/>
    <w:qFormat/>
    <w:uiPriority w:val="0"/>
    <w:pPr>
      <w:numPr>
        <w:ilvl w:val="0"/>
        <w:numId w:val="0"/>
      </w:numPr>
      <w:spacing w:before="312" w:afterLines="50" w:line="413" w:lineRule="auto"/>
    </w:pPr>
    <w:rPr>
      <w:rFonts w:ascii="宋体" w:eastAsia="宋体"/>
      <w:sz w:val="28"/>
      <w:szCs w:val="20"/>
    </w:rPr>
  </w:style>
  <w:style w:type="paragraph" w:customStyle="1" w:styleId="137">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138">
    <w:name w:val="规范正文"/>
    <w:basedOn w:val="1"/>
    <w:qFormat/>
    <w:uiPriority w:val="0"/>
    <w:pPr>
      <w:adjustRightInd w:val="0"/>
      <w:spacing w:line="360" w:lineRule="auto"/>
      <w:ind w:left="480"/>
      <w:textAlignment w:val="baseline"/>
    </w:pPr>
    <w:rPr>
      <w:rFonts w:ascii="仿宋_GB2312" w:eastAsia="仿宋_GB2312"/>
      <w:kern w:val="0"/>
      <w:sz w:val="24"/>
      <w:szCs w:val="20"/>
    </w:rPr>
  </w:style>
  <w:style w:type="paragraph" w:customStyle="1" w:styleId="139">
    <w:name w:val="BodyText"/>
    <w:basedOn w:val="1"/>
    <w:qFormat/>
    <w:uiPriority w:val="0"/>
    <w:pPr>
      <w:widowControl/>
      <w:spacing w:after="120"/>
      <w:jc w:val="left"/>
    </w:pPr>
    <w:rPr>
      <w:rFonts w:ascii="FuturaA Bk BT" w:hAnsi="FuturaA Bk BT" w:eastAsia="仿宋_GB2312"/>
      <w:kern w:val="0"/>
      <w:sz w:val="20"/>
      <w:szCs w:val="20"/>
    </w:rPr>
  </w:style>
  <w:style w:type="paragraph" w:customStyle="1" w:styleId="140">
    <w:name w:val="RFI Heading 2nd Level"/>
    <w:basedOn w:val="1"/>
    <w:qFormat/>
    <w:uiPriority w:val="0"/>
    <w:pPr>
      <w:widowControl/>
      <w:numPr>
        <w:ilvl w:val="1"/>
        <w:numId w:val="6"/>
      </w:numPr>
      <w:jc w:val="left"/>
    </w:pPr>
    <w:rPr>
      <w:rFonts w:ascii="Arial (W1)" w:hAnsi="Arial (W1)" w:eastAsia="仿宋_GB2312"/>
      <w:b/>
      <w:bCs/>
      <w:color w:val="0000FF"/>
      <w:kern w:val="0"/>
      <w:sz w:val="28"/>
      <w:szCs w:val="28"/>
      <w:lang w:val="en-GB" w:eastAsia="en-US"/>
    </w:rPr>
  </w:style>
  <w:style w:type="paragraph" w:customStyle="1" w:styleId="141">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142">
    <w:name w:val="Char1 Char Char Char"/>
    <w:basedOn w:val="1"/>
    <w:qFormat/>
    <w:uiPriority w:val="0"/>
    <w:pPr>
      <w:ind w:left="420" w:hanging="420"/>
    </w:pPr>
    <w:rPr>
      <w:rFonts w:ascii="仿宋_GB2312" w:eastAsia="仿宋_GB2312"/>
      <w:sz w:val="24"/>
      <w:szCs w:val="28"/>
    </w:rPr>
  </w:style>
  <w:style w:type="paragraph" w:customStyle="1" w:styleId="143">
    <w:name w:val="1.1 Header2"/>
    <w:basedOn w:val="1"/>
    <w:qFormat/>
    <w:uiPriority w:val="0"/>
    <w:pPr>
      <w:widowControl/>
      <w:jc w:val="left"/>
    </w:pPr>
    <w:rPr>
      <w:rFonts w:ascii="宋体" w:hAnsi="宋体" w:eastAsia="仿宋_GB2312"/>
      <w:color w:val="000000"/>
      <w:kern w:val="0"/>
      <w:sz w:val="24"/>
      <w:szCs w:val="21"/>
    </w:rPr>
  </w:style>
  <w:style w:type="paragraph" w:customStyle="1" w:styleId="144">
    <w:name w:val="缺省文本"/>
    <w:basedOn w:val="1"/>
    <w:qFormat/>
    <w:uiPriority w:val="0"/>
    <w:pPr>
      <w:autoSpaceDE w:val="0"/>
      <w:autoSpaceDN w:val="0"/>
      <w:adjustRightInd w:val="0"/>
      <w:jc w:val="left"/>
    </w:pPr>
    <w:rPr>
      <w:kern w:val="0"/>
      <w:sz w:val="24"/>
    </w:rPr>
  </w:style>
  <w:style w:type="paragraph" w:customStyle="1" w:styleId="145">
    <w:name w:val="RFI text from 3rd Level"/>
    <w:basedOn w:val="146"/>
    <w:qFormat/>
    <w:uiPriority w:val="0"/>
    <w:pPr>
      <w:numPr>
        <w:numId w:val="0"/>
      </w:numPr>
      <w:tabs>
        <w:tab w:val="left" w:pos="360"/>
        <w:tab w:val="left" w:pos="720"/>
        <w:tab w:val="left" w:pos="1080"/>
        <w:tab w:val="left" w:pos="1440"/>
      </w:tabs>
    </w:pPr>
    <w:rPr>
      <w:b w:val="0"/>
      <w:lang w:eastAsia="zh-CN"/>
    </w:rPr>
  </w:style>
  <w:style w:type="paragraph" w:customStyle="1" w:styleId="146">
    <w:name w:val="RFI text from 2nd Level"/>
    <w:basedOn w:val="102"/>
    <w:qFormat/>
    <w:uiPriority w:val="0"/>
    <w:pPr>
      <w:numPr>
        <w:ilvl w:val="1"/>
        <w:numId w:val="5"/>
      </w:numPr>
      <w:tabs>
        <w:tab w:val="left" w:pos="360"/>
      </w:tabs>
      <w:ind w:left="720"/>
    </w:pPr>
    <w:rPr>
      <w:b/>
      <w:bCs/>
      <w:color w:val="auto"/>
    </w:rPr>
  </w:style>
  <w:style w:type="paragraph" w:customStyle="1" w:styleId="147">
    <w:name w:val="列出段落1"/>
    <w:basedOn w:val="1"/>
    <w:qFormat/>
    <w:uiPriority w:val="0"/>
    <w:pPr>
      <w:ind w:firstLine="420" w:firstLineChars="200"/>
    </w:pPr>
    <w:rPr>
      <w:rFonts w:cs="Calibri"/>
      <w:szCs w:val="21"/>
    </w:rPr>
  </w:style>
  <w:style w:type="paragraph" w:customStyle="1" w:styleId="148">
    <w:name w:val="Char2"/>
    <w:basedOn w:val="1"/>
    <w:qFormat/>
    <w:uiPriority w:val="0"/>
    <w:rPr>
      <w:rFonts w:ascii="仿宋_GB2312" w:eastAsia="仿宋_GB2312"/>
      <w:b/>
      <w:sz w:val="32"/>
      <w:szCs w:val="32"/>
    </w:rPr>
  </w:style>
  <w:style w:type="paragraph" w:customStyle="1" w:styleId="149">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文档正文"/>
    <w:basedOn w:val="1"/>
    <w:qFormat/>
    <w:uiPriority w:val="0"/>
    <w:rPr>
      <w:rFonts w:ascii="Arial" w:hAnsi="Arial" w:eastAsia="仿宋_GB2312" w:cs="Arial"/>
      <w:bCs/>
      <w:sz w:val="24"/>
      <w:szCs w:val="28"/>
    </w:rPr>
  </w:style>
  <w:style w:type="paragraph" w:customStyle="1" w:styleId="151">
    <w:name w:val="项目"/>
    <w:basedOn w:val="24"/>
    <w:next w:val="24"/>
    <w:qFormat/>
    <w:uiPriority w:val="0"/>
    <w:pPr>
      <w:numPr>
        <w:ilvl w:val="0"/>
        <w:numId w:val="10"/>
      </w:numPr>
      <w:tabs>
        <w:tab w:val="left" w:pos="420"/>
      </w:tabs>
      <w:spacing w:after="0" w:line="360" w:lineRule="auto"/>
      <w:ind w:left="420"/>
    </w:pPr>
    <w:rPr>
      <w:rFonts w:eastAsia="仿宋_GB2312"/>
      <w:kern w:val="0"/>
      <w:sz w:val="24"/>
      <w:szCs w:val="20"/>
    </w:rPr>
  </w:style>
  <w:style w:type="paragraph" w:customStyle="1" w:styleId="152">
    <w:name w:val="tabletextchar"/>
    <w:basedOn w:val="1"/>
    <w:qFormat/>
    <w:uiPriority w:val="0"/>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153">
    <w:name w:val="1.1.1.1Heading3"/>
    <w:basedOn w:val="5"/>
    <w:qFormat/>
    <w:uiPriority w:val="0"/>
    <w:pPr>
      <w:keepLines w:val="0"/>
      <w:widowControl/>
      <w:numPr>
        <w:numId w:val="11"/>
      </w:numPr>
      <w:tabs>
        <w:tab w:val="left" w:pos="1440"/>
        <w:tab w:val="left" w:pos="2160"/>
        <w:tab w:val="left" w:pos="2292"/>
      </w:tabs>
      <w:spacing w:before="120" w:after="120" w:line="240" w:lineRule="auto"/>
      <w:ind w:left="2292" w:leftChars="236" w:right="-156" w:hanging="420"/>
      <w:jc w:val="left"/>
    </w:pPr>
    <w:rPr>
      <w:rFonts w:ascii="Arial" w:hAnsi="Arial" w:eastAsia="黑体" w:cs="Arial"/>
      <w:b w:val="0"/>
      <w:bCs/>
      <w:kern w:val="0"/>
      <w:sz w:val="24"/>
      <w:szCs w:val="16"/>
    </w:rPr>
  </w:style>
  <w:style w:type="paragraph" w:customStyle="1" w:styleId="154">
    <w:name w:val="Char22"/>
    <w:basedOn w:val="1"/>
    <w:qFormat/>
    <w:uiPriority w:val="0"/>
    <w:rPr>
      <w:szCs w:val="20"/>
    </w:rPr>
  </w:style>
  <w:style w:type="paragraph" w:customStyle="1" w:styleId="155">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eastAsia="仿宋_GB2312"/>
      <w:kern w:val="0"/>
      <w:sz w:val="22"/>
      <w:szCs w:val="20"/>
      <w:lang w:val="en-GB" w:eastAsia="en-US"/>
    </w:rPr>
  </w:style>
  <w:style w:type="paragraph" w:customStyle="1" w:styleId="156">
    <w:name w:val="Char Char Char Char Char Char Char Char1 Char"/>
    <w:basedOn w:val="1"/>
    <w:qFormat/>
    <w:uiPriority w:val="0"/>
    <w:rPr>
      <w:rFonts w:ascii="仿宋_GB2312" w:eastAsia="仿宋_GB2312"/>
      <w:sz w:val="28"/>
      <w:szCs w:val="20"/>
    </w:rPr>
  </w:style>
  <w:style w:type="paragraph" w:customStyle="1" w:styleId="157">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szCs w:val="28"/>
      <w:lang w:val="en-GB" w:eastAsia="en-US"/>
    </w:rPr>
  </w:style>
  <w:style w:type="paragraph" w:customStyle="1" w:styleId="158">
    <w:name w:val="RFI Bullet 1st Level"/>
    <w:basedOn w:val="1"/>
    <w:qFormat/>
    <w:uiPriority w:val="0"/>
    <w:pPr>
      <w:widowControl/>
      <w:spacing w:before="60" w:after="60"/>
      <w:ind w:left="1440" w:hanging="360"/>
    </w:pPr>
    <w:rPr>
      <w:rFonts w:ascii="Arial (W1)" w:hAnsi="Arial (W1)" w:eastAsia="仿宋_GB2312"/>
      <w:kern w:val="0"/>
      <w:sz w:val="24"/>
      <w:szCs w:val="28"/>
      <w:lang w:val="en-GB" w:eastAsia="en-US"/>
    </w:rPr>
  </w:style>
  <w:style w:type="paragraph" w:customStyle="1" w:styleId="159">
    <w:name w:val="Style Heading 3 + 11 pt Line spacing:  1.5 lines"/>
    <w:basedOn w:val="5"/>
    <w:qFormat/>
    <w:uiPriority w:val="0"/>
    <w:pPr>
      <w:keepLines w:val="0"/>
      <w:widowControl/>
      <w:numPr>
        <w:numId w:val="0"/>
      </w:numPr>
      <w:tabs>
        <w:tab w:val="left" w:pos="1260"/>
      </w:tabs>
      <w:spacing w:before="0" w:after="0" w:line="360" w:lineRule="auto"/>
      <w:ind w:left="236" w:leftChars="236"/>
    </w:pPr>
    <w:rPr>
      <w:rFonts w:ascii="仿宋_GB2312" w:eastAsia="黑体"/>
      <w:b w:val="0"/>
      <w:bCs/>
      <w:kern w:val="0"/>
      <w:sz w:val="28"/>
    </w:rPr>
  </w:style>
  <w:style w:type="paragraph" w:customStyle="1" w:styleId="160">
    <w:name w:val="Tabletext"/>
    <w:basedOn w:val="1"/>
    <w:qFormat/>
    <w:uiPriority w:val="0"/>
    <w:pPr>
      <w:keepLines/>
      <w:spacing w:after="120" w:line="240" w:lineRule="atLeast"/>
      <w:jc w:val="left"/>
    </w:pPr>
    <w:rPr>
      <w:rFonts w:ascii="仿宋_GB2312" w:eastAsia="仿宋_GB2312"/>
      <w:kern w:val="0"/>
      <w:sz w:val="24"/>
      <w:szCs w:val="20"/>
      <w:lang w:eastAsia="en-US"/>
    </w:rPr>
  </w:style>
  <w:style w:type="paragraph" w:customStyle="1" w:styleId="161">
    <w:name w:val="RFI abc 1st Level"/>
    <w:basedOn w:val="1"/>
    <w:qFormat/>
    <w:uiPriority w:val="0"/>
    <w:pPr>
      <w:widowControl/>
      <w:numPr>
        <w:ilvl w:val="0"/>
        <w:numId w:val="12"/>
      </w:numPr>
      <w:tabs>
        <w:tab w:val="left" w:pos="1440"/>
      </w:tabs>
      <w:ind w:left="1440"/>
    </w:pPr>
    <w:rPr>
      <w:rFonts w:ascii="Arial (W1)" w:hAnsi="Arial (W1)" w:eastAsia="仿宋_GB2312"/>
      <w:kern w:val="0"/>
      <w:sz w:val="24"/>
      <w:szCs w:val="28"/>
      <w:lang w:val="en-GB" w:eastAsia="en-US"/>
    </w:rPr>
  </w:style>
  <w:style w:type="paragraph" w:customStyle="1" w:styleId="162">
    <w:name w:val="RFI Heading 4th Level"/>
    <w:basedOn w:val="102"/>
    <w:qFormat/>
    <w:uiPriority w:val="0"/>
    <w:pPr>
      <w:numPr>
        <w:ilvl w:val="3"/>
        <w:numId w:val="5"/>
      </w:numPr>
      <w:tabs>
        <w:tab w:val="left" w:pos="1152"/>
      </w:tabs>
      <w:spacing w:before="240" w:after="160"/>
      <w:ind w:left="1152" w:hanging="1152"/>
      <w:jc w:val="both"/>
      <w:outlineLvl w:val="2"/>
    </w:pPr>
    <w:rPr>
      <w:rFonts w:eastAsia="Times New Roman"/>
      <w:bCs/>
      <w:color w:val="auto"/>
    </w:rPr>
  </w:style>
  <w:style w:type="paragraph" w:customStyle="1" w:styleId="163">
    <w:name w:val="条目2"/>
    <w:basedOn w:val="32"/>
    <w:qFormat/>
    <w:uiPriority w:val="0"/>
    <w:pPr>
      <w:numPr>
        <w:ilvl w:val="0"/>
        <w:numId w:val="13"/>
      </w:numPr>
      <w:spacing w:line="360" w:lineRule="auto"/>
    </w:pPr>
    <w:rPr>
      <w:rFonts w:eastAsia="仿宋_GB2312" w:cs="Courier New"/>
      <w:color w:val="000000"/>
      <w:sz w:val="24"/>
      <w:szCs w:val="21"/>
    </w:rPr>
  </w:style>
  <w:style w:type="paragraph" w:customStyle="1" w:styleId="164">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16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22"/>
      <w:szCs w:val="22"/>
    </w:rPr>
  </w:style>
  <w:style w:type="paragraph" w:customStyle="1" w:styleId="166">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Body 1"/>
    <w:qFormat/>
    <w:uiPriority w:val="0"/>
    <w:pPr>
      <w:widowControl w:val="0"/>
      <w:outlineLvl w:val="0"/>
    </w:pPr>
    <w:rPr>
      <w:rFonts w:ascii="Calibri" w:hAnsi="Calibri" w:eastAsia="Arial Unicode MS" w:cs="Times New Roman"/>
      <w:color w:val="000000"/>
      <w:kern w:val="2"/>
      <w:sz w:val="24"/>
      <w:u w:color="000000"/>
      <w:lang w:val="en-US" w:eastAsia="zh-CN" w:bidi="ar-SA"/>
    </w:rPr>
  </w:style>
  <w:style w:type="paragraph" w:customStyle="1" w:styleId="168">
    <w:name w:val="标题6"/>
    <w:basedOn w:val="1"/>
    <w:next w:val="3"/>
    <w:qFormat/>
    <w:uiPriority w:val="0"/>
    <w:pPr>
      <w:widowControl/>
      <w:snapToGrid w:val="0"/>
      <w:spacing w:beforeLines="50" w:afterLines="50" w:line="520" w:lineRule="atLeast"/>
      <w:ind w:firstLine="200" w:firstLineChars="200"/>
    </w:pPr>
  </w:style>
  <w:style w:type="paragraph" w:customStyle="1" w:styleId="169">
    <w:name w:val="Char Char Char1 Char Char Char Char"/>
    <w:basedOn w:val="1"/>
    <w:qFormat/>
    <w:uiPriority w:val="0"/>
    <w:rPr>
      <w:rFonts w:ascii="仿宋_GB2312" w:eastAsia="仿宋_GB2312"/>
      <w:b/>
      <w:sz w:val="32"/>
      <w:szCs w:val="32"/>
    </w:rPr>
  </w:style>
  <w:style w:type="paragraph" w:customStyle="1" w:styleId="17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71">
    <w:name w:val="Level 6: (i)"/>
    <w:basedOn w:val="1"/>
    <w:qFormat/>
    <w:uiPriority w:val="0"/>
    <w:pPr>
      <w:widowControl/>
      <w:tabs>
        <w:tab w:val="left" w:pos="2160"/>
        <w:tab w:val="left" w:pos="2520"/>
      </w:tabs>
      <w:spacing w:before="72" w:after="72"/>
      <w:ind w:left="2160" w:hanging="360"/>
      <w:outlineLvl w:val="8"/>
    </w:pPr>
    <w:rPr>
      <w:rFonts w:ascii="Arial" w:hAnsi="Arial" w:eastAsia="仿宋_GB2312"/>
      <w:kern w:val="0"/>
      <w:sz w:val="20"/>
      <w:szCs w:val="20"/>
      <w:lang w:eastAsia="en-US"/>
    </w:rPr>
  </w:style>
  <w:style w:type="paragraph" w:customStyle="1" w:styleId="172">
    <w:name w:val="Level 1: a."/>
    <w:qFormat/>
    <w:uiPriority w:val="0"/>
    <w:pPr>
      <w:tabs>
        <w:tab w:val="left" w:pos="360"/>
        <w:tab w:val="left" w:pos="720"/>
      </w:tabs>
      <w:spacing w:before="72" w:after="72"/>
      <w:ind w:left="360" w:hanging="360"/>
      <w:jc w:val="both"/>
      <w:outlineLvl w:val="3"/>
    </w:pPr>
    <w:rPr>
      <w:rFonts w:ascii="Arial" w:hAnsi="Arial" w:eastAsia="宋体" w:cs="Times New Roman"/>
      <w:lang w:val="en-US" w:eastAsia="en-US" w:bidi="ar-SA"/>
    </w:rPr>
  </w:style>
  <w:style w:type="paragraph" w:customStyle="1" w:styleId="173">
    <w:name w:val="kx"/>
    <w:basedOn w:val="1"/>
    <w:qFormat/>
    <w:uiPriority w:val="0"/>
    <w:pPr>
      <w:widowControl/>
      <w:spacing w:before="100" w:beforeAutospacing="1" w:after="100" w:afterAutospacing="1"/>
      <w:jc w:val="left"/>
    </w:pPr>
    <w:rPr>
      <w:rFonts w:ascii="宋体" w:hAnsi="宋体"/>
      <w:kern w:val="0"/>
      <w:sz w:val="24"/>
    </w:rPr>
  </w:style>
  <w:style w:type="paragraph" w:customStyle="1" w:styleId="174">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kern w:val="0"/>
      <w:sz w:val="24"/>
      <w:szCs w:val="20"/>
    </w:rPr>
  </w:style>
  <w:style w:type="paragraph" w:customStyle="1" w:styleId="175">
    <w:name w:val="px12l130"/>
    <w:basedOn w:val="1"/>
    <w:qFormat/>
    <w:uiPriority w:val="0"/>
    <w:pPr>
      <w:widowControl/>
      <w:spacing w:before="100" w:beforeAutospacing="1" w:after="100" w:afterAutospacing="1" w:line="312" w:lineRule="auto"/>
      <w:jc w:val="left"/>
    </w:pPr>
    <w:rPr>
      <w:rFonts w:ascii="ˎ̥" w:hAnsi="ˎ̥"/>
      <w:kern w:val="0"/>
      <w:sz w:val="18"/>
      <w:szCs w:val="18"/>
    </w:rPr>
  </w:style>
  <w:style w:type="paragraph" w:customStyle="1" w:styleId="176">
    <w:name w:val="批注框文本1"/>
    <w:basedOn w:val="1"/>
    <w:qFormat/>
    <w:uiPriority w:val="0"/>
    <w:pPr>
      <w:widowControl/>
      <w:spacing w:before="120" w:line="360" w:lineRule="auto"/>
      <w:jc w:val="left"/>
    </w:pPr>
    <w:rPr>
      <w:rFonts w:ascii="Tahoma" w:hAnsi="Tahoma" w:eastAsia="仿宋_GB2312" w:cs="Tahoma"/>
      <w:kern w:val="0"/>
      <w:sz w:val="16"/>
      <w:szCs w:val="16"/>
      <w:lang w:val="en-GB" w:eastAsia="en-US"/>
    </w:rPr>
  </w:style>
  <w:style w:type="paragraph" w:customStyle="1" w:styleId="177">
    <w:name w:val="列出段落2"/>
    <w:basedOn w:val="1"/>
    <w:qFormat/>
    <w:uiPriority w:val="0"/>
    <w:pPr>
      <w:ind w:firstLine="420" w:firstLineChars="200"/>
    </w:pPr>
    <w:rPr>
      <w:rFonts w:eastAsia="仿宋_GB2312"/>
      <w:sz w:val="28"/>
      <w:szCs w:val="22"/>
    </w:rPr>
  </w:style>
  <w:style w:type="paragraph" w:customStyle="1" w:styleId="178">
    <w:name w:val="Level 2: 1."/>
    <w:qFormat/>
    <w:uiPriority w:val="0"/>
    <w:pPr>
      <w:tabs>
        <w:tab w:val="left" w:pos="720"/>
      </w:tabs>
      <w:spacing w:before="72" w:after="72"/>
      <w:ind w:left="720" w:hanging="360"/>
      <w:jc w:val="both"/>
      <w:outlineLvl w:val="4"/>
    </w:pPr>
    <w:rPr>
      <w:rFonts w:ascii="Arial" w:hAnsi="Arial" w:eastAsia="宋体" w:cs="Times New Roman"/>
      <w:lang w:val="en-US" w:eastAsia="en-US" w:bidi="ar-SA"/>
    </w:rPr>
  </w:style>
  <w:style w:type="paragraph" w:customStyle="1" w:styleId="179">
    <w:name w:val="标准正文"/>
    <w:basedOn w:val="1"/>
    <w:qFormat/>
    <w:uiPriority w:val="0"/>
    <w:pPr>
      <w:spacing w:afterLines="50"/>
      <w:ind w:firstLine="200" w:firstLineChars="200"/>
    </w:pPr>
    <w:rPr>
      <w:sz w:val="24"/>
      <w:szCs w:val="21"/>
    </w:rPr>
  </w:style>
  <w:style w:type="paragraph" w:customStyle="1" w:styleId="180">
    <w:name w:val="编号"/>
    <w:basedOn w:val="1"/>
    <w:qFormat/>
    <w:uiPriority w:val="0"/>
    <w:pPr>
      <w:adjustRightInd w:val="0"/>
      <w:spacing w:line="276" w:lineRule="auto"/>
      <w:ind w:right="242" w:rightChars="100"/>
      <w:jc w:val="left"/>
      <w:textAlignment w:val="center"/>
    </w:pPr>
    <w:rPr>
      <w:rFonts w:eastAsia="仿宋_GB2312"/>
      <w:snapToGrid w:val="0"/>
      <w:spacing w:val="20"/>
      <w:kern w:val="16"/>
      <w:sz w:val="28"/>
      <w:szCs w:val="20"/>
    </w:rPr>
  </w:style>
  <w:style w:type="paragraph" w:customStyle="1" w:styleId="181">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182">
    <w:name w:val="样式 标题 1 + 居中"/>
    <w:basedOn w:val="3"/>
    <w:qFormat/>
    <w:uiPriority w:val="0"/>
    <w:pPr>
      <w:keepLines w:val="0"/>
      <w:widowControl/>
      <w:numPr>
        <w:numId w:val="0"/>
      </w:numPr>
      <w:spacing w:beforeLines="50" w:afterLines="50" w:line="400" w:lineRule="atLeast"/>
      <w:jc w:val="center"/>
    </w:pPr>
    <w:rPr>
      <w:rFonts w:ascii="黑体" w:hAnsi="Arial" w:eastAsia="黑体" w:cs="黑体"/>
      <w:b w:val="0"/>
      <w:kern w:val="0"/>
      <w:sz w:val="32"/>
      <w:szCs w:val="32"/>
    </w:rPr>
  </w:style>
  <w:style w:type="paragraph" w:customStyle="1" w:styleId="183">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reader-word-layer reader-word-s1-0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Achievement"/>
    <w:basedOn w:val="24"/>
    <w:qFormat/>
    <w:uiPriority w:val="0"/>
    <w:pPr>
      <w:widowControl/>
      <w:numPr>
        <w:ilvl w:val="0"/>
        <w:numId w:val="14"/>
      </w:numPr>
      <w:tabs>
        <w:tab w:val="left" w:pos="840"/>
      </w:tabs>
      <w:spacing w:after="60" w:line="220" w:lineRule="atLeast"/>
      <w:ind w:left="840" w:hanging="420"/>
    </w:pPr>
    <w:rPr>
      <w:rFonts w:ascii="Arial" w:hAnsi="Arial" w:eastAsia="仿宋_GB2312"/>
      <w:spacing w:val="-5"/>
      <w:kern w:val="0"/>
      <w:sz w:val="20"/>
      <w:szCs w:val="20"/>
    </w:rPr>
  </w:style>
  <w:style w:type="paragraph" w:customStyle="1" w:styleId="187">
    <w:name w:val="标题 3.1"/>
    <w:basedOn w:val="5"/>
    <w:qFormat/>
    <w:uiPriority w:val="0"/>
    <w:pPr>
      <w:numPr>
        <w:numId w:val="0"/>
      </w:numPr>
      <w:tabs>
        <w:tab w:val="left" w:pos="5614"/>
      </w:tabs>
      <w:spacing w:line="600" w:lineRule="exact"/>
    </w:pPr>
    <w:rPr>
      <w:rFonts w:ascii="仿宋_GB2312"/>
      <w:bCs/>
      <w:sz w:val="36"/>
      <w:szCs w:val="32"/>
    </w:rPr>
  </w:style>
  <w:style w:type="paragraph" w:customStyle="1" w:styleId="188">
    <w:name w:val="Char Char Char"/>
    <w:basedOn w:val="1"/>
    <w:qFormat/>
    <w:uiPriority w:val="0"/>
    <w:rPr>
      <w:rFonts w:ascii="Tahoma" w:hAnsi="Tahoma"/>
      <w:sz w:val="24"/>
      <w:szCs w:val="20"/>
    </w:rPr>
  </w:style>
  <w:style w:type="character" w:customStyle="1" w:styleId="189">
    <w:name w:val="Char Char12"/>
    <w:basedOn w:val="190"/>
    <w:qFormat/>
    <w:uiPriority w:val="0"/>
    <w:rPr>
      <w:rFonts w:eastAsia="楷体_GB2312"/>
      <w:kern w:val="2"/>
      <w:sz w:val="24"/>
      <w:szCs w:val="24"/>
      <w:lang w:val="en-US" w:eastAsia="zh-CN" w:bidi="ar-SA"/>
    </w:rPr>
  </w:style>
  <w:style w:type="character" w:customStyle="1" w:styleId="190">
    <w:name w:val="Char Char13"/>
    <w:basedOn w:val="61"/>
    <w:qFormat/>
    <w:uiPriority w:val="0"/>
    <w:rPr>
      <w:rFonts w:eastAsia="宋体"/>
      <w:kern w:val="2"/>
      <w:sz w:val="21"/>
      <w:szCs w:val="24"/>
      <w:lang w:val="en-US" w:eastAsia="zh-CN" w:bidi="ar-SA"/>
    </w:rPr>
  </w:style>
  <w:style w:type="character" w:customStyle="1" w:styleId="191">
    <w:name w:val="Heading 3 - old Char"/>
    <w:basedOn w:val="61"/>
    <w:qFormat/>
    <w:uiPriority w:val="0"/>
    <w:rPr>
      <w:rFonts w:eastAsia="仿宋_GB2312"/>
      <w:kern w:val="2"/>
      <w:sz w:val="32"/>
      <w:lang w:val="en-US" w:eastAsia="zh-CN" w:bidi="ar-SA"/>
    </w:rPr>
  </w:style>
  <w:style w:type="character" w:customStyle="1" w:styleId="192">
    <w:name w:val="PI Char"/>
    <w:basedOn w:val="61"/>
    <w:qFormat/>
    <w:uiPriority w:val="0"/>
    <w:rPr>
      <w:rFonts w:ascii="仿宋_GB2312" w:eastAsia="仿宋_GB2312"/>
      <w:kern w:val="2"/>
      <w:sz w:val="28"/>
      <w:szCs w:val="28"/>
      <w:lang w:val="zh-CN" w:eastAsia="zh-CN" w:bidi="ar-SA"/>
    </w:rPr>
  </w:style>
  <w:style w:type="character" w:customStyle="1" w:styleId="193">
    <w:name w:val="maywed421"/>
    <w:basedOn w:val="61"/>
    <w:qFormat/>
    <w:uiPriority w:val="0"/>
    <w:rPr>
      <w:color w:val="366FB6"/>
      <w:u w:val="none"/>
    </w:rPr>
  </w:style>
  <w:style w:type="character" w:customStyle="1" w:styleId="194">
    <w:name w:val="point_normal1"/>
    <w:basedOn w:val="61"/>
    <w:qFormat/>
    <w:uiPriority w:val="0"/>
    <w:rPr>
      <w:rFonts w:hint="default" w:ascii="Arial" w:hAnsi="Arial" w:cs="Arial"/>
      <w:sz w:val="18"/>
      <w:szCs w:val="18"/>
    </w:rPr>
  </w:style>
  <w:style w:type="character" w:customStyle="1" w:styleId="195">
    <w:name w:val="Char Char11"/>
    <w:basedOn w:val="61"/>
    <w:qFormat/>
    <w:uiPriority w:val="0"/>
    <w:rPr>
      <w:rFonts w:eastAsia="宋体"/>
      <w:kern w:val="2"/>
      <w:sz w:val="21"/>
      <w:szCs w:val="24"/>
      <w:lang w:val="en-US" w:eastAsia="zh-CN" w:bidi="ar-SA"/>
    </w:rPr>
  </w:style>
  <w:style w:type="character" w:customStyle="1" w:styleId="196">
    <w:name w:val="Char Char4"/>
    <w:basedOn w:val="61"/>
    <w:qFormat/>
    <w:uiPriority w:val="0"/>
    <w:rPr>
      <w:rFonts w:ascii="仿宋_GB2312" w:eastAsia="仿宋_GB2312"/>
      <w:kern w:val="2"/>
      <w:sz w:val="28"/>
      <w:szCs w:val="28"/>
      <w:lang w:val="zh-CN" w:eastAsia="zh-CN" w:bidi="ar-SA"/>
    </w:rPr>
  </w:style>
  <w:style w:type="character" w:customStyle="1" w:styleId="197">
    <w:name w:val="unnamed11"/>
    <w:basedOn w:val="61"/>
    <w:qFormat/>
    <w:uiPriority w:val="0"/>
    <w:rPr>
      <w:sz w:val="18"/>
      <w:szCs w:val="18"/>
    </w:rPr>
  </w:style>
  <w:style w:type="character" w:customStyle="1" w:styleId="198">
    <w:name w:val="15"/>
    <w:basedOn w:val="61"/>
    <w:qFormat/>
    <w:uiPriority w:val="0"/>
    <w:rPr>
      <w:rFonts w:hint="default" w:ascii="Times New Roman" w:hAnsi="Times New Roman" w:cs="Times New Roman"/>
      <w:color w:val="0000FF"/>
      <w:u w:val="single"/>
    </w:rPr>
  </w:style>
  <w:style w:type="character" w:customStyle="1" w:styleId="199">
    <w:name w:val="正文文本缩进 Char"/>
    <w:link w:val="26"/>
    <w:qFormat/>
    <w:locked/>
    <w:uiPriority w:val="0"/>
    <w:rPr>
      <w:rFonts w:ascii="宋体" w:eastAsia="宋体"/>
      <w:kern w:val="2"/>
      <w:sz w:val="24"/>
      <w:szCs w:val="24"/>
      <w:lang w:val="en-US" w:eastAsia="zh-CN" w:bidi="ar-SA"/>
    </w:rPr>
  </w:style>
  <w:style w:type="character" w:customStyle="1" w:styleId="200">
    <w:name w:val="Char Char16"/>
    <w:basedOn w:val="61"/>
    <w:qFormat/>
    <w:uiPriority w:val="0"/>
    <w:rPr>
      <w:rFonts w:ascii="Arial" w:hAnsi="Arial" w:eastAsia="黑体"/>
      <w:kern w:val="2"/>
      <w:sz w:val="21"/>
      <w:lang w:val="en-US" w:eastAsia="zh-CN" w:bidi="ar-SA"/>
    </w:rPr>
  </w:style>
  <w:style w:type="character" w:customStyle="1" w:styleId="201">
    <w:name w:val="Char Char2"/>
    <w:basedOn w:val="61"/>
    <w:qFormat/>
    <w:uiPriority w:val="0"/>
    <w:rPr>
      <w:rFonts w:ascii="宋体" w:hAnsi="Courier New" w:eastAsia="宋体"/>
      <w:sz w:val="21"/>
      <w:lang w:val="en-US" w:eastAsia="zh-CN" w:bidi="ar-SA"/>
    </w:rPr>
  </w:style>
  <w:style w:type="character" w:customStyle="1" w:styleId="202">
    <w:name w:val="Char Char8"/>
    <w:basedOn w:val="61"/>
    <w:qFormat/>
    <w:uiPriority w:val="0"/>
    <w:rPr>
      <w:rFonts w:ascii="仿宋_GB2312" w:eastAsia="仿宋_GB2312"/>
      <w:kern w:val="2"/>
      <w:sz w:val="28"/>
      <w:szCs w:val="28"/>
      <w:lang w:val="en-US" w:eastAsia="zh-CN" w:bidi="ar-SA"/>
    </w:rPr>
  </w:style>
  <w:style w:type="character" w:customStyle="1" w:styleId="203">
    <w:name w:val="chanpinname"/>
    <w:basedOn w:val="61"/>
    <w:qFormat/>
    <w:uiPriority w:val="0"/>
  </w:style>
  <w:style w:type="character" w:customStyle="1" w:styleId="204">
    <w:name w:val="txt"/>
    <w:basedOn w:val="61"/>
    <w:qFormat/>
    <w:uiPriority w:val="0"/>
  </w:style>
  <w:style w:type="character" w:customStyle="1" w:styleId="205">
    <w:name w:val="普通文字 Char Char1"/>
    <w:basedOn w:val="61"/>
    <w:qFormat/>
    <w:uiPriority w:val="0"/>
    <w:rPr>
      <w:rFonts w:ascii="宋体" w:hAnsi="Courier New" w:eastAsia="宋体"/>
      <w:sz w:val="21"/>
      <w:lang w:val="en-US" w:eastAsia="zh-CN" w:bidi="ar-SA"/>
    </w:rPr>
  </w:style>
  <w:style w:type="character" w:customStyle="1" w:styleId="206">
    <w:name w:val="Char Char17"/>
    <w:basedOn w:val="61"/>
    <w:qFormat/>
    <w:uiPriority w:val="0"/>
    <w:rPr>
      <w:rFonts w:ascii="Arial" w:hAnsi="Arial" w:eastAsia="黑体"/>
      <w:kern w:val="2"/>
      <w:sz w:val="24"/>
      <w:lang w:val="en-US" w:eastAsia="zh-CN" w:bidi="ar-SA"/>
    </w:rPr>
  </w:style>
  <w:style w:type="character" w:customStyle="1" w:styleId="207">
    <w:name w:val="EHPT Char1"/>
    <w:basedOn w:val="61"/>
    <w:qFormat/>
    <w:uiPriority w:val="0"/>
    <w:rPr>
      <w:rFonts w:ascii="Calibri" w:hAnsi="Calibri" w:eastAsia="宋体"/>
      <w:kern w:val="2"/>
      <w:sz w:val="21"/>
      <w:szCs w:val="22"/>
      <w:lang w:val="en-US" w:eastAsia="zh-CN" w:bidi="ar-SA"/>
    </w:rPr>
  </w:style>
  <w:style w:type="character" w:customStyle="1" w:styleId="208">
    <w:name w:val="普通文字 Char Char2"/>
    <w:basedOn w:val="61"/>
    <w:qFormat/>
    <w:uiPriority w:val="0"/>
    <w:rPr>
      <w:rFonts w:ascii="宋体" w:hAnsi="Courier New" w:eastAsia="宋体"/>
      <w:sz w:val="21"/>
      <w:lang w:val="en-US" w:eastAsia="zh-CN" w:bidi="ar-SA"/>
    </w:rPr>
  </w:style>
  <w:style w:type="character" w:customStyle="1" w:styleId="209">
    <w:name w:val="text1"/>
    <w:basedOn w:val="61"/>
    <w:qFormat/>
    <w:uiPriority w:val="0"/>
    <w:rPr>
      <w:rFonts w:hint="eastAsia" w:ascii="宋体" w:hAnsi="宋体" w:eastAsia="宋体"/>
      <w:color w:val="000099"/>
      <w:sz w:val="18"/>
      <w:szCs w:val="18"/>
    </w:rPr>
  </w:style>
  <w:style w:type="character" w:customStyle="1" w:styleId="210">
    <w:name w:val="font3"/>
    <w:basedOn w:val="61"/>
    <w:qFormat/>
    <w:uiPriority w:val="0"/>
  </w:style>
  <w:style w:type="character" w:customStyle="1" w:styleId="211">
    <w:name w:val="表格 Char Char"/>
    <w:basedOn w:val="61"/>
    <w:qFormat/>
    <w:uiPriority w:val="0"/>
    <w:rPr>
      <w:rFonts w:ascii="宋体" w:hAnsi="宋体"/>
      <w:lang w:bidi="ar-SA"/>
    </w:rPr>
  </w:style>
  <w:style w:type="character" w:customStyle="1" w:styleId="212">
    <w:name w:val="文档结构图 Char"/>
    <w:basedOn w:val="61"/>
    <w:link w:val="20"/>
    <w:semiHidden/>
    <w:qFormat/>
    <w:locked/>
    <w:uiPriority w:val="0"/>
    <w:rPr>
      <w:rFonts w:eastAsia="宋体"/>
      <w:kern w:val="2"/>
      <w:sz w:val="21"/>
      <w:szCs w:val="24"/>
      <w:lang w:val="en-US" w:eastAsia="zh-CN" w:bidi="ar-SA"/>
    </w:rPr>
  </w:style>
  <w:style w:type="character" w:customStyle="1" w:styleId="213">
    <w:name w:val="Char Char"/>
    <w:basedOn w:val="61"/>
    <w:qFormat/>
    <w:uiPriority w:val="0"/>
    <w:rPr>
      <w:rFonts w:ascii="宋体" w:hAnsi="Courier New" w:eastAsia="宋体"/>
      <w:kern w:val="2"/>
      <w:sz w:val="21"/>
      <w:lang w:val="en-US" w:eastAsia="zh-CN" w:bidi="ar-SA"/>
    </w:rPr>
  </w:style>
  <w:style w:type="character" w:customStyle="1" w:styleId="214">
    <w:name w:val="Heading 2 Hidden Char"/>
    <w:basedOn w:val="61"/>
    <w:qFormat/>
    <w:uiPriority w:val="0"/>
    <w:rPr>
      <w:rFonts w:ascii="Arial" w:hAnsi="Arial" w:eastAsia="黑体"/>
      <w:kern w:val="2"/>
      <w:sz w:val="32"/>
      <w:lang w:val="en-US" w:eastAsia="zh-CN" w:bidi="ar-SA"/>
    </w:rPr>
  </w:style>
  <w:style w:type="character" w:customStyle="1" w:styleId="215">
    <w:name w:val="Char Char7"/>
    <w:basedOn w:val="202"/>
    <w:qFormat/>
    <w:uiPriority w:val="0"/>
    <w:rPr>
      <w:rFonts w:ascii="仿宋_GB2312" w:eastAsia="仿宋_GB2312"/>
      <w:bCs/>
      <w:kern w:val="2"/>
      <w:sz w:val="28"/>
      <w:szCs w:val="28"/>
      <w:lang w:val="en-US" w:eastAsia="zh-CN" w:bidi="ar-SA"/>
    </w:rPr>
  </w:style>
  <w:style w:type="character" w:customStyle="1" w:styleId="216">
    <w:name w:val="Char Char18"/>
    <w:basedOn w:val="61"/>
    <w:qFormat/>
    <w:uiPriority w:val="0"/>
    <w:rPr>
      <w:rFonts w:eastAsia="宋体"/>
      <w:kern w:val="2"/>
      <w:sz w:val="24"/>
      <w:lang w:val="en-US" w:eastAsia="zh-CN" w:bidi="ar-SA"/>
    </w:rPr>
  </w:style>
  <w:style w:type="character" w:customStyle="1" w:styleId="217">
    <w:name w:val="Char Char15"/>
    <w:basedOn w:val="61"/>
    <w:qFormat/>
    <w:uiPriority w:val="0"/>
    <w:rPr>
      <w:rFonts w:ascii="楷体_GB2312" w:eastAsia="楷体_GB2312"/>
      <w:kern w:val="2"/>
      <w:sz w:val="28"/>
      <w:lang w:val="en-US" w:eastAsia="zh-CN" w:bidi="ar-SA"/>
    </w:rPr>
  </w:style>
  <w:style w:type="character" w:customStyle="1" w:styleId="218">
    <w:name w:val="font31"/>
    <w:basedOn w:val="61"/>
    <w:qFormat/>
    <w:uiPriority w:val="0"/>
    <w:rPr>
      <w:rFonts w:hint="default" w:ascii="Times New Roman" w:hAnsi="Times New Roman" w:cs="Times New Roman"/>
      <w:color w:val="000000"/>
      <w:sz w:val="20"/>
      <w:szCs w:val="20"/>
      <w:u w:val="none"/>
    </w:rPr>
  </w:style>
  <w:style w:type="character" w:customStyle="1" w:styleId="219">
    <w:name w:val="ss16"/>
    <w:basedOn w:val="61"/>
    <w:qFormat/>
    <w:uiPriority w:val="0"/>
    <w:rPr>
      <w:rFonts w:hint="eastAsia" w:ascii="宋体" w:hAnsi="宋体" w:eastAsia="宋体"/>
      <w:color w:val="000000"/>
      <w:sz w:val="18"/>
      <w:szCs w:val="18"/>
    </w:rPr>
  </w:style>
  <w:style w:type="character" w:customStyle="1" w:styleId="220">
    <w:name w:val="Char Char5"/>
    <w:basedOn w:val="61"/>
    <w:qFormat/>
    <w:uiPriority w:val="0"/>
    <w:rPr>
      <w:rFonts w:ascii="宋体" w:eastAsia="宋体"/>
      <w:kern w:val="2"/>
      <w:sz w:val="24"/>
      <w:lang w:val="en-US" w:eastAsia="zh-CN" w:bidi="ar-SA"/>
    </w:rPr>
  </w:style>
  <w:style w:type="character" w:customStyle="1" w:styleId="221">
    <w:name w:val="Char Char10"/>
    <w:basedOn w:val="61"/>
    <w:qFormat/>
    <w:uiPriority w:val="0"/>
    <w:rPr>
      <w:rFonts w:ascii="仿宋_GB2312" w:eastAsia="仿宋_GB2312"/>
      <w:kern w:val="2"/>
      <w:sz w:val="28"/>
      <w:szCs w:val="28"/>
      <w:lang w:val="en-US" w:eastAsia="zh-CN" w:bidi="ar-SA"/>
    </w:rPr>
  </w:style>
  <w:style w:type="character" w:customStyle="1" w:styleId="222">
    <w:name w:val="H5 Char"/>
    <w:basedOn w:val="61"/>
    <w:qFormat/>
    <w:uiPriority w:val="0"/>
    <w:rPr>
      <w:rFonts w:eastAsia="宋体"/>
      <w:kern w:val="2"/>
      <w:sz w:val="28"/>
      <w:lang w:val="en-US" w:eastAsia="zh-CN" w:bidi="ar-SA"/>
    </w:rPr>
  </w:style>
  <w:style w:type="character" w:customStyle="1" w:styleId="223">
    <w:name w:val="style321"/>
    <w:basedOn w:val="61"/>
    <w:qFormat/>
    <w:uiPriority w:val="0"/>
    <w:rPr>
      <w:bCs/>
      <w:color w:val="FF9900"/>
      <w:sz w:val="23"/>
      <w:szCs w:val="23"/>
    </w:rPr>
  </w:style>
  <w:style w:type="character" w:customStyle="1" w:styleId="224">
    <w:name w:val="特点 Char"/>
    <w:basedOn w:val="61"/>
    <w:qFormat/>
    <w:uiPriority w:val="0"/>
    <w:rPr>
      <w:rFonts w:eastAsia="宋体"/>
      <w:kern w:val="2"/>
      <w:sz w:val="21"/>
      <w:szCs w:val="24"/>
      <w:lang w:val="en-US" w:eastAsia="zh-CN" w:bidi="ar-SA"/>
    </w:rPr>
  </w:style>
  <w:style w:type="character" w:customStyle="1" w:styleId="225">
    <w:name w:val="text"/>
    <w:basedOn w:val="61"/>
    <w:qFormat/>
    <w:uiPriority w:val="0"/>
  </w:style>
  <w:style w:type="character" w:customStyle="1" w:styleId="226">
    <w:name w:val="页脚 Char"/>
    <w:basedOn w:val="61"/>
    <w:link w:val="39"/>
    <w:semiHidden/>
    <w:qFormat/>
    <w:locked/>
    <w:uiPriority w:val="0"/>
    <w:rPr>
      <w:rFonts w:eastAsia="宋体"/>
      <w:kern w:val="2"/>
      <w:sz w:val="21"/>
      <w:szCs w:val="24"/>
      <w:lang w:val="en-US" w:eastAsia="zh-CN" w:bidi="ar-SA"/>
    </w:rPr>
  </w:style>
  <w:style w:type="character" w:customStyle="1" w:styleId="227">
    <w:name w:val="font01"/>
    <w:basedOn w:val="61"/>
    <w:qFormat/>
    <w:uiPriority w:val="0"/>
    <w:rPr>
      <w:rFonts w:ascii="Times New Roman" w:hAnsi="Times New Roman" w:cs="Times New Roman"/>
      <w:color w:val="000000"/>
      <w:sz w:val="22"/>
      <w:szCs w:val="22"/>
      <w:u w:val="none"/>
    </w:rPr>
  </w:style>
  <w:style w:type="character" w:customStyle="1" w:styleId="228">
    <w:name w:val="EHPT Char"/>
    <w:basedOn w:val="61"/>
    <w:qFormat/>
    <w:uiPriority w:val="0"/>
    <w:rPr>
      <w:rFonts w:ascii="Calibri" w:hAnsi="Calibri" w:eastAsia="宋体"/>
      <w:kern w:val="2"/>
      <w:sz w:val="21"/>
      <w:szCs w:val="22"/>
      <w:lang w:val="en-US" w:eastAsia="zh-CN" w:bidi="ar-SA"/>
    </w:rPr>
  </w:style>
  <w:style w:type="character" w:customStyle="1" w:styleId="229">
    <w:name w:val="文字 Char Char"/>
    <w:basedOn w:val="61"/>
    <w:qFormat/>
    <w:uiPriority w:val="0"/>
    <w:rPr>
      <w:rFonts w:ascii="宋体" w:hAnsi="宋体" w:eastAsia="宋体"/>
      <w:kern w:val="2"/>
      <w:sz w:val="28"/>
      <w:lang w:val="en-US" w:eastAsia="zh-CN" w:bidi="ar-SA"/>
    </w:rPr>
  </w:style>
  <w:style w:type="character" w:customStyle="1" w:styleId="230">
    <w:name w:val="标题 Char"/>
    <w:qFormat/>
    <w:uiPriority w:val="0"/>
    <w:rPr>
      <w:rFonts w:ascii="Calibri Light" w:hAnsi="Calibri Light"/>
      <w:b/>
      <w:sz w:val="32"/>
    </w:rPr>
  </w:style>
  <w:style w:type="character" w:customStyle="1" w:styleId="231">
    <w:name w:val="Char Char6"/>
    <w:basedOn w:val="61"/>
    <w:qFormat/>
    <w:uiPriority w:val="0"/>
    <w:rPr>
      <w:rFonts w:ascii="仿宋_GB2312" w:eastAsia="仿宋_GB2312"/>
      <w:kern w:val="2"/>
      <w:sz w:val="18"/>
      <w:szCs w:val="18"/>
      <w:lang w:val="en-US" w:eastAsia="zh-CN" w:bidi="ar-SA"/>
    </w:rPr>
  </w:style>
  <w:style w:type="character" w:customStyle="1" w:styleId="232">
    <w:name w:val="正文文本 Char"/>
    <w:basedOn w:val="61"/>
    <w:link w:val="24"/>
    <w:qFormat/>
    <w:locked/>
    <w:uiPriority w:val="0"/>
    <w:rPr>
      <w:rFonts w:eastAsia="宋体"/>
      <w:kern w:val="2"/>
      <w:sz w:val="21"/>
      <w:szCs w:val="24"/>
      <w:lang w:val="en-US" w:eastAsia="zh-CN" w:bidi="ar-SA"/>
    </w:rPr>
  </w:style>
  <w:style w:type="character" w:customStyle="1" w:styleId="233">
    <w:name w:val="Char Char41"/>
    <w:basedOn w:val="61"/>
    <w:qFormat/>
    <w:uiPriority w:val="0"/>
    <w:rPr>
      <w:rFonts w:ascii="仿宋_GB2312" w:hAnsi="GulimChe" w:eastAsia="仿宋_GB2312"/>
      <w:color w:val="000000"/>
      <w:kern w:val="2"/>
      <w:sz w:val="24"/>
      <w:szCs w:val="24"/>
      <w:lang w:val="en-US" w:eastAsia="zh-CN" w:bidi="ar-SA"/>
    </w:rPr>
  </w:style>
  <w:style w:type="character" w:customStyle="1" w:styleId="234">
    <w:name w:val="font41"/>
    <w:basedOn w:val="61"/>
    <w:qFormat/>
    <w:uiPriority w:val="0"/>
    <w:rPr>
      <w:rFonts w:hint="eastAsia" w:ascii="宋体" w:hAnsi="宋体" w:eastAsia="宋体" w:cs="宋体"/>
      <w:color w:val="000000"/>
      <w:sz w:val="20"/>
      <w:szCs w:val="20"/>
      <w:u w:val="none"/>
    </w:rPr>
  </w:style>
  <w:style w:type="character" w:customStyle="1" w:styleId="235">
    <w:name w:val="bulletintext1"/>
    <w:basedOn w:val="61"/>
    <w:qFormat/>
    <w:uiPriority w:val="0"/>
    <w:rPr>
      <w:color w:val="000000"/>
      <w:sz w:val="18"/>
      <w:szCs w:val="18"/>
    </w:rPr>
  </w:style>
  <w:style w:type="character" w:customStyle="1" w:styleId="236">
    <w:name w:val="font81"/>
    <w:basedOn w:val="61"/>
    <w:qFormat/>
    <w:uiPriority w:val="0"/>
    <w:rPr>
      <w:rFonts w:hint="eastAsia" w:ascii="宋体" w:hAnsi="宋体" w:eastAsia="宋体"/>
      <w:color w:val="000000"/>
      <w:sz w:val="21"/>
      <w:szCs w:val="21"/>
      <w:u w:val="none"/>
    </w:rPr>
  </w:style>
  <w:style w:type="character" w:customStyle="1" w:styleId="237">
    <w:name w:val="f151"/>
    <w:basedOn w:val="61"/>
    <w:qFormat/>
    <w:uiPriority w:val="0"/>
    <w:rPr>
      <w:sz w:val="20"/>
      <w:szCs w:val="20"/>
    </w:rPr>
  </w:style>
  <w:style w:type="character" w:customStyle="1" w:styleId="238">
    <w:name w:val="Char Char Char Char Char Char Char"/>
    <w:basedOn w:val="61"/>
    <w:qFormat/>
    <w:uiPriority w:val="0"/>
    <w:rPr>
      <w:rFonts w:eastAsia="宋体"/>
      <w:kern w:val="2"/>
      <w:sz w:val="21"/>
      <w:szCs w:val="24"/>
      <w:lang w:val="en-US" w:eastAsia="zh-CN" w:bidi="ar-SA"/>
    </w:rPr>
  </w:style>
  <w:style w:type="character" w:customStyle="1" w:styleId="239">
    <w:name w:val="10zihong_cuhei1"/>
    <w:basedOn w:val="61"/>
    <w:qFormat/>
    <w:uiPriority w:val="0"/>
    <w:rPr>
      <w:rFonts w:hint="default" w:ascii="Verdana" w:hAnsi="Verdana"/>
      <w:bCs/>
      <w:color w:val="000000"/>
      <w:sz w:val="44"/>
      <w:szCs w:val="44"/>
      <w:u w:val="none"/>
    </w:rPr>
  </w:style>
  <w:style w:type="character" w:customStyle="1" w:styleId="240">
    <w:name w:val="apple-converted-space"/>
    <w:basedOn w:val="61"/>
    <w:qFormat/>
    <w:uiPriority w:val="0"/>
  </w:style>
  <w:style w:type="character" w:customStyle="1" w:styleId="241">
    <w:name w:val="14normal1"/>
    <w:basedOn w:val="61"/>
    <w:qFormat/>
    <w:uiPriority w:val="0"/>
    <w:rPr>
      <w:rFonts w:hint="default" w:ascii="ˎ̥" w:hAnsi="ˎ̥"/>
      <w:color w:val="000000"/>
      <w:sz w:val="21"/>
      <w:szCs w:val="21"/>
    </w:rPr>
  </w:style>
  <w:style w:type="character" w:customStyle="1" w:styleId="242">
    <w:name w:val="www序号1) Char Char"/>
    <w:basedOn w:val="61"/>
    <w:qFormat/>
    <w:uiPriority w:val="0"/>
    <w:rPr>
      <w:rFonts w:ascii="仿宋_GB2312" w:eastAsia="仿宋_GB2312"/>
      <w:kern w:val="2"/>
      <w:sz w:val="24"/>
      <w:szCs w:val="28"/>
      <w:lang w:val="en-US" w:eastAsia="zh-CN" w:bidi="ar-SA"/>
    </w:rPr>
  </w:style>
  <w:style w:type="character" w:customStyle="1" w:styleId="243">
    <w:name w:val="标题 3 Char Char"/>
    <w:basedOn w:val="61"/>
    <w:qFormat/>
    <w:uiPriority w:val="0"/>
    <w:rPr>
      <w:rFonts w:ascii="宋体" w:hAnsi="宋体" w:eastAsia="宋体"/>
      <w:color w:val="666666"/>
      <w:kern w:val="2"/>
      <w:sz w:val="28"/>
      <w:szCs w:val="28"/>
      <w:lang w:val="en-US" w:eastAsia="zh-CN" w:bidi="ar-SA"/>
    </w:rPr>
  </w:style>
  <w:style w:type="character" w:customStyle="1" w:styleId="244">
    <w:name w:val="标题 2 Char"/>
    <w:link w:val="4"/>
    <w:qFormat/>
    <w:uiPriority w:val="0"/>
    <w:rPr>
      <w:rFonts w:ascii="宋体" w:hAnsi="宋体" w:eastAsia="仿宋_GB2312"/>
      <w:bCs/>
      <w:kern w:val="2"/>
      <w:sz w:val="28"/>
      <w:szCs w:val="32"/>
      <w:lang w:val="en-US" w:eastAsia="zh-CN" w:bidi="ar-SA"/>
    </w:rPr>
  </w:style>
  <w:style w:type="character" w:customStyle="1" w:styleId="245">
    <w:name w:val="bei2"/>
    <w:basedOn w:val="61"/>
    <w:qFormat/>
    <w:uiPriority w:val="0"/>
  </w:style>
  <w:style w:type="character" w:customStyle="1" w:styleId="246">
    <w:name w:val="日期 Char Char"/>
    <w:basedOn w:val="61"/>
    <w:qFormat/>
    <w:uiPriority w:val="0"/>
    <w:rPr>
      <w:rFonts w:ascii="楷体_GB2312" w:eastAsia="楷体_GB2312"/>
      <w:kern w:val="2"/>
      <w:sz w:val="28"/>
      <w:lang w:val="en-US" w:eastAsia="zh-CN" w:bidi="ar-SA"/>
    </w:rPr>
  </w:style>
  <w:style w:type="character" w:customStyle="1" w:styleId="247">
    <w:name w:val="PI Char1"/>
    <w:basedOn w:val="61"/>
    <w:qFormat/>
    <w:uiPriority w:val="0"/>
    <w:rPr>
      <w:rFonts w:ascii="仿宋_GB2312" w:eastAsia="仿宋_GB2312"/>
      <w:kern w:val="2"/>
      <w:sz w:val="28"/>
      <w:szCs w:val="28"/>
      <w:lang w:val="zh-CN" w:eastAsia="zh-CN" w:bidi="ar-SA"/>
    </w:rPr>
  </w:style>
  <w:style w:type="character" w:customStyle="1" w:styleId="248">
    <w:name w:val="批注文字 Char"/>
    <w:basedOn w:val="61"/>
    <w:link w:val="21"/>
    <w:qFormat/>
    <w:uiPriority w:val="0"/>
    <w:rPr>
      <w:rFonts w:hint="default" w:ascii="Times New Roman" w:hAnsi="Times New Roman" w:eastAsia="宋体" w:cs="Times New Roman"/>
      <w:kern w:val="2"/>
      <w:sz w:val="21"/>
      <w:szCs w:val="21"/>
    </w:rPr>
  </w:style>
  <w:style w:type="character" w:customStyle="1" w:styleId="249">
    <w:name w:val="font71"/>
    <w:basedOn w:val="61"/>
    <w:qFormat/>
    <w:uiPriority w:val="0"/>
    <w:rPr>
      <w:rFonts w:hint="eastAsia" w:ascii="宋体" w:hAnsi="宋体" w:eastAsia="宋体" w:cs="宋体"/>
      <w:color w:val="000000"/>
      <w:sz w:val="20"/>
      <w:szCs w:val="20"/>
      <w:u w:val="none"/>
    </w:rPr>
  </w:style>
  <w:style w:type="character" w:customStyle="1" w:styleId="250">
    <w:name w:val="font"/>
    <w:basedOn w:val="61"/>
    <w:qFormat/>
    <w:uiPriority w:val="0"/>
  </w:style>
  <w:style w:type="character" w:customStyle="1" w:styleId="251">
    <w:name w:val="font111"/>
    <w:basedOn w:val="61"/>
    <w:qFormat/>
    <w:uiPriority w:val="0"/>
    <w:rPr>
      <w:rFonts w:hint="eastAsia" w:ascii="宋体" w:hAnsi="宋体" w:eastAsia="宋体" w:cs="宋体"/>
      <w:color w:val="DD0806"/>
      <w:sz w:val="20"/>
      <w:szCs w:val="20"/>
      <w:u w:val="none"/>
    </w:rPr>
  </w:style>
  <w:style w:type="character" w:customStyle="1" w:styleId="252">
    <w:name w:val="H6 Char"/>
    <w:basedOn w:val="61"/>
    <w:qFormat/>
    <w:uiPriority w:val="0"/>
    <w:rPr>
      <w:rFonts w:ascii="Arial" w:hAnsi="Arial" w:eastAsia="黑体"/>
      <w:kern w:val="2"/>
      <w:sz w:val="24"/>
      <w:lang w:val="en-US" w:eastAsia="zh-CN" w:bidi="ar-SA"/>
    </w:rPr>
  </w:style>
  <w:style w:type="character" w:customStyle="1" w:styleId="253">
    <w:name w:val="bullet Char"/>
    <w:basedOn w:val="61"/>
    <w:qFormat/>
    <w:uiPriority w:val="0"/>
    <w:rPr>
      <w:rFonts w:ascii="Arial" w:hAnsi="Arial" w:eastAsia="黑体"/>
      <w:kern w:val="2"/>
      <w:sz w:val="28"/>
      <w:lang w:val="en-US" w:eastAsia="zh-CN" w:bidi="ar-SA"/>
    </w:rPr>
  </w:style>
  <w:style w:type="character" w:customStyle="1" w:styleId="254">
    <w:name w:val="Char Char14"/>
    <w:basedOn w:val="61"/>
    <w:qFormat/>
    <w:uiPriority w:val="0"/>
    <w:rPr>
      <w:rFonts w:ascii="宋体" w:hAnsi="Courier New" w:eastAsia="宋体"/>
      <w:kern w:val="2"/>
      <w:sz w:val="21"/>
      <w:lang w:val="en-US" w:eastAsia="zh-CN" w:bidi="ar-SA"/>
    </w:rPr>
  </w:style>
  <w:style w:type="character" w:customStyle="1" w:styleId="255">
    <w:name w:val="Char Char3"/>
    <w:basedOn w:val="61"/>
    <w:qFormat/>
    <w:uiPriority w:val="0"/>
    <w:rPr>
      <w:rFonts w:eastAsia="宋体"/>
      <w:sz w:val="16"/>
      <w:szCs w:val="16"/>
      <w:lang w:val="en-US" w:eastAsia="zh-CN" w:bidi="ar-SA"/>
    </w:rPr>
  </w:style>
  <w:style w:type="character" w:customStyle="1" w:styleId="256">
    <w:name w:val="left1"/>
    <w:basedOn w:val="61"/>
    <w:qFormat/>
    <w:uiPriority w:val="0"/>
    <w:rPr>
      <w:sz w:val="18"/>
      <w:szCs w:val="18"/>
    </w:rPr>
  </w:style>
  <w:style w:type="character" w:customStyle="1" w:styleId="257">
    <w:name w:val="页眉 Char1"/>
    <w:basedOn w:val="61"/>
    <w:link w:val="40"/>
    <w:semiHidden/>
    <w:qFormat/>
    <w:locked/>
    <w:uiPriority w:val="0"/>
    <w:rPr>
      <w:rFonts w:eastAsia="宋体"/>
      <w:kern w:val="2"/>
      <w:sz w:val="21"/>
      <w:szCs w:val="24"/>
      <w:lang w:val="en-US" w:eastAsia="zh-CN" w:bidi="ar-SA"/>
    </w:rPr>
  </w:style>
  <w:style w:type="character" w:customStyle="1" w:styleId="258">
    <w:name w:val="纯文本 Char"/>
    <w:basedOn w:val="61"/>
    <w:qFormat/>
    <w:uiPriority w:val="0"/>
    <w:rPr>
      <w:rFonts w:ascii="宋体" w:hAnsi="Courier New" w:eastAsia="宋体"/>
      <w:kern w:val="2"/>
      <w:sz w:val="21"/>
      <w:lang w:val="en-US" w:eastAsia="zh-CN"/>
    </w:rPr>
  </w:style>
  <w:style w:type="character" w:customStyle="1" w:styleId="259">
    <w:name w:val="正文文本缩进 Char1"/>
    <w:basedOn w:val="61"/>
    <w:semiHidden/>
    <w:qFormat/>
    <w:locked/>
    <w:uiPriority w:val="0"/>
    <w:rPr>
      <w:rFonts w:ascii="宋体" w:cs="Times New Roman"/>
      <w:sz w:val="34"/>
    </w:rPr>
  </w:style>
  <w:style w:type="character" w:customStyle="1" w:styleId="260">
    <w:name w:val="Char Char1"/>
    <w:basedOn w:val="61"/>
    <w:qFormat/>
    <w:uiPriority w:val="0"/>
    <w:rPr>
      <w:rFonts w:ascii="Arial" w:hAnsi="Arial" w:eastAsia="仿宋_GB2312"/>
      <w:sz w:val="36"/>
      <w:lang w:val="en-US" w:eastAsia="en-US" w:bidi="ar-SA"/>
    </w:rPr>
  </w:style>
  <w:style w:type="character" w:customStyle="1" w:styleId="261">
    <w:name w:val="普通文字 Char Char4"/>
    <w:basedOn w:val="61"/>
    <w:qFormat/>
    <w:uiPriority w:val="0"/>
    <w:rPr>
      <w:rFonts w:ascii="宋体" w:hAnsi="Courier New" w:eastAsia="宋体"/>
      <w:sz w:val="21"/>
      <w:lang w:val="en-US" w:eastAsia="zh-CN" w:bidi="ar-SA"/>
    </w:rPr>
  </w:style>
  <w:style w:type="character" w:customStyle="1" w:styleId="262">
    <w:name w:val="large1"/>
    <w:basedOn w:val="61"/>
    <w:qFormat/>
    <w:uiPriority w:val="0"/>
    <w:rPr>
      <w:rFonts w:hint="eastAsia" w:ascii="宋体" w:hAnsi="宋体" w:eastAsia="宋体"/>
      <w:sz w:val="21"/>
      <w:szCs w:val="21"/>
    </w:rPr>
  </w:style>
  <w:style w:type="character" w:customStyle="1" w:styleId="263">
    <w:name w:val="h1 Char"/>
    <w:basedOn w:val="61"/>
    <w:qFormat/>
    <w:uiPriority w:val="0"/>
    <w:rPr>
      <w:rFonts w:eastAsia="仿宋_GB2312"/>
      <w:kern w:val="44"/>
      <w:sz w:val="44"/>
      <w:lang w:val="en-US" w:eastAsia="zh-CN" w:bidi="ar-SA"/>
    </w:rPr>
  </w:style>
  <w:style w:type="character" w:customStyle="1" w:styleId="264">
    <w:name w:val="标题 Char1"/>
    <w:basedOn w:val="61"/>
    <w:link w:val="55"/>
    <w:qFormat/>
    <w:locked/>
    <w:uiPriority w:val="0"/>
    <w:rPr>
      <w:rFonts w:ascii="Arial" w:hAnsi="Arial" w:eastAsia="仿宋_GB2312"/>
      <w:kern w:val="2"/>
      <w:sz w:val="36"/>
      <w:szCs w:val="24"/>
      <w:lang w:val="en-US" w:eastAsia="en-US" w:bidi="ar-SA"/>
    </w:rPr>
  </w:style>
  <w:style w:type="character" w:customStyle="1" w:styleId="265">
    <w:name w:val="b titlename wangputoptitle"/>
    <w:basedOn w:val="61"/>
    <w:qFormat/>
    <w:uiPriority w:val="0"/>
  </w:style>
  <w:style w:type="character" w:customStyle="1" w:styleId="266">
    <w:name w:val="标题 2 Char Char"/>
    <w:basedOn w:val="61"/>
    <w:qFormat/>
    <w:uiPriority w:val="0"/>
    <w:rPr>
      <w:rFonts w:ascii="宋体" w:hAnsi="宋体" w:eastAsia="黑体"/>
      <w:bCs/>
      <w:kern w:val="2"/>
      <w:sz w:val="24"/>
      <w:szCs w:val="32"/>
      <w:lang w:val="en-US" w:eastAsia="zh-CN" w:bidi="ar-SA"/>
    </w:rPr>
  </w:style>
  <w:style w:type="character" w:customStyle="1" w:styleId="267">
    <w:name w:val="PI Char2"/>
    <w:basedOn w:val="61"/>
    <w:qFormat/>
    <w:uiPriority w:val="0"/>
    <w:rPr>
      <w:rFonts w:ascii="仿宋_GB2312" w:eastAsia="仿宋_GB2312"/>
      <w:kern w:val="2"/>
      <w:sz w:val="28"/>
      <w:szCs w:val="28"/>
      <w:lang w:val="zh-CN" w:eastAsia="zh-CN" w:bidi="ar-SA"/>
    </w:rPr>
  </w:style>
  <w:style w:type="character" w:customStyle="1" w:styleId="268">
    <w:name w:val="font1"/>
    <w:basedOn w:val="61"/>
    <w:qFormat/>
    <w:uiPriority w:val="0"/>
    <w:rPr>
      <w:color w:val="333333"/>
      <w:sz w:val="18"/>
      <w:szCs w:val="18"/>
      <w:u w:val="none"/>
    </w:rPr>
  </w:style>
  <w:style w:type="character" w:customStyle="1" w:styleId="269">
    <w:name w:val="番茄花园"/>
    <w:basedOn w:val="61"/>
    <w:qFormat/>
    <w:uiPriority w:val="0"/>
    <w:rPr>
      <w:rFonts w:ascii="Arial" w:hAnsi="Arial" w:eastAsia="宋体" w:cs="Arial"/>
      <w:color w:val="000080"/>
      <w:sz w:val="18"/>
      <w:szCs w:val="20"/>
    </w:rPr>
  </w:style>
  <w:style w:type="paragraph" w:customStyle="1" w:styleId="270">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27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2">
    <w:name w:val="font21"/>
    <w:basedOn w:val="61"/>
    <w:qFormat/>
    <w:uiPriority w:val="0"/>
    <w:rPr>
      <w:rFonts w:hint="eastAsia" w:ascii="宋体" w:hAnsi="宋体" w:eastAsia="宋体" w:cs="宋体"/>
      <w:color w:val="000000"/>
      <w:sz w:val="24"/>
      <w:szCs w:val="24"/>
      <w:u w:val="none"/>
    </w:rPr>
  </w:style>
  <w:style w:type="character" w:customStyle="1" w:styleId="273">
    <w:name w:val="标题 1 Char"/>
    <w:basedOn w:val="61"/>
    <w:link w:val="3"/>
    <w:qFormat/>
    <w:uiPriority w:val="0"/>
    <w:rPr>
      <w:rFonts w:hint="eastAsia" w:ascii="宋体" w:hAnsi="宋体" w:eastAsia="宋体" w:cs="宋体"/>
      <w:kern w:val="44"/>
      <w:sz w:val="24"/>
      <w:szCs w:val="44"/>
    </w:rPr>
  </w:style>
  <w:style w:type="character" w:customStyle="1" w:styleId="274">
    <w:name w:val="标题 3 Char"/>
    <w:basedOn w:val="61"/>
    <w:link w:val="5"/>
    <w:qFormat/>
    <w:uiPriority w:val="0"/>
    <w:rPr>
      <w:rFonts w:hint="eastAsia" w:ascii="宋体" w:hAnsi="宋体" w:eastAsia="宋体" w:cs="宋体"/>
      <w:kern w:val="2"/>
      <w:sz w:val="21"/>
      <w:szCs w:val="32"/>
    </w:rPr>
  </w:style>
  <w:style w:type="paragraph" w:customStyle="1" w:styleId="275">
    <w:name w:val="列出段落3"/>
    <w:basedOn w:val="1"/>
    <w:qFormat/>
    <w:uiPriority w:val="99"/>
    <w:pPr>
      <w:ind w:firstLine="420" w:firstLineChars="200"/>
    </w:pPr>
  </w:style>
  <w:style w:type="paragraph" w:customStyle="1" w:styleId="276">
    <w:name w:val="列出段落4"/>
    <w:basedOn w:val="1"/>
    <w:link w:val="278"/>
    <w:qFormat/>
    <w:uiPriority w:val="34"/>
    <w:pPr>
      <w:ind w:firstLine="420" w:firstLineChars="200"/>
    </w:pPr>
  </w:style>
  <w:style w:type="character" w:customStyle="1" w:styleId="277">
    <w:name w:val="页眉 Char"/>
    <w:qFormat/>
    <w:uiPriority w:val="0"/>
    <w:rPr>
      <w:rFonts w:eastAsia="宋体"/>
      <w:kern w:val="2"/>
      <w:sz w:val="18"/>
      <w:lang w:val="en-US" w:eastAsia="zh-CN" w:bidi="ar-SA"/>
    </w:rPr>
  </w:style>
  <w:style w:type="character" w:customStyle="1" w:styleId="278">
    <w:name w:val="列出段落 字符"/>
    <w:basedOn w:val="61"/>
    <w:link w:val="276"/>
    <w:qFormat/>
    <w:uiPriority w:val="34"/>
    <w:rPr>
      <w:rFonts w:cs="Times New Roman"/>
      <w:kern w:val="2"/>
      <w:sz w:val="21"/>
      <w:szCs w:val="24"/>
    </w:rPr>
  </w:style>
  <w:style w:type="character" w:customStyle="1" w:styleId="279">
    <w:name w:val="font11"/>
    <w:basedOn w:val="61"/>
    <w:qFormat/>
    <w:uiPriority w:val="0"/>
    <w:rPr>
      <w:rFonts w:hint="eastAsia" w:ascii="宋体" w:hAnsi="宋体" w:eastAsia="宋体" w:cs="宋体"/>
      <w:color w:val="000000"/>
      <w:sz w:val="20"/>
      <w:szCs w:val="20"/>
      <w:u w:val="none"/>
    </w:rPr>
  </w:style>
  <w:style w:type="character" w:customStyle="1" w:styleId="280">
    <w:name w:val="font61"/>
    <w:basedOn w:val="61"/>
    <w:qFormat/>
    <w:uiPriority w:val="0"/>
    <w:rPr>
      <w:rFonts w:hint="default" w:ascii="Times New Roman" w:hAnsi="Times New Roman" w:cs="Times New Roman"/>
      <w:color w:val="000000"/>
      <w:sz w:val="20"/>
      <w:szCs w:val="20"/>
      <w:u w:val="none"/>
    </w:rPr>
  </w:style>
  <w:style w:type="character" w:customStyle="1" w:styleId="281">
    <w:name w:val="font51"/>
    <w:basedOn w:val="61"/>
    <w:qFormat/>
    <w:uiPriority w:val="0"/>
    <w:rPr>
      <w:rFonts w:hint="eastAsia" w:ascii="宋体" w:hAnsi="宋体" w:eastAsia="宋体" w:cs="宋体"/>
      <w:color w:val="000000"/>
      <w:sz w:val="20"/>
      <w:szCs w:val="20"/>
      <w:u w:val="none"/>
    </w:rPr>
  </w:style>
  <w:style w:type="character" w:customStyle="1" w:styleId="282">
    <w:name w:val="font101"/>
    <w:basedOn w:val="61"/>
    <w:qFormat/>
    <w:uiPriority w:val="0"/>
    <w:rPr>
      <w:rFonts w:hint="eastAsia" w:ascii="宋体" w:hAnsi="宋体" w:eastAsia="宋体" w:cs="宋体"/>
      <w:color w:val="000000"/>
      <w:sz w:val="18"/>
      <w:szCs w:val="18"/>
      <w:u w:val="none"/>
    </w:rPr>
  </w:style>
  <w:style w:type="character" w:customStyle="1" w:styleId="283">
    <w:name w:val="font91"/>
    <w:basedOn w:val="61"/>
    <w:qFormat/>
    <w:uiPriority w:val="0"/>
    <w:rPr>
      <w:rFonts w:hint="default" w:ascii="Times New Roman" w:hAnsi="Times New Roman" w:cs="Times New Roman"/>
      <w:color w:val="000000"/>
      <w:sz w:val="18"/>
      <w:szCs w:val="18"/>
      <w:u w:val="none"/>
    </w:rPr>
  </w:style>
  <w:style w:type="character" w:customStyle="1" w:styleId="284">
    <w:name w:val="标题 2 Char1"/>
    <w:link w:val="4"/>
    <w:qFormat/>
    <w:uiPriority w:val="0"/>
    <w:rPr>
      <w:rFonts w:ascii="Arial" w:hAnsi="Arial" w:eastAsia="黑体"/>
      <w:b/>
      <w:sz w:val="32"/>
    </w:rPr>
  </w:style>
  <w:style w:type="character" w:customStyle="1" w:styleId="285">
    <w:name w:val="标题 1 Char Char"/>
    <w:basedOn w:val="61"/>
    <w:qFormat/>
    <w:uiPriority w:val="99"/>
    <w:rPr>
      <w:rFonts w:eastAsia="宋体"/>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1"/>
    <customShpInfo spid="_x0000_s2050"/>
    <customShpInfo spid="_x0000_s2053"/>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51</Pages>
  <Words>4741</Words>
  <Characters>27027</Characters>
  <Lines>225</Lines>
  <Paragraphs>63</Paragraphs>
  <TotalTime>19</TotalTime>
  <ScaleCrop>false</ScaleCrop>
  <LinksUpToDate>false</LinksUpToDate>
  <CharactersWithSpaces>31705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2019-08-28T09:19:00Z</dcterms:created>
  <dc:creator>MC SYSTEM</dc:creator>
  <cp:lastModifiedBy>Administrator</cp:lastModifiedBy>
  <cp:lastPrinted>2020-05-06T02:38:00Z</cp:lastPrinted>
  <dcterms:modified xsi:type="dcterms:W3CDTF">2021-04-27T00:53:02Z</dcterms:modified>
  <dc:title>绍兴市房地产管理处存储、备份及网络系统项目招标文件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32EAF7C24DAE45ED89A0DA5FCF4F3831</vt:lpwstr>
  </property>
</Properties>
</file>