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spacing w:line="360" w:lineRule="auto"/>
        <w:jc w:val="center"/>
        <w:rPr>
          <w:rFonts w:hint="eastAsia" w:ascii="新宋体" w:hAnsi="新宋体" w:eastAsia="新宋体" w:cs="新宋体"/>
          <w:b/>
          <w:bCs/>
          <w:sz w:val="44"/>
          <w:szCs w:val="44"/>
          <w:highlight w:val="none"/>
          <w:lang w:eastAsia="zh-CN"/>
        </w:rPr>
      </w:pPr>
      <w:r>
        <w:rPr>
          <w:rFonts w:hint="eastAsia" w:ascii="新宋体" w:hAnsi="新宋体" w:eastAsia="新宋体" w:cs="新宋体"/>
          <w:b/>
          <w:bCs/>
          <w:sz w:val="44"/>
          <w:szCs w:val="44"/>
          <w:highlight w:val="none"/>
          <w:lang w:eastAsia="zh-CN"/>
        </w:rPr>
        <w:t>永康市公安局城市大脑畅行丽州-协同应用项目</w:t>
      </w:r>
    </w:p>
    <w:p>
      <w:pPr>
        <w:widowControl w:val="0"/>
        <w:tabs>
          <w:tab w:val="center" w:pos="4677"/>
          <w:tab w:val="left" w:pos="7365"/>
        </w:tabs>
        <w:spacing w:line="360" w:lineRule="auto"/>
        <w:jc w:val="center"/>
        <w:rPr>
          <w:rFonts w:hint="eastAsia" w:ascii="新宋体" w:hAnsi="新宋体" w:eastAsia="新宋体" w:cs="Times New Roman"/>
          <w:b/>
          <w:bCs/>
          <w:sz w:val="44"/>
          <w:szCs w:val="44"/>
          <w:highlight w:val="none"/>
        </w:rPr>
      </w:pPr>
      <w:r>
        <w:rPr>
          <w:rFonts w:hint="eastAsia" w:ascii="新宋体" w:hAnsi="新宋体" w:eastAsia="新宋体" w:cs="新宋体"/>
          <w:b/>
          <w:bCs/>
          <w:sz w:val="44"/>
          <w:szCs w:val="44"/>
          <w:highlight w:val="none"/>
          <w:lang w:eastAsia="zh-CN"/>
        </w:rPr>
        <w:t>（2021年一期）</w:t>
      </w:r>
      <w:r>
        <w:rPr>
          <w:rFonts w:hint="eastAsia" w:ascii="新宋体" w:hAnsi="新宋体" w:eastAsia="新宋体" w:cs="新宋体"/>
          <w:b/>
          <w:bCs/>
          <w:sz w:val="44"/>
          <w:szCs w:val="44"/>
          <w:highlight w:val="none"/>
          <w:lang w:val="en-US" w:eastAsia="zh-CN"/>
        </w:rPr>
        <w:t>前端</w:t>
      </w:r>
      <w:r>
        <w:rPr>
          <w:rFonts w:hint="eastAsia" w:ascii="新宋体" w:hAnsi="新宋体" w:eastAsia="新宋体" w:cs="新宋体"/>
          <w:b/>
          <w:bCs/>
          <w:sz w:val="44"/>
          <w:szCs w:val="44"/>
          <w:highlight w:val="none"/>
          <w:lang w:eastAsia="zh-CN"/>
        </w:rPr>
        <w:t>系统</w:t>
      </w:r>
      <w:r>
        <w:rPr>
          <w:rFonts w:hint="eastAsia" w:ascii="新宋体" w:hAnsi="新宋体" w:eastAsia="新宋体" w:cs="新宋体"/>
          <w:b/>
          <w:bCs/>
          <w:sz w:val="44"/>
          <w:szCs w:val="44"/>
          <w:highlight w:val="none"/>
          <w:lang w:val="en-US" w:eastAsia="zh-CN"/>
        </w:rPr>
        <w:t>建设</w:t>
      </w:r>
      <w:r>
        <w:rPr>
          <w:rFonts w:hint="eastAsia" w:ascii="新宋体" w:hAnsi="新宋体" w:eastAsia="新宋体" w:cs="新宋体"/>
          <w:b/>
          <w:bCs/>
          <w:sz w:val="44"/>
          <w:szCs w:val="44"/>
          <w:highlight w:val="none"/>
          <w:lang w:eastAsia="zh-CN"/>
        </w:rPr>
        <w:t>项目</w:t>
      </w:r>
    </w:p>
    <w:p>
      <w:pPr>
        <w:widowControl w:val="0"/>
        <w:tabs>
          <w:tab w:val="center" w:pos="4677"/>
          <w:tab w:val="left" w:pos="7365"/>
        </w:tabs>
        <w:jc w:val="center"/>
        <w:rPr>
          <w:rFonts w:ascii="Calibri" w:hAnsi="Calibri" w:cs="Times New Roman"/>
          <w:b/>
          <w:bCs/>
          <w:sz w:val="52"/>
          <w:szCs w:val="52"/>
          <w:highlight w:val="none"/>
        </w:rPr>
      </w:pPr>
    </w:p>
    <w:p>
      <w:pPr>
        <w:widowControl w:val="0"/>
        <w:tabs>
          <w:tab w:val="center" w:pos="4677"/>
          <w:tab w:val="left" w:pos="7365"/>
        </w:tabs>
        <w:jc w:val="center"/>
        <w:rPr>
          <w:rFonts w:ascii="黑体" w:hAnsi="Calibri" w:eastAsia="黑体" w:cs="Times New Roman"/>
          <w:b/>
          <w:bCs/>
          <w:sz w:val="72"/>
          <w:szCs w:val="72"/>
          <w:highlight w:val="none"/>
        </w:rPr>
      </w:pPr>
      <w:r>
        <w:rPr>
          <w:rFonts w:hint="eastAsia" w:ascii="黑体" w:hAnsi="Calibri" w:eastAsia="黑体" w:cs="黑体"/>
          <w:b/>
          <w:bCs/>
          <w:sz w:val="72"/>
          <w:szCs w:val="72"/>
          <w:highlight w:val="none"/>
        </w:rPr>
        <w:t>招标文件</w:t>
      </w:r>
    </w:p>
    <w:p>
      <w:pPr>
        <w:widowControl w:val="0"/>
        <w:ind w:firstLine="1928" w:firstLineChars="600"/>
        <w:rPr>
          <w:rFonts w:hint="eastAsia" w:ascii="宋体" w:cs="宋体"/>
          <w:b/>
          <w:bCs/>
          <w:sz w:val="32"/>
          <w:szCs w:val="32"/>
          <w:highlight w:val="none"/>
        </w:rPr>
      </w:pPr>
    </w:p>
    <w:p>
      <w:pPr>
        <w:widowControl w:val="0"/>
        <w:ind w:firstLine="1928" w:firstLineChars="600"/>
        <w:rPr>
          <w:rFonts w:hint="default" w:ascii="Calibri" w:hAnsi="Calibri" w:eastAsia="宋体" w:cs="Times New Roman"/>
          <w:b/>
          <w:bCs/>
          <w:sz w:val="32"/>
          <w:szCs w:val="32"/>
          <w:highlight w:val="none"/>
          <w:lang w:val="en-US" w:eastAsia="zh-CN"/>
        </w:rPr>
      </w:pPr>
      <w:r>
        <w:rPr>
          <w:rFonts w:hint="eastAsia" w:ascii="宋体" w:cs="宋体"/>
          <w:b/>
          <w:bCs/>
          <w:sz w:val="32"/>
          <w:szCs w:val="32"/>
          <w:highlight w:val="none"/>
        </w:rPr>
        <w:t>采购编号：1106012022004-CJCG22032</w:t>
      </w:r>
    </w:p>
    <w:p>
      <w:pPr>
        <w:widowControl w:val="0"/>
        <w:jc w:val="center"/>
        <w:rPr>
          <w:rFonts w:ascii="Calibri" w:hAnsi="Calibri" w:cs="Times New Roman"/>
          <w:b/>
          <w:bCs/>
          <w:color w:val="FF0000"/>
          <w:sz w:val="32"/>
          <w:szCs w:val="32"/>
          <w:highlight w:val="none"/>
        </w:rPr>
      </w:pPr>
    </w:p>
    <w:p>
      <w:pPr>
        <w:widowControl w:val="0"/>
        <w:jc w:val="center"/>
        <w:rPr>
          <w:rFonts w:ascii="宋体" w:hAnsi="Calibri" w:cs="Times New Roman"/>
          <w:b/>
          <w:bCs/>
          <w:sz w:val="36"/>
          <w:szCs w:val="36"/>
          <w:highlight w:val="none"/>
        </w:rPr>
      </w:pPr>
      <w:r>
        <w:rPr>
          <w:rFonts w:hint="eastAsia" w:ascii="宋体"/>
          <w:b/>
          <w:bCs/>
          <w:sz w:val="32"/>
          <w:highlight w:val="none"/>
        </w:rPr>
        <w:drawing>
          <wp:inline distT="0" distB="0" distL="114300" distR="114300">
            <wp:extent cx="3985260" cy="3685540"/>
            <wp:effectExtent l="0" t="0" r="2540" b="10160"/>
            <wp:docPr id="2" name="图片 1"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059076-1"/>
                    <pic:cNvPicPr>
                      <a:picLocks noChangeAspect="1"/>
                    </pic:cNvPicPr>
                  </pic:nvPicPr>
                  <pic:blipFill>
                    <a:blip r:embed="rId9"/>
                    <a:stretch>
                      <a:fillRect/>
                    </a:stretch>
                  </pic:blipFill>
                  <pic:spPr>
                    <a:xfrm>
                      <a:off x="0" y="0"/>
                      <a:ext cx="3985260" cy="3685540"/>
                    </a:xfrm>
                    <a:prstGeom prst="rect">
                      <a:avLst/>
                    </a:prstGeom>
                    <a:noFill/>
                    <a:ln>
                      <a:noFill/>
                    </a:ln>
                  </pic:spPr>
                </pic:pic>
              </a:graphicData>
            </a:graphic>
          </wp:inline>
        </w:drawing>
      </w:r>
    </w:p>
    <w:p>
      <w:pPr>
        <w:widowControl w:val="0"/>
        <w:jc w:val="both"/>
        <w:rPr>
          <w:rFonts w:ascii="宋体" w:hAnsi="Calibri" w:cs="Times New Roman"/>
          <w:b/>
          <w:bCs/>
          <w:sz w:val="36"/>
          <w:szCs w:val="36"/>
          <w:highlight w:val="none"/>
        </w:rPr>
      </w:pPr>
    </w:p>
    <w:p>
      <w:pPr>
        <w:widowControl w:val="0"/>
        <w:rPr>
          <w:rFonts w:ascii="宋体" w:hAnsi="Calibri" w:cs="Times New Roman"/>
          <w:b/>
          <w:bCs/>
          <w:sz w:val="36"/>
          <w:szCs w:val="36"/>
          <w:highlight w:val="none"/>
        </w:rPr>
      </w:pPr>
    </w:p>
    <w:p>
      <w:pPr>
        <w:widowControl w:val="0"/>
        <w:ind w:firstLine="1807" w:firstLineChars="500"/>
        <w:rPr>
          <w:rFonts w:hint="eastAsia" w:ascii="仿宋_GB2312" w:hAnsi="华文仿宋" w:eastAsia="仿宋_GB2312" w:cs="Times New Roman"/>
          <w:b/>
          <w:bCs/>
          <w:sz w:val="36"/>
          <w:szCs w:val="36"/>
          <w:highlight w:val="none"/>
          <w:lang w:eastAsia="zh-CN"/>
        </w:rPr>
      </w:pPr>
      <w:r>
        <w:rPr>
          <w:rFonts w:hint="eastAsia" w:ascii="仿宋_GB2312" w:hAnsi="华文仿宋" w:eastAsia="仿宋_GB2312" w:cs="仿宋_GB2312"/>
          <w:b/>
          <w:bCs/>
          <w:sz w:val="36"/>
          <w:szCs w:val="36"/>
          <w:highlight w:val="none"/>
        </w:rPr>
        <w:t>采购人：</w:t>
      </w:r>
      <w:r>
        <w:rPr>
          <w:rFonts w:hint="eastAsia" w:ascii="仿宋_GB2312" w:hAnsi="华文仿宋" w:eastAsia="仿宋_GB2312" w:cs="仿宋_GB2312"/>
          <w:b/>
          <w:bCs/>
          <w:sz w:val="36"/>
          <w:szCs w:val="36"/>
          <w:highlight w:val="none"/>
          <w:lang w:eastAsia="zh-CN"/>
        </w:rPr>
        <w:t>永康市公安局</w:t>
      </w:r>
    </w:p>
    <w:p>
      <w:pPr>
        <w:widowControl w:val="0"/>
        <w:jc w:val="center"/>
        <w:rPr>
          <w:rFonts w:hint="eastAsia" w:ascii="仿宋_GB2312" w:hAnsi="华文仿宋" w:eastAsia="仿宋_GB2312" w:cs="Times New Roman"/>
          <w:b/>
          <w:bCs/>
          <w:sz w:val="36"/>
          <w:szCs w:val="36"/>
          <w:highlight w:val="none"/>
        </w:rPr>
      </w:pPr>
      <w:r>
        <w:rPr>
          <w:rFonts w:hint="eastAsia" w:ascii="仿宋_GB2312" w:hAnsi="华文仿宋" w:eastAsia="仿宋_GB2312" w:cs="仿宋_GB2312"/>
          <w:b/>
          <w:bCs/>
          <w:sz w:val="36"/>
          <w:szCs w:val="36"/>
          <w:highlight w:val="none"/>
        </w:rPr>
        <w:t>采购代理机构：金华市创佳工程项目管理有限公司</w:t>
      </w:r>
    </w:p>
    <w:p>
      <w:pPr>
        <w:widowControl w:val="0"/>
        <w:ind w:firstLine="3253" w:firstLineChars="900"/>
        <w:rPr>
          <w:rFonts w:ascii="宋体" w:hAnsi="华文仿宋" w:cs="宋体"/>
          <w:b/>
          <w:bCs/>
          <w:sz w:val="36"/>
          <w:szCs w:val="36"/>
          <w:highlight w:val="none"/>
        </w:rPr>
      </w:pPr>
      <w:r>
        <w:rPr>
          <w:rFonts w:hint="eastAsia" w:ascii="仿宋_GB2312" w:hAnsi="华文仿宋" w:eastAsia="仿宋_GB2312" w:cs="仿宋_GB2312"/>
          <w:b/>
          <w:bCs/>
          <w:sz w:val="36"/>
          <w:szCs w:val="36"/>
          <w:highlight w:val="none"/>
        </w:rPr>
        <w:t>二○二</w:t>
      </w:r>
      <w:r>
        <w:rPr>
          <w:rFonts w:hint="eastAsia" w:ascii="仿宋_GB2312" w:hAnsi="华文仿宋" w:eastAsia="仿宋_GB2312" w:cs="仿宋_GB2312"/>
          <w:b/>
          <w:bCs/>
          <w:sz w:val="36"/>
          <w:szCs w:val="36"/>
          <w:highlight w:val="none"/>
          <w:lang w:eastAsia="zh-CN"/>
        </w:rPr>
        <w:t>二</w:t>
      </w:r>
      <w:r>
        <w:rPr>
          <w:rFonts w:hint="eastAsia" w:ascii="仿宋_GB2312" w:hAnsi="华文仿宋" w:eastAsia="仿宋_GB2312" w:cs="仿宋_GB2312"/>
          <w:b/>
          <w:bCs/>
          <w:sz w:val="36"/>
          <w:szCs w:val="36"/>
          <w:highlight w:val="none"/>
        </w:rPr>
        <w:t>年</w:t>
      </w:r>
      <w:r>
        <w:rPr>
          <w:rFonts w:hint="eastAsia" w:ascii="仿宋_GB2312" w:hAnsi="华文仿宋" w:eastAsia="仿宋_GB2312" w:cs="仿宋_GB2312"/>
          <w:b/>
          <w:bCs/>
          <w:sz w:val="36"/>
          <w:szCs w:val="36"/>
          <w:highlight w:val="none"/>
          <w:lang w:val="en-US" w:eastAsia="zh-CN"/>
        </w:rPr>
        <w:t>九</w:t>
      </w:r>
      <w:r>
        <w:rPr>
          <w:rFonts w:hint="eastAsia" w:ascii="仿宋_GB2312" w:hAnsi="华文仿宋" w:eastAsia="仿宋_GB2312" w:cs="仿宋_GB2312"/>
          <w:b/>
          <w:bCs/>
          <w:sz w:val="36"/>
          <w:szCs w:val="36"/>
          <w:highlight w:val="none"/>
        </w:rPr>
        <w:t>月</w:t>
      </w:r>
    </w:p>
    <w:p>
      <w:pPr>
        <w:widowControl w:val="0"/>
        <w:jc w:val="center"/>
        <w:rPr>
          <w:rFonts w:hint="eastAsia" w:ascii="楷体" w:hAnsi="楷体" w:eastAsia="楷体" w:cs="楷体"/>
          <w:b/>
          <w:bCs/>
          <w:color w:val="auto"/>
          <w:sz w:val="36"/>
          <w:szCs w:val="36"/>
        </w:rPr>
      </w:pPr>
    </w:p>
    <w:p>
      <w:pPr>
        <w:widowControl w:val="0"/>
        <w:jc w:val="center"/>
        <w:rPr>
          <w:rFonts w:hint="eastAsia" w:ascii="楷体" w:hAnsi="楷体" w:eastAsia="楷体" w:cs="楷体"/>
          <w:b/>
          <w:bCs/>
          <w:color w:val="auto"/>
          <w:sz w:val="36"/>
          <w:szCs w:val="36"/>
        </w:rPr>
      </w:pPr>
    </w:p>
    <w:p>
      <w:pPr>
        <w:widowControl w:val="0"/>
        <w:jc w:val="center"/>
        <w:rPr>
          <w:rFonts w:hint="eastAsia" w:ascii="楷体" w:hAnsi="楷体" w:eastAsia="楷体" w:cs="楷体"/>
          <w:b/>
          <w:bCs/>
          <w:color w:val="auto"/>
          <w:sz w:val="36"/>
          <w:szCs w:val="36"/>
        </w:rPr>
      </w:pPr>
    </w:p>
    <w:p>
      <w:pPr>
        <w:widowControl w:val="0"/>
        <w:tabs>
          <w:tab w:val="left" w:pos="0"/>
          <w:tab w:val="left" w:pos="6300"/>
        </w:tabs>
        <w:snapToGrid w:val="0"/>
        <w:spacing w:line="480" w:lineRule="auto"/>
        <w:jc w:val="center"/>
        <w:rPr>
          <w:rFonts w:hint="eastAsia" w:ascii="楷体" w:hAnsi="楷体" w:eastAsia="楷体" w:cs="楷体"/>
          <w:b/>
          <w:bCs/>
          <w:color w:val="auto"/>
          <w:kern w:val="44"/>
          <w:sz w:val="44"/>
          <w:szCs w:val="44"/>
        </w:rPr>
      </w:pPr>
      <w:r>
        <w:rPr>
          <w:rFonts w:hint="eastAsia" w:ascii="楷体" w:hAnsi="楷体" w:eastAsia="楷体" w:cs="楷体"/>
          <w:b/>
          <w:bCs/>
          <w:color w:val="auto"/>
          <w:kern w:val="44"/>
          <w:sz w:val="44"/>
          <w:szCs w:val="44"/>
        </w:rPr>
        <w:t>目录</w:t>
      </w:r>
    </w:p>
    <w:p>
      <w:pPr>
        <w:widowControl w:val="0"/>
        <w:tabs>
          <w:tab w:val="left" w:pos="0"/>
          <w:tab w:val="left" w:pos="6300"/>
        </w:tabs>
        <w:snapToGrid w:val="0"/>
        <w:spacing w:line="480" w:lineRule="auto"/>
        <w:jc w:val="left"/>
        <w:rPr>
          <w:rFonts w:hint="eastAsia" w:ascii="楷体" w:hAnsi="楷体" w:eastAsia="楷体" w:cs="楷体"/>
          <w:color w:val="auto"/>
          <w:sz w:val="28"/>
          <w:szCs w:val="28"/>
        </w:rPr>
      </w:pPr>
    </w:p>
    <w:p>
      <w:pPr>
        <w:widowControl w:val="0"/>
        <w:numPr>
          <w:ilvl w:val="0"/>
          <w:numId w:val="2"/>
        </w:numPr>
        <w:tabs>
          <w:tab w:val="left" w:pos="0"/>
          <w:tab w:val="left" w:pos="1800"/>
          <w:tab w:val="left" w:pos="6300"/>
        </w:tabs>
        <w:snapToGrid w:val="0"/>
        <w:spacing w:line="900" w:lineRule="exact"/>
        <w:ind w:left="3646" w:hanging="3107"/>
        <w:jc w:val="left"/>
        <w:rPr>
          <w:rFonts w:hint="eastAsia" w:ascii="Calibri" w:hAnsi="Calibri" w:eastAsia="宋体" w:cs="宋体"/>
          <w:color w:val="000000"/>
          <w:sz w:val="28"/>
          <w:szCs w:val="28"/>
          <w:highlight w:val="none"/>
        </w:rPr>
      </w:pPr>
      <w:r>
        <w:rPr>
          <w:rFonts w:hint="eastAsia" w:ascii="Calibri" w:hAnsi="Calibri" w:eastAsia="宋体" w:cs="宋体"/>
          <w:color w:val="000000"/>
          <w:sz w:val="28"/>
          <w:szCs w:val="28"/>
          <w:highlight w:val="none"/>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hint="eastAsia" w:ascii="Calibri" w:hAnsi="Calibri" w:eastAsia="宋体" w:cs="宋体"/>
          <w:color w:val="000000"/>
          <w:sz w:val="28"/>
          <w:szCs w:val="28"/>
          <w:highlight w:val="none"/>
        </w:rPr>
      </w:pPr>
      <w:r>
        <w:rPr>
          <w:rFonts w:hint="eastAsia" w:ascii="Calibri" w:hAnsi="Calibri" w:eastAsia="宋体" w:cs="宋体"/>
          <w:color w:val="000000"/>
          <w:sz w:val="28"/>
          <w:szCs w:val="28"/>
          <w:highlight w:val="none"/>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hint="eastAsia" w:ascii="Calibri" w:hAnsi="Calibri" w:eastAsia="宋体" w:cs="宋体"/>
          <w:color w:val="000000"/>
          <w:sz w:val="28"/>
          <w:szCs w:val="28"/>
          <w:highlight w:val="none"/>
        </w:rPr>
      </w:pPr>
      <w:r>
        <w:rPr>
          <w:rFonts w:hint="eastAsia" w:ascii="Calibri" w:hAnsi="Calibri" w:eastAsia="宋体" w:cs="宋体"/>
          <w:color w:val="000000"/>
          <w:sz w:val="28"/>
          <w:szCs w:val="28"/>
          <w:highlight w:val="none"/>
        </w:rPr>
        <w:t>开标和评标须知</w:t>
      </w:r>
    </w:p>
    <w:p>
      <w:pPr>
        <w:widowControl w:val="0"/>
        <w:numPr>
          <w:ilvl w:val="0"/>
          <w:numId w:val="2"/>
        </w:numPr>
        <w:tabs>
          <w:tab w:val="left" w:pos="0"/>
          <w:tab w:val="left" w:pos="1800"/>
          <w:tab w:val="left" w:pos="6300"/>
        </w:tabs>
        <w:snapToGrid w:val="0"/>
        <w:spacing w:line="900" w:lineRule="exact"/>
        <w:ind w:left="3646" w:hanging="3107"/>
        <w:jc w:val="left"/>
        <w:rPr>
          <w:rFonts w:hint="eastAsia" w:ascii="Calibri" w:hAnsi="Calibri" w:eastAsia="宋体" w:cs="宋体"/>
          <w:color w:val="000000"/>
          <w:sz w:val="28"/>
          <w:szCs w:val="28"/>
          <w:highlight w:val="none"/>
        </w:rPr>
      </w:pPr>
      <w:r>
        <w:rPr>
          <w:rFonts w:hint="eastAsia" w:ascii="Calibri" w:hAnsi="Calibri" w:eastAsia="宋体" w:cs="宋体"/>
          <w:color w:val="000000"/>
          <w:sz w:val="28"/>
          <w:szCs w:val="28"/>
          <w:highlight w:val="none"/>
        </w:rPr>
        <w:t>技术服务要求及货物需求</w:t>
      </w:r>
    </w:p>
    <w:p>
      <w:pPr>
        <w:widowControl w:val="0"/>
        <w:numPr>
          <w:ilvl w:val="0"/>
          <w:numId w:val="2"/>
        </w:numPr>
        <w:tabs>
          <w:tab w:val="left" w:pos="0"/>
          <w:tab w:val="left" w:pos="1800"/>
          <w:tab w:val="left" w:pos="6300"/>
        </w:tabs>
        <w:snapToGrid w:val="0"/>
        <w:spacing w:line="900" w:lineRule="exact"/>
        <w:ind w:left="3646" w:hanging="3107"/>
        <w:jc w:val="left"/>
        <w:rPr>
          <w:rFonts w:hint="eastAsia" w:ascii="Calibri" w:hAnsi="Calibri" w:eastAsia="宋体" w:cs="宋体"/>
          <w:color w:val="000000"/>
          <w:sz w:val="28"/>
          <w:szCs w:val="28"/>
          <w:highlight w:val="none"/>
        </w:rPr>
      </w:pPr>
      <w:r>
        <w:rPr>
          <w:rFonts w:hint="eastAsia" w:ascii="Calibri" w:hAnsi="Calibri" w:eastAsia="宋体" w:cs="宋体"/>
          <w:color w:val="000000"/>
          <w:sz w:val="28"/>
          <w:szCs w:val="28"/>
          <w:highlight w:val="none"/>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hint="eastAsia" w:ascii="Calibri" w:hAnsi="Calibri" w:eastAsia="宋体" w:cs="宋体"/>
          <w:color w:val="000000"/>
          <w:sz w:val="28"/>
          <w:szCs w:val="28"/>
          <w:highlight w:val="none"/>
        </w:rPr>
      </w:pPr>
      <w:r>
        <w:rPr>
          <w:rFonts w:hint="eastAsia" w:ascii="Calibri" w:hAnsi="Calibri" w:eastAsia="宋体" w:cs="宋体"/>
          <w:color w:val="000000"/>
          <w:sz w:val="28"/>
          <w:szCs w:val="28"/>
          <w:highlight w:val="none"/>
        </w:rPr>
        <w:t>合同主要条款</w:t>
      </w:r>
    </w:p>
    <w:p>
      <w:pPr>
        <w:widowControl w:val="0"/>
        <w:rPr>
          <w:rFonts w:hint="eastAsia" w:ascii="楷体" w:hAnsi="楷体" w:eastAsia="楷体" w:cs="楷体"/>
          <w:color w:val="auto"/>
        </w:rPr>
      </w:pPr>
    </w:p>
    <w:p>
      <w:pPr>
        <w:widowControl w:val="0"/>
        <w:rPr>
          <w:rFonts w:hint="eastAsia" w:ascii="楷体" w:hAnsi="楷体" w:eastAsia="楷体" w:cs="楷体"/>
          <w:color w:val="auto"/>
        </w:rPr>
      </w:pPr>
    </w:p>
    <w:p>
      <w:pPr>
        <w:widowControl w:val="0"/>
        <w:rPr>
          <w:rFonts w:hint="eastAsia" w:ascii="楷体" w:hAnsi="楷体" w:eastAsia="楷体" w:cs="楷体"/>
          <w:color w:val="auto"/>
        </w:rPr>
      </w:pPr>
    </w:p>
    <w:p>
      <w:pPr>
        <w:widowControl w:val="0"/>
        <w:rPr>
          <w:rFonts w:hint="eastAsia" w:ascii="楷体" w:hAnsi="楷体" w:eastAsia="楷体" w:cs="楷体"/>
          <w:color w:val="auto"/>
        </w:rPr>
      </w:pPr>
    </w:p>
    <w:p>
      <w:pPr>
        <w:widowControl w:val="0"/>
        <w:rPr>
          <w:rFonts w:hint="eastAsia" w:ascii="楷体" w:hAnsi="楷体" w:eastAsia="楷体" w:cs="楷体"/>
          <w:color w:val="auto"/>
        </w:rPr>
      </w:pPr>
    </w:p>
    <w:p>
      <w:pPr>
        <w:widowControl w:val="0"/>
        <w:rPr>
          <w:rFonts w:hint="eastAsia" w:ascii="楷体" w:hAnsi="楷体" w:eastAsia="楷体" w:cs="楷体"/>
          <w:color w:val="auto"/>
        </w:rPr>
        <w:sectPr>
          <w:headerReference r:id="rId3" w:type="default"/>
          <w:footerReference r:id="rId4" w:type="default"/>
          <w:pgSz w:w="11906" w:h="16838"/>
          <w:pgMar w:top="1134" w:right="1134" w:bottom="1134" w:left="1418" w:header="851" w:footer="992" w:gutter="0"/>
          <w:pgNumType w:start="0"/>
          <w:cols w:space="720" w:num="1"/>
          <w:docGrid w:linePitch="312" w:charSpace="0"/>
        </w:sectPr>
      </w:pPr>
    </w:p>
    <w:p>
      <w:pPr>
        <w:widowControl w:val="0"/>
        <w:spacing w:line="400" w:lineRule="exact"/>
        <w:jc w:val="both"/>
        <w:rPr>
          <w:rFonts w:hint="eastAsia" w:ascii="楷体" w:hAnsi="楷体" w:eastAsia="楷体" w:cs="楷体"/>
          <w:b/>
          <w:bCs/>
          <w:color w:val="auto"/>
          <w:sz w:val="32"/>
          <w:szCs w:val="32"/>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780" w:lineRule="exact"/>
        <w:jc w:val="center"/>
        <w:rPr>
          <w:rFonts w:ascii="黑体" w:hAnsi="Calibri" w:eastAsia="黑体" w:cs="Times New Roman"/>
          <w:b/>
          <w:bCs/>
          <w:sz w:val="52"/>
          <w:szCs w:val="52"/>
          <w:highlight w:val="none"/>
        </w:rPr>
      </w:pPr>
      <w:r>
        <w:rPr>
          <w:rFonts w:hint="eastAsia" w:ascii="黑体" w:hAnsi="Calibri" w:eastAsia="黑体" w:cs="黑体"/>
          <w:b/>
          <w:bCs/>
          <w:sz w:val="52"/>
          <w:szCs w:val="52"/>
          <w:highlight w:val="none"/>
        </w:rPr>
        <w:t>第一章</w:t>
      </w:r>
    </w:p>
    <w:p>
      <w:pPr>
        <w:widowControl w:val="0"/>
        <w:spacing w:line="780" w:lineRule="exact"/>
        <w:jc w:val="center"/>
        <w:rPr>
          <w:rFonts w:ascii="黑体" w:hAnsi="Calibri" w:eastAsia="黑体" w:cs="黑体"/>
          <w:b/>
          <w:bCs/>
          <w:sz w:val="52"/>
          <w:szCs w:val="52"/>
          <w:highlight w:val="none"/>
        </w:rPr>
      </w:pPr>
      <w:r>
        <w:rPr>
          <w:rFonts w:hint="eastAsia" w:ascii="黑体" w:hAnsi="Calibri" w:eastAsia="黑体" w:cs="黑体"/>
          <w:b/>
          <w:bCs/>
          <w:sz w:val="52"/>
          <w:szCs w:val="52"/>
          <w:highlight w:val="none"/>
        </w:rPr>
        <w:t>招标公告</w:t>
      </w: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widowControl w:val="0"/>
        <w:spacing w:line="400" w:lineRule="exact"/>
        <w:jc w:val="center"/>
        <w:rPr>
          <w:rFonts w:ascii="Calibri" w:hAnsi="Calibri" w:cs="Times New Roman"/>
          <w:b/>
          <w:bCs/>
          <w:sz w:val="32"/>
          <w:szCs w:val="32"/>
          <w:highlight w:val="none"/>
        </w:rPr>
      </w:pPr>
    </w:p>
    <w:p>
      <w:pPr>
        <w:keepNext/>
        <w:keepLines/>
        <w:widowControl w:val="0"/>
        <w:spacing w:before="120" w:after="120"/>
        <w:jc w:val="center"/>
        <w:outlineLvl w:val="0"/>
        <w:rPr>
          <w:rFonts w:ascii="Calibri" w:hAnsi="Calibri" w:cs="Times New Roman"/>
          <w:b/>
          <w:bCs/>
          <w:kern w:val="44"/>
          <w:sz w:val="44"/>
          <w:szCs w:val="44"/>
          <w:highlight w:val="none"/>
        </w:rPr>
      </w:pPr>
      <w:r>
        <w:rPr>
          <w:rFonts w:ascii="Calibri" w:hAnsi="Calibri" w:cs="Times New Roman"/>
          <w:kern w:val="44"/>
          <w:sz w:val="32"/>
          <w:szCs w:val="32"/>
          <w:highlight w:val="none"/>
        </w:rPr>
        <w:br w:type="page"/>
      </w:r>
      <w:r>
        <w:rPr>
          <w:rFonts w:hint="eastAsia" w:ascii="Calibri" w:hAnsi="Calibri" w:cs="宋体"/>
          <w:b/>
          <w:bCs/>
          <w:kern w:val="44"/>
          <w:sz w:val="44"/>
          <w:szCs w:val="44"/>
          <w:highlight w:val="none"/>
        </w:rPr>
        <w:t>招标公告</w:t>
      </w:r>
    </w:p>
    <w:p>
      <w:pPr>
        <w:widowControl w:val="0"/>
        <w:spacing w:line="400" w:lineRule="exact"/>
        <w:ind w:firstLine="540" w:firstLineChars="225"/>
        <w:rPr>
          <w:rFonts w:ascii="Calibri" w:hAnsi="Calibri" w:cs="Times New Roman"/>
          <w:sz w:val="24"/>
          <w:szCs w:val="24"/>
          <w:highlight w:val="none"/>
        </w:rPr>
      </w:pPr>
      <w:r>
        <w:rPr>
          <w:rFonts w:hint="eastAsia" w:ascii="Calibri" w:hAnsi="Calibri" w:cs="宋体"/>
          <w:sz w:val="24"/>
          <w:szCs w:val="24"/>
          <w:highlight w:val="none"/>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eastAsia" w:ascii="Calibri" w:hAnsi="Calibri" w:eastAsia="宋体" w:cs="Times New Roman"/>
          <w:sz w:val="24"/>
          <w:szCs w:val="24"/>
          <w:highlight w:val="none"/>
          <w:lang w:eastAsia="zh-CN"/>
        </w:rPr>
      </w:pPr>
      <w:r>
        <w:rPr>
          <w:rFonts w:hint="eastAsia" w:ascii="Calibri" w:hAnsi="Calibri" w:cs="宋体"/>
          <w:sz w:val="24"/>
          <w:szCs w:val="24"/>
          <w:highlight w:val="none"/>
        </w:rPr>
        <w:t>一．招标项目编号</w:t>
      </w:r>
      <w:r>
        <w:rPr>
          <w:rFonts w:ascii="Calibri" w:hAnsi="Calibri" w:cs="Calibri"/>
          <w:sz w:val="24"/>
          <w:szCs w:val="24"/>
          <w:highlight w:val="none"/>
        </w:rPr>
        <w:t xml:space="preserve">: </w:t>
      </w:r>
      <w:r>
        <w:rPr>
          <w:rFonts w:hint="eastAsia" w:ascii="Calibri" w:hAnsi="Calibri" w:cs="Calibri"/>
          <w:sz w:val="24"/>
          <w:szCs w:val="24"/>
          <w:highlight w:val="none"/>
        </w:rPr>
        <w:t>1106012022004-CJCG22032</w:t>
      </w:r>
    </w:p>
    <w:p>
      <w:pPr>
        <w:widowControl w:val="0"/>
        <w:spacing w:line="400" w:lineRule="exact"/>
        <w:ind w:firstLine="540" w:firstLineChars="225"/>
        <w:rPr>
          <w:rFonts w:ascii="Calibri" w:hAnsi="Calibri" w:cs="Times New Roman"/>
          <w:sz w:val="24"/>
          <w:szCs w:val="24"/>
          <w:highlight w:val="none"/>
        </w:rPr>
      </w:pPr>
      <w:r>
        <w:rPr>
          <w:rFonts w:hint="eastAsia" w:ascii="Calibri" w:hAnsi="Calibri" w:cs="宋体"/>
          <w:sz w:val="24"/>
          <w:szCs w:val="24"/>
          <w:highlight w:val="none"/>
        </w:rPr>
        <w:t>二．采购组织类型：分散采购-分散委托中介</w:t>
      </w:r>
    </w:p>
    <w:p>
      <w:pPr>
        <w:widowControl w:val="0"/>
        <w:spacing w:line="400" w:lineRule="exact"/>
        <w:ind w:firstLine="540" w:firstLineChars="225"/>
        <w:rPr>
          <w:rFonts w:ascii="Calibri" w:hAnsi="Calibri" w:cs="Times New Roman"/>
          <w:sz w:val="24"/>
          <w:szCs w:val="24"/>
          <w:highlight w:val="none"/>
        </w:rPr>
      </w:pPr>
      <w:r>
        <w:rPr>
          <w:rFonts w:hint="eastAsia" w:ascii="Calibri" w:hAnsi="Calibri" w:cs="宋体"/>
          <w:sz w:val="24"/>
          <w:szCs w:val="24"/>
          <w:highlight w:val="none"/>
        </w:rPr>
        <w:t>三．招标项目概况（内容、数量、预算金额、简要技术要求等）：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91"/>
        <w:gridCol w:w="1000"/>
        <w:gridCol w:w="155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90" w:type="dxa"/>
            <w:noWrap/>
            <w:vAlign w:val="top"/>
          </w:tcPr>
          <w:p>
            <w:pPr>
              <w:pStyle w:val="2"/>
              <w:spacing w:before="157"/>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序号</w:t>
            </w:r>
          </w:p>
        </w:tc>
        <w:tc>
          <w:tcPr>
            <w:tcW w:w="3191" w:type="dxa"/>
            <w:noWrap/>
            <w:vAlign w:val="top"/>
          </w:tcPr>
          <w:p>
            <w:pPr>
              <w:pStyle w:val="2"/>
              <w:spacing w:before="157"/>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项目</w:t>
            </w:r>
          </w:p>
        </w:tc>
        <w:tc>
          <w:tcPr>
            <w:tcW w:w="1000" w:type="dxa"/>
            <w:noWrap/>
            <w:vAlign w:val="top"/>
          </w:tcPr>
          <w:p>
            <w:pPr>
              <w:pStyle w:val="2"/>
              <w:spacing w:before="157"/>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数量</w:t>
            </w:r>
          </w:p>
        </w:tc>
        <w:tc>
          <w:tcPr>
            <w:tcW w:w="1550" w:type="dxa"/>
            <w:noWrap/>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预算金额</w:t>
            </w:r>
            <w:r>
              <w:rPr>
                <w:rFonts w:hint="eastAsia" w:asci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w:t>
            </w:r>
            <w:r>
              <w:rPr>
                <w:rFonts w:hint="eastAsia" w:ascii="宋体" w:cs="宋体"/>
                <w:color w:val="auto"/>
                <w:kern w:val="0"/>
                <w:sz w:val="21"/>
                <w:szCs w:val="21"/>
                <w:lang w:val="en-US" w:eastAsia="zh-CN" w:bidi="ar"/>
              </w:rPr>
              <w:t>万</w:t>
            </w:r>
            <w:r>
              <w:rPr>
                <w:rFonts w:hint="eastAsia" w:ascii="宋体" w:hAnsi="宋体" w:eastAsia="宋体" w:cs="宋体"/>
                <w:color w:val="auto"/>
                <w:kern w:val="0"/>
                <w:sz w:val="21"/>
                <w:szCs w:val="21"/>
                <w:lang w:val="en-US" w:eastAsia="zh-CN" w:bidi="ar"/>
              </w:rPr>
              <w:t>元）</w:t>
            </w:r>
          </w:p>
        </w:tc>
        <w:tc>
          <w:tcPr>
            <w:tcW w:w="1746" w:type="dxa"/>
            <w:noWrap/>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0" w:type="dxa"/>
            <w:noWrap/>
            <w:vAlign w:val="center"/>
          </w:tcPr>
          <w:p>
            <w:pPr>
              <w:pStyle w:val="2"/>
              <w:spacing w:before="157" w:line="240" w:lineRule="auto"/>
              <w:jc w:val="center"/>
              <w:rPr>
                <w:highlight w:val="none"/>
              </w:rPr>
            </w:pPr>
            <w:r>
              <w:rPr>
                <w:rFonts w:hint="eastAsia" w:ascii="宋体" w:hAnsi="宋体" w:eastAsia="宋体" w:cs="宋体"/>
                <w:sz w:val="21"/>
                <w:szCs w:val="21"/>
                <w:vertAlign w:val="baseline"/>
                <w:lang w:val="en-US" w:eastAsia="zh-CN"/>
              </w:rPr>
              <w:t>1</w:t>
            </w:r>
          </w:p>
        </w:tc>
        <w:tc>
          <w:tcPr>
            <w:tcW w:w="3191" w:type="dxa"/>
            <w:noWrap/>
            <w:vAlign w:val="center"/>
          </w:tcPr>
          <w:p>
            <w:pPr>
              <w:pStyle w:val="2"/>
              <w:spacing w:before="157" w:line="240" w:lineRule="auto"/>
              <w:jc w:val="center"/>
              <w:rPr>
                <w:rFonts w:hint="eastAsia"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城市大脑畅行丽州-协同应用项目</w:t>
            </w:r>
          </w:p>
          <w:p>
            <w:pPr>
              <w:pStyle w:val="2"/>
              <w:spacing w:before="157" w:line="240" w:lineRule="auto"/>
              <w:jc w:val="center"/>
              <w:rPr>
                <w:rFonts w:hint="eastAsia" w:eastAsia="宋体" w:cs="Times New Roman"/>
                <w:highlight w:val="none"/>
                <w:lang w:eastAsia="zh-CN"/>
              </w:rPr>
            </w:pPr>
            <w:r>
              <w:rPr>
                <w:rFonts w:hint="eastAsia" w:ascii="宋体" w:hAnsi="宋体" w:eastAsia="宋体" w:cs="宋体"/>
                <w:color w:val="auto"/>
                <w:spacing w:val="-5"/>
                <w:sz w:val="21"/>
                <w:szCs w:val="21"/>
                <w:lang w:eastAsia="zh-CN"/>
              </w:rPr>
              <w:t>（2021年一期）</w:t>
            </w:r>
            <w:r>
              <w:rPr>
                <w:rFonts w:hint="eastAsia" w:ascii="宋体" w:hAnsi="宋体" w:eastAsia="宋体" w:cs="宋体"/>
                <w:color w:val="auto"/>
                <w:spacing w:val="-5"/>
                <w:sz w:val="21"/>
                <w:szCs w:val="21"/>
                <w:lang w:val="en-US" w:eastAsia="zh-CN"/>
              </w:rPr>
              <w:t>前端</w:t>
            </w:r>
            <w:r>
              <w:rPr>
                <w:rFonts w:hint="eastAsia" w:ascii="宋体" w:hAnsi="宋体" w:eastAsia="宋体" w:cs="宋体"/>
                <w:color w:val="auto"/>
                <w:spacing w:val="-5"/>
                <w:sz w:val="21"/>
                <w:szCs w:val="21"/>
                <w:lang w:eastAsia="zh-CN"/>
              </w:rPr>
              <w:t>系统</w:t>
            </w:r>
            <w:r>
              <w:rPr>
                <w:rFonts w:hint="eastAsia" w:ascii="宋体" w:hAnsi="宋体" w:eastAsia="宋体" w:cs="宋体"/>
                <w:color w:val="auto"/>
                <w:spacing w:val="-5"/>
                <w:sz w:val="21"/>
                <w:szCs w:val="21"/>
                <w:lang w:val="en-US" w:eastAsia="zh-CN"/>
              </w:rPr>
              <w:t>建设</w:t>
            </w:r>
            <w:r>
              <w:rPr>
                <w:rFonts w:hint="eastAsia" w:ascii="宋体" w:hAnsi="宋体" w:eastAsia="宋体" w:cs="宋体"/>
                <w:color w:val="auto"/>
                <w:spacing w:val="-5"/>
                <w:sz w:val="21"/>
                <w:szCs w:val="21"/>
                <w:lang w:eastAsia="zh-CN"/>
              </w:rPr>
              <w:t>项目</w:t>
            </w:r>
          </w:p>
        </w:tc>
        <w:tc>
          <w:tcPr>
            <w:tcW w:w="1000" w:type="dxa"/>
            <w:noWrap/>
            <w:vAlign w:val="center"/>
          </w:tcPr>
          <w:p>
            <w:pPr>
              <w:pStyle w:val="2"/>
              <w:spacing w:before="157" w:line="240" w:lineRule="auto"/>
              <w:jc w:val="center"/>
              <w:rPr>
                <w:rFonts w:hint="eastAsia" w:cs="Times New Roman"/>
                <w:highlight w:val="none"/>
              </w:rPr>
            </w:pPr>
            <w:r>
              <w:rPr>
                <w:rFonts w:hint="eastAsia" w:ascii="宋体" w:hAnsi="宋体" w:eastAsia="宋体" w:cs="宋体"/>
                <w:color w:val="auto"/>
                <w:sz w:val="21"/>
                <w:szCs w:val="21"/>
                <w:vertAlign w:val="baseline"/>
                <w:lang w:val="en-US" w:eastAsia="zh-CN"/>
              </w:rPr>
              <w:t>1项</w:t>
            </w:r>
          </w:p>
        </w:tc>
        <w:tc>
          <w:tcPr>
            <w:tcW w:w="1550" w:type="dxa"/>
            <w:noWrap/>
            <w:vAlign w:val="center"/>
          </w:tcPr>
          <w:p>
            <w:pPr>
              <w:widowControl/>
              <w:spacing w:line="240" w:lineRule="auto"/>
              <w:jc w:val="center"/>
              <w:textAlignment w:val="center"/>
              <w:rPr>
                <w:rFonts w:cs="Times New Roman"/>
                <w:highlight w:val="none"/>
              </w:rPr>
            </w:pPr>
            <w:r>
              <w:rPr>
                <w:rFonts w:ascii="微软雅黑" w:hAnsi="微软雅黑" w:eastAsia="微软雅黑" w:cs="微软雅黑"/>
                <w:i w:val="0"/>
                <w:iCs w:val="0"/>
                <w:caps w:val="0"/>
                <w:color w:val="333333"/>
                <w:spacing w:val="0"/>
                <w:sz w:val="21"/>
                <w:szCs w:val="21"/>
              </w:rPr>
              <w:t>938.3773</w:t>
            </w:r>
          </w:p>
        </w:tc>
        <w:tc>
          <w:tcPr>
            <w:tcW w:w="1746" w:type="dxa"/>
            <w:noWrap/>
            <w:vAlign w:val="center"/>
          </w:tcPr>
          <w:p>
            <w:pPr>
              <w:pStyle w:val="25"/>
              <w:spacing w:line="24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见第四章</w:t>
            </w:r>
          </w:p>
        </w:tc>
      </w:tr>
    </w:tbl>
    <w:p>
      <w:pPr>
        <w:widowControl w:val="0"/>
        <w:spacing w:line="400" w:lineRule="exact"/>
        <w:ind w:firstLine="480" w:firstLineChars="200"/>
        <w:rPr>
          <w:rFonts w:ascii="Calibri" w:hAnsi="Calibri" w:cs="Calibri"/>
          <w:sz w:val="24"/>
          <w:szCs w:val="24"/>
          <w:highlight w:val="none"/>
        </w:rPr>
      </w:pPr>
      <w:r>
        <w:rPr>
          <w:rFonts w:hint="eastAsia" w:ascii="Calibri" w:hAnsi="Calibri" w:cs="宋体"/>
          <w:sz w:val="24"/>
          <w:szCs w:val="24"/>
          <w:highlight w:val="none"/>
        </w:rPr>
        <w:t>四．投标供应商资格要求</w:t>
      </w:r>
      <w:r>
        <w:rPr>
          <w:rFonts w:ascii="Calibri" w:hAnsi="Calibri" w:cs="Calibri"/>
          <w:sz w:val="24"/>
          <w:szCs w:val="24"/>
          <w:highlight w:val="none"/>
        </w:rPr>
        <w:t>:</w:t>
      </w:r>
    </w:p>
    <w:p>
      <w:pPr>
        <w:widowControl w:val="0"/>
        <w:spacing w:line="400" w:lineRule="exact"/>
        <w:ind w:firstLine="540" w:firstLineChars="225"/>
        <w:rPr>
          <w:rFonts w:ascii="Calibri" w:hAnsi="Calibri" w:cs="Times New Roman"/>
          <w:sz w:val="24"/>
          <w:szCs w:val="24"/>
          <w:highlight w:val="none"/>
        </w:rPr>
      </w:pPr>
      <w:r>
        <w:rPr>
          <w:rFonts w:hint="eastAsia" w:ascii="Calibri" w:hAnsi="Calibri" w:cs="宋体"/>
          <w:sz w:val="24"/>
          <w:szCs w:val="24"/>
          <w:highlight w:val="none"/>
        </w:rPr>
        <w:t>（一）基本条件</w:t>
      </w:r>
    </w:p>
    <w:p>
      <w:pPr>
        <w:widowControl w:val="0"/>
        <w:spacing w:line="400" w:lineRule="exact"/>
        <w:ind w:firstLine="540" w:firstLineChars="225"/>
        <w:rPr>
          <w:rFonts w:hint="eastAsia" w:ascii="Calibri" w:hAnsi="Calibri" w:cs="宋体"/>
          <w:sz w:val="24"/>
          <w:szCs w:val="24"/>
          <w:highlight w:val="none"/>
        </w:rPr>
      </w:pPr>
      <w:r>
        <w:rPr>
          <w:rFonts w:ascii="Calibri" w:hAnsi="Calibri" w:cs="Calibri"/>
          <w:sz w:val="24"/>
          <w:szCs w:val="24"/>
          <w:highlight w:val="none"/>
        </w:rPr>
        <w:t>1</w:t>
      </w:r>
      <w:r>
        <w:rPr>
          <w:rFonts w:hint="eastAsia" w:ascii="Calibri" w:hAnsi="Calibri" w:cs="宋体"/>
          <w:sz w:val="24"/>
          <w:szCs w:val="24"/>
          <w:highlight w:val="none"/>
        </w:rPr>
        <w:t>、符合《中华人民共和国政府采购法》第二十二条和浙财采监【</w:t>
      </w:r>
      <w:r>
        <w:rPr>
          <w:rFonts w:ascii="Calibri" w:hAnsi="Calibri" w:cs="Calibri"/>
          <w:sz w:val="24"/>
          <w:szCs w:val="24"/>
          <w:highlight w:val="none"/>
        </w:rPr>
        <w:t>2013</w:t>
      </w:r>
      <w:r>
        <w:rPr>
          <w:rFonts w:hint="eastAsia" w:ascii="Calibri" w:hAnsi="Calibri" w:cs="宋体"/>
          <w:sz w:val="24"/>
          <w:szCs w:val="24"/>
          <w:highlight w:val="none"/>
        </w:rPr>
        <w:t>】</w:t>
      </w:r>
      <w:r>
        <w:rPr>
          <w:rFonts w:ascii="Calibri" w:hAnsi="Calibri" w:cs="Calibri"/>
          <w:sz w:val="24"/>
          <w:szCs w:val="24"/>
          <w:highlight w:val="none"/>
        </w:rPr>
        <w:t>24</w:t>
      </w:r>
      <w:r>
        <w:rPr>
          <w:rFonts w:hint="eastAsia" w:ascii="Calibri" w:hAnsi="Calibri" w:cs="宋体"/>
          <w:sz w:val="24"/>
          <w:szCs w:val="24"/>
          <w:highlight w:val="none"/>
        </w:rPr>
        <w:t>号《关于规范政府采购供应商资格设定及资格审查的通知》第六条规定</w:t>
      </w:r>
      <w:r>
        <w:rPr>
          <w:rFonts w:hint="eastAsia" w:ascii="Calibri" w:hAnsi="Calibri" w:cs="Calibri"/>
          <w:sz w:val="24"/>
          <w:szCs w:val="24"/>
          <w:highlight w:val="none"/>
        </w:rPr>
        <w:t>，</w:t>
      </w:r>
      <w:r>
        <w:rPr>
          <w:rFonts w:hint="eastAsia" w:ascii="Calibri" w:hAnsi="Calibri" w:cs="宋体"/>
          <w:sz w:val="24"/>
          <w:szCs w:val="24"/>
          <w:highlight w:val="none"/>
        </w:rPr>
        <w:t>且未被“信用中国”（</w:t>
      </w:r>
      <w:r>
        <w:rPr>
          <w:rFonts w:ascii="Calibri" w:hAnsi="Calibri" w:cs="Calibri"/>
          <w:sz w:val="24"/>
          <w:szCs w:val="24"/>
          <w:highlight w:val="none"/>
        </w:rPr>
        <w:t>www.creditchina.gov.cn</w:t>
      </w:r>
      <w:r>
        <w:rPr>
          <w:rFonts w:hint="eastAsia" w:ascii="Calibri" w:hAnsi="Calibri" w:cs="宋体"/>
          <w:sz w:val="24"/>
          <w:szCs w:val="24"/>
          <w:highlight w:val="none"/>
        </w:rPr>
        <w:t>）、中国政府采购网（</w:t>
      </w:r>
      <w:r>
        <w:rPr>
          <w:rFonts w:ascii="Calibri" w:hAnsi="Calibri" w:cs="Calibri"/>
          <w:sz w:val="24"/>
          <w:szCs w:val="24"/>
          <w:highlight w:val="none"/>
        </w:rPr>
        <w:t>www.ccgp.gov.cn</w:t>
      </w:r>
      <w:r>
        <w:rPr>
          <w:rFonts w:hint="eastAsia" w:ascii="Calibri" w:hAnsi="Calibri" w:cs="宋体"/>
          <w:sz w:val="24"/>
          <w:szCs w:val="24"/>
          <w:highlight w:val="none"/>
        </w:rPr>
        <w:t>）列入失信被执行人、重大税收违法案件当事人名单、政府采购严重违法失信行为记录名单。</w:t>
      </w:r>
    </w:p>
    <w:p>
      <w:pPr>
        <w:widowControl w:val="0"/>
        <w:spacing w:line="400" w:lineRule="exact"/>
        <w:ind w:firstLine="540" w:firstLineChars="225"/>
        <w:rPr>
          <w:highlight w:val="none"/>
        </w:rPr>
      </w:pPr>
      <w:r>
        <w:rPr>
          <w:rFonts w:hint="eastAsia" w:ascii="Calibri" w:hAnsi="Calibri" w:cs="宋体"/>
          <w:sz w:val="24"/>
          <w:szCs w:val="24"/>
          <w:highlight w:val="none"/>
        </w:rPr>
        <w:t>2、</w:t>
      </w:r>
      <w:r>
        <w:rPr>
          <w:rFonts w:hint="eastAsia" w:ascii="宋体" w:cs="宋体"/>
          <w:color w:val="000000"/>
          <w:sz w:val="24"/>
          <w:szCs w:val="24"/>
          <w:highlight w:val="none"/>
        </w:rPr>
        <w:t>本次招标</w:t>
      </w:r>
      <w:r>
        <w:rPr>
          <w:rFonts w:hint="eastAsia" w:ascii="宋体" w:cs="宋体"/>
          <w:color w:val="000000"/>
          <w:sz w:val="24"/>
          <w:szCs w:val="24"/>
          <w:highlight w:val="none"/>
          <w:lang w:val="en-US" w:eastAsia="zh-CN"/>
        </w:rPr>
        <w:t>不</w:t>
      </w:r>
      <w:r>
        <w:rPr>
          <w:rFonts w:hint="eastAsia" w:ascii="宋体" w:cs="宋体"/>
          <w:sz w:val="24"/>
          <w:szCs w:val="24"/>
          <w:highlight w:val="none"/>
        </w:rPr>
        <w:t>接受联合体投标人。</w:t>
      </w:r>
    </w:p>
    <w:p>
      <w:pPr>
        <w:widowControl w:val="0"/>
        <w:spacing w:line="400" w:lineRule="exact"/>
        <w:ind w:firstLine="540" w:firstLineChars="225"/>
        <w:rPr>
          <w:rFonts w:ascii="Calibri" w:hAnsi="Calibri" w:cs="宋体"/>
          <w:sz w:val="24"/>
          <w:szCs w:val="24"/>
          <w:highlight w:val="none"/>
        </w:rPr>
      </w:pPr>
      <w:r>
        <w:rPr>
          <w:rFonts w:hint="eastAsia" w:ascii="Calibri" w:hAnsi="Calibri" w:cs="宋体"/>
          <w:sz w:val="24"/>
          <w:szCs w:val="24"/>
          <w:highlight w:val="none"/>
        </w:rPr>
        <w:t>（</w:t>
      </w:r>
      <w:r>
        <w:rPr>
          <w:rFonts w:hint="eastAsia" w:ascii="Calibri" w:hAnsi="Calibri" w:cs="宋体"/>
          <w:sz w:val="24"/>
          <w:szCs w:val="24"/>
          <w:highlight w:val="none"/>
          <w:lang w:val="en-US" w:eastAsia="zh-CN"/>
        </w:rPr>
        <w:t>二</w:t>
      </w:r>
      <w:r>
        <w:rPr>
          <w:rFonts w:hint="eastAsia" w:ascii="Calibri" w:hAnsi="Calibri" w:cs="宋体"/>
          <w:sz w:val="24"/>
          <w:szCs w:val="24"/>
          <w:highlight w:val="none"/>
        </w:rPr>
        <w:t>）是否针对中小微企业：</w:t>
      </w:r>
      <w:r>
        <w:rPr>
          <w:rFonts w:hint="eastAsia" w:ascii="Calibri" w:hAnsi="Calibri" w:cs="宋体"/>
          <w:sz w:val="24"/>
          <w:szCs w:val="24"/>
          <w:highlight w:val="none"/>
          <w:lang w:eastAsia="zh-CN"/>
        </w:rPr>
        <w:t>否</w:t>
      </w:r>
      <w:r>
        <w:rPr>
          <w:rFonts w:hint="eastAsia" w:ascii="Calibri" w:hAnsi="Calibri" w:cs="宋体"/>
          <w:sz w:val="24"/>
          <w:szCs w:val="24"/>
          <w:highlight w:val="none"/>
        </w:rPr>
        <w:t>。</w:t>
      </w:r>
    </w:p>
    <w:p>
      <w:pPr>
        <w:widowControl w:val="0"/>
        <w:spacing w:line="400" w:lineRule="exact"/>
        <w:ind w:firstLine="540" w:firstLineChars="225"/>
        <w:rPr>
          <w:rFonts w:ascii="Calibri" w:hAnsi="Calibri" w:cs="Times New Roman"/>
          <w:sz w:val="24"/>
          <w:szCs w:val="24"/>
          <w:highlight w:val="none"/>
        </w:rPr>
      </w:pPr>
      <w:r>
        <w:rPr>
          <w:rFonts w:hint="eastAsia" w:ascii="Calibri" w:hAnsi="Calibri" w:cs="宋体"/>
          <w:sz w:val="24"/>
          <w:szCs w:val="24"/>
          <w:highlight w:val="none"/>
        </w:rPr>
        <w:t>五．获取招标文件方式</w:t>
      </w:r>
    </w:p>
    <w:p>
      <w:pPr>
        <w:widowControl w:val="0"/>
        <w:wordWrap w:val="0"/>
        <w:adjustRightInd w:val="0"/>
        <w:snapToGrid w:val="0"/>
        <w:spacing w:before="120" w:after="120" w:line="500" w:lineRule="exact"/>
        <w:ind w:firstLine="480" w:firstLineChars="200"/>
        <w:rPr>
          <w:rFonts w:hint="eastAsia" w:ascii="宋体" w:hAnsi="Courier New" w:cs="宋体"/>
          <w:sz w:val="24"/>
          <w:szCs w:val="24"/>
          <w:highlight w:val="none"/>
        </w:rPr>
      </w:pPr>
      <w:r>
        <w:rPr>
          <w:rFonts w:hint="eastAsia" w:ascii="宋体" w:hAnsi="Courier New" w:cs="宋体"/>
          <w:sz w:val="24"/>
          <w:szCs w:val="24"/>
          <w:highlight w:val="none"/>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hint="eastAsia" w:ascii="宋体" w:hAnsi="Courier New" w:cs="宋体"/>
          <w:sz w:val="24"/>
          <w:szCs w:val="24"/>
          <w:highlight w:val="none"/>
        </w:rPr>
      </w:pPr>
      <w:r>
        <w:rPr>
          <w:rFonts w:hint="eastAsia" w:ascii="宋体" w:hAnsi="Courier New" w:cs="宋体"/>
          <w:sz w:val="24"/>
          <w:szCs w:val="24"/>
          <w:highlight w:val="none"/>
        </w:rPr>
        <w:t>2、地点：政采云平台（https://zfcg.czt.zj.gov.cn/）；</w:t>
      </w:r>
    </w:p>
    <w:p>
      <w:pPr>
        <w:widowControl w:val="0"/>
        <w:wordWrap w:val="0"/>
        <w:adjustRightInd w:val="0"/>
        <w:snapToGrid w:val="0"/>
        <w:spacing w:before="120" w:after="120" w:line="500" w:lineRule="exact"/>
        <w:ind w:firstLine="480" w:firstLineChars="200"/>
        <w:rPr>
          <w:rFonts w:hint="eastAsia" w:ascii="宋体" w:hAnsi="Courier New" w:cs="宋体"/>
          <w:sz w:val="24"/>
          <w:szCs w:val="24"/>
          <w:highlight w:val="none"/>
        </w:rPr>
      </w:pPr>
      <w:r>
        <w:rPr>
          <w:rFonts w:hint="eastAsia" w:ascii="宋体" w:hAnsi="Courier New" w:cs="宋体"/>
          <w:sz w:val="24"/>
          <w:szCs w:val="24"/>
          <w:highlight w:val="none"/>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hint="eastAsia" w:ascii="宋体" w:hAnsi="Courier New" w:cs="宋体"/>
          <w:sz w:val="24"/>
          <w:szCs w:val="24"/>
          <w:highlight w:val="none"/>
        </w:rPr>
      </w:pPr>
      <w:r>
        <w:rPr>
          <w:rFonts w:hint="eastAsia" w:ascii="宋体" w:hAnsi="Courier New" w:cs="宋体"/>
          <w:sz w:val="24"/>
          <w:szCs w:val="24"/>
          <w:highlight w:val="none"/>
        </w:rPr>
        <w:t>4、供应商获取招标文件时须提交的文件资料：无</w:t>
      </w:r>
    </w:p>
    <w:p>
      <w:pPr>
        <w:widowControl w:val="0"/>
        <w:wordWrap w:val="0"/>
        <w:adjustRightInd w:val="0"/>
        <w:snapToGrid w:val="0"/>
        <w:spacing w:before="120" w:after="120" w:line="500" w:lineRule="exact"/>
        <w:ind w:firstLine="480" w:firstLineChars="200"/>
        <w:rPr>
          <w:rFonts w:hint="eastAsia" w:ascii="宋体" w:hAnsi="Courier New" w:cs="宋体"/>
          <w:sz w:val="24"/>
          <w:szCs w:val="24"/>
          <w:highlight w:val="none"/>
        </w:rPr>
      </w:pPr>
      <w:r>
        <w:rPr>
          <w:rFonts w:hint="eastAsia" w:ascii="宋体" w:hAnsi="Courier New" w:cs="宋体"/>
          <w:sz w:val="24"/>
          <w:szCs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hint="eastAsia" w:ascii="宋体" w:hAnsi="Courier New" w:cs="宋体"/>
          <w:sz w:val="24"/>
          <w:szCs w:val="24"/>
          <w:highlight w:val="none"/>
        </w:rPr>
      </w:pPr>
      <w:r>
        <w:rPr>
          <w:rFonts w:hint="eastAsia" w:ascii="宋体" w:hAnsi="Courier New" w:cs="宋体"/>
          <w:sz w:val="24"/>
          <w:szCs w:val="24"/>
          <w:highlight w:val="none"/>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ascii="宋体" w:hAnsi="Courier New" w:cs="Times New Roman"/>
          <w:sz w:val="24"/>
          <w:szCs w:val="24"/>
          <w:highlight w:val="none"/>
        </w:rPr>
      </w:pPr>
      <w:r>
        <w:rPr>
          <w:rFonts w:hint="eastAsia" w:ascii="宋体" w:hAnsi="Courier New" w:cs="宋体"/>
          <w:sz w:val="24"/>
          <w:szCs w:val="24"/>
          <w:highlight w:val="none"/>
        </w:rPr>
        <w:t>六、投标说明</w:t>
      </w:r>
    </w:p>
    <w:p>
      <w:pPr>
        <w:widowControl w:val="0"/>
        <w:wordWrap w:val="0"/>
        <w:adjustRightInd w:val="0"/>
        <w:snapToGrid w:val="0"/>
        <w:spacing w:before="120" w:after="120" w:line="500" w:lineRule="exact"/>
        <w:ind w:firstLine="480" w:firstLineChars="200"/>
        <w:rPr>
          <w:rFonts w:hint="eastAsia" w:ascii="宋体" w:hAnsi="Courier New" w:cs="宋体"/>
          <w:sz w:val="24"/>
          <w:szCs w:val="24"/>
          <w:highlight w:val="none"/>
        </w:rPr>
      </w:pPr>
      <w:r>
        <w:rPr>
          <w:rFonts w:hint="eastAsia" w:ascii="宋体" w:hAnsi="Courier New" w:cs="宋体"/>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val="0"/>
        <w:wordWrap w:val="0"/>
        <w:adjustRightInd w:val="0"/>
        <w:snapToGrid w:val="0"/>
        <w:spacing w:before="120" w:after="120" w:line="500" w:lineRule="exact"/>
        <w:ind w:firstLine="480" w:firstLineChars="200"/>
        <w:rPr>
          <w:rFonts w:hint="eastAsia" w:ascii="宋体" w:hAnsi="Courier New" w:cs="宋体"/>
          <w:sz w:val="24"/>
          <w:szCs w:val="24"/>
          <w:highlight w:val="none"/>
        </w:rPr>
      </w:pPr>
      <w:r>
        <w:rPr>
          <w:rFonts w:hint="eastAsia" w:ascii="宋体" w:hAnsi="Courier New" w:cs="宋体"/>
          <w:sz w:val="24"/>
          <w:szCs w:val="24"/>
          <w:highlight w:val="none"/>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highlight w:val="none"/>
        </w:rPr>
      </w:pPr>
      <w:r>
        <w:rPr>
          <w:rFonts w:hint="eastAsia" w:ascii="宋体" w:hAnsi="Courier New" w:cs="宋体"/>
          <w:sz w:val="24"/>
          <w:szCs w:val="24"/>
          <w:highlight w:val="none"/>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ascii="Calibri" w:hAnsi="Calibri" w:cs="Calibri"/>
          <w:sz w:val="24"/>
          <w:szCs w:val="24"/>
          <w:highlight w:val="none"/>
        </w:rPr>
      </w:pPr>
      <w:r>
        <w:rPr>
          <w:rFonts w:hint="eastAsia" w:ascii="Calibri" w:hAnsi="Calibri" w:cs="宋体"/>
          <w:sz w:val="24"/>
          <w:szCs w:val="24"/>
          <w:highlight w:val="none"/>
        </w:rPr>
        <w:t>投标截止时间：</w:t>
      </w:r>
      <w:r>
        <w:rPr>
          <w:rFonts w:hint="eastAsia" w:ascii="Calibri" w:hAnsi="Calibri" w:cs="Calibri"/>
          <w:color w:val="FF0000"/>
          <w:sz w:val="24"/>
          <w:szCs w:val="24"/>
          <w:highlight w:val="none"/>
        </w:rPr>
        <w:t>202</w:t>
      </w:r>
      <w:r>
        <w:rPr>
          <w:rFonts w:hint="eastAsia" w:ascii="Calibri" w:hAnsi="Calibri" w:cs="Calibri"/>
          <w:color w:val="FF0000"/>
          <w:sz w:val="24"/>
          <w:szCs w:val="24"/>
          <w:highlight w:val="none"/>
          <w:lang w:val="en-US" w:eastAsia="zh-CN"/>
        </w:rPr>
        <w:t>2</w:t>
      </w:r>
      <w:r>
        <w:rPr>
          <w:rFonts w:hint="eastAsia" w:ascii="Calibri" w:hAnsi="Calibri" w:cs="Calibri"/>
          <w:color w:val="FF0000"/>
          <w:sz w:val="24"/>
          <w:szCs w:val="24"/>
          <w:highlight w:val="none"/>
        </w:rPr>
        <w:t>年</w:t>
      </w:r>
      <w:r>
        <w:rPr>
          <w:rFonts w:hint="eastAsia" w:ascii="Calibri" w:hAnsi="Calibri" w:cs="Calibri"/>
          <w:color w:val="FF0000"/>
          <w:sz w:val="24"/>
          <w:szCs w:val="24"/>
          <w:highlight w:val="none"/>
          <w:lang w:val="en-US" w:eastAsia="zh-CN"/>
        </w:rPr>
        <w:t>9</w:t>
      </w:r>
      <w:r>
        <w:rPr>
          <w:rFonts w:hint="eastAsia" w:ascii="Calibri" w:hAnsi="Calibri" w:cs="Calibri"/>
          <w:color w:val="FF0000"/>
          <w:sz w:val="24"/>
          <w:szCs w:val="24"/>
          <w:highlight w:val="none"/>
        </w:rPr>
        <w:t>月</w:t>
      </w:r>
      <w:r>
        <w:rPr>
          <w:rFonts w:hint="eastAsia" w:ascii="Calibri" w:hAnsi="Calibri" w:cs="Calibri"/>
          <w:color w:val="FF0000"/>
          <w:sz w:val="24"/>
          <w:szCs w:val="24"/>
          <w:highlight w:val="none"/>
          <w:lang w:val="en-US" w:eastAsia="zh-CN"/>
        </w:rPr>
        <w:t>16</w:t>
      </w:r>
      <w:r>
        <w:rPr>
          <w:rFonts w:hint="eastAsia" w:ascii="Calibri" w:hAnsi="Calibri" w:cs="Calibri"/>
          <w:color w:val="FF0000"/>
          <w:sz w:val="24"/>
          <w:szCs w:val="24"/>
          <w:highlight w:val="none"/>
        </w:rPr>
        <w:t>日</w:t>
      </w:r>
      <w:r>
        <w:rPr>
          <w:rFonts w:hint="eastAsia" w:ascii="Calibri" w:hAnsi="Calibri" w:cs="Calibri"/>
          <w:color w:val="FF0000"/>
          <w:sz w:val="24"/>
          <w:szCs w:val="24"/>
          <w:highlight w:val="none"/>
          <w:lang w:val="en-US" w:eastAsia="zh-CN"/>
        </w:rPr>
        <w:t>09</w:t>
      </w:r>
      <w:r>
        <w:rPr>
          <w:rFonts w:hint="eastAsia" w:ascii="Calibri" w:hAnsi="Calibri" w:cs="Calibri"/>
          <w:color w:val="FF0000"/>
          <w:sz w:val="24"/>
          <w:szCs w:val="24"/>
          <w:highlight w:val="none"/>
        </w:rPr>
        <w:t>:</w:t>
      </w:r>
      <w:r>
        <w:rPr>
          <w:rFonts w:hint="eastAsia" w:ascii="Calibri" w:hAnsi="Calibri" w:cs="Calibri"/>
          <w:color w:val="FF0000"/>
          <w:sz w:val="24"/>
          <w:szCs w:val="24"/>
          <w:highlight w:val="none"/>
          <w:lang w:val="en-US" w:eastAsia="zh-CN"/>
        </w:rPr>
        <w:t>0</w:t>
      </w:r>
      <w:r>
        <w:rPr>
          <w:rFonts w:hint="eastAsia" w:ascii="Calibri" w:hAnsi="Calibri" w:cs="Calibri"/>
          <w:color w:val="FF0000"/>
          <w:sz w:val="24"/>
          <w:szCs w:val="24"/>
          <w:highlight w:val="none"/>
        </w:rPr>
        <w:t>0:00</w:t>
      </w:r>
    </w:p>
    <w:p>
      <w:pPr>
        <w:widowControl w:val="0"/>
        <w:adjustRightInd w:val="0"/>
        <w:snapToGrid w:val="0"/>
        <w:spacing w:before="120" w:after="120" w:line="500" w:lineRule="exact"/>
        <w:ind w:firstLine="480" w:firstLineChars="200"/>
        <w:rPr>
          <w:rFonts w:hint="eastAsia" w:ascii="Calibri" w:hAnsi="Calibri" w:cs="宋体"/>
          <w:sz w:val="24"/>
          <w:szCs w:val="24"/>
          <w:highlight w:val="none"/>
        </w:rPr>
      </w:pPr>
      <w:r>
        <w:rPr>
          <w:rFonts w:hint="eastAsia" w:ascii="Calibri" w:hAnsi="Calibri" w:cs="宋体"/>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18"/>
        <w:adjustRightInd w:val="0"/>
        <w:snapToGrid w:val="0"/>
        <w:spacing w:line="500" w:lineRule="exact"/>
        <w:ind w:firstLine="482" w:firstLineChars="201"/>
        <w:rPr>
          <w:rFonts w:hint="eastAsia" w:ascii="Calibri" w:hAnsi="Calibri" w:cs="宋体"/>
          <w:sz w:val="24"/>
          <w:szCs w:val="24"/>
          <w:highlight w:val="none"/>
        </w:rPr>
      </w:pPr>
      <w:r>
        <w:rPr>
          <w:rFonts w:hint="eastAsia" w:ascii="Calibri" w:hAnsi="Calibri" w:cs="宋体"/>
          <w:color w:val="FF0000"/>
          <w:sz w:val="24"/>
          <w:szCs w:val="24"/>
          <w:highlight w:val="none"/>
        </w:rPr>
        <w:t>如认为需要，投标人可以选择递交备份投标文件，</w:t>
      </w:r>
      <w:r>
        <w:rPr>
          <w:rFonts w:hint="eastAsia" w:ascii="Calibri" w:hAnsi="Calibri" w:cs="宋体"/>
          <w:sz w:val="24"/>
          <w:szCs w:val="24"/>
          <w:highlight w:val="none"/>
        </w:rPr>
        <w:t>采用数据电文形式，以U盘或DVD光盘形式存储，并在投标截止时间前，通过邮寄方式，送达指定地点，逾期送达或未密封将被拒收。</w:t>
      </w:r>
    </w:p>
    <w:p>
      <w:pPr>
        <w:pStyle w:val="18"/>
        <w:adjustRightInd w:val="0"/>
        <w:snapToGrid w:val="0"/>
        <w:spacing w:line="500" w:lineRule="exact"/>
        <w:ind w:firstLine="482" w:firstLineChars="201"/>
        <w:rPr>
          <w:highlight w:val="none"/>
        </w:rPr>
      </w:pPr>
      <w:r>
        <w:rPr>
          <w:rFonts w:hint="eastAsia" w:ascii="Calibri" w:hAnsi="Calibri" w:cs="宋体"/>
          <w:sz w:val="24"/>
          <w:szCs w:val="24"/>
          <w:highlight w:val="none"/>
        </w:rPr>
        <w:t>收件人：王飞，联系方式：15306795918，收件地址：浙江省金华市永康市世贸中心南2-1405，收件时间上午08:30-11:30 下午：13:30-17:00。</w:t>
      </w:r>
    </w:p>
    <w:p>
      <w:pPr>
        <w:widowControl w:val="0"/>
        <w:spacing w:line="400" w:lineRule="exact"/>
        <w:ind w:firstLine="540" w:firstLineChars="225"/>
        <w:rPr>
          <w:rFonts w:ascii="Calibri" w:hAnsi="Calibri" w:cs="Calibri"/>
          <w:sz w:val="24"/>
          <w:szCs w:val="24"/>
          <w:highlight w:val="none"/>
        </w:rPr>
      </w:pPr>
      <w:r>
        <w:rPr>
          <w:rFonts w:hint="eastAsia" w:ascii="Calibri" w:hAnsi="Calibri" w:cs="宋体"/>
          <w:sz w:val="24"/>
          <w:szCs w:val="24"/>
          <w:highlight w:val="none"/>
        </w:rPr>
        <w:t>八．开标时间：</w:t>
      </w:r>
      <w:r>
        <w:rPr>
          <w:rFonts w:hint="eastAsia" w:ascii="Calibri" w:hAnsi="Calibri" w:cs="Calibri"/>
          <w:color w:val="FF0000"/>
          <w:sz w:val="24"/>
          <w:szCs w:val="24"/>
          <w:highlight w:val="none"/>
        </w:rPr>
        <w:t>202</w:t>
      </w:r>
      <w:r>
        <w:rPr>
          <w:rFonts w:hint="eastAsia" w:ascii="Calibri" w:hAnsi="Calibri" w:cs="Calibri"/>
          <w:color w:val="FF0000"/>
          <w:sz w:val="24"/>
          <w:szCs w:val="24"/>
          <w:highlight w:val="none"/>
          <w:lang w:val="en-US" w:eastAsia="zh-CN"/>
        </w:rPr>
        <w:t>2</w:t>
      </w:r>
      <w:r>
        <w:rPr>
          <w:rFonts w:hint="eastAsia" w:ascii="Calibri" w:hAnsi="Calibri" w:cs="Calibri"/>
          <w:color w:val="FF0000"/>
          <w:sz w:val="24"/>
          <w:szCs w:val="24"/>
          <w:highlight w:val="none"/>
        </w:rPr>
        <w:t>年</w:t>
      </w:r>
      <w:r>
        <w:rPr>
          <w:rFonts w:hint="eastAsia" w:ascii="Calibri" w:hAnsi="Calibri" w:cs="Calibri"/>
          <w:color w:val="FF0000"/>
          <w:sz w:val="24"/>
          <w:szCs w:val="24"/>
          <w:highlight w:val="none"/>
          <w:lang w:val="en-US" w:eastAsia="zh-CN"/>
        </w:rPr>
        <w:t>9</w:t>
      </w:r>
      <w:r>
        <w:rPr>
          <w:rFonts w:hint="eastAsia" w:ascii="Calibri" w:hAnsi="Calibri" w:cs="Calibri"/>
          <w:color w:val="FF0000"/>
          <w:sz w:val="24"/>
          <w:szCs w:val="24"/>
          <w:highlight w:val="none"/>
        </w:rPr>
        <w:t>月</w:t>
      </w:r>
      <w:r>
        <w:rPr>
          <w:rFonts w:hint="eastAsia" w:ascii="Calibri" w:hAnsi="Calibri" w:cs="Calibri"/>
          <w:color w:val="FF0000"/>
          <w:sz w:val="24"/>
          <w:szCs w:val="24"/>
          <w:highlight w:val="none"/>
          <w:lang w:val="en-US" w:eastAsia="zh-CN"/>
        </w:rPr>
        <w:t>16</w:t>
      </w:r>
      <w:r>
        <w:rPr>
          <w:rFonts w:hint="eastAsia" w:ascii="Calibri" w:hAnsi="Calibri" w:cs="Calibri"/>
          <w:color w:val="FF0000"/>
          <w:sz w:val="24"/>
          <w:szCs w:val="24"/>
          <w:highlight w:val="none"/>
        </w:rPr>
        <w:t xml:space="preserve">日 </w:t>
      </w:r>
      <w:r>
        <w:rPr>
          <w:rFonts w:hint="eastAsia" w:ascii="Calibri" w:hAnsi="Calibri" w:cs="Calibri"/>
          <w:color w:val="FF0000"/>
          <w:sz w:val="24"/>
          <w:szCs w:val="24"/>
          <w:highlight w:val="none"/>
          <w:lang w:val="en-US" w:eastAsia="zh-CN"/>
        </w:rPr>
        <w:t>09</w:t>
      </w:r>
      <w:r>
        <w:rPr>
          <w:rFonts w:hint="eastAsia" w:ascii="Calibri" w:hAnsi="Calibri" w:cs="Calibri"/>
          <w:color w:val="FF0000"/>
          <w:sz w:val="24"/>
          <w:szCs w:val="24"/>
          <w:highlight w:val="none"/>
        </w:rPr>
        <w:t>:</w:t>
      </w:r>
      <w:r>
        <w:rPr>
          <w:rFonts w:hint="eastAsia" w:ascii="Calibri" w:hAnsi="Calibri" w:cs="Calibri"/>
          <w:color w:val="FF0000"/>
          <w:sz w:val="24"/>
          <w:szCs w:val="24"/>
          <w:highlight w:val="none"/>
          <w:lang w:val="en-US" w:eastAsia="zh-CN"/>
        </w:rPr>
        <w:t>0</w:t>
      </w:r>
      <w:r>
        <w:rPr>
          <w:rFonts w:hint="eastAsia" w:ascii="Calibri" w:hAnsi="Calibri" w:cs="Calibri"/>
          <w:color w:val="FF0000"/>
          <w:sz w:val="24"/>
          <w:szCs w:val="24"/>
          <w:highlight w:val="none"/>
        </w:rPr>
        <w:t>0:00</w:t>
      </w:r>
    </w:p>
    <w:p>
      <w:pPr>
        <w:spacing w:line="420" w:lineRule="exact"/>
        <w:ind w:firstLine="480" w:firstLineChars="200"/>
        <w:rPr>
          <w:rFonts w:hint="eastAsia" w:ascii="宋体" w:cs="宋体"/>
          <w:sz w:val="24"/>
          <w:highlight w:val="none"/>
        </w:rPr>
      </w:pPr>
      <w:r>
        <w:rPr>
          <w:rFonts w:hint="eastAsia" w:ascii="Calibri" w:hAnsi="Calibri" w:cs="宋体"/>
          <w:sz w:val="24"/>
          <w:szCs w:val="24"/>
          <w:highlight w:val="none"/>
        </w:rPr>
        <w:t>九．开标地址：</w:t>
      </w:r>
      <w:r>
        <w:rPr>
          <w:rFonts w:hint="eastAsia" w:ascii="宋体" w:cs="宋体"/>
          <w:sz w:val="24"/>
          <w:highlight w:val="none"/>
        </w:rPr>
        <w:t>金华市政府采购中心永康市分中心(永康市五湖路1号国际会展中心办公楼三楼)。</w:t>
      </w:r>
      <w:r>
        <w:rPr>
          <w:rFonts w:hint="eastAsia" w:ascii="宋体" w:cs="宋体"/>
          <w:b/>
          <w:bCs/>
          <w:color w:val="FF0000"/>
          <w:sz w:val="24"/>
          <w:highlight w:val="none"/>
        </w:rPr>
        <w:t>鉴于近期“新冠疫情”防控需要，建议投标人授权代表不到开标现场。</w:t>
      </w:r>
    </w:p>
    <w:p>
      <w:pPr>
        <w:widowControl w:val="0"/>
        <w:spacing w:line="400" w:lineRule="exact"/>
        <w:ind w:firstLine="540" w:firstLineChars="225"/>
        <w:rPr>
          <w:rFonts w:ascii="Calibri" w:hAnsi="Calibri" w:cs="Times New Roman"/>
          <w:color w:val="FF0000"/>
          <w:sz w:val="24"/>
          <w:szCs w:val="24"/>
          <w:highlight w:val="none"/>
        </w:rPr>
      </w:pPr>
      <w:r>
        <w:rPr>
          <w:rFonts w:hint="eastAsia" w:ascii="Calibri" w:hAnsi="Calibri" w:cs="宋体"/>
          <w:sz w:val="24"/>
          <w:szCs w:val="24"/>
          <w:highlight w:val="none"/>
        </w:rPr>
        <w:t>十．投标保证金：</w:t>
      </w:r>
      <w:r>
        <w:rPr>
          <w:rFonts w:hint="eastAsia" w:ascii="Calibri" w:hAnsi="Calibri" w:cs="宋体"/>
          <w:color w:val="FF0000"/>
          <w:sz w:val="24"/>
          <w:szCs w:val="24"/>
          <w:highlight w:val="none"/>
        </w:rPr>
        <w:t>本项目不收取投标保证金。</w:t>
      </w:r>
    </w:p>
    <w:p>
      <w:pPr>
        <w:widowControl w:val="0"/>
        <w:spacing w:line="400" w:lineRule="exact"/>
        <w:ind w:firstLine="480" w:firstLineChars="200"/>
        <w:rPr>
          <w:rFonts w:ascii="Calibri" w:hAnsi="Calibri" w:cs="Times New Roman"/>
          <w:sz w:val="24"/>
          <w:szCs w:val="24"/>
          <w:highlight w:val="none"/>
        </w:rPr>
      </w:pPr>
      <w:r>
        <w:rPr>
          <w:rFonts w:hint="eastAsia" w:ascii="Calibri" w:hAnsi="Calibri" w:cs="宋体"/>
          <w:sz w:val="24"/>
          <w:szCs w:val="24"/>
          <w:highlight w:val="none"/>
        </w:rPr>
        <w:t>十一．联系方式</w:t>
      </w:r>
    </w:p>
    <w:p>
      <w:pPr>
        <w:widowControl w:val="0"/>
        <w:spacing w:line="400" w:lineRule="exact"/>
        <w:ind w:firstLine="480" w:firstLineChars="200"/>
        <w:rPr>
          <w:rFonts w:hint="eastAsia" w:ascii="Calibri" w:hAnsi="Calibri" w:cs="Times New Roman"/>
          <w:sz w:val="24"/>
          <w:szCs w:val="24"/>
          <w:highlight w:val="none"/>
        </w:rPr>
      </w:pPr>
      <w:r>
        <w:rPr>
          <w:rFonts w:ascii="Calibri" w:hAnsi="Calibri" w:cs="Calibri"/>
          <w:sz w:val="24"/>
          <w:szCs w:val="24"/>
          <w:highlight w:val="none"/>
        </w:rPr>
        <w:t>1</w:t>
      </w:r>
      <w:r>
        <w:rPr>
          <w:rFonts w:hint="eastAsia" w:ascii="Calibri" w:hAnsi="Calibri" w:cs="宋体"/>
          <w:sz w:val="24"/>
          <w:szCs w:val="24"/>
          <w:highlight w:val="none"/>
        </w:rPr>
        <w:t>、采购代理机构名称：金华市创佳工程项目管理有限公司</w:t>
      </w:r>
    </w:p>
    <w:p>
      <w:pPr>
        <w:widowControl w:val="0"/>
        <w:spacing w:line="400" w:lineRule="exact"/>
        <w:ind w:firstLine="540" w:firstLineChars="225"/>
        <w:rPr>
          <w:rFonts w:hint="eastAsia" w:ascii="Calibri" w:hAnsi="Calibri" w:cs="Times New Roman"/>
          <w:sz w:val="24"/>
          <w:szCs w:val="24"/>
          <w:highlight w:val="none"/>
        </w:rPr>
      </w:pPr>
      <w:r>
        <w:rPr>
          <w:rFonts w:hint="eastAsia" w:ascii="Calibri" w:hAnsi="Calibri" w:cs="宋体"/>
          <w:sz w:val="24"/>
          <w:szCs w:val="24"/>
          <w:highlight w:val="none"/>
        </w:rPr>
        <w:t>业务咨询联系人：王飞</w:t>
      </w:r>
    </w:p>
    <w:p>
      <w:pPr>
        <w:widowControl w:val="0"/>
        <w:spacing w:line="400" w:lineRule="exact"/>
        <w:ind w:firstLine="540" w:firstLineChars="225"/>
        <w:rPr>
          <w:rFonts w:ascii="Calibri" w:hAnsi="Calibri" w:cs="Calibri"/>
          <w:sz w:val="24"/>
          <w:szCs w:val="24"/>
          <w:highlight w:val="none"/>
        </w:rPr>
      </w:pPr>
      <w:r>
        <w:rPr>
          <w:rFonts w:hint="eastAsia" w:ascii="Calibri" w:hAnsi="Calibri" w:cs="宋体"/>
          <w:sz w:val="24"/>
          <w:szCs w:val="24"/>
          <w:highlight w:val="none"/>
        </w:rPr>
        <w:t>联系电话：</w:t>
      </w:r>
      <w:r>
        <w:rPr>
          <w:rFonts w:ascii="Calibri" w:hAnsi="Calibri" w:cs="Calibri"/>
          <w:sz w:val="24"/>
          <w:szCs w:val="24"/>
          <w:highlight w:val="none"/>
        </w:rPr>
        <w:t>0579-</w:t>
      </w:r>
      <w:r>
        <w:rPr>
          <w:rFonts w:hint="eastAsia" w:ascii="Calibri" w:hAnsi="Calibri" w:cs="Calibri"/>
          <w:sz w:val="24"/>
          <w:szCs w:val="24"/>
          <w:highlight w:val="none"/>
        </w:rPr>
        <w:t>87447077</w:t>
      </w:r>
    </w:p>
    <w:p>
      <w:pPr>
        <w:widowControl w:val="0"/>
        <w:spacing w:line="400" w:lineRule="exact"/>
        <w:ind w:firstLine="540" w:firstLineChars="225"/>
        <w:rPr>
          <w:rFonts w:ascii="Calibri" w:hAnsi="Calibri" w:cs="Calibri"/>
          <w:sz w:val="24"/>
          <w:szCs w:val="24"/>
          <w:highlight w:val="none"/>
        </w:rPr>
      </w:pPr>
      <w:r>
        <w:rPr>
          <w:rFonts w:hint="eastAsia" w:ascii="Calibri" w:hAnsi="Calibri" w:cs="宋体"/>
          <w:sz w:val="24"/>
          <w:szCs w:val="24"/>
          <w:highlight w:val="none"/>
        </w:rPr>
        <w:t>传真：</w:t>
      </w:r>
      <w:r>
        <w:rPr>
          <w:rFonts w:ascii="Calibri" w:hAnsi="Calibri" w:cs="Calibri"/>
          <w:sz w:val="24"/>
          <w:szCs w:val="24"/>
          <w:highlight w:val="none"/>
        </w:rPr>
        <w:t>0579-</w:t>
      </w:r>
      <w:r>
        <w:rPr>
          <w:rFonts w:hint="eastAsia" w:ascii="Calibri" w:hAnsi="Calibri" w:cs="Calibri"/>
          <w:sz w:val="24"/>
          <w:szCs w:val="24"/>
          <w:highlight w:val="none"/>
        </w:rPr>
        <w:t>87449099</w:t>
      </w:r>
    </w:p>
    <w:p>
      <w:pPr>
        <w:widowControl w:val="0"/>
        <w:spacing w:line="400" w:lineRule="exact"/>
        <w:ind w:firstLine="540" w:firstLineChars="225"/>
        <w:rPr>
          <w:rFonts w:ascii="Calibri" w:hAnsi="Calibri" w:cs="Times New Roman"/>
          <w:sz w:val="24"/>
          <w:szCs w:val="24"/>
          <w:highlight w:val="none"/>
        </w:rPr>
      </w:pPr>
      <w:r>
        <w:rPr>
          <w:rFonts w:hint="eastAsia" w:ascii="Calibri" w:hAnsi="Calibri" w:cs="宋体"/>
          <w:sz w:val="24"/>
          <w:szCs w:val="24"/>
          <w:highlight w:val="none"/>
        </w:rPr>
        <w:t>地址：永康市世贸中心南2-1405</w:t>
      </w:r>
    </w:p>
    <w:p>
      <w:pPr>
        <w:widowControl w:val="0"/>
        <w:wordWrap w:val="0"/>
        <w:spacing w:line="480" w:lineRule="atLeast"/>
        <w:ind w:firstLine="480" w:firstLineChars="200"/>
        <w:rPr>
          <w:rFonts w:hint="eastAsia" w:ascii="Calibri" w:hAnsi="Calibri" w:eastAsia="宋体" w:cs="Calibri"/>
          <w:sz w:val="24"/>
          <w:szCs w:val="24"/>
          <w:highlight w:val="none"/>
          <w:lang w:eastAsia="zh-CN"/>
        </w:rPr>
      </w:pPr>
      <w:r>
        <w:rPr>
          <w:rFonts w:hint="eastAsia" w:ascii="Calibri" w:hAnsi="Calibri" w:cs="Calibri"/>
          <w:sz w:val="24"/>
          <w:szCs w:val="24"/>
          <w:highlight w:val="none"/>
        </w:rPr>
        <w:t>2、采购人名称：</w:t>
      </w:r>
      <w:r>
        <w:rPr>
          <w:rFonts w:hint="eastAsia" w:ascii="Calibri" w:hAnsi="Calibri" w:cs="Calibri"/>
          <w:sz w:val="24"/>
          <w:szCs w:val="24"/>
          <w:highlight w:val="none"/>
          <w:lang w:eastAsia="zh-CN"/>
        </w:rPr>
        <w:t>永康市公安局 </w:t>
      </w:r>
    </w:p>
    <w:p>
      <w:pPr>
        <w:keepNext w:val="0"/>
        <w:keepLines w:val="0"/>
        <w:pageBreakBefore w:val="0"/>
        <w:kinsoku/>
        <w:wordWrap/>
        <w:overflowPunct/>
        <w:topLinePunct w:val="0"/>
        <w:bidi w:val="0"/>
        <w:spacing w:line="360" w:lineRule="atLeast"/>
        <w:ind w:right="0" w:righ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Calibri" w:hAnsi="Calibri" w:cs="Calibri"/>
          <w:sz w:val="24"/>
          <w:szCs w:val="24"/>
          <w:highlight w:val="none"/>
        </w:rPr>
        <w:t>采</w:t>
      </w:r>
      <w:r>
        <w:rPr>
          <w:rFonts w:hint="eastAsia" w:ascii="宋体" w:hAnsi="宋体" w:eastAsia="宋体" w:cs="宋体"/>
          <w:kern w:val="2"/>
          <w:sz w:val="24"/>
          <w:szCs w:val="24"/>
          <w:highlight w:val="none"/>
          <w:lang w:val="en-US" w:eastAsia="zh-CN" w:bidi="ar-SA"/>
        </w:rPr>
        <w:t xml:space="preserve">购需求咨询联系人：黄欣 　   </w:t>
      </w:r>
    </w:p>
    <w:p>
      <w:pPr>
        <w:keepNext w:val="0"/>
        <w:keepLines w:val="0"/>
        <w:pageBreakBefore w:val="0"/>
        <w:kinsoku/>
        <w:wordWrap/>
        <w:overflowPunct/>
        <w:topLinePunct w:val="0"/>
        <w:bidi w:val="0"/>
        <w:spacing w:line="360" w:lineRule="atLeast"/>
        <w:ind w:right="0" w:righ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联系电话：0579-87165900</w:t>
      </w:r>
    </w:p>
    <w:p>
      <w:pPr>
        <w:keepNext w:val="0"/>
        <w:keepLines w:val="0"/>
        <w:pageBreakBefore w:val="0"/>
        <w:kinsoku/>
        <w:wordWrap/>
        <w:overflowPunct/>
        <w:topLinePunct w:val="0"/>
        <w:bidi w:val="0"/>
        <w:spacing w:line="360" w:lineRule="atLeast"/>
        <w:ind w:right="0" w:righ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地址：永康市花园大道山荷里</w:t>
      </w:r>
    </w:p>
    <w:p>
      <w:pPr>
        <w:widowControl w:val="0"/>
        <w:wordWrap w:val="0"/>
        <w:spacing w:line="480" w:lineRule="atLeast"/>
        <w:ind w:firstLine="480" w:firstLineChars="200"/>
        <w:rPr>
          <w:rFonts w:ascii="Calibri" w:hAnsi="Calibri" w:cs="Times New Roman"/>
          <w:sz w:val="24"/>
          <w:szCs w:val="24"/>
          <w:highlight w:val="none"/>
        </w:rPr>
      </w:pPr>
      <w:r>
        <w:rPr>
          <w:rFonts w:ascii="Calibri" w:hAnsi="Calibri" w:cs="Calibri"/>
          <w:sz w:val="24"/>
          <w:szCs w:val="24"/>
          <w:highlight w:val="none"/>
        </w:rPr>
        <w:t>3</w:t>
      </w:r>
      <w:r>
        <w:rPr>
          <w:rFonts w:hint="eastAsia" w:ascii="Calibri" w:hAnsi="Calibri" w:cs="宋体"/>
          <w:sz w:val="24"/>
          <w:szCs w:val="24"/>
          <w:highlight w:val="none"/>
        </w:rPr>
        <w:t>、同级政府采购监督管理部门名称：永康市财政局政府采购监管科</w:t>
      </w:r>
    </w:p>
    <w:p>
      <w:pPr>
        <w:widowControl w:val="0"/>
        <w:spacing w:line="400" w:lineRule="exact"/>
        <w:ind w:firstLine="600" w:firstLineChars="250"/>
        <w:rPr>
          <w:rFonts w:hint="eastAsia" w:ascii="Calibri" w:hAnsi="Calibri" w:eastAsia="宋体" w:cs="Times New Roman"/>
          <w:sz w:val="24"/>
          <w:szCs w:val="24"/>
          <w:highlight w:val="none"/>
          <w:lang w:eastAsia="zh-CN"/>
        </w:rPr>
      </w:pPr>
      <w:r>
        <w:rPr>
          <w:rFonts w:hint="eastAsia" w:ascii="Calibri" w:hAnsi="Calibri" w:cs="宋体"/>
          <w:sz w:val="24"/>
          <w:szCs w:val="24"/>
          <w:highlight w:val="none"/>
        </w:rPr>
        <w:t>联系人：宋</w:t>
      </w:r>
      <w:r>
        <w:rPr>
          <w:rFonts w:hint="eastAsia" w:ascii="Calibri" w:hAnsi="Calibri" w:cs="宋体"/>
          <w:sz w:val="24"/>
          <w:szCs w:val="24"/>
          <w:highlight w:val="none"/>
          <w:lang w:eastAsia="zh-CN"/>
        </w:rPr>
        <w:t>老师</w:t>
      </w:r>
    </w:p>
    <w:p>
      <w:pPr>
        <w:widowControl w:val="0"/>
        <w:spacing w:line="400" w:lineRule="exact"/>
        <w:ind w:firstLine="600" w:firstLineChars="250"/>
        <w:rPr>
          <w:rFonts w:ascii="Calibri" w:hAnsi="Calibri" w:cs="Calibri"/>
          <w:sz w:val="24"/>
          <w:szCs w:val="24"/>
          <w:highlight w:val="none"/>
        </w:rPr>
      </w:pPr>
      <w:r>
        <w:rPr>
          <w:rFonts w:hint="eastAsia" w:ascii="Calibri" w:hAnsi="Calibri" w:cs="宋体"/>
          <w:sz w:val="24"/>
          <w:szCs w:val="24"/>
          <w:highlight w:val="none"/>
        </w:rPr>
        <w:t>监督投诉电话：</w:t>
      </w:r>
      <w:r>
        <w:rPr>
          <w:rFonts w:ascii="Calibri" w:hAnsi="Calibri" w:cs="Calibri"/>
          <w:sz w:val="24"/>
          <w:szCs w:val="24"/>
          <w:highlight w:val="none"/>
        </w:rPr>
        <w:t>0579-87171293</w:t>
      </w:r>
    </w:p>
    <w:p>
      <w:pPr>
        <w:widowControl w:val="0"/>
        <w:spacing w:line="400" w:lineRule="exact"/>
        <w:ind w:firstLine="600" w:firstLineChars="250"/>
        <w:rPr>
          <w:rFonts w:ascii="Calibri" w:hAnsi="Calibri" w:cs="Calibri"/>
          <w:sz w:val="24"/>
          <w:szCs w:val="24"/>
          <w:highlight w:val="none"/>
        </w:rPr>
      </w:pPr>
      <w:r>
        <w:rPr>
          <w:rFonts w:hint="eastAsia" w:ascii="Calibri" w:hAnsi="Calibri" w:cs="宋体"/>
          <w:sz w:val="24"/>
          <w:szCs w:val="24"/>
          <w:highlight w:val="none"/>
        </w:rPr>
        <w:t>传真：</w:t>
      </w:r>
      <w:r>
        <w:rPr>
          <w:rFonts w:ascii="Calibri" w:hAnsi="Calibri" w:cs="Calibri"/>
          <w:sz w:val="24"/>
          <w:szCs w:val="24"/>
          <w:highlight w:val="none"/>
        </w:rPr>
        <w:t>0579-87171293</w:t>
      </w:r>
    </w:p>
    <w:p>
      <w:pPr>
        <w:widowControl w:val="0"/>
        <w:spacing w:line="400" w:lineRule="exact"/>
        <w:ind w:firstLine="600" w:firstLineChars="250"/>
        <w:rPr>
          <w:rFonts w:hint="eastAsia" w:ascii="Calibri" w:hAnsi="Calibri" w:cs="宋体"/>
          <w:sz w:val="24"/>
          <w:szCs w:val="24"/>
          <w:highlight w:val="none"/>
        </w:rPr>
      </w:pPr>
      <w:r>
        <w:rPr>
          <w:rFonts w:hint="eastAsia" w:ascii="Calibri" w:hAnsi="Calibri" w:cs="宋体"/>
          <w:sz w:val="24"/>
          <w:szCs w:val="24"/>
          <w:highlight w:val="none"/>
        </w:rPr>
        <w:t>地址：浙江省永康市总部中心花园大道</w:t>
      </w:r>
      <w:r>
        <w:rPr>
          <w:rFonts w:ascii="Calibri" w:hAnsi="Calibri" w:cs="Calibri"/>
          <w:sz w:val="24"/>
          <w:szCs w:val="24"/>
          <w:highlight w:val="none"/>
        </w:rPr>
        <w:t>585</w:t>
      </w:r>
      <w:r>
        <w:rPr>
          <w:rFonts w:hint="eastAsia" w:ascii="Calibri" w:hAnsi="Calibri" w:cs="宋体"/>
          <w:sz w:val="24"/>
          <w:szCs w:val="24"/>
          <w:highlight w:val="none"/>
        </w:rPr>
        <w:t>号</w:t>
      </w:r>
      <w:r>
        <w:rPr>
          <w:rFonts w:ascii="Calibri" w:hAnsi="Calibri" w:cs="Calibri"/>
          <w:sz w:val="24"/>
          <w:szCs w:val="24"/>
          <w:highlight w:val="none"/>
        </w:rPr>
        <w:t>208</w:t>
      </w:r>
      <w:r>
        <w:rPr>
          <w:rFonts w:hint="eastAsia" w:ascii="Calibri" w:hAnsi="Calibri" w:cs="宋体"/>
          <w:sz w:val="24"/>
          <w:szCs w:val="24"/>
          <w:highlight w:val="none"/>
        </w:rPr>
        <w:t>室</w:t>
      </w:r>
    </w:p>
    <w:p>
      <w:pPr>
        <w:widowControl w:val="0"/>
        <w:numPr>
          <w:ilvl w:val="0"/>
          <w:numId w:val="4"/>
        </w:numPr>
        <w:wordWrap w:val="0"/>
        <w:spacing w:line="480" w:lineRule="atLeast"/>
        <w:ind w:firstLine="480" w:firstLineChars="200"/>
        <w:rPr>
          <w:rFonts w:hint="eastAsia" w:ascii="Calibri" w:hAnsi="Calibri" w:cs="宋体"/>
          <w:sz w:val="24"/>
          <w:szCs w:val="24"/>
          <w:highlight w:val="none"/>
        </w:rPr>
      </w:pPr>
      <w:r>
        <w:rPr>
          <w:rFonts w:hint="eastAsia" w:ascii="Calibri" w:hAnsi="Calibri" w:cs="宋体"/>
          <w:sz w:val="24"/>
          <w:szCs w:val="24"/>
          <w:highlight w:val="none"/>
        </w:rPr>
        <w:t>系统技术支持：政采云有限公司</w:t>
      </w:r>
    </w:p>
    <w:p>
      <w:pPr>
        <w:widowControl w:val="0"/>
        <w:spacing w:line="400" w:lineRule="exact"/>
        <w:ind w:firstLine="600" w:firstLineChars="250"/>
        <w:rPr>
          <w:rFonts w:hint="eastAsia" w:ascii="Calibri" w:hAnsi="Calibri" w:cs="Calibri"/>
          <w:sz w:val="24"/>
          <w:szCs w:val="24"/>
          <w:highlight w:val="none"/>
        </w:rPr>
      </w:pPr>
      <w:r>
        <w:rPr>
          <w:rFonts w:hint="eastAsia" w:ascii="Calibri" w:hAnsi="Calibri" w:cs="Calibri"/>
          <w:sz w:val="24"/>
          <w:szCs w:val="24"/>
          <w:highlight w:val="none"/>
        </w:rPr>
        <w:t>联系人：客服</w:t>
      </w:r>
    </w:p>
    <w:p>
      <w:pPr>
        <w:widowControl w:val="0"/>
        <w:spacing w:line="400" w:lineRule="exact"/>
        <w:ind w:firstLine="600" w:firstLineChars="250"/>
        <w:rPr>
          <w:highlight w:val="none"/>
        </w:rPr>
      </w:pPr>
      <w:r>
        <w:rPr>
          <w:rFonts w:hint="eastAsia" w:ascii="Calibri" w:hAnsi="Calibri" w:cs="Calibri"/>
          <w:sz w:val="24"/>
          <w:szCs w:val="24"/>
          <w:highlight w:val="none"/>
        </w:rPr>
        <w:t>联系电话：4008817190</w:t>
      </w:r>
    </w:p>
    <w:p>
      <w:pPr>
        <w:rPr>
          <w:highlight w:val="none"/>
        </w:rPr>
      </w:pPr>
    </w:p>
    <w:p>
      <w:pPr>
        <w:widowControl w:val="0"/>
        <w:rPr>
          <w:rFonts w:hint="eastAsia" w:asciiTheme="minorEastAsia" w:hAnsiTheme="minorEastAsia" w:eastAsiaTheme="minorEastAsia" w:cstheme="minorEastAsia"/>
          <w:b/>
          <w:bCs/>
          <w:color w:val="auto"/>
          <w:sz w:val="24"/>
          <w:szCs w:val="24"/>
        </w:rPr>
      </w:pPr>
      <w:r>
        <w:rPr>
          <w:rFonts w:ascii="Calibri" w:hAnsi="Calibri" w:cs="Times New Roman"/>
          <w:sz w:val="24"/>
          <w:szCs w:val="24"/>
          <w:highlight w:val="none"/>
        </w:rPr>
        <w:br w:type="page"/>
      </w:r>
      <w:r>
        <w:rPr>
          <w:rFonts w:hint="eastAsia" w:asciiTheme="minorEastAsia" w:hAnsiTheme="minorEastAsia" w:eastAsiaTheme="minorEastAsia" w:cstheme="minorEastAsia"/>
          <w:b/>
          <w:bCs/>
          <w:color w:val="auto"/>
          <w:sz w:val="24"/>
          <w:szCs w:val="24"/>
        </w:rPr>
        <w:t>温馨提示：</w:t>
      </w:r>
    </w:p>
    <w:p>
      <w:pPr>
        <w:widowControl w:val="0"/>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政府采购金融服务宣传简介</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优化政府采购营商环境，缓解供应商资金难题，助力打赢疫情防控阻击战，根据《中共浙江省委浙江省人民政府关于坚决打赢新冠肺炎疫情防控阻击战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1、政采贷</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具体要求、条件和操作教程可通过政采云首页右上角——网站导航——金融服务查看，也可拨打政采云客服热线400-881-7190咨询，也可查看公告附件中的相关宣传资料，或向各地已开通政采贷的银行咨询办理。</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2、履约保函</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中标供应商可通过以保函的形式提交履约保证金，减少对中小微企业的资金占用，降低财务成本。</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具体的条件、要求和操作程序由申请贷款的中标供应商向各地保险公司、银行咨询办理。</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3.风险提示</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（1）本宣传简介内容仅为提供给各中标供应商对办理政府采购金融服务的宣传和了解之方便，对金融服务的具体内容和操作流程均以各金融机构的要求为准，也不作强制要求。</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（2）政府采购金融服务有风险，请详细了解并综合评估后再决定。</w:t>
      </w:r>
    </w:p>
    <w:p>
      <w:pPr>
        <w:widowControl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（3）政府采购金融服务遵循平等自愿、风险自担的原则。采购人、代理机构、财政部门不为任何政府采购金融服务项目承担任何形式的担保、解释或其他连带责任。</w:t>
      </w:r>
    </w:p>
    <w:p>
      <w:pPr>
        <w:keepNext/>
        <w:keepLines/>
        <w:widowControl w:val="0"/>
        <w:spacing w:before="120" w:after="120"/>
        <w:jc w:val="center"/>
        <w:outlineLvl w:val="0"/>
        <w:rPr>
          <w:rFonts w:ascii="Calibri" w:hAnsi="Calibri" w:cs="Times New Roman"/>
          <w:b/>
          <w:bCs/>
          <w:kern w:val="44"/>
          <w:sz w:val="44"/>
          <w:szCs w:val="44"/>
          <w:highlight w:val="none"/>
        </w:rPr>
      </w:pPr>
      <w:r>
        <w:rPr>
          <w:rFonts w:hint="eastAsia" w:ascii="Calibri" w:hAnsi="Calibri" w:cs="宋体"/>
          <w:b/>
          <w:bCs/>
          <w:kern w:val="44"/>
          <w:sz w:val="44"/>
          <w:szCs w:val="44"/>
          <w:highlight w:val="none"/>
        </w:rPr>
        <w:t>前附表</w:t>
      </w:r>
    </w:p>
    <w:tbl>
      <w:tblPr>
        <w:tblStyle w:val="28"/>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11"/>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Calibri" w:hAnsi="Calibri" w:cs="Times New Roman"/>
                <w:b/>
                <w:bCs/>
                <w:highlight w:val="none"/>
              </w:rPr>
            </w:pPr>
            <w:r>
              <w:rPr>
                <w:rFonts w:hint="eastAsia" w:ascii="Calibri" w:hAnsi="Calibri" w:cs="宋体"/>
                <w:b/>
                <w:bCs/>
                <w:highlight w:val="none"/>
              </w:rPr>
              <w:t>序号</w:t>
            </w:r>
          </w:p>
        </w:tc>
        <w:tc>
          <w:tcPr>
            <w:tcW w:w="1611" w:type="dxa"/>
            <w:noWrap/>
            <w:vAlign w:val="center"/>
          </w:tcPr>
          <w:p>
            <w:pPr>
              <w:widowControl w:val="0"/>
              <w:spacing w:line="400" w:lineRule="exact"/>
              <w:jc w:val="center"/>
              <w:rPr>
                <w:rFonts w:ascii="Calibri" w:hAnsi="Calibri" w:cs="Times New Roman"/>
                <w:b/>
                <w:bCs/>
                <w:highlight w:val="none"/>
              </w:rPr>
            </w:pPr>
            <w:r>
              <w:rPr>
                <w:rFonts w:hint="eastAsia" w:ascii="Calibri" w:hAnsi="Calibri" w:cs="宋体"/>
                <w:b/>
                <w:bCs/>
                <w:sz w:val="24"/>
                <w:szCs w:val="24"/>
                <w:highlight w:val="none"/>
              </w:rPr>
              <w:t>名称</w:t>
            </w:r>
          </w:p>
        </w:tc>
        <w:tc>
          <w:tcPr>
            <w:tcW w:w="6962" w:type="dxa"/>
            <w:noWrap/>
            <w:vAlign w:val="center"/>
          </w:tcPr>
          <w:p>
            <w:pPr>
              <w:widowControl w:val="0"/>
              <w:spacing w:line="400" w:lineRule="exact"/>
              <w:jc w:val="center"/>
              <w:rPr>
                <w:rFonts w:ascii="Calibri" w:hAnsi="Calibri" w:cs="Times New Roman"/>
                <w:b/>
                <w:bCs/>
                <w:sz w:val="24"/>
                <w:szCs w:val="24"/>
                <w:highlight w:val="none"/>
              </w:rPr>
            </w:pPr>
            <w:r>
              <w:rPr>
                <w:rFonts w:hint="eastAsia" w:ascii="Calibri" w:hAnsi="Calibri" w:cs="宋体"/>
                <w:b/>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5" w:type="dxa"/>
            <w:vMerge w:val="restart"/>
            <w:noWrap/>
            <w:vAlign w:val="center"/>
          </w:tcPr>
          <w:p>
            <w:pPr>
              <w:widowControl w:val="0"/>
              <w:spacing w:line="400" w:lineRule="exact"/>
              <w:jc w:val="center"/>
              <w:rPr>
                <w:rFonts w:ascii="Calibri" w:hAnsi="Calibri" w:cs="Calibri"/>
                <w:highlight w:val="none"/>
              </w:rPr>
            </w:pPr>
            <w:r>
              <w:rPr>
                <w:rFonts w:ascii="Calibri" w:hAnsi="Calibri" w:cs="Calibri"/>
                <w:highlight w:val="none"/>
              </w:rPr>
              <w:t>1</w:t>
            </w:r>
          </w:p>
        </w:tc>
        <w:tc>
          <w:tcPr>
            <w:tcW w:w="1611" w:type="dxa"/>
            <w:noWrap/>
            <w:vAlign w:val="center"/>
          </w:tcPr>
          <w:p>
            <w:pPr>
              <w:widowControl w:val="0"/>
              <w:jc w:val="center"/>
              <w:rPr>
                <w:rFonts w:ascii="Calibri" w:hAnsi="Calibri" w:cs="Times New Roman"/>
                <w:highlight w:val="none"/>
              </w:rPr>
            </w:pPr>
            <w:r>
              <w:rPr>
                <w:rFonts w:hint="eastAsia" w:ascii="Calibri" w:hAnsi="Calibri" w:cs="宋体"/>
                <w:highlight w:val="none"/>
              </w:rPr>
              <w:t>项目名称：</w:t>
            </w:r>
          </w:p>
        </w:tc>
        <w:tc>
          <w:tcPr>
            <w:tcW w:w="6962" w:type="dxa"/>
            <w:noWrap/>
            <w:vAlign w:val="center"/>
          </w:tcPr>
          <w:p>
            <w:pPr>
              <w:widowControl w:val="0"/>
              <w:rPr>
                <w:rFonts w:hint="eastAsia" w:ascii="宋体" w:hAnsi="Calibri" w:cs="Times New Roman"/>
                <w:kern w:val="0"/>
                <w:highlight w:val="none"/>
              </w:rPr>
            </w:pPr>
            <w:r>
              <w:rPr>
                <w:rFonts w:hint="eastAsia" w:ascii="Calibri" w:hAnsi="Calibri" w:cs="宋体"/>
                <w:highlight w:val="none"/>
                <w:lang w:eastAsia="zh-CN"/>
              </w:rPr>
              <w:t>永康市公安局城市大脑畅行丽州-协同应用项目（2021年一期）前端系统建设项目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Calibri" w:hAnsi="Calibri" w:cs="Calibri"/>
                <w:highlight w:val="none"/>
              </w:rPr>
            </w:pPr>
          </w:p>
        </w:tc>
        <w:tc>
          <w:tcPr>
            <w:tcW w:w="1611" w:type="dxa"/>
            <w:noWrap/>
            <w:vAlign w:val="center"/>
          </w:tcPr>
          <w:p>
            <w:pPr>
              <w:widowControl w:val="0"/>
              <w:rPr>
                <w:rFonts w:hint="eastAsia" w:ascii="Calibri" w:hAnsi="Calibri" w:cs="宋体"/>
                <w:highlight w:val="none"/>
                <w:lang w:eastAsia="zh-CN"/>
              </w:rPr>
            </w:pPr>
            <w:r>
              <w:rPr>
                <w:rFonts w:hint="eastAsia" w:ascii="Calibri" w:hAnsi="Calibri" w:cs="宋体"/>
                <w:highlight w:val="none"/>
                <w:lang w:eastAsia="zh-CN"/>
              </w:rPr>
              <w:t>项目预算：</w:t>
            </w:r>
          </w:p>
        </w:tc>
        <w:tc>
          <w:tcPr>
            <w:tcW w:w="6962" w:type="dxa"/>
            <w:noWrap/>
            <w:vAlign w:val="center"/>
          </w:tcPr>
          <w:p>
            <w:pPr>
              <w:widowControl w:val="0"/>
              <w:rPr>
                <w:rFonts w:hint="eastAsia" w:ascii="Calibri" w:hAnsi="Calibri" w:cs="宋体"/>
                <w:highlight w:val="none"/>
                <w:lang w:eastAsia="zh-CN"/>
              </w:rPr>
            </w:pPr>
            <w:r>
              <w:rPr>
                <w:rFonts w:hint="eastAsia" w:ascii="Calibri" w:hAnsi="Calibri" w:cs="宋体"/>
                <w:highlight w:val="none"/>
                <w:lang w:val="en-US" w:eastAsia="zh-CN"/>
              </w:rPr>
              <w:t>938.3773万元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35" w:type="dxa"/>
            <w:vMerge w:val="continue"/>
            <w:noWrap/>
            <w:vAlign w:val="center"/>
          </w:tcPr>
          <w:p>
            <w:pPr>
              <w:widowControl w:val="0"/>
              <w:spacing w:line="400" w:lineRule="exact"/>
              <w:jc w:val="center"/>
              <w:rPr>
                <w:rFonts w:ascii="Calibri" w:hAnsi="Calibri" w:cs="Calibri"/>
                <w:highlight w:val="none"/>
              </w:rPr>
            </w:pPr>
          </w:p>
        </w:tc>
        <w:tc>
          <w:tcPr>
            <w:tcW w:w="1611" w:type="dxa"/>
            <w:noWrap/>
            <w:vAlign w:val="center"/>
          </w:tcPr>
          <w:p>
            <w:pPr>
              <w:widowControl w:val="0"/>
              <w:jc w:val="center"/>
              <w:rPr>
                <w:rFonts w:ascii="Calibri" w:hAnsi="Calibri" w:cs="Times New Roman"/>
                <w:highlight w:val="none"/>
              </w:rPr>
            </w:pPr>
            <w:r>
              <w:rPr>
                <w:rFonts w:ascii="Calibri" w:hAnsi="Calibri" w:cs="Times New Roman"/>
                <w:highlight w:val="none"/>
              </w:rPr>
              <w:t>本采购标的对应的所属行业</w:t>
            </w:r>
          </w:p>
        </w:tc>
        <w:tc>
          <w:tcPr>
            <w:tcW w:w="6962" w:type="dxa"/>
            <w:noWrap/>
            <w:vAlign w:val="center"/>
          </w:tcPr>
          <w:p>
            <w:pPr>
              <w:widowControl w:val="0"/>
              <w:rPr>
                <w:rFonts w:hint="eastAsia" w:ascii="Calibri" w:hAnsi="Calibri" w:cs="Times New Roman"/>
                <w:color w:val="FF0000"/>
                <w:highlight w:val="none"/>
              </w:rPr>
            </w:pPr>
            <w:r>
              <w:rPr>
                <w:rFonts w:hint="eastAsia" w:ascii="Calibri" w:hAnsi="Calibri" w:cs="宋体"/>
                <w:color w:val="000000"/>
                <w:highlight w:val="none"/>
              </w:rPr>
              <w:t>根据《政府采购促进中小企业管理办法》及《关于印发中小企业划型标准规定的通知工信部联企业》（〔2011〕300号）有关规定，本采购标的对应的所属行</w:t>
            </w:r>
            <w:r>
              <w:rPr>
                <w:rFonts w:hint="eastAsia" w:ascii="Calibri" w:hAnsi="Calibri" w:cs="宋体"/>
                <w:highlight w:val="none"/>
              </w:rPr>
              <w:t>业</w:t>
            </w:r>
            <w:r>
              <w:rPr>
                <w:rFonts w:hint="eastAsia" w:ascii="Calibri" w:hAnsi="Calibri" w:cs="宋体"/>
                <w:highlight w:val="none"/>
                <w:shd w:val="clear" w:color="auto" w:fill="auto"/>
              </w:rPr>
              <w:t>为</w:t>
            </w:r>
            <w:r>
              <w:rPr>
                <w:rFonts w:hint="eastAsia" w:ascii="Calibri" w:hAnsi="Calibri" w:cs="宋体"/>
                <w:highlight w:val="none"/>
                <w:shd w:val="clear" w:color="auto" w:fill="auto"/>
                <w:lang w:val="en-US" w:eastAsia="zh-CN"/>
              </w:rPr>
              <w:t>工业</w:t>
            </w:r>
            <w:r>
              <w:rPr>
                <w:rFonts w:hint="eastAsia" w:ascii="Calibri" w:hAnsi="Calibri" w:cs="宋体"/>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Calibri" w:hAnsi="Calibri" w:cs="Times New Roman"/>
                <w:color w:val="000000"/>
                <w:highlight w:val="none"/>
              </w:rPr>
            </w:pPr>
          </w:p>
        </w:tc>
        <w:tc>
          <w:tcPr>
            <w:tcW w:w="1611" w:type="dxa"/>
            <w:shd w:val="clear" w:color="auto" w:fill="auto"/>
            <w:noWrap/>
            <w:vAlign w:val="center"/>
          </w:tcPr>
          <w:p>
            <w:pPr>
              <w:widowControl w:val="0"/>
              <w:jc w:val="center"/>
              <w:rPr>
                <w:rFonts w:ascii="Calibri" w:hAnsi="Calibri" w:cs="Times New Roman"/>
                <w:highlight w:val="none"/>
              </w:rPr>
            </w:pPr>
            <w:r>
              <w:rPr>
                <w:rFonts w:hint="eastAsia" w:ascii="Calibri" w:hAnsi="Calibri" w:cs="宋体"/>
                <w:highlight w:val="none"/>
                <w:lang w:eastAsia="zh-CN"/>
              </w:rPr>
              <w:t>设备安装期限</w:t>
            </w:r>
          </w:p>
        </w:tc>
        <w:tc>
          <w:tcPr>
            <w:tcW w:w="6962" w:type="dxa"/>
            <w:shd w:val="clear" w:color="auto" w:fill="auto"/>
            <w:noWrap/>
            <w:vAlign w:val="center"/>
          </w:tcPr>
          <w:p>
            <w:pPr>
              <w:widowControl w:val="0"/>
              <w:rPr>
                <w:rFonts w:hint="eastAsia" w:ascii="Calibri" w:hAnsi="Calibri" w:eastAsia="华文宋体" w:cs="Times New Roman"/>
                <w:highlight w:val="none"/>
                <w:lang w:eastAsia="zh-CN"/>
              </w:rPr>
            </w:pPr>
            <w:r>
              <w:rPr>
                <w:rFonts w:hint="eastAsia" w:ascii="Calibri" w:hAnsi="Calibri" w:eastAsia="宋体" w:cs="宋体"/>
                <w:color w:val="000000"/>
                <w:highlight w:val="none"/>
              </w:rPr>
              <w:t>合同签订并收到开工令后</w:t>
            </w:r>
            <w:r>
              <w:rPr>
                <w:rFonts w:hint="eastAsia" w:ascii="Calibri" w:hAnsi="Calibri" w:eastAsia="宋体" w:cs="宋体"/>
                <w:color w:val="000000"/>
                <w:highlight w:val="none"/>
                <w:lang w:val="en-US" w:eastAsia="zh-CN"/>
              </w:rPr>
              <w:t>4</w:t>
            </w:r>
            <w:r>
              <w:rPr>
                <w:rFonts w:hint="eastAsia" w:ascii="Calibri" w:hAnsi="Calibri" w:eastAsia="宋体" w:cs="宋体"/>
                <w:color w:val="000000"/>
                <w:highlight w:val="none"/>
              </w:rPr>
              <w:t>个月内完工</w:t>
            </w:r>
            <w:r>
              <w:rPr>
                <w:rFonts w:hint="eastAsia" w:ascii="Calibri" w:hAnsi="Calibri" w:eastAsia="宋体" w:cs="宋体"/>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Calibri" w:hAnsi="Calibri" w:cs="Times New Roman"/>
                <w:color w:val="000000"/>
                <w:highlight w:val="none"/>
              </w:rPr>
            </w:pPr>
          </w:p>
        </w:tc>
        <w:tc>
          <w:tcPr>
            <w:tcW w:w="1611" w:type="dxa"/>
            <w:shd w:val="clear" w:color="auto" w:fill="auto"/>
            <w:noWrap/>
            <w:vAlign w:val="center"/>
          </w:tcPr>
          <w:p>
            <w:pPr>
              <w:widowControl w:val="0"/>
              <w:jc w:val="center"/>
              <w:rPr>
                <w:rFonts w:hint="eastAsia" w:ascii="Calibri" w:hAnsi="Calibri" w:cs="宋体"/>
                <w:highlight w:val="none"/>
                <w:lang w:eastAsia="zh-CN"/>
              </w:rPr>
            </w:pPr>
            <w:r>
              <w:rPr>
                <w:rFonts w:hint="eastAsia" w:ascii="Calibri" w:hAnsi="Calibri" w:cs="宋体"/>
                <w:highlight w:val="none"/>
                <w:lang w:eastAsia="zh-CN"/>
              </w:rPr>
              <w:t>服务期限</w:t>
            </w:r>
          </w:p>
        </w:tc>
        <w:tc>
          <w:tcPr>
            <w:tcW w:w="6962" w:type="dxa"/>
            <w:shd w:val="clear" w:color="auto" w:fill="auto"/>
            <w:noWrap/>
            <w:vAlign w:val="center"/>
          </w:tcPr>
          <w:p>
            <w:pPr>
              <w:widowControl w:val="0"/>
              <w:rPr>
                <w:rFonts w:hint="default" w:ascii="Calibri" w:hAnsi="Calibri" w:eastAsia="宋体" w:cs="宋体"/>
                <w:color w:val="000000"/>
                <w:highlight w:val="none"/>
                <w:lang w:val="en-US" w:eastAsia="zh-CN"/>
              </w:rPr>
            </w:pPr>
            <w:r>
              <w:rPr>
                <w:rFonts w:hint="eastAsia" w:ascii="Calibri" w:hAnsi="Calibri" w:cs="宋体"/>
                <w:color w:val="000000"/>
                <w:highlight w:val="none"/>
                <w:lang w:eastAsia="zh-CN"/>
              </w:rPr>
              <w:t>设备验收合格后</w:t>
            </w:r>
            <w:r>
              <w:rPr>
                <w:rFonts w:hint="eastAsia" w:ascii="Calibri" w:hAnsi="Calibri" w:cs="宋体"/>
                <w:color w:val="000000"/>
                <w:highlight w:val="none"/>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noWrap/>
            <w:vAlign w:val="center"/>
          </w:tcPr>
          <w:p>
            <w:pPr>
              <w:widowControl w:val="0"/>
              <w:spacing w:line="400" w:lineRule="exact"/>
              <w:rPr>
                <w:rFonts w:ascii="Calibri" w:hAnsi="Calibri" w:cs="Times New Roman"/>
                <w:color w:val="000000"/>
                <w:highlight w:val="none"/>
              </w:rPr>
            </w:pPr>
          </w:p>
        </w:tc>
        <w:tc>
          <w:tcPr>
            <w:tcW w:w="1611" w:type="dxa"/>
            <w:noWrap/>
            <w:vAlign w:val="center"/>
          </w:tcPr>
          <w:p>
            <w:pPr>
              <w:widowControl w:val="0"/>
              <w:jc w:val="center"/>
              <w:rPr>
                <w:rFonts w:ascii="Calibri" w:hAnsi="Calibri" w:cs="Times New Roman"/>
                <w:color w:val="000000"/>
                <w:highlight w:val="none"/>
              </w:rPr>
            </w:pPr>
            <w:r>
              <w:rPr>
                <w:rFonts w:hint="eastAsia" w:ascii="宋体" w:cs="宋体"/>
                <w:color w:val="000000"/>
                <w:highlight w:val="none"/>
              </w:rPr>
              <w:t>付款方式：</w:t>
            </w:r>
          </w:p>
        </w:tc>
        <w:tc>
          <w:tcPr>
            <w:tcW w:w="6962" w:type="dxa"/>
            <w:noWrap/>
            <w:vAlign w:val="center"/>
          </w:tcPr>
          <w:p>
            <w:pPr>
              <w:widowControl w:val="0"/>
              <w:spacing w:line="360" w:lineRule="auto"/>
              <w:rPr>
                <w:rFonts w:hint="eastAsia"/>
                <w:lang w:eastAsia="zh-CN"/>
              </w:rPr>
            </w:pPr>
            <w:r>
              <w:rPr>
                <w:rFonts w:hint="eastAsia"/>
                <w:lang w:val="en-US" w:eastAsia="zh-CN"/>
              </w:rPr>
              <w:t>1、</w:t>
            </w:r>
            <w:r>
              <w:rPr>
                <w:rFonts w:hint="eastAsia"/>
              </w:rPr>
              <w:t>合同签订具备实施条件后7个工作日</w:t>
            </w:r>
            <w:r>
              <w:rPr>
                <w:rFonts w:hint="eastAsia"/>
                <w:lang w:eastAsia="zh-CN"/>
              </w:rPr>
              <w:t>支付</w:t>
            </w:r>
            <w:r>
              <w:rPr>
                <w:rFonts w:hint="eastAsia"/>
              </w:rPr>
              <w:t>合同总价的40%作为预付款（中标人须在采购人支付预付款前，向采购人提交合同总额</w:t>
            </w:r>
            <w:r>
              <w:rPr>
                <w:rFonts w:hint="eastAsia"/>
                <w:lang w:val="en-US" w:eastAsia="zh-CN"/>
              </w:rPr>
              <w:t>1</w:t>
            </w:r>
            <w:r>
              <w:rPr>
                <w:rFonts w:hint="eastAsia"/>
              </w:rPr>
              <w:t>%作为履约保证金，履约保证金形式可以银行出具的保函或其他担保措施，项目终验后</w:t>
            </w:r>
            <w:r>
              <w:rPr>
                <w:rFonts w:hint="eastAsia"/>
                <w:lang w:val="en-US" w:eastAsia="zh-CN"/>
              </w:rPr>
              <w:t>7</w:t>
            </w:r>
            <w:r>
              <w:rPr>
                <w:rFonts w:hint="eastAsia"/>
              </w:rPr>
              <w:t>个工作日无息退还）</w:t>
            </w:r>
            <w:r>
              <w:rPr>
                <w:rFonts w:hint="eastAsia"/>
                <w:lang w:eastAsia="zh-CN"/>
              </w:rPr>
              <w:t>；</w:t>
            </w:r>
          </w:p>
          <w:p>
            <w:pPr>
              <w:widowControl w:val="0"/>
              <w:spacing w:line="360" w:lineRule="auto"/>
              <w:rPr>
                <w:rFonts w:hint="eastAsia"/>
              </w:rPr>
            </w:pPr>
            <w:r>
              <w:rPr>
                <w:rFonts w:hint="eastAsia"/>
              </w:rPr>
              <w:t>2.项目通过终验</w:t>
            </w:r>
            <w:r>
              <w:rPr>
                <w:rFonts w:hint="eastAsia"/>
                <w:lang w:val="en-US" w:eastAsia="zh-CN"/>
              </w:rPr>
              <w:t>完成后付至合同总额的60%，经结算审核后7个工作日内支付至最终合同总额的75％；</w:t>
            </w:r>
          </w:p>
          <w:p>
            <w:pPr>
              <w:widowControl w:val="0"/>
              <w:spacing w:line="360" w:lineRule="auto"/>
              <w:rPr>
                <w:rFonts w:hint="eastAsia"/>
              </w:rPr>
            </w:pPr>
            <w:r>
              <w:rPr>
                <w:rFonts w:hint="eastAsia"/>
              </w:rPr>
              <w:t>3.</w:t>
            </w:r>
            <w:r>
              <w:rPr>
                <w:rFonts w:hint="eastAsia"/>
                <w:lang w:eastAsia="zh-CN"/>
              </w:rPr>
              <w:t>服务期满1年后7</w:t>
            </w:r>
            <w:r>
              <w:rPr>
                <w:rFonts w:hint="eastAsia"/>
              </w:rPr>
              <w:t>个工作日付至最终</w:t>
            </w:r>
            <w:r>
              <w:rPr>
                <w:rFonts w:hint="eastAsia"/>
                <w:lang w:val="en-US" w:eastAsia="zh-CN"/>
              </w:rPr>
              <w:t>合同总额</w:t>
            </w:r>
            <w:r>
              <w:rPr>
                <w:rFonts w:hint="eastAsia"/>
              </w:rPr>
              <w:t>的</w:t>
            </w:r>
            <w:r>
              <w:rPr>
                <w:rFonts w:hint="eastAsia"/>
                <w:lang w:val="en-US" w:eastAsia="zh-CN"/>
              </w:rPr>
              <w:t>80</w:t>
            </w:r>
            <w:r>
              <w:rPr>
                <w:rFonts w:hint="eastAsia"/>
              </w:rPr>
              <w:t>％。</w:t>
            </w:r>
          </w:p>
          <w:p>
            <w:pPr>
              <w:widowControl w:val="0"/>
              <w:spacing w:line="360" w:lineRule="auto"/>
              <w:rPr>
                <w:rFonts w:hint="eastAsia"/>
              </w:rPr>
            </w:pPr>
            <w:r>
              <w:rPr>
                <w:rFonts w:hint="eastAsia"/>
                <w:lang w:val="en-US" w:eastAsia="zh-CN"/>
              </w:rPr>
              <w:t>4</w:t>
            </w:r>
            <w:r>
              <w:rPr>
                <w:rFonts w:hint="eastAsia"/>
              </w:rPr>
              <w:t>.</w:t>
            </w:r>
            <w:r>
              <w:rPr>
                <w:rFonts w:hint="eastAsia"/>
                <w:lang w:eastAsia="zh-CN"/>
              </w:rPr>
              <w:t>服务期满</w:t>
            </w:r>
            <w:r>
              <w:rPr>
                <w:rFonts w:hint="eastAsia"/>
                <w:lang w:val="en-US" w:eastAsia="zh-CN"/>
              </w:rPr>
              <w:t>2</w:t>
            </w:r>
            <w:r>
              <w:rPr>
                <w:rFonts w:hint="eastAsia"/>
                <w:lang w:eastAsia="zh-CN"/>
              </w:rPr>
              <w:t>年后7</w:t>
            </w:r>
            <w:r>
              <w:rPr>
                <w:rFonts w:hint="eastAsia"/>
              </w:rPr>
              <w:t>个工作日付至最终</w:t>
            </w:r>
            <w:r>
              <w:rPr>
                <w:rFonts w:hint="eastAsia"/>
                <w:lang w:val="en-US" w:eastAsia="zh-CN"/>
              </w:rPr>
              <w:t>合同总额</w:t>
            </w:r>
            <w:r>
              <w:rPr>
                <w:rFonts w:hint="eastAsia"/>
              </w:rPr>
              <w:t>的</w:t>
            </w:r>
            <w:r>
              <w:rPr>
                <w:rFonts w:hint="eastAsia"/>
                <w:lang w:val="en-US" w:eastAsia="zh-CN"/>
              </w:rPr>
              <w:t>85</w:t>
            </w:r>
            <w:r>
              <w:rPr>
                <w:rFonts w:hint="eastAsia"/>
              </w:rPr>
              <w:t>％。</w:t>
            </w:r>
          </w:p>
          <w:p>
            <w:pPr>
              <w:widowControl w:val="0"/>
              <w:spacing w:line="360" w:lineRule="auto"/>
              <w:rPr>
                <w:rFonts w:hint="eastAsia"/>
              </w:rPr>
            </w:pPr>
            <w:r>
              <w:rPr>
                <w:rFonts w:hint="eastAsia"/>
                <w:lang w:val="en-US" w:eastAsia="zh-CN"/>
              </w:rPr>
              <w:t>5</w:t>
            </w:r>
            <w:r>
              <w:rPr>
                <w:rFonts w:hint="eastAsia"/>
              </w:rPr>
              <w:t>.</w:t>
            </w:r>
            <w:r>
              <w:rPr>
                <w:rFonts w:hint="eastAsia"/>
                <w:lang w:eastAsia="zh-CN"/>
              </w:rPr>
              <w:t>服务期满</w:t>
            </w:r>
            <w:r>
              <w:rPr>
                <w:rFonts w:hint="eastAsia"/>
                <w:lang w:val="en-US" w:eastAsia="zh-CN"/>
              </w:rPr>
              <w:t>3</w:t>
            </w:r>
            <w:r>
              <w:rPr>
                <w:rFonts w:hint="eastAsia"/>
                <w:lang w:eastAsia="zh-CN"/>
              </w:rPr>
              <w:t>年后7</w:t>
            </w:r>
            <w:r>
              <w:rPr>
                <w:rFonts w:hint="eastAsia"/>
              </w:rPr>
              <w:t>个工作日付至最终</w:t>
            </w:r>
            <w:r>
              <w:rPr>
                <w:rFonts w:hint="eastAsia"/>
                <w:lang w:val="en-US" w:eastAsia="zh-CN"/>
              </w:rPr>
              <w:t>合同总额</w:t>
            </w:r>
            <w:r>
              <w:rPr>
                <w:rFonts w:hint="eastAsia"/>
              </w:rPr>
              <w:t>的</w:t>
            </w:r>
            <w:r>
              <w:rPr>
                <w:rFonts w:hint="eastAsia"/>
                <w:lang w:val="en-US" w:eastAsia="zh-CN"/>
              </w:rPr>
              <w:t>90</w:t>
            </w:r>
            <w:r>
              <w:rPr>
                <w:rFonts w:hint="eastAsia"/>
              </w:rPr>
              <w:t>％。</w:t>
            </w:r>
          </w:p>
          <w:p>
            <w:pPr>
              <w:widowControl w:val="0"/>
              <w:spacing w:line="360" w:lineRule="auto"/>
              <w:rPr>
                <w:rFonts w:hint="eastAsia"/>
              </w:rPr>
            </w:pPr>
            <w:r>
              <w:rPr>
                <w:rFonts w:hint="eastAsia"/>
                <w:lang w:val="en-US" w:eastAsia="zh-CN"/>
              </w:rPr>
              <w:t>6</w:t>
            </w:r>
            <w:r>
              <w:rPr>
                <w:rFonts w:hint="eastAsia"/>
              </w:rPr>
              <w:t>.</w:t>
            </w:r>
            <w:r>
              <w:rPr>
                <w:rFonts w:hint="eastAsia"/>
                <w:lang w:eastAsia="zh-CN"/>
              </w:rPr>
              <w:t>服务期满</w:t>
            </w:r>
            <w:r>
              <w:rPr>
                <w:rFonts w:hint="eastAsia"/>
                <w:lang w:val="en-US" w:eastAsia="zh-CN"/>
              </w:rPr>
              <w:t>4</w:t>
            </w:r>
            <w:r>
              <w:rPr>
                <w:rFonts w:hint="eastAsia"/>
                <w:lang w:eastAsia="zh-CN"/>
              </w:rPr>
              <w:t>年后7</w:t>
            </w:r>
            <w:r>
              <w:rPr>
                <w:rFonts w:hint="eastAsia"/>
              </w:rPr>
              <w:t>个工作日付至最终</w:t>
            </w:r>
            <w:r>
              <w:rPr>
                <w:rFonts w:hint="eastAsia"/>
                <w:lang w:val="en-US" w:eastAsia="zh-CN"/>
              </w:rPr>
              <w:t>合同总额</w:t>
            </w:r>
            <w:r>
              <w:rPr>
                <w:rFonts w:hint="eastAsia"/>
              </w:rPr>
              <w:t>的</w:t>
            </w:r>
            <w:r>
              <w:rPr>
                <w:rFonts w:hint="eastAsia"/>
                <w:lang w:val="en-US" w:eastAsia="zh-CN"/>
              </w:rPr>
              <w:t>95</w:t>
            </w:r>
            <w:r>
              <w:rPr>
                <w:rFonts w:hint="eastAsia"/>
              </w:rPr>
              <w:t>％。</w:t>
            </w:r>
          </w:p>
          <w:p>
            <w:pPr>
              <w:widowControl w:val="0"/>
              <w:spacing w:line="360" w:lineRule="auto"/>
            </w:pPr>
            <w:r>
              <w:rPr>
                <w:rFonts w:hint="eastAsia"/>
                <w:lang w:val="en-US" w:eastAsia="zh-CN"/>
              </w:rPr>
              <w:t>7</w:t>
            </w:r>
            <w:r>
              <w:rPr>
                <w:rFonts w:hint="eastAsia"/>
              </w:rPr>
              <w:t>.</w:t>
            </w:r>
            <w:r>
              <w:rPr>
                <w:rFonts w:hint="eastAsia"/>
                <w:lang w:eastAsia="zh-CN"/>
              </w:rPr>
              <w:t>服务期满</w:t>
            </w:r>
            <w:r>
              <w:rPr>
                <w:rFonts w:hint="eastAsia"/>
                <w:lang w:val="en-US" w:eastAsia="zh-CN"/>
              </w:rPr>
              <w:t>5</w:t>
            </w:r>
            <w:r>
              <w:rPr>
                <w:rFonts w:hint="eastAsia"/>
                <w:lang w:eastAsia="zh-CN"/>
              </w:rPr>
              <w:t>年后7</w:t>
            </w:r>
            <w:r>
              <w:rPr>
                <w:rFonts w:hint="eastAsia"/>
              </w:rPr>
              <w:t>个工作日付至最终</w:t>
            </w:r>
            <w:r>
              <w:rPr>
                <w:rFonts w:hint="eastAsia"/>
                <w:lang w:val="en-US" w:eastAsia="zh-CN"/>
              </w:rPr>
              <w:t>合同总额</w:t>
            </w:r>
            <w:r>
              <w:rPr>
                <w:rFonts w:hint="eastAsia"/>
              </w:rPr>
              <w:t>的</w:t>
            </w:r>
            <w:r>
              <w:rPr>
                <w:rFonts w:hint="eastAsia"/>
                <w:lang w:val="en-US" w:eastAsia="zh-CN"/>
              </w:rP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hint="eastAsia" w:ascii="Calibri" w:hAnsi="Calibri" w:cs="Calibri"/>
                <w:highlight w:val="none"/>
              </w:rPr>
              <w:t>2</w:t>
            </w:r>
          </w:p>
        </w:tc>
        <w:tc>
          <w:tcPr>
            <w:tcW w:w="1611" w:type="dxa"/>
            <w:noWrap/>
            <w:vAlign w:val="center"/>
          </w:tcPr>
          <w:p>
            <w:pPr>
              <w:widowControl w:val="0"/>
              <w:jc w:val="center"/>
              <w:rPr>
                <w:rFonts w:ascii="Calibri" w:hAnsi="Calibri" w:cs="Times New Roman"/>
                <w:color w:val="000000"/>
                <w:highlight w:val="none"/>
              </w:rPr>
            </w:pPr>
            <w:r>
              <w:rPr>
                <w:rFonts w:hint="eastAsia" w:ascii="Calibri" w:hAnsi="Calibri" w:cs="宋体"/>
                <w:color w:val="000000"/>
                <w:highlight w:val="none"/>
              </w:rPr>
              <w:t>投标保证金：</w:t>
            </w:r>
          </w:p>
        </w:tc>
        <w:tc>
          <w:tcPr>
            <w:tcW w:w="6962" w:type="dxa"/>
            <w:noWrap/>
            <w:vAlign w:val="center"/>
          </w:tcPr>
          <w:p>
            <w:pPr>
              <w:widowControl w:val="0"/>
              <w:rPr>
                <w:rFonts w:ascii="Calibri" w:hAnsi="Calibri" w:cs="Times New Roman"/>
                <w:color w:val="000000"/>
                <w:highlight w:val="none"/>
              </w:rPr>
            </w:pPr>
            <w:r>
              <w:rPr>
                <w:rFonts w:hint="eastAsia" w:ascii="宋体" w:cs="宋体"/>
                <w:color w:val="000000"/>
                <w:highlight w:val="none"/>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hint="eastAsia" w:ascii="Calibri" w:hAnsi="Calibri" w:cs="Calibri"/>
                <w:color w:val="000000"/>
                <w:highlight w:val="none"/>
              </w:rPr>
              <w:t>3</w:t>
            </w:r>
          </w:p>
        </w:tc>
        <w:tc>
          <w:tcPr>
            <w:tcW w:w="1611" w:type="dxa"/>
            <w:noWrap/>
            <w:vAlign w:val="center"/>
          </w:tcPr>
          <w:p>
            <w:pPr>
              <w:widowControl w:val="0"/>
              <w:jc w:val="center"/>
              <w:rPr>
                <w:rFonts w:ascii="Calibri" w:hAnsi="Calibri" w:cs="Times New Roman"/>
                <w:highlight w:val="none"/>
              </w:rPr>
            </w:pPr>
            <w:r>
              <w:rPr>
                <w:rFonts w:hint="eastAsia" w:ascii="Calibri" w:hAnsi="Calibri" w:cs="宋体"/>
                <w:highlight w:val="none"/>
              </w:rPr>
              <w:t>履约保证金：</w:t>
            </w:r>
          </w:p>
        </w:tc>
        <w:tc>
          <w:tcPr>
            <w:tcW w:w="6962" w:type="dxa"/>
            <w:noWrap/>
            <w:vAlign w:val="center"/>
          </w:tcPr>
          <w:p>
            <w:pPr>
              <w:widowControl w:val="0"/>
              <w:numPr>
                <w:ilvl w:val="0"/>
                <w:numId w:val="5"/>
              </w:numPr>
              <w:rPr>
                <w:rFonts w:hint="eastAsia" w:ascii="Calibri" w:hAnsi="Calibri" w:cs="Times New Roman"/>
                <w:highlight w:val="none"/>
              </w:rPr>
            </w:pPr>
            <w:r>
              <w:rPr>
                <w:rFonts w:hint="eastAsia" w:ascii="Calibri" w:hAnsi="Calibri" w:cs="Times New Roman"/>
                <w:highlight w:val="none"/>
              </w:rPr>
              <w:t>合同签订时，采购人可按《中华人民共和国政府采购法实施条例》有关规定自行收取项目履约保证金。</w:t>
            </w:r>
          </w:p>
          <w:p>
            <w:pPr>
              <w:widowControl w:val="0"/>
              <w:numPr>
                <w:ilvl w:val="0"/>
                <w:numId w:val="5"/>
              </w:numPr>
              <w:rPr>
                <w:rFonts w:ascii="Calibri" w:hAnsi="Calibri" w:cs="Times New Roman"/>
                <w:highlight w:val="none"/>
              </w:rPr>
            </w:pPr>
            <w:r>
              <w:rPr>
                <w:rFonts w:hint="eastAsia" w:ascii="Calibri" w:hAnsi="Calibri" w:cs="Times New Roman"/>
                <w:highlight w:val="none"/>
              </w:rPr>
              <w:t>为发挥信用体系在履约保证金减免方面的基础作用提倡采购人减收或免收履约保证金。</w:t>
            </w:r>
          </w:p>
          <w:p>
            <w:pPr>
              <w:widowControl w:val="0"/>
              <w:numPr>
                <w:ilvl w:val="0"/>
                <w:numId w:val="5"/>
              </w:numPr>
              <w:rPr>
                <w:rFonts w:ascii="Calibri" w:hAnsi="Calibri" w:cs="Times New Roman"/>
                <w:highlight w:val="none"/>
              </w:rPr>
            </w:pPr>
            <w:r>
              <w:rPr>
                <w:rFonts w:hint="eastAsia" w:ascii="Calibri" w:hAnsi="Calibri" w:cs="Times New Roman"/>
                <w:highlight w:val="none"/>
              </w:rPr>
              <w:t>采购人要求中标或者成交供应商提交履约保证金的，供应商应当以支票、汇票、本票或者金融机构、担保机构出具的保函等非现金形式提交。</w:t>
            </w:r>
          </w:p>
          <w:p>
            <w:pPr>
              <w:widowControl w:val="0"/>
              <w:numPr>
                <w:ilvl w:val="0"/>
                <w:numId w:val="5"/>
              </w:numPr>
              <w:rPr>
                <w:rFonts w:ascii="Calibri" w:hAnsi="Calibri" w:cs="Times New Roman"/>
                <w:highlight w:val="none"/>
              </w:rPr>
            </w:pPr>
            <w:r>
              <w:rPr>
                <w:rFonts w:hint="eastAsia" w:ascii="Calibri" w:hAnsi="Calibri" w:cs="Times New Roman"/>
                <w:highlight w:val="none"/>
              </w:rPr>
              <w:t>履约保证金的数额不得超过政府采购合同金额的</w:t>
            </w:r>
            <w:r>
              <w:rPr>
                <w:rFonts w:hint="eastAsia" w:ascii="Calibri" w:hAnsi="Calibri" w:cs="Times New Roman"/>
                <w:highlight w:val="none"/>
                <w:lang w:val="en-US" w:eastAsia="zh-CN"/>
              </w:rPr>
              <w:t>1</w:t>
            </w:r>
            <w:r>
              <w:rPr>
                <w:rFonts w:hint="eastAsia" w:ascii="Calibri" w:hAnsi="Calibri"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color w:val="000000"/>
                <w:highlight w:val="none"/>
              </w:rPr>
            </w:pPr>
            <w:r>
              <w:rPr>
                <w:rFonts w:hint="eastAsia" w:ascii="Calibri" w:hAnsi="Calibri" w:cs="Calibri"/>
                <w:color w:val="000000"/>
                <w:highlight w:val="none"/>
              </w:rPr>
              <w:t>4</w:t>
            </w:r>
          </w:p>
        </w:tc>
        <w:tc>
          <w:tcPr>
            <w:tcW w:w="1611" w:type="dxa"/>
            <w:noWrap/>
            <w:vAlign w:val="center"/>
          </w:tcPr>
          <w:p>
            <w:pPr>
              <w:widowControl w:val="0"/>
              <w:jc w:val="center"/>
              <w:rPr>
                <w:rFonts w:ascii="Calibri" w:hAnsi="Calibri" w:cs="宋体"/>
                <w:highlight w:val="none"/>
              </w:rPr>
            </w:pPr>
            <w:r>
              <w:rPr>
                <w:rFonts w:hint="eastAsia" w:ascii="Calibri" w:hAnsi="Calibri" w:cs="宋体"/>
                <w:highlight w:val="none"/>
              </w:rPr>
              <w:t>代理服务费</w:t>
            </w:r>
          </w:p>
        </w:tc>
        <w:tc>
          <w:tcPr>
            <w:tcW w:w="6962" w:type="dxa"/>
            <w:noWrap/>
            <w:vAlign w:val="center"/>
          </w:tcPr>
          <w:p>
            <w:pPr>
              <w:widowControl w:val="0"/>
              <w:rPr>
                <w:rFonts w:hint="eastAsia"/>
              </w:rPr>
            </w:pPr>
            <w:r>
              <w:rPr>
                <w:rFonts w:hint="eastAsia"/>
              </w:rPr>
              <w:t>依据代理机构与采购人签订的《委托代理协议书》之规定，中标人在领取中标通知书时，应向金华市创佳工程项目管理有限公司一次性付清代理服务费，按</w:t>
            </w:r>
            <w:r>
              <w:rPr>
                <w:rFonts w:hint="eastAsia"/>
                <w:lang w:val="en-US" w:eastAsia="zh-CN"/>
              </w:rPr>
              <w:t>差额定率累进法</w:t>
            </w:r>
            <w:r>
              <w:rPr>
                <w:rFonts w:hint="eastAsia"/>
              </w:rPr>
              <w:t>收取。请供应商在报价时综合考虑。</w:t>
            </w:r>
          </w:p>
          <w:tbl>
            <w:tblPr>
              <w:tblStyle w:val="29"/>
              <w:tblW w:w="6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686"/>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pStyle w:val="89"/>
                    <w:keepNext w:val="0"/>
                    <w:keepLines w:val="0"/>
                    <w:pageBreakBefore w:val="0"/>
                    <w:kinsoku/>
                    <w:wordWrap/>
                    <w:overflowPunct/>
                    <w:topLinePunct w:val="0"/>
                    <w:autoSpaceDE/>
                    <w:autoSpaceDN/>
                    <w:bidi w:val="0"/>
                    <w:adjustRightInd/>
                    <w:spacing w:line="240" w:lineRule="auto"/>
                    <w:jc w:val="center"/>
                    <w:textAlignment w:val="auto"/>
                    <w:rPr>
                      <w:rFonts w:hint="eastAsia"/>
                      <w:vertAlign w:val="baseline"/>
                    </w:rPr>
                  </w:pPr>
                  <w:r>
                    <w:rPr>
                      <w:rFonts w:hint="eastAsia" w:ascii="宋体" w:hAnsi="宋体" w:eastAsia="宋体" w:cs="宋体"/>
                      <w:color w:val="000000"/>
                      <w:kern w:val="0"/>
                      <w:sz w:val="21"/>
                      <w:szCs w:val="21"/>
                      <w:lang w:val="en-US" w:eastAsia="zh-CN" w:bidi="ar-SA"/>
                    </w:rPr>
                    <w:t>中标金额（万元）</w:t>
                  </w:r>
                </w:p>
              </w:tc>
              <w:tc>
                <w:tcPr>
                  <w:tcW w:w="1686" w:type="dxa"/>
                  <w:vAlign w:val="center"/>
                </w:tcPr>
                <w:p>
                  <w:pPr>
                    <w:pStyle w:val="89"/>
                    <w:keepNext w:val="0"/>
                    <w:keepLines w:val="0"/>
                    <w:pageBreakBefore w:val="0"/>
                    <w:kinsoku/>
                    <w:wordWrap/>
                    <w:overflowPunct/>
                    <w:topLinePunct w:val="0"/>
                    <w:autoSpaceDE/>
                    <w:autoSpaceDN/>
                    <w:bidi w:val="0"/>
                    <w:adjustRightInd/>
                    <w:spacing w:line="240" w:lineRule="auto"/>
                    <w:jc w:val="center"/>
                    <w:textAlignment w:val="auto"/>
                    <w:rPr>
                      <w:rFonts w:hint="eastAsia"/>
                      <w:vertAlign w:val="baseline"/>
                    </w:rPr>
                  </w:pPr>
                  <w:r>
                    <w:rPr>
                      <w:rFonts w:hint="eastAsia" w:ascii="宋体" w:hAnsi="宋体" w:eastAsia="宋体" w:cs="宋体"/>
                      <w:color w:val="000000"/>
                      <w:kern w:val="0"/>
                      <w:sz w:val="21"/>
                      <w:szCs w:val="21"/>
                      <w:lang w:val="en-US" w:eastAsia="zh-CN" w:bidi="ar-SA"/>
                    </w:rPr>
                    <w:t>货物招标收费费率</w:t>
                  </w:r>
                </w:p>
              </w:tc>
              <w:tc>
                <w:tcPr>
                  <w:tcW w:w="3374" w:type="dxa"/>
                  <w:vAlign w:val="center"/>
                </w:tcPr>
                <w:p>
                  <w:pPr>
                    <w:pStyle w:val="89"/>
                    <w:keepNext w:val="0"/>
                    <w:keepLines w:val="0"/>
                    <w:pageBreakBefore w:val="0"/>
                    <w:kinsoku/>
                    <w:wordWrap/>
                    <w:overflowPunct/>
                    <w:topLinePunct w:val="0"/>
                    <w:autoSpaceDE/>
                    <w:autoSpaceDN/>
                    <w:bidi w:val="0"/>
                    <w:adjustRightInd/>
                    <w:spacing w:line="360" w:lineRule="auto"/>
                    <w:jc w:val="center"/>
                    <w:textAlignment w:val="auto"/>
                    <w:rPr>
                      <w:rFonts w:hint="eastAsia"/>
                      <w:vertAlign w:val="baseline"/>
                    </w:rPr>
                  </w:pPr>
                  <w:r>
                    <w:rPr>
                      <w:rFonts w:hint="eastAsia" w:ascii="宋体" w:hAnsi="宋体" w:eastAsia="宋体" w:cs="宋体"/>
                      <w:color w:val="000000"/>
                      <w:kern w:val="0"/>
                      <w:sz w:val="21"/>
                      <w:szCs w:val="21"/>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pStyle w:val="89"/>
                    <w:keepNext w:val="0"/>
                    <w:keepLines w:val="0"/>
                    <w:pageBreakBefore w:val="0"/>
                    <w:kinsoku/>
                    <w:wordWrap/>
                    <w:overflowPunct/>
                    <w:topLinePunct w:val="0"/>
                    <w:autoSpaceDE/>
                    <w:autoSpaceDN/>
                    <w:bidi w:val="0"/>
                    <w:adjustRightInd/>
                    <w:spacing w:line="240" w:lineRule="auto"/>
                    <w:jc w:val="center"/>
                    <w:textAlignment w:val="auto"/>
                    <w:rPr>
                      <w:rFonts w:hint="eastAsia"/>
                      <w:vertAlign w:val="baseline"/>
                    </w:rPr>
                  </w:pPr>
                  <w:r>
                    <w:rPr>
                      <w:rFonts w:hint="eastAsia" w:ascii="宋体" w:hAnsi="宋体" w:eastAsia="宋体" w:cs="宋体"/>
                      <w:color w:val="000000"/>
                      <w:kern w:val="0"/>
                      <w:sz w:val="21"/>
                      <w:szCs w:val="21"/>
                      <w:lang w:val="en-US" w:eastAsia="zh-CN" w:bidi="ar-SA"/>
                    </w:rPr>
                    <w:t>100以下</w:t>
                  </w:r>
                </w:p>
              </w:tc>
              <w:tc>
                <w:tcPr>
                  <w:tcW w:w="1686" w:type="dxa"/>
                  <w:vAlign w:val="center"/>
                </w:tcPr>
                <w:p>
                  <w:pPr>
                    <w:pStyle w:val="89"/>
                    <w:keepNext w:val="0"/>
                    <w:keepLines w:val="0"/>
                    <w:pageBreakBefore w:val="0"/>
                    <w:kinsoku/>
                    <w:wordWrap/>
                    <w:overflowPunct/>
                    <w:topLinePunct w:val="0"/>
                    <w:autoSpaceDE/>
                    <w:autoSpaceDN/>
                    <w:bidi w:val="0"/>
                    <w:adjustRightInd/>
                    <w:spacing w:line="240" w:lineRule="auto"/>
                    <w:jc w:val="center"/>
                    <w:textAlignment w:val="auto"/>
                    <w:rPr>
                      <w:rFonts w:hint="eastAsia"/>
                      <w:vertAlign w:val="baseline"/>
                    </w:rPr>
                  </w:pPr>
                  <w:r>
                    <w:rPr>
                      <w:rFonts w:hint="eastAsia" w:ascii="宋体" w:hAnsi="宋体" w:eastAsia="宋体" w:cs="宋体"/>
                      <w:color w:val="000000"/>
                      <w:kern w:val="0"/>
                      <w:sz w:val="21"/>
                      <w:szCs w:val="21"/>
                      <w:lang w:val="en-US" w:eastAsia="zh-CN" w:bidi="ar-SA"/>
                    </w:rPr>
                    <w:t>1.5%</w:t>
                  </w:r>
                </w:p>
              </w:tc>
              <w:tc>
                <w:tcPr>
                  <w:tcW w:w="3374" w:type="dxa"/>
                  <w:vMerge w:val="restart"/>
                  <w:vAlign w:val="center"/>
                </w:tcPr>
                <w:p>
                  <w:pPr>
                    <w:pStyle w:val="89"/>
                    <w:keepNext w:val="0"/>
                    <w:keepLines w:val="0"/>
                    <w:pageBreakBefore w:val="0"/>
                    <w:kinsoku/>
                    <w:wordWrap/>
                    <w:overflowPunct/>
                    <w:topLinePunct w:val="0"/>
                    <w:autoSpaceDE/>
                    <w:autoSpaceDN/>
                    <w:bidi w:val="0"/>
                    <w:adjustRightInd/>
                    <w:spacing w:line="360" w:lineRule="auto"/>
                    <w:jc w:val="center"/>
                    <w:textAlignment w:val="auto"/>
                    <w:rPr>
                      <w:rFonts w:hint="eastAsia"/>
                      <w:vertAlign w:val="baseline"/>
                    </w:rPr>
                  </w:pPr>
                  <w:r>
                    <w:rPr>
                      <w:rFonts w:hint="eastAsia" w:ascii="宋体" w:hAnsi="宋体" w:eastAsia="宋体" w:cs="宋体"/>
                      <w:color w:val="000000"/>
                      <w:kern w:val="0"/>
                      <w:sz w:val="21"/>
                      <w:szCs w:val="21"/>
                      <w:lang w:val="zh-CN" w:eastAsia="zh-CN" w:bidi="ar-SA"/>
                    </w:rPr>
                    <w:t>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pStyle w:val="89"/>
                    <w:keepNext w:val="0"/>
                    <w:keepLines w:val="0"/>
                    <w:pageBreakBefore w:val="0"/>
                    <w:kinsoku/>
                    <w:wordWrap/>
                    <w:overflowPunct/>
                    <w:topLinePunct w:val="0"/>
                    <w:autoSpaceDE/>
                    <w:autoSpaceDN/>
                    <w:bidi w:val="0"/>
                    <w:adjustRightInd/>
                    <w:spacing w:line="240" w:lineRule="auto"/>
                    <w:jc w:val="center"/>
                    <w:textAlignment w:val="auto"/>
                    <w:rPr>
                      <w:rFonts w:hint="eastAsia"/>
                      <w:vertAlign w:val="baseline"/>
                    </w:rPr>
                  </w:pPr>
                  <w:r>
                    <w:rPr>
                      <w:rFonts w:hint="eastAsia" w:ascii="宋体" w:hAnsi="宋体" w:eastAsia="宋体" w:cs="宋体"/>
                      <w:kern w:val="2"/>
                      <w:sz w:val="21"/>
                      <w:szCs w:val="21"/>
                      <w:lang w:val="en-US" w:eastAsia="zh-CN" w:bidi="ar-SA"/>
                    </w:rPr>
                    <w:t>100-500</w:t>
                  </w:r>
                </w:p>
              </w:tc>
              <w:tc>
                <w:tcPr>
                  <w:tcW w:w="1686" w:type="dxa"/>
                  <w:vAlign w:val="center"/>
                </w:tcPr>
                <w:p>
                  <w:pPr>
                    <w:pStyle w:val="89"/>
                    <w:keepNext w:val="0"/>
                    <w:keepLines w:val="0"/>
                    <w:pageBreakBefore w:val="0"/>
                    <w:kinsoku/>
                    <w:wordWrap/>
                    <w:overflowPunct/>
                    <w:topLinePunct w:val="0"/>
                    <w:autoSpaceDE/>
                    <w:autoSpaceDN/>
                    <w:bidi w:val="0"/>
                    <w:adjustRightInd/>
                    <w:spacing w:line="240" w:lineRule="auto"/>
                    <w:jc w:val="center"/>
                    <w:textAlignment w:val="auto"/>
                    <w:rPr>
                      <w:rFonts w:hint="eastAsia"/>
                      <w:vertAlign w:val="baseline"/>
                    </w:rPr>
                  </w:pPr>
                  <w:r>
                    <w:rPr>
                      <w:rFonts w:hint="eastAsia" w:ascii="宋体" w:hAnsi="宋体" w:eastAsia="宋体" w:cs="宋体"/>
                      <w:kern w:val="2"/>
                      <w:sz w:val="21"/>
                      <w:szCs w:val="21"/>
                      <w:lang w:val="en-US" w:eastAsia="zh-CN" w:bidi="ar-SA"/>
                    </w:rPr>
                    <w:t>1.1%</w:t>
                  </w:r>
                </w:p>
              </w:tc>
              <w:tc>
                <w:tcPr>
                  <w:tcW w:w="3374"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pStyle w:val="89"/>
                    <w:keepNext w:val="0"/>
                    <w:keepLines w:val="0"/>
                    <w:pageBreakBefore w:val="0"/>
                    <w:kinsoku/>
                    <w:wordWrap/>
                    <w:overflowPunct/>
                    <w:topLinePunct w:val="0"/>
                    <w:autoSpaceDE/>
                    <w:autoSpaceDN/>
                    <w:bidi w:val="0"/>
                    <w:adjustRightInd/>
                    <w:spacing w:line="240" w:lineRule="auto"/>
                    <w:jc w:val="center"/>
                    <w:textAlignment w:val="auto"/>
                    <w:rPr>
                      <w:rFonts w:hint="eastAsia"/>
                      <w:vertAlign w:val="baseline"/>
                    </w:rPr>
                  </w:pPr>
                  <w:r>
                    <w:rPr>
                      <w:rFonts w:hint="eastAsia" w:ascii="宋体" w:hAnsi="宋体" w:eastAsia="宋体" w:cs="宋体"/>
                      <w:kern w:val="2"/>
                      <w:sz w:val="21"/>
                      <w:szCs w:val="21"/>
                      <w:lang w:val="en-US" w:eastAsia="zh-CN" w:bidi="ar-SA"/>
                    </w:rPr>
                    <w:t>500-1000</w:t>
                  </w:r>
                </w:p>
              </w:tc>
              <w:tc>
                <w:tcPr>
                  <w:tcW w:w="1686" w:type="dxa"/>
                  <w:vAlign w:val="center"/>
                </w:tcPr>
                <w:p>
                  <w:pPr>
                    <w:pStyle w:val="89"/>
                    <w:keepNext w:val="0"/>
                    <w:keepLines w:val="0"/>
                    <w:pageBreakBefore w:val="0"/>
                    <w:kinsoku/>
                    <w:wordWrap/>
                    <w:overflowPunct/>
                    <w:topLinePunct w:val="0"/>
                    <w:autoSpaceDE/>
                    <w:autoSpaceDN/>
                    <w:bidi w:val="0"/>
                    <w:adjustRightInd/>
                    <w:spacing w:line="240" w:lineRule="auto"/>
                    <w:jc w:val="center"/>
                    <w:textAlignment w:val="auto"/>
                    <w:rPr>
                      <w:rFonts w:hint="eastAsia"/>
                      <w:vertAlign w:val="baseline"/>
                    </w:rPr>
                  </w:pPr>
                  <w:r>
                    <w:rPr>
                      <w:rFonts w:hint="eastAsia" w:ascii="宋体" w:hAnsi="宋体" w:eastAsia="宋体" w:cs="宋体"/>
                      <w:kern w:val="2"/>
                      <w:sz w:val="21"/>
                      <w:szCs w:val="21"/>
                      <w:lang w:val="en-US" w:eastAsia="zh-CN" w:bidi="ar-SA"/>
                    </w:rPr>
                    <w:t>0.8%</w:t>
                  </w:r>
                </w:p>
              </w:tc>
              <w:tc>
                <w:tcPr>
                  <w:tcW w:w="3374" w:type="dxa"/>
                  <w:vMerge w:val="continue"/>
                </w:tcPr>
                <w:p>
                  <w:pPr>
                    <w:rPr>
                      <w:rFonts w:hint="eastAsia"/>
                      <w:vertAlign w:val="baseline"/>
                    </w:rPr>
                  </w:pP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hint="eastAsia" w:ascii="Calibri" w:hAnsi="Calibri" w:cs="Calibri"/>
                <w:color w:val="000000"/>
                <w:highlight w:val="none"/>
              </w:rPr>
            </w:pPr>
            <w:r>
              <w:rPr>
                <w:rFonts w:hint="eastAsia" w:ascii="Calibri" w:hAnsi="Calibri" w:cs="Calibri"/>
                <w:highlight w:val="none"/>
              </w:rPr>
              <w:t>5</w:t>
            </w:r>
          </w:p>
        </w:tc>
        <w:tc>
          <w:tcPr>
            <w:tcW w:w="1611" w:type="dxa"/>
            <w:noWrap/>
            <w:vAlign w:val="center"/>
          </w:tcPr>
          <w:p>
            <w:pPr>
              <w:widowControl w:val="0"/>
              <w:jc w:val="center"/>
              <w:rPr>
                <w:rFonts w:ascii="Calibri" w:hAnsi="Calibri" w:cs="Times New Roman"/>
                <w:color w:val="000000"/>
                <w:highlight w:val="none"/>
              </w:rPr>
            </w:pPr>
            <w:r>
              <w:rPr>
                <w:rFonts w:hint="eastAsia" w:ascii="宋体" w:cs="宋体"/>
                <w:color w:val="000000"/>
                <w:highlight w:val="none"/>
                <w:lang w:val="zh-TW" w:eastAsia="zh-TW"/>
              </w:rPr>
              <w:t>网上注册：</w:t>
            </w:r>
          </w:p>
        </w:tc>
        <w:tc>
          <w:tcPr>
            <w:tcW w:w="6962" w:type="dxa"/>
            <w:noWrap/>
            <w:vAlign w:val="center"/>
          </w:tcPr>
          <w:p>
            <w:pPr>
              <w:widowControl w:val="0"/>
              <w:rPr>
                <w:rFonts w:ascii="宋体" w:hAnsi="Calibri" w:cs="Times New Roman"/>
                <w:color w:val="000000"/>
                <w:highlight w:val="none"/>
              </w:rPr>
            </w:pPr>
            <w:r>
              <w:rPr>
                <w:rFonts w:hint="eastAsia" w:ascii="宋体" w:cs="宋体"/>
                <w:color w:val="000000"/>
                <w:highlight w:val="none"/>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vMerge w:val="restart"/>
            <w:noWrap/>
            <w:vAlign w:val="center"/>
          </w:tcPr>
          <w:p>
            <w:pPr>
              <w:widowControl w:val="0"/>
              <w:spacing w:line="400" w:lineRule="exact"/>
              <w:jc w:val="center"/>
              <w:rPr>
                <w:rFonts w:hint="eastAsia" w:ascii="Calibri" w:hAnsi="Calibri" w:cs="Calibri"/>
                <w:highlight w:val="none"/>
              </w:rPr>
            </w:pPr>
            <w:r>
              <w:rPr>
                <w:rFonts w:hint="eastAsia" w:ascii="Calibri" w:hAnsi="Calibri" w:cs="Calibri"/>
                <w:highlight w:val="none"/>
              </w:rPr>
              <w:t>6</w:t>
            </w:r>
          </w:p>
        </w:tc>
        <w:tc>
          <w:tcPr>
            <w:tcW w:w="1611" w:type="dxa"/>
            <w:noWrap/>
            <w:vAlign w:val="center"/>
          </w:tcPr>
          <w:p>
            <w:pPr>
              <w:widowControl w:val="0"/>
              <w:jc w:val="center"/>
              <w:rPr>
                <w:rFonts w:hint="eastAsia" w:ascii="Calibri" w:hAnsi="Calibri" w:cs="Times New Roman"/>
                <w:highlight w:val="none"/>
              </w:rPr>
            </w:pPr>
            <w:r>
              <w:rPr>
                <w:rFonts w:hint="eastAsia" w:ascii="Calibri" w:hAnsi="Calibri" w:cs="Times New Roman"/>
                <w:highlight w:val="none"/>
              </w:rPr>
              <w:t>转包</w:t>
            </w:r>
          </w:p>
        </w:tc>
        <w:tc>
          <w:tcPr>
            <w:tcW w:w="6962" w:type="dxa"/>
            <w:noWrap/>
            <w:vAlign w:val="center"/>
          </w:tcPr>
          <w:p>
            <w:pPr>
              <w:widowControl w:val="0"/>
              <w:rPr>
                <w:rFonts w:ascii="Calibri" w:hAnsi="Calibri" w:cs="Times New Roman"/>
                <w:highlight w:val="none"/>
              </w:rPr>
            </w:pPr>
            <w:r>
              <w:rPr>
                <w:rFonts w:hint="eastAsia" w:ascii="Calibri" w:hAnsi="Calibri" w:cs="Times New Roman"/>
                <w:highlight w:val="none"/>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ascii="Calibri" w:hAnsi="Calibri" w:cs="Times New Roman"/>
                <w:highlight w:val="none"/>
              </w:rPr>
            </w:pPr>
          </w:p>
        </w:tc>
        <w:tc>
          <w:tcPr>
            <w:tcW w:w="1611" w:type="dxa"/>
            <w:noWrap/>
            <w:vAlign w:val="center"/>
          </w:tcPr>
          <w:p>
            <w:pPr>
              <w:widowControl w:val="0"/>
              <w:jc w:val="center"/>
              <w:rPr>
                <w:rFonts w:ascii="Calibri" w:hAnsi="Calibri" w:cs="Times New Roman"/>
                <w:highlight w:val="none"/>
              </w:rPr>
            </w:pPr>
            <w:r>
              <w:rPr>
                <w:rFonts w:hint="eastAsia" w:ascii="Calibri" w:hAnsi="Calibri" w:cs="宋体"/>
                <w:highlight w:val="none"/>
              </w:rPr>
              <w:t>分包</w:t>
            </w:r>
          </w:p>
        </w:tc>
        <w:tc>
          <w:tcPr>
            <w:tcW w:w="6962" w:type="dxa"/>
            <w:noWrap/>
            <w:vAlign w:val="center"/>
          </w:tcPr>
          <w:p>
            <w:pPr>
              <w:widowControl w:val="0"/>
              <w:rPr>
                <w:rFonts w:ascii="Calibri" w:hAnsi="Calibri" w:cs="Times New Roman"/>
                <w:highlight w:val="none"/>
              </w:rPr>
            </w:pPr>
            <w:r>
              <w:rPr>
                <w:rFonts w:hint="eastAsia" w:ascii="Calibri" w:hAnsi="Calibri" w:cs="Times New Roman"/>
                <w:highlight w:val="none"/>
              </w:rPr>
              <w:t>禁止分包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hint="eastAsia" w:ascii="Calibri" w:hAnsi="Calibri" w:cs="Calibri"/>
                <w:highlight w:val="none"/>
              </w:rPr>
              <w:t>7</w:t>
            </w:r>
          </w:p>
        </w:tc>
        <w:tc>
          <w:tcPr>
            <w:tcW w:w="1611" w:type="dxa"/>
            <w:noWrap/>
            <w:vAlign w:val="center"/>
          </w:tcPr>
          <w:p>
            <w:pPr>
              <w:widowControl w:val="0"/>
              <w:jc w:val="center"/>
              <w:rPr>
                <w:rFonts w:ascii="宋体" w:hAnsi="Calibri" w:cs="Times New Roman"/>
                <w:color w:val="FF0000"/>
                <w:highlight w:val="none"/>
                <w:lang w:val="zh-TW" w:eastAsia="zh-TW"/>
              </w:rPr>
            </w:pPr>
            <w:r>
              <w:rPr>
                <w:rFonts w:hint="eastAsia" w:ascii="Calibri" w:hAnsi="Calibri" w:cs="宋体"/>
                <w:highlight w:val="none"/>
              </w:rPr>
              <w:t>踏勘现场</w:t>
            </w:r>
          </w:p>
        </w:tc>
        <w:tc>
          <w:tcPr>
            <w:tcW w:w="6962" w:type="dxa"/>
            <w:noWrap/>
            <w:vAlign w:val="center"/>
          </w:tcPr>
          <w:p>
            <w:pPr>
              <w:widowControl w:val="0"/>
              <w:rPr>
                <w:rFonts w:ascii="Calibri" w:hAnsi="Calibri" w:cs="Times New Roman"/>
                <w:color w:val="FF0000"/>
                <w:highlight w:val="none"/>
              </w:rPr>
            </w:pPr>
            <w:r>
              <w:rPr>
                <w:rFonts w:hint="eastAsia" w:ascii="Calibri" w:hAnsi="Calibri" w:cs="宋体"/>
                <w:color w:val="000000"/>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hint="eastAsia" w:ascii="Calibri" w:hAnsi="Calibri" w:cs="Calibri"/>
                <w:highlight w:val="none"/>
              </w:rPr>
              <w:t>8</w:t>
            </w:r>
          </w:p>
        </w:tc>
        <w:tc>
          <w:tcPr>
            <w:tcW w:w="1611" w:type="dxa"/>
            <w:noWrap/>
            <w:vAlign w:val="center"/>
          </w:tcPr>
          <w:p>
            <w:pPr>
              <w:widowControl w:val="0"/>
              <w:snapToGrid w:val="0"/>
              <w:rPr>
                <w:rFonts w:ascii="Calibri" w:hAnsi="Calibri" w:cs="Times New Roman"/>
                <w:highlight w:val="none"/>
              </w:rPr>
            </w:pPr>
            <w:r>
              <w:rPr>
                <w:rFonts w:hint="eastAsia" w:ascii="Calibri" w:hAnsi="Calibri" w:cs="宋体"/>
                <w:color w:val="000000"/>
                <w:highlight w:val="none"/>
              </w:rPr>
              <w:t>投标文件形式、制作及组成</w:t>
            </w:r>
          </w:p>
        </w:tc>
        <w:tc>
          <w:tcPr>
            <w:tcW w:w="6962" w:type="dxa"/>
            <w:noWrap/>
            <w:vAlign w:val="center"/>
          </w:tcPr>
          <w:p>
            <w:pPr>
              <w:widowControl w:val="0"/>
              <w:wordWrap w:val="0"/>
              <w:rPr>
                <w:rFonts w:ascii="Calibri" w:hAnsi="Calibri" w:cs="宋体"/>
                <w:color w:val="000000"/>
                <w:highlight w:val="none"/>
              </w:rPr>
            </w:pPr>
            <w:r>
              <w:rPr>
                <w:rFonts w:hint="eastAsia" w:ascii="Calibri" w:hAnsi="Calibri" w:cs="宋体"/>
                <w:color w:val="000000"/>
                <w:highlight w:val="none"/>
              </w:rPr>
              <w:t>投标人应准备电子投标文件：</w:t>
            </w:r>
          </w:p>
          <w:p>
            <w:pPr>
              <w:widowControl w:val="0"/>
              <w:wordWrap w:val="0"/>
              <w:rPr>
                <w:rFonts w:ascii="Calibri" w:hAnsi="Calibri" w:cs="Times New Roman"/>
                <w:color w:val="000000"/>
                <w:highlight w:val="none"/>
              </w:rPr>
            </w:pPr>
            <w:r>
              <w:rPr>
                <w:rFonts w:hint="eastAsia" w:ascii="Calibri" w:hAnsi="Calibri" w:cs="宋体"/>
                <w:color w:val="000000"/>
                <w:highlight w:val="none"/>
              </w:rPr>
              <w:t>电子投标文件，按政采云平台供应商项目采购</w:t>
            </w:r>
            <w:r>
              <w:rPr>
                <w:rFonts w:ascii="Calibri" w:hAnsi="Calibri" w:cs="宋体"/>
                <w:color w:val="000000"/>
                <w:highlight w:val="none"/>
              </w:rPr>
              <w:t>-</w:t>
            </w:r>
            <w:r>
              <w:rPr>
                <w:rFonts w:hint="eastAsia" w:ascii="Calibri" w:hAnsi="Calibri" w:cs="宋体"/>
                <w:color w:val="000000"/>
                <w:highlight w:val="none"/>
              </w:rPr>
              <w:t>电子招投标操作指南（网址：</w:t>
            </w:r>
            <w:r>
              <w:rPr>
                <w:rFonts w:ascii="Calibri" w:hAnsi="Calibri" w:cs="宋体"/>
                <w:color w:val="000000"/>
                <w:highlight w:val="none"/>
              </w:rPr>
              <w:t>https://help.zcygov.cn/web/site_2/2018/12-28/2573.html</w:t>
            </w:r>
            <w:r>
              <w:rPr>
                <w:rFonts w:hint="eastAsia" w:ascii="Calibri" w:hAnsi="Calibri" w:cs="宋体"/>
                <w:color w:val="000000"/>
                <w:highlight w:val="none"/>
              </w:rPr>
              <w:t>）及本招标文件要求递交。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hint="eastAsia" w:ascii="Calibri" w:hAnsi="Calibri" w:cs="Calibri"/>
                <w:highlight w:val="none"/>
              </w:rPr>
              <w:t>9</w:t>
            </w:r>
          </w:p>
        </w:tc>
        <w:tc>
          <w:tcPr>
            <w:tcW w:w="1611" w:type="dxa"/>
            <w:noWrap/>
            <w:vAlign w:val="center"/>
          </w:tcPr>
          <w:p>
            <w:pPr>
              <w:widowControl w:val="0"/>
              <w:snapToGrid w:val="0"/>
              <w:rPr>
                <w:rFonts w:ascii="Calibri" w:hAnsi="Calibri" w:cs="Times New Roman"/>
                <w:highlight w:val="none"/>
              </w:rPr>
            </w:pPr>
            <w:r>
              <w:rPr>
                <w:rFonts w:hint="eastAsia" w:ascii="Calibri" w:hAnsi="Calibri" w:cs="宋体"/>
                <w:color w:val="000000"/>
                <w:highlight w:val="none"/>
              </w:rPr>
              <w:t>电子投标文件的传输递交</w:t>
            </w:r>
          </w:p>
        </w:tc>
        <w:tc>
          <w:tcPr>
            <w:tcW w:w="6962" w:type="dxa"/>
            <w:noWrap/>
            <w:vAlign w:val="center"/>
          </w:tcPr>
          <w:p>
            <w:pPr>
              <w:widowControl w:val="0"/>
              <w:snapToGrid w:val="0"/>
              <w:spacing w:before="120" w:after="120"/>
              <w:rPr>
                <w:rFonts w:ascii="Calibri" w:hAnsi="Calibri" w:cs="Times New Roman"/>
                <w:color w:val="000000"/>
                <w:highlight w:val="none"/>
              </w:rPr>
            </w:pPr>
            <w:r>
              <w:rPr>
                <w:rFonts w:hint="eastAsia" w:ascii="Calibri" w:hAnsi="Calibri" w:cs="宋体"/>
                <w:color w:val="000000"/>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Calibri" w:hAnsi="Calibri" w:cs="Calibri"/>
                <w:highlight w:val="none"/>
              </w:rPr>
            </w:pPr>
            <w:r>
              <w:rPr>
                <w:rFonts w:hint="eastAsia" w:ascii="Calibri" w:hAnsi="Calibri" w:cs="Calibri"/>
                <w:highlight w:val="none"/>
              </w:rPr>
              <w:t>10</w:t>
            </w:r>
          </w:p>
        </w:tc>
        <w:tc>
          <w:tcPr>
            <w:tcW w:w="1611" w:type="dxa"/>
            <w:noWrap/>
            <w:vAlign w:val="center"/>
          </w:tcPr>
          <w:p>
            <w:pPr>
              <w:widowControl w:val="0"/>
              <w:jc w:val="center"/>
              <w:rPr>
                <w:rFonts w:ascii="Calibri" w:hAnsi="Calibri" w:cs="Times New Roman"/>
                <w:highlight w:val="none"/>
              </w:rPr>
            </w:pPr>
            <w:r>
              <w:rPr>
                <w:rFonts w:hint="eastAsia" w:ascii="Calibri" w:hAnsi="Calibri" w:cs="宋体"/>
                <w:highlight w:val="none"/>
              </w:rPr>
              <w:t>投标截止时间：</w:t>
            </w:r>
          </w:p>
        </w:tc>
        <w:tc>
          <w:tcPr>
            <w:tcW w:w="6962" w:type="dxa"/>
            <w:noWrap/>
            <w:vAlign w:val="center"/>
          </w:tcPr>
          <w:p>
            <w:pPr>
              <w:widowControl w:val="0"/>
              <w:rPr>
                <w:rFonts w:ascii="Calibri" w:hAnsi="Calibri" w:cs="Times New Roman"/>
                <w:color w:val="000000"/>
                <w:highlight w:val="none"/>
              </w:rPr>
            </w:pPr>
            <w:r>
              <w:rPr>
                <w:rFonts w:ascii="Calibri" w:hAnsi="Calibri" w:cs="Calibri"/>
                <w:color w:val="FF0000"/>
                <w:highlight w:val="none"/>
              </w:rPr>
              <w:t>202</w:t>
            </w:r>
            <w:r>
              <w:rPr>
                <w:rFonts w:hint="eastAsia" w:ascii="Calibri" w:hAnsi="Calibri" w:cs="Calibri"/>
                <w:color w:val="FF0000"/>
                <w:highlight w:val="none"/>
                <w:lang w:val="en-US" w:eastAsia="zh-CN"/>
              </w:rPr>
              <w:t>2</w:t>
            </w:r>
            <w:r>
              <w:rPr>
                <w:rFonts w:hint="eastAsia" w:ascii="Calibri" w:hAnsi="Calibri" w:cs="宋体"/>
                <w:color w:val="FF0000"/>
                <w:highlight w:val="none"/>
              </w:rPr>
              <w:t>年</w:t>
            </w:r>
            <w:r>
              <w:rPr>
                <w:rFonts w:hint="eastAsia" w:ascii="Calibri" w:hAnsi="Calibri" w:cs="宋体"/>
                <w:color w:val="FF0000"/>
                <w:highlight w:val="none"/>
                <w:lang w:val="en-US" w:eastAsia="zh-CN"/>
              </w:rPr>
              <w:t>9</w:t>
            </w:r>
            <w:r>
              <w:rPr>
                <w:rFonts w:hint="eastAsia" w:ascii="Calibri" w:hAnsi="Calibri" w:cs="宋体"/>
                <w:color w:val="FF0000"/>
                <w:highlight w:val="none"/>
              </w:rPr>
              <w:t>月</w:t>
            </w:r>
            <w:r>
              <w:rPr>
                <w:rFonts w:hint="eastAsia" w:ascii="Calibri" w:hAnsi="Calibri" w:cs="宋体"/>
                <w:color w:val="FF0000"/>
                <w:highlight w:val="none"/>
                <w:lang w:val="en-US" w:eastAsia="zh-CN"/>
              </w:rPr>
              <w:t>16</w:t>
            </w:r>
            <w:r>
              <w:rPr>
                <w:rFonts w:hint="eastAsia" w:ascii="Calibri" w:hAnsi="Calibri" w:cs="宋体"/>
                <w:color w:val="FF0000"/>
                <w:highlight w:val="none"/>
              </w:rPr>
              <w:t>日</w:t>
            </w:r>
            <w:r>
              <w:rPr>
                <w:rFonts w:hint="eastAsia" w:ascii="Calibri" w:hAnsi="Calibri" w:cs="Calibri"/>
                <w:color w:val="FF0000"/>
                <w:highlight w:val="none"/>
                <w:lang w:val="en-US" w:eastAsia="zh-CN"/>
              </w:rPr>
              <w:t>09</w:t>
            </w:r>
            <w:r>
              <w:rPr>
                <w:rFonts w:ascii="Calibri" w:hAnsi="Calibri" w:cs="Calibri"/>
                <w:color w:val="FF0000"/>
                <w:highlight w:val="none"/>
              </w:rPr>
              <w:t>:</w:t>
            </w:r>
            <w:r>
              <w:rPr>
                <w:rFonts w:hint="eastAsia" w:ascii="Calibri" w:hAnsi="Calibri" w:cs="Calibri"/>
                <w:color w:val="FF0000"/>
                <w:highlight w:val="none"/>
                <w:lang w:val="en-US" w:eastAsia="zh-CN"/>
              </w:rPr>
              <w:t>0</w:t>
            </w:r>
            <w:r>
              <w:rPr>
                <w:rFonts w:ascii="Calibri" w:hAnsi="Calibri" w:cs="Calibri"/>
                <w:color w:val="FF000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hint="eastAsia" w:ascii="Calibri" w:hAnsi="Calibri" w:cs="Calibri"/>
                <w:highlight w:val="none"/>
              </w:rPr>
              <w:t>11</w:t>
            </w:r>
          </w:p>
        </w:tc>
        <w:tc>
          <w:tcPr>
            <w:tcW w:w="1611" w:type="dxa"/>
            <w:noWrap/>
            <w:vAlign w:val="center"/>
          </w:tcPr>
          <w:p>
            <w:pPr>
              <w:widowControl w:val="0"/>
              <w:jc w:val="center"/>
              <w:rPr>
                <w:rFonts w:ascii="Calibri" w:hAnsi="Calibri" w:cs="宋体"/>
                <w:color w:val="000000"/>
                <w:highlight w:val="none"/>
              </w:rPr>
            </w:pPr>
            <w:r>
              <w:rPr>
                <w:rFonts w:hint="eastAsia" w:ascii="Calibri" w:hAnsi="Calibri" w:cs="宋体"/>
                <w:highlight w:val="none"/>
              </w:rPr>
              <w:t>开标时间：</w:t>
            </w:r>
          </w:p>
        </w:tc>
        <w:tc>
          <w:tcPr>
            <w:tcW w:w="6962" w:type="dxa"/>
            <w:noWrap/>
            <w:vAlign w:val="center"/>
          </w:tcPr>
          <w:p>
            <w:pPr>
              <w:widowControl w:val="0"/>
              <w:rPr>
                <w:rFonts w:ascii="Calibri" w:hAnsi="Calibri" w:cs="宋体"/>
                <w:color w:val="000000"/>
                <w:highlight w:val="none"/>
              </w:rPr>
            </w:pPr>
            <w:r>
              <w:rPr>
                <w:rFonts w:ascii="Calibri" w:hAnsi="Calibri" w:cs="Calibri"/>
                <w:color w:val="FF0000"/>
                <w:highlight w:val="none"/>
              </w:rPr>
              <w:t>202</w:t>
            </w:r>
            <w:r>
              <w:rPr>
                <w:rFonts w:hint="eastAsia" w:ascii="Calibri" w:hAnsi="Calibri" w:cs="Calibri"/>
                <w:color w:val="FF0000"/>
                <w:highlight w:val="none"/>
                <w:lang w:val="en-US" w:eastAsia="zh-CN"/>
              </w:rPr>
              <w:t>2</w:t>
            </w:r>
            <w:r>
              <w:rPr>
                <w:rFonts w:hint="eastAsia" w:ascii="Calibri" w:hAnsi="Calibri" w:cs="宋体"/>
                <w:color w:val="FF0000"/>
                <w:highlight w:val="none"/>
              </w:rPr>
              <w:t>年</w:t>
            </w:r>
            <w:r>
              <w:rPr>
                <w:rFonts w:hint="eastAsia" w:ascii="Calibri" w:hAnsi="Calibri" w:cs="宋体"/>
                <w:color w:val="FF0000"/>
                <w:highlight w:val="none"/>
                <w:lang w:val="en-US" w:eastAsia="zh-CN"/>
              </w:rPr>
              <w:t>9</w:t>
            </w:r>
            <w:r>
              <w:rPr>
                <w:rFonts w:hint="eastAsia" w:ascii="Calibri" w:hAnsi="Calibri" w:cs="宋体"/>
                <w:color w:val="FF0000"/>
                <w:highlight w:val="none"/>
              </w:rPr>
              <w:t>月</w:t>
            </w:r>
            <w:r>
              <w:rPr>
                <w:rFonts w:hint="eastAsia" w:ascii="Calibri" w:hAnsi="Calibri" w:cs="宋体"/>
                <w:color w:val="FF0000"/>
                <w:highlight w:val="none"/>
                <w:lang w:val="en-US" w:eastAsia="zh-CN"/>
              </w:rPr>
              <w:t>16</w:t>
            </w:r>
            <w:r>
              <w:rPr>
                <w:rFonts w:hint="eastAsia" w:ascii="Calibri" w:hAnsi="Calibri" w:cs="宋体"/>
                <w:color w:val="FF0000"/>
                <w:highlight w:val="none"/>
              </w:rPr>
              <w:t>日</w:t>
            </w:r>
            <w:r>
              <w:rPr>
                <w:rFonts w:hint="eastAsia" w:ascii="Calibri" w:hAnsi="Calibri" w:cs="Calibri"/>
                <w:color w:val="FF0000"/>
                <w:highlight w:val="none"/>
                <w:lang w:val="en-US" w:eastAsia="zh-CN"/>
              </w:rPr>
              <w:t>09</w:t>
            </w:r>
            <w:r>
              <w:rPr>
                <w:rFonts w:ascii="Calibri" w:hAnsi="Calibri" w:cs="Calibri"/>
                <w:color w:val="FF0000"/>
                <w:highlight w:val="none"/>
              </w:rPr>
              <w:t>:</w:t>
            </w:r>
            <w:r>
              <w:rPr>
                <w:rFonts w:hint="eastAsia" w:ascii="Calibri" w:hAnsi="Calibri" w:cs="Calibri"/>
                <w:color w:val="FF0000"/>
                <w:highlight w:val="none"/>
                <w:lang w:val="en-US" w:eastAsia="zh-CN"/>
              </w:rPr>
              <w:t>0</w:t>
            </w:r>
            <w:r>
              <w:rPr>
                <w:rFonts w:ascii="Calibri" w:hAnsi="Calibri" w:cs="Calibri"/>
                <w:color w:val="FF000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ascii="Calibri" w:hAnsi="Calibri" w:cs="Calibri"/>
                <w:highlight w:val="none"/>
              </w:rPr>
              <w:t>1</w:t>
            </w:r>
            <w:r>
              <w:rPr>
                <w:rFonts w:hint="eastAsia" w:ascii="Calibri" w:hAnsi="Calibri" w:cs="Calibri"/>
                <w:highlight w:val="none"/>
              </w:rPr>
              <w:t>2</w:t>
            </w:r>
          </w:p>
        </w:tc>
        <w:tc>
          <w:tcPr>
            <w:tcW w:w="1611" w:type="dxa"/>
            <w:noWrap/>
            <w:vAlign w:val="center"/>
          </w:tcPr>
          <w:p>
            <w:pPr>
              <w:widowControl w:val="0"/>
              <w:jc w:val="center"/>
              <w:rPr>
                <w:rFonts w:ascii="Calibri" w:hAnsi="Calibri" w:cs="宋体"/>
                <w:color w:val="000000"/>
                <w:highlight w:val="none"/>
              </w:rPr>
            </w:pPr>
            <w:r>
              <w:rPr>
                <w:rFonts w:hint="eastAsia" w:ascii="Calibri" w:hAnsi="Calibri" w:cs="宋体"/>
                <w:highlight w:val="none"/>
              </w:rPr>
              <w:t>开标地点：</w:t>
            </w:r>
          </w:p>
        </w:tc>
        <w:tc>
          <w:tcPr>
            <w:tcW w:w="6962" w:type="dxa"/>
            <w:noWrap/>
            <w:vAlign w:val="center"/>
          </w:tcPr>
          <w:p>
            <w:pPr>
              <w:widowControl w:val="0"/>
              <w:rPr>
                <w:rFonts w:hint="eastAsia" w:ascii="Calibri" w:hAnsi="Calibri" w:cs="宋体"/>
                <w:color w:val="000000"/>
                <w:highlight w:val="none"/>
              </w:rPr>
            </w:pPr>
            <w:r>
              <w:rPr>
                <w:rFonts w:hint="eastAsia" w:ascii="宋体" w:cs="宋体"/>
                <w:sz w:val="24"/>
              </w:rPr>
              <w:t>金华市政府采购中心永康市分中心(永康市五湖路1号国际会展中心办公楼三楼)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ascii="Calibri" w:hAnsi="Calibri" w:cs="Calibri"/>
                <w:highlight w:val="none"/>
              </w:rPr>
              <w:t>1</w:t>
            </w:r>
            <w:r>
              <w:rPr>
                <w:rFonts w:hint="eastAsia" w:ascii="Calibri" w:hAnsi="Calibri" w:cs="Calibri"/>
                <w:highlight w:val="none"/>
              </w:rPr>
              <w:t>3</w:t>
            </w:r>
          </w:p>
        </w:tc>
        <w:tc>
          <w:tcPr>
            <w:tcW w:w="1611" w:type="dxa"/>
            <w:noWrap/>
            <w:vAlign w:val="center"/>
          </w:tcPr>
          <w:p>
            <w:pPr>
              <w:widowControl w:val="0"/>
              <w:jc w:val="center"/>
              <w:rPr>
                <w:rFonts w:ascii="Calibri" w:hAnsi="Calibri" w:cs="Times New Roman"/>
                <w:highlight w:val="none"/>
              </w:rPr>
            </w:pPr>
            <w:r>
              <w:rPr>
                <w:rFonts w:hint="eastAsia" w:ascii="Calibri" w:hAnsi="Calibri" w:cs="宋体"/>
                <w:highlight w:val="none"/>
              </w:rPr>
              <w:t>评分办法和中标标准：</w:t>
            </w:r>
          </w:p>
        </w:tc>
        <w:tc>
          <w:tcPr>
            <w:tcW w:w="6962" w:type="dxa"/>
            <w:noWrap/>
            <w:vAlign w:val="center"/>
          </w:tcPr>
          <w:p>
            <w:pPr>
              <w:widowControl w:val="0"/>
              <w:rPr>
                <w:rFonts w:ascii="Calibri" w:hAnsi="Calibri" w:cs="Times New Roman"/>
                <w:highlight w:val="none"/>
              </w:rPr>
            </w:pPr>
            <w:r>
              <w:rPr>
                <w:rFonts w:hint="eastAsia" w:ascii="Calibri" w:hAnsi="Calibri" w:cs="宋体"/>
                <w:highlight w:val="none"/>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ascii="Calibri" w:hAnsi="Calibri" w:cs="Calibri"/>
                <w:highlight w:val="none"/>
              </w:rPr>
              <w:t>1</w:t>
            </w:r>
            <w:r>
              <w:rPr>
                <w:rFonts w:hint="eastAsia" w:ascii="Calibri" w:hAnsi="Calibri" w:cs="Calibri"/>
                <w:highlight w:val="none"/>
              </w:rPr>
              <w:t>4</w:t>
            </w:r>
          </w:p>
        </w:tc>
        <w:tc>
          <w:tcPr>
            <w:tcW w:w="1611" w:type="dxa"/>
            <w:noWrap/>
            <w:vAlign w:val="center"/>
          </w:tcPr>
          <w:p>
            <w:pPr>
              <w:widowControl w:val="0"/>
              <w:spacing w:line="380" w:lineRule="exact"/>
              <w:rPr>
                <w:rFonts w:hint="eastAsia" w:ascii="Calibri" w:hAnsi="Calibri" w:cs="Times New Roman"/>
                <w:highlight w:val="none"/>
              </w:rPr>
            </w:pPr>
            <w:r>
              <w:rPr>
                <w:rFonts w:hint="eastAsia" w:ascii="Times New Roman" w:hAnsi="Times New Roman" w:cs="宋体"/>
                <w:highlight w:val="none"/>
              </w:rPr>
              <w:t>采购公告，更正公告，中标公示发布网址</w:t>
            </w:r>
          </w:p>
        </w:tc>
        <w:tc>
          <w:tcPr>
            <w:tcW w:w="6962" w:type="dxa"/>
            <w:noWrap/>
            <w:vAlign w:val="center"/>
          </w:tcPr>
          <w:p>
            <w:pPr>
              <w:widowControl w:val="0"/>
              <w:snapToGrid w:val="0"/>
              <w:spacing w:line="380" w:lineRule="exact"/>
              <w:rPr>
                <w:rFonts w:hint="eastAsia" w:ascii="Calibri" w:hAnsi="Calibri" w:cs="Times New Roman"/>
                <w:highlight w:val="none"/>
              </w:rPr>
            </w:pPr>
            <w:r>
              <w:rPr>
                <w:rFonts w:hint="eastAsia" w:ascii="Times New Roman" w:hAnsi="Times New Roman" w:cs="宋体"/>
                <w:highlight w:val="none"/>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Calibri" w:hAnsi="Calibri" w:cs="Calibri"/>
                <w:highlight w:val="none"/>
              </w:rPr>
            </w:pPr>
            <w:r>
              <w:rPr>
                <w:rFonts w:hint="eastAsia" w:ascii="Calibri" w:hAnsi="Calibri" w:cs="Times New Roman"/>
                <w:highlight w:val="none"/>
              </w:rPr>
              <w:t>15</w:t>
            </w:r>
          </w:p>
        </w:tc>
        <w:tc>
          <w:tcPr>
            <w:tcW w:w="1611" w:type="dxa"/>
            <w:noWrap/>
            <w:vAlign w:val="center"/>
          </w:tcPr>
          <w:p>
            <w:pPr>
              <w:widowControl w:val="0"/>
              <w:jc w:val="center"/>
              <w:rPr>
                <w:rFonts w:ascii="Calibri" w:hAnsi="Calibri" w:cs="Times New Roman"/>
                <w:color w:val="FF0000"/>
                <w:highlight w:val="none"/>
              </w:rPr>
            </w:pPr>
            <w:r>
              <w:rPr>
                <w:rFonts w:hint="eastAsia" w:ascii="Calibri" w:hAnsi="Calibri" w:cs="宋体"/>
                <w:highlight w:val="none"/>
              </w:rPr>
              <w:t>中标结果公示：</w:t>
            </w:r>
          </w:p>
        </w:tc>
        <w:tc>
          <w:tcPr>
            <w:tcW w:w="6962" w:type="dxa"/>
            <w:noWrap/>
            <w:vAlign w:val="center"/>
          </w:tcPr>
          <w:p>
            <w:pPr>
              <w:widowControl w:val="0"/>
              <w:rPr>
                <w:rFonts w:ascii="Calibri" w:hAnsi="Calibri" w:cs="Calibri"/>
                <w:color w:val="FF0000"/>
                <w:highlight w:val="none"/>
              </w:rPr>
            </w:pPr>
            <w:r>
              <w:rPr>
                <w:rFonts w:hint="eastAsia" w:ascii="Calibri" w:hAnsi="Calibri" w:cs="宋体"/>
                <w:highlight w:val="none"/>
              </w:rPr>
              <w:t>中标结果公示在政府采购网</w:t>
            </w:r>
            <w:r>
              <w:rPr>
                <w:rFonts w:hint="eastAsia" w:ascii="Times New Roman" w:hAnsi="Times New Roman" w:cs="宋体"/>
                <w:highlight w:val="none"/>
              </w:rPr>
              <w:t>http://zfcg.czt.zj.gov.cn</w:t>
            </w:r>
            <w:r>
              <w:rPr>
                <w:rFonts w:hint="eastAsia" w:ascii="Calibri" w:hAnsi="Calibri" w:cs="宋体"/>
                <w:highlight w:val="none"/>
              </w:rPr>
              <w:t>。公示期满后，如无有效质疑和投诉，向中标人发出中标通知书。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hint="eastAsia" w:ascii="Calibri" w:hAnsi="Calibri" w:cs="Times New Roman"/>
                <w:highlight w:val="none"/>
              </w:rPr>
            </w:pPr>
            <w:r>
              <w:rPr>
                <w:rFonts w:ascii="Calibri" w:hAnsi="Calibri" w:cs="Calibri"/>
                <w:highlight w:val="none"/>
              </w:rPr>
              <w:t>1</w:t>
            </w:r>
            <w:r>
              <w:rPr>
                <w:rFonts w:hint="eastAsia" w:ascii="Calibri" w:hAnsi="Calibri" w:cs="Calibri"/>
                <w:highlight w:val="none"/>
              </w:rPr>
              <w:t>6</w:t>
            </w:r>
          </w:p>
        </w:tc>
        <w:tc>
          <w:tcPr>
            <w:tcW w:w="1611" w:type="dxa"/>
            <w:noWrap/>
            <w:vAlign w:val="center"/>
          </w:tcPr>
          <w:p>
            <w:pPr>
              <w:widowControl w:val="0"/>
              <w:jc w:val="center"/>
              <w:rPr>
                <w:rFonts w:ascii="Calibri" w:hAnsi="Calibri" w:cs="Times New Roman"/>
                <w:highlight w:val="none"/>
              </w:rPr>
            </w:pPr>
            <w:r>
              <w:rPr>
                <w:rFonts w:hint="eastAsia" w:ascii="Calibri" w:hAnsi="Calibri" w:cs="宋体"/>
                <w:highlight w:val="none"/>
              </w:rPr>
              <w:t>信用记录</w:t>
            </w:r>
          </w:p>
        </w:tc>
        <w:tc>
          <w:tcPr>
            <w:tcW w:w="6962" w:type="dxa"/>
            <w:noWrap/>
            <w:vAlign w:val="center"/>
          </w:tcPr>
          <w:p>
            <w:pPr>
              <w:widowControl w:val="0"/>
              <w:rPr>
                <w:rFonts w:ascii="Calibri" w:hAnsi="Calibri" w:cs="Times New Roman"/>
                <w:highlight w:val="none"/>
              </w:rPr>
            </w:pPr>
            <w:r>
              <w:rPr>
                <w:rFonts w:hint="eastAsia" w:ascii="Calibri" w:hAnsi="Calibri" w:cs="宋体"/>
                <w:color w:val="000000"/>
                <w:highlight w:val="none"/>
              </w:rPr>
              <w:t>根据《关于在政府采购活动中查询及使用信用记录有关问题的通知》财库</w:t>
            </w:r>
            <w:r>
              <w:rPr>
                <w:rFonts w:ascii="Calibri" w:hAnsi="Calibri" w:cs="Calibri"/>
                <w:color w:val="000000"/>
                <w:highlight w:val="none"/>
              </w:rPr>
              <w:t xml:space="preserve">[2016]125 </w:t>
            </w:r>
            <w:r>
              <w:rPr>
                <w:rFonts w:hint="eastAsia" w:ascii="Calibri" w:hAnsi="Calibri" w:cs="宋体"/>
                <w:color w:val="000000"/>
                <w:highlight w:val="none"/>
              </w:rPr>
              <w:t>号的规定：</w:t>
            </w:r>
            <w:r>
              <w:rPr>
                <w:rFonts w:ascii="Calibri" w:hAnsi="Calibri" w:cs="Calibri"/>
                <w:color w:val="000000"/>
                <w:highlight w:val="none"/>
              </w:rPr>
              <w:t xml:space="preserve"> 1</w:t>
            </w:r>
            <w:r>
              <w:rPr>
                <w:rFonts w:hint="eastAsia" w:ascii="Calibri" w:hAnsi="Calibri" w:cs="宋体"/>
                <w:color w:val="000000"/>
                <w:highlight w:val="none"/>
              </w:rPr>
              <w:t>）采购人或采购代理机构将对本项目供应商的信用信息进行查询。</w:t>
            </w:r>
            <w:r>
              <w:rPr>
                <w:rFonts w:ascii="Calibri" w:hAnsi="Calibri" w:cs="Calibri"/>
                <w:color w:val="000000"/>
                <w:highlight w:val="none"/>
              </w:rPr>
              <w:t xml:space="preserve"> 2</w:t>
            </w:r>
            <w:r>
              <w:rPr>
                <w:rFonts w:hint="eastAsia" w:ascii="Calibri" w:hAnsi="Calibri" w:cs="宋体"/>
                <w:color w:val="000000"/>
                <w:highlight w:val="none"/>
              </w:rPr>
              <w:t>）查询渠道为信用中国网站（</w:t>
            </w:r>
            <w:r>
              <w:rPr>
                <w:rFonts w:ascii="Calibri" w:hAnsi="Calibri" w:cs="Calibri"/>
                <w:color w:val="000000"/>
                <w:highlight w:val="none"/>
              </w:rPr>
              <w:t>www.creditchina.gov.cn</w:t>
            </w:r>
            <w:r>
              <w:rPr>
                <w:rFonts w:hint="eastAsia" w:ascii="Calibri" w:hAnsi="Calibri" w:cs="宋体"/>
                <w:color w:val="000000"/>
                <w:highlight w:val="none"/>
              </w:rPr>
              <w:t>）、中国政府采购网（</w:t>
            </w:r>
            <w:r>
              <w:rPr>
                <w:rFonts w:ascii="Calibri" w:hAnsi="Calibri" w:cs="Calibri"/>
                <w:color w:val="000000"/>
                <w:highlight w:val="none"/>
              </w:rPr>
              <w:t>www.ccgp.gov.cn</w:t>
            </w:r>
            <w:r>
              <w:rPr>
                <w:rFonts w:hint="eastAsia" w:ascii="Calibri" w:hAnsi="Calibri" w:cs="宋体"/>
                <w:color w:val="000000"/>
                <w:highlight w:val="none"/>
              </w:rPr>
              <w:t>）。</w:t>
            </w:r>
            <w:r>
              <w:rPr>
                <w:rFonts w:ascii="Calibri" w:hAnsi="Calibri" w:cs="Calibri"/>
                <w:color w:val="000000"/>
                <w:highlight w:val="none"/>
              </w:rPr>
              <w:t xml:space="preserve"> 3</w:t>
            </w:r>
            <w:r>
              <w:rPr>
                <w:rFonts w:hint="eastAsia" w:ascii="Calibri" w:hAnsi="Calibri" w:cs="宋体"/>
                <w:color w:val="000000"/>
                <w:highlight w:val="none"/>
              </w:rPr>
              <w:t>）信用信息截止时点为从本项目投标截止日往前追溯三年，期间被列入失信被执行人名单、重大税收违法案件当事人名单、政府采购严重违法失信行为记录名单等供应商信用信息均将用于本项目。</w:t>
            </w:r>
            <w:r>
              <w:rPr>
                <w:rFonts w:ascii="Calibri" w:hAnsi="Calibri" w:cs="Calibri"/>
                <w:color w:val="000000"/>
                <w:highlight w:val="none"/>
              </w:rPr>
              <w:t xml:space="preserve"> 4</w:t>
            </w:r>
            <w:r>
              <w:rPr>
                <w:rFonts w:hint="eastAsia" w:ascii="Calibri" w:hAnsi="Calibri" w:cs="宋体"/>
                <w:color w:val="000000"/>
                <w:highlight w:val="none"/>
              </w:rPr>
              <w:t>）信用信息查询记录和证据以网页截图等方式留存。</w:t>
            </w:r>
            <w:r>
              <w:rPr>
                <w:rFonts w:ascii="Calibri" w:hAnsi="Calibri" w:cs="Calibri"/>
                <w:color w:val="000000"/>
                <w:highlight w:val="none"/>
              </w:rPr>
              <w:t xml:space="preserve"> 5</w:t>
            </w:r>
            <w:r>
              <w:rPr>
                <w:rFonts w:hint="eastAsia" w:ascii="Calibri" w:hAnsi="Calibri" w:cs="宋体"/>
                <w:color w:val="000000"/>
                <w:highlight w:val="none"/>
              </w:rPr>
              <w:t>）投标截止日当日网站显示的信用信息将作为评审和确定中标人的依据。</w:t>
            </w:r>
            <w:r>
              <w:rPr>
                <w:rFonts w:ascii="Calibri" w:hAnsi="Calibri" w:cs="Calibri"/>
                <w:color w:val="000000"/>
                <w:highlight w:val="none"/>
              </w:rPr>
              <w:t xml:space="preserve"> 6</w:t>
            </w:r>
            <w:r>
              <w:rPr>
                <w:rFonts w:hint="eastAsia" w:ascii="Calibri" w:hAnsi="Calibri" w:cs="宋体"/>
                <w:color w:val="000000"/>
                <w:highlight w:val="none"/>
              </w:rPr>
              <w:t>）联合体成员存在不良信用记录的，视同联合体存在不良信用记录。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hint="eastAsia" w:ascii="Calibri" w:hAnsi="Calibri" w:cs="Calibri"/>
                <w:highlight w:val="none"/>
              </w:rPr>
            </w:pPr>
            <w:r>
              <w:rPr>
                <w:rFonts w:hint="eastAsia" w:ascii="Calibri" w:hAnsi="Calibri" w:cs="Calibri"/>
              </w:rPr>
              <w:t>1</w:t>
            </w:r>
            <w:r>
              <w:rPr>
                <w:rFonts w:hint="eastAsia" w:ascii="Calibri" w:hAnsi="Calibri" w:cs="Calibri"/>
                <w:lang w:val="en-US" w:eastAsia="zh-CN"/>
              </w:rPr>
              <w:t>7</w:t>
            </w:r>
          </w:p>
        </w:tc>
        <w:tc>
          <w:tcPr>
            <w:tcW w:w="1611" w:type="dxa"/>
            <w:noWrap/>
            <w:vAlign w:val="center"/>
          </w:tcPr>
          <w:p>
            <w:pPr>
              <w:widowControl w:val="0"/>
              <w:spacing w:line="380" w:lineRule="exact"/>
              <w:jc w:val="center"/>
              <w:rPr>
                <w:rFonts w:hint="eastAsia" w:ascii="Calibri" w:hAnsi="Calibri" w:cs="宋体"/>
                <w:color w:val="000000"/>
                <w:highlight w:val="none"/>
              </w:rPr>
            </w:pPr>
            <w:r>
              <w:rPr>
                <w:rFonts w:hint="eastAsia" w:ascii="Calibri" w:hAnsi="Calibri" w:cs="宋体"/>
                <w:color w:val="000000"/>
              </w:rPr>
              <w:t>注意事项</w:t>
            </w:r>
          </w:p>
        </w:tc>
        <w:tc>
          <w:tcPr>
            <w:tcW w:w="6962" w:type="dxa"/>
            <w:noWrap/>
            <w:vAlign w:val="center"/>
          </w:tcPr>
          <w:p>
            <w:pPr>
              <w:widowControl w:val="0"/>
              <w:snapToGrid w:val="0"/>
              <w:spacing w:line="380" w:lineRule="exact"/>
              <w:rPr>
                <w:rFonts w:ascii="Calibri" w:hAnsi="Calibri" w:cs="宋体"/>
                <w:color w:val="000000"/>
                <w:highlight w:val="none"/>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hint="default" w:ascii="Calibri" w:hAnsi="Calibri" w:eastAsia="宋体" w:cs="Calibri"/>
                <w:lang w:val="en-US" w:eastAsia="zh-CN"/>
              </w:rPr>
            </w:pPr>
            <w:r>
              <w:rPr>
                <w:rFonts w:hint="eastAsia" w:ascii="Calibri" w:hAnsi="Calibri" w:cs="Calibri"/>
                <w:lang w:val="en-US" w:eastAsia="zh-CN"/>
              </w:rPr>
              <w:t>18</w:t>
            </w:r>
          </w:p>
        </w:tc>
        <w:tc>
          <w:tcPr>
            <w:tcW w:w="1611" w:type="dxa"/>
            <w:noWrap/>
            <w:vAlign w:val="center"/>
          </w:tcPr>
          <w:p>
            <w:pPr>
              <w:widowControl w:val="0"/>
              <w:spacing w:line="380" w:lineRule="exact"/>
              <w:jc w:val="center"/>
              <w:rPr>
                <w:rFonts w:hint="eastAsia" w:ascii="Calibri" w:hAnsi="Calibri" w:cs="宋体"/>
                <w:color w:val="000000"/>
              </w:rPr>
            </w:pPr>
            <w:r>
              <w:rPr>
                <w:rFonts w:hint="eastAsia" w:ascii="Calibri" w:hAnsi="Calibri" w:cs="宋体"/>
                <w:color w:val="000000"/>
                <w:lang w:val="en-US" w:eastAsia="zh-CN"/>
              </w:rPr>
              <w:t>其他</w:t>
            </w:r>
          </w:p>
        </w:tc>
        <w:tc>
          <w:tcPr>
            <w:tcW w:w="6962" w:type="dxa"/>
            <w:noWrap/>
            <w:vAlign w:val="center"/>
          </w:tcPr>
          <w:p>
            <w:pPr>
              <w:widowControl w:val="0"/>
              <w:snapToGrid w:val="0"/>
              <w:spacing w:line="380" w:lineRule="exact"/>
              <w:rPr>
                <w:rFonts w:ascii="Calibri" w:hAnsi="Calibri" w:cs="宋体"/>
                <w:color w:val="000000"/>
              </w:rPr>
            </w:pPr>
            <w:r>
              <w:rPr>
                <w:rFonts w:hint="eastAsia" w:ascii="Calibri" w:hAnsi="Calibri" w:cs="宋体"/>
                <w:color w:val="000000"/>
              </w:rPr>
              <w:t>电子化投标后不得要求供应商提 供纸质标书。</w:t>
            </w:r>
          </w:p>
        </w:tc>
      </w:tr>
    </w:tbl>
    <w:p>
      <w:pPr>
        <w:widowControl w:val="0"/>
        <w:spacing w:line="400" w:lineRule="exact"/>
        <w:rPr>
          <w:rFonts w:ascii="宋体" w:hAnsi="Calibri" w:cs="Times New Roman"/>
          <w:sz w:val="24"/>
          <w:szCs w:val="24"/>
          <w:highlight w:val="none"/>
        </w:rPr>
      </w:pPr>
      <w:r>
        <w:rPr>
          <w:rFonts w:ascii="Calibri" w:hAnsi="Calibri" w:cs="Times New Roman"/>
          <w:b/>
          <w:bCs/>
          <w:sz w:val="32"/>
          <w:szCs w:val="32"/>
          <w:highlight w:val="none"/>
        </w:rPr>
        <w:br w:type="page"/>
      </w:r>
    </w:p>
    <w:p>
      <w:pPr>
        <w:widowControl w:val="0"/>
        <w:spacing w:line="500" w:lineRule="exact"/>
        <w:ind w:firstLine="994" w:firstLineChars="225"/>
        <w:jc w:val="center"/>
        <w:rPr>
          <w:rFonts w:ascii="Calibri" w:hAnsi="Calibri" w:cs="Times New Roman"/>
          <w:b/>
          <w:bCs/>
          <w:color w:val="000000"/>
          <w:sz w:val="44"/>
          <w:szCs w:val="44"/>
          <w:highlight w:val="none"/>
        </w:rPr>
      </w:pPr>
      <w:r>
        <w:rPr>
          <w:rFonts w:hint="eastAsia" w:ascii="Calibri" w:hAnsi="Calibri" w:cs="宋体"/>
          <w:b/>
          <w:bCs/>
          <w:color w:val="000000"/>
          <w:sz w:val="44"/>
          <w:szCs w:val="44"/>
          <w:highlight w:val="none"/>
        </w:rPr>
        <w:t>投标人须知</w:t>
      </w:r>
    </w:p>
    <w:p>
      <w:pPr>
        <w:widowControl w:val="0"/>
        <w:spacing w:line="380" w:lineRule="exact"/>
        <w:ind w:firstLine="723" w:firstLineChars="225"/>
        <w:jc w:val="center"/>
        <w:rPr>
          <w:rFonts w:hint="eastAsia" w:ascii="Calibri" w:hAnsi="Calibri" w:cs="宋体"/>
          <w:b/>
          <w:bCs/>
          <w:color w:val="000000"/>
          <w:sz w:val="32"/>
          <w:szCs w:val="32"/>
          <w:highlight w:val="none"/>
        </w:rPr>
      </w:pPr>
    </w:p>
    <w:p>
      <w:pPr>
        <w:widowControl w:val="0"/>
        <w:spacing w:line="380" w:lineRule="exact"/>
        <w:ind w:firstLine="723" w:firstLineChars="225"/>
        <w:jc w:val="center"/>
        <w:rPr>
          <w:rFonts w:ascii="Calibri" w:hAnsi="Calibri" w:cs="Times New Roman"/>
          <w:b/>
          <w:bCs/>
          <w:color w:val="000000"/>
          <w:sz w:val="32"/>
          <w:szCs w:val="32"/>
          <w:highlight w:val="none"/>
        </w:rPr>
      </w:pPr>
      <w:r>
        <w:rPr>
          <w:rFonts w:hint="eastAsia" w:ascii="Calibri" w:hAnsi="Calibri" w:cs="宋体"/>
          <w:b/>
          <w:bCs/>
          <w:color w:val="000000"/>
          <w:sz w:val="32"/>
          <w:szCs w:val="32"/>
          <w:highlight w:val="none"/>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highlight w:val="none"/>
        </w:rPr>
      </w:pPr>
      <w:r>
        <w:rPr>
          <w:rFonts w:ascii="宋体" w:cs="宋体"/>
          <w:b/>
          <w:bCs/>
          <w:kern w:val="0"/>
          <w:sz w:val="24"/>
          <w:szCs w:val="24"/>
          <w:highlight w:val="none"/>
        </w:rPr>
        <w:t>1</w:t>
      </w:r>
      <w:r>
        <w:rPr>
          <w:rFonts w:hint="eastAsia" w:ascii="宋体" w:cs="宋体"/>
          <w:b/>
          <w:bCs/>
          <w:kern w:val="0"/>
          <w:sz w:val="24"/>
          <w:szCs w:val="24"/>
          <w:highlight w:val="none"/>
        </w:rPr>
        <w:t>、适用范围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hint="eastAsia" w:ascii="宋体" w:cs="宋体"/>
          <w:kern w:val="0"/>
          <w:sz w:val="24"/>
          <w:szCs w:val="24"/>
          <w:highlight w:val="none"/>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b/>
          <w:bCs/>
          <w:kern w:val="0"/>
          <w:sz w:val="24"/>
          <w:szCs w:val="24"/>
          <w:highlight w:val="none"/>
        </w:rPr>
        <w:t>2</w:t>
      </w:r>
      <w:r>
        <w:rPr>
          <w:rFonts w:hint="eastAsia" w:ascii="宋体" w:cs="宋体"/>
          <w:b/>
          <w:bCs/>
          <w:kern w:val="0"/>
          <w:sz w:val="24"/>
          <w:szCs w:val="24"/>
          <w:highlight w:val="none"/>
        </w:rPr>
        <w:t>、定义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2.1</w:t>
      </w:r>
      <w:r>
        <w:rPr>
          <w:rFonts w:hint="eastAsia" w:ascii="宋体" w:cs="宋体"/>
          <w:kern w:val="0"/>
          <w:sz w:val="24"/>
          <w:szCs w:val="24"/>
          <w:highlight w:val="none"/>
        </w:rPr>
        <w:t>“采购人”系指</w:t>
      </w:r>
      <w:r>
        <w:rPr>
          <w:rFonts w:hint="eastAsia" w:ascii="宋体" w:cs="宋体"/>
          <w:kern w:val="0"/>
          <w:sz w:val="24"/>
          <w:szCs w:val="24"/>
          <w:highlight w:val="none"/>
          <w:lang w:eastAsia="zh-CN"/>
        </w:rPr>
        <w:t>永康市公安局</w:t>
      </w:r>
      <w:r>
        <w:rPr>
          <w:rFonts w:hint="eastAsia" w:ascii="宋体" w:cs="宋体"/>
          <w:kern w:val="0"/>
          <w:sz w:val="24"/>
          <w:szCs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2.2</w:t>
      </w:r>
      <w:r>
        <w:rPr>
          <w:rFonts w:hint="eastAsia" w:ascii="宋体" w:cs="宋体"/>
          <w:kern w:val="0"/>
          <w:sz w:val="24"/>
          <w:szCs w:val="24"/>
          <w:highlight w:val="none"/>
        </w:rPr>
        <w:t>“投标人”系指向采购代理机构提交投标文件的供应商。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2.3</w:t>
      </w:r>
      <w:r>
        <w:rPr>
          <w:rFonts w:hint="eastAsia" w:ascii="宋体" w:cs="宋体"/>
          <w:kern w:val="0"/>
          <w:sz w:val="24"/>
          <w:szCs w:val="24"/>
          <w:highlight w:val="none"/>
        </w:rPr>
        <w:t>“采购代理机构”系指组织本次招标的金华市创佳工程项目管理有限公司。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2.</w:t>
      </w:r>
      <w:r>
        <w:rPr>
          <w:rFonts w:hint="eastAsia" w:ascii="宋体" w:cs="宋体"/>
          <w:kern w:val="0"/>
          <w:sz w:val="24"/>
          <w:szCs w:val="24"/>
          <w:highlight w:val="none"/>
        </w:rPr>
        <w:t>4“服务”系指招标文件规定供方须承担的运输、设计、安装、调试、维护、培训、技术服务、及其它类似服务。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2.</w:t>
      </w:r>
      <w:r>
        <w:rPr>
          <w:rFonts w:hint="eastAsia" w:ascii="宋体" w:cs="宋体"/>
          <w:kern w:val="0"/>
          <w:sz w:val="24"/>
          <w:szCs w:val="24"/>
          <w:highlight w:val="none"/>
        </w:rPr>
        <w:t>5需方：即</w:t>
      </w:r>
      <w:r>
        <w:rPr>
          <w:rFonts w:hint="eastAsia" w:ascii="宋体" w:cs="宋体"/>
          <w:kern w:val="0"/>
          <w:sz w:val="24"/>
          <w:szCs w:val="24"/>
          <w:highlight w:val="none"/>
          <w:lang w:eastAsia="zh-CN"/>
        </w:rPr>
        <w:t>永康市公安局</w:t>
      </w:r>
      <w:r>
        <w:rPr>
          <w:rFonts w:hint="eastAsia" w:ascii="宋体" w:cs="宋体"/>
          <w:kern w:val="0"/>
          <w:sz w:val="24"/>
          <w:szCs w:val="24"/>
          <w:highlight w:val="none"/>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2.</w:t>
      </w:r>
      <w:r>
        <w:rPr>
          <w:rFonts w:hint="eastAsia" w:ascii="宋体" w:cs="宋体"/>
          <w:kern w:val="0"/>
          <w:sz w:val="24"/>
          <w:szCs w:val="24"/>
          <w:highlight w:val="none"/>
        </w:rPr>
        <w:t>6供方：在招投标阶段称为投标人，中标后在签订和执行合同阶段称为供方。</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highlight w:val="none"/>
        </w:rPr>
      </w:pPr>
      <w:r>
        <w:rPr>
          <w:rFonts w:hint="eastAsia" w:ascii="宋体" w:cs="宋体"/>
          <w:b/>
          <w:bCs/>
          <w:kern w:val="0"/>
          <w:sz w:val="24"/>
          <w:szCs w:val="24"/>
          <w:highlight w:val="none"/>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highlight w:val="none"/>
        </w:rPr>
      </w:pPr>
      <w:r>
        <w:rPr>
          <w:rFonts w:hint="eastAsia" w:ascii="宋体" w:cs="宋体"/>
          <w:kern w:val="0"/>
          <w:sz w:val="24"/>
          <w:szCs w:val="24"/>
          <w:highlight w:val="none"/>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hint="eastAsia" w:ascii="宋体" w:cs="宋体"/>
          <w:kern w:val="0"/>
          <w:sz w:val="24"/>
          <w:szCs w:val="24"/>
          <w:highlight w:val="none"/>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b/>
          <w:bCs/>
          <w:kern w:val="0"/>
          <w:sz w:val="24"/>
          <w:szCs w:val="24"/>
          <w:highlight w:val="none"/>
        </w:rPr>
        <w:t>4</w:t>
      </w:r>
      <w:r>
        <w:rPr>
          <w:rFonts w:hint="eastAsia" w:ascii="宋体" w:cs="宋体"/>
          <w:b/>
          <w:bCs/>
          <w:kern w:val="0"/>
          <w:sz w:val="24"/>
          <w:szCs w:val="24"/>
          <w:highlight w:val="none"/>
        </w:rPr>
        <w:t>、投标费用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4.1</w:t>
      </w:r>
      <w:r>
        <w:rPr>
          <w:rFonts w:hint="eastAsia" w:ascii="宋体" w:cs="宋体"/>
          <w:kern w:val="0"/>
          <w:sz w:val="24"/>
          <w:szCs w:val="24"/>
          <w:highlight w:val="none"/>
        </w:rPr>
        <w:t>不论投标结果如何，投标人均应自行承担所有与投标有关的全部费用（招标文件有其他相反规定除外）。</w:t>
      </w:r>
    </w:p>
    <w:p>
      <w:pPr>
        <w:widowControl w:val="0"/>
        <w:rPr>
          <w:rFonts w:ascii="宋体" w:hAnsi="Calibri" w:cs="Times New Roman"/>
          <w:b/>
          <w:bCs/>
          <w:color w:val="000000"/>
          <w:sz w:val="24"/>
          <w:szCs w:val="24"/>
          <w:highlight w:val="none"/>
        </w:rPr>
      </w:pPr>
      <w:r>
        <w:rPr>
          <w:rFonts w:ascii="宋体" w:cs="宋体"/>
          <w:b/>
          <w:bCs/>
          <w:color w:val="000000"/>
          <w:sz w:val="24"/>
          <w:szCs w:val="24"/>
          <w:highlight w:val="none"/>
        </w:rPr>
        <w:t>5</w:t>
      </w:r>
      <w:r>
        <w:rPr>
          <w:rFonts w:hint="eastAsia" w:ascii="宋体" w:cs="宋体"/>
          <w:b/>
          <w:bCs/>
          <w:color w:val="000000"/>
          <w:sz w:val="24"/>
          <w:szCs w:val="24"/>
          <w:highlight w:val="none"/>
        </w:rPr>
        <w:t>、质疑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highlight w:val="none"/>
        </w:rPr>
      </w:pPr>
      <w:r>
        <w:rPr>
          <w:rFonts w:ascii="宋体" w:cs="宋体"/>
          <w:color w:val="000000"/>
          <w:kern w:val="0"/>
          <w:sz w:val="24"/>
          <w:szCs w:val="24"/>
          <w:highlight w:val="none"/>
        </w:rPr>
        <w:t>5.1</w:t>
      </w:r>
      <w:r>
        <w:rPr>
          <w:rFonts w:hint="eastAsia" w:ascii="宋体" w:cs="宋体"/>
          <w:color w:val="000000"/>
          <w:kern w:val="0"/>
          <w:sz w:val="24"/>
          <w:szCs w:val="24"/>
          <w:highlight w:val="none"/>
        </w:rPr>
        <w:t>、供应商认为采购文件、采购过程、中标或者成交结果使自己的权益受到损害的，可以在知道或者应知其权益受到损害之日起</w:t>
      </w:r>
      <w:r>
        <w:rPr>
          <w:rFonts w:ascii="宋体" w:cs="宋体"/>
          <w:color w:val="000000"/>
          <w:kern w:val="0"/>
          <w:sz w:val="24"/>
          <w:szCs w:val="24"/>
          <w:highlight w:val="none"/>
        </w:rPr>
        <w:t>7</w:t>
      </w:r>
      <w:r>
        <w:rPr>
          <w:rFonts w:hint="eastAsia" w:ascii="宋体" w:cs="宋体"/>
          <w:color w:val="000000"/>
          <w:kern w:val="0"/>
          <w:sz w:val="24"/>
          <w:szCs w:val="24"/>
          <w:highlight w:val="none"/>
        </w:rPr>
        <w:t>个工作日内，一次性以书面形式向采购人、采购代理机构提出针对同一采购程序环节的质疑。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highlight w:val="none"/>
        </w:rPr>
      </w:pPr>
      <w:r>
        <w:rPr>
          <w:rFonts w:ascii="宋体" w:cs="宋体"/>
          <w:color w:val="000000"/>
          <w:kern w:val="0"/>
          <w:sz w:val="24"/>
          <w:szCs w:val="24"/>
          <w:highlight w:val="none"/>
        </w:rPr>
        <w:t>5.2</w:t>
      </w:r>
      <w:r>
        <w:rPr>
          <w:rFonts w:hint="eastAsia" w:ascii="宋体" w:cs="宋体"/>
          <w:color w:val="000000"/>
          <w:kern w:val="0"/>
          <w:sz w:val="24"/>
          <w:szCs w:val="24"/>
          <w:highlight w:val="none"/>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highlight w:val="none"/>
        </w:rPr>
      </w:pPr>
      <w:r>
        <w:rPr>
          <w:rFonts w:ascii="宋体" w:cs="宋体"/>
          <w:color w:val="000000"/>
          <w:kern w:val="0"/>
          <w:sz w:val="24"/>
          <w:szCs w:val="24"/>
          <w:highlight w:val="none"/>
        </w:rPr>
        <w:t>5.</w:t>
      </w:r>
      <w:r>
        <w:rPr>
          <w:rFonts w:hint="eastAsia" w:ascii="宋体" w:cs="宋体"/>
          <w:color w:val="000000"/>
          <w:kern w:val="0"/>
          <w:sz w:val="24"/>
          <w:szCs w:val="24"/>
          <w:highlight w:val="none"/>
        </w:rPr>
        <w:t>3质疑函受理：接受以书面形式（现场或邮寄）递交到金华市创佳工程项目管理有限公司的质疑函。地址：永康市世贸中心南2-1405。联系人：周巧玲，电话：</w:t>
      </w:r>
      <w:r>
        <w:rPr>
          <w:rFonts w:ascii="宋体" w:cs="宋体"/>
          <w:color w:val="000000"/>
          <w:kern w:val="0"/>
          <w:sz w:val="24"/>
          <w:szCs w:val="24"/>
          <w:highlight w:val="none"/>
        </w:rPr>
        <w:t>0579-</w:t>
      </w:r>
      <w:r>
        <w:rPr>
          <w:rFonts w:hint="eastAsia" w:ascii="宋体" w:cs="宋体"/>
          <w:color w:val="000000"/>
          <w:kern w:val="0"/>
          <w:sz w:val="24"/>
          <w:szCs w:val="24"/>
          <w:highlight w:val="none"/>
        </w:rPr>
        <w:t>87447077。</w:t>
      </w:r>
    </w:p>
    <w:p>
      <w:pPr>
        <w:widowControl w:val="0"/>
        <w:spacing w:line="400" w:lineRule="exact"/>
        <w:rPr>
          <w:rFonts w:ascii="宋体" w:hAnsi="Calibri" w:cs="Times New Roman"/>
          <w:color w:val="000000"/>
          <w:kern w:val="0"/>
          <w:sz w:val="24"/>
          <w:szCs w:val="24"/>
          <w:highlight w:val="none"/>
        </w:rPr>
      </w:pPr>
      <w:r>
        <w:rPr>
          <w:rFonts w:ascii="宋体" w:cs="宋体"/>
          <w:color w:val="000000"/>
          <w:kern w:val="0"/>
          <w:sz w:val="24"/>
          <w:szCs w:val="24"/>
          <w:highlight w:val="none"/>
        </w:rPr>
        <w:t>5.</w:t>
      </w:r>
      <w:r>
        <w:rPr>
          <w:rFonts w:hint="eastAsia" w:ascii="宋体" w:cs="宋体"/>
          <w:color w:val="000000"/>
          <w:kern w:val="0"/>
          <w:sz w:val="24"/>
          <w:szCs w:val="24"/>
          <w:highlight w:val="none"/>
        </w:rPr>
        <w:t>4为确保招投标活动的公开、公平、公正，切实维护各方合法权益，凡在招标投标、开标评标过程中，受到敲诈、勒索或发现围标串标、虚假投标、恶意竞标等涉黑涉恶线索者，请及时保留相关证据并向有关部门举报。</w:t>
      </w:r>
    </w:p>
    <w:p>
      <w:pPr>
        <w:widowControl w:val="0"/>
        <w:spacing w:line="400" w:lineRule="exact"/>
        <w:rPr>
          <w:rFonts w:ascii="宋体" w:hAnsi="Calibri" w:cs="Times New Roman"/>
          <w:color w:val="000000"/>
          <w:kern w:val="0"/>
          <w:sz w:val="24"/>
          <w:szCs w:val="24"/>
          <w:highlight w:val="none"/>
        </w:rPr>
      </w:pPr>
      <w:r>
        <w:rPr>
          <w:rFonts w:hint="eastAsia" w:ascii="宋体" w:cs="宋体"/>
          <w:color w:val="000000"/>
          <w:kern w:val="0"/>
          <w:sz w:val="24"/>
          <w:szCs w:val="24"/>
          <w:highlight w:val="none"/>
        </w:rPr>
        <w:t>举报电话：永康市公安局   110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highlight w:val="none"/>
        </w:rPr>
      </w:pPr>
      <w:r>
        <w:rPr>
          <w:rFonts w:hint="eastAsia" w:ascii="黑体" w:hAnsi="Courier New" w:eastAsia="黑体" w:cs="黑体"/>
          <w:b/>
          <w:bCs/>
          <w:kern w:val="0"/>
          <w:sz w:val="30"/>
          <w:szCs w:val="30"/>
          <w:highlight w:val="none"/>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highlight w:val="none"/>
        </w:rPr>
      </w:pPr>
      <w:r>
        <w:rPr>
          <w:rFonts w:ascii="宋体" w:cs="宋体"/>
          <w:b/>
          <w:bCs/>
          <w:kern w:val="0"/>
          <w:sz w:val="24"/>
          <w:szCs w:val="24"/>
          <w:highlight w:val="none"/>
        </w:rPr>
        <w:t>1</w:t>
      </w:r>
      <w:r>
        <w:rPr>
          <w:rFonts w:hint="eastAsia" w:ascii="宋体" w:cs="宋体"/>
          <w:b/>
          <w:bCs/>
          <w:kern w:val="0"/>
          <w:sz w:val="24"/>
          <w:szCs w:val="24"/>
          <w:highlight w:val="none"/>
        </w:rPr>
        <w:t>、招标文件的构成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1.1</w:t>
      </w:r>
      <w:r>
        <w:rPr>
          <w:rFonts w:hint="eastAsia" w:ascii="宋体" w:cs="宋体"/>
          <w:kern w:val="0"/>
          <w:sz w:val="24"/>
          <w:szCs w:val="24"/>
          <w:highlight w:val="none"/>
        </w:rPr>
        <w:t>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hint="eastAsia" w:ascii="宋体" w:cs="宋体"/>
          <w:kern w:val="0"/>
          <w:sz w:val="24"/>
          <w:szCs w:val="24"/>
          <w:highlight w:val="none"/>
        </w:rPr>
        <w:t>（</w:t>
      </w:r>
      <w:r>
        <w:rPr>
          <w:rFonts w:ascii="宋体" w:cs="宋体"/>
          <w:kern w:val="0"/>
          <w:sz w:val="24"/>
          <w:szCs w:val="24"/>
          <w:highlight w:val="none"/>
        </w:rPr>
        <w:t>1</w:t>
      </w:r>
      <w:r>
        <w:rPr>
          <w:rFonts w:hint="eastAsia" w:ascii="宋体" w:cs="宋体"/>
          <w:kern w:val="0"/>
          <w:sz w:val="24"/>
          <w:szCs w:val="24"/>
          <w:highlight w:val="none"/>
        </w:rPr>
        <w:t>）招标公告</w:t>
      </w:r>
    </w:p>
    <w:p>
      <w:pPr>
        <w:widowControl w:val="0"/>
        <w:tabs>
          <w:tab w:val="left" w:pos="0"/>
        </w:tabs>
        <w:snapToGrid w:val="0"/>
        <w:spacing w:line="400" w:lineRule="exact"/>
        <w:rPr>
          <w:rFonts w:ascii="宋体" w:hAnsi="Calibri" w:cs="Times New Roman"/>
          <w:color w:val="000000"/>
          <w:sz w:val="24"/>
          <w:szCs w:val="24"/>
          <w:highlight w:val="none"/>
        </w:rPr>
      </w:pPr>
      <w:r>
        <w:rPr>
          <w:rFonts w:hint="eastAsia" w:ascii="宋体" w:cs="宋体"/>
          <w:color w:val="000000"/>
          <w:sz w:val="24"/>
          <w:szCs w:val="24"/>
          <w:highlight w:val="none"/>
        </w:rPr>
        <w:t>（</w:t>
      </w:r>
      <w:r>
        <w:rPr>
          <w:rFonts w:ascii="宋体" w:cs="宋体"/>
          <w:color w:val="000000"/>
          <w:sz w:val="24"/>
          <w:szCs w:val="24"/>
          <w:highlight w:val="none"/>
        </w:rPr>
        <w:t>2</w:t>
      </w:r>
      <w:r>
        <w:rPr>
          <w:rFonts w:hint="eastAsia" w:ascii="宋体" w:cs="宋体"/>
          <w:color w:val="000000"/>
          <w:sz w:val="24"/>
          <w:szCs w:val="24"/>
          <w:highlight w:val="none"/>
        </w:rPr>
        <w:t>）投标人须知</w:t>
      </w:r>
    </w:p>
    <w:p>
      <w:pPr>
        <w:widowControl w:val="0"/>
        <w:tabs>
          <w:tab w:val="left" w:pos="0"/>
        </w:tabs>
        <w:snapToGrid w:val="0"/>
        <w:spacing w:line="400" w:lineRule="exact"/>
        <w:rPr>
          <w:rFonts w:ascii="宋体" w:hAnsi="Calibri" w:cs="Times New Roman"/>
          <w:color w:val="000000"/>
          <w:sz w:val="24"/>
          <w:szCs w:val="24"/>
          <w:highlight w:val="none"/>
        </w:rPr>
      </w:pPr>
      <w:r>
        <w:rPr>
          <w:rFonts w:hint="eastAsia" w:ascii="宋体" w:cs="宋体"/>
          <w:color w:val="000000"/>
          <w:sz w:val="24"/>
          <w:szCs w:val="24"/>
          <w:highlight w:val="none"/>
        </w:rPr>
        <w:t>（</w:t>
      </w:r>
      <w:r>
        <w:rPr>
          <w:rFonts w:ascii="宋体" w:cs="宋体"/>
          <w:color w:val="000000"/>
          <w:sz w:val="24"/>
          <w:szCs w:val="24"/>
          <w:highlight w:val="none"/>
        </w:rPr>
        <w:t>3</w:t>
      </w:r>
      <w:r>
        <w:rPr>
          <w:rFonts w:hint="eastAsia" w:ascii="宋体" w:cs="宋体"/>
          <w:color w:val="000000"/>
          <w:sz w:val="24"/>
          <w:szCs w:val="24"/>
          <w:highlight w:val="none"/>
        </w:rPr>
        <w:t>）开标和评标须知</w:t>
      </w:r>
    </w:p>
    <w:p>
      <w:pPr>
        <w:widowControl w:val="0"/>
        <w:snapToGrid w:val="0"/>
        <w:spacing w:line="400" w:lineRule="exact"/>
        <w:rPr>
          <w:rFonts w:ascii="宋体" w:hAnsi="Calibri" w:cs="Times New Roman"/>
          <w:color w:val="000000"/>
          <w:sz w:val="24"/>
          <w:szCs w:val="24"/>
          <w:highlight w:val="none"/>
        </w:rPr>
      </w:pPr>
      <w:r>
        <w:rPr>
          <w:rFonts w:hint="eastAsia" w:ascii="宋体" w:cs="宋体"/>
          <w:color w:val="000000"/>
          <w:sz w:val="24"/>
          <w:szCs w:val="24"/>
          <w:highlight w:val="none"/>
        </w:rPr>
        <w:t>（</w:t>
      </w:r>
      <w:r>
        <w:rPr>
          <w:rFonts w:ascii="宋体" w:cs="宋体"/>
          <w:color w:val="000000"/>
          <w:sz w:val="24"/>
          <w:szCs w:val="24"/>
          <w:highlight w:val="none"/>
        </w:rPr>
        <w:t>4</w:t>
      </w:r>
      <w:r>
        <w:rPr>
          <w:rFonts w:hint="eastAsia" w:ascii="宋体" w:cs="宋体"/>
          <w:color w:val="000000"/>
          <w:sz w:val="24"/>
          <w:szCs w:val="24"/>
          <w:highlight w:val="none"/>
        </w:rPr>
        <w:t>）服务需求一览表及技术商务要求</w:t>
      </w:r>
    </w:p>
    <w:p>
      <w:pPr>
        <w:widowControl w:val="0"/>
        <w:tabs>
          <w:tab w:val="left" w:pos="0"/>
        </w:tabs>
        <w:snapToGrid w:val="0"/>
        <w:spacing w:line="400" w:lineRule="exact"/>
        <w:rPr>
          <w:rFonts w:ascii="宋体" w:hAnsi="Calibri" w:cs="Times New Roman"/>
          <w:color w:val="000000"/>
          <w:sz w:val="24"/>
          <w:szCs w:val="24"/>
          <w:highlight w:val="none"/>
        </w:rPr>
      </w:pPr>
      <w:r>
        <w:rPr>
          <w:rFonts w:hint="eastAsia" w:ascii="宋体" w:cs="宋体"/>
          <w:color w:val="000000"/>
          <w:sz w:val="24"/>
          <w:szCs w:val="24"/>
          <w:highlight w:val="none"/>
        </w:rPr>
        <w:t>（</w:t>
      </w:r>
      <w:r>
        <w:rPr>
          <w:rFonts w:ascii="宋体" w:cs="宋体"/>
          <w:color w:val="000000"/>
          <w:sz w:val="24"/>
          <w:szCs w:val="24"/>
          <w:highlight w:val="none"/>
        </w:rPr>
        <w:t>5</w:t>
      </w:r>
      <w:r>
        <w:rPr>
          <w:rFonts w:hint="eastAsia" w:ascii="宋体" w:cs="宋体"/>
          <w:color w:val="000000"/>
          <w:sz w:val="24"/>
          <w:szCs w:val="24"/>
          <w:highlight w:val="none"/>
        </w:rPr>
        <w:t>）附件</w:t>
      </w:r>
      <w:r>
        <w:rPr>
          <w:rFonts w:ascii="宋体" w:cs="宋体"/>
          <w:color w:val="000000"/>
          <w:sz w:val="24"/>
          <w:szCs w:val="24"/>
          <w:highlight w:val="none"/>
        </w:rPr>
        <w:t>—</w:t>
      </w:r>
      <w:r>
        <w:rPr>
          <w:rFonts w:hint="eastAsia" w:ascii="宋体" w:cs="宋体"/>
          <w:color w:val="000000"/>
          <w:sz w:val="24"/>
          <w:szCs w:val="24"/>
          <w:highlight w:val="none"/>
        </w:rPr>
        <w:t>投标文件格式</w:t>
      </w:r>
    </w:p>
    <w:p>
      <w:pPr>
        <w:widowControl w:val="0"/>
        <w:tabs>
          <w:tab w:val="left" w:pos="6300"/>
        </w:tabs>
        <w:snapToGrid w:val="0"/>
        <w:spacing w:line="400" w:lineRule="exact"/>
        <w:rPr>
          <w:rFonts w:ascii="宋体" w:hAnsi="Calibri" w:cs="Times New Roman"/>
          <w:color w:val="000000"/>
          <w:sz w:val="24"/>
          <w:szCs w:val="24"/>
          <w:highlight w:val="none"/>
        </w:rPr>
      </w:pPr>
      <w:r>
        <w:rPr>
          <w:rFonts w:hint="eastAsia" w:ascii="宋体" w:cs="宋体"/>
          <w:color w:val="000000"/>
          <w:sz w:val="24"/>
          <w:szCs w:val="24"/>
          <w:highlight w:val="none"/>
        </w:rPr>
        <w:t>（</w:t>
      </w:r>
      <w:r>
        <w:rPr>
          <w:rFonts w:ascii="宋体" w:cs="宋体"/>
          <w:color w:val="000000"/>
          <w:sz w:val="24"/>
          <w:szCs w:val="24"/>
          <w:highlight w:val="none"/>
        </w:rPr>
        <w:t>6</w:t>
      </w:r>
      <w:r>
        <w:rPr>
          <w:rFonts w:hint="eastAsia" w:ascii="宋体" w:cs="宋体"/>
          <w:color w:val="000000"/>
          <w:sz w:val="24"/>
          <w:szCs w:val="24"/>
          <w:highlight w:val="none"/>
        </w:rPr>
        <w:t>）永康市政府采购合同（样本）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ascii="宋体" w:cs="宋体"/>
          <w:kern w:val="0"/>
          <w:sz w:val="24"/>
          <w:szCs w:val="24"/>
          <w:highlight w:val="none"/>
        </w:rPr>
        <w:t>1.2</w:t>
      </w:r>
      <w:r>
        <w:rPr>
          <w:rFonts w:hint="eastAsia" w:ascii="宋体" w:cs="宋体"/>
          <w:kern w:val="0"/>
          <w:sz w:val="24"/>
          <w:szCs w:val="24"/>
          <w:highlight w:val="none"/>
        </w:rPr>
        <w:t>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color w:val="FF0000"/>
          <w:highlight w:val="none"/>
        </w:rPr>
      </w:pPr>
      <w:r>
        <w:rPr>
          <w:rFonts w:hint="eastAsia" w:ascii="宋体" w:cs="宋体"/>
          <w:color w:val="FF0000"/>
          <w:kern w:val="0"/>
          <w:sz w:val="24"/>
          <w:szCs w:val="24"/>
          <w:highlight w:val="none"/>
        </w:rPr>
        <w:t>1.3</w:t>
      </w:r>
      <w:r>
        <w:rPr>
          <w:rFonts w:hint="eastAsia" w:ascii="宋体" w:cs="宋体"/>
          <w:color w:val="FF0000"/>
          <w:sz w:val="24"/>
          <w:szCs w:val="24"/>
          <w:highlight w:val="none"/>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highlight w:val="none"/>
        </w:rPr>
      </w:pPr>
      <w:r>
        <w:rPr>
          <w:rFonts w:ascii="宋体" w:cs="宋体"/>
          <w:b/>
          <w:bCs/>
          <w:kern w:val="0"/>
          <w:sz w:val="24"/>
          <w:szCs w:val="24"/>
          <w:highlight w:val="none"/>
        </w:rPr>
        <w:t>2</w:t>
      </w:r>
      <w:r>
        <w:rPr>
          <w:rFonts w:hint="eastAsia" w:ascii="宋体" w:cs="宋体"/>
          <w:b/>
          <w:bCs/>
          <w:kern w:val="0"/>
          <w:sz w:val="24"/>
          <w:szCs w:val="24"/>
          <w:highlight w:val="none"/>
        </w:rPr>
        <w:t>、招标文件的澄清与修改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2.1</w:t>
      </w:r>
      <w:r>
        <w:rPr>
          <w:rFonts w:hint="eastAsia" w:ascii="宋体" w:cs="宋体"/>
          <w:kern w:val="0"/>
          <w:sz w:val="24"/>
          <w:szCs w:val="24"/>
          <w:highlight w:val="none"/>
        </w:rPr>
        <w:t>、投标人应认真阅读本招标文件，发现其中有误或有不合理要求的，投标人应当于公告发布之日起至公告期限满第</w:t>
      </w:r>
      <w:r>
        <w:rPr>
          <w:rFonts w:ascii="宋体" w:cs="宋体"/>
          <w:kern w:val="0"/>
          <w:sz w:val="24"/>
          <w:szCs w:val="24"/>
          <w:highlight w:val="none"/>
        </w:rPr>
        <w:t>7</w:t>
      </w:r>
      <w:r>
        <w:rPr>
          <w:rFonts w:hint="eastAsia" w:ascii="宋体" w:cs="宋体"/>
          <w:kern w:val="0"/>
          <w:sz w:val="24"/>
          <w:szCs w:val="24"/>
          <w:highlight w:val="none"/>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highlight w:val="none"/>
        </w:rPr>
        <w:t>编制的投标文件对招标文件中有关条款未提出异议的，均被视为接受和同意。</w:t>
      </w:r>
    </w:p>
    <w:p>
      <w:pPr>
        <w:widowControl w:val="0"/>
        <w:spacing w:line="400" w:lineRule="exact"/>
        <w:rPr>
          <w:rFonts w:ascii="宋体" w:hAnsi="Calibri" w:cs="Times New Roman"/>
          <w:kern w:val="0"/>
          <w:sz w:val="24"/>
          <w:szCs w:val="24"/>
          <w:highlight w:val="none"/>
        </w:rPr>
      </w:pPr>
      <w:r>
        <w:rPr>
          <w:rFonts w:ascii="宋体" w:cs="宋体"/>
          <w:kern w:val="0"/>
          <w:sz w:val="24"/>
          <w:szCs w:val="24"/>
          <w:highlight w:val="none"/>
        </w:rPr>
        <w:t>2.2</w:t>
      </w:r>
      <w:r>
        <w:rPr>
          <w:rFonts w:hint="eastAsia" w:ascii="宋体" w:cs="宋体"/>
          <w:kern w:val="0"/>
          <w:sz w:val="24"/>
          <w:szCs w:val="24"/>
          <w:highlight w:val="none"/>
        </w:rPr>
        <w:t>、招标方主动进行的澄清、修改：招标方无论出于何种原因，均可主动对招标文件中的相关事项，用补充文件等方式进行澄清和修改。</w:t>
      </w:r>
    </w:p>
    <w:p>
      <w:pPr>
        <w:widowControl w:val="0"/>
        <w:spacing w:line="400" w:lineRule="exact"/>
        <w:rPr>
          <w:rFonts w:ascii="宋体" w:hAnsi="Calibri" w:cs="Times New Roman"/>
          <w:kern w:val="0"/>
          <w:sz w:val="24"/>
          <w:szCs w:val="24"/>
          <w:highlight w:val="none"/>
        </w:rPr>
      </w:pPr>
      <w:r>
        <w:rPr>
          <w:rFonts w:ascii="宋体" w:cs="宋体"/>
          <w:kern w:val="0"/>
          <w:sz w:val="24"/>
          <w:szCs w:val="24"/>
          <w:highlight w:val="none"/>
        </w:rPr>
        <w:t>2.3</w:t>
      </w:r>
      <w:r>
        <w:rPr>
          <w:rFonts w:hint="eastAsia" w:ascii="宋体" w:cs="宋体"/>
          <w:kern w:val="0"/>
          <w:sz w:val="24"/>
          <w:szCs w:val="24"/>
          <w:highlight w:val="none"/>
        </w:rPr>
        <w:t>、招标文件澄清、答复、修改、补充的内容为招标文件的组成部分。当招标文件与招标文件的答复、澄清、修改、补充通知就同一内容的表述不一致时，以最后发出的书面文件为准。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2.4</w:t>
      </w:r>
      <w:r>
        <w:rPr>
          <w:rFonts w:hint="eastAsia" w:ascii="宋体" w:cs="宋体"/>
          <w:kern w:val="0"/>
          <w:sz w:val="24"/>
          <w:szCs w:val="24"/>
          <w:highlight w:val="none"/>
        </w:rPr>
        <w:t>为使投标人准备投标时有充分时间对招标文件的修改部分进行研究，采购代理机构可适当延长投标截止期。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highlight w:val="none"/>
        </w:rPr>
      </w:pPr>
      <w:r>
        <w:rPr>
          <w:rFonts w:hint="eastAsia" w:ascii="黑体" w:hAnsi="Courier New" w:eastAsia="黑体" w:cs="黑体"/>
          <w:b/>
          <w:bCs/>
          <w:kern w:val="0"/>
          <w:sz w:val="30"/>
          <w:szCs w:val="30"/>
          <w:highlight w:val="none"/>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highlight w:val="none"/>
        </w:rPr>
      </w:pPr>
      <w:r>
        <w:rPr>
          <w:rFonts w:ascii="宋体" w:cs="宋体"/>
          <w:b/>
          <w:bCs/>
          <w:kern w:val="0"/>
          <w:sz w:val="24"/>
          <w:szCs w:val="24"/>
          <w:highlight w:val="none"/>
        </w:rPr>
        <w:t>1</w:t>
      </w:r>
      <w:r>
        <w:rPr>
          <w:rFonts w:hint="eastAsia" w:ascii="宋体" w:cs="宋体"/>
          <w:b/>
          <w:bCs/>
          <w:kern w:val="0"/>
          <w:sz w:val="24"/>
          <w:szCs w:val="24"/>
          <w:highlight w:val="none"/>
        </w:rPr>
        <w:t>、编制要求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1.1</w:t>
      </w:r>
      <w:r>
        <w:rPr>
          <w:rFonts w:hint="eastAsia" w:ascii="宋体" w:cs="宋体"/>
          <w:kern w:val="0"/>
          <w:sz w:val="24"/>
          <w:szCs w:val="24"/>
          <w:highlight w:val="none"/>
        </w:rPr>
        <w:t>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1.2</w:t>
      </w:r>
      <w:r>
        <w:rPr>
          <w:rFonts w:hint="eastAsia" w:ascii="宋体" w:cs="宋体"/>
          <w:kern w:val="0"/>
          <w:sz w:val="24"/>
          <w:szCs w:val="24"/>
          <w:highlight w:val="none"/>
        </w:rPr>
        <w:t>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highlight w:val="none"/>
        </w:rPr>
      </w:pPr>
      <w:r>
        <w:rPr>
          <w:rFonts w:ascii="宋体" w:cs="宋体"/>
          <w:b/>
          <w:bCs/>
          <w:kern w:val="0"/>
          <w:sz w:val="24"/>
          <w:szCs w:val="24"/>
          <w:highlight w:val="none"/>
        </w:rPr>
        <w:t>2</w:t>
      </w:r>
      <w:r>
        <w:rPr>
          <w:rFonts w:hint="eastAsia" w:ascii="宋体" w:cs="宋体"/>
          <w:b/>
          <w:bCs/>
          <w:kern w:val="0"/>
          <w:sz w:val="24"/>
          <w:szCs w:val="24"/>
          <w:highlight w:val="none"/>
        </w:rPr>
        <w:t>、投标的语言及计量单位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ascii="宋体" w:cs="宋体"/>
          <w:kern w:val="0"/>
          <w:sz w:val="24"/>
          <w:szCs w:val="24"/>
          <w:highlight w:val="none"/>
        </w:rPr>
        <w:t>2.</w:t>
      </w:r>
      <w:r>
        <w:rPr>
          <w:rFonts w:hint="eastAsia" w:ascii="宋体" w:cs="宋体"/>
          <w:kern w:val="0"/>
          <w:sz w:val="24"/>
          <w:szCs w:val="24"/>
          <w:highlight w:val="none"/>
        </w:rPr>
        <w:t>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highlight w:val="none"/>
        </w:rPr>
      </w:pPr>
      <w:r>
        <w:rPr>
          <w:rFonts w:ascii="宋体" w:cs="宋体"/>
          <w:b/>
          <w:bCs/>
          <w:kern w:val="0"/>
          <w:sz w:val="24"/>
          <w:szCs w:val="24"/>
          <w:highlight w:val="none"/>
        </w:rPr>
        <w:t>3</w:t>
      </w:r>
      <w:r>
        <w:rPr>
          <w:rFonts w:hint="eastAsia" w:ascii="宋体" w:cs="宋体"/>
          <w:b/>
          <w:bCs/>
          <w:kern w:val="0"/>
          <w:sz w:val="24"/>
          <w:szCs w:val="24"/>
          <w:highlight w:val="none"/>
        </w:rPr>
        <w:t>、投标文件构成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3.2电子投标文件每个标项由</w:t>
      </w:r>
      <w:r>
        <w:rPr>
          <w:rFonts w:hint="eastAsia" w:ascii="宋体" w:cs="宋体"/>
          <w:color w:val="FF0000"/>
          <w:kern w:val="0"/>
          <w:sz w:val="24"/>
          <w:szCs w:val="24"/>
          <w:highlight w:val="none"/>
        </w:rPr>
        <w:t>资质文件、技术商务文件、投标报价文件</w:t>
      </w:r>
      <w:r>
        <w:rPr>
          <w:rFonts w:hint="eastAsia" w:ascii="宋体" w:cs="宋体"/>
          <w:kern w:val="0"/>
          <w:sz w:val="24"/>
          <w:szCs w:val="24"/>
          <w:highlight w:val="none"/>
        </w:rPr>
        <w:t>三部份组成，具体详见“第五章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3.3法定代表人授权委托书、投标声明书、投标报价明细表必须按招标文件格式要求正确签署并加盖投标人公章。投标文件中所须加盖公章部分均采用CA签章。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highlight w:val="none"/>
        </w:rPr>
      </w:pPr>
      <w:r>
        <w:rPr>
          <w:rFonts w:hint="eastAsia" w:ascii="宋体" w:cs="宋体"/>
          <w:b/>
          <w:bCs/>
          <w:kern w:val="0"/>
          <w:sz w:val="24"/>
          <w:szCs w:val="24"/>
          <w:highlight w:val="none"/>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highlight w:val="none"/>
        </w:rPr>
      </w:pPr>
      <w:r>
        <w:rPr>
          <w:rFonts w:hint="eastAsia" w:ascii="宋体" w:cs="宋体"/>
          <w:b/>
          <w:bCs/>
          <w:kern w:val="0"/>
          <w:sz w:val="24"/>
          <w:szCs w:val="24"/>
          <w:highlight w:val="none"/>
        </w:rPr>
        <w:t>5、投标人资格的有关证明资料（资质文件）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（1）投标承诺函(格式见附件）；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（2）投标声明书 (格式见附件，含</w:t>
      </w:r>
      <w:r>
        <w:rPr>
          <w:rFonts w:hint="eastAsia" w:ascii="宋体" w:cs="宋体"/>
          <w:kern w:val="0"/>
          <w:sz w:val="24"/>
          <w:szCs w:val="24"/>
          <w:highlight w:val="none"/>
          <w:lang w:val="en-US" w:eastAsia="zh-CN"/>
        </w:rPr>
        <w:t>无</w:t>
      </w:r>
      <w:r>
        <w:rPr>
          <w:rFonts w:hint="eastAsia" w:ascii="宋体" w:cs="宋体"/>
          <w:kern w:val="0"/>
          <w:sz w:val="24"/>
          <w:szCs w:val="24"/>
          <w:highlight w:val="none"/>
        </w:rPr>
        <w:t>重大违法记录声明)；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（4）提供有效的营业执照复印件并加盖公司公章；事业单位的，则提供有效的《事业单位法人证书》副本复印件并加盖单位公章；自然人的，则提供有效的身份证复印件并签字；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（5）中小企业声明函（如有）；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（6）招标代理服务费承诺书(格式见附件)；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Calibri" w:cs="Times New Roman"/>
          <w:b/>
          <w:bCs/>
          <w:kern w:val="0"/>
          <w:sz w:val="24"/>
          <w:szCs w:val="24"/>
          <w:highlight w:val="none"/>
        </w:rPr>
      </w:pPr>
      <w:r>
        <w:rPr>
          <w:rFonts w:ascii="宋体" w:cs="宋体"/>
          <w:b/>
          <w:bCs/>
          <w:kern w:val="0"/>
          <w:sz w:val="24"/>
          <w:szCs w:val="24"/>
          <w:highlight w:val="none"/>
        </w:rPr>
        <w:t>6</w:t>
      </w:r>
      <w:r>
        <w:rPr>
          <w:rFonts w:hint="eastAsia" w:ascii="宋体" w:cs="宋体"/>
          <w:b/>
          <w:bCs/>
          <w:kern w:val="0"/>
          <w:sz w:val="24"/>
          <w:szCs w:val="24"/>
          <w:highlight w:val="none"/>
        </w:rPr>
        <w:t>、拟供服务合格性符合招标文件的有关资料（技术商务文件）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6.1</w:t>
      </w:r>
      <w:r>
        <w:rPr>
          <w:rFonts w:hint="eastAsia" w:ascii="宋体" w:cs="宋体"/>
          <w:kern w:val="0"/>
          <w:sz w:val="24"/>
          <w:szCs w:val="24"/>
          <w:highlight w:val="none"/>
        </w:rPr>
        <w:t>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（4）项目总体方案（可包含且不限于对项目总体要求的理解、项目总体架构及技术方案等）；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（5）项目实施计划（可包含且不限于保证工期的组织方案及人力资源安排、项目组人员清单等）；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（8）售后服务计划；</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（9）投标人履约能力（可包含且不限于技术力量情况、投标人各项能力证书）；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（10）案例的业绩证明（投标人业绩情况一览表、合同复印件等）；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（11）投标人认为需要的其他文件资料。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ascii="宋体" w:cs="宋体"/>
          <w:kern w:val="0"/>
          <w:sz w:val="24"/>
          <w:szCs w:val="24"/>
          <w:highlight w:val="none"/>
        </w:rPr>
        <w:t>6.2</w:t>
      </w:r>
      <w:r>
        <w:rPr>
          <w:rFonts w:hint="eastAsia" w:ascii="宋体" w:cs="宋体"/>
          <w:kern w:val="0"/>
          <w:sz w:val="24"/>
          <w:szCs w:val="24"/>
          <w:highlight w:val="none"/>
        </w:rPr>
        <w:t>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hint="eastAsia" w:ascii="宋体" w:cs="宋体"/>
          <w:kern w:val="0"/>
          <w:sz w:val="24"/>
          <w:szCs w:val="24"/>
          <w:highlight w:val="none"/>
        </w:rPr>
        <w:t>（</w:t>
      </w:r>
      <w:r>
        <w:rPr>
          <w:rFonts w:ascii="宋体" w:cs="宋体"/>
          <w:kern w:val="0"/>
          <w:sz w:val="24"/>
          <w:szCs w:val="24"/>
          <w:highlight w:val="none"/>
        </w:rPr>
        <w:t>1</w:t>
      </w:r>
      <w:r>
        <w:rPr>
          <w:rFonts w:hint="eastAsia" w:ascii="宋体" w:cs="宋体"/>
          <w:kern w:val="0"/>
          <w:sz w:val="24"/>
          <w:szCs w:val="24"/>
          <w:highlight w:val="none"/>
        </w:rPr>
        <w:t>）响应内容主要服务性质的详细说明。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hint="eastAsia" w:ascii="宋体" w:cs="宋体"/>
          <w:kern w:val="0"/>
          <w:sz w:val="24"/>
          <w:szCs w:val="24"/>
          <w:highlight w:val="none"/>
        </w:rPr>
        <w:t>（</w:t>
      </w:r>
      <w:r>
        <w:rPr>
          <w:rFonts w:ascii="宋体" w:cs="宋体"/>
          <w:kern w:val="0"/>
          <w:sz w:val="24"/>
          <w:szCs w:val="24"/>
          <w:highlight w:val="none"/>
        </w:rPr>
        <w:t>2</w:t>
      </w:r>
      <w:r>
        <w:rPr>
          <w:rFonts w:hint="eastAsia" w:ascii="宋体" w:cs="宋体"/>
          <w:kern w:val="0"/>
          <w:sz w:val="24"/>
          <w:szCs w:val="24"/>
          <w:highlight w:val="none"/>
        </w:rPr>
        <w:t>）对照招标文件服务与商务要求，逐条说明所提供服务已对采购人的要求做出了实质性响应，若有偏离的均应在规范偏离表中提出。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hint="eastAsia" w:ascii="宋体" w:cs="宋体"/>
          <w:kern w:val="0"/>
          <w:sz w:val="24"/>
          <w:szCs w:val="24"/>
          <w:highlight w:val="none"/>
        </w:rPr>
        <w:t>（</w:t>
      </w:r>
      <w:r>
        <w:rPr>
          <w:rFonts w:ascii="宋体" w:cs="宋体"/>
          <w:kern w:val="0"/>
          <w:sz w:val="24"/>
          <w:szCs w:val="24"/>
          <w:highlight w:val="none"/>
        </w:rPr>
        <w:t>3</w:t>
      </w:r>
      <w:r>
        <w:rPr>
          <w:rFonts w:hint="eastAsia" w:ascii="宋体" w:cs="宋体"/>
          <w:kern w:val="0"/>
          <w:sz w:val="24"/>
          <w:szCs w:val="24"/>
          <w:highlight w:val="none"/>
        </w:rPr>
        <w:t>）特别对于有具体要求的内容，投标人必须提供具体说明。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highlight w:val="none"/>
        </w:rPr>
      </w:pPr>
      <w:r>
        <w:rPr>
          <w:rFonts w:hint="eastAsia" w:ascii="宋体" w:cs="宋体"/>
          <w:kern w:val="0"/>
          <w:sz w:val="24"/>
          <w:szCs w:val="24"/>
          <w:highlight w:val="none"/>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ascii="宋体" w:cs="宋体"/>
          <w:kern w:val="0"/>
          <w:sz w:val="24"/>
          <w:szCs w:val="24"/>
          <w:highlight w:val="none"/>
        </w:rPr>
        <w:t>6.</w:t>
      </w:r>
      <w:r>
        <w:rPr>
          <w:rFonts w:hint="eastAsia" w:ascii="宋体" w:cs="宋体"/>
          <w:kern w:val="0"/>
          <w:sz w:val="24"/>
          <w:szCs w:val="24"/>
          <w:highlight w:val="none"/>
        </w:rPr>
        <w:t>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Calibri" w:cs="Times New Roman"/>
          <w:b/>
          <w:bCs/>
          <w:kern w:val="0"/>
          <w:sz w:val="24"/>
          <w:szCs w:val="24"/>
          <w:highlight w:val="none"/>
        </w:rPr>
      </w:pPr>
      <w:r>
        <w:rPr>
          <w:rFonts w:ascii="宋体" w:cs="宋体"/>
          <w:b/>
          <w:bCs/>
          <w:kern w:val="0"/>
          <w:sz w:val="24"/>
          <w:szCs w:val="24"/>
          <w:highlight w:val="none"/>
        </w:rPr>
        <w:t>7</w:t>
      </w:r>
      <w:r>
        <w:rPr>
          <w:rFonts w:hint="eastAsia" w:ascii="宋体" w:cs="宋体"/>
          <w:b/>
          <w:bCs/>
          <w:kern w:val="0"/>
          <w:sz w:val="24"/>
          <w:szCs w:val="24"/>
          <w:highlight w:val="none"/>
        </w:rPr>
        <w:t>、投标书及投标报价（投标报价文件）</w:t>
      </w:r>
    </w:p>
    <w:p>
      <w:pPr>
        <w:widowControl w:val="0"/>
        <w:spacing w:line="400" w:lineRule="exact"/>
        <w:rPr>
          <w:rFonts w:ascii="宋体" w:hAnsi="Calibri" w:cs="Times New Roman"/>
          <w:sz w:val="24"/>
          <w:szCs w:val="24"/>
          <w:highlight w:val="none"/>
          <w:shd w:val="pct10" w:color="auto" w:fill="FFFFFF"/>
        </w:rPr>
      </w:pPr>
      <w:r>
        <w:rPr>
          <w:rFonts w:ascii="宋体" w:cs="宋体"/>
          <w:sz w:val="24"/>
          <w:szCs w:val="24"/>
          <w:highlight w:val="none"/>
        </w:rPr>
        <w:t>7.1</w:t>
      </w:r>
      <w:r>
        <w:rPr>
          <w:rFonts w:hint="eastAsia" w:ascii="宋体" w:cs="宋体"/>
          <w:sz w:val="24"/>
          <w:szCs w:val="24"/>
          <w:highlight w:val="none"/>
        </w:rPr>
        <w:t>投标人应在招标文件所附的投标报价一览表上写明提供服务的单价和总价。投标人对每种项目只允许有一个报价，采购人不接受任何有选择性的报价。</w:t>
      </w:r>
    </w:p>
    <w:p>
      <w:pPr>
        <w:widowControl w:val="0"/>
        <w:spacing w:line="400" w:lineRule="exact"/>
        <w:rPr>
          <w:rFonts w:ascii="宋体" w:hAnsi="Calibri" w:cs="Times New Roman"/>
          <w:sz w:val="24"/>
          <w:szCs w:val="24"/>
          <w:highlight w:val="none"/>
        </w:rPr>
      </w:pPr>
      <w:r>
        <w:rPr>
          <w:rFonts w:ascii="宋体" w:cs="宋体"/>
          <w:sz w:val="24"/>
          <w:szCs w:val="24"/>
          <w:highlight w:val="none"/>
        </w:rPr>
        <w:t>7.2</w:t>
      </w:r>
      <w:r>
        <w:rPr>
          <w:rFonts w:hint="eastAsia" w:ascii="宋体" w:cs="宋体"/>
          <w:sz w:val="24"/>
          <w:szCs w:val="24"/>
          <w:highlight w:val="none"/>
        </w:rPr>
        <w:t>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宋体" w:hAnsi="Calibri" w:cs="Times New Roman"/>
          <w:sz w:val="24"/>
          <w:szCs w:val="24"/>
          <w:highlight w:val="none"/>
        </w:rPr>
      </w:pPr>
      <w:r>
        <w:rPr>
          <w:rFonts w:ascii="宋体" w:cs="宋体"/>
          <w:sz w:val="24"/>
          <w:szCs w:val="24"/>
          <w:highlight w:val="none"/>
        </w:rPr>
        <w:t>7.3</w:t>
      </w:r>
      <w:r>
        <w:rPr>
          <w:rFonts w:hint="eastAsia" w:ascii="宋体" w:cs="宋体"/>
          <w:sz w:val="24"/>
          <w:szCs w:val="24"/>
          <w:highlight w:val="none"/>
        </w:rPr>
        <w:t>填写报价一览表时应注意下列几点：</w:t>
      </w:r>
    </w:p>
    <w:p>
      <w:pPr>
        <w:widowControl w:val="0"/>
        <w:spacing w:line="400" w:lineRule="exact"/>
        <w:rPr>
          <w:rFonts w:hint="eastAsia" w:ascii="宋体" w:cs="宋体"/>
          <w:sz w:val="24"/>
          <w:szCs w:val="24"/>
          <w:highlight w:val="none"/>
        </w:rPr>
      </w:pPr>
      <w:r>
        <w:rPr>
          <w:rFonts w:hint="eastAsia" w:ascii="宋体" w:cs="宋体"/>
          <w:sz w:val="24"/>
          <w:szCs w:val="24"/>
          <w:highlight w:val="none"/>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hint="eastAsia" w:ascii="宋体" w:cs="宋体"/>
          <w:sz w:val="24"/>
          <w:szCs w:val="24"/>
          <w:highlight w:val="none"/>
        </w:rPr>
      </w:pPr>
      <w:r>
        <w:rPr>
          <w:rFonts w:hint="eastAsia" w:ascii="宋体" w:cs="宋体"/>
          <w:sz w:val="24"/>
          <w:szCs w:val="24"/>
          <w:highlight w:val="none"/>
        </w:rPr>
        <w:t>（2）投标报价应包含项目所需全部产品、服务，不得缺漏，是履行合同的最终价格（含服务款、标准附件、</w:t>
      </w:r>
      <w:r>
        <w:rPr>
          <w:rFonts w:hint="eastAsia" w:ascii="宋体" w:cs="宋体"/>
          <w:sz w:val="24"/>
          <w:szCs w:val="24"/>
          <w:highlight w:val="none"/>
          <w:lang w:eastAsia="zh-CN"/>
        </w:rPr>
        <w:t>代理费</w:t>
      </w:r>
      <w:r>
        <w:rPr>
          <w:rFonts w:hint="eastAsia" w:ascii="宋体" w:cs="宋体"/>
          <w:sz w:val="24"/>
          <w:szCs w:val="24"/>
          <w:highlight w:val="none"/>
        </w:rPr>
        <w:t>、</w:t>
      </w:r>
      <w:r>
        <w:rPr>
          <w:rFonts w:hint="eastAsia" w:ascii="宋体" w:cs="宋体"/>
          <w:sz w:val="24"/>
          <w:szCs w:val="24"/>
          <w:highlight w:val="none"/>
          <w:lang w:eastAsia="zh-CN"/>
        </w:rPr>
        <w:t>、税费、</w:t>
      </w:r>
      <w:r>
        <w:rPr>
          <w:rFonts w:hint="eastAsia" w:ascii="宋体" w:cs="宋体"/>
          <w:sz w:val="24"/>
          <w:szCs w:val="24"/>
          <w:highlight w:val="none"/>
        </w:rPr>
        <w:t>专用工具、保险、培训等费用）。</w:t>
      </w:r>
    </w:p>
    <w:p>
      <w:pPr>
        <w:widowControl w:val="0"/>
        <w:spacing w:line="400" w:lineRule="exact"/>
        <w:rPr>
          <w:rFonts w:hint="eastAsia" w:ascii="宋体" w:cs="宋体"/>
          <w:sz w:val="24"/>
          <w:szCs w:val="24"/>
          <w:highlight w:val="none"/>
        </w:rPr>
      </w:pPr>
      <w:r>
        <w:rPr>
          <w:rFonts w:hint="eastAsia" w:ascii="宋体" w:cs="宋体"/>
          <w:sz w:val="24"/>
          <w:szCs w:val="24"/>
          <w:highlight w:val="none"/>
        </w:rPr>
        <w:t>（3）投标报价金额到元为止，如投标报价总价出现角、分，将被抹除。</w:t>
      </w:r>
    </w:p>
    <w:p>
      <w:pPr>
        <w:widowControl w:val="0"/>
        <w:spacing w:line="400" w:lineRule="exact"/>
        <w:rPr>
          <w:rFonts w:ascii="宋体" w:hAnsi="Calibri" w:cs="Times New Roman"/>
          <w:sz w:val="24"/>
          <w:szCs w:val="24"/>
          <w:highlight w:val="none"/>
        </w:rPr>
      </w:pPr>
      <w:r>
        <w:rPr>
          <w:rFonts w:ascii="宋体" w:cs="宋体"/>
          <w:sz w:val="24"/>
          <w:szCs w:val="24"/>
          <w:highlight w:val="none"/>
        </w:rPr>
        <w:t>7.5</w:t>
      </w:r>
      <w:r>
        <w:rPr>
          <w:rFonts w:hint="eastAsia" w:ascii="宋体" w:cs="宋体"/>
          <w:sz w:val="24"/>
          <w:szCs w:val="24"/>
          <w:highlight w:val="none"/>
        </w:rPr>
        <w:t>投标人应在“政府采购云平台”中填写报价，报价应与上传的报价文件一致，如有不一致，以上传的报价文件中报价为准。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highlight w:val="none"/>
        </w:rPr>
      </w:pPr>
      <w:r>
        <w:rPr>
          <w:rFonts w:ascii="宋体" w:cs="宋体"/>
          <w:b/>
          <w:bCs/>
          <w:kern w:val="0"/>
          <w:sz w:val="24"/>
          <w:szCs w:val="24"/>
          <w:highlight w:val="none"/>
        </w:rPr>
        <w:t>8</w:t>
      </w:r>
      <w:r>
        <w:rPr>
          <w:rFonts w:hint="eastAsia" w:ascii="宋体" w:cs="宋体"/>
          <w:b/>
          <w:bCs/>
          <w:kern w:val="0"/>
          <w:sz w:val="24"/>
          <w:szCs w:val="24"/>
          <w:highlight w:val="none"/>
        </w:rPr>
        <w:t>、在线演示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ascii="宋体" w:cs="宋体"/>
          <w:kern w:val="0"/>
          <w:sz w:val="24"/>
          <w:szCs w:val="24"/>
          <w:highlight w:val="none"/>
        </w:rPr>
        <w:t>8.1</w:t>
      </w:r>
      <w:r>
        <w:rPr>
          <w:rFonts w:hint="eastAsia" w:ascii="宋体" w:cs="宋体"/>
          <w:kern w:val="0"/>
          <w:sz w:val="24"/>
          <w:szCs w:val="24"/>
          <w:highlight w:val="none"/>
        </w:rPr>
        <w:t>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highlight w:val="none"/>
        </w:rPr>
      </w:pPr>
      <w:r>
        <w:rPr>
          <w:rFonts w:hint="eastAsia" w:ascii="宋体" w:cs="宋体"/>
          <w:kern w:val="0"/>
          <w:sz w:val="24"/>
          <w:szCs w:val="24"/>
          <w:highlight w:val="none"/>
        </w:rPr>
        <w:t>8.2演示开始时间由评审小组在项目评审期间以在线短信或电话方式通知各投标人，故各投标人应在项目评审期间保持通讯工具的畅通并随时关注。</w:t>
      </w:r>
    </w:p>
    <w:p>
      <w:pPr>
        <w:pStyle w:val="11"/>
        <w:ind w:firstLine="0"/>
        <w:rPr>
          <w:color w:val="auto"/>
          <w:highlight w:val="none"/>
        </w:rPr>
      </w:pPr>
      <w:r>
        <w:rPr>
          <w:rFonts w:hint="eastAsia" w:cs="宋体"/>
          <w:color w:val="auto"/>
          <w:kern w:val="0"/>
          <w:sz w:val="24"/>
          <w:szCs w:val="24"/>
          <w:highlight w:val="none"/>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highlight w:val="none"/>
        </w:rPr>
      </w:pPr>
      <w:r>
        <w:rPr>
          <w:rFonts w:ascii="宋体" w:cs="宋体"/>
          <w:b/>
          <w:bCs/>
          <w:kern w:val="0"/>
          <w:sz w:val="24"/>
          <w:szCs w:val="24"/>
          <w:highlight w:val="none"/>
        </w:rPr>
        <w:t>9</w:t>
      </w:r>
      <w:r>
        <w:rPr>
          <w:rFonts w:hint="eastAsia" w:ascii="宋体" w:cs="宋体"/>
          <w:b/>
          <w:bCs/>
          <w:kern w:val="0"/>
          <w:sz w:val="24"/>
          <w:szCs w:val="24"/>
          <w:highlight w:val="none"/>
        </w:rPr>
        <w:t>、投标有效期</w:t>
      </w:r>
    </w:p>
    <w:p>
      <w:pPr>
        <w:widowControl w:val="0"/>
        <w:snapToGrid w:val="0"/>
        <w:spacing w:line="500" w:lineRule="exact"/>
        <w:rPr>
          <w:rFonts w:hint="eastAsia" w:ascii="宋体" w:cs="宋体"/>
          <w:kern w:val="0"/>
          <w:sz w:val="24"/>
          <w:szCs w:val="24"/>
          <w:highlight w:val="none"/>
        </w:rPr>
      </w:pPr>
      <w:r>
        <w:rPr>
          <w:rFonts w:ascii="宋体" w:cs="宋体"/>
          <w:kern w:val="0"/>
          <w:sz w:val="24"/>
          <w:szCs w:val="24"/>
          <w:highlight w:val="none"/>
        </w:rPr>
        <w:t>9.1</w:t>
      </w:r>
      <w:r>
        <w:rPr>
          <w:rFonts w:hint="eastAsia" w:ascii="宋体" w:cs="宋体"/>
          <w:kern w:val="0"/>
          <w:sz w:val="24"/>
          <w:szCs w:val="24"/>
          <w:highlight w:val="none"/>
        </w:rPr>
        <w:t>.自投标截止日起90天内投标文件应保持有效。有效期不足的投标文件将作无效标处理。</w:t>
      </w:r>
    </w:p>
    <w:p>
      <w:pPr>
        <w:widowControl w:val="0"/>
        <w:snapToGrid w:val="0"/>
        <w:spacing w:line="500" w:lineRule="exact"/>
        <w:rPr>
          <w:rFonts w:hint="eastAsia" w:ascii="宋体" w:cs="宋体"/>
          <w:kern w:val="0"/>
          <w:sz w:val="24"/>
          <w:szCs w:val="24"/>
          <w:highlight w:val="none"/>
        </w:rPr>
      </w:pPr>
      <w:r>
        <w:rPr>
          <w:rFonts w:hint="eastAsia" w:ascii="宋体" w:cs="宋体"/>
          <w:kern w:val="0"/>
          <w:sz w:val="24"/>
          <w:szCs w:val="24"/>
          <w:highlight w:val="none"/>
        </w:rPr>
        <w:t>9.2.中标供应商的投标文件自开标之日起至合同履行完毕止均应保持有效。</w:t>
      </w:r>
    </w:p>
    <w:p>
      <w:pPr>
        <w:widowControl w:val="0"/>
        <w:snapToGrid w:val="0"/>
        <w:spacing w:line="500" w:lineRule="exact"/>
        <w:rPr>
          <w:rFonts w:ascii="宋体" w:hAnsi="Calibri" w:cs="Times New Roman"/>
          <w:b/>
          <w:bCs/>
          <w:kern w:val="0"/>
          <w:sz w:val="24"/>
          <w:szCs w:val="24"/>
          <w:highlight w:val="none"/>
        </w:rPr>
      </w:pPr>
      <w:r>
        <w:rPr>
          <w:rFonts w:ascii="宋体" w:cs="宋体"/>
          <w:b/>
          <w:bCs/>
          <w:kern w:val="0"/>
          <w:sz w:val="24"/>
          <w:szCs w:val="24"/>
          <w:highlight w:val="none"/>
        </w:rPr>
        <w:t>10.</w:t>
      </w:r>
      <w:r>
        <w:rPr>
          <w:rFonts w:hint="eastAsia" w:ascii="宋体" w:cs="宋体"/>
          <w:b/>
          <w:bCs/>
          <w:kern w:val="0"/>
          <w:sz w:val="24"/>
          <w:szCs w:val="24"/>
          <w:highlight w:val="none"/>
        </w:rPr>
        <w:t>投标文件的形式</w:t>
      </w:r>
    </w:p>
    <w:p>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投标文件为电子投标文件。电子投标文件按政采云平台供应商项目采购</w:t>
      </w:r>
      <w:r>
        <w:rPr>
          <w:rFonts w:ascii="宋体" w:cs="宋体"/>
          <w:kern w:val="0"/>
          <w:sz w:val="24"/>
          <w:szCs w:val="24"/>
          <w:highlight w:val="none"/>
        </w:rPr>
        <w:t>-</w:t>
      </w:r>
      <w:r>
        <w:rPr>
          <w:rFonts w:hint="eastAsia" w:ascii="宋体" w:cs="宋体"/>
          <w:kern w:val="0"/>
          <w:sz w:val="24"/>
          <w:szCs w:val="24"/>
          <w:highlight w:val="none"/>
        </w:rPr>
        <w:t>电子招投标操作指南（网址：</w:t>
      </w:r>
      <w:r>
        <w:rPr>
          <w:rFonts w:ascii="宋体" w:cs="宋体"/>
          <w:kern w:val="0"/>
          <w:sz w:val="24"/>
          <w:szCs w:val="24"/>
          <w:highlight w:val="none"/>
        </w:rPr>
        <w:t>https://help.zcygov.cn/web/site_2/2018/12-28/2573.html</w:t>
      </w:r>
      <w:r>
        <w:rPr>
          <w:rFonts w:hint="eastAsia" w:ascii="宋体" w:cs="宋体"/>
          <w:kern w:val="0"/>
          <w:sz w:val="24"/>
          <w:szCs w:val="24"/>
          <w:highlight w:val="none"/>
        </w:rPr>
        <w:t>）及本招标文件要求制作、加密并递交。</w:t>
      </w:r>
    </w:p>
    <w:p>
      <w:pPr>
        <w:widowControl w:val="0"/>
        <w:snapToGrid w:val="0"/>
        <w:spacing w:line="500" w:lineRule="exact"/>
        <w:rPr>
          <w:rFonts w:hint="eastAsia" w:ascii="宋体" w:cs="宋体"/>
          <w:b/>
          <w:bCs/>
          <w:kern w:val="0"/>
          <w:sz w:val="24"/>
          <w:szCs w:val="24"/>
          <w:highlight w:val="none"/>
        </w:rPr>
      </w:pPr>
      <w:r>
        <w:rPr>
          <w:rFonts w:hint="eastAsia" w:ascii="宋体" w:cs="宋体"/>
          <w:b/>
          <w:bCs/>
          <w:kern w:val="0"/>
          <w:sz w:val="24"/>
          <w:szCs w:val="24"/>
          <w:highlight w:val="none"/>
        </w:rPr>
        <w:t>11. 提交投标文件</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11.1电子投标文件传输提交</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11.2备份电子投标文件提交</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收件人：王飞，联系方式：15306795918，收件地址：永康市世贸中心南2-1405，件时间上午08:30-11:30 下午：13:30-17:00。备份电子投标文件仅在在线解密异常处理时使用。投标文件已按时解密的，备份电子投标文件自动失效。</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11.3投标人提交的投标文件均不予退还。</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11.4 逾期传输的或逾期送达的或者未送达指定地点的投标文件，采购人将不予受理。</w:t>
      </w:r>
    </w:p>
    <w:p>
      <w:pPr>
        <w:widowControl w:val="0"/>
        <w:snapToGrid w:val="0"/>
        <w:spacing w:line="500" w:lineRule="exact"/>
        <w:rPr>
          <w:rFonts w:hint="eastAsia" w:ascii="宋体" w:cs="宋体"/>
          <w:b/>
          <w:bCs/>
          <w:kern w:val="0"/>
          <w:sz w:val="24"/>
          <w:szCs w:val="24"/>
          <w:highlight w:val="none"/>
        </w:rPr>
      </w:pPr>
      <w:r>
        <w:rPr>
          <w:rFonts w:hint="eastAsia" w:ascii="宋体" w:cs="宋体"/>
          <w:b/>
          <w:bCs/>
          <w:kern w:val="0"/>
          <w:sz w:val="24"/>
          <w:szCs w:val="24"/>
          <w:highlight w:val="none"/>
        </w:rPr>
        <w:t>12.采购过程中的异常情况及处理措施</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（4）病毒发作导致不能进行正常操作的；</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出现前款规定情形，不影响采购公平、公正性的，招标方可以待上述情形消除后继续组织电子交易活动，也可以决定某些环节以纸质形式进行；影响或可能影响采购公平、公正性的，应当重新采购。</w:t>
      </w:r>
    </w:p>
    <w:p>
      <w:pPr>
        <w:widowControl w:val="0"/>
        <w:snapToGrid w:val="0"/>
        <w:spacing w:line="500" w:lineRule="exact"/>
        <w:ind w:firstLine="602" w:firstLineChars="200"/>
        <w:jc w:val="center"/>
        <w:rPr>
          <w:rFonts w:hint="eastAsia" w:ascii="宋体" w:cs="宋体"/>
          <w:kern w:val="0"/>
          <w:sz w:val="24"/>
          <w:szCs w:val="24"/>
          <w:highlight w:val="none"/>
        </w:rPr>
      </w:pPr>
      <w:r>
        <w:rPr>
          <w:rFonts w:hint="eastAsia" w:ascii="黑体" w:hAnsi="Courier New" w:eastAsia="黑体" w:cs="黑体"/>
          <w:b/>
          <w:bCs/>
          <w:kern w:val="0"/>
          <w:sz w:val="30"/>
          <w:szCs w:val="30"/>
          <w:highlight w:val="none"/>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highlight w:val="none"/>
        </w:rPr>
      </w:pPr>
    </w:p>
    <w:p>
      <w:pPr>
        <w:widowControl w:val="0"/>
        <w:snapToGrid w:val="0"/>
        <w:spacing w:line="500" w:lineRule="exact"/>
        <w:jc w:val="left"/>
        <w:rPr>
          <w:rFonts w:hint="eastAsia" w:ascii="宋体" w:cs="宋体"/>
          <w:b/>
          <w:bCs/>
          <w:kern w:val="0"/>
          <w:sz w:val="24"/>
          <w:szCs w:val="24"/>
          <w:highlight w:val="none"/>
          <w:lang w:val="zh-CN"/>
        </w:rPr>
      </w:pPr>
      <w:r>
        <w:rPr>
          <w:rFonts w:hint="eastAsia" w:ascii="宋体" w:cs="宋体"/>
          <w:b/>
          <w:bCs/>
          <w:kern w:val="0"/>
          <w:sz w:val="24"/>
          <w:szCs w:val="24"/>
          <w:highlight w:val="none"/>
          <w:lang w:val="zh-CN"/>
        </w:rPr>
        <w:t>1、开标</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1.2、开标流程</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（3）开启资格审查通过的投标供应商的商务技术文件进入符合性审查及商务技术评审；</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开标时，报价文件中投标报价出现前后不一致的，按照下列规定修正：</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（一）投标文件中开标一览表内容与投标文件中相应内容不一致的，以开标一览表为准；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（二）大写金额和小写金额不一致的，以大写金额为准；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（三）单价金额小数点或者百分比有明显错位的，以开标一览表的总价为准，并修改单价；</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（四）总价金额与按单价汇总金额不一致的，以单价金额计算结果为准。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（5）评审结束后，公布采购结果。</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特别说明：如遇“政府采购云平台”电子化开标或评审程序调整的，按调整后程序执行。</w:t>
      </w:r>
    </w:p>
    <w:p>
      <w:pPr>
        <w:widowControl w:val="0"/>
        <w:snapToGrid w:val="0"/>
        <w:spacing w:line="500" w:lineRule="exact"/>
        <w:jc w:val="left"/>
        <w:rPr>
          <w:rFonts w:hint="eastAsia" w:ascii="宋体" w:cs="宋体"/>
          <w:b/>
          <w:bCs/>
          <w:kern w:val="0"/>
          <w:sz w:val="24"/>
          <w:szCs w:val="24"/>
          <w:highlight w:val="none"/>
        </w:rPr>
      </w:pPr>
      <w:r>
        <w:rPr>
          <w:rFonts w:hint="eastAsia" w:ascii="宋体" w:cs="宋体"/>
          <w:b/>
          <w:bCs/>
          <w:kern w:val="0"/>
          <w:sz w:val="24"/>
          <w:szCs w:val="24"/>
          <w:highlight w:val="none"/>
        </w:rPr>
        <w:t>2、投标供应商资格审查</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hint="eastAsia" w:ascii="宋体" w:cs="宋体"/>
          <w:b/>
          <w:bCs/>
          <w:kern w:val="0"/>
          <w:sz w:val="24"/>
          <w:szCs w:val="24"/>
          <w:highlight w:val="none"/>
        </w:rPr>
      </w:pPr>
      <w:r>
        <w:rPr>
          <w:rFonts w:hint="eastAsia" w:ascii="宋体" w:cs="宋体"/>
          <w:b/>
          <w:bCs/>
          <w:kern w:val="0"/>
          <w:sz w:val="24"/>
          <w:szCs w:val="24"/>
          <w:highlight w:val="none"/>
        </w:rPr>
        <w:t>3、评标</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3.1、评标由依法组建的评标委员会负责，并独立履行下列职责：</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1）审查投标文件是否符合招标文件要求，并作出评价；</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 xml:space="preserve"> 2）要求投标供应商对投标文件有关事项作出解释或者澄清；</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5）向采购代理机构或者有关部门报告非法干预评标工作的行为。</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3.2、评标应当遵循下列工作程序：</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hint="eastAsia" w:ascii="宋体" w:cs="宋体"/>
          <w:b/>
          <w:bCs/>
          <w:kern w:val="0"/>
          <w:sz w:val="24"/>
          <w:szCs w:val="24"/>
          <w:highlight w:val="none"/>
        </w:rPr>
      </w:pPr>
      <w:r>
        <w:rPr>
          <w:rFonts w:hint="eastAsia" w:ascii="宋体" w:cs="宋体"/>
          <w:b/>
          <w:bCs/>
          <w:kern w:val="0"/>
          <w:sz w:val="24"/>
          <w:szCs w:val="24"/>
          <w:highlight w:val="none"/>
        </w:rPr>
        <w:t>3.3、投标供应商存在下列情况之一的，投标无效：</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1）投标文件未按招标文件要求签署或CA电子签章的；</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2）不具备招标文件中规定的资格要求的；</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3）报价超过招标文件中规定的预算金额或者最高限价的；</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4）供应商递交两份或两份以上内容不同的投标文件，未声明哪一份有效的；</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5）对关键条文的偏离、保留或反对，例如关于付款方式、服务期、适用法律法规、标准、税费等其他内容；</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6）存在串标、抬标或弄虚作假情况的；</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7）参与本项目的不同供应商单位负责人为同一人或者存在直接控股、管理关系的；</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8）供应商的资格文件或者商务技术文件中出现投标报价的</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10）法律、法规和招标文件规定的其他无效情形（或出现重大偏差）。</w:t>
      </w:r>
    </w:p>
    <w:p>
      <w:pPr>
        <w:widowControl w:val="0"/>
        <w:snapToGrid w:val="0"/>
        <w:spacing w:line="500" w:lineRule="exact"/>
        <w:ind w:firstLine="480" w:firstLineChars="200"/>
        <w:jc w:val="left"/>
        <w:rPr>
          <w:rFonts w:hint="eastAsia" w:ascii="宋体" w:cs="宋体"/>
          <w:color w:val="FF0000"/>
          <w:kern w:val="0"/>
          <w:sz w:val="24"/>
          <w:szCs w:val="24"/>
          <w:highlight w:val="none"/>
        </w:rPr>
      </w:pPr>
      <w:r>
        <w:rPr>
          <w:rFonts w:hint="eastAsia" w:ascii="宋体" w:cs="宋体"/>
          <w:color w:val="FF0000"/>
          <w:kern w:val="0"/>
          <w:sz w:val="24"/>
          <w:szCs w:val="24"/>
          <w:highlight w:val="none"/>
        </w:rPr>
        <w:t>11)不同投标人被政采云系统识别为硬件设备或 IP 地址相同。</w:t>
      </w:r>
    </w:p>
    <w:p>
      <w:pPr>
        <w:widowControl w:val="0"/>
        <w:snapToGrid w:val="0"/>
        <w:spacing w:line="500" w:lineRule="exact"/>
        <w:ind w:firstLine="480" w:firstLineChars="200"/>
        <w:jc w:val="left"/>
        <w:rPr>
          <w:rFonts w:hint="eastAsia" w:ascii="宋体" w:cs="宋体"/>
          <w:color w:val="FF0000"/>
          <w:kern w:val="0"/>
          <w:sz w:val="24"/>
          <w:szCs w:val="24"/>
          <w:highlight w:val="none"/>
        </w:rPr>
      </w:pPr>
      <w:r>
        <w:rPr>
          <w:rFonts w:hint="eastAsia" w:ascii="宋体" w:cs="宋体"/>
          <w:color w:val="FF0000"/>
          <w:kern w:val="0"/>
          <w:sz w:val="24"/>
          <w:szCs w:val="24"/>
          <w:highlight w:val="none"/>
        </w:rPr>
        <w:t>12)不同投标人被政采云系统识别为投标行为异常，即两家投标人累计超过30次以上共同投标，且其中一家中标率为0%。</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1）未按招标文件要求编制或字迹模糊、辨认不清的投标文件；</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2）除3.3条款以外，明显不符合招标文件要求的规格型号、质量标准，或者与招标文件中标“</w:t>
      </w:r>
      <w:r>
        <w:rPr>
          <w:rFonts w:hint="eastAsia" w:ascii="宋体" w:cs="宋体"/>
          <w:color w:val="FF0000"/>
          <w:sz w:val="24"/>
          <w:szCs w:val="24"/>
          <w:highlight w:val="none"/>
        </w:rPr>
        <w:t>▲</w:t>
      </w:r>
      <w:r>
        <w:rPr>
          <w:rFonts w:hint="eastAsia" w:ascii="宋体" w:cs="宋体"/>
          <w:kern w:val="0"/>
          <w:sz w:val="24"/>
          <w:szCs w:val="24"/>
          <w:highlight w:val="none"/>
        </w:rPr>
        <w:t xml:space="preserve">”的技术指标、主要功能项目发生实质性偏离的； </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3）除3.3条款以外，未提供或未如实提供投标内容的技术参数，或者投标文件标明的响应或偏离与事实不符或虚假投标的；</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3.5、本次采购，如果投标供应商的投标报价均超出采购预算，本次招标做流标处理。</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3.6、开启投标供应商报价文件后发现价格、数量有误，其投标价将按下述原则处理：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2) 任何有多报一些小项工程或货物或服务的投标其投标价不予调整，如果该投标供应商中标，则合同价格必须为核减掉多报的一些小项工程或货物或服务后的价格。</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5）供应商不接受上述处理方式，将按无效投标处理。</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3.8、评标过程中遇到特殊情况，由评标委员会遵循公开、公正原则，采取投票方式按照少数服从多数原则决定。</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3.10、评标委员会对投标文件的判定，只依据投标内容本身，不依靠开标后的任何外来证明。</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3.11、评标委员会在评标中，不得改变招标文件中规定的评标标准、方法和中标条件。</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3.12、评标委员会对未中标的供应商不作解释。同时根据政府采购法实施条例第四十条规定，本项目不对各投标供应商公布详细的评审情况，不公布具体评标细则中小项得分。</w:t>
      </w:r>
    </w:p>
    <w:p>
      <w:pPr>
        <w:widowControl w:val="0"/>
        <w:snapToGrid w:val="0"/>
        <w:spacing w:line="500" w:lineRule="exact"/>
        <w:jc w:val="left"/>
        <w:rPr>
          <w:rFonts w:hint="eastAsia" w:ascii="宋体" w:cs="宋体"/>
          <w:b/>
          <w:bCs/>
          <w:kern w:val="0"/>
          <w:sz w:val="24"/>
          <w:szCs w:val="24"/>
          <w:highlight w:val="none"/>
        </w:rPr>
      </w:pPr>
      <w:r>
        <w:rPr>
          <w:rFonts w:hint="eastAsia" w:ascii="宋体" w:cs="宋体"/>
          <w:b/>
          <w:bCs/>
          <w:kern w:val="0"/>
          <w:sz w:val="24"/>
          <w:szCs w:val="24"/>
          <w:highlight w:val="none"/>
        </w:rPr>
        <w:t>4、投标文件的澄清</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hint="eastAsia" w:ascii="宋体" w:cs="宋体"/>
          <w:b/>
          <w:bCs/>
          <w:kern w:val="0"/>
          <w:sz w:val="24"/>
          <w:szCs w:val="24"/>
          <w:highlight w:val="none"/>
        </w:rPr>
      </w:pPr>
      <w:r>
        <w:rPr>
          <w:rFonts w:hint="eastAsia" w:ascii="宋体" w:cs="宋体"/>
          <w:b/>
          <w:bCs/>
          <w:kern w:val="0"/>
          <w:sz w:val="24"/>
          <w:szCs w:val="24"/>
          <w:highlight w:val="none"/>
        </w:rPr>
        <w:t>5、有下列情形之一的，视为投标供应商相互串通投标：</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5.1、不同投标供应商的投标文件由同一单位或者个人编制；</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5.2、不同投标供应商委托同一单位或者个人办理投标事宜；</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5.3、不同投标供应商的投标文件载明的项目管理成员为同一人；</w:t>
      </w:r>
    </w:p>
    <w:p>
      <w:pPr>
        <w:widowControl w:val="0"/>
        <w:snapToGrid w:val="0"/>
        <w:spacing w:line="500" w:lineRule="exact"/>
        <w:jc w:val="left"/>
        <w:rPr>
          <w:rFonts w:hint="eastAsia"/>
          <w:highlight w:val="none"/>
        </w:rPr>
      </w:pPr>
      <w:r>
        <w:rPr>
          <w:rFonts w:hint="eastAsia" w:ascii="宋体" w:cs="宋体"/>
          <w:kern w:val="0"/>
          <w:sz w:val="24"/>
          <w:szCs w:val="24"/>
          <w:highlight w:val="none"/>
        </w:rPr>
        <w:t>5.4、不同投标供应商的投标文件异常一致或者投标报价呈规律性差异。</w:t>
      </w:r>
    </w:p>
    <w:p>
      <w:pPr>
        <w:widowControl w:val="0"/>
        <w:snapToGrid w:val="0"/>
        <w:spacing w:line="500" w:lineRule="exact"/>
        <w:jc w:val="left"/>
        <w:rPr>
          <w:rFonts w:hint="eastAsia" w:ascii="宋体" w:cs="宋体"/>
          <w:b/>
          <w:bCs/>
          <w:kern w:val="0"/>
          <w:sz w:val="24"/>
          <w:szCs w:val="24"/>
          <w:highlight w:val="none"/>
        </w:rPr>
      </w:pPr>
      <w:r>
        <w:rPr>
          <w:rFonts w:hint="eastAsia" w:ascii="宋体" w:cs="宋体"/>
          <w:b/>
          <w:bCs/>
          <w:kern w:val="0"/>
          <w:sz w:val="24"/>
          <w:szCs w:val="24"/>
          <w:highlight w:val="none"/>
        </w:rPr>
        <w:t>6、串通投标处理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hint="eastAsia" w:ascii="宋体" w:cs="宋体"/>
          <w:b/>
          <w:bCs/>
          <w:kern w:val="0"/>
          <w:sz w:val="24"/>
          <w:szCs w:val="24"/>
          <w:highlight w:val="none"/>
        </w:rPr>
      </w:pPr>
      <w:r>
        <w:rPr>
          <w:rFonts w:hint="eastAsia" w:ascii="宋体" w:cs="宋体"/>
          <w:b/>
          <w:bCs/>
          <w:kern w:val="0"/>
          <w:sz w:val="24"/>
          <w:szCs w:val="24"/>
          <w:highlight w:val="none"/>
        </w:rPr>
        <w:t>7、评标原则</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投标截止时或评审过程中有效投标供应商不足三家的，不予开标或评标。</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评标委员会按照招标文件的要求和条件对投标文件进行商务和技术评估，综合比较与评价。评标办法具体见本招标文件第五部分。</w:t>
      </w:r>
    </w:p>
    <w:p>
      <w:pPr>
        <w:widowControl w:val="0"/>
        <w:snapToGrid w:val="0"/>
        <w:spacing w:line="500" w:lineRule="exact"/>
        <w:jc w:val="left"/>
        <w:rPr>
          <w:rFonts w:hint="eastAsia" w:ascii="宋体" w:cs="宋体"/>
          <w:b/>
          <w:bCs/>
          <w:kern w:val="0"/>
          <w:sz w:val="24"/>
          <w:szCs w:val="24"/>
          <w:highlight w:val="none"/>
        </w:rPr>
      </w:pPr>
      <w:r>
        <w:rPr>
          <w:rFonts w:hint="eastAsia" w:ascii="宋体" w:cs="宋体"/>
          <w:b/>
          <w:bCs/>
          <w:kern w:val="0"/>
          <w:sz w:val="24"/>
          <w:szCs w:val="24"/>
          <w:highlight w:val="none"/>
        </w:rPr>
        <w:t>8、可中止电子交易活动的情形</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8.1、电子交易平台发生故障而无法登录访问的；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8.2、电子交易平台应用或数据库出现错误，不能进行正常操作的；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8.3、电子交易平台发现严重安全漏洞，有潜在泄密危险的；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8.4、病毒发作导致不能进行正常操作的；</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8.5、其他无法保证电子交易的公平、公正和安全的情况。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hint="eastAsia" w:ascii="宋体" w:cs="宋体"/>
          <w:b/>
          <w:bCs/>
          <w:kern w:val="0"/>
          <w:sz w:val="24"/>
          <w:szCs w:val="24"/>
          <w:highlight w:val="none"/>
        </w:rPr>
      </w:pPr>
      <w:bookmarkStart w:id="0" w:name="_Toc132123636"/>
      <w:bookmarkStart w:id="1" w:name="_Toc132125039"/>
      <w:bookmarkStart w:id="2" w:name="_Toc132125153"/>
      <w:bookmarkStart w:id="3" w:name="_Toc132655778"/>
      <w:bookmarkStart w:id="4" w:name="_Toc132123883"/>
      <w:bookmarkStart w:id="5" w:name="_Toc132122121"/>
      <w:bookmarkStart w:id="6" w:name="_Toc132125985"/>
      <w:bookmarkStart w:id="7" w:name="_Toc132126156"/>
      <w:bookmarkStart w:id="8" w:name="_Toc132124596"/>
      <w:bookmarkStart w:id="9" w:name="_Toc132125097"/>
      <w:bookmarkStart w:id="10" w:name="_Toc132125576"/>
      <w:bookmarkStart w:id="11" w:name="_Toc132123549"/>
      <w:bookmarkStart w:id="12" w:name="_Toc132122418"/>
      <w:bookmarkStart w:id="13" w:name="_Toc132123441"/>
      <w:bookmarkStart w:id="14" w:name="_Toc132123840"/>
      <w:r>
        <w:rPr>
          <w:rFonts w:hint="eastAsia" w:ascii="宋体" w:cs="宋体"/>
          <w:b/>
          <w:bCs/>
          <w:kern w:val="0"/>
          <w:sz w:val="24"/>
          <w:szCs w:val="24"/>
          <w:highlight w:val="none"/>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9.1、中标条件</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9.1.1投标文件基本符合招标文件要求，能够最大限度满足招标文件中规定的各项综合评价标准；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9.1.2投标供应商有很好的执行合同的能力；</w:t>
      </w:r>
    </w:p>
    <w:p>
      <w:pPr>
        <w:widowControl w:val="0"/>
        <w:snapToGrid w:val="0"/>
        <w:spacing w:line="500" w:lineRule="exact"/>
        <w:ind w:firstLine="480" w:firstLineChars="200"/>
        <w:jc w:val="left"/>
        <w:rPr>
          <w:rFonts w:hint="eastAsia" w:ascii="宋体" w:cs="宋体"/>
          <w:kern w:val="0"/>
          <w:sz w:val="24"/>
          <w:szCs w:val="24"/>
          <w:highlight w:val="none"/>
        </w:rPr>
      </w:pPr>
      <w:bookmarkStart w:id="15" w:name="_Toc132122122"/>
      <w:bookmarkStart w:id="16" w:name="_Toc132122419"/>
      <w:r>
        <w:rPr>
          <w:rFonts w:hint="eastAsia" w:ascii="宋体" w:cs="宋体"/>
          <w:kern w:val="0"/>
          <w:sz w:val="24"/>
          <w:szCs w:val="24"/>
          <w:highlight w:val="none"/>
        </w:rPr>
        <w:t>9.1.3投标供应商能够提供质量技术、商务经济占综合优势的产品及服务</w:t>
      </w:r>
      <w:bookmarkEnd w:id="15"/>
      <w:bookmarkEnd w:id="16"/>
      <w:r>
        <w:rPr>
          <w:rFonts w:hint="eastAsia" w:ascii="宋体" w:cs="宋体"/>
          <w:kern w:val="0"/>
          <w:sz w:val="24"/>
          <w:szCs w:val="24"/>
          <w:highlight w:val="none"/>
        </w:rPr>
        <w:t>。</w:t>
      </w:r>
    </w:p>
    <w:p>
      <w:pPr>
        <w:widowControl w:val="0"/>
        <w:snapToGrid w:val="0"/>
        <w:spacing w:line="500" w:lineRule="exact"/>
        <w:jc w:val="left"/>
        <w:rPr>
          <w:rFonts w:hint="eastAsia" w:ascii="宋体" w:cs="宋体"/>
          <w:kern w:val="0"/>
          <w:sz w:val="24"/>
          <w:szCs w:val="24"/>
          <w:highlight w:val="none"/>
        </w:rPr>
      </w:pPr>
      <w:bookmarkStart w:id="17" w:name="_Toc132122420"/>
      <w:bookmarkStart w:id="18" w:name="_Toc132122123"/>
      <w:r>
        <w:rPr>
          <w:rFonts w:hint="eastAsia" w:ascii="宋体" w:cs="宋体"/>
          <w:kern w:val="0"/>
          <w:sz w:val="24"/>
          <w:szCs w:val="24"/>
          <w:highlight w:val="none"/>
        </w:rPr>
        <w:t>9.2中标通知</w:t>
      </w:r>
      <w:bookmarkEnd w:id="17"/>
      <w:bookmarkEnd w:id="18"/>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9.3中标无效</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hint="eastAsia" w:ascii="宋体" w:cs="宋体"/>
          <w:b/>
          <w:bCs/>
          <w:kern w:val="0"/>
          <w:sz w:val="24"/>
          <w:szCs w:val="24"/>
          <w:highlight w:val="none"/>
        </w:rPr>
      </w:pPr>
      <w:bookmarkStart w:id="19" w:name="_Toc132122124"/>
      <w:bookmarkStart w:id="20" w:name="_Toc132122421"/>
      <w:r>
        <w:rPr>
          <w:rFonts w:hint="eastAsia" w:ascii="宋体" w:cs="宋体"/>
          <w:b/>
          <w:bCs/>
          <w:kern w:val="0"/>
          <w:sz w:val="24"/>
          <w:szCs w:val="24"/>
          <w:highlight w:val="none"/>
        </w:rPr>
        <w:t>10、签订合同</w:t>
      </w:r>
      <w:bookmarkEnd w:id="19"/>
      <w:bookmarkEnd w:id="20"/>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 xml:space="preserve"> 10.1中标供应商须主动联系采购人或采购代理机构领取中标通知书。中标供应商应当在中标通知书发出之日起</w:t>
      </w:r>
      <w:r>
        <w:rPr>
          <w:rFonts w:hint="eastAsia" w:ascii="宋体" w:cs="宋体"/>
          <w:kern w:val="0"/>
          <w:sz w:val="24"/>
          <w:szCs w:val="24"/>
          <w:highlight w:val="none"/>
          <w:lang w:val="en-US" w:eastAsia="zh-CN"/>
        </w:rPr>
        <w:t>2</w:t>
      </w:r>
      <w:r>
        <w:rPr>
          <w:rFonts w:hint="eastAsia" w:ascii="宋体" w:cs="宋体"/>
          <w:kern w:val="0"/>
          <w:sz w:val="24"/>
          <w:szCs w:val="24"/>
          <w:highlight w:val="none"/>
        </w:rPr>
        <w:t>0日历天内与采购人签订合同。中标供应商未经采购人许可，在规定时间内未与采购人签订合同，则视为拒签合同。</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10.2招标文件、中标供应商的投标文件及投标修改文件、评标过程中有关澄清文件及询标纪要和中标通知书均作为合同附件。</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10.3拒签合同的责任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color w:val="auto"/>
        </w:rPr>
      </w:pPr>
      <w:r>
        <w:rPr>
          <w:rFonts w:hint="eastAsia" w:ascii="宋体" w:hAnsi="宋体" w:eastAsia="宋体" w:cs="宋体"/>
          <w:kern w:val="0"/>
          <w:sz w:val="24"/>
          <w:szCs w:val="24"/>
          <w:highlight w:val="none"/>
        </w:rPr>
        <w:t>中标供应商在规定时间内借故否认已经承诺的条件、拒签合同者，以投标违约处理，并赔偿采购人由此造成的直接经济损失；采购人重新组织招标的，所需费用由原中标供应商承担。</w:t>
      </w:r>
      <w:r>
        <w:rPr>
          <w:rFonts w:hint="eastAsia" w:ascii="楷体" w:hAnsi="楷体" w:eastAsia="楷体" w:cs="楷体"/>
          <w:color w:val="auto"/>
        </w:rPr>
        <w:br w:type="page"/>
      </w:r>
    </w:p>
    <w:p>
      <w:pPr>
        <w:widowControl w:val="0"/>
        <w:snapToGrid w:val="0"/>
        <w:spacing w:line="500" w:lineRule="exact"/>
        <w:ind w:firstLine="420" w:firstLineChars="200"/>
        <w:jc w:val="left"/>
        <w:rPr>
          <w:rFonts w:ascii="Calibri" w:hAnsi="Calibri" w:cs="Times New Roman"/>
          <w:highlight w:val="none"/>
        </w:rPr>
      </w:pPr>
    </w:p>
    <w:p>
      <w:pPr>
        <w:widowControl w:val="0"/>
        <w:spacing w:line="780" w:lineRule="exact"/>
        <w:jc w:val="center"/>
        <w:rPr>
          <w:rFonts w:ascii="Calibri" w:hAnsi="Calibri" w:cs="Times New Roman"/>
          <w:highlight w:val="none"/>
        </w:rPr>
      </w:pPr>
    </w:p>
    <w:p>
      <w:pPr>
        <w:widowControl w:val="0"/>
        <w:spacing w:line="780" w:lineRule="exact"/>
        <w:jc w:val="center"/>
        <w:rPr>
          <w:rFonts w:ascii="Calibri" w:hAnsi="Calibri" w:cs="Times New Roman"/>
          <w:highlight w:val="none"/>
        </w:rPr>
      </w:pPr>
    </w:p>
    <w:p>
      <w:pPr>
        <w:widowControl w:val="0"/>
        <w:spacing w:line="780" w:lineRule="exact"/>
        <w:jc w:val="center"/>
        <w:rPr>
          <w:rFonts w:ascii="Calibri" w:hAnsi="Calibri" w:cs="Times New Roman"/>
          <w:highlight w:val="none"/>
        </w:rPr>
      </w:pPr>
    </w:p>
    <w:p>
      <w:pPr>
        <w:widowControl w:val="0"/>
        <w:spacing w:line="780" w:lineRule="exact"/>
        <w:jc w:val="center"/>
        <w:rPr>
          <w:rFonts w:ascii="Calibri" w:hAnsi="Calibri" w:cs="Times New Roman"/>
          <w:highlight w:val="none"/>
        </w:rPr>
      </w:pPr>
    </w:p>
    <w:p>
      <w:pPr>
        <w:widowControl w:val="0"/>
        <w:spacing w:line="780" w:lineRule="exact"/>
        <w:jc w:val="center"/>
        <w:rPr>
          <w:rFonts w:ascii="Calibri" w:hAnsi="Calibri" w:cs="Times New Roman"/>
          <w:highlight w:val="none"/>
        </w:rPr>
      </w:pPr>
    </w:p>
    <w:p>
      <w:pPr>
        <w:widowControl w:val="0"/>
        <w:spacing w:line="780" w:lineRule="exact"/>
        <w:jc w:val="center"/>
        <w:rPr>
          <w:rFonts w:ascii="Calibri" w:hAnsi="Calibri" w:cs="Times New Roman"/>
          <w:highlight w:val="none"/>
        </w:rPr>
      </w:pPr>
    </w:p>
    <w:p>
      <w:pPr>
        <w:widowControl w:val="0"/>
        <w:spacing w:line="780" w:lineRule="exact"/>
        <w:jc w:val="center"/>
        <w:rPr>
          <w:rFonts w:ascii="黑体" w:hAnsi="Calibri" w:eastAsia="黑体" w:cs="Times New Roman"/>
          <w:b/>
          <w:bCs/>
          <w:sz w:val="52"/>
          <w:szCs w:val="52"/>
          <w:highlight w:val="none"/>
        </w:rPr>
      </w:pPr>
      <w:r>
        <w:rPr>
          <w:rFonts w:hint="eastAsia" w:ascii="黑体" w:hAnsi="Calibri" w:eastAsia="黑体" w:cs="黑体"/>
          <w:b/>
          <w:bCs/>
          <w:sz w:val="52"/>
          <w:szCs w:val="52"/>
          <w:highlight w:val="none"/>
        </w:rPr>
        <w:t>第三章</w:t>
      </w:r>
    </w:p>
    <w:p>
      <w:pPr>
        <w:widowControl w:val="0"/>
        <w:snapToGrid w:val="0"/>
        <w:spacing w:line="500" w:lineRule="exact"/>
        <w:jc w:val="center"/>
        <w:rPr>
          <w:rFonts w:hint="eastAsia" w:ascii="宋体" w:cs="宋体"/>
          <w:kern w:val="0"/>
          <w:sz w:val="24"/>
          <w:szCs w:val="24"/>
          <w:highlight w:val="none"/>
        </w:rPr>
      </w:pPr>
      <w:r>
        <w:rPr>
          <w:rFonts w:hint="eastAsia" w:ascii="黑体" w:hAnsi="Calibri" w:eastAsia="黑体" w:cs="黑体"/>
          <w:b/>
          <w:bCs/>
          <w:sz w:val="52"/>
          <w:szCs w:val="52"/>
          <w:highlight w:val="none"/>
        </w:rPr>
        <w:t>评标定标办法</w:t>
      </w:r>
      <w:r>
        <w:rPr>
          <w:rFonts w:ascii="Calibri" w:hAnsi="Calibri" w:cs="Times New Roman"/>
          <w:highlight w:val="none"/>
        </w:rPr>
        <w:br w:type="page"/>
      </w:r>
      <w:bookmarkStart w:id="21" w:name="_Toc31816"/>
      <w:r>
        <w:rPr>
          <w:rFonts w:hint="eastAsia" w:ascii="宋体" w:cs="宋体"/>
          <w:b/>
          <w:bCs/>
          <w:kern w:val="0"/>
          <w:sz w:val="32"/>
          <w:szCs w:val="32"/>
          <w:highlight w:val="none"/>
        </w:rPr>
        <w:t>一、总则</w:t>
      </w:r>
      <w:bookmarkEnd w:id="21"/>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hint="eastAsia" w:ascii="宋体" w:cs="宋体"/>
          <w:b/>
          <w:bCs/>
          <w:kern w:val="0"/>
          <w:sz w:val="32"/>
          <w:szCs w:val="32"/>
          <w:highlight w:val="none"/>
        </w:rPr>
      </w:pPr>
      <w:bookmarkStart w:id="22" w:name="_Toc20091"/>
      <w:r>
        <w:rPr>
          <w:rFonts w:hint="eastAsia" w:ascii="宋体" w:cs="宋体"/>
          <w:b/>
          <w:bCs/>
          <w:kern w:val="0"/>
          <w:sz w:val="32"/>
          <w:szCs w:val="32"/>
          <w:highlight w:val="none"/>
        </w:rPr>
        <w:t>二、评标组织</w:t>
      </w:r>
      <w:bookmarkEnd w:id="22"/>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评标工作由采购人依法组建的评标委员会负责。评标委员会负责审标、询标、评审等工作，并向采购人提出评审意见和评标报告。</w:t>
      </w:r>
    </w:p>
    <w:p>
      <w:pPr>
        <w:widowControl w:val="0"/>
        <w:snapToGrid w:val="0"/>
        <w:spacing w:line="500" w:lineRule="exact"/>
        <w:jc w:val="left"/>
        <w:rPr>
          <w:rFonts w:hint="eastAsia" w:ascii="宋体" w:cs="宋体"/>
          <w:b/>
          <w:bCs/>
          <w:kern w:val="0"/>
          <w:sz w:val="32"/>
          <w:szCs w:val="32"/>
          <w:highlight w:val="none"/>
        </w:rPr>
      </w:pPr>
      <w:bookmarkStart w:id="23" w:name="_Toc22667"/>
      <w:r>
        <w:rPr>
          <w:rFonts w:hint="eastAsia" w:ascii="宋体" w:cs="宋体"/>
          <w:b/>
          <w:bCs/>
          <w:kern w:val="0"/>
          <w:sz w:val="32"/>
          <w:szCs w:val="32"/>
          <w:highlight w:val="none"/>
        </w:rPr>
        <w:t>三、符合性审查</w:t>
      </w:r>
      <w:bookmarkEnd w:id="23"/>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评标委员会对投标文件依据招标文件规定进行符合性审查。符合性审查条件详见《第二章  投标人须知》</w:t>
      </w:r>
    </w:p>
    <w:p>
      <w:pPr>
        <w:widowControl w:val="0"/>
        <w:snapToGrid w:val="0"/>
        <w:spacing w:line="500" w:lineRule="exact"/>
        <w:jc w:val="left"/>
        <w:rPr>
          <w:rFonts w:hint="eastAsia" w:ascii="宋体" w:cs="宋体"/>
          <w:b/>
          <w:bCs/>
          <w:kern w:val="0"/>
          <w:sz w:val="32"/>
          <w:szCs w:val="32"/>
          <w:highlight w:val="none"/>
        </w:rPr>
      </w:pPr>
      <w:bookmarkStart w:id="24" w:name="_Toc9937"/>
      <w:r>
        <w:rPr>
          <w:rFonts w:hint="eastAsia" w:ascii="宋体" w:cs="宋体"/>
          <w:b/>
          <w:bCs/>
          <w:kern w:val="0"/>
          <w:sz w:val="32"/>
          <w:szCs w:val="32"/>
          <w:highlight w:val="none"/>
        </w:rPr>
        <w:t>四、投标文件的澄清、说明或者补正</w:t>
      </w:r>
      <w:bookmarkEnd w:id="24"/>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hint="eastAsia" w:ascii="宋体" w:cs="宋体"/>
          <w:kern w:val="0"/>
          <w:sz w:val="24"/>
          <w:szCs w:val="24"/>
          <w:highlight w:val="none"/>
        </w:rPr>
      </w:pPr>
      <w:bookmarkStart w:id="25" w:name="_Toc27471"/>
      <w:r>
        <w:rPr>
          <w:rFonts w:hint="eastAsia" w:ascii="宋体" w:cs="宋体"/>
          <w:b/>
          <w:bCs/>
          <w:kern w:val="0"/>
          <w:sz w:val="32"/>
          <w:szCs w:val="32"/>
          <w:highlight w:val="none"/>
        </w:rPr>
        <w:t>五、评标细则</w:t>
      </w:r>
      <w:bookmarkEnd w:id="25"/>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1、本项目采用综合评分法（总分100分）。</w:t>
      </w:r>
    </w:p>
    <w:p>
      <w:pPr>
        <w:widowControl w:val="0"/>
        <w:spacing w:line="420" w:lineRule="exact"/>
        <w:ind w:firstLine="480" w:firstLineChars="200"/>
        <w:rPr>
          <w:rFonts w:hint="default" w:ascii="宋体" w:eastAsia="宋体" w:cs="宋体"/>
          <w:color w:val="000000"/>
          <w:sz w:val="24"/>
          <w:szCs w:val="24"/>
          <w:highlight w:val="none"/>
          <w:lang w:val="en-US" w:eastAsia="zh-CN"/>
        </w:rPr>
      </w:pPr>
      <w:r>
        <w:rPr>
          <w:rFonts w:hint="eastAsia" w:ascii="宋体" w:cs="宋体"/>
          <w:kern w:val="0"/>
          <w:sz w:val="24"/>
          <w:szCs w:val="24"/>
          <w:highlight w:val="none"/>
        </w:rPr>
        <w:t>评标委员会根据本评标办法进行评审，对符合性审查合格的投标文件进行商务和技术评估，综合比较与评价。每个投标人最终</w:t>
      </w:r>
      <w:r>
        <w:rPr>
          <w:rFonts w:hint="eastAsia" w:ascii="宋体" w:cs="宋体"/>
          <w:kern w:val="0"/>
          <w:sz w:val="24"/>
          <w:szCs w:val="24"/>
          <w:highlight w:val="none"/>
          <w:lang w:val="en-US" w:eastAsia="zh-CN"/>
        </w:rPr>
        <w:t xml:space="preserve">  </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4、评标结果按评审后得分由高到低顺序排列。如果第一名得分相同，以投标报价低的优先；投标报价也相同，则以政采云系统记录的投标文件解密时间排序在前面的优先。并编写评标报告。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5、评分因素及分值范围</w:t>
      </w:r>
    </w:p>
    <w:p>
      <w:pPr>
        <w:widowControl w:val="0"/>
        <w:snapToGrid w:val="0"/>
        <w:spacing w:line="500" w:lineRule="exact"/>
        <w:ind w:firstLine="480" w:firstLineChars="200"/>
        <w:jc w:val="left"/>
        <w:rPr>
          <w:rFonts w:hint="eastAsia" w:ascii="宋体" w:cs="宋体"/>
          <w:kern w:val="0"/>
          <w:sz w:val="24"/>
          <w:szCs w:val="24"/>
          <w:highlight w:val="none"/>
        </w:rPr>
      </w:pPr>
      <w:bookmarkStart w:id="26" w:name="_Toc345320402"/>
      <w:r>
        <w:rPr>
          <w:rFonts w:hint="eastAsia" w:ascii="宋体" w:cs="宋体"/>
          <w:kern w:val="0"/>
          <w:sz w:val="24"/>
          <w:szCs w:val="24"/>
          <w:highlight w:val="none"/>
        </w:rPr>
        <w:t>5.1 商务技术分</w:t>
      </w:r>
      <w:bookmarkEnd w:id="26"/>
      <w:r>
        <w:rPr>
          <w:rFonts w:hint="eastAsia" w:ascii="宋体" w:cs="宋体"/>
          <w:kern w:val="0"/>
          <w:sz w:val="24"/>
          <w:szCs w:val="24"/>
          <w:highlight w:val="none"/>
        </w:rPr>
        <w:t>（</w:t>
      </w:r>
      <w:r>
        <w:rPr>
          <w:rFonts w:hint="eastAsia" w:ascii="宋体" w:cs="宋体"/>
          <w:kern w:val="0"/>
          <w:sz w:val="24"/>
          <w:szCs w:val="24"/>
          <w:highlight w:val="none"/>
          <w:lang w:val="en-US" w:eastAsia="zh-CN"/>
        </w:rPr>
        <w:t>70</w:t>
      </w:r>
      <w:r>
        <w:rPr>
          <w:rFonts w:hint="eastAsia" w:ascii="宋体" w:cs="宋体"/>
          <w:kern w:val="0"/>
          <w:sz w:val="24"/>
          <w:szCs w:val="24"/>
          <w:highlight w:val="none"/>
        </w:rPr>
        <w:t>分）</w:t>
      </w:r>
    </w:p>
    <w:p>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Style w:val="28"/>
        <w:tblpPr w:leftFromText="180" w:rightFromText="180" w:vertAnchor="text" w:horzAnchor="page" w:tblpXSpec="center" w:tblpY="417"/>
        <w:tblOverlap w:val="never"/>
        <w:tblW w:w="6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925"/>
        <w:gridCol w:w="997"/>
        <w:gridCol w:w="743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271"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序号</w:t>
            </w:r>
          </w:p>
        </w:tc>
        <w:tc>
          <w:tcPr>
            <w:tcW w:w="885" w:type="pct"/>
            <w:gridSpan w:val="2"/>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评分内容</w:t>
            </w:r>
          </w:p>
        </w:tc>
        <w:tc>
          <w:tcPr>
            <w:tcW w:w="3422"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评分说明</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1" w:type="pct"/>
            <w:vMerge w:val="restart"/>
            <w:shd w:val="clear" w:color="auto" w:fill="auto"/>
            <w:vAlign w:val="center"/>
          </w:tcPr>
          <w:p>
            <w:pPr>
              <w:spacing w:line="240" w:lineRule="auto"/>
              <w:jc w:val="center"/>
              <w:rPr>
                <w:rFonts w:hint="eastAsia" w:ascii="楷体" w:hAnsi="楷体" w:eastAsia="楷体" w:cs="楷体"/>
                <w:color w:val="auto"/>
                <w:kern w:val="0"/>
                <w:sz w:val="22"/>
                <w:szCs w:val="22"/>
                <w:lang w:eastAsia="zh-CN"/>
              </w:rPr>
            </w:pPr>
            <w:r>
              <w:rPr>
                <w:rFonts w:hint="eastAsia" w:ascii="楷体" w:hAnsi="楷体" w:eastAsia="楷体" w:cs="楷体"/>
                <w:color w:val="auto"/>
                <w:kern w:val="0"/>
                <w:sz w:val="22"/>
                <w:szCs w:val="22"/>
                <w:lang w:val="en-US" w:eastAsia="zh-CN"/>
              </w:rPr>
              <w:t>1</w:t>
            </w:r>
          </w:p>
        </w:tc>
        <w:tc>
          <w:tcPr>
            <w:tcW w:w="426" w:type="pct"/>
            <w:vMerge w:val="restar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投标主要系统设计</w:t>
            </w: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系统总体设计方案</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根据投标人对总体项目的熟悉程度、需求理解、业务统筹、规划思路等综合因素分析，提供全面、详实、可行的总体设计方案，由评审专家打分。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（1）对每项内容进行了阐述且合理适用的，得5分；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（2）对每项内容进行了阐述较合理适用的，得4分；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（3）对每项内容进行了阐述但一般合理的，得3分；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（4）对每项内容进行了阐述但不太合理的，得2分；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（5）对每项内容进行了阐述但不合理的，得1分；</w:t>
            </w:r>
          </w:p>
          <w:p>
            <w:pPr>
              <w:widowControl/>
              <w:numPr>
                <w:ilvl w:val="0"/>
                <w:numId w:val="0"/>
              </w:numPr>
              <w:spacing w:line="240" w:lineRule="auto"/>
              <w:jc w:val="left"/>
              <w:rPr>
                <w:rFonts w:hint="default" w:ascii="华文宋体" w:hAnsi="华文宋体" w:eastAsia="华文宋体" w:cs="华文宋体"/>
                <w:color w:val="auto"/>
                <w:sz w:val="20"/>
                <w:szCs w:val="20"/>
                <w:highlight w:val="none"/>
                <w:lang w:val="en-US" w:eastAsia="zh-CN"/>
              </w:rPr>
            </w:pPr>
            <w:r>
              <w:rPr>
                <w:rFonts w:hint="eastAsia"/>
                <w:color w:val="auto"/>
                <w:sz w:val="20"/>
                <w:szCs w:val="20"/>
                <w:lang w:val="en-US" w:eastAsia="zh-CN"/>
              </w:rPr>
              <w:t>（6）对每项内容未进行阐述的，得0分；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271" w:type="pct"/>
            <w:vMerge w:val="continue"/>
            <w:vAlign w:val="center"/>
          </w:tcPr>
          <w:p>
            <w:pPr>
              <w:spacing w:line="240" w:lineRule="auto"/>
              <w:jc w:val="center"/>
              <w:rPr>
                <w:rFonts w:hint="eastAsia" w:ascii="楷体" w:hAnsi="楷体" w:eastAsia="楷体" w:cs="楷体"/>
                <w:color w:val="auto"/>
                <w:kern w:val="0"/>
                <w:sz w:val="22"/>
                <w:szCs w:val="22"/>
              </w:rPr>
            </w:pPr>
          </w:p>
        </w:tc>
        <w:tc>
          <w:tcPr>
            <w:tcW w:w="426" w:type="pct"/>
            <w:vMerge w:val="continue"/>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系统数据存储AR对接方案</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投标人根据本期项目数据存储扩容、AR建设需求，提供详细、全面、可靠的视频、图片数据存储设计框架、技术路线，以及满足与永康市公安局及上级的无缝对接方案，由评审专家打分。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（1）对每项内容进行了阐述且合理适用的，得5分；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（2）对每项内容进行了阐述较合理适用的，得4分；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（3）对每项内容进行了阐述但一般合理的，得3分；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（4）对每项内容进行了阐述但不太合理的，得2分；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（5）对每项内容进行了阐述但不合理的，得1分；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color w:val="auto"/>
                <w:sz w:val="20"/>
                <w:szCs w:val="20"/>
                <w:lang w:val="en-US" w:eastAsia="zh-CN"/>
              </w:rPr>
              <w:t>（6）对每项内容未进行阐述的，得0分；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271" w:type="pct"/>
            <w:vMerge w:val="continue"/>
            <w:vAlign w:val="center"/>
          </w:tcPr>
          <w:p>
            <w:pPr>
              <w:spacing w:line="240" w:lineRule="auto"/>
              <w:jc w:val="center"/>
              <w:rPr>
                <w:rFonts w:hint="eastAsia" w:ascii="楷体" w:hAnsi="楷体" w:eastAsia="楷体" w:cs="楷体"/>
                <w:color w:val="auto"/>
                <w:kern w:val="0"/>
                <w:sz w:val="22"/>
                <w:szCs w:val="22"/>
              </w:rPr>
            </w:pPr>
          </w:p>
        </w:tc>
        <w:tc>
          <w:tcPr>
            <w:tcW w:w="426" w:type="pct"/>
            <w:vMerge w:val="continue"/>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系统现状分析提升方案</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对现有道路交通现状基础、科技建设应用情况以及存在的问题，结合项目总体建设需求，提供全面、准确、可靠的道路交通现状数据分析、建设现状基础调研分析，并提出对应解决思路及应用提升措施，由评审专家打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（1）对每项内容进行了阐述且合理适用的，得5分；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（2）对每项内容进行了阐述较合理适用的，得4分；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（3）对每项内容进行了阐述但一般合理的，得3分；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（4）对每项内容进行了阐述但不太合理的，得2分；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（5）对每项内容进行了阐述但不合理的，得1分；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color w:val="auto"/>
                <w:sz w:val="20"/>
                <w:szCs w:val="20"/>
                <w:lang w:val="en-US" w:eastAsia="zh-CN"/>
              </w:rPr>
              <w:t>（6）对每项内容未进行阐述的，得0分；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71" w:type="pct"/>
            <w:vMerge w:val="continue"/>
            <w:vAlign w:val="center"/>
          </w:tcPr>
          <w:p>
            <w:pPr>
              <w:spacing w:line="240" w:lineRule="auto"/>
              <w:jc w:val="center"/>
              <w:rPr>
                <w:rFonts w:hint="eastAsia" w:ascii="楷体" w:hAnsi="楷体" w:eastAsia="楷体" w:cs="楷体"/>
                <w:color w:val="auto"/>
                <w:kern w:val="0"/>
                <w:sz w:val="22"/>
                <w:szCs w:val="22"/>
              </w:rPr>
            </w:pPr>
          </w:p>
        </w:tc>
        <w:tc>
          <w:tcPr>
            <w:tcW w:w="426" w:type="pct"/>
            <w:vMerge w:val="continue"/>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系统网络及安全设计方案</w:t>
            </w:r>
          </w:p>
        </w:tc>
        <w:tc>
          <w:tcPr>
            <w:tcW w:w="3422" w:type="pct"/>
            <w:shd w:val="clear" w:color="auto" w:fill="auto"/>
            <w:vAlign w:val="top"/>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根据投标人对现有网络基础现状、业务分布等综合因素分析，并结合本期建设需求提供详细、明确的现状分析架构。由评审专家打分。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（1）对每项内容进行了阐述且合理适用的，得3分；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（2）对每项内容进行了阐述但一般合理的，得2分；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（3）对每项内容进行了阐述但不太合理的，得1分；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color w:val="auto"/>
                <w:sz w:val="20"/>
                <w:szCs w:val="20"/>
                <w:lang w:val="en-US" w:eastAsia="zh-CN"/>
              </w:rPr>
              <w:t>（4）对每项内容未进行阐述的，得0分；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71" w:type="pct"/>
            <w:vMerge w:val="restart"/>
            <w:vAlign w:val="center"/>
          </w:tcPr>
          <w:p>
            <w:pPr>
              <w:spacing w:line="240" w:lineRule="auto"/>
              <w:ind w:firstLine="220" w:firstLineChars="100"/>
              <w:jc w:val="center"/>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w:t>
            </w:r>
          </w:p>
        </w:tc>
        <w:tc>
          <w:tcPr>
            <w:tcW w:w="426" w:type="pct"/>
            <w:vMerge w:val="restar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投标主要系统项目实施</w:t>
            </w: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操作培训和维护培训方案</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提供操作培训和维护培训及提供其他形式培训的情况，具体至培训次数、方式、内容、地点、时间、准备资料、承诺达到的效果等，根据方案的科学性、完整性、先进性、可行性，由专家打分。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（1）对每项内容进行了阐述且合理适用的，得5分；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（2）对每项内容进行了阐述较合理适用的，得4分；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（3）对每项内容进行了阐述但一般合理的，得3分；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（4）对每项内容进行了阐述但不太合理的，得2分；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（5）对每项内容进行了阐述但不合理的，得1分；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color w:val="auto"/>
                <w:sz w:val="20"/>
                <w:szCs w:val="20"/>
                <w:lang w:val="en-US" w:eastAsia="zh-CN"/>
              </w:rPr>
              <w:t>（6）对每项内容未进行阐述的，得0分；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271" w:type="pct"/>
            <w:vMerge w:val="continue"/>
            <w:vAlign w:val="center"/>
          </w:tcPr>
          <w:p>
            <w:pPr>
              <w:spacing w:line="240" w:lineRule="auto"/>
              <w:ind w:firstLine="220" w:firstLineChars="100"/>
              <w:jc w:val="center"/>
              <w:rPr>
                <w:rFonts w:hint="eastAsia" w:ascii="楷体" w:hAnsi="楷体" w:eastAsia="楷体" w:cs="楷体"/>
                <w:color w:val="auto"/>
                <w:kern w:val="0"/>
                <w:sz w:val="22"/>
                <w:szCs w:val="22"/>
                <w:lang w:val="en-US" w:eastAsia="zh-CN"/>
              </w:rPr>
            </w:pPr>
          </w:p>
        </w:tc>
        <w:tc>
          <w:tcPr>
            <w:tcW w:w="426" w:type="pct"/>
            <w:vMerge w:val="continue"/>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项目实施方案</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根据投标人提供的实施方案，包括</w:t>
            </w:r>
            <w:r>
              <w:rPr>
                <w:rFonts w:hint="default" w:ascii="Calibri" w:hAnsi="Calibri" w:eastAsia="华文宋体" w:cs="Calibri"/>
                <w:color w:val="auto"/>
                <w:sz w:val="20"/>
                <w:szCs w:val="20"/>
                <w:highlight w:val="none"/>
                <w:lang w:val="en-US" w:eastAsia="zh-CN"/>
              </w:rPr>
              <w:t>①</w:t>
            </w:r>
            <w:r>
              <w:rPr>
                <w:rFonts w:hint="eastAsia" w:ascii="华文宋体" w:hAnsi="华文宋体" w:eastAsia="华文宋体" w:cs="华文宋体"/>
                <w:color w:val="auto"/>
                <w:sz w:val="20"/>
                <w:szCs w:val="20"/>
                <w:highlight w:val="none"/>
                <w:lang w:val="en-US" w:eastAsia="zh-CN"/>
              </w:rPr>
              <w:t>供货方案、</w:t>
            </w:r>
            <w:r>
              <w:rPr>
                <w:rFonts w:hint="default" w:ascii="Calibri" w:hAnsi="Calibri" w:eastAsia="华文宋体" w:cs="Calibri"/>
                <w:color w:val="auto"/>
                <w:sz w:val="20"/>
                <w:szCs w:val="20"/>
                <w:highlight w:val="none"/>
                <w:lang w:val="en-US" w:eastAsia="zh-CN"/>
              </w:rPr>
              <w:t>②</w:t>
            </w:r>
            <w:r>
              <w:rPr>
                <w:rFonts w:hint="eastAsia" w:ascii="华文宋体" w:hAnsi="华文宋体" w:eastAsia="华文宋体" w:cs="华文宋体"/>
                <w:color w:val="auto"/>
                <w:sz w:val="20"/>
                <w:szCs w:val="20"/>
                <w:highlight w:val="none"/>
                <w:lang w:val="en-US" w:eastAsia="zh-CN"/>
              </w:rPr>
              <w:t>安装、调试、验收方案、</w:t>
            </w:r>
            <w:r>
              <w:rPr>
                <w:rFonts w:hint="default" w:ascii="Calibri" w:hAnsi="Calibri" w:eastAsia="华文宋体" w:cs="Calibri"/>
                <w:color w:val="auto"/>
                <w:sz w:val="20"/>
                <w:szCs w:val="20"/>
                <w:highlight w:val="none"/>
                <w:lang w:val="en-US" w:eastAsia="zh-CN"/>
              </w:rPr>
              <w:t>③</w:t>
            </w:r>
            <w:r>
              <w:rPr>
                <w:rFonts w:hint="eastAsia" w:ascii="Calibri" w:hAnsi="Calibri" w:eastAsia="华文宋体" w:cs="Calibri"/>
                <w:color w:val="auto"/>
                <w:sz w:val="20"/>
                <w:szCs w:val="20"/>
                <w:highlight w:val="none"/>
                <w:lang w:val="en-US" w:eastAsia="zh-CN"/>
              </w:rPr>
              <w:t>施工保障</w:t>
            </w:r>
            <w:r>
              <w:rPr>
                <w:rFonts w:hint="eastAsia" w:ascii="华文宋体" w:hAnsi="华文宋体" w:eastAsia="华文宋体" w:cs="华文宋体"/>
                <w:color w:val="auto"/>
                <w:sz w:val="20"/>
                <w:szCs w:val="20"/>
                <w:highlight w:val="none"/>
                <w:lang w:val="en-US" w:eastAsia="zh-CN"/>
              </w:rPr>
              <w:t>措施</w:t>
            </w:r>
            <w:r>
              <w:rPr>
                <w:rFonts w:hint="eastAsia" w:ascii="微软雅黑" w:hAnsi="微软雅黑" w:eastAsia="微软雅黑" w:cs="微软雅黑"/>
                <w:color w:val="auto"/>
                <w:sz w:val="20"/>
                <w:szCs w:val="20"/>
                <w:highlight w:val="none"/>
                <w:lang w:val="en-US" w:eastAsia="zh-CN"/>
              </w:rPr>
              <w:t>④</w:t>
            </w:r>
            <w:r>
              <w:rPr>
                <w:rFonts w:hint="eastAsia" w:ascii="华文宋体" w:hAnsi="华文宋体" w:eastAsia="华文宋体" w:cs="华文宋体"/>
                <w:color w:val="auto"/>
                <w:sz w:val="20"/>
                <w:szCs w:val="20"/>
                <w:highlight w:val="none"/>
                <w:lang w:val="en-US" w:eastAsia="zh-CN"/>
              </w:rPr>
              <w:t>重难点解决方案等由专家综合评分。（每项2分，满分8分）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（1）对每项内容进行了阐述且合理适用的，得2分；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（2）对每项内容进行了阐述但一般合理的，得1分；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color w:val="auto"/>
                <w:sz w:val="20"/>
                <w:szCs w:val="20"/>
                <w:lang w:val="en-US" w:eastAsia="zh-CN"/>
              </w:rPr>
              <w:t>（3）对每项内容未进行阐述或阐述不合理的，得0分；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271" w:type="pct"/>
            <w:vMerge w:val="continue"/>
            <w:vAlign w:val="center"/>
          </w:tcPr>
          <w:p>
            <w:pPr>
              <w:spacing w:line="240" w:lineRule="auto"/>
              <w:jc w:val="center"/>
              <w:rPr>
                <w:rFonts w:hint="eastAsia" w:ascii="楷体" w:hAnsi="楷体" w:eastAsia="楷体" w:cs="楷体"/>
                <w:color w:val="auto"/>
                <w:kern w:val="0"/>
                <w:sz w:val="22"/>
                <w:szCs w:val="22"/>
              </w:rPr>
            </w:pPr>
          </w:p>
        </w:tc>
        <w:tc>
          <w:tcPr>
            <w:tcW w:w="426" w:type="pct"/>
            <w:vMerge w:val="continue"/>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p>
        </w:tc>
        <w:tc>
          <w:tcPr>
            <w:tcW w:w="458" w:type="pct"/>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进度规划的合理性</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根据投标人对本项目实施计划的合理性和可行性（须详细列出施工的进度安排表），由专家打分。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（1）对每项内容进行了阐述且合理适用的，得5分；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（2）对每项内容进行了阐述较合理适用的，得4分；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（3）对每项内容进行了阐述但一般合理的，得3分；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（4）对每项内容进行了阐述但不太合理的，得2分；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（5）对每项内容进行了阐述但不合理的，得1分；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color w:val="auto"/>
                <w:sz w:val="20"/>
                <w:szCs w:val="20"/>
                <w:lang w:val="en-US" w:eastAsia="zh-CN"/>
              </w:rPr>
              <w:t>（6）对每项内容未进行阐述的，得0分；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271" w:type="pct"/>
            <w:vAlign w:val="center"/>
          </w:tcPr>
          <w:p>
            <w:pPr>
              <w:spacing w:line="240" w:lineRule="auto"/>
              <w:jc w:val="center"/>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w:t>
            </w:r>
          </w:p>
        </w:tc>
        <w:tc>
          <w:tcPr>
            <w:tcW w:w="426" w:type="pct"/>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投标系统所有设备技术参数及功能</w:t>
            </w:r>
          </w:p>
        </w:tc>
        <w:tc>
          <w:tcPr>
            <w:tcW w:w="458" w:type="pct"/>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设备技术参数及功能要求</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对招标系统技术参数、功能要求、建设要求等进行比较打分，完全满足招标文件要求的得13分，带“★”核心参数不满足每一项负偏离扣2分，不带“★”参数不满足每一项负偏离扣0.5分，扣完为止（招标文件中要求提供相关权威机构产品认证、检测报告或其他证明材料的，需提供相关证明材料复印件并加盖投标单位电子签章，未能按照招标文件要求提供相关证明材料的作负偏离处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271" w:type="pct"/>
            <w:vMerge w:val="restart"/>
            <w:shd w:val="clear" w:color="auto" w:fill="auto"/>
            <w:vAlign w:val="center"/>
          </w:tcPr>
          <w:p>
            <w:pPr>
              <w:spacing w:line="240" w:lineRule="auto"/>
              <w:jc w:val="center"/>
              <w:rPr>
                <w:rFonts w:hint="eastAsia" w:ascii="楷体" w:hAnsi="楷体" w:eastAsia="楷体" w:cs="楷体"/>
                <w:color w:val="auto"/>
                <w:kern w:val="0"/>
                <w:sz w:val="22"/>
                <w:szCs w:val="22"/>
                <w:lang w:eastAsia="zh-CN"/>
              </w:rPr>
            </w:pPr>
            <w:r>
              <w:rPr>
                <w:rFonts w:hint="eastAsia" w:ascii="楷体" w:hAnsi="楷体" w:eastAsia="楷体" w:cs="楷体"/>
                <w:color w:val="auto"/>
                <w:kern w:val="0"/>
                <w:sz w:val="22"/>
                <w:szCs w:val="22"/>
                <w:lang w:val="en-US" w:eastAsia="zh-CN"/>
              </w:rPr>
              <w:t>4</w:t>
            </w:r>
          </w:p>
        </w:tc>
        <w:tc>
          <w:tcPr>
            <w:tcW w:w="426" w:type="pct"/>
            <w:vMerge w:val="restar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项目团队配备</w:t>
            </w: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项目经理</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项目经理具备机电工程专业二级建造师及以上/信息系统项目管理师/系统集成项目管理工程师之一的得2分。</w:t>
            </w:r>
            <w:r>
              <w:rPr>
                <w:rFonts w:hint="eastAsia" w:ascii="华文宋体" w:hAnsi="华文宋体" w:eastAsia="华文宋体" w:cs="华文宋体"/>
                <w:color w:val="auto"/>
                <w:sz w:val="20"/>
                <w:szCs w:val="20"/>
                <w:highlight w:val="none"/>
                <w:lang w:val="en-US" w:eastAsia="zh-CN"/>
              </w:rPr>
              <w:br w:type="textWrapping"/>
            </w:r>
            <w:r>
              <w:rPr>
                <w:rFonts w:hint="eastAsia" w:ascii="华文宋体" w:hAnsi="华文宋体" w:eastAsia="华文宋体" w:cs="华文宋体"/>
                <w:color w:val="auto"/>
                <w:sz w:val="20"/>
                <w:szCs w:val="20"/>
                <w:highlight w:val="none"/>
                <w:lang w:val="en-US" w:eastAsia="zh-CN"/>
              </w:rPr>
              <w:t>注：需在商务技术响应文件中提供人员相关证书扫描件，以开标截止时间前连续3个月在投标单位缴纳的完整社保缴纳清单扫描件并加盖投标人电子签章。如中标单位新成立不足3个月的，按实际缴纳情况提供相关人员在该单位的社保缴费清单。</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271" w:type="pct"/>
            <w:vMerge w:val="continue"/>
            <w:vAlign w:val="center"/>
          </w:tcPr>
          <w:p>
            <w:pPr>
              <w:spacing w:line="240" w:lineRule="auto"/>
              <w:jc w:val="center"/>
              <w:rPr>
                <w:rFonts w:hint="eastAsia" w:ascii="楷体" w:hAnsi="楷体" w:eastAsia="楷体" w:cs="楷体"/>
                <w:color w:val="auto"/>
                <w:kern w:val="0"/>
                <w:sz w:val="22"/>
                <w:szCs w:val="22"/>
              </w:rPr>
            </w:pPr>
          </w:p>
        </w:tc>
        <w:tc>
          <w:tcPr>
            <w:tcW w:w="426" w:type="pct"/>
            <w:vMerge w:val="continue"/>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p>
        </w:tc>
        <w:tc>
          <w:tcPr>
            <w:tcW w:w="458" w:type="pct"/>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实施成员</w:t>
            </w:r>
          </w:p>
        </w:tc>
        <w:tc>
          <w:tcPr>
            <w:tcW w:w="3422" w:type="pct"/>
            <w:shd w:val="clear" w:color="auto" w:fill="auto"/>
            <w:vAlign w:val="center"/>
          </w:tcPr>
          <w:p>
            <w:pPr>
              <w:widowControl/>
              <w:numPr>
                <w:ilvl w:val="0"/>
                <w:numId w:val="0"/>
              </w:numPr>
              <w:spacing w:line="240" w:lineRule="auto"/>
              <w:jc w:val="left"/>
              <w:rPr>
                <w:rFonts w:hint="eastAsia" w:ascii="宋体" w:cs="宋体"/>
                <w:color w:val="auto"/>
                <w:kern w:val="0"/>
                <w:sz w:val="20"/>
                <w:szCs w:val="20"/>
                <w:lang w:eastAsia="zh-CN"/>
              </w:rPr>
            </w:pPr>
            <w:r>
              <w:rPr>
                <w:rFonts w:hint="eastAsia" w:ascii="宋体" w:cs="宋体"/>
                <w:color w:val="auto"/>
                <w:kern w:val="0"/>
                <w:sz w:val="20"/>
                <w:szCs w:val="20"/>
              </w:rPr>
              <w:t>项目</w:t>
            </w:r>
            <w:r>
              <w:rPr>
                <w:rFonts w:hint="eastAsia" w:ascii="宋体" w:cs="宋体"/>
                <w:color w:val="auto"/>
                <w:kern w:val="0"/>
                <w:sz w:val="20"/>
                <w:szCs w:val="20"/>
                <w:lang w:val="en-US" w:eastAsia="zh-CN"/>
              </w:rPr>
              <w:t>实施</w:t>
            </w:r>
            <w:r>
              <w:rPr>
                <w:rFonts w:hint="eastAsia" w:ascii="宋体" w:cs="宋体"/>
                <w:color w:val="auto"/>
                <w:kern w:val="0"/>
                <w:sz w:val="20"/>
                <w:szCs w:val="20"/>
              </w:rPr>
              <w:t>团队</w:t>
            </w:r>
            <w:r>
              <w:rPr>
                <w:rFonts w:hint="eastAsia" w:ascii="宋体" w:cs="宋体"/>
                <w:color w:val="auto"/>
                <w:kern w:val="0"/>
                <w:sz w:val="20"/>
                <w:szCs w:val="20"/>
                <w:lang w:val="en-US" w:eastAsia="zh-CN"/>
              </w:rPr>
              <w:t>中相关需求专业</w:t>
            </w:r>
            <w:r>
              <w:rPr>
                <w:rFonts w:hint="eastAsia" w:ascii="宋体" w:cs="宋体"/>
                <w:color w:val="auto"/>
                <w:kern w:val="0"/>
                <w:sz w:val="20"/>
                <w:szCs w:val="20"/>
              </w:rPr>
              <w:t>人员配备齐全，实施团队</w:t>
            </w:r>
            <w:r>
              <w:rPr>
                <w:rFonts w:hint="eastAsia" w:ascii="宋体" w:cs="宋体"/>
                <w:color w:val="auto"/>
                <w:kern w:val="0"/>
                <w:sz w:val="20"/>
                <w:szCs w:val="20"/>
                <w:lang w:val="en-US" w:eastAsia="zh-CN"/>
              </w:rPr>
              <w:t>5</w:t>
            </w:r>
            <w:r>
              <w:rPr>
                <w:rFonts w:hint="eastAsia" w:ascii="宋体" w:cs="宋体"/>
                <w:color w:val="auto"/>
                <w:kern w:val="0"/>
                <w:sz w:val="20"/>
                <w:szCs w:val="20"/>
              </w:rPr>
              <w:t>人</w:t>
            </w:r>
            <w:r>
              <w:rPr>
                <w:rFonts w:hint="eastAsia" w:ascii="宋体" w:cs="宋体"/>
                <w:color w:val="auto"/>
                <w:kern w:val="0"/>
                <w:sz w:val="20"/>
                <w:szCs w:val="20"/>
                <w:lang w:val="en-US" w:eastAsia="zh-CN"/>
              </w:rPr>
              <w:t>及</w:t>
            </w:r>
            <w:r>
              <w:rPr>
                <w:rFonts w:hint="eastAsia" w:ascii="宋体" w:cs="宋体"/>
                <w:color w:val="auto"/>
                <w:kern w:val="0"/>
                <w:sz w:val="20"/>
                <w:szCs w:val="20"/>
              </w:rPr>
              <w:t>以上，其中工程师≥</w:t>
            </w:r>
            <w:r>
              <w:rPr>
                <w:rFonts w:hint="eastAsia" w:ascii="宋体" w:cs="宋体"/>
                <w:color w:val="auto"/>
                <w:kern w:val="0"/>
                <w:sz w:val="20"/>
                <w:szCs w:val="20"/>
                <w:lang w:val="en-US" w:eastAsia="zh-CN"/>
              </w:rPr>
              <w:t>2</w:t>
            </w:r>
            <w:r>
              <w:rPr>
                <w:rFonts w:hint="eastAsia" w:ascii="宋体" w:cs="宋体"/>
                <w:color w:val="auto"/>
                <w:kern w:val="0"/>
                <w:sz w:val="20"/>
                <w:szCs w:val="20"/>
              </w:rPr>
              <w:t>人，高级工程师≥</w:t>
            </w:r>
            <w:r>
              <w:rPr>
                <w:rFonts w:hint="eastAsia" w:ascii="宋体" w:cs="宋体"/>
                <w:color w:val="auto"/>
                <w:kern w:val="0"/>
                <w:sz w:val="20"/>
                <w:szCs w:val="20"/>
                <w:lang w:val="en-US" w:eastAsia="zh-CN"/>
              </w:rPr>
              <w:t>3</w:t>
            </w:r>
            <w:r>
              <w:rPr>
                <w:rFonts w:hint="eastAsia" w:ascii="宋体" w:cs="宋体"/>
                <w:color w:val="auto"/>
                <w:kern w:val="0"/>
                <w:sz w:val="20"/>
                <w:szCs w:val="20"/>
              </w:rPr>
              <w:t>人，得</w:t>
            </w:r>
            <w:r>
              <w:rPr>
                <w:rFonts w:hint="eastAsia" w:ascii="宋体" w:cs="宋体"/>
                <w:color w:val="auto"/>
                <w:kern w:val="0"/>
                <w:sz w:val="20"/>
                <w:szCs w:val="20"/>
                <w:lang w:val="en-US" w:eastAsia="zh-CN"/>
              </w:rPr>
              <w:t>3</w:t>
            </w:r>
            <w:r>
              <w:rPr>
                <w:rFonts w:hint="eastAsia" w:ascii="宋体" w:cs="宋体"/>
                <w:color w:val="auto"/>
                <w:kern w:val="0"/>
                <w:sz w:val="20"/>
                <w:szCs w:val="20"/>
              </w:rPr>
              <w:t>分</w:t>
            </w:r>
            <w:r>
              <w:rPr>
                <w:rFonts w:hint="eastAsia" w:ascii="宋体" w:cs="宋体"/>
                <w:color w:val="auto"/>
                <w:kern w:val="0"/>
                <w:sz w:val="20"/>
                <w:szCs w:val="20"/>
                <w:lang w:eastAsia="zh-CN"/>
              </w:rPr>
              <w:t>；</w:t>
            </w:r>
          </w:p>
          <w:p>
            <w:pPr>
              <w:widowControl/>
              <w:numPr>
                <w:ilvl w:val="0"/>
                <w:numId w:val="0"/>
              </w:numPr>
              <w:spacing w:line="240" w:lineRule="auto"/>
              <w:jc w:val="left"/>
              <w:rPr>
                <w:rFonts w:hint="eastAsia" w:ascii="宋体" w:cs="宋体"/>
                <w:color w:val="auto"/>
                <w:kern w:val="0"/>
                <w:sz w:val="20"/>
                <w:szCs w:val="20"/>
                <w:lang w:eastAsia="zh-CN"/>
              </w:rPr>
            </w:pPr>
            <w:r>
              <w:rPr>
                <w:rFonts w:hint="eastAsia" w:ascii="宋体" w:cs="宋体"/>
                <w:color w:val="auto"/>
                <w:kern w:val="0"/>
                <w:sz w:val="20"/>
                <w:szCs w:val="20"/>
              </w:rPr>
              <w:t>项目</w:t>
            </w:r>
            <w:r>
              <w:rPr>
                <w:rFonts w:hint="eastAsia" w:ascii="宋体" w:cs="宋体"/>
                <w:color w:val="auto"/>
                <w:kern w:val="0"/>
                <w:sz w:val="20"/>
                <w:szCs w:val="20"/>
                <w:lang w:val="en-US" w:eastAsia="zh-CN"/>
              </w:rPr>
              <w:t>实施</w:t>
            </w:r>
            <w:r>
              <w:rPr>
                <w:rFonts w:hint="eastAsia" w:ascii="宋体" w:cs="宋体"/>
                <w:color w:val="auto"/>
                <w:kern w:val="0"/>
                <w:sz w:val="20"/>
                <w:szCs w:val="20"/>
              </w:rPr>
              <w:t>团队</w:t>
            </w:r>
            <w:r>
              <w:rPr>
                <w:rFonts w:hint="eastAsia" w:ascii="宋体" w:cs="宋体"/>
                <w:color w:val="auto"/>
                <w:kern w:val="0"/>
                <w:sz w:val="20"/>
                <w:szCs w:val="20"/>
                <w:lang w:val="en-US" w:eastAsia="zh-CN"/>
              </w:rPr>
              <w:t>中</w:t>
            </w:r>
            <w:r>
              <w:rPr>
                <w:rFonts w:hint="eastAsia" w:ascii="华文宋体" w:hAnsi="华文宋体" w:eastAsia="华文宋体" w:cs="华文宋体"/>
                <w:color w:val="auto"/>
                <w:sz w:val="20"/>
                <w:szCs w:val="20"/>
                <w:highlight w:val="none"/>
                <w:lang w:val="en-US" w:eastAsia="zh-CN"/>
              </w:rPr>
              <w:t>相关需求专业人员</w:t>
            </w:r>
            <w:r>
              <w:rPr>
                <w:rFonts w:hint="eastAsia" w:ascii="宋体" w:cs="宋体"/>
                <w:color w:val="auto"/>
                <w:kern w:val="0"/>
                <w:sz w:val="20"/>
                <w:szCs w:val="20"/>
              </w:rPr>
              <w:t>配备齐全</w:t>
            </w:r>
            <w:r>
              <w:rPr>
                <w:rFonts w:hint="eastAsia" w:ascii="宋体" w:cs="宋体"/>
                <w:color w:val="auto"/>
                <w:kern w:val="0"/>
                <w:sz w:val="20"/>
                <w:szCs w:val="20"/>
                <w:lang w:eastAsia="zh-CN"/>
              </w:rPr>
              <w:t>，</w:t>
            </w:r>
            <w:r>
              <w:rPr>
                <w:rFonts w:hint="eastAsia" w:ascii="宋体" w:cs="宋体"/>
                <w:color w:val="auto"/>
                <w:kern w:val="0"/>
                <w:sz w:val="20"/>
                <w:szCs w:val="20"/>
              </w:rPr>
              <w:t>实施团队</w:t>
            </w:r>
            <w:r>
              <w:rPr>
                <w:rFonts w:hint="eastAsia" w:ascii="宋体" w:cs="宋体"/>
                <w:color w:val="auto"/>
                <w:kern w:val="0"/>
                <w:sz w:val="20"/>
                <w:szCs w:val="20"/>
                <w:lang w:val="en-US" w:eastAsia="zh-CN"/>
              </w:rPr>
              <w:t>4人</w:t>
            </w:r>
            <w:r>
              <w:rPr>
                <w:rFonts w:hint="eastAsia" w:ascii="宋体" w:cs="宋体"/>
                <w:color w:val="auto"/>
                <w:kern w:val="0"/>
                <w:sz w:val="20"/>
                <w:szCs w:val="20"/>
              </w:rPr>
              <w:t>，其中工程师≥</w:t>
            </w:r>
            <w:r>
              <w:rPr>
                <w:rFonts w:hint="eastAsia" w:ascii="宋体" w:cs="宋体"/>
                <w:color w:val="auto"/>
                <w:kern w:val="0"/>
                <w:sz w:val="20"/>
                <w:szCs w:val="20"/>
                <w:lang w:val="en-US" w:eastAsia="zh-CN"/>
              </w:rPr>
              <w:t>1</w:t>
            </w:r>
            <w:r>
              <w:rPr>
                <w:rFonts w:hint="eastAsia" w:ascii="宋体" w:cs="宋体"/>
                <w:color w:val="auto"/>
                <w:kern w:val="0"/>
                <w:sz w:val="20"/>
                <w:szCs w:val="20"/>
              </w:rPr>
              <w:t>人，高级工程师≥2人，得</w:t>
            </w:r>
            <w:r>
              <w:rPr>
                <w:rFonts w:hint="eastAsia" w:ascii="宋体" w:cs="宋体"/>
                <w:color w:val="auto"/>
                <w:kern w:val="0"/>
                <w:sz w:val="20"/>
                <w:szCs w:val="20"/>
                <w:lang w:val="en-US" w:eastAsia="zh-CN"/>
              </w:rPr>
              <w:t>2</w:t>
            </w:r>
            <w:r>
              <w:rPr>
                <w:rFonts w:hint="eastAsia" w:ascii="宋体" w:cs="宋体"/>
                <w:color w:val="auto"/>
                <w:kern w:val="0"/>
                <w:sz w:val="20"/>
                <w:szCs w:val="20"/>
              </w:rPr>
              <w:t>分</w:t>
            </w:r>
            <w:r>
              <w:rPr>
                <w:rFonts w:hint="eastAsia" w:ascii="宋体" w:cs="宋体"/>
                <w:color w:val="auto"/>
                <w:kern w:val="0"/>
                <w:sz w:val="20"/>
                <w:szCs w:val="20"/>
                <w:lang w:eastAsia="zh-CN"/>
              </w:rPr>
              <w:t>；</w:t>
            </w:r>
          </w:p>
          <w:p>
            <w:pPr>
              <w:widowControl/>
              <w:numPr>
                <w:ilvl w:val="0"/>
                <w:numId w:val="0"/>
              </w:numPr>
              <w:spacing w:line="240" w:lineRule="auto"/>
              <w:jc w:val="left"/>
              <w:rPr>
                <w:rFonts w:hint="eastAsia" w:ascii="宋体" w:cs="宋体"/>
                <w:color w:val="auto"/>
                <w:kern w:val="0"/>
                <w:sz w:val="20"/>
                <w:szCs w:val="20"/>
              </w:rPr>
            </w:pPr>
            <w:r>
              <w:rPr>
                <w:rFonts w:hint="eastAsia" w:ascii="华文宋体" w:hAnsi="华文宋体" w:eastAsia="华文宋体" w:cs="华文宋体"/>
                <w:color w:val="auto"/>
                <w:sz w:val="20"/>
                <w:szCs w:val="20"/>
                <w:highlight w:val="none"/>
                <w:lang w:val="en-US" w:eastAsia="zh-CN"/>
              </w:rPr>
              <w:t>项目实施团队中相关需求专业人员</w:t>
            </w:r>
            <w:r>
              <w:rPr>
                <w:rFonts w:hint="eastAsia" w:ascii="宋体" w:cs="宋体"/>
                <w:color w:val="auto"/>
                <w:kern w:val="0"/>
                <w:sz w:val="20"/>
                <w:szCs w:val="20"/>
              </w:rPr>
              <w:t>配备齐全，实施团队</w:t>
            </w:r>
            <w:r>
              <w:rPr>
                <w:rFonts w:hint="eastAsia" w:ascii="宋体" w:cs="宋体"/>
                <w:color w:val="auto"/>
                <w:kern w:val="0"/>
                <w:sz w:val="20"/>
                <w:szCs w:val="20"/>
                <w:lang w:val="en-US" w:eastAsia="zh-CN"/>
              </w:rPr>
              <w:t>3人</w:t>
            </w:r>
            <w:r>
              <w:rPr>
                <w:rFonts w:hint="eastAsia" w:ascii="宋体" w:cs="宋体"/>
                <w:color w:val="auto"/>
                <w:kern w:val="0"/>
                <w:sz w:val="20"/>
                <w:szCs w:val="20"/>
              </w:rPr>
              <w:t>，其中工程师≥</w:t>
            </w:r>
            <w:r>
              <w:rPr>
                <w:rFonts w:hint="eastAsia" w:ascii="宋体" w:cs="宋体"/>
                <w:color w:val="auto"/>
                <w:kern w:val="0"/>
                <w:sz w:val="20"/>
                <w:szCs w:val="20"/>
                <w:lang w:val="en-US" w:eastAsia="zh-CN"/>
              </w:rPr>
              <w:t>1</w:t>
            </w:r>
            <w:r>
              <w:rPr>
                <w:rFonts w:hint="eastAsia" w:ascii="宋体" w:cs="宋体"/>
                <w:color w:val="auto"/>
                <w:kern w:val="0"/>
                <w:sz w:val="20"/>
                <w:szCs w:val="20"/>
              </w:rPr>
              <w:t>人，高级工程师1人，得</w:t>
            </w:r>
            <w:r>
              <w:rPr>
                <w:rFonts w:hint="eastAsia" w:ascii="宋体" w:cs="宋体"/>
                <w:color w:val="auto"/>
                <w:kern w:val="0"/>
                <w:sz w:val="20"/>
                <w:szCs w:val="20"/>
                <w:lang w:val="en-US" w:eastAsia="zh-CN"/>
              </w:rPr>
              <w:t>1</w:t>
            </w:r>
            <w:r>
              <w:rPr>
                <w:rFonts w:hint="eastAsia" w:ascii="宋体" w:cs="宋体"/>
                <w:color w:val="auto"/>
                <w:kern w:val="0"/>
                <w:sz w:val="20"/>
                <w:szCs w:val="20"/>
              </w:rPr>
              <w:t>分；</w:t>
            </w:r>
          </w:p>
          <w:p>
            <w:pPr>
              <w:pStyle w:val="2"/>
              <w:rPr>
                <w:rFonts w:hint="default" w:eastAsiaTheme="minorEastAsia"/>
                <w:color w:val="auto"/>
                <w:sz w:val="20"/>
                <w:szCs w:val="20"/>
                <w:lang w:val="en-US" w:eastAsia="zh-CN"/>
              </w:rPr>
            </w:pPr>
            <w:r>
              <w:rPr>
                <w:rFonts w:hint="eastAsia" w:ascii="华文宋体" w:hAnsi="华文宋体" w:eastAsia="华文宋体" w:cs="华文宋体"/>
                <w:color w:val="auto"/>
                <w:sz w:val="20"/>
                <w:szCs w:val="20"/>
                <w:highlight w:val="none"/>
                <w:lang w:val="en-US" w:eastAsia="zh-CN"/>
              </w:rPr>
              <w:t>项目实施团队中相关需求专业人员</w:t>
            </w:r>
            <w:r>
              <w:rPr>
                <w:rFonts w:hint="eastAsia" w:ascii="宋体" w:cs="宋体"/>
                <w:color w:val="auto"/>
                <w:kern w:val="0"/>
                <w:sz w:val="20"/>
                <w:szCs w:val="20"/>
              </w:rPr>
              <w:t>配备</w:t>
            </w:r>
            <w:r>
              <w:rPr>
                <w:rFonts w:hint="eastAsia" w:ascii="宋体" w:cs="宋体"/>
                <w:color w:val="auto"/>
                <w:kern w:val="0"/>
                <w:sz w:val="20"/>
                <w:szCs w:val="20"/>
                <w:lang w:val="en-US" w:eastAsia="zh-CN"/>
              </w:rPr>
              <w:t>不</w:t>
            </w:r>
            <w:r>
              <w:rPr>
                <w:rFonts w:hint="eastAsia" w:ascii="宋体" w:cs="宋体"/>
                <w:color w:val="auto"/>
                <w:kern w:val="0"/>
                <w:sz w:val="20"/>
                <w:szCs w:val="20"/>
              </w:rPr>
              <w:t>齐全</w:t>
            </w:r>
            <w:r>
              <w:rPr>
                <w:rFonts w:hint="eastAsia" w:ascii="宋体" w:cs="宋体"/>
                <w:color w:val="auto"/>
                <w:kern w:val="0"/>
                <w:sz w:val="20"/>
                <w:szCs w:val="20"/>
                <w:lang w:val="en-US" w:eastAsia="zh-CN"/>
              </w:rPr>
              <w:t>的，得0分。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注：需在商务技术响应文件中提供人员相关证书扫描件，以开标截止时间前连续3个月在投标单位缴纳的完整社保缴纳清单扫描件并加盖投标人电子签章。如中标单位新成立不足3个月的，按实际缴纳情况提供相关人员在该单位的社保缴费清单。</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71" w:type="pct"/>
            <w:vMerge w:val="restart"/>
            <w:shd w:val="clear" w:color="auto" w:fill="auto"/>
            <w:vAlign w:val="center"/>
          </w:tcPr>
          <w:p>
            <w:pPr>
              <w:spacing w:line="240" w:lineRule="auto"/>
              <w:jc w:val="center"/>
              <w:rPr>
                <w:rFonts w:hint="eastAsia" w:ascii="楷体" w:hAnsi="楷体" w:eastAsia="楷体" w:cs="楷体"/>
                <w:color w:val="auto"/>
                <w:kern w:val="0"/>
                <w:sz w:val="22"/>
                <w:szCs w:val="22"/>
                <w:lang w:eastAsia="zh-CN"/>
              </w:rPr>
            </w:pPr>
            <w:r>
              <w:rPr>
                <w:rFonts w:hint="eastAsia" w:ascii="楷体" w:hAnsi="楷体" w:eastAsia="楷体" w:cs="楷体"/>
                <w:color w:val="auto"/>
                <w:kern w:val="0"/>
                <w:sz w:val="22"/>
                <w:szCs w:val="22"/>
                <w:lang w:val="en-US" w:eastAsia="zh-CN"/>
              </w:rPr>
              <w:t>5</w:t>
            </w:r>
          </w:p>
        </w:tc>
        <w:tc>
          <w:tcPr>
            <w:tcW w:w="426" w:type="pct"/>
            <w:vMerge w:val="restar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投标人综合实力</w:t>
            </w: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履约能力和荣誉</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根据投标人企业整体经营状况、荣誉、信息业务相关认证等方面。</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（1）对每项内容进行了阐述且合理适用的，得3分；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（2）对每项内容进行了阐述但一般合理的，得2分；</w:t>
            </w:r>
          </w:p>
          <w:p>
            <w:pPr>
              <w:pStyle w:val="2"/>
              <w:rPr>
                <w:rFonts w:hint="eastAsia"/>
                <w:color w:val="auto"/>
                <w:sz w:val="20"/>
                <w:szCs w:val="20"/>
                <w:lang w:val="en-US" w:eastAsia="zh-CN"/>
              </w:rPr>
            </w:pPr>
            <w:r>
              <w:rPr>
                <w:rFonts w:hint="eastAsia" w:ascii="华文宋体" w:hAnsi="华文宋体" w:eastAsia="华文宋体" w:cs="华文宋体"/>
                <w:color w:val="auto"/>
                <w:sz w:val="20"/>
                <w:szCs w:val="20"/>
                <w:highlight w:val="none"/>
                <w:lang w:val="en-US" w:eastAsia="zh-CN"/>
              </w:rPr>
              <w:t>（3）对每项内容进行了阐述但不太合理的，得1分；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（4）对每项内容未进行阐述或阐述不太合理的，得0分；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注：需在投标文件中提供相关资质证书等相关材料扫描件加盖投标人电子签章，不提供不得分。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71" w:type="pct"/>
            <w:vMerge w:val="continue"/>
            <w:shd w:val="clear" w:color="auto" w:fill="auto"/>
            <w:vAlign w:val="center"/>
          </w:tcPr>
          <w:p>
            <w:pPr>
              <w:spacing w:line="240" w:lineRule="auto"/>
              <w:jc w:val="center"/>
              <w:rPr>
                <w:rFonts w:hint="eastAsia" w:ascii="楷体" w:hAnsi="楷体" w:eastAsia="楷体" w:cs="楷体"/>
                <w:color w:val="auto"/>
                <w:kern w:val="0"/>
                <w:sz w:val="22"/>
                <w:szCs w:val="22"/>
                <w:lang w:val="en-US" w:eastAsia="zh-CN"/>
              </w:rPr>
            </w:pPr>
          </w:p>
        </w:tc>
        <w:tc>
          <w:tcPr>
            <w:tcW w:w="426" w:type="pct"/>
            <w:vMerge w:val="continue"/>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投标人业绩案例</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提供的近三年（2019年1月1日起至本项目投标截止时间）对业绩情况与本项目采购需求的匹配程度、业绩数量、验收报告等方面进行综合打分。每提供一份匹配程度高的业绩得1分，最多得3分（提供合同及中标通知书复印件，业绩对应的验收报告和发票）。（对省级以上主管部门认定的首台套产品，自纳入《省推广应用指导目录》起三年内参加政府采购活动的，视同已具备相应销售业绩，业绩分为满分）。未提供发票的业绩不得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271" w:type="pct"/>
            <w:vMerge w:val="restart"/>
            <w:shd w:val="clear" w:color="auto" w:fill="auto"/>
            <w:vAlign w:val="center"/>
          </w:tcPr>
          <w:p>
            <w:pPr>
              <w:spacing w:line="240" w:lineRule="auto"/>
              <w:jc w:val="center"/>
              <w:rPr>
                <w:rFonts w:hint="eastAsia" w:ascii="楷体" w:hAnsi="楷体" w:eastAsia="楷体" w:cs="楷体"/>
                <w:color w:val="auto"/>
                <w:kern w:val="0"/>
                <w:sz w:val="22"/>
                <w:szCs w:val="22"/>
                <w:lang w:eastAsia="zh-CN"/>
              </w:rPr>
            </w:pPr>
            <w:r>
              <w:rPr>
                <w:rFonts w:hint="eastAsia" w:ascii="楷体" w:hAnsi="楷体" w:eastAsia="楷体" w:cs="楷体"/>
                <w:color w:val="auto"/>
                <w:kern w:val="0"/>
                <w:sz w:val="22"/>
                <w:szCs w:val="22"/>
                <w:lang w:val="en-US" w:eastAsia="zh-CN"/>
              </w:rPr>
              <w:t>6</w:t>
            </w:r>
          </w:p>
        </w:tc>
        <w:tc>
          <w:tcPr>
            <w:tcW w:w="426" w:type="pct"/>
            <w:vMerge w:val="restar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售后服务团队配备及综合能力</w:t>
            </w: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售后服务要求</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根据投标人的售后服务能力，服务措施方案是否合理，是否具有全面的应急服务能力措施的情况，由专家打分。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（1）对每项内容进行了阐述且合理适用的，得5分；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（2）对每项内容进行了阐述较合理适用的，得4分；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（3）对每项内容进行了阐述但一般合理的，得3分；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（4）对每项内容进行了阐述但不太合理的，得2分；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（5）对每项内容进行了阐述但不合理的，得1分；</w:t>
            </w:r>
          </w:p>
          <w:p>
            <w:pPr>
              <w:widowControl/>
              <w:numPr>
                <w:ilvl w:val="0"/>
                <w:numId w:val="0"/>
              </w:numPr>
              <w:spacing w:line="240" w:lineRule="auto"/>
              <w:jc w:val="left"/>
              <w:rPr>
                <w:rFonts w:hint="eastAsia"/>
                <w:color w:val="auto"/>
                <w:sz w:val="20"/>
                <w:szCs w:val="20"/>
                <w:lang w:val="en-US" w:eastAsia="zh-CN"/>
              </w:rPr>
            </w:pPr>
            <w:r>
              <w:rPr>
                <w:rFonts w:hint="eastAsia"/>
                <w:color w:val="auto"/>
                <w:sz w:val="20"/>
                <w:szCs w:val="20"/>
                <w:lang w:val="en-US" w:eastAsia="zh-CN"/>
              </w:rPr>
              <w:t>（6）对每项内容未进行阐述的，得0分；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需将佐证材料扫描件加盖投标人电子签章置于投标文件中，作为衡量投标人售后服务能力标准之一，未提供或提供的佐证材料不符合要求的不得分。</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71" w:type="pct"/>
            <w:vMerge w:val="continue"/>
            <w:shd w:val="clear" w:color="auto" w:fill="auto"/>
            <w:vAlign w:val="center"/>
          </w:tcPr>
          <w:p>
            <w:pPr>
              <w:spacing w:line="240" w:lineRule="auto"/>
              <w:jc w:val="center"/>
              <w:rPr>
                <w:rFonts w:hint="eastAsia" w:ascii="楷体" w:hAnsi="楷体" w:eastAsia="楷体" w:cs="楷体"/>
                <w:color w:val="auto"/>
                <w:kern w:val="0"/>
                <w:sz w:val="22"/>
                <w:szCs w:val="22"/>
                <w:lang w:eastAsia="zh-CN"/>
              </w:rPr>
            </w:pPr>
          </w:p>
        </w:tc>
        <w:tc>
          <w:tcPr>
            <w:tcW w:w="426" w:type="pct"/>
            <w:vMerge w:val="continue"/>
            <w:shd w:val="clear" w:color="auto" w:fill="auto"/>
            <w:vAlign w:val="center"/>
          </w:tcPr>
          <w:p>
            <w:pPr>
              <w:spacing w:line="240" w:lineRule="auto"/>
              <w:jc w:val="center"/>
              <w:rPr>
                <w:rFonts w:hint="eastAsia" w:ascii="楷体" w:hAnsi="楷体" w:eastAsia="楷体" w:cs="楷体"/>
                <w:color w:val="auto"/>
                <w:kern w:val="0"/>
                <w:sz w:val="22"/>
                <w:szCs w:val="22"/>
                <w:lang w:val="en-US" w:eastAsia="zh-CN"/>
              </w:rPr>
            </w:pPr>
          </w:p>
        </w:tc>
        <w:tc>
          <w:tcPr>
            <w:tcW w:w="458"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售后服务团队人员</w:t>
            </w:r>
          </w:p>
        </w:tc>
        <w:tc>
          <w:tcPr>
            <w:tcW w:w="3422"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售后服务人员中具备3名以上信息相关专业的助理工程师及以上的得3分，2名以上的得2分，1名以上的得1分。</w:t>
            </w:r>
          </w:p>
          <w:p>
            <w:pPr>
              <w:widowControl/>
              <w:numPr>
                <w:ilvl w:val="0"/>
                <w:numId w:val="0"/>
              </w:numPr>
              <w:spacing w:line="240" w:lineRule="auto"/>
              <w:jc w:val="left"/>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注：需在商务技术响应文件中提供人员相关证书扫描件，以开标截止时间前连续3个月在投标单位缴纳的完整社保缴纳清单扫描件并加盖投标人电子签章。如中标单位新成立不足3个月的，按实际缴纳情况提供相关人员在该单位的社保缴费清单。</w:t>
            </w:r>
          </w:p>
        </w:tc>
        <w:tc>
          <w:tcPr>
            <w:tcW w:w="420" w:type="pct"/>
            <w:shd w:val="clear" w:color="auto" w:fill="auto"/>
            <w:vAlign w:val="center"/>
          </w:tcPr>
          <w:p>
            <w:pPr>
              <w:spacing w:line="240" w:lineRule="auto"/>
              <w:jc w:val="center"/>
              <w:rPr>
                <w:rFonts w:hint="eastAsia"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71" w:type="pct"/>
            <w:shd w:val="clear" w:color="auto" w:fill="auto"/>
            <w:vAlign w:val="center"/>
          </w:tcPr>
          <w:p>
            <w:pPr>
              <w:spacing w:line="240" w:lineRule="auto"/>
              <w:jc w:val="center"/>
              <w:rPr>
                <w:rFonts w:hint="default"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7</w:t>
            </w:r>
          </w:p>
        </w:tc>
        <w:tc>
          <w:tcPr>
            <w:tcW w:w="426" w:type="pct"/>
            <w:shd w:val="clear" w:color="auto" w:fill="auto"/>
            <w:vAlign w:val="center"/>
          </w:tcPr>
          <w:p>
            <w:pPr>
              <w:spacing w:line="240" w:lineRule="auto"/>
              <w:jc w:val="center"/>
              <w:rPr>
                <w:rFonts w:hint="eastAsia" w:ascii="楷体" w:hAnsi="楷体" w:eastAsia="楷体" w:cs="楷体"/>
                <w:color w:val="auto"/>
                <w:kern w:val="0"/>
                <w:sz w:val="22"/>
                <w:szCs w:val="22"/>
                <w:lang w:val="en-US" w:eastAsia="zh-CN"/>
              </w:rPr>
            </w:pPr>
            <w:r>
              <w:rPr>
                <w:rFonts w:hint="eastAsia" w:ascii="新宋体" w:hAnsi="新宋体" w:eastAsia="新宋体" w:cs="新宋体"/>
                <w:color w:val="auto"/>
                <w:kern w:val="0"/>
                <w:sz w:val="20"/>
                <w:szCs w:val="20"/>
              </w:rPr>
              <w:t>政策功能</w:t>
            </w:r>
          </w:p>
        </w:tc>
        <w:tc>
          <w:tcPr>
            <w:tcW w:w="458" w:type="pct"/>
            <w:shd w:val="clear" w:color="auto" w:fill="auto"/>
            <w:vAlign w:val="center"/>
          </w:tcPr>
          <w:p>
            <w:pPr>
              <w:widowControl/>
              <w:spacing w:line="380" w:lineRule="exact"/>
              <w:jc w:val="center"/>
              <w:rPr>
                <w:rFonts w:hint="default" w:ascii="华文宋体" w:hAnsi="华文宋体" w:eastAsia="华文宋体" w:cs="华文宋体"/>
                <w:color w:val="auto"/>
                <w:sz w:val="20"/>
                <w:szCs w:val="20"/>
                <w:highlight w:val="none"/>
                <w:lang w:val="en-US" w:eastAsia="zh-CN"/>
              </w:rPr>
            </w:pPr>
            <w:r>
              <w:rPr>
                <w:rFonts w:hint="eastAsia" w:ascii="华文宋体" w:hAnsi="华文宋体" w:eastAsia="华文宋体" w:cs="华文宋体"/>
                <w:color w:val="auto"/>
                <w:sz w:val="20"/>
                <w:szCs w:val="20"/>
                <w:highlight w:val="none"/>
                <w:lang w:val="en-US" w:eastAsia="zh-CN"/>
              </w:rPr>
              <w:t>节能环保</w:t>
            </w:r>
          </w:p>
        </w:tc>
        <w:tc>
          <w:tcPr>
            <w:tcW w:w="3422" w:type="pct"/>
            <w:shd w:val="clear" w:color="auto" w:fill="auto"/>
            <w:vAlign w:val="center"/>
          </w:tcPr>
          <w:p>
            <w:pPr>
              <w:widowControl/>
              <w:spacing w:line="380" w:lineRule="exact"/>
              <w:jc w:val="both"/>
              <w:rPr>
                <w:rFonts w:hint="eastAsia" w:ascii="华文宋体" w:hAnsi="华文宋体" w:eastAsia="华文宋体" w:cs="华文宋体"/>
                <w:color w:val="auto"/>
                <w:sz w:val="20"/>
                <w:szCs w:val="20"/>
                <w:highlight w:val="none"/>
                <w:lang w:val="en-US" w:eastAsia="zh-CN"/>
              </w:rPr>
            </w:pPr>
            <w:r>
              <w:rPr>
                <w:rFonts w:hint="eastAsia" w:ascii="新宋体" w:hAnsi="新宋体" w:eastAsia="新宋体" w:cs="新宋体"/>
                <w:color w:val="auto"/>
                <w:kern w:val="0"/>
                <w:sz w:val="21"/>
                <w:szCs w:val="21"/>
              </w:rPr>
              <w:t>投标产品中具有</w:t>
            </w:r>
            <w:r>
              <w:rPr>
                <w:rFonts w:hint="eastAsia" w:ascii="新宋体" w:hAnsi="新宋体" w:eastAsia="新宋体" w:cs="新宋体"/>
                <w:color w:val="auto"/>
                <w:kern w:val="0"/>
                <w:sz w:val="21"/>
                <w:szCs w:val="21"/>
                <w:lang w:val="en-US" w:eastAsia="zh-CN"/>
              </w:rPr>
              <w:t>属于品目清单范围且提供</w:t>
            </w:r>
            <w:r>
              <w:rPr>
                <w:rFonts w:hint="eastAsia" w:ascii="新宋体" w:hAnsi="新宋体" w:eastAsia="新宋体" w:cs="新宋体"/>
                <w:color w:val="auto"/>
                <w:kern w:val="0"/>
                <w:sz w:val="21"/>
                <w:szCs w:val="21"/>
              </w:rPr>
              <w:t>国家确定的认证机构出具的、处于有效期之内的节能产品、环境标志产品认证证书</w:t>
            </w:r>
            <w:r>
              <w:rPr>
                <w:rFonts w:hint="eastAsia" w:ascii="新宋体" w:hAnsi="新宋体" w:eastAsia="新宋体" w:cs="新宋体"/>
                <w:color w:val="auto"/>
                <w:kern w:val="0"/>
                <w:sz w:val="21"/>
                <w:szCs w:val="21"/>
                <w:lang w:eastAsia="zh-CN"/>
              </w:rPr>
              <w:t>（</w:t>
            </w:r>
            <w:r>
              <w:rPr>
                <w:rFonts w:hint="eastAsia" w:ascii="新宋体" w:hAnsi="新宋体" w:eastAsia="新宋体" w:cs="新宋体"/>
                <w:color w:val="auto"/>
                <w:kern w:val="0"/>
                <w:sz w:val="21"/>
                <w:szCs w:val="21"/>
                <w:lang w:val="en-US" w:eastAsia="zh-CN"/>
              </w:rPr>
              <w:t>扫描件加盖公章</w:t>
            </w:r>
            <w:r>
              <w:rPr>
                <w:rFonts w:hint="eastAsia" w:ascii="新宋体" w:hAnsi="新宋体" w:eastAsia="新宋体" w:cs="新宋体"/>
                <w:color w:val="auto"/>
                <w:kern w:val="0"/>
                <w:sz w:val="21"/>
                <w:szCs w:val="21"/>
                <w:lang w:eastAsia="zh-CN"/>
              </w:rPr>
              <w:t>）</w:t>
            </w:r>
            <w:r>
              <w:rPr>
                <w:rFonts w:hint="eastAsia" w:ascii="新宋体" w:hAnsi="新宋体" w:eastAsia="新宋体" w:cs="新宋体"/>
                <w:color w:val="auto"/>
                <w:kern w:val="0"/>
                <w:sz w:val="21"/>
                <w:szCs w:val="21"/>
              </w:rPr>
              <w:t>的，根据数量和占比酌情打分。</w:t>
            </w:r>
          </w:p>
        </w:tc>
        <w:tc>
          <w:tcPr>
            <w:tcW w:w="420" w:type="pct"/>
            <w:shd w:val="clear" w:color="auto" w:fill="auto"/>
            <w:vAlign w:val="center"/>
          </w:tcPr>
          <w:p>
            <w:pPr>
              <w:spacing w:line="380" w:lineRule="exact"/>
              <w:jc w:val="center"/>
              <w:rPr>
                <w:rFonts w:hint="eastAsia" w:ascii="华文宋体" w:hAnsi="华文宋体" w:eastAsia="华文宋体" w:cs="华文宋体"/>
                <w:color w:val="auto"/>
                <w:sz w:val="20"/>
                <w:szCs w:val="20"/>
                <w:highlight w:val="none"/>
                <w:lang w:val="en-US" w:eastAsia="zh-CN"/>
              </w:rPr>
            </w:pPr>
            <w:r>
              <w:rPr>
                <w:rFonts w:hint="eastAsia" w:ascii="新宋体" w:hAnsi="新宋体" w:eastAsia="新宋体" w:cs="新宋体"/>
                <w:color w:val="auto"/>
                <w:sz w:val="20"/>
                <w:szCs w:val="20"/>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79" w:type="pct"/>
            <w:gridSpan w:val="4"/>
            <w:shd w:val="clear" w:color="auto" w:fill="auto"/>
            <w:vAlign w:val="center"/>
          </w:tcPr>
          <w:p>
            <w:pPr>
              <w:widowControl/>
              <w:spacing w:line="380" w:lineRule="exact"/>
              <w:jc w:val="center"/>
              <w:rPr>
                <w:rFonts w:hint="eastAsia" w:ascii="新宋体" w:hAnsi="新宋体" w:eastAsia="新宋体" w:cs="新宋体"/>
                <w:color w:val="auto"/>
                <w:kern w:val="0"/>
                <w:sz w:val="22"/>
                <w:szCs w:val="20"/>
                <w:lang w:val="en-US" w:eastAsia="zh-CN"/>
              </w:rPr>
            </w:pPr>
            <w:r>
              <w:rPr>
                <w:rFonts w:hint="eastAsia" w:ascii="新宋体" w:hAnsi="新宋体" w:eastAsia="新宋体" w:cs="新宋体"/>
                <w:color w:val="auto"/>
                <w:kern w:val="0"/>
                <w:sz w:val="22"/>
                <w:szCs w:val="20"/>
                <w:lang w:val="en-US" w:eastAsia="zh-CN"/>
              </w:rPr>
              <w:t>合计</w:t>
            </w:r>
          </w:p>
        </w:tc>
        <w:tc>
          <w:tcPr>
            <w:tcW w:w="420" w:type="pct"/>
            <w:shd w:val="clear" w:color="auto" w:fill="auto"/>
            <w:vAlign w:val="center"/>
          </w:tcPr>
          <w:p>
            <w:pPr>
              <w:spacing w:line="380" w:lineRule="exact"/>
              <w:jc w:val="center"/>
              <w:rPr>
                <w:rFonts w:hint="default" w:ascii="新宋体" w:hAnsi="新宋体" w:eastAsia="新宋体" w:cs="新宋体"/>
                <w:color w:val="auto"/>
                <w:sz w:val="20"/>
                <w:szCs w:val="20"/>
                <w:lang w:val="en-US" w:eastAsia="zh-CN"/>
              </w:rPr>
            </w:pPr>
            <w:r>
              <w:rPr>
                <w:rFonts w:hint="eastAsia" w:ascii="新宋体" w:hAnsi="新宋体" w:eastAsia="新宋体" w:cs="新宋体"/>
                <w:color w:val="auto"/>
                <w:sz w:val="20"/>
                <w:szCs w:val="20"/>
                <w:lang w:val="en-US" w:eastAsia="zh-CN"/>
              </w:rPr>
              <w:t>0-70</w:t>
            </w:r>
          </w:p>
        </w:tc>
      </w:tr>
    </w:tbl>
    <w:p>
      <w:pPr>
        <w:widowControl w:val="0"/>
        <w:snapToGrid w:val="0"/>
        <w:spacing w:line="500" w:lineRule="exact"/>
        <w:jc w:val="left"/>
        <w:rPr>
          <w:rFonts w:hint="eastAsia" w:ascii="宋体" w:cs="宋体"/>
          <w:kern w:val="0"/>
          <w:sz w:val="24"/>
          <w:szCs w:val="24"/>
          <w:highlight w:val="none"/>
        </w:rPr>
      </w:pPr>
      <w:bookmarkStart w:id="27" w:name="_Toc345320401"/>
      <w:r>
        <w:rPr>
          <w:rFonts w:hint="eastAsia" w:ascii="宋体" w:cs="宋体"/>
          <w:kern w:val="0"/>
          <w:sz w:val="24"/>
          <w:szCs w:val="24"/>
          <w:highlight w:val="none"/>
        </w:rPr>
        <w:t>5.2 价格分</w:t>
      </w:r>
      <w:bookmarkEnd w:id="27"/>
      <w:r>
        <w:rPr>
          <w:rFonts w:hint="eastAsia" w:ascii="宋体" w:cs="宋体"/>
          <w:kern w:val="0"/>
          <w:sz w:val="24"/>
          <w:szCs w:val="24"/>
          <w:highlight w:val="none"/>
        </w:rPr>
        <w:t>（</w:t>
      </w:r>
      <w:r>
        <w:rPr>
          <w:rFonts w:hint="eastAsia" w:ascii="宋体" w:cs="宋体"/>
          <w:kern w:val="0"/>
          <w:sz w:val="24"/>
          <w:szCs w:val="24"/>
          <w:highlight w:val="none"/>
          <w:lang w:val="en-US" w:eastAsia="zh-CN"/>
        </w:rPr>
        <w:t>30</w:t>
      </w:r>
      <w:r>
        <w:rPr>
          <w:rFonts w:hint="eastAsia" w:ascii="宋体" w:cs="宋体"/>
          <w:kern w:val="0"/>
          <w:sz w:val="24"/>
          <w:szCs w:val="24"/>
          <w:highlight w:val="none"/>
        </w:rPr>
        <w:t>分）</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cs="宋体"/>
          <w:kern w:val="0"/>
          <w:sz w:val="24"/>
          <w:szCs w:val="24"/>
          <w:highlight w:val="none"/>
        </w:rPr>
        <w:t>价格评分将在有效投标人范围内进行，最高得</w:t>
      </w:r>
      <w:r>
        <w:rPr>
          <w:rFonts w:hint="eastAsia" w:ascii="宋体" w:cs="宋体"/>
          <w:kern w:val="0"/>
          <w:sz w:val="24"/>
          <w:szCs w:val="24"/>
          <w:highlight w:val="none"/>
          <w:lang w:val="en-US" w:eastAsia="zh-CN"/>
        </w:rPr>
        <w:t>3</w:t>
      </w:r>
      <w:r>
        <w:rPr>
          <w:rFonts w:hint="eastAsia" w:ascii="宋体" w:cs="宋体"/>
          <w:kern w:val="0"/>
          <w:sz w:val="24"/>
          <w:szCs w:val="24"/>
          <w:highlight w:val="none"/>
        </w:rPr>
        <w:t>0分，最低得 0分（小数点</w:t>
      </w:r>
      <w:r>
        <w:rPr>
          <w:rFonts w:hint="eastAsia" w:ascii="宋体" w:hAnsi="宋体" w:eastAsia="宋体" w:cs="宋体"/>
          <w:kern w:val="0"/>
          <w:sz w:val="24"/>
          <w:szCs w:val="24"/>
          <w:highlight w:val="none"/>
        </w:rPr>
        <w:t>后保留二位小数，第三位四舍五入）。</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5.2.1评标价：在投标价基础上经政策调整过后确定的价格。评标价仅作为价格标评审的依据，不等同于中标价、合同价。</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5.2.2评定评标基准价：技术入围投标人中的最低评标价作为评标基准价。</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5.2.3报价得分=（评标基准价/评标价）×（100-商务技术分权值）</w:t>
      </w:r>
    </w:p>
    <w:p>
      <w:pPr>
        <w:widowControl w:val="0"/>
        <w:snapToGrid w:val="0"/>
        <w:spacing w:line="500" w:lineRule="exact"/>
        <w:jc w:val="left"/>
        <w:rPr>
          <w:rFonts w:hint="eastAsia" w:ascii="宋体" w:hAnsi="宋体" w:eastAsia="宋体" w:cs="宋体"/>
          <w:kern w:val="0"/>
          <w:sz w:val="24"/>
          <w:szCs w:val="24"/>
          <w:highlight w:val="none"/>
        </w:rPr>
      </w:pPr>
      <w:bookmarkStart w:id="28" w:name="_Toc29140"/>
      <w:r>
        <w:rPr>
          <w:rFonts w:hint="eastAsia" w:ascii="宋体" w:hAnsi="宋体" w:eastAsia="宋体" w:cs="宋体"/>
          <w:kern w:val="0"/>
          <w:sz w:val="24"/>
          <w:szCs w:val="24"/>
          <w:highlight w:val="none"/>
        </w:rPr>
        <w:t>5.2.4落实政府采购政策说明：</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对小型或微型企业投标的扶持：</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1、根据</w:t>
      </w:r>
      <w:r>
        <w:rPr>
          <w:rFonts w:hint="eastAsia" w:ascii="宋体" w:hAnsi="宋体" w:eastAsia="宋体" w:cs="宋体"/>
          <w:kern w:val="0"/>
          <w:sz w:val="24"/>
          <w:szCs w:val="24"/>
          <w:highlight w:val="none"/>
          <w:lang w:eastAsia="zh-CN"/>
        </w:rPr>
        <w:t>浙财采监</w:t>
      </w:r>
      <w:r>
        <w:rPr>
          <w:rFonts w:hint="eastAsia"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w:t>
      </w:r>
      <w:r>
        <w:rPr>
          <w:rFonts w:hint="eastAsia" w:ascii="宋体" w:cs="宋体"/>
          <w:kern w:val="0"/>
          <w:sz w:val="24"/>
          <w:szCs w:val="24"/>
          <w:highlight w:val="none"/>
          <w:lang w:val="en-US" w:eastAsia="zh-CN"/>
        </w:rPr>
        <w:t>8</w:t>
      </w:r>
      <w:r>
        <w:rPr>
          <w:rFonts w:hint="eastAsia" w:ascii="宋体" w:hAnsi="宋体" w:eastAsia="宋体" w:cs="宋体"/>
          <w:kern w:val="0"/>
          <w:sz w:val="24"/>
          <w:szCs w:val="24"/>
          <w:highlight w:val="none"/>
        </w:rPr>
        <w:t xml:space="preserve">号的相关规定，在评审时对小型和微型企业产品的投标报价给予 </w:t>
      </w:r>
      <w:r>
        <w:rPr>
          <w:rFonts w:hint="eastAsia" w:ascii="宋体" w:cs="宋体"/>
          <w:kern w:val="0"/>
          <w:sz w:val="24"/>
          <w:szCs w:val="24"/>
          <w:highlight w:val="none"/>
          <w:lang w:val="en-US" w:eastAsia="zh-CN"/>
        </w:rPr>
        <w:t>20</w:t>
      </w:r>
      <w:r>
        <w:rPr>
          <w:rFonts w:hint="eastAsia" w:ascii="宋体" w:hAnsi="宋体" w:eastAsia="宋体" w:cs="宋体"/>
          <w:kern w:val="0"/>
          <w:sz w:val="24"/>
          <w:szCs w:val="24"/>
          <w:highlight w:val="none"/>
        </w:rPr>
        <w:t xml:space="preserve"> %的扣除，取扣除后的价格作为评标价（此评标价仅作为价格分计算使用）。</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2、接受大中型企业与小微企业组成联合体或者允许大中型企业向一家小微企业分包的采购项目，对于联合协议或者分包意向协议约定小微企业的合同份额占到合同总金额 30%以上的，采购人、采购代理机构应当对联合体或者大中型企业的报价给予</w:t>
      </w:r>
      <w:r>
        <w:rPr>
          <w:rFonts w:hint="eastAsia" w:ascii="宋体" w:cs="宋体"/>
          <w:kern w:val="0"/>
          <w:sz w:val="24"/>
          <w:szCs w:val="24"/>
          <w:highlight w:val="none"/>
          <w:lang w:val="en-US" w:eastAsia="zh-CN"/>
        </w:rPr>
        <w:t>6</w:t>
      </w:r>
      <w:r>
        <w:rPr>
          <w:rFonts w:hint="eastAsia" w:ascii="宋体" w:hAnsi="宋体" w:eastAsia="宋体" w:cs="宋体"/>
          <w:kern w:val="0"/>
          <w:sz w:val="24"/>
          <w:szCs w:val="24"/>
          <w:highlight w:val="none"/>
        </w:rPr>
        <w:t>%的扣除，用扣除后的价格参加评审。组成联合体或者接受分包的小微企业与联合体内其他企业、分包企业之间存在直接控股、管理关系的，不享受价格扣除优惠政策。</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4.根据财库[2014]68号的相关规定，在政府采购活动中，监狱企业视同小型、微型企业，享受评审中价格扣除政策，应在投标文件中提供监狱企业声明函（见附件）。</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5.在货物采购项目中，供应商提供的货物既有小微企业制造货物，也有中大型企业制造货物的，不给予价格扣除。小微企业不得将合同分包给大中型企业，中型企业不得将合同分包给大型企业。</w:t>
      </w:r>
    </w:p>
    <w:p>
      <w:pPr>
        <w:widowControl w:val="0"/>
        <w:snapToGrid w:val="0"/>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(注：未提供以上要求材料的，均不给予价格扣除）。</w:t>
      </w:r>
    </w:p>
    <w:p>
      <w:pPr>
        <w:widowControl w:val="0"/>
        <w:snapToGrid w:val="0"/>
        <w:spacing w:line="500" w:lineRule="exact"/>
        <w:jc w:val="left"/>
        <w:rPr>
          <w:rFonts w:hint="eastAsia" w:ascii="宋体" w:cs="宋体"/>
          <w:b/>
          <w:bCs/>
          <w:kern w:val="0"/>
          <w:sz w:val="32"/>
          <w:szCs w:val="32"/>
          <w:highlight w:val="none"/>
        </w:rPr>
      </w:pPr>
      <w:r>
        <w:rPr>
          <w:rFonts w:hint="eastAsia" w:ascii="宋体" w:cs="宋体"/>
          <w:b/>
          <w:bCs/>
          <w:kern w:val="0"/>
          <w:sz w:val="32"/>
          <w:szCs w:val="32"/>
          <w:highlight w:val="none"/>
        </w:rPr>
        <w:t>六、重新评审</w:t>
      </w:r>
      <w:bookmarkEnd w:id="28"/>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评审结果形成后，除下列情形外，任何人不得重新评审：</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（一）分值汇总计算错误的；</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（二）分项评分超出评分标准范围的；</w:t>
      </w:r>
    </w:p>
    <w:p>
      <w:pPr>
        <w:widowControl w:val="0"/>
        <w:snapToGrid w:val="0"/>
        <w:spacing w:line="500" w:lineRule="exact"/>
        <w:jc w:val="left"/>
        <w:rPr>
          <w:rFonts w:hint="eastAsia" w:ascii="宋体" w:cs="宋体"/>
          <w:kern w:val="0"/>
          <w:sz w:val="24"/>
          <w:szCs w:val="24"/>
          <w:highlight w:val="none"/>
        </w:rPr>
      </w:pPr>
      <w:r>
        <w:rPr>
          <w:rFonts w:hint="eastAsia" w:ascii="宋体" w:cs="宋体"/>
          <w:kern w:val="0"/>
          <w:sz w:val="24"/>
          <w:szCs w:val="24"/>
          <w:highlight w:val="none"/>
        </w:rPr>
        <w:t>（三）评标委员会成员对客观评审因素评分不一致的；</w:t>
      </w:r>
    </w:p>
    <w:p>
      <w:pPr>
        <w:widowControl w:val="0"/>
        <w:snapToGrid w:val="0"/>
        <w:spacing w:line="500" w:lineRule="exact"/>
        <w:jc w:val="left"/>
        <w:rPr>
          <w:rFonts w:ascii="Calibri" w:hAnsi="Calibri" w:cs="Times New Roman"/>
          <w:highlight w:val="none"/>
        </w:rPr>
      </w:pPr>
      <w:r>
        <w:rPr>
          <w:rFonts w:hint="eastAsia" w:ascii="宋体" w:cs="宋体"/>
          <w:kern w:val="0"/>
          <w:sz w:val="24"/>
          <w:szCs w:val="24"/>
          <w:highlight w:val="none"/>
        </w:rPr>
        <w:t>（四）经评标委员会认定评分畸高、畸低的。</w:t>
      </w:r>
    </w:p>
    <w:p>
      <w:pPr>
        <w:widowControl w:val="0"/>
        <w:spacing w:line="780" w:lineRule="exact"/>
        <w:jc w:val="both"/>
        <w:rPr>
          <w:rFonts w:hint="eastAsia" w:ascii="黑体" w:hAnsi="Calibri" w:eastAsia="黑体" w:cs="黑体"/>
          <w:b/>
          <w:bCs/>
          <w:sz w:val="52"/>
          <w:szCs w:val="52"/>
          <w:highlight w:val="none"/>
        </w:rPr>
      </w:pPr>
      <w:r>
        <w:rPr>
          <w:rFonts w:hint="eastAsia" w:ascii="黑体" w:hAnsi="Calibri" w:eastAsia="黑体" w:cs="黑体"/>
          <w:b/>
          <w:bCs/>
          <w:sz w:val="52"/>
          <w:szCs w:val="52"/>
          <w:highlight w:val="none"/>
        </w:rPr>
        <w:br w:type="page"/>
      </w:r>
    </w:p>
    <w:p>
      <w:pPr>
        <w:pStyle w:val="13"/>
        <w:rPr>
          <w:rFonts w:hint="eastAsia" w:ascii="黑体" w:hAnsi="Calibri" w:eastAsia="黑体" w:cs="黑体"/>
          <w:b/>
          <w:bCs/>
          <w:sz w:val="52"/>
          <w:szCs w:val="52"/>
          <w:highlight w:val="none"/>
        </w:rPr>
      </w:pPr>
    </w:p>
    <w:p>
      <w:pPr>
        <w:pStyle w:val="36"/>
        <w:rPr>
          <w:rFonts w:hint="eastAsia" w:ascii="黑体" w:hAnsi="Calibri" w:eastAsia="黑体" w:cs="黑体"/>
          <w:b w:val="0"/>
          <w:bCs/>
          <w:sz w:val="52"/>
          <w:szCs w:val="52"/>
          <w:highlight w:val="none"/>
        </w:rPr>
      </w:pPr>
    </w:p>
    <w:p>
      <w:pPr>
        <w:rPr>
          <w:rFonts w:hint="eastAsia"/>
          <w:highlight w:val="none"/>
        </w:rPr>
      </w:pPr>
    </w:p>
    <w:p>
      <w:pPr>
        <w:widowControl w:val="0"/>
        <w:spacing w:line="780" w:lineRule="exact"/>
        <w:jc w:val="center"/>
        <w:rPr>
          <w:rFonts w:ascii="黑体" w:hAnsi="Calibri" w:eastAsia="黑体" w:cs="Times New Roman"/>
          <w:b/>
          <w:bCs/>
          <w:sz w:val="52"/>
          <w:szCs w:val="52"/>
          <w:highlight w:val="none"/>
        </w:rPr>
      </w:pPr>
      <w:r>
        <w:rPr>
          <w:rFonts w:hint="eastAsia" w:ascii="黑体" w:hAnsi="Calibri" w:eastAsia="黑体" w:cs="黑体"/>
          <w:b/>
          <w:bCs/>
          <w:sz w:val="52"/>
          <w:szCs w:val="52"/>
          <w:highlight w:val="none"/>
        </w:rPr>
        <w:t>第四章</w:t>
      </w:r>
    </w:p>
    <w:p>
      <w:pPr>
        <w:widowControl w:val="0"/>
        <w:spacing w:line="780" w:lineRule="exact"/>
        <w:jc w:val="center"/>
        <w:rPr>
          <w:rFonts w:ascii="黑体" w:hAnsi="Calibri" w:eastAsia="黑体" w:cs="Times New Roman"/>
          <w:b/>
          <w:bCs/>
          <w:sz w:val="52"/>
          <w:szCs w:val="52"/>
          <w:highlight w:val="none"/>
        </w:rPr>
      </w:pPr>
      <w:r>
        <w:rPr>
          <w:rFonts w:hint="eastAsia" w:ascii="黑体" w:hAnsi="Calibri" w:eastAsia="黑体" w:cs="黑体"/>
          <w:b/>
          <w:bCs/>
          <w:sz w:val="52"/>
          <w:szCs w:val="52"/>
          <w:highlight w:val="none"/>
        </w:rPr>
        <w:t>技术服务要求及服务需求一览表</w:t>
      </w:r>
    </w:p>
    <w:p>
      <w:pPr>
        <w:widowControl w:val="0"/>
        <w:spacing w:line="360" w:lineRule="auto"/>
        <w:rPr>
          <w:rFonts w:ascii="宋体" w:hAnsi="Calibri" w:cs="Times New Roman"/>
          <w:b/>
          <w:bCs/>
          <w:sz w:val="24"/>
          <w:szCs w:val="24"/>
          <w:highlight w:val="none"/>
        </w:rPr>
      </w:pPr>
    </w:p>
    <w:p>
      <w:pPr>
        <w:widowControl w:val="0"/>
        <w:spacing w:line="360" w:lineRule="auto"/>
        <w:rPr>
          <w:rFonts w:ascii="Calibri" w:hAnsi="Calibri" w:cs="Times New Roman"/>
          <w:highlight w:val="none"/>
        </w:rPr>
      </w:pPr>
    </w:p>
    <w:p>
      <w:pPr>
        <w:widowControl w:val="0"/>
        <w:spacing w:line="780" w:lineRule="exact"/>
        <w:jc w:val="center"/>
        <w:rPr>
          <w:rFonts w:hint="eastAsia" w:ascii="黑体" w:hAnsi="Calibri" w:eastAsia="黑体" w:cs="黑体"/>
          <w:b/>
          <w:bCs/>
          <w:sz w:val="52"/>
          <w:szCs w:val="52"/>
          <w:highlight w:val="none"/>
        </w:rPr>
      </w:pPr>
      <w:r>
        <w:rPr>
          <w:rFonts w:ascii="Calibri" w:hAnsi="Calibri" w:cs="Times New Roman"/>
          <w:color w:val="000000"/>
          <w:sz w:val="32"/>
          <w:szCs w:val="32"/>
          <w:highlight w:val="none"/>
        </w:rPr>
        <w:br w:type="page"/>
      </w:r>
      <w:r>
        <w:rPr>
          <w:rFonts w:hint="eastAsia" w:ascii="黑体" w:hAnsi="Calibri" w:eastAsia="黑体" w:cs="黑体"/>
          <w:b/>
          <w:bCs/>
          <w:sz w:val="52"/>
          <w:szCs w:val="52"/>
          <w:highlight w:val="none"/>
        </w:rPr>
        <w:t>技术服务要求及服务需求</w:t>
      </w:r>
    </w:p>
    <w:p>
      <w:pPr>
        <w:pStyle w:val="5"/>
        <w:numPr>
          <w:ilvl w:val="0"/>
          <w:numId w:val="7"/>
        </w:numPr>
        <w:spacing w:after="240" w:line="360" w:lineRule="auto"/>
        <w:rPr>
          <w:rFonts w:hint="eastAsia" w:ascii="楷体" w:hAnsi="楷体" w:eastAsia="楷体" w:cs="楷体"/>
          <w:color w:val="auto"/>
          <w:sz w:val="24"/>
          <w:szCs w:val="24"/>
        </w:rPr>
      </w:pPr>
      <w:bookmarkStart w:id="29" w:name="_Toc60957557"/>
      <w:bookmarkStart w:id="30" w:name="_Toc50105549"/>
      <w:bookmarkStart w:id="31" w:name="_Toc50105634"/>
      <w:bookmarkStart w:id="32" w:name="_Toc172029178"/>
      <w:bookmarkStart w:id="33" w:name="_Toc173836489"/>
      <w:bookmarkStart w:id="34" w:name="_Toc212628254"/>
      <w:bookmarkStart w:id="35" w:name="_Toc202244736"/>
      <w:r>
        <w:rPr>
          <w:rFonts w:hint="eastAsia" w:ascii="华文宋体" w:hAnsi="华文宋体" w:eastAsia="华文宋体" w:cs="华文宋体"/>
          <w:sz w:val="24"/>
          <w:szCs w:val="24"/>
        </w:rPr>
        <w:t>项目</w:t>
      </w:r>
      <w:bookmarkEnd w:id="29"/>
      <w:r>
        <w:rPr>
          <w:rFonts w:hint="eastAsia" w:ascii="华文宋体" w:hAnsi="华文宋体" w:eastAsia="华文宋体" w:cs="华文宋体"/>
          <w:sz w:val="24"/>
          <w:szCs w:val="24"/>
        </w:rPr>
        <w:t>概述</w:t>
      </w:r>
    </w:p>
    <w:p>
      <w:pPr>
        <w:pStyle w:val="6"/>
        <w:widowControl w:val="0"/>
        <w:tabs>
          <w:tab w:val="clear" w:pos="1080"/>
        </w:tabs>
        <w:spacing w:before="260" w:after="260"/>
        <w:rPr>
          <w:rFonts w:hint="eastAsia" w:ascii="楷体" w:hAnsi="楷体" w:eastAsia="楷体" w:cs="楷体"/>
          <w:b/>
          <w:color w:val="auto"/>
        </w:rPr>
      </w:pPr>
      <w:r>
        <w:rPr>
          <w:rFonts w:hint="eastAsia" w:ascii="楷体" w:hAnsi="楷体" w:eastAsia="楷体" w:cs="楷体"/>
          <w:b/>
          <w:color w:val="auto"/>
        </w:rPr>
        <w:t>（一）项目名称</w:t>
      </w:r>
    </w:p>
    <w:p>
      <w:pPr>
        <w:spacing w:line="360" w:lineRule="auto"/>
        <w:ind w:firstLine="482" w:firstLineChars="200"/>
        <w:rPr>
          <w:rFonts w:hint="eastAsia" w:ascii="楷体" w:hAnsi="楷体" w:eastAsia="楷体" w:cs="楷体"/>
          <w:b/>
          <w:bCs/>
          <w:color w:val="auto"/>
          <w:sz w:val="24"/>
          <w:szCs w:val="24"/>
          <w:highlight w:val="none"/>
          <w:lang w:eastAsia="zh-CN"/>
        </w:rPr>
      </w:pPr>
      <w:r>
        <w:rPr>
          <w:rFonts w:hint="eastAsia" w:ascii="楷体" w:hAnsi="楷体" w:eastAsia="楷体" w:cs="楷体"/>
          <w:b/>
          <w:bCs/>
          <w:color w:val="auto"/>
          <w:sz w:val="24"/>
          <w:szCs w:val="24"/>
          <w:highlight w:val="none"/>
          <w:lang w:val="en-US" w:eastAsia="zh-CN"/>
        </w:rPr>
        <w:t>永康市公安局</w:t>
      </w:r>
      <w:r>
        <w:rPr>
          <w:rFonts w:hint="eastAsia" w:ascii="楷体" w:hAnsi="楷体" w:eastAsia="楷体" w:cs="楷体"/>
          <w:b/>
          <w:bCs/>
          <w:color w:val="auto"/>
          <w:sz w:val="24"/>
          <w:szCs w:val="24"/>
          <w:highlight w:val="none"/>
          <w:lang w:eastAsia="zh-CN"/>
        </w:rPr>
        <w:t>城市大脑畅行丽州·协同应用项目（2021年一期）建设内容采购</w:t>
      </w:r>
    </w:p>
    <w:p>
      <w:pPr>
        <w:pStyle w:val="6"/>
        <w:widowControl w:val="0"/>
        <w:tabs>
          <w:tab w:val="clear" w:pos="1080"/>
        </w:tabs>
        <w:spacing w:before="260" w:after="260" w:line="416" w:lineRule="auto"/>
        <w:rPr>
          <w:rFonts w:hint="eastAsia" w:ascii="楷体" w:hAnsi="楷体" w:eastAsia="楷体" w:cs="楷体"/>
          <w:b/>
          <w:color w:val="auto"/>
        </w:rPr>
      </w:pPr>
      <w:r>
        <w:rPr>
          <w:rFonts w:hint="eastAsia" w:ascii="楷体" w:hAnsi="楷体" w:eastAsia="楷体" w:cs="楷体"/>
          <w:b/>
          <w:color w:val="auto"/>
        </w:rPr>
        <w:t>（二）项目背景</w:t>
      </w:r>
    </w:p>
    <w:p>
      <w:pPr>
        <w:spacing w:line="360" w:lineRule="auto"/>
        <w:ind w:firstLine="480" w:firstLineChars="200"/>
        <w:rPr>
          <w:rFonts w:hint="eastAsia" w:ascii="楷体" w:hAnsi="楷体" w:eastAsia="楷体" w:cs="楷体"/>
          <w:color w:val="auto"/>
          <w:sz w:val="24"/>
          <w:szCs w:val="24"/>
          <w:highlight w:val="none"/>
        </w:rPr>
      </w:pPr>
      <w:r>
        <w:rPr>
          <w:rFonts w:hint="eastAsia" w:asciiTheme="minorEastAsia" w:hAnsiTheme="minorEastAsia" w:eastAsiaTheme="minorEastAsia" w:cstheme="minorEastAsia"/>
          <w:color w:val="auto"/>
          <w:sz w:val="24"/>
          <w:szCs w:val="24"/>
          <w:highlight w:val="none"/>
        </w:rPr>
        <w:t>为响应“城市大脑”的建设，以科技创新为引领，人民要求为导向，贯彻“建设网络强国、数字中国、智慧社会”战略部署，全面建设“创新、协调、绿色、开放、共享”的智慧交通。</w:t>
      </w:r>
      <w:bookmarkStart w:id="36" w:name="_Hlk66786886"/>
      <w:r>
        <w:rPr>
          <w:rFonts w:hint="eastAsia" w:asciiTheme="minorEastAsia" w:hAnsiTheme="minorEastAsia" w:eastAsiaTheme="minorEastAsia" w:cstheme="minorEastAsia"/>
          <w:color w:val="auto"/>
          <w:sz w:val="24"/>
          <w:szCs w:val="24"/>
          <w:highlight w:val="none"/>
        </w:rPr>
        <w:t>永康市城市大脑·畅行丽州协同应用建设项目统筹运用数字化技术、数字化思维、数字化认知，全面落实数据融合治理、业务协同应用。以提高城市交通管理水平和运行效率为目的，构建具有智能感知、智能分析、多维联动效果的交通管理体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为建设高效、集成、系统的“城市大脑”打下坚实基础。</w:t>
      </w:r>
    </w:p>
    <w:bookmarkEnd w:id="36"/>
    <w:p>
      <w:pPr>
        <w:pStyle w:val="6"/>
        <w:widowControl w:val="0"/>
        <w:tabs>
          <w:tab w:val="clear" w:pos="1080"/>
        </w:tabs>
        <w:spacing w:before="260" w:after="260" w:line="416" w:lineRule="auto"/>
        <w:rPr>
          <w:rFonts w:hint="eastAsia" w:ascii="楷体" w:hAnsi="楷体" w:eastAsia="楷体" w:cs="楷体"/>
          <w:b/>
          <w:color w:val="auto"/>
        </w:rPr>
      </w:pPr>
      <w:r>
        <w:rPr>
          <w:rFonts w:hint="eastAsia" w:ascii="楷体" w:hAnsi="楷体" w:eastAsia="楷体" w:cs="楷体"/>
          <w:b/>
          <w:color w:val="auto"/>
        </w:rPr>
        <w:t>（三）项目建设原则</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根据公安交警部门工作的特殊性，结合永康的</w:t>
      </w:r>
      <w:r>
        <w:rPr>
          <w:rFonts w:hint="eastAsia" w:asciiTheme="minorEastAsia" w:hAnsiTheme="minorEastAsia" w:eastAsiaTheme="minorEastAsia" w:cstheme="minorEastAsia"/>
          <w:color w:val="auto"/>
          <w:kern w:val="2"/>
          <w:szCs w:val="24"/>
          <w:highlight w:val="none"/>
          <w:lang w:val="en-US" w:eastAsia="zh-CN"/>
        </w:rPr>
        <w:t>市</w:t>
      </w:r>
      <w:r>
        <w:rPr>
          <w:rFonts w:hint="eastAsia" w:asciiTheme="minorEastAsia" w:hAnsiTheme="minorEastAsia" w:eastAsiaTheme="minorEastAsia" w:cstheme="minorEastAsia"/>
          <w:color w:val="auto"/>
          <w:kern w:val="2"/>
          <w:szCs w:val="24"/>
          <w:highlight w:val="none"/>
        </w:rPr>
        <w:t>具体总体需求，系统设计</w:t>
      </w:r>
      <w:r>
        <w:rPr>
          <w:rFonts w:hint="eastAsia" w:asciiTheme="minorEastAsia" w:hAnsiTheme="minorEastAsia" w:eastAsiaTheme="minorEastAsia" w:cstheme="minorEastAsia"/>
          <w:color w:val="auto"/>
          <w:kern w:val="2"/>
          <w:szCs w:val="24"/>
          <w:highlight w:val="none"/>
          <w:lang w:val="en-US" w:eastAsia="zh-CN"/>
        </w:rPr>
        <w:t>建设</w:t>
      </w:r>
      <w:r>
        <w:rPr>
          <w:rFonts w:hint="eastAsia" w:asciiTheme="minorEastAsia" w:hAnsiTheme="minorEastAsia" w:eastAsiaTheme="minorEastAsia" w:cstheme="minorEastAsia"/>
          <w:color w:val="auto"/>
          <w:kern w:val="2"/>
          <w:szCs w:val="24"/>
          <w:highlight w:val="none"/>
        </w:rPr>
        <w:t>过程中应严格遵循以下原则：</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1、标准性</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严格按照公安部发布最新的公共安全行业标准及其他与本工程有关的规范、规章、规定的技术要求达到设计要求，各子工程应当符合上述规范中相应的规范。</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2、可扩展性</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由于技术和需求在不断的发展，对系统功能和建设规模、建设质量的要求也将不断地增多。因此，在系统设计上，系统接口应具备良好的扩展性，当硬件设备升级时，增加的新设备应和原有的设备具有一致性接口，实现硬件设备升级系列化、模块化。系统应方便兼容更高分辨率的高清晰摄像机，且无需改动软件，仅通过软件设置即可实现。</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3、兼容性</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系统设计应严格遵循国家和行业标准的要求，所有数据格式和接口都应按标准设计，系统的软硬件均应采用模块化设计，模块间的数据传输均采用标准的传输协议，任何一个模块的升级都不应影响到其它模块的正常应用。</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4、可靠性</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系统的可靠性是指系统抵御外界干扰的能力及受外界干扰时的恢复能力。鉴于本系统的应用性质，其运行可靠性应得到充分保证。</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系统应具有防盗、耐高温、抗寒、散热排风等基本功能，使用的各类电气接线端子、过载、漏电及断路保护装置、避雷装置、熔断器等装置，均应符合国家有关电气安全标准要求。系统应具有因意外事件宕机后自动重启功能。</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5、易维护性</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系统应在设计</w:t>
      </w:r>
      <w:r>
        <w:rPr>
          <w:rFonts w:hint="eastAsia" w:asciiTheme="minorEastAsia" w:hAnsiTheme="minorEastAsia" w:eastAsiaTheme="minorEastAsia" w:cstheme="minorEastAsia"/>
          <w:color w:val="auto"/>
          <w:kern w:val="2"/>
          <w:szCs w:val="24"/>
          <w:highlight w:val="none"/>
          <w:lang w:val="en-US" w:eastAsia="zh-CN"/>
        </w:rPr>
        <w:t>建设</w:t>
      </w:r>
      <w:r>
        <w:rPr>
          <w:rFonts w:hint="eastAsia" w:asciiTheme="minorEastAsia" w:hAnsiTheme="minorEastAsia" w:eastAsiaTheme="minorEastAsia" w:cstheme="minorEastAsia"/>
          <w:color w:val="auto"/>
          <w:kern w:val="2"/>
          <w:szCs w:val="24"/>
          <w:highlight w:val="none"/>
        </w:rPr>
        <w:t>时充分考虑其易维护性，以确保系统在使用过程中出现故障时能在最短时间内恢复运行。系统应具备设备日志记录、远程维护与管理、故障及时告警等功能，以方便日常维护。</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6、安全性</w:t>
      </w:r>
    </w:p>
    <w:p>
      <w:pPr>
        <w:pStyle w:val="142"/>
        <w:spacing w:line="360" w:lineRule="auto"/>
        <w:ind w:firstLine="480"/>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网络环境下系统软硬件平台、信息传输加工和数据存储共享等应把安全性放在首位，加强整个系统的安全防护体系建设，保障系统网络的安全可靠性，避免遭到恶意攻击和数据被非法提取、使用的现象出现。</w:t>
      </w:r>
    </w:p>
    <w:p>
      <w:pPr>
        <w:pStyle w:val="6"/>
        <w:widowControl w:val="0"/>
        <w:tabs>
          <w:tab w:val="clear" w:pos="1080"/>
        </w:tabs>
        <w:spacing w:before="260" w:after="260" w:line="416" w:lineRule="auto"/>
        <w:rPr>
          <w:rFonts w:hint="eastAsia" w:ascii="楷体" w:hAnsi="楷体" w:eastAsia="楷体" w:cs="楷体"/>
          <w:b/>
          <w:color w:val="auto"/>
        </w:rPr>
      </w:pPr>
      <w:r>
        <w:rPr>
          <w:rFonts w:hint="eastAsia" w:ascii="楷体" w:hAnsi="楷体" w:eastAsia="楷体" w:cs="楷体"/>
          <w:b/>
          <w:color w:val="auto"/>
        </w:rPr>
        <w:t>（四）项目建设依据</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（1）相关指导政策</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《中共中央关于全面深化改革若干重大问题的决定》；</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《关于加强社会治安防控体系建设的意见》；</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《关于加强公共安全视频监控建设联网应用工作的若干意见》，发改高技〔2015〕996号；</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《关于印发《浙江省公共安全视频监控建设联网应用工作实施方案（2016-2020）》的通知》（浙综委办[2016]11号）；</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关于批准发布《社会治安综合治理综治中心建设与管理规范》国家标准的公告（2016年第16号）；</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《公共安全视频建设联网应用“十三五”规划方案》，中综委密电〔2016〕182号；</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《浙江省公共安全视频监控建设联网应用工作实施方案（2016-2020年）》（浙综委办〔2016〕11号）；</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《关于印发《浙江省公共安全视频建设联网整合共享应用工作规范》的通知》（浙综委办〔2017〕12号）；</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《关于印发《浙江省“雪亮工程”2017年推进计划》的通知》（浙综委办〔2017〕13号）；</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（2）技术标准规范</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《浙江省安全技术防范系统建设技术规范》，DB33/T768</w:t>
      </w:r>
      <w:r>
        <w:rPr>
          <w:rFonts w:hint="eastAsia" w:asciiTheme="minorEastAsia" w:hAnsiTheme="minorEastAsia" w:eastAsiaTheme="minorEastAsia" w:cstheme="minorEastAsia"/>
          <w:color w:val="auto"/>
          <w:kern w:val="2"/>
          <w:sz w:val="24"/>
          <w:szCs w:val="24"/>
          <w:highlight w:val="none"/>
          <w:lang w:val="en-US" w:eastAsia="zh-CN"/>
        </w:rPr>
        <w:t>-2009</w:t>
      </w:r>
      <w:r>
        <w:rPr>
          <w:rFonts w:hint="eastAsia" w:asciiTheme="minorEastAsia" w:hAnsiTheme="minorEastAsia" w:eastAsiaTheme="minorEastAsia" w:cstheme="minorEastAsia"/>
          <w:color w:val="auto"/>
          <w:kern w:val="2"/>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《安全防范视频监控联网系统信息传输、交换、控制技术要求》，GB/T28181-2016；</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《公共安全视频监控联网信息安全技术要求》GB 35114-2017；</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《公共安全视频图像信息联网共享应用标准体系（2017版）》；</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《公共安全视频监控数字视音频编解码技术要求》，GB/T 25724-2017；</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《公共安全视频监控联网信息安全技术要求》，GB 35114-2017；</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《公共安全视频图像信息联网共享应用总体要求》，GB/T；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《公共安全视频图像信息共享交换平台技术要求》，GB/T；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《公共安全视频图像信息共享交换网络技术要求》，GB/T；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《公共安全视频图像信息综合应用平台技术要求》，GB/T；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《公共安全视频图像信息综合应用服务接口技术要求》，GB/T；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《公共安全视频图像分析系统第1部分：通用技术要求》，GB/T；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《公共安全视频图像分析系统第2部分：视频图像内容分析及描述技术要求》，GB/T；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《公共安全视频图像分析系统第3部分：视频图像增强技术要求》，GB/T；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《公共安全视频图像分析系统第4部分：视频图像检索技术要求》，GB/T；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《公共安全视频图像分析系统第5部分：检验规范》，GB/T；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《公共安全视频监控运维管理技术要求》，GB/T；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《公共安全视频监控边界安全交互技术要求》，GB/T；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《公共安全视频监控联网技术测试规范》，GB/T；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《公共安全视频监控数字视音频编解码技术测试规范》，GB/T；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《公共安全视频监控联网信息安全测试规范》，GB/T；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《公共安全视频图像信息综合应</w:t>
      </w:r>
      <w:r>
        <w:rPr>
          <w:rFonts w:hint="eastAsia" w:asciiTheme="minorEastAsia" w:hAnsiTheme="minorEastAsia" w:eastAsiaTheme="minorEastAsia" w:cstheme="minorEastAsia"/>
          <w:color w:val="auto"/>
          <w:kern w:val="2"/>
          <w:sz w:val="24"/>
          <w:szCs w:val="24"/>
          <w:highlight w:val="none"/>
          <w:lang w:val="en-US" w:eastAsia="zh-CN" w:bidi="ar-SA"/>
        </w:rPr>
        <w:t>用平台软件测试规范》，</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"https://www.baidu.com/link?url=yz-1_MaYpcw_-ZxIuAGZ48Iurg6C1cxMWy8rEff-taaAawXIOi0GUfm3_xrPQtBSUaGYnWCxU98jE2pvYg6oEa&amp;wd=&amp;eqid=aee72a6f0000b360000000056194bcf4" \t "https://www.baidu.com/_blank"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GA/T 1765-2021</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kern w:val="2"/>
          <w:sz w:val="24"/>
          <w:szCs w:val="24"/>
          <w:highlight w:val="none"/>
          <w:lang w:val="en-US" w:eastAsia="zh-CN" w:bidi="ar-SA"/>
        </w:rPr>
        <w: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《公共安全视频图像信息综合应用服务接口测试规范》，GB/T；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《公共安全视频监控运维管理软件测试规范》，GB/T；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《公共安全视频图像信息采集规范》，20131103-Q-312；</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《公共安全视频图像信息共享使用管理规范》，GB/T；</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《公共安全视频图像信息交换共享体系IP地址规划》国家电子政务外网管理中心（2017）；</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《城乡社区网格化服务管理规范》GB/T 34300-2017；</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《跨区域视频监控联网共享技术规范》，DB33/T 629-2011；</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《社会治安综合治理基础数据规范》，GB/T 31000-2015；</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《综治中心建设标准与规范》，GB/T33200-2016；</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《安全防范工程技术规范》，（GB50348-2018）；</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《视频安防监控系统工程设计规范》，GB 50395-2007；</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《视频安防监控系统技术要求》，GA/T367－2001；</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《安全防范系统验收规则》，GA308－2001；</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《安全防范工程程序与要求》，GA/T75－94。</w:t>
      </w:r>
    </w:p>
    <w:p>
      <w:pPr>
        <w:spacing w:line="360" w:lineRule="auto"/>
        <w:ind w:firstLine="480" w:firstLineChars="200"/>
        <w:rPr>
          <w:rFonts w:hint="eastAsia" w:ascii="楷体" w:hAnsi="楷体" w:eastAsia="楷体" w:cs="楷体"/>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《综合布线系统工程设计规范》，（GB50311-2016）。</w:t>
      </w:r>
    </w:p>
    <w:p>
      <w:pPr>
        <w:pStyle w:val="6"/>
        <w:widowControl w:val="0"/>
        <w:tabs>
          <w:tab w:val="clear" w:pos="1080"/>
        </w:tabs>
        <w:spacing w:before="260" w:after="260" w:line="416" w:lineRule="auto"/>
        <w:rPr>
          <w:rFonts w:hint="eastAsia" w:ascii="楷体" w:hAnsi="楷体" w:eastAsia="楷体" w:cs="楷体"/>
          <w:b/>
          <w:color w:val="auto"/>
        </w:rPr>
      </w:pPr>
      <w:bookmarkStart w:id="37" w:name="_Toc60957558"/>
      <w:r>
        <w:rPr>
          <w:rFonts w:hint="eastAsia" w:ascii="楷体" w:hAnsi="楷体" w:eastAsia="楷体" w:cs="楷体"/>
          <w:b/>
          <w:color w:val="auto"/>
        </w:rPr>
        <w:t>（五）建设目标</w:t>
      </w:r>
      <w:bookmarkEnd w:id="37"/>
      <w:bookmarkStart w:id="38" w:name="_Toc60957559"/>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以推进公安交通管理科技强警建设为重点，以科技创新为动力，以信息化为依托，全面提升永康市</w:t>
      </w:r>
      <w:r>
        <w:rPr>
          <w:rFonts w:hint="eastAsia" w:asciiTheme="minorEastAsia" w:hAnsiTheme="minorEastAsia" w:eastAsiaTheme="minorEastAsia" w:cstheme="minorEastAsia"/>
          <w:color w:val="auto"/>
          <w:kern w:val="2"/>
          <w:sz w:val="24"/>
          <w:szCs w:val="24"/>
          <w:highlight w:val="none"/>
          <w:lang w:val="en-US" w:eastAsia="zh-CN"/>
        </w:rPr>
        <w:t>道路</w:t>
      </w:r>
      <w:r>
        <w:rPr>
          <w:rFonts w:hint="eastAsia" w:asciiTheme="minorEastAsia" w:hAnsiTheme="minorEastAsia" w:eastAsiaTheme="minorEastAsia" w:cstheme="minorEastAsia"/>
          <w:color w:val="auto"/>
          <w:kern w:val="2"/>
          <w:sz w:val="24"/>
          <w:szCs w:val="24"/>
          <w:highlight w:val="none"/>
        </w:rPr>
        <w:t>交通管理科技水平，提高永康市交通警察大队整体科技素质和战斗力，为创建有序、安全、畅通的城市道路交通环境提供支持与保障。围绕市民当前广泛关注和亟待解决的交通问题，强化资源整合、模式创新，使市民享受到安全、高效、便捷、舒适的交通服务，提升市民获得感和幸福感。</w:t>
      </w:r>
    </w:p>
    <w:p>
      <w:pPr>
        <w:pStyle w:val="5"/>
        <w:numPr>
          <w:ilvl w:val="0"/>
          <w:numId w:val="7"/>
        </w:numPr>
        <w:spacing w:after="240" w:line="360" w:lineRule="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建设</w:t>
      </w:r>
      <w:r>
        <w:rPr>
          <w:rFonts w:hint="eastAsia" w:ascii="华文宋体" w:hAnsi="华文宋体" w:eastAsia="华文宋体" w:cs="华文宋体"/>
          <w:sz w:val="24"/>
          <w:szCs w:val="24"/>
        </w:rPr>
        <w:t>内容</w:t>
      </w:r>
      <w:bookmarkEnd w:id="30"/>
      <w:bookmarkEnd w:id="31"/>
      <w:bookmarkEnd w:id="38"/>
    </w:p>
    <w:p>
      <w:pPr>
        <w:pStyle w:val="6"/>
        <w:keepNext/>
        <w:keepLines/>
        <w:pageBreakBefore w:val="0"/>
        <w:widowControl w:val="0"/>
        <w:tabs>
          <w:tab w:val="clear" w:pos="1080"/>
        </w:tabs>
        <w:kinsoku/>
        <w:wordWrap/>
        <w:overflowPunct/>
        <w:topLinePunct w:val="0"/>
        <w:autoSpaceDE/>
        <w:autoSpaceDN/>
        <w:bidi w:val="0"/>
        <w:adjustRightInd/>
        <w:snapToGrid/>
        <w:spacing w:before="260" w:after="26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color w:val="auto"/>
        </w:rPr>
        <w:t>（一）</w:t>
      </w:r>
      <w:r>
        <w:rPr>
          <w:rFonts w:hint="eastAsia" w:asciiTheme="minorEastAsia" w:hAnsiTheme="minorEastAsia" w:eastAsiaTheme="minorEastAsia" w:cstheme="minorEastAsia"/>
          <w:b/>
          <w:color w:val="auto"/>
          <w:lang w:val="en-US" w:eastAsia="zh-CN"/>
        </w:rPr>
        <w:t>建设清单</w:t>
      </w:r>
    </w:p>
    <w:tbl>
      <w:tblPr>
        <w:tblStyle w:val="28"/>
        <w:tblW w:w="92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3240"/>
        <w:gridCol w:w="1080"/>
        <w:gridCol w:w="1220"/>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单位</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数量</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新建电子警察抓拍系统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路口</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详见采购内容详细要求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AR高空瞭望系统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详见采购内容详细要求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交通LED诱导发布屏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详见采购内容详细要求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自动无人机巡逻管控系统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详见采购内容详细要求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备注：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1）采购货物清单中序号1-3项的货物前端取电（220V市电）、交通、市政、园林、城管均由采购人协调、中标供应商完成。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2）采购货物清单中序号1-3项的货物要求与公安原智能监控综合平台进行无缝对接，并根据要求图片、视频图像能无条件接入上级系统，对接过程中产生的一切费用均由中标供应商承担。</w:t>
            </w:r>
          </w:p>
        </w:tc>
      </w:tr>
    </w:tbl>
    <w:p>
      <w:pPr>
        <w:pStyle w:val="6"/>
        <w:keepNext/>
        <w:keepLines/>
        <w:pageBreakBefore w:val="0"/>
        <w:widowControl w:val="0"/>
        <w:tabs>
          <w:tab w:val="clear" w:pos="1080"/>
        </w:tabs>
        <w:kinsoku/>
        <w:wordWrap/>
        <w:overflowPunct/>
        <w:topLinePunct w:val="0"/>
        <w:autoSpaceDE/>
        <w:autoSpaceDN/>
        <w:bidi w:val="0"/>
        <w:adjustRightInd/>
        <w:snapToGrid/>
        <w:spacing w:before="260" w:after="260" w:line="416" w:lineRule="auto"/>
        <w:textAlignment w:val="auto"/>
        <w:rPr>
          <w:rFonts w:hint="eastAsia" w:asciiTheme="minorEastAsia" w:hAnsiTheme="minorEastAsia" w:eastAsiaTheme="minorEastAsia" w:cstheme="minorEastAsia"/>
          <w:b/>
          <w:bCs w:val="0"/>
          <w:color w:val="auto"/>
          <w:highlight w:val="none"/>
          <w:lang w:val="en-US" w:eastAsia="zh-CN"/>
        </w:rPr>
      </w:pPr>
      <w:bookmarkStart w:id="39" w:name="_Toc77088714"/>
      <w:r>
        <w:rPr>
          <w:rFonts w:hint="eastAsia" w:asciiTheme="minorEastAsia" w:hAnsiTheme="minorEastAsia" w:eastAsiaTheme="minorEastAsia" w:cstheme="minorEastAsia"/>
          <w:b/>
          <w:bCs w:val="0"/>
          <w:color w:val="auto"/>
          <w:highlight w:val="none"/>
          <w:lang w:eastAsia="zh-CN"/>
        </w:rPr>
        <w:t>（</w:t>
      </w:r>
      <w:r>
        <w:rPr>
          <w:rFonts w:hint="eastAsia" w:asciiTheme="minorEastAsia" w:hAnsiTheme="minorEastAsia" w:eastAsiaTheme="minorEastAsia" w:cstheme="minorEastAsia"/>
          <w:b/>
          <w:bCs w:val="0"/>
          <w:color w:val="auto"/>
          <w:highlight w:val="none"/>
          <w:lang w:val="en-US" w:eastAsia="zh-CN"/>
        </w:rPr>
        <w:t>二</w:t>
      </w:r>
      <w:r>
        <w:rPr>
          <w:rFonts w:hint="eastAsia" w:asciiTheme="minorEastAsia" w:hAnsiTheme="minorEastAsia" w:eastAsiaTheme="minorEastAsia" w:cstheme="minorEastAsia"/>
          <w:b/>
          <w:bCs w:val="0"/>
          <w:color w:val="auto"/>
          <w:highlight w:val="none"/>
          <w:lang w:eastAsia="zh-CN"/>
        </w:rPr>
        <w:t>）</w:t>
      </w:r>
      <w:r>
        <w:rPr>
          <w:rFonts w:hint="eastAsia" w:asciiTheme="minorEastAsia" w:hAnsiTheme="minorEastAsia" w:eastAsiaTheme="minorEastAsia" w:cstheme="minorEastAsia"/>
          <w:b/>
          <w:bCs w:val="0"/>
          <w:color w:val="auto"/>
          <w:highlight w:val="none"/>
        </w:rPr>
        <w:t>建设</w:t>
      </w:r>
      <w:bookmarkEnd w:id="39"/>
      <w:r>
        <w:rPr>
          <w:rFonts w:hint="eastAsia" w:asciiTheme="minorEastAsia" w:hAnsiTheme="minorEastAsia" w:eastAsiaTheme="minorEastAsia" w:cstheme="minorEastAsia"/>
          <w:b/>
          <w:bCs w:val="0"/>
          <w:color w:val="auto"/>
          <w:highlight w:val="none"/>
          <w:lang w:val="en-US" w:eastAsia="zh-CN"/>
        </w:rPr>
        <w:t>系统</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bookmarkStart w:id="40" w:name="_Toc59961362"/>
      <w:r>
        <w:rPr>
          <w:rFonts w:hint="eastAsia" w:asciiTheme="minorEastAsia" w:hAnsiTheme="minorEastAsia" w:eastAsiaTheme="minorEastAsia" w:cstheme="minorEastAsia"/>
          <w:b/>
          <w:bCs w:val="0"/>
          <w:color w:val="auto"/>
          <w:sz w:val="24"/>
          <w:szCs w:val="24"/>
          <w:highlight w:val="none"/>
          <w:lang w:val="en-US" w:eastAsia="zh-CN"/>
        </w:rPr>
        <w:t>1.新建</w:t>
      </w:r>
      <w:r>
        <w:rPr>
          <w:rFonts w:hint="eastAsia" w:asciiTheme="minorEastAsia" w:hAnsiTheme="minorEastAsia" w:eastAsiaTheme="minorEastAsia" w:cstheme="minorEastAsia"/>
          <w:b/>
          <w:bCs w:val="0"/>
          <w:color w:val="auto"/>
          <w:sz w:val="24"/>
          <w:szCs w:val="24"/>
          <w:highlight w:val="none"/>
        </w:rPr>
        <w:t>电子警察抓拍</w:t>
      </w:r>
      <w:r>
        <w:rPr>
          <w:rFonts w:hint="eastAsia" w:asciiTheme="minorEastAsia" w:hAnsiTheme="minorEastAsia" w:eastAsiaTheme="minorEastAsia" w:cstheme="minorEastAsia"/>
          <w:b/>
          <w:bCs w:val="0"/>
          <w:color w:val="auto"/>
          <w:sz w:val="24"/>
          <w:szCs w:val="24"/>
          <w:highlight w:val="none"/>
          <w:lang w:val="en-US" w:eastAsia="zh-CN"/>
        </w:rPr>
        <w:t>系统</w:t>
      </w:r>
      <w:bookmarkStart w:id="41" w:name="_Toc28951"/>
      <w:bookmarkStart w:id="42" w:name="_Toc18350"/>
    </w:p>
    <w:p>
      <w:pPr>
        <w:pStyle w:val="2"/>
        <w:adjustRightInd w:val="0"/>
        <w:snapToGrid w:val="0"/>
        <w:spacing w:line="360" w:lineRule="auto"/>
        <w:outlineLvl w:val="3"/>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1.1、</w:t>
      </w:r>
      <w:r>
        <w:rPr>
          <w:rFonts w:hint="eastAsia" w:asciiTheme="minorEastAsia" w:hAnsiTheme="minorEastAsia" w:eastAsiaTheme="minorEastAsia" w:cstheme="minorEastAsia"/>
          <w:color w:val="auto"/>
          <w:szCs w:val="24"/>
          <w:highlight w:val="none"/>
        </w:rPr>
        <w:t>设备清单及技术参数表</w:t>
      </w:r>
    </w:p>
    <w:bookmarkEnd w:id="41"/>
    <w:bookmarkEnd w:id="42"/>
    <w:tbl>
      <w:tblPr>
        <w:tblStyle w:val="28"/>
        <w:tblW w:w="4927" w:type="pct"/>
        <w:tblInd w:w="88" w:type="dxa"/>
        <w:tblLayout w:type="fixed"/>
        <w:tblCellMar>
          <w:top w:w="0" w:type="dxa"/>
          <w:left w:w="108" w:type="dxa"/>
          <w:bottom w:w="0" w:type="dxa"/>
          <w:right w:w="108" w:type="dxa"/>
        </w:tblCellMar>
      </w:tblPr>
      <w:tblGrid>
        <w:gridCol w:w="618"/>
        <w:gridCol w:w="1334"/>
        <w:gridCol w:w="5073"/>
        <w:gridCol w:w="582"/>
        <w:gridCol w:w="796"/>
      </w:tblGrid>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设备名称</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设备清单及技术参数表</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单位</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高清电子警察</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传感器类型：≥1英寸全局曝光CMOS</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像素：≥900W，分辨率：≥4096(H)×2160(V)</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华文宋体" w:hAnsi="华文宋体" w:eastAsia="华文宋体" w:cs="华文宋体"/>
                <w:color w:val="auto"/>
                <w:highlight w:val="none"/>
              </w:rPr>
              <w:t>★</w:t>
            </w:r>
            <w:r>
              <w:rPr>
                <w:rFonts w:hint="eastAsia" w:asciiTheme="minorEastAsia" w:hAnsiTheme="minorEastAsia" w:eastAsiaTheme="minorEastAsia" w:cstheme="minorEastAsia"/>
                <w:color w:val="auto"/>
                <w:kern w:val="0"/>
                <w:highlight w:val="none"/>
                <w:lang w:bidi="ar"/>
              </w:rPr>
              <w:t>图片支持可见光图片（全彩）、红外图片（黑白）以及融合图片；或黑白图像和彩色图像并融合显示（输出）（提供公安部检测报告）或内置双Sensor或双GPU处理器，达到微光成像的效果（提供公安部检测报告）。</w:t>
            </w:r>
          </w:p>
          <w:p>
            <w:pPr>
              <w:jc w:val="left"/>
              <w:textAlignment w:val="center"/>
              <w:rPr>
                <w:rFonts w:hint="eastAsia" w:asciiTheme="minorEastAsia" w:hAnsiTheme="minorEastAsia" w:eastAsiaTheme="minorEastAsia" w:cstheme="minorEastAsia"/>
                <w:color w:val="auto"/>
                <w:kern w:val="0"/>
                <w:highlight w:val="none"/>
                <w:lang w:eastAsia="zh-CN" w:bidi="ar"/>
              </w:rPr>
            </w:pPr>
            <w:r>
              <w:rPr>
                <w:rFonts w:hint="eastAsia" w:asciiTheme="minorEastAsia" w:hAnsiTheme="minorEastAsia" w:eastAsiaTheme="minorEastAsia" w:cstheme="minorEastAsia"/>
                <w:color w:val="auto"/>
                <w:kern w:val="0"/>
                <w:highlight w:val="none"/>
                <w:lang w:bidi="ar"/>
              </w:rPr>
              <w:t>支持车牌黑/白名单设置，至少可设置2万条黑/白名单</w:t>
            </w:r>
            <w:r>
              <w:rPr>
                <w:rFonts w:hint="eastAsia" w:asciiTheme="minorEastAsia" w:hAnsiTheme="minorEastAsia" w:eastAsiaTheme="minorEastAsia" w:cstheme="minorEastAsia"/>
                <w:color w:val="auto"/>
                <w:kern w:val="0"/>
                <w:highlight w:val="none"/>
                <w:lang w:eastAsia="zh-CN" w:bidi="ar"/>
              </w:rPr>
              <w:t>。</w:t>
            </w:r>
          </w:p>
          <w:p>
            <w:pPr>
              <w:jc w:val="left"/>
              <w:textAlignment w:val="center"/>
              <w:rPr>
                <w:rFonts w:hint="eastAsia" w:asciiTheme="minorEastAsia" w:hAnsiTheme="minorEastAsia" w:eastAsiaTheme="minorEastAsia" w:cstheme="minorEastAsia"/>
                <w:color w:val="auto"/>
                <w:kern w:val="0"/>
                <w:highlight w:val="none"/>
                <w:lang w:eastAsia="zh-CN" w:bidi="ar"/>
              </w:rPr>
            </w:pPr>
            <w:r>
              <w:rPr>
                <w:rFonts w:hint="eastAsia" w:asciiTheme="minorEastAsia" w:hAnsiTheme="minorEastAsia" w:eastAsiaTheme="minorEastAsia" w:cstheme="minorEastAsia"/>
                <w:color w:val="auto"/>
                <w:kern w:val="0"/>
                <w:highlight w:val="none"/>
                <w:lang w:bidi="ar"/>
              </w:rPr>
              <w:t>支持对闯禁令的大小货车、土方车、挂车、混凝土搅拌车和大型客车进行检测抓拍，包括黄牌和蓝牌，全天捕获率不低于99%</w:t>
            </w:r>
            <w:r>
              <w:rPr>
                <w:rFonts w:hint="eastAsia" w:asciiTheme="minorEastAsia" w:hAnsiTheme="minorEastAsia" w:eastAsiaTheme="minorEastAsia" w:cstheme="minorEastAsia"/>
                <w:color w:val="auto"/>
                <w:kern w:val="0"/>
                <w:highlight w:val="none"/>
                <w:lang w:eastAsia="zh-CN" w:bidi="ar"/>
              </w:rPr>
              <w:t>。</w:t>
            </w:r>
          </w:p>
          <w:p>
            <w:pPr>
              <w:jc w:val="left"/>
              <w:textAlignment w:val="center"/>
              <w:rPr>
                <w:rFonts w:hint="eastAsia" w:asciiTheme="minorEastAsia" w:hAnsiTheme="minorEastAsia" w:eastAsiaTheme="minorEastAsia" w:cstheme="minorEastAsia"/>
                <w:color w:val="auto"/>
                <w:kern w:val="0"/>
                <w:highlight w:val="none"/>
                <w:lang w:eastAsia="zh-CN" w:bidi="ar"/>
              </w:rPr>
            </w:pPr>
            <w:r>
              <w:rPr>
                <w:rFonts w:hint="eastAsia" w:asciiTheme="minorEastAsia" w:hAnsiTheme="minorEastAsia" w:eastAsiaTheme="minorEastAsia" w:cstheme="minorEastAsia"/>
                <w:color w:val="auto"/>
                <w:kern w:val="0"/>
                <w:highlight w:val="none"/>
                <w:lang w:bidi="ar"/>
              </w:rPr>
              <w:t>支持对支干车辆合进主干道路时不礼让主干道通行的车辆违章进行抓拍</w:t>
            </w:r>
            <w:r>
              <w:rPr>
                <w:rFonts w:hint="eastAsia" w:asciiTheme="minorEastAsia" w:hAnsiTheme="minorEastAsia" w:eastAsiaTheme="minorEastAsia" w:cstheme="minorEastAsia"/>
                <w:color w:val="auto"/>
                <w:kern w:val="0"/>
                <w:highlight w:val="none"/>
                <w:lang w:eastAsia="zh-CN" w:bidi="ar"/>
              </w:rPr>
              <w:t>。</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智能识别：目标检测：机动车抓拍，非机动抓拍，行人抓拍；</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hAnsi="等线" w:eastAsia="等线" w:cs="楷体"/>
                <w:kern w:val="0"/>
                <w:highlight w:val="none"/>
                <w:lang w:bidi="ar"/>
              </w:rPr>
              <w:t>★</w:t>
            </w:r>
            <w:r>
              <w:rPr>
                <w:rFonts w:hint="eastAsia" w:asciiTheme="minorEastAsia" w:hAnsiTheme="minorEastAsia" w:eastAsiaTheme="minorEastAsia" w:cstheme="minorEastAsia"/>
                <w:color w:val="auto"/>
                <w:kern w:val="0"/>
                <w:highlight w:val="none"/>
                <w:lang w:bidi="ar"/>
              </w:rPr>
              <w:t>违章检测：压线、逆行、闯红灯、不按导向行驶、违法变道、路口停止、绿灯停止、机占非、闯禁令（禁左、禁右、禁止大车、公交专用道）、闯绿灯；</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支持机动车、非机动车和行人目标检测、人脸检测、车牌识别、车辆类型识别、非机动车违法抓拍、机动车违法抓拍、车身颜色识别、视频结构化抓拍、图片合成、OSD信息叠加；车辆特征检测：车牌识别、车型识别、车身颜色识别、车辆品牌、车辆子品牌。</w:t>
            </w:r>
          </w:p>
          <w:p>
            <w:pPr>
              <w:jc w:val="left"/>
              <w:textAlignment w:val="center"/>
              <w:rPr>
                <w:rFonts w:hint="eastAsia" w:asciiTheme="minorEastAsia" w:hAnsiTheme="minorEastAsia" w:eastAsiaTheme="minorEastAsia" w:cstheme="minorEastAsia"/>
                <w:color w:val="auto"/>
                <w:kern w:val="0"/>
                <w:highlight w:val="none"/>
                <w:lang w:eastAsia="zh-CN" w:bidi="ar"/>
              </w:rPr>
            </w:pPr>
            <w:r>
              <w:rPr>
                <w:rFonts w:hint="eastAsia" w:asciiTheme="minorEastAsia" w:hAnsiTheme="minorEastAsia" w:eastAsiaTheme="minorEastAsia" w:cstheme="minorEastAsia"/>
                <w:color w:val="auto"/>
                <w:kern w:val="0"/>
                <w:highlight w:val="none"/>
                <w:lang w:bidi="ar"/>
              </w:rPr>
              <w:t>白天识别准确率≥99%；晚上识别准确率≥99%。（提供公安部检测报告）</w:t>
            </w:r>
            <w:r>
              <w:rPr>
                <w:rFonts w:hint="eastAsia" w:asciiTheme="minorEastAsia" w:hAnsiTheme="minorEastAsia" w:eastAsiaTheme="minorEastAsia" w:cstheme="minorEastAsia"/>
                <w:color w:val="auto"/>
                <w:kern w:val="0"/>
                <w:highlight w:val="none"/>
                <w:lang w:eastAsia="zh-CN" w:bidi="ar"/>
              </w:rPr>
              <w:t>。</w:t>
            </w:r>
          </w:p>
          <w:p>
            <w:pP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kern w:val="0"/>
                <w:highlight w:val="none"/>
                <w:lang w:bidi="ar"/>
              </w:rPr>
              <w:t>功耗：≤25W ；防护等级：≥IP65</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132</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高清反向环保卡口</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传感器类型：≥1英寸全局曝光CMOS</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像素：≥900W，分辨率：≥4096(H)×2160(V)</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华文宋体" w:hAnsi="华文宋体" w:eastAsia="华文宋体" w:cs="华文宋体"/>
                <w:color w:val="auto"/>
                <w:highlight w:val="none"/>
              </w:rPr>
              <w:t>★</w:t>
            </w:r>
            <w:r>
              <w:rPr>
                <w:rFonts w:hint="eastAsia" w:asciiTheme="minorEastAsia" w:hAnsiTheme="minorEastAsia" w:eastAsiaTheme="minorEastAsia" w:cstheme="minorEastAsia"/>
                <w:color w:val="auto"/>
                <w:kern w:val="0"/>
                <w:highlight w:val="none"/>
                <w:lang w:bidi="ar"/>
              </w:rPr>
              <w:t xml:space="preserve"> 图片支持可见光图片（全彩）、红外图片（黑白）以及融合图片；或黑白图像和彩色图像并融合显示（输出）（提供公安部检测报告）或内置双Sensor或双GPU处理器，达到微光成像的效果（提供公安部检测报告）。</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支持在25%丢包率的网络环境下，正常显示监控画面</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支持检测并跟踪指定区域内不少于60个目标（机动车、非机动车及行人）</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支持车标识别功能，白天和晚上的识别率均不低于99%</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支持不系安全带行为的违法抓拍</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支持车辆捕获功能，白天准确率≥99%，夜间准确率≥99%；</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白天识别准确率≥99%；晚上识别准确率≥99%。</w:t>
            </w:r>
          </w:p>
          <w:p>
            <w:pPr>
              <w:jc w:val="left"/>
              <w:textAlignment w:val="center"/>
              <w:rPr>
                <w:rFonts w:hint="eastAsia" w:asciiTheme="minorEastAsia" w:hAnsiTheme="minorEastAsia" w:eastAsiaTheme="minorEastAsia" w:cstheme="minorEastAsia"/>
                <w:color w:val="auto"/>
                <w:kern w:val="0"/>
                <w:highlight w:val="none"/>
                <w:lang w:eastAsia="zh-CN" w:bidi="ar"/>
              </w:rPr>
            </w:pPr>
            <w:r>
              <w:rPr>
                <w:rFonts w:hint="eastAsia" w:asciiTheme="minorEastAsia" w:hAnsiTheme="minorEastAsia" w:eastAsiaTheme="minorEastAsia" w:cstheme="minorEastAsia"/>
                <w:color w:val="auto"/>
                <w:kern w:val="0"/>
                <w:highlight w:val="none"/>
                <w:lang w:bidi="ar"/>
              </w:rPr>
              <w:t>支持通过菜单开启或关闭人脸质量优先抓图功能，当开启时，人脸轨迹中人脸质量分数达到设定值时自动进行人脸抓拍</w:t>
            </w:r>
            <w:r>
              <w:rPr>
                <w:rFonts w:hint="eastAsia" w:asciiTheme="minorEastAsia" w:hAnsiTheme="minorEastAsia" w:eastAsiaTheme="minorEastAsia" w:cstheme="minorEastAsia"/>
                <w:color w:val="auto"/>
                <w:kern w:val="0"/>
                <w:highlight w:val="none"/>
                <w:lang w:eastAsia="zh-CN" w:bidi="ar"/>
              </w:rPr>
              <w:t>。</w:t>
            </w:r>
          </w:p>
          <w:p>
            <w:pPr>
              <w:jc w:val="left"/>
              <w:textAlignment w:val="center"/>
              <w:rPr>
                <w:rFonts w:hint="eastAsia" w:asciiTheme="minorEastAsia" w:hAnsiTheme="minorEastAsia" w:eastAsiaTheme="minorEastAsia" w:cstheme="minorEastAsia"/>
                <w:color w:val="auto"/>
                <w:kern w:val="0"/>
                <w:highlight w:val="none"/>
                <w:lang w:eastAsia="zh-CN" w:bidi="ar"/>
              </w:rPr>
            </w:pPr>
            <w:r>
              <w:rPr>
                <w:rFonts w:hint="eastAsia" w:asciiTheme="minorEastAsia" w:hAnsiTheme="minorEastAsia" w:eastAsiaTheme="minorEastAsia" w:cstheme="minorEastAsia"/>
                <w:color w:val="auto"/>
                <w:kern w:val="0"/>
                <w:highlight w:val="none"/>
                <w:lang w:bidi="ar"/>
              </w:rPr>
              <w:t>支持不少于12种车身颜色识别，包括黑、白、灰、红、绿、蓝、黄、粉、紫、棕、青、橙</w:t>
            </w:r>
            <w:r>
              <w:rPr>
                <w:rFonts w:hint="eastAsia" w:asciiTheme="minorEastAsia" w:hAnsiTheme="minorEastAsia" w:eastAsiaTheme="minorEastAsia" w:cstheme="minorEastAsia"/>
                <w:color w:val="auto"/>
                <w:kern w:val="0"/>
                <w:highlight w:val="none"/>
                <w:lang w:eastAsia="zh-CN" w:bidi="ar"/>
              </w:rPr>
              <w:t>。</w:t>
            </w:r>
          </w:p>
          <w:p>
            <w:pP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kern w:val="0"/>
                <w:highlight w:val="none"/>
                <w:lang w:bidi="ar"/>
              </w:rPr>
              <w:t>防护等级：≥IP65</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一体补光灯</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LED频闪，灯珠数量≥24颗；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支持PWM跟随触发，具有频率及占空比保护功能，发光角度10°；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气体爆闪具有防误触发功能，提高产品寿命。可覆盖1个车道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采用步进电机功能，实现滤片的切换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气体光源回电时间小于67ms，支持超速连拍，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气体补光控制具有峰值抑制功能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支持白光气体爆闪、LED频闪、LED爆闪模式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支持相机误触发保护功能，触发信号输入异常时自动保护、且自动恢复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防护等级：≥IP65</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LED补光灯</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1.灯珠数量≥16颗，暖光LED补光灯；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2.支持冷光、暖光色温可选；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3.支持触发信号同时支持开关量与电平量。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4.亮度多级可调，满足不同场所亮度要求。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5.防护等级：≥IP66</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红绿灯信号检测器</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16路AC220V信号灯输入接口、16路信号状态指示灯，1路RS485数据收发状态指示灯、1个5位拨码开关、1路5V电源输出接口</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检测信号灯电压范围AC110V~274V；信号灯输入端口有信号输入时，RS485端口会上传该端口的状态信息</w:t>
            </w:r>
          </w:p>
          <w:p>
            <w:pPr>
              <w:jc w:val="left"/>
              <w:textAlignment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color w:val="auto"/>
                <w:kern w:val="0"/>
                <w:highlight w:val="none"/>
                <w:lang w:bidi="ar"/>
              </w:rPr>
              <w:t>设备在正常工作条件下，连续工作168h不应出现电、机械或操作系统的故障</w:t>
            </w:r>
            <w:r>
              <w:rPr>
                <w:rFonts w:hint="eastAsia" w:asciiTheme="minorEastAsia" w:hAnsiTheme="minorEastAsia" w:eastAsiaTheme="minorEastAsia" w:cstheme="minorEastAsia"/>
                <w:color w:val="auto"/>
                <w:kern w:val="0"/>
                <w:highlight w:val="none"/>
                <w:lang w:eastAsia="zh-CN" w:bidi="ar"/>
              </w:rPr>
              <w:t>。</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终端服务器</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内存容量不小于2GB，设备≥14个10M/100M/1000M自适应RJ45接口；可支持16路高清视频及图片输入；</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可设置图片的存储空间，存储≥4T，在规定的空间内自动循环覆盖，剩余空间为录像存储空间</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 xml:space="preserve">可实时显示车流量、平均车速等数据；支持存储采集到的车流量信息,可对全部卡口或单个卡口按天或按小时实时统计过车流量,并能够按照时间、通道、车道等条件查询,支持表格形式展示,可将数据上传至平台。 </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 xml:space="preserve">对于在记录过程中出现的系统死机或意外故障，设备能够在规定的时间内自动恢复其正常工作状态并使故障前的信息不丢失。 </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 xml:space="preserve">设备内的录像、图片文件无法直接删除或者修改，只能通过循环覆盖和硬盘格式化操作。 </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p>
            <w:pPr>
              <w:jc w:val="left"/>
              <w:textAlignment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支持4块3.5或2.5英寸硬盘接入，最大兼容6TB硬盘，支持硬盘自动切换，当块硬盘损坏后，能自动切换至其它硬盘进行存储。</w:t>
            </w:r>
          </w:p>
          <w:p>
            <w:pP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kern w:val="0"/>
                <w:highlight w:val="none"/>
                <w:lang w:bidi="ar"/>
              </w:rPr>
              <w:t>当数据库文件由于断电等原因损坏后，可以通过网页手动控制数据库修复，恢复过车数据査询功能。</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室外落地机箱</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机箱采用钢材厚度≥1.5mm，通风孔、内部隔层、尺寸高*长*宽≥1200mm×600mm×600mm、外部喷塑防风、防水、防尘、、导轨、内嵌接入端子、穿线槽、插线排等</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抱杆机箱</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机箱采用钢材厚度≥1.5mm，通风孔、内部隔层、尺寸高*长*宽≥480mm×350mm×200mm，外部喷塑防风、防水、防尘、内嵌接入端子、穿线槽、插线排等</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113</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落地机柜基础</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基础700*700*500mm.C25混凝土</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立方</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主电源防雷器</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单相二线最大放电电流40KA，标准电压AC220V</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网络防雷器</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标准RJ45接口,保护交换机、工作站和各类网络通信设备、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1、满足10/100MHz的技术要求;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2、防雷能力强大,同时具有高放电电流和精细的保护电压输出;</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自动重合闸</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运行中因过压和欠压跳闸保护后，若故障一直存在，保护器则不进行重合闸，</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检测电压正常后，进行自动重合；运行中因漏电、过载、短路跳闸保护后，自动重合闸按 1 分钟/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次检测 3 次，如在检测过程发现符合合闸条件, 保护器将自动合闸, 否则不合闸，故障指示灯显</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示相应故障状态。若 3 次合闸不成功则进入锁死状态，不在进行自动重合闸，此时需要人为到现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场进行操作复位。</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L型八角杆8米</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立柱：φ280-220*6500*6mm;横臂：φ200-100*8000*7mm，8-M24-26φ500*6mm；8-M24*1300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L型八角杆9米</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立柱：φ280-220*6500*6mm;横臂：φ200-100*9000*8mm，8-M24-26φ500*6mm；8-M24*1300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L型八角杆13米</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立柱：φ320-280*6500*8mm;横臂：φ240-110*13000*8mm，φ550*6mm;8-M27*1600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L型八角杆14米</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立柱：φ430-360*6500*10mm;横臂：φ310-110*14000*6mm，φ650*8mm;8-M30*1600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L型八角杆15米</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立柱：φ430-360*6500*10mm;横臂：φ310-110*15000*6mm，φ650*8mm;8-M30*1600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T型八角杆6+14</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立柱：φ430-360*6000*10mm;横臂：φ310-110*14000*6mm;横臂：φ200-100*6000/8000*4mm</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T型八角杆8+14</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立柱：φ430-360*6000*10mm;横臂：φ310-110*14000*6mm;横臂：φ200-100*6000/8000*4mm</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T型八角杆7+3</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立柱：φ280-220*6500*6mm;横臂：2-φ200-100*7000*4mm，φ500*6mm；8-M24*1300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龙门架</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立柱：2-φ273*6500*10mm；横臂：2-φ140*6mm；支撑管：φ76*4mm，800*800*10mm；8-M30*1800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杆件基础件</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8-M24-26φ500*6mm；8-M24*1300，φ550*6mm;8-M27*1600，φ650*8mm;8-M30*1600，φ500*6mm；8-M24*1300，φ550*6mm;8-M27*1600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基础开挖</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基础土方开挖、清运</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立方</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507</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基础浇筑</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基础.C25混凝土浇筑、制模</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立方</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507</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立杆接地桩</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角钢1.5M</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手井</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500*500*600，含水泥井盖</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233</w:t>
            </w:r>
          </w:p>
        </w:tc>
      </w:tr>
      <w:tr>
        <w:tblPrEx>
          <w:tblCellMar>
            <w:top w:w="0" w:type="dxa"/>
            <w:left w:w="108" w:type="dxa"/>
            <w:bottom w:w="0" w:type="dxa"/>
            <w:right w:w="108" w:type="dxa"/>
          </w:tblCellMar>
        </w:tblPrEx>
        <w:trPr>
          <w:trHeight w:val="764"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1光4电光纤收发器</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百兆即插即用型工业以太网交换机，4个10/100M以太网电口，1个100M单模20KM，单纤SC光口，12~37VDC双电源输入</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111</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5光4电光纤收发器</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百兆即插即用型工业以太网交换机，1个1000M光电口，4个100M光电口，4个10/100M以太网电口，1个100M单模20KM，单纤SC光口，12~37VDC双电源输入</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摄像机电源线</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RVV3*1.5mm²</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12205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主电源线</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YJV2*4.0</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15635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红绿灯检测线、控制线</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RVVSP2*1.0mm²</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14685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LED补光灯电源线</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RVV3*1.5mm²</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11900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4芯室外单模光缆</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15635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室外超五类网线</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HSYV-5E4*2*0.5(灰）</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6470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接地线</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6mm²</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1730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顶管</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国产定制PE100管</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2280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100镀锌钢管</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国产定制100镀锌钢管</w:t>
            </w:r>
          </w:p>
        </w:tc>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安装调试</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含杆件运输吊装、相机、补光灯、机箱安装、接线、调试、杆内穿线、光纤熔接、系统集成等</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方向</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路面开挖及回填（绿化）</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人工绿化开挖、外运淤泥、回填土及恢复，含50PE管材及钢管地埋敷设、电线电缆管线敷设、管内穿电缆线</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2220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路面开挖及回填（混凝土）</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人工混凝土开挖、外运淤泥、回填土及恢复，含50PE管材及钢管地埋敷设、电线电缆管线敷设、管内穿电缆线</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945</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路面开挖及回填（人行道）</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人工人行道开挖、外运淤泥、回填土及恢复，含50PE管材及钢管地埋敷设、电线电缆管线敷设、管内穿电缆线</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1180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安全防护设施、空开、插排、水晶头、铁丝、胶布、文明措施、反光桶、水马等</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r>
      <w:tr>
        <w:tblPrEx>
          <w:tblCellMar>
            <w:top w:w="0" w:type="dxa"/>
            <w:left w:w="108" w:type="dxa"/>
            <w:bottom w:w="0" w:type="dxa"/>
            <w:right w:w="108" w:type="dxa"/>
          </w:tblCellMar>
        </w:tblPrEx>
        <w:trPr>
          <w:trHeight w:val="30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光纤租赁</w:t>
            </w:r>
          </w:p>
        </w:tc>
        <w:tc>
          <w:tcPr>
            <w:tcW w:w="30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单条不低于200M，租赁一年</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条</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r>
    </w:tbl>
    <w:p>
      <w:pPr>
        <w:rPr>
          <w:rFonts w:hint="eastAsia" w:asciiTheme="minorEastAsia" w:hAnsiTheme="minorEastAsia" w:eastAsiaTheme="minorEastAsia" w:cstheme="minorEastAsia"/>
          <w:color w:val="auto"/>
          <w:sz w:val="24"/>
          <w:szCs w:val="24"/>
          <w:highlight w:val="none"/>
        </w:rPr>
      </w:pPr>
    </w:p>
    <w:p>
      <w:pPr>
        <w:pStyle w:val="2"/>
        <w:adjustRightInd w:val="0"/>
        <w:snapToGrid w:val="0"/>
        <w:spacing w:line="360" w:lineRule="auto"/>
        <w:outlineLvl w:val="3"/>
        <w:rPr>
          <w:rFonts w:hint="eastAsia" w:asciiTheme="minorEastAsia" w:hAnsiTheme="minorEastAsia" w:eastAsiaTheme="minorEastAsia" w:cstheme="minorEastAsia"/>
          <w:color w:val="auto"/>
          <w:sz w:val="24"/>
          <w:szCs w:val="24"/>
          <w:highlight w:val="none"/>
          <w:lang w:val="en-US" w:eastAsia="zh-CN"/>
        </w:rPr>
      </w:pPr>
      <w:bookmarkStart w:id="43" w:name="_Toc26334"/>
      <w:r>
        <w:rPr>
          <w:rFonts w:hint="eastAsia" w:asciiTheme="minorEastAsia" w:hAnsiTheme="minorEastAsia" w:eastAsiaTheme="minorEastAsia" w:cstheme="minorEastAsia"/>
          <w:color w:val="auto"/>
          <w:sz w:val="24"/>
          <w:szCs w:val="24"/>
          <w:highlight w:val="none"/>
          <w:lang w:val="en-US" w:eastAsia="zh-CN"/>
        </w:rPr>
        <w:t>1.2、技术指标及功能要求</w:t>
      </w:r>
      <w:bookmarkEnd w:id="43"/>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1.1本项目对30个路口电子警察进行新建，新建电子警察抓拍系统全部采用纯视频检测方式，自动对视频流中运动物体进行实时逐帧检测、锁定、跟踪，根据车辆运动轨迹判断车辆是否违章并进行记录，无需破坏路面、埋设线圈。系统采用900万高清一体化摄像机为采集单元，单台摄像机覆盖单向1-3车道，4车道及以上车道配备2台抓拍单元。 </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1.2高清电子警察抓拍（兼卡口功能）系统需满足以下功能指标要求：</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（1）闯红灯记录功能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采用国际领先的计算机智能跟踪算法技术，对图像中每一辆车都能进行实时跟踪并记录其运动轨迹，并结合红绿灯状态智能判断车辆运行是否闯红灯违章。当判定车辆有闯红灯违章时，记录车辆闯红灯过程中四个位置的信息以反映机动车闯红灯违法过程。</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系统记录的各个位置间保持适宜的距离以反映机动车闯红灯违法过程，不会出现因间距太大影响对违法机动车进行认定的情形。</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（2）卡口记录功能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兼顾卡口功能，当车辆在其对应的绿灯或黄灯相位时越过停车线，系统会根据运动状态轨迹跟踪的情况，拍摄一张图片对过往车辆进行记录。图片能清晰的清晰辨别红绿灯信号、车辆类型、车牌号码、车身颜色等信息。</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（3）逆行记录功能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逆行即车辆的行驶方向与车道规定的方向相反。系统支持对逆向行驶的违法车辆进行检测、抓拍记录与识别。</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（4）闯禁令记录功能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系统可以通过对视频的智能分析判断车辆违反禁止线等违法行为，在禁止右/左转的路口可以对右转或者左转车辆进行跟踪判断并且对违法车辆进行抓拍三张违法图片，以记录违法的整个过程。</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（5）不按车道行驶记录功能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不按车道行驶是指车辆遇到“分向行驶车道”不按规定的车道行驶，包括左转、右转车辆占用直行车道，或在左转、右转车道上直行等情形。系统支持此类违法行为的记录，以三张图片清晰、完整表现违法过程。</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（6）违章变道记录功能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路口平行的两个车道间为白实线或者双黄线，则车辆不能跨越车道线在这两个车道之间随意变换位置行驶。系统能够对违法变道车辆进行记录，抓拍三张不同位置的图片以反映整个违法变道过程，其中第一张为车辆在初始车道行驶时抓拍的图片，第二张为压线行驶时抓拍的图片，第三张为变换到另一个车道上行驶时抓拍的图片。</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（7）压线行驶记录功能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系统支持对压线行驶的违法车辆进行检测、抓拍记录与识别，其主要针对在连续一段时间内压车道线行驶的车辆，此类车辆会影响前后车驾驶员的判断，干扰前后车的正常行驶。</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（8）违章停车记录功能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在车牌可识别范围内，如果车辆静止不动超过规定的时间，则认为该车辆违法停车。系统支持对此类行为进行检测、抓拍记录与识别，并可按照规定的时间间隔向后端平台发送报警信号。</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（9）信号灯状态检测功能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同时支持外接判定红绿灯和视频识别红绿灯功能，更加广泛的适用在各种现场情况下。其中外接红绿灯通过信号检测器来识别，可适用在红绿灯部分被遮挡或者红绿灯特别昏暗的路口，同时支持视频检测识别红绿灯信号，可区分直行、左转、右转、掉头等不同类型的红灯、黄灯、绿灯信号，这种方式无须接入红绿灯信号，消除施工困难.</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（10）信号灯相位同步功能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摄像机能够与路口红绿灯信号进行同步，确保抓拍到的图片中红绿灯颜色显示准确，避免红灯泛黄或无颜色，进而避免引起处罚争议。</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（11）全天候高清成像功能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图像抓拍时不受雨、雪、雾等天气、环境光的影响。在环境无雾包括雨雪天气下，抓拍图片不仅能清晰看清车辆号牌，还能看清车辆类型、车身颜色等车辆特征。</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(12)号牌自动识别功能</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系统具备对民用、警用、军用、武警等汽车号牌计算机自动识别能力。</w:t>
      </w:r>
    </w:p>
    <w:p>
      <w:pPr>
        <w:spacing w:line="46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电子警察抓拍系统需提供符合：GA/T496-2014《闯红灯自动记录系统通用技术条件》、GA/T 832-2014《道路交通安全违法行为图像取证技术规范》要求。</w:t>
      </w:r>
    </w:p>
    <w:p>
      <w:pPr>
        <w:keepNext w:val="0"/>
        <w:keepLines w:val="0"/>
        <w:pageBreakBefore w:val="0"/>
        <w:widowControl/>
        <w:kinsoku/>
        <w:wordWrap/>
        <w:overflowPunct/>
        <w:topLinePunct w:val="0"/>
        <w:autoSpaceDE/>
        <w:autoSpaceDN/>
        <w:bidi w:val="0"/>
        <w:adjustRightInd/>
        <w:snapToGrid/>
        <w:spacing w:line="460" w:lineRule="exact"/>
        <w:ind w:firstLine="360" w:firstLineChars="150"/>
        <w:textAlignment w:val="auto"/>
        <w:outlineLvl w:val="3"/>
        <w:rPr>
          <w:rFonts w:hint="eastAsia" w:asciiTheme="minorEastAsia" w:hAnsiTheme="minorEastAsia" w:eastAsiaTheme="minorEastAsia" w:cstheme="minorEastAsia"/>
          <w:b w:val="0"/>
          <w:bCs w:val="0"/>
          <w:color w:val="auto"/>
          <w:sz w:val="24"/>
          <w:szCs w:val="24"/>
          <w:highlight w:val="none"/>
          <w:lang w:val="en-US" w:eastAsia="zh-CN"/>
        </w:rPr>
      </w:pPr>
      <w:bookmarkStart w:id="44" w:name="_Toc25203"/>
      <w:bookmarkStart w:id="45" w:name="_Toc31191"/>
      <w:r>
        <w:rPr>
          <w:rFonts w:hint="eastAsia" w:asciiTheme="minorEastAsia" w:hAnsiTheme="minorEastAsia" w:eastAsiaTheme="minorEastAsia" w:cstheme="minorEastAsia"/>
          <w:b w:val="0"/>
          <w:bCs w:val="0"/>
          <w:color w:val="auto"/>
          <w:sz w:val="24"/>
          <w:szCs w:val="24"/>
          <w:highlight w:val="none"/>
          <w:lang w:val="en-US" w:eastAsia="zh-CN"/>
        </w:rPr>
        <w:t>1.3</w:t>
      </w:r>
      <w:bookmarkStart w:id="46" w:name="_Toc30380"/>
      <w:r>
        <w:rPr>
          <w:rFonts w:hint="eastAsia" w:asciiTheme="minorEastAsia" w:hAnsiTheme="minorEastAsia" w:eastAsiaTheme="minorEastAsia" w:cstheme="minorEastAsia"/>
          <w:b w:val="0"/>
          <w:bCs w:val="0"/>
          <w:color w:val="auto"/>
          <w:sz w:val="24"/>
          <w:szCs w:val="24"/>
          <w:highlight w:val="none"/>
          <w:lang w:val="en-US" w:eastAsia="zh-CN"/>
        </w:rPr>
        <w:t>、设备安装地点</w:t>
      </w:r>
      <w:bookmarkEnd w:id="44"/>
      <w:bookmarkEnd w:id="45"/>
      <w:bookmarkEnd w:id="46"/>
    </w:p>
    <w:tbl>
      <w:tblPr>
        <w:tblStyle w:val="28"/>
        <w:tblW w:w="821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87"/>
        <w:gridCol w:w="1308"/>
        <w:gridCol w:w="4581"/>
        <w:gridCol w:w="153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308"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设备类型</w:t>
            </w:r>
          </w:p>
        </w:tc>
        <w:tc>
          <w:tcPr>
            <w:tcW w:w="4581"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路口名称</w:t>
            </w:r>
          </w:p>
        </w:tc>
        <w:tc>
          <w:tcPr>
            <w:tcW w:w="1534"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方向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1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溪心路章前线</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金胜路与金马路交叉口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广电路与金马路交叉口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玫瑰园路口（广电路胡则路交叉口）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金胜路与群升地产交叉口（金胜路与胡则路交叉口）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东虹花苑路口（胡则路金龙路交叉口）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久居新城路口（胡则路金龙路交叉口）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永康教师进修学校路口（金马路与金龙路交叉口）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金马路消防站路口（南都路路口）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皇城北路铁岭路交叉口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东港路银川东路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东永一线禄堂路（东永一线金川路口古山经纬东路）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东永一线灵溪西路路口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银桂北路花城路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金桂南路花溪路交叉口（应益新村）</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溪心路梅垄路交叉口（西田畈）</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330国道临石线（洞合线）</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东永一线杜头山路口（黄龙路）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电警</w:t>
            </w:r>
          </w:p>
        </w:tc>
        <w:tc>
          <w:tcPr>
            <w:tcW w:w="458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铜陵东路学院南路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130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花园大道九州西路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金都路泉湖村口</w:t>
            </w:r>
          </w:p>
        </w:tc>
        <w:tc>
          <w:tcPr>
            <w:tcW w:w="15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330国道金鸡路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唐先东街唐先南街</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双舟线东清线</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双舟线上徐店村（双舟线柿上线）</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华西路南山沿路口（华西路黄龙路）</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永磐线龙山大道</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电警</w:t>
            </w:r>
          </w:p>
        </w:tc>
        <w:tc>
          <w:tcPr>
            <w:tcW w:w="4581"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双舟线临石线</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top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29</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电警</w:t>
            </w:r>
          </w:p>
        </w:tc>
        <w:tc>
          <w:tcPr>
            <w:tcW w:w="4581"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永武二线电镀城路口</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restart"/>
            <w:tcBorders>
              <w:top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30</w:t>
            </w:r>
          </w:p>
        </w:tc>
        <w:tc>
          <w:tcPr>
            <w:tcW w:w="1308"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电警</w:t>
            </w:r>
          </w:p>
        </w:tc>
        <w:tc>
          <w:tcPr>
            <w:tcW w:w="4581" w:type="dxa"/>
            <w:vMerge w:val="restar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方岩大道南风路口</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向东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向南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0" w:hRule="atLeast"/>
          <w:jc w:val="center"/>
        </w:trPr>
        <w:tc>
          <w:tcPr>
            <w:tcW w:w="787" w:type="dxa"/>
            <w:vMerge w:val="continue"/>
            <w:tcBorders>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向西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787" w:type="dxa"/>
            <w:vMerge w:val="continue"/>
            <w:tcBorders>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30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4581"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向北</w:t>
            </w:r>
          </w:p>
        </w:tc>
      </w:tr>
    </w:tbl>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rPr>
      </w:pPr>
    </w:p>
    <w:p>
      <w:pPr>
        <w:spacing w:line="360" w:lineRule="auto"/>
        <w:outlineLvl w:val="2"/>
        <w:rPr>
          <w:rFonts w:hint="eastAsia" w:asciiTheme="minorEastAsia" w:hAnsiTheme="minorEastAsia" w:eastAsiaTheme="minorEastAsia" w:cstheme="minorEastAsia"/>
          <w:b w:val="0"/>
          <w:bCs w:val="0"/>
          <w:color w:val="auto"/>
          <w:sz w:val="24"/>
          <w:szCs w:val="24"/>
        </w:rPr>
      </w:pPr>
      <w:bookmarkStart w:id="47" w:name="_Toc1519"/>
      <w:bookmarkStart w:id="48" w:name="_Toc10227"/>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w:t>
      </w:r>
      <w:bookmarkEnd w:id="47"/>
      <w:bookmarkEnd w:id="48"/>
      <w:r>
        <w:rPr>
          <w:rFonts w:hint="eastAsia" w:asciiTheme="minorEastAsia" w:hAnsiTheme="minorEastAsia" w:eastAsiaTheme="minorEastAsia" w:cstheme="minorEastAsia"/>
          <w:b w:val="0"/>
          <w:bCs w:val="0"/>
          <w:color w:val="auto"/>
          <w:sz w:val="24"/>
          <w:szCs w:val="24"/>
          <w:lang w:val="en-US" w:eastAsia="zh-CN"/>
        </w:rPr>
        <w:t>AR高空瞭望系统</w:t>
      </w:r>
    </w:p>
    <w:p>
      <w:pPr>
        <w:spacing w:line="360" w:lineRule="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.1、设备清单及技术参数表</w:t>
      </w:r>
    </w:p>
    <w:tbl>
      <w:tblPr>
        <w:tblStyle w:val="28"/>
        <w:tblW w:w="4994" w:type="pct"/>
        <w:tblInd w:w="0" w:type="dxa"/>
        <w:tblLayout w:type="autofit"/>
        <w:tblCellMar>
          <w:top w:w="0" w:type="dxa"/>
          <w:left w:w="108" w:type="dxa"/>
          <w:bottom w:w="0" w:type="dxa"/>
          <w:right w:w="108" w:type="dxa"/>
        </w:tblCellMar>
      </w:tblPr>
      <w:tblGrid>
        <w:gridCol w:w="619"/>
        <w:gridCol w:w="1432"/>
        <w:gridCol w:w="5276"/>
        <w:gridCol w:w="596"/>
        <w:gridCol w:w="595"/>
      </w:tblGrid>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设备名称</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设备技术参数</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单位</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数量</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AR高空瞭望</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传感器类型: ≥1/1.8＂最低照度：彩色：≤0.0003lux；黑白：≤0.0001lux</w:t>
            </w:r>
          </w:p>
          <w:p>
            <w:pPr>
              <w:jc w:val="left"/>
              <w:textAlignment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全景通道采用4个靶面尺寸为 1/1.8＂的镜头，分辨率为均为2560×1440，细节通道采用1个靶面尺寸为1/1.8＂镜头，分辨率为2560×1440。可输出1路主视频图像和4路辅视频图像。拼接后抓拍图片的分辨率为:主视频：2560×1440；辅视频：5520×2400</w:t>
            </w:r>
            <w:r>
              <w:rPr>
                <w:rFonts w:hint="eastAsia" w:asciiTheme="minorEastAsia" w:hAnsiTheme="minorEastAsia" w:eastAsiaTheme="minorEastAsia" w:cstheme="minorEastAsia"/>
                <w:color w:val="auto"/>
                <w:lang w:eastAsia="zh-CN"/>
              </w:rPr>
              <w:t>。</w:t>
            </w:r>
          </w:p>
          <w:p>
            <w:pPr>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具备视频标签添加，修改，删除和标准等系列管理功能；</w:t>
            </w:r>
          </w:p>
          <w:p>
            <w:pPr>
              <w:jc w:val="left"/>
              <w:textAlignment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标签类型包括：**站视频标签，建筑物视频标签，卡口视频标签，普通视频标签等</w:t>
            </w:r>
            <w:r>
              <w:rPr>
                <w:rFonts w:hint="eastAsia" w:asciiTheme="minorEastAsia" w:hAnsiTheme="minorEastAsia" w:eastAsiaTheme="minorEastAsia" w:cstheme="minorEastAsia"/>
                <w:color w:val="auto"/>
                <w:lang w:eastAsia="zh-CN"/>
              </w:rPr>
              <w:t>。</w:t>
            </w:r>
          </w:p>
          <w:p>
            <w:pPr>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具备视频标签联动功能，并可对高-高，高-低，低-高三种标签的位置的视频图像，进行切换预览。</w:t>
            </w:r>
          </w:p>
          <w:p>
            <w:pPr>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全景镜头光圈均≥F1.0。</w:t>
            </w:r>
          </w:p>
          <w:p>
            <w:pPr>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设备内置除湿器，可对设备内部进行除湿，除去玻璃罩上的水状附着物。</w:t>
            </w:r>
          </w:p>
          <w:p>
            <w:pPr>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支持镜头前盖玻璃加热功能</w:t>
            </w:r>
          </w:p>
          <w:p>
            <w:pPr>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水平视场角不小于190°，垂直视场角不小于102°。</w:t>
            </w:r>
          </w:p>
          <w:p>
            <w:pPr>
              <w:jc w:val="left"/>
              <w:textAlignment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p>
          <w:p>
            <w:pPr>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支持GPS功能</w:t>
            </w:r>
          </w:p>
          <w:p>
            <w:pPr>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rPr>
              <w:t>支持电子罗盘功能</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抱杆机箱</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机箱采用钢材厚度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1.5mm，通风孔、内部隔层、尺寸高*长*宽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480mm×350mm×200mm，外部喷塑防风、防水、防尘、内嵌接入端子、穿线槽、插线排等</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主电源防雷器</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单相二线最大放电电流40KA，标准电压AC220V</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网络防雷器</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标准RJ45接口,保护交换机、工作站和各类网络通信设备、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1、满足10/100MHz的技术要求;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2、防雷能力强大,同时具有高放电电流和精细的保护电压输出;</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自动重合闸</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运行中因过压和欠压跳闸保护后，若故障一直存在，保护器则不进行重合闸，检测电压正常后，进行自动重合；运行中因漏电、过载、短路跳闸保护后，自动重合闸按 1 分钟/次检测 3 次，如在检测过程发现符合合闸条件, 保护器将自动合闸, 否则不合闸，故障指示灯显示相应故障状态。若 3 次合闸不成功则进入锁死状态，不在进行自动重合闸，此时需要人为到现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场进行操作复位。</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高空支架</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高空支架现场定制</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件</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电缆</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RVV3*2.5mm²</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250</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辅材</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安全防护设施、空开、插排、接地系统、水晶头、铁丝、胶布等</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5口交换机</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DIN轨式即插即用型，5×10/100Base-T（X)端口，双电源输入，-40℃～75℃。</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安装调试</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含杆件运输吊装、相机、补光灯、机箱安装、接线、调试、杆内穿线、光纤熔接、系统集成、PE管材及钢管地埋敷设、电线电缆管线敷设、管内穿电缆线。</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方向</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光纤租赁</w:t>
            </w:r>
          </w:p>
        </w:tc>
        <w:tc>
          <w:tcPr>
            <w:tcW w:w="5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单条不低于100M，租赁一年。</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条</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r>
    </w:tbl>
    <w:p>
      <w:pPr>
        <w:rPr>
          <w:rFonts w:hint="eastAsia" w:asciiTheme="minorEastAsia" w:hAnsiTheme="minorEastAsia" w:eastAsiaTheme="minorEastAsia" w:cstheme="minorEastAsia"/>
          <w:color w:val="auto"/>
          <w:sz w:val="24"/>
          <w:szCs w:val="24"/>
        </w:rPr>
      </w:pPr>
    </w:p>
    <w:p>
      <w:pPr>
        <w:pStyle w:val="2"/>
        <w:adjustRightInd w:val="0"/>
        <w:snapToGrid w:val="0"/>
        <w:spacing w:line="360" w:lineRule="auto"/>
        <w:outlineLvl w:val="3"/>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2.2、技术指标及功能要求</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2.1针对重点区域、大型安保、警卫特勤任务等活动，通过AR实景系统，实时感知交通路网状态、拥堵信息，针对应急事件、警情、安保任务、大型活动等，全域调用场景内各子系统资源，动态显示警力分布，达到全域实时联动指挥。进行事件实时跟踪处理，周边警力实时调度。增强实时感知数据与信息数据的结合，实现可视、可控、可调度新指挥模式，提高**工作效率。</w:t>
      </w:r>
    </w:p>
    <w:p>
      <w:pPr>
        <w:pStyle w:val="13"/>
        <w:rPr>
          <w:rFonts w:hint="eastAsia" w:asciiTheme="minorEastAsia" w:hAnsiTheme="minorEastAsia" w:eastAsiaTheme="minorEastAsia" w:cstheme="minorEastAsia"/>
          <w:color w:val="auto"/>
          <w:lang w:val="en-US" w:eastAsia="zh-CN"/>
        </w:rPr>
      </w:pPr>
    </w:p>
    <w:p>
      <w:pPr>
        <w:pStyle w:val="2"/>
        <w:adjustRightInd w:val="0"/>
        <w:snapToGrid w:val="0"/>
        <w:spacing w:line="360" w:lineRule="auto"/>
        <w:outlineLvl w:val="3"/>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.3、设备安装地点</w:t>
      </w:r>
    </w:p>
    <w:tbl>
      <w:tblPr>
        <w:tblStyle w:val="28"/>
        <w:tblpPr w:leftFromText="180" w:rightFromText="180" w:vertAnchor="text" w:horzAnchor="page" w:tblpX="1406" w:tblpY="118"/>
        <w:tblOverlap w:val="never"/>
        <w:tblW w:w="9451" w:type="dxa"/>
        <w:tblInd w:w="0" w:type="dxa"/>
        <w:tblLayout w:type="fixed"/>
        <w:tblCellMar>
          <w:top w:w="0" w:type="dxa"/>
          <w:left w:w="108" w:type="dxa"/>
          <w:bottom w:w="0" w:type="dxa"/>
          <w:right w:w="108" w:type="dxa"/>
        </w:tblCellMar>
      </w:tblPr>
      <w:tblGrid>
        <w:gridCol w:w="1141"/>
        <w:gridCol w:w="2190"/>
        <w:gridCol w:w="6120"/>
      </w:tblGrid>
      <w:tr>
        <w:tblPrEx>
          <w:tblCellMar>
            <w:top w:w="0" w:type="dxa"/>
            <w:left w:w="108" w:type="dxa"/>
            <w:bottom w:w="0" w:type="dxa"/>
            <w:right w:w="108" w:type="dxa"/>
          </w:tblCellMar>
        </w:tblPrEx>
        <w:trPr>
          <w:trHeight w:val="450" w:hRule="atLeast"/>
        </w:trPr>
        <w:tc>
          <w:tcPr>
            <w:tcW w:w="1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设备类型</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点位名称</w:t>
            </w:r>
          </w:p>
        </w:tc>
      </w:tr>
      <w:tr>
        <w:tblPrEx>
          <w:tblCellMar>
            <w:top w:w="0" w:type="dxa"/>
            <w:left w:w="108" w:type="dxa"/>
            <w:bottom w:w="0" w:type="dxa"/>
            <w:right w:w="108" w:type="dxa"/>
          </w:tblCellMar>
        </w:tblPrEx>
        <w:trPr>
          <w:trHeight w:val="440" w:hRule="atLeast"/>
        </w:trPr>
        <w:tc>
          <w:tcPr>
            <w:tcW w:w="1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AR高空球机</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永康望春路康庭酒店高空</w:t>
            </w:r>
          </w:p>
        </w:tc>
      </w:tr>
      <w:tr>
        <w:tblPrEx>
          <w:tblCellMar>
            <w:top w:w="0" w:type="dxa"/>
            <w:left w:w="108" w:type="dxa"/>
            <w:bottom w:w="0" w:type="dxa"/>
            <w:right w:w="108" w:type="dxa"/>
          </w:tblCellMar>
        </w:tblPrEx>
        <w:trPr>
          <w:trHeight w:val="410" w:hRule="atLeast"/>
        </w:trPr>
        <w:tc>
          <w:tcPr>
            <w:tcW w:w="1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AR高空球机</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永康农村商业银行大楼望春路高空</w:t>
            </w:r>
          </w:p>
        </w:tc>
      </w:tr>
      <w:tr>
        <w:tblPrEx>
          <w:tblCellMar>
            <w:top w:w="0" w:type="dxa"/>
            <w:left w:w="108" w:type="dxa"/>
            <w:bottom w:w="0" w:type="dxa"/>
            <w:right w:w="108" w:type="dxa"/>
          </w:tblCellMar>
        </w:tblPrEx>
        <w:trPr>
          <w:trHeight w:val="410" w:hRule="atLeast"/>
        </w:trPr>
        <w:tc>
          <w:tcPr>
            <w:tcW w:w="1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AR高空球机</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永康城东路望春路高空</w:t>
            </w:r>
          </w:p>
        </w:tc>
      </w:tr>
      <w:tr>
        <w:trPr>
          <w:trHeight w:val="390" w:hRule="atLeast"/>
        </w:trPr>
        <w:tc>
          <w:tcPr>
            <w:tcW w:w="1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AR高空球机</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永康金城路溪中路高空</w:t>
            </w:r>
          </w:p>
        </w:tc>
      </w:tr>
      <w:tr>
        <w:tblPrEx>
          <w:tblCellMar>
            <w:top w:w="0" w:type="dxa"/>
            <w:left w:w="108" w:type="dxa"/>
            <w:bottom w:w="0" w:type="dxa"/>
            <w:right w:w="108" w:type="dxa"/>
          </w:tblCellMar>
        </w:tblPrEx>
        <w:trPr>
          <w:trHeight w:val="430" w:hRule="atLeast"/>
        </w:trPr>
        <w:tc>
          <w:tcPr>
            <w:tcW w:w="1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AR高空球机</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永康330国金都路紫微花园宾馆高空</w:t>
            </w:r>
          </w:p>
        </w:tc>
      </w:tr>
    </w:tbl>
    <w:p>
      <w:pPr>
        <w:rPr>
          <w:rFonts w:hint="eastAsia" w:asciiTheme="minorEastAsia" w:hAnsiTheme="minorEastAsia" w:eastAsiaTheme="minorEastAsia" w:cstheme="minorEastAsia"/>
          <w:color w:val="auto"/>
          <w:sz w:val="24"/>
          <w:szCs w:val="24"/>
        </w:rPr>
      </w:pPr>
    </w:p>
    <w:p>
      <w:pPr>
        <w:widowControl w:val="0"/>
        <w:spacing w:line="360" w:lineRule="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交通LED诱导发布屏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.1、设备清单及技术参数表</w:t>
      </w:r>
    </w:p>
    <w:tbl>
      <w:tblPr>
        <w:tblStyle w:val="28"/>
        <w:tblpPr w:leftFromText="180" w:rightFromText="180" w:vertAnchor="text" w:horzAnchor="page" w:tblpX="1412" w:tblpY="564"/>
        <w:tblOverlap w:val="never"/>
        <w:tblW w:w="4931" w:type="pct"/>
        <w:tblInd w:w="0" w:type="dxa"/>
        <w:tblLayout w:type="autofit"/>
        <w:tblCellMar>
          <w:top w:w="0" w:type="dxa"/>
          <w:left w:w="108" w:type="dxa"/>
          <w:bottom w:w="0" w:type="dxa"/>
          <w:right w:w="108" w:type="dxa"/>
        </w:tblCellMar>
      </w:tblPr>
      <w:tblGrid>
        <w:gridCol w:w="649"/>
        <w:gridCol w:w="1382"/>
        <w:gridCol w:w="4935"/>
        <w:gridCol w:w="615"/>
        <w:gridCol w:w="829"/>
      </w:tblGrid>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tabs>
                <w:tab w:val="left" w:pos="2820"/>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2"/>
                <w:sz w:val="21"/>
                <w:szCs w:val="21"/>
                <w:lang w:val="en-US" w:eastAsia="zh-CN" w:bidi="ar-SA"/>
              </w:rPr>
              <w:tab/>
            </w: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设备名称</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设备技术参数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数量</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全彩色诱导屏</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3.84米高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2.88米，分辨率384*288</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像素间距：10mm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像素组成：1R1G1B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显示亮度：≧5000cd/m²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亮度控制：智能/手动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色温：6500K</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视角：水平≦110°/垂直≦55°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像素密度：10000 dots/m²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材质：铁钣金机箱</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防护等级(正面/背面)：IP65/IP54</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箱体平整度：≤0.3 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颜色处理位数：14 bits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单点亮度校正：有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亮度均匀性：＜2.5%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发光点中心距偏差：97%/±0.003</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色度均匀性：(x，y)±0.002之内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对比度：3000:1</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画面帧频：50/60 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画面刷新率：960 Hz~1920Hz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输入功率：185W/m²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使用寿命：≥100,000 Hours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双层箱，双面灌胶，标配接收卡，配套异步控制卡、配电箱。</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基础开挖</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基础1500*1500*1800mm.土方开挖</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立方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8.1</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基础浇筑</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基础1500*1500*1800mm.C25混凝土</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立方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8.1</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杆件</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高6.5米，双臂F型杆件材质为Q235板定制</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电线电缆</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RVV2*6mm²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5口交换机</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DIN轨式即插即用型，5×10/100Base-T（X)端口，双电源输入，-40℃～75℃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辅材</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安全防护设施、空开、插排、接地系统、水晶头、铁丝、胶布、文明措施、反光桶、水马等</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路面开挖及回填</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人工开挖路面、外运淤泥、人工回填土及恢复路面，PE管材及钢管地埋敷设、电线电缆管线敷设、管内穿电缆线及埋管电缆沟挖运(绿化带）。</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安装调试</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含杆件运输吊装、相机、补光灯、机箱安装、接线、调试、杆内穿线、光纤熔接、系统集成</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光纤租赁</w:t>
            </w:r>
          </w:p>
        </w:tc>
        <w:tc>
          <w:tcPr>
            <w:tcW w:w="5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单条不低于100M，租赁一年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bl>
    <w:p>
      <w:pPr>
        <w:rPr>
          <w:rFonts w:hint="eastAsia" w:asciiTheme="minorEastAsia" w:hAnsiTheme="minorEastAsia" w:eastAsiaTheme="minorEastAsia" w:cstheme="minorEastAsia"/>
          <w:color w:val="auto"/>
          <w:sz w:val="24"/>
          <w:szCs w:val="24"/>
        </w:rPr>
      </w:pPr>
    </w:p>
    <w:p>
      <w:pPr>
        <w:pStyle w:val="2"/>
        <w:adjustRightInd w:val="0"/>
        <w:snapToGrid w:val="0"/>
        <w:spacing w:line="360" w:lineRule="auto"/>
        <w:outlineLvl w:val="3"/>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3.2、技术指标及功能要求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在市区新建2块全彩色诱导屏，为驾驶人员提醒目前道路的状况，该显示屏是显交通智能管理系统中向社会信息发布的方式之一，主要作用为：一方面控制（分）中心根据道路监控信息向汽车驾驶员及时通报当前主要路段车辆运行状况，方便其选择最佳路径行使，减少道路阻塞；另一方面控制（分）中心根据天气、交通设施检修、道路施工、交通事故、特殊车辆的行驶等情况，显示有关交通警示信息、交通路况信息、旅行时间信息、非交通信息、超速等，提高驾驶员的警觉性，保障车辆的安全行驶。该系统投入运行将对提高道路使用率，改善交通状况等方面起到明显的作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3.2.1、显示要求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1.观察者（正常人，矫正视力1.0以上）在环境照度大于5000lx的晴天、太阳光正射标志面的条件下，在规定的视认角内能正确认读标志内容的最大距离（静态视认距离）≥250m。</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2.当车辆以120km/h的速度行驶时，在环境照度大于5000lx的晴天、太阳光正射标志面的条件下，观察者（正常人，矫正视力1.0以上）能够正确认读标志内容的最大距离（动态视认距离）≥210m。</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3.接收监控室实时编辑的各种控制指令，直接驱动显示屏发布各种诱导信息。支持节目单轮番显示方式，轮番周期可从监控室设定，并与节目单一同下发执行和显示。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4.至少显示GB2312指定的全部汉字和数字字符及简单图形，显示内容在上述最大动态和静态视认距离内清晰可认，并且能控制全亮与全灭。</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5.可变信息标志可进行全屏幕编辑。显示屏上的字符或图案的结构尺寸符合GB 5768的要求。主要用于显示汉字、英文字符、阿拉伯数字、特殊符号、图形等，控制器内装有一、二级简体字库，具有宋、楷、黑、仿宋、隶书五种以上字体，其字体、粗细、汉字间隔、汉字在屏上的位置均可调。文字、图形均具备闪烁功能、闪烁的频率和速度可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6.出字方式有：清屏（全黑）、静止显示、上移、下移、横百页窗、竖百页窗、闪烁、全亮、随机等。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7.无显示内容时，显示屏为全黑，无任何亮点。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8.在监控室可以远程开启或关闭可变信息标志。</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9.可变信息标志保证卡车司机及小汽车司机均能容易辨认，不易损坏，能抵御40m/s的风速。</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10.发光亮度可根据外界环境条件自动和手动调节，具有通过软件进行64级人工调光和256级自动调光两种模式可选。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11.产品设置自检功能，检测显示单元的工作状态、亮度、通信接口的通信性能、LED单点故障状态以及其它工作单元的状态。</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12.控制面板具有操作按钮、工作状态指示灯和液晶显示器。通过操作按钮，能够查询控制器当前时间、当前显示内容和故障信息，并在工作状态指示灯和液晶显示器显示。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13.整体产品的MTBF≥10000小时。</w:t>
      </w:r>
    </w:p>
    <w:p>
      <w:pPr>
        <w:pStyle w:val="2"/>
        <w:adjustRightInd w:val="0"/>
        <w:snapToGrid w:val="0"/>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.3、设备安装地点</w:t>
      </w:r>
    </w:p>
    <w:tbl>
      <w:tblPr>
        <w:tblStyle w:val="28"/>
        <w:tblpPr w:leftFromText="180" w:rightFromText="180" w:vertAnchor="text" w:horzAnchor="page" w:tblpX="1406" w:tblpY="118"/>
        <w:tblOverlap w:val="never"/>
        <w:tblW w:w="9463" w:type="dxa"/>
        <w:tblInd w:w="0" w:type="dxa"/>
        <w:tblLayout w:type="fixed"/>
        <w:tblCellMar>
          <w:top w:w="0" w:type="dxa"/>
          <w:left w:w="108" w:type="dxa"/>
          <w:bottom w:w="0" w:type="dxa"/>
          <w:right w:w="108" w:type="dxa"/>
        </w:tblCellMar>
      </w:tblPr>
      <w:tblGrid>
        <w:gridCol w:w="1171"/>
        <w:gridCol w:w="2630"/>
        <w:gridCol w:w="5662"/>
      </w:tblGrid>
      <w:tr>
        <w:tblPrEx>
          <w:tblCellMar>
            <w:top w:w="0" w:type="dxa"/>
            <w:left w:w="108" w:type="dxa"/>
            <w:bottom w:w="0" w:type="dxa"/>
            <w:right w:w="108" w:type="dxa"/>
          </w:tblCellMar>
        </w:tblPrEx>
        <w:trPr>
          <w:trHeight w:val="450" w:hRule="atLeast"/>
        </w:trPr>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设备类型</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点位名称</w:t>
            </w:r>
          </w:p>
        </w:tc>
      </w:tr>
      <w:tr>
        <w:tblPrEx>
          <w:tblCellMar>
            <w:top w:w="0" w:type="dxa"/>
            <w:left w:w="108" w:type="dxa"/>
            <w:bottom w:w="0" w:type="dxa"/>
            <w:right w:w="108" w:type="dxa"/>
          </w:tblCellMar>
        </w:tblPrEx>
        <w:trPr>
          <w:trHeight w:val="400" w:hRule="atLeast"/>
        </w:trPr>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交通LED诱导屏</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根据现场选点</w:t>
            </w:r>
          </w:p>
        </w:tc>
      </w:tr>
      <w:tr>
        <w:tblPrEx>
          <w:tblCellMar>
            <w:top w:w="0" w:type="dxa"/>
            <w:left w:w="108" w:type="dxa"/>
            <w:bottom w:w="0" w:type="dxa"/>
            <w:right w:w="108" w:type="dxa"/>
          </w:tblCellMar>
        </w:tblPrEx>
        <w:trPr>
          <w:trHeight w:val="350" w:hRule="atLeast"/>
        </w:trPr>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交通LED诱导屏</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根据现场选点</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color w:val="auto"/>
          <w:szCs w:val="24"/>
        </w:rPr>
      </w:pPr>
      <w:bookmarkStart w:id="49" w:name="_Toc19789"/>
      <w:bookmarkStart w:id="50" w:name="_Toc31812"/>
    </w:p>
    <w:p>
      <w:pPr>
        <w:pStyle w:val="2"/>
        <w:adjustRightInd w:val="0"/>
        <w:snapToGrid w:val="0"/>
        <w:spacing w:line="360" w:lineRule="auto"/>
        <w:outlineLvl w:val="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w:t>
      </w:r>
      <w:bookmarkEnd w:id="49"/>
      <w:bookmarkEnd w:id="50"/>
      <w:r>
        <w:rPr>
          <w:rFonts w:hint="eastAsia" w:asciiTheme="minorEastAsia" w:hAnsiTheme="minorEastAsia" w:eastAsiaTheme="minorEastAsia" w:cstheme="minorEastAsia"/>
          <w:b/>
          <w:bCs/>
          <w:color w:val="auto"/>
          <w:sz w:val="24"/>
          <w:szCs w:val="24"/>
        </w:rPr>
        <w:t>无人机系统</w:t>
      </w:r>
    </w:p>
    <w:p>
      <w:pPr>
        <w:pStyle w:val="2"/>
        <w:adjustRightInd w:val="0"/>
        <w:snapToGrid w:val="0"/>
        <w:spacing w:line="360" w:lineRule="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.1、设备清单及技术参数表</w:t>
      </w:r>
    </w:p>
    <w:tbl>
      <w:tblPr>
        <w:tblStyle w:val="28"/>
        <w:tblW w:w="9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1183"/>
        <w:gridCol w:w="5797"/>
        <w:gridCol w:w="727"/>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设备名称</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技术规格</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机库设备</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4"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无人机机库平台</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产品尺寸：关闭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165*150*165cm打开: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165*150*105cm产品质量：约275KG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防护等级：IP54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通信方式：光纤/4G/5G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气象监测：风速/风向/雨量/湿度/气压材质：全金属钣金加工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运行功率：标准工况：≦450W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峰值工况：≦500W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供电要求：AC220/110V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工作环境温度：-20℃至55℃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无人机收纳数量：1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安装方式：地面站点或屋顶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作业方式：全自动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作业间隔周期：1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回收方式：自主精准降落（视觉）无人机供电方式：充电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保护：欠压，过载，断电保护</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恒温系统：恒温系统，隔热层远程监测：远程图传，机场周边监控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无人机充电脚架</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配套定制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无人机充电模块</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配套定制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控制塔</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可监测气象参数：风速/风向/雨量/温度/湿度/气压</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机场防盗套件</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材质：铝合金</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机库恒温空调</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散热方式：风冷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电源：220V</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小计</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无人机设备</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中型远距离无人机套装</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尺寸尺寸（展开，不包含桨叶）：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810×670×430 mm（长×宽×高）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尺寸（折叠，包含桨叶）：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430×420×430 mm（长×宽×高）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对称电机轴距</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895 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重量（含下置单云台支架）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空机重量（含双电池）：约6.3 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最大载重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2.7 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最大起飞重量约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9 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工作频率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2.4000-2.4835 GHz&lt;br&gt;5.725-5.850 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发射功率（EIRP）</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"2.4000-2.4835 GHz：29.5 dBm（FCC）；18.5dBm（CE）</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18.5 dBm（SRRC）；18.5dBm（MIC）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5.725-5.850 GHz：28.5 dBm（FCC）；12.5dBm（CE）；28.5 dBm（SRRC）"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悬停精度（P-GPS）</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"垂直：±0.1 m（视觉定位正常工作时）； ±0.5 m（GPS 正常工作时）； ±0.1 m（RTK 定位正常工作时）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水平：±0.3 m（视觉定位正常工作时）； ±1.5 m（GPS 正常工作时）；±0.1 m（RTK 定位正常工作时）"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RTK 位置精度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在 RTK FIX 时：1 cm+1 ppm（水平）；1.5 cm + 1 ppm（垂直）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最大旋转角速度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"俯仰轴：300°/s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航向轴：100°/s"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最大俯仰角度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30° （P模式且前视视觉系统启用：25°）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最大上升速度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"S 模式：6 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P 模式：5 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最大下降速度（垂直）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"S 模式：5 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P 模式：3 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最大倾斜下降速度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S 模式：7 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最大水平飞行速度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"S 模式：23 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P 模式：17 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最大飞行海拔高度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5000 m（2110 桨叶，起飞重量≤7 kg）/ 7000 m（2195 高原静音桨叶，起飞重量≤7 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最大可承受风速</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15 m/s （7级风）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最大飞行时间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55 min</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支持云台安装方式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下置单云台、上置单云台、下置双云台、下置单云台+上置单云台、下置双云台+上置单云台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IP 防护等级</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IP45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GNSS</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GPS+GLONASS+BeiDou+Galileo</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-20°C 至 50°C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工作频率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"2.4000-2.4835 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5.725-5.850 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最大信号有效距离（无干扰、无遮挡）</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"NCC/FCC：15 km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CE/MIC：8 km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SRRC：8 km"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等效全向辐射功率（EIRP）</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"2.4000-2.4835 GHz：29.5 dBm（FCC）；18.5dBm（CE）;18.5 dBm（SRRC）；18.5dBm（MIC）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5.725-5.850 GHz：28.5 dBm（FCC）；12.5dBm（CE）;20.5 dBm（SRRC）"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外置电池</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"名称：智能电池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容量：4920 mAh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电压：7.6 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电池类型：LiPo</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能量：37.39 Wh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充电时间（使用 BS60 智能电池箱）：70 分钟（15°C 至 45°C）；130 分钟（0°C 至 15°C）"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内置电池</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"类型：18650 锂离子电池 （5000 mAh @ 7.2 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充电方式：使用规格为 12V/2A 的 USB 充电器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额定功率：17 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充电时间：≤2 小时 15 分钟（使用规格为12V/2A 的 USB 充电器）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续航时间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"内置电池：约 2.5 小时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内置电池+外置电池：约 4.5 小时"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USB-A 接口供电电压/电流</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 V / 1.5 A</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 至 40° 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障碍物感知范围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"前后左右：0.7-40 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上下：0.6-30 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FOV</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"前后下：65°（H），50°（V）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左右上：75°（H），60°（V）"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使用环境</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"表面有丰富纹理，光照条件充足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（&gt;15 lux，室内日光灯正常照射环境）"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障碍物感知范围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0.1-8 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FOV</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30°（±15°）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使用环境</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漫反射，大尺寸，高反射率（反射率&gt;10%）障碍物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有效照明距离</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 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960p</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FOV</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145°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帧率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30 fps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容量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5935 mAh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电压</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52.8 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电池类型</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LiPo 12S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能量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274 Wh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电池整体重量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约 1.35 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 至 50℃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理想存放环境温度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22℃ 至 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充电环境温度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-20°C 至 40°C（当环境温度低于 5°C时，电池会启动自加热功能，在低温环境下充电有可能会降低电池使用寿命）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充电时间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"220 V 电源：完全充满两块智能飞行电池约需 60 分钟，从 20% 充到 90% 约需 30 分钟；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使用 110 V 电源：完全充满两块智能飞行电池约需 70 分钟，从 20% 充到 90% 约需 40 分钟"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外形尺寸</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501×403×252 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空箱重量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约8.37 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可放置物品智能飞行电池 8 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智能电池 4 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输入电压</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 xml:space="preserve">100-120 VAC，50-60 Hz / 220-240 VAC，50-60 Hz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最大输入功率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1070 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输出功率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"100-120 V：750 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220-240 V：992 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 至 40℃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mm</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无人机智能飞行电池*2</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5935 mAh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电压</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52.8 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电池类型</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LiPo 12S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能量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274 Wh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电池整体重量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约 1.35 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 至 50℃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理想存放环境温度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22℃ 至 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充电环境温度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-20°C 至 40°C（当环境温度低于 5°C时，电池会启动自加热功能，在低温环境下充电有可能会降低电池使用寿命）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充电时间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使用 BS60 智能电池箱时，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使用 220 V 电源：完全充满两块智能飞行电池约需 60 分钟，从 20% 充到 90% 约需 30 分钟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使用 110 V 电源：完全充满两块智能飞行电池约需 70 分钟，从 20% 充到 90% 约需 40 分钟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无人机挂载相机</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重量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828±5 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尺寸</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167×135×161 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防水等级</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IP44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 至 50℃（测温功能仅支持 -10℃ 至 50℃ 环境使用）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储存温度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-20℃ 至 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支持机型</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经纬 M300 RTK</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角度抖动量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±0.01°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安装方式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可拆式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可控转动范围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俯仰：－120° 至 +30°平移：±320°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结构设计范围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俯仰：－132.5° 至 +42.5° 平移：±330°横滚：-90° 至 +60°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变焦相机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传感器</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1/1.7" CMOS，有效像素 2000 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DFOV：66.6°-4°焦距：6.83-119.94 mm（等效焦距：31.7-556.2 mm）光圈：f/2.8-f/11（正常），f/1.6-f/11（夜景）对焦距离：1 m 至无穷远（广角），8 m 至无穷远（长焦）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对焦模式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MF/AF-C/AF-S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视频分辨率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3840x2160@30fps，1920x1080@30fps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视频格式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MP4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最大照片尺寸</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5184 × 3888</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照片格式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JPEG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广角相机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传感器</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1/2.3" CMOS，有效像素1200万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DFOV：82.9°焦距：4.5 mm（等效焦距：24 mm）光圈：f/2.8对焦距离：1 m至无穷远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视频分辨率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1920×1080@30fps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视频格式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MP4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最大照片尺寸</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4056×3040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热成像相机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热成像传感器类型</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非制冷氧化钒（VOx）微测热辐射计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DFOV：40.6°焦距：13.5 mm （ 等效焦距：58 mm）光圈：f/1.0对焦距离：5 m 至无穷远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数字变焦</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1x，2x，4x，8x</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视频分辨率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640×512 @ 30 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视频格式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MP4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照片分辨率</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640×512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照片格式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R-JPEG* (16 bit)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测温方式</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点测温、区域测温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测温范围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40℃ 至 150℃（高增益模式）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-40℃ 至 550℃（低增益模式）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高温警报</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支持</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调色盘</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白热/熔岩/铁红/热铁/医疗/北极/彩虹1/彩虹2/描红/黑热</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激光测距仪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测量范围</w:t>
            </w:r>
            <w:r>
              <w:rPr>
                <w:rStyle w:val="143"/>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 xml:space="preserve">3-1200 m（直径12 m、20%反射率的垂直反射面）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无人机保险一年版</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保修说明：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1、设备主体保修期为12个月。</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无人机挂载相机保险一年版</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保修说明：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1、设备主体保修期为12个月。</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双云台组件</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双云台组件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可同时支持下置双挂载</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第三方责任险（100W）</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单次赔付限额50万，一年累计赔付不超过100万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无人机数字语音广播系统</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尺寸：≤140mm*140mm*125mm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重量：550±5g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功率 25w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最大声压 130dB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有效广播距离 500m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指向性 80°*50°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工作温度 ﹣10℃-40℃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喊话方式:实时/录音/音频文件上传/背景音/文字转语音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音频格式 mp3/wav/m4a/flac/aac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是否支持成至文本库/语音库 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无人机变焦版探照灯</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重量 约495g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尺寸 ≤132*110*137mm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总功率 65W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LED功率 60W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光通量 4000lm±3%</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FOV 12°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中心光照度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6Lux（探照距离150m 探照面积 780㎡）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18Lux（探照距离100m 探照面积 347㎡）</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52Lux（探照距离50m 探照面积 87㎡）</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云台可控转动范围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俯仰：-110~+30°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水平：±200°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云台结构设计范围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俯仰：-110.3~+40°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水平：全向360°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横滚：-90～+60°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工作温度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-20~+50°C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防护等级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不低于ip55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系留照明系统（含必要配件）</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外形尺寸≥465mm× 390mm× 335mm（长×宽×高）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重量：约20Kg（包含线缆）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功率：额定 2.8 kw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线缆：100米电缆（二电）工业级航空插头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额定输入电压: 220VAC±10%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输出电压：300-430VDC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输出电流：8A</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控制平台</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飞行控制软件</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1.支持消费机、行业机，兼容垂起无人机、执法仪、布控球等产品，可扩展定制；不限终端的接入数量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2.支持团队管理，多人、多设备的多层级组织架构管理，支持上下级组织架构联动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3.支持实时状态监控，飞手及归属团队、设备名称、当前电量、飞行高度及速度、经纬度、朝向信息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4.支持调度地图，基于GIS一张图技术以矢量、影像、三维地球、VR全景等GIS地图为数据可视化载体进行人机车可视化指挥调度；支持地图距离、面积、高度量测等空间分析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5.支持视频直播，支持10路以上（神器10路，政企版30路）1080p实时高清视频直播，延迟低于3秒；支持微信扫描二维码分享直播视频加密链接矩阵化视频监控管理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6.支持视频会议，远程指挥中心与现场单兵的多人视频会议，视频延迟低于0.5秒</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7.支持任务管理，云边端一体按任务调度人员和设备，云端下发作业，通过移动端APP执行计划任务汇交任务成果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8.支持历史轨迹，自动记录详细飞行数据、行车轨迹，可回放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9.支持数据管理，无人机和人员、设备获取的图像和视频数据上传至私有云，云端对全景、二维影像、实景三维进行存储、自动拼接、切片与发布，在地图直接叠加展示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10.支持现场上报，通过APP视频、图片、文字上报任务现场情况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11.支持实时预警，电量不足、地理围栏进出、单兵呼救等告警通知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12.支持航线导入，第三方航线规划成果KML格式导入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13.支持GB28181协议设备接入，支持GB28181向上级联，可对接公安、政法、交通等政务视频平台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14.软件功能可扩展定制，可接入GB28181、OGC、RTMP等常见标准协议，开放接口与第三方系统对接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存储服务器</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机型：机架式服务器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处理器：4210R</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芯片组：C621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内存：32G*2 DDR4 2666MHz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硬盘：12T*3 SAS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存储控制器：H750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网络：嵌入式四口千兆网卡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机箱尺寸：≥434*715.5*86.8mm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服务：三年保修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机场基础设施建设</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管线敷设，场地平整</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根据系统要求完成建设实施标准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11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人工费</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人工现场实施、培训不少于5次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bl>
    <w:p>
      <w:pPr>
        <w:rPr>
          <w:rFonts w:hint="eastAsia" w:asciiTheme="minorEastAsia" w:hAnsiTheme="minorEastAsia" w:eastAsiaTheme="minorEastAsia" w:cstheme="minorEastAsia"/>
          <w:color w:val="auto"/>
          <w:sz w:val="24"/>
          <w:szCs w:val="24"/>
        </w:rPr>
      </w:pPr>
    </w:p>
    <w:p>
      <w:pPr>
        <w:pStyle w:val="13"/>
        <w:ind w:left="0" w:leftChars="0" w:firstLine="240" w:firstLineChars="100"/>
        <w:rPr>
          <w:rFonts w:hint="eastAsia" w:ascii="楷体" w:hAnsi="楷体" w:eastAsia="楷体" w:cs="楷体"/>
          <w:color w:val="auto"/>
          <w:kern w:val="2"/>
          <w:sz w:val="24"/>
          <w:szCs w:val="24"/>
          <w:lang w:val="en-US" w:eastAsia="zh-CN" w:bidi="ar-SA"/>
        </w:rPr>
      </w:pPr>
    </w:p>
    <w:bookmarkEnd w:id="32"/>
    <w:bookmarkEnd w:id="33"/>
    <w:bookmarkEnd w:id="34"/>
    <w:bookmarkEnd w:id="35"/>
    <w:bookmarkEnd w:id="40"/>
    <w:p>
      <w:pPr>
        <w:pStyle w:val="6"/>
        <w:widowControl w:val="0"/>
        <w:numPr>
          <w:ilvl w:val="0"/>
          <w:numId w:val="0"/>
        </w:numPr>
        <w:tabs>
          <w:tab w:val="clear" w:pos="1080"/>
        </w:tabs>
        <w:spacing w:before="260" w:after="260" w:line="416" w:lineRule="auto"/>
        <w:ind w:leftChars="0"/>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lang w:eastAsia="zh-CN"/>
        </w:rPr>
        <w:t>（</w:t>
      </w:r>
      <w:r>
        <w:rPr>
          <w:rFonts w:hint="eastAsia" w:asciiTheme="majorEastAsia" w:hAnsiTheme="majorEastAsia" w:eastAsiaTheme="majorEastAsia" w:cstheme="majorEastAsia"/>
          <w:b/>
          <w:color w:val="auto"/>
          <w:lang w:val="en-US" w:eastAsia="zh-CN"/>
        </w:rPr>
        <w:t>三</w:t>
      </w:r>
      <w:r>
        <w:rPr>
          <w:rFonts w:hint="eastAsia" w:asciiTheme="majorEastAsia" w:hAnsiTheme="majorEastAsia" w:eastAsiaTheme="majorEastAsia" w:cstheme="majorEastAsia"/>
          <w:b/>
          <w:color w:val="auto"/>
          <w:lang w:eastAsia="zh-CN"/>
        </w:rPr>
        <w:t>）</w:t>
      </w:r>
      <w:r>
        <w:rPr>
          <w:rFonts w:hint="eastAsia" w:asciiTheme="majorEastAsia" w:hAnsiTheme="majorEastAsia" w:eastAsiaTheme="majorEastAsia" w:cstheme="majorEastAsia"/>
          <w:b/>
          <w:color w:val="auto"/>
          <w:lang w:val="en-US" w:eastAsia="zh-CN"/>
        </w:rPr>
        <w:t>建设</w:t>
      </w:r>
      <w:r>
        <w:rPr>
          <w:rFonts w:hint="eastAsia" w:asciiTheme="majorEastAsia" w:hAnsiTheme="majorEastAsia" w:eastAsiaTheme="majorEastAsia" w:cstheme="majorEastAsia"/>
          <w:b/>
          <w:color w:val="auto"/>
        </w:rPr>
        <w:t>要求</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lang w:val="en-US" w:eastAsia="zh-CN"/>
        </w:rPr>
      </w:pPr>
      <w:r>
        <w:rPr>
          <w:rFonts w:hint="eastAsia" w:asciiTheme="minorEastAsia" w:hAnsiTheme="minorEastAsia" w:eastAsiaTheme="minorEastAsia" w:cstheme="minorEastAsia"/>
          <w:b/>
          <w:color w:val="auto"/>
          <w:lang w:val="en-US" w:eastAsia="zh-CN"/>
        </w:rPr>
        <w:t>主要施工内容</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（1）施工深化设计；</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（2）外场土建、杆件施工；</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（3）所有设备安装调试；</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（4）系统总体联调；</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（5）与本项目施工相关的其他内容。</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lang w:val="en-US" w:eastAsia="zh-CN"/>
        </w:rPr>
      </w:pPr>
      <w:r>
        <w:rPr>
          <w:rFonts w:hint="eastAsia" w:asciiTheme="minorEastAsia" w:hAnsiTheme="minorEastAsia" w:eastAsiaTheme="minorEastAsia" w:cstheme="minorEastAsia"/>
          <w:b/>
          <w:color w:val="auto"/>
          <w:lang w:val="en-US" w:eastAsia="zh-CN"/>
        </w:rPr>
        <w:t>深化设计要求</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中标后应在一周内完成对初步设计方案及招标需求的熟悉、消化，在充分理解本项目的设计要求和建设内容的基础上，尽快结合设计单位提供的初步设计方案在规定时间内完成外场复勘及项目深化设计工作。</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lang w:val="en-US" w:eastAsia="zh-CN"/>
        </w:rPr>
      </w:pPr>
      <w:bookmarkStart w:id="51" w:name="_Toc388372893"/>
      <w:bookmarkStart w:id="52" w:name="_Toc249620703"/>
      <w:bookmarkStart w:id="53" w:name="_Toc272660190"/>
      <w:bookmarkStart w:id="54" w:name="_Toc394560840"/>
      <w:r>
        <w:rPr>
          <w:rFonts w:hint="eastAsia" w:asciiTheme="minorEastAsia" w:hAnsiTheme="minorEastAsia" w:eastAsiaTheme="minorEastAsia" w:cstheme="minorEastAsia"/>
          <w:b/>
          <w:color w:val="auto"/>
          <w:lang w:val="en-US" w:eastAsia="zh-CN"/>
        </w:rPr>
        <w:t>项目实施的关联方</w:t>
      </w:r>
      <w:bookmarkEnd w:id="51"/>
      <w:bookmarkEnd w:id="52"/>
      <w:bookmarkEnd w:id="53"/>
      <w:bookmarkEnd w:id="54"/>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1、交通</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城主要道路由当地公路路政负责管理，项目在实施期间投标人应做好道路占道施工路政审批手续，同时为确保项目的顺利实施应要求路政提供监控设立点地下管道、线缆等勘察资料，避免施工过程损坏地下屏蔽设施。</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2、住建（市政）</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本项目监控点位主要分布在城区和环城道路，投标人需得到市政部门的审批同意，同时为确保项目的顺利实施应要求市政提供监控设立点地下管道、线缆等勘察资料，避免施工过程损坏地下屏蔽设施。</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3、住建（园林）</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项目实施过程中，由于取电、杆件基础建设等施工，会涉及城市绿化，主要表现在修剪遮挡监视区域的树枝，基础管道施工园林绿化损坏，为此实施过程需严格按照《城市绿化条例》及其他相关条例，由承建单位组织施工前审批，完工后恢复，接受各执法部门管理。</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4、供电</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本项目在道路上设立智能设备，涉及取电，投标人需加强与电力部门的协调，完成取电点到监控点位的电力管线敷设。</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5、路灯</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本项目路口监控设备部分取电采用就近原则从附近路灯低压变电箱取电，同时部分视频球机需安装在路灯杆上，投标人需加强与路灯管理部门的协调，完成电力敷设和设备安装。</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土建要求</w:t>
      </w:r>
    </w:p>
    <w:p>
      <w:pPr>
        <w:pStyle w:val="42"/>
        <w:keepNext/>
        <w:keepLines/>
        <w:numPr>
          <w:ilvl w:val="2"/>
          <w:numId w:val="1"/>
        </w:numPr>
        <w:spacing w:before="280" w:after="290" w:line="376" w:lineRule="auto"/>
        <w:ind w:firstLineChars="0"/>
        <w:outlineLvl w:val="3"/>
        <w:rPr>
          <w:rFonts w:hint="eastAsia" w:asciiTheme="minorEastAsia" w:hAnsiTheme="minorEastAsia" w:eastAsiaTheme="minorEastAsia" w:cstheme="minorEastAsia"/>
          <w:b/>
          <w:bCs/>
          <w:vanish/>
          <w:color w:val="auto"/>
          <w:sz w:val="28"/>
          <w:szCs w:val="28"/>
        </w:rPr>
      </w:pP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1、杆件</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在做立杆基础、防雷等施工建设必须严格按照规范进行，不得对地下管道、管线及隧道、桥梁、涵洞结构造成破坏，造成的损失由投标人负责。立杆及基础应符合现行国家标准《电气装置安装工程电缆线路施工及验收规范》的有关规定。杆件生产厂家须具备钢结构相关资质。监控立杆采取自立杆安装、借用其他杆件、壁装三种方式。根据用户现场情况和施工图纸确定横臂长度，待用户审核通过后施工。横臂指向，应符合现场监控需要可调，横臂应预留足够的球机及枪机的安装位。</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根据监控点的不同特点，在充分满足监控需要的条件下，选择合适的监控立杆。新建监控点立杆满足如下要求：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（1）材料选取及安装要求：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1）立杆原则</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整根杆（含基础）及其上配件要求抗风等级≥12级，立柱采用的钢材应符合GB-700的要求，顶部采用钢板焊接封盖或采用不锈钢制帽牢固封盖；立柱 、法兰盘、抱箍、抱箍底衬、柱帽、加劲肋及连接螺栓、螺母、垫圈等钢铁件，采用热浸镀锌进行防锈处理，立杆、悬臂采用双面焊，所有的对接焊缝和贴角焊缝，其厚度和强度应与被焊构件相等，焊缝应打磨光滑；所有立杆全部采用酸洗后热镀锌工艺, 锌厚度不小于550克/平方米， 并塑料粉末喷涂 (防静电)，厚度不小于0.15mm，立杆体表面应喷漆处理,符合整体城市景观一致性。市区繁华路段、主干路的监控立杆，采用沿道路两侧立杆、与道路同向布置、单向或双向监控，立杆型式为L型。</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同一广场、同一条道路或者同一个区域尽量安装同一类型杆体。特殊情况下应按监视的范围及避免摄像机被遮挡的原则合理立杆，并选用合适杆型。</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前端立杆建设采用横臂杆为锥形或八角锥形镀锌钢管悬臂式安装</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2）监控杆选取</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根据现场情况酌情选取</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rPr>
        <w:t>6米L型监控杆。吊臂长度根据实际情况需要酌情选用合适规格吊臂，以减少监控死角发生。</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支杆与立杆的连接方式为法兰连接，杆顶部下侧有两至三个10mm x 20 mm的椭圆型线孔，底座预埋穿线管内径应≥直径40mm。横臂与摄像机安装采取导轨方式,横臂上方应预留足够的导轨横条。监控立杆横臂下方，应至少留一个球机吊装支架安装位置。</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（2）监控杆基础安装：</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杆底端焊接固定法兰盘用螺栓与基础固定，预留拉线孔电源线和光缆从立杆底部进入，地基应是硬质，同时根据现场安装点的地质的实际情况，调整相应的尺寸。</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基础尺寸根据现场实际情况和国家相关规范要求确定相应的基础规格。</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基础的钢筋笼应临时固定，同时确保钢筋笼的基础顶板平面水平，即用水平尺在基础顶板垂直两个方向测量，观察其气泡必须居中；监控立杆预埋件基础混凝土浇捣必须密实，禁止混凝土有空鼓；</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在每根监控杆基础外侧设一个电缆手孔，手孔内设电缆支架，用电缆卡子将电缆头固定在支架上，手井规格应符合相关规范要求。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立杆底部用螺栓与基础固定，电源线和光缆从立杆底部进入，基础下面装有接地电极以及由扁钢和角钢组成的接地网，接地电阻≦10Ω。</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基础使用商品预拌混凝土浇筑，标号不低于C</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，结构为沙混，基础必须遵守《钢筋混凝土施工规范》。基础必须遵守《钢筋混凝土施工规范》安装后立杆保垂直。</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2、系统接地</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除电源地线正常连接之外，整个前端设备通过立杆进行接地。接地电阻应小于等于10Ω。</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3、管线施工</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道路施工必须遵守《建筑工程施工规范》和《市政工程施工规范》。供电线路采用埋地穿管的敷设方式，必须破坏人行道路面时，应采用立即开挖、立即修复方式。穿越路面深度一般不小于</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00mm；在人行道或绿化带上敷设深度一般不小于</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00mm。线缆敷设后根据实际情况及管养单位要求复原。</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非受压埋地穿管采用内径不小于40PE管保护。裸露在外的线缆全部采用镀锌钢管加以保护。路面应采用镀锌钢管DN65过路敷设。</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破土时尽量选择绿化少、城市建设管道少的位置开挖，开挖后应及时回填。开挖管道沟后要对管道基础进行压实处理,管道上的回填土必须每15cm分层夯实。开挖时要注意对园林绿化的保护，开挖出来的土方不允许直接堆放在绿化上，可以将土方运送到人行道上，也可在绿化草坪上铺垫木板，彩条布等设施，将土方堆放到这些设施上，回填时直接回填，石块等垃圾清运走后，撤走木板等设施，绿化恢复原样。</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管道通入窑井的管口应伸出井壁3~5cm,同时管口要除去各种毛刺，在管道敷设在管沟前应预先在管内穿入一根镀钵铁丝并保留在内。 以上若不能满足使用，数量和直径视具体工程设计而定。</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工程实施应注重安全、文明施工，考虑施工过程的围挡、安全防护、垃圾清运，减少对市政环境的影响，最大程度降低对行人及车辆的威胁。</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4、架空敷设</w:t>
      </w:r>
    </w:p>
    <w:p>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线路以地下铺设为主，原则上不允许线缆架空铺设，部分线路因特殊情况需要架空时，架空高度不得低于相关规范要求。架空线路必须采用架空钢丝绳，采用挂钩将线缆挂于空中，并与有关部门或单位做好协调工作。</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端供电要求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配套供电是整个系统稳定运行的保障。供电系统的设计应从全局着手，综合考虑电力负荷，负载能力，电力传输距离，设备电气特性。并结合前端现场以及后端监控中心的实际环境来进行实施。</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电力电缆在井内须预留长度不小于50CM，电缆接线采用热缩式电缆头制作工艺，保证接头的防水及耐腐性能不低于电缆的相应指标要求。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摄像机取电方式为集中就近取电，根据实际情况，取电线缆敷设方式原则上采取埋地管道取电。埋地的前端电缆如有条件，可以与运营商的路由管道同时敷设，避免重复投资，但强弱电管道必须分开。</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所有电力线路的敷设、电源设备的端接点及电源的分配，均要考虑到维护方便，易于检修。确保供电系统出现故障时，维护人员能在最短的时间内检测到问题并及时修复。</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源设备除电压、电流、功率符合容量要求外，还将尽量保证稳定性，考虑到控制时的大功率电流、多个负载同时启动时造成的压降，考虑到远距离传输时造成的压降等多方面的因素。电源线的敷设保证符合室外电线电缆的敷设标准和规范，并满足市政的要求。供电点将选择供电能力有保障的位置接入，具体供电方式问题可根据实际情况调整。</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布线要求：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严格遵守国家和行业有关部门制定的各项标准和规范：</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要求电力线路在布设过程中，须自取电点位敷设至设备箱内。电力线路布设过程中应确保所有地下敷设电线均加PE管或钢管保护，地上敷设电线加镀锌钢管保护（杆体内部除外）；并应尽量避开恶劣环境条件或易使管线损伤地段。</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bookmarkStart w:id="55" w:name="_Toc532520599"/>
      <w:bookmarkStart w:id="56" w:name="_Toc388438208"/>
      <w:r>
        <w:rPr>
          <w:rFonts w:hint="eastAsia" w:asciiTheme="minorEastAsia" w:hAnsiTheme="minorEastAsia" w:eastAsiaTheme="minorEastAsia" w:cstheme="minorEastAsia"/>
          <w:b/>
          <w:color w:val="auto"/>
        </w:rPr>
        <w:t>机房及配套要求</w:t>
      </w:r>
      <w:bookmarkEnd w:id="55"/>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本项目涉及到的机柜采取租赁方式，租赁机柜所处机房须为通信机房并满足B类机房相关规范要求，还须同时满足以下要求：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1、单机柜功率不低于4000W；</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2、机房具备接入公安视频专网光纤链路条件。</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网络接入要求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所有视频监控必须接入永康市公安局视频监控专网(物理网)。</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提供商的视频专网建设，必须以县市辖区为单元，含核心、汇聚、接入等网络设备、光纤链路等均为独立投资部署的物理设备/链路。市县互联的，应采用裸纤或波分等传输设备实现互联，一般不得依托城域网、采用VPN技术实现互联(部分专用区域除外)。</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服务提供商所提供的光纤电路全部提供以太网接口，网络传输设备均由服务提供商提供。接口标准符合以太网接口标准。</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联网系统IP网络的传输质量（如传输时延、包丢失率、包误差率、虚假包率等）应符合如下要求：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网络时延上限值为400ms；</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时延抖动上限值为50ms；</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丢包率上限值为10-3；</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包误差率上限值为10-4。</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摄像机的视频图像编码采用H.264/H.265编码格式方式接入与使用；</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视频监控前端接入线路满足视频监控前端数据传输需求，同时考虑到网络传输过程中的开销，至少提供20Mbps以上的接入带宽；</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安装和调试</w:t>
      </w:r>
      <w:bookmarkEnd w:id="56"/>
      <w:r>
        <w:rPr>
          <w:rFonts w:hint="eastAsia" w:asciiTheme="minorEastAsia" w:hAnsiTheme="minorEastAsia" w:eastAsiaTheme="minorEastAsia" w:cstheme="minorEastAsia"/>
          <w:b/>
          <w:color w:val="auto"/>
        </w:rPr>
        <w:t>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投标人负责完成所有系统内外场设备的安装调试和联网接入。</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安装位置：前端视频采集设备在外场指定点位；</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存储及相关设备在各地标准机房。</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安装要求：安装前需要对设备开箱查验，设备安装规范、布线整齐，设备正常工作。</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环境条件：室内工作环境为标准机房环境，提供AC 220V50Hz不间断电源供电。</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设备安装所需的技术资料、安装规程、必要的仪器和专用工具、设备及工程作业车等均由投标人提供。</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现场设备、控制箱等产品构件应安装牢固端正、结构稳定、位置正确、部件齐全、出线管与箱体连接密封良好。各种固定螺栓紧固。</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机箱等室外设备需作防锈处理，并充分考虑调温防水防尘等问题，防护等级IP54。</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设备安装完成后应无划伤裂痕。</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符合国家标准及公安系统的相关规定要求。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按招标文件和签订合同的具体要求负责本项目订货采购、运输、装卸、安装、调试等工作，安装时必须派专业工程师前往用户所在地进行，在安装过程中如有仪器损坏，投标人应负责免费更换，由此产生的费用和工期延误由投标人承担。设备的拆箱、安装、通电、调试等各项工作由投标人负责，但必须在采购人指定人员的参与下进行。</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bookmarkStart w:id="57" w:name="_Toc388438215"/>
      <w:bookmarkStart w:id="58" w:name="_Toc317586440"/>
      <w:bookmarkStart w:id="59" w:name="_Toc318894869"/>
      <w:r>
        <w:rPr>
          <w:rFonts w:hint="eastAsia" w:asciiTheme="minorEastAsia" w:hAnsiTheme="minorEastAsia" w:eastAsiaTheme="minorEastAsia" w:cstheme="minorEastAsia"/>
          <w:b/>
          <w:color w:val="auto"/>
        </w:rPr>
        <w:t>施工安全要求</w:t>
      </w:r>
      <w:bookmarkEnd w:id="57"/>
      <w:bookmarkEnd w:id="58"/>
      <w:bookmarkEnd w:id="59"/>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路口立杆及基础部分的施工遵循“靠角就边”的原则，具体施工时应文明施工，施工时按市政工程要求进行围挡、告示项目信息、设置交通导向标志(反光标志)、施工人员穿戴反光背心等。工程供货、施工、安装、维护等过程的安全问题均由投标人负责，发生安全问题，一切责任均由投标人负责。</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施工</w:t>
      </w:r>
      <w:r>
        <w:rPr>
          <w:rFonts w:hint="eastAsia" w:asciiTheme="minorEastAsia" w:hAnsiTheme="minorEastAsia" w:eastAsiaTheme="minorEastAsia" w:cstheme="minorEastAsia"/>
          <w:b/>
          <w:color w:val="auto"/>
        </w:rPr>
        <w:t>管理团队要求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项目建设期间，投标单位须根据项目建设需要组建管理团队，管理团队须配置</w:t>
      </w:r>
      <w:r>
        <w:rPr>
          <w:rFonts w:hint="eastAsia" w:asciiTheme="minorEastAsia" w:hAnsiTheme="minorEastAsia" w:eastAsiaTheme="minorEastAsia" w:cstheme="minorEastAsia"/>
          <w:color w:val="auto"/>
          <w:sz w:val="24"/>
          <w:szCs w:val="24"/>
          <w:lang w:val="en-US" w:eastAsia="zh-CN"/>
        </w:rPr>
        <w:t>项目经理1名，</w:t>
      </w:r>
      <w:r>
        <w:rPr>
          <w:rFonts w:hint="eastAsia" w:asciiTheme="minorEastAsia" w:hAnsiTheme="minorEastAsia" w:eastAsiaTheme="minorEastAsia" w:cstheme="minorEastAsia"/>
          <w:color w:val="auto"/>
          <w:sz w:val="24"/>
          <w:szCs w:val="24"/>
        </w:rPr>
        <w:t>并配置不少于</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名</w:t>
      </w:r>
      <w:r>
        <w:rPr>
          <w:rFonts w:hint="eastAsia" w:asciiTheme="minorEastAsia" w:hAnsiTheme="minorEastAsia" w:eastAsiaTheme="minorEastAsia" w:cstheme="minorEastAsia"/>
          <w:color w:val="auto"/>
          <w:sz w:val="24"/>
          <w:szCs w:val="24"/>
          <w:lang w:val="en-US" w:eastAsia="zh-CN"/>
        </w:rPr>
        <w:t>技术负责人或</w:t>
      </w:r>
      <w:r>
        <w:rPr>
          <w:rFonts w:hint="eastAsia" w:asciiTheme="minorEastAsia" w:hAnsiTheme="minorEastAsia" w:eastAsiaTheme="minorEastAsia" w:cstheme="minorEastAsia"/>
          <w:color w:val="auto"/>
          <w:sz w:val="24"/>
          <w:szCs w:val="24"/>
        </w:rPr>
        <w:t>施工驻场人员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所有派驻工作人员工作单位须与投标单位一致。</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其他施工要求</w:t>
      </w:r>
    </w:p>
    <w:p>
      <w:pPr>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本项目为交钥匙工程。投标人负责整体项目工程的施工，应当以满足招标文件的项目实际要求为准。</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实施要求投标人对本招标涉及的所有工程技术内容负责。投标人履行合同时应根据设计单位提供的设计文件进行施工和系统集成，如设计文件不能满足项目需要或与实际情况不符的，应向设计单位与采购人反馈情况，提供解决方案，</w:t>
      </w:r>
      <w:r>
        <w:rPr>
          <w:rFonts w:hint="eastAsia" w:asciiTheme="minorEastAsia" w:hAnsiTheme="minorEastAsia" w:eastAsiaTheme="minorEastAsia" w:cstheme="minorEastAsia"/>
          <w:color w:val="auto"/>
          <w:sz w:val="24"/>
          <w:szCs w:val="24"/>
          <w:lang w:val="en-US" w:eastAsia="zh-CN"/>
        </w:rPr>
        <w:t>经</w:t>
      </w:r>
      <w:r>
        <w:rPr>
          <w:rFonts w:hint="eastAsia" w:asciiTheme="minorEastAsia" w:hAnsiTheme="minorEastAsia" w:eastAsiaTheme="minorEastAsia" w:cstheme="minorEastAsia"/>
          <w:color w:val="auto"/>
          <w:sz w:val="24"/>
          <w:szCs w:val="24"/>
        </w:rPr>
        <w:t>设计单位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监理单位与建设单位确定后</w:t>
      </w:r>
      <w:r>
        <w:rPr>
          <w:rFonts w:hint="eastAsia" w:asciiTheme="minorEastAsia" w:hAnsiTheme="minorEastAsia" w:eastAsiaTheme="minorEastAsia" w:cstheme="minorEastAsia"/>
          <w:color w:val="auto"/>
          <w:sz w:val="24"/>
          <w:szCs w:val="24"/>
        </w:rPr>
        <w:t>方可继续施工。</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点位变更：项目建设过程中，当主选监控点位因客观因素不能实施的情况下，投标人应响应采购人的要求将原主选点位设备安装到同类备选点位，工程费用按照审计结算，但不得超出原点位工程费用。</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投标人应根据采购单位视频专网网络安全管理要求完成设备录入。</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杆件：监控点位杆件须根据各地实际需求进行编码标识;杆件生产厂家须具备钢结构相关资质（可中标后提供）。</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工程点位原有旧监控设备需拆除的，由投标人负责，按照业主要求拆除并负责运送到指定地点存放。</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项目采用的补光设备</w:t>
      </w:r>
      <w:r>
        <w:rPr>
          <w:rFonts w:hint="eastAsia" w:asciiTheme="minorEastAsia" w:hAnsiTheme="minorEastAsia" w:eastAsiaTheme="minorEastAsia" w:cstheme="minorEastAsia"/>
          <w:color w:val="auto"/>
          <w:sz w:val="24"/>
          <w:szCs w:val="24"/>
          <w:lang w:val="en-US" w:eastAsia="zh-CN"/>
        </w:rPr>
        <w:t>选型建议使用暖光系列，最大化</w:t>
      </w:r>
      <w:r>
        <w:rPr>
          <w:rFonts w:hint="eastAsia" w:asciiTheme="minorEastAsia" w:hAnsiTheme="minorEastAsia" w:eastAsiaTheme="minorEastAsia" w:cstheme="minorEastAsia"/>
          <w:color w:val="auto"/>
          <w:sz w:val="24"/>
          <w:szCs w:val="24"/>
        </w:rPr>
        <w:t>满足节能、环保要求，因补光设备</w:t>
      </w:r>
      <w:r>
        <w:rPr>
          <w:rFonts w:hint="eastAsia" w:asciiTheme="minorEastAsia" w:hAnsiTheme="minorEastAsia" w:eastAsiaTheme="minorEastAsia" w:cstheme="minorEastAsia"/>
          <w:color w:val="auto"/>
          <w:sz w:val="24"/>
          <w:szCs w:val="24"/>
          <w:lang w:val="en-US" w:eastAsia="zh-CN"/>
        </w:rPr>
        <w:t>选型和</w:t>
      </w:r>
      <w:r>
        <w:rPr>
          <w:rFonts w:hint="eastAsia" w:asciiTheme="minorEastAsia" w:hAnsiTheme="minorEastAsia" w:eastAsiaTheme="minorEastAsia" w:cstheme="minorEastAsia"/>
          <w:color w:val="auto"/>
          <w:sz w:val="24"/>
          <w:szCs w:val="24"/>
        </w:rPr>
        <w:t>安装不当造成的群众投诉和一切纠纷后果由中标人承担。</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没有明确说明，但在整体系统建设安装时，不可缺少的设备或附属配件（如抱箍、线缆、电源逆变模块等），以及施工过程中产生一切费用（如道路、绿化恢复费用、首次设备检测标定费用等），都一并包含在本标内，由投标人统一负责。</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投标人应在完成施工后，将现场竣工图纸及完整的施工、竣工资料不少于3套（包括电子文档）免费提供给采购人，作为存档资料。</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投标人负责对项目工程建设进行总体管理，投标人应提供项目工程实施所必须的管理安排和实施计划，提出保证项目顺利实施的具体措施。</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投标人应考虑各种安全保护措施，并通过购买保险等方式，规避风险，安装施工中造成的人员伤害和一切损失由投标人承担，与采购人无关。</w:t>
      </w:r>
    </w:p>
    <w:p>
      <w:pPr>
        <w:snapToGrid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4"/>
          <w:szCs w:val="24"/>
        </w:rPr>
        <w:t>项目实施过程中，中标方需满足各地文明城市创建相关要求。</w:t>
      </w:r>
    </w:p>
    <w:p>
      <w:pPr>
        <w:pStyle w:val="6"/>
        <w:keepNext w:val="0"/>
        <w:keepLines w:val="0"/>
        <w:pageBreakBefore w:val="0"/>
        <w:widowControl w:val="0"/>
        <w:numPr>
          <w:ilvl w:val="0"/>
          <w:numId w:val="0"/>
        </w:numPr>
        <w:tabs>
          <w:tab w:val="clear" w:pos="1080"/>
        </w:tabs>
        <w:kinsoku/>
        <w:wordWrap/>
        <w:overflowPunct/>
        <w:topLinePunct w:val="0"/>
        <w:autoSpaceDE/>
        <w:autoSpaceDN/>
        <w:bidi w:val="0"/>
        <w:adjustRightInd/>
        <w:snapToGrid/>
        <w:spacing w:before="260" w:after="260" w:line="416" w:lineRule="auto"/>
        <w:ind w:left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质保与运维</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质保期</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项目质保期从最终验收合格之日开始计算,除非采购人另有要求，在质保期内的服务均为免费上门服务。</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项目质保期为五年，即其中产品、设备、软件（更新升级）的质保期不得少于五年。</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质保要求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中标人提供的必须是全新、原包装（包括零部件）的货物，货物必须符合国家检测标准以及该产品的出厂标准。如发生所供货物与合同不符，或者提供的货物属假冒伪劣产品，采购人有权不予验收，由此产生的一切责任和后果由中标人承担。</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中标人应保证货物在正确安装、使用和保养条件下其性能质量完全符合技术要求和合同规定。提供的货物出现质量问题，中标人应负责包修、包换，并承担修理、调换的实际费用。</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中标人须在质保期内必须确保系统正常运行和传输图像稳定清晰。终验合格且整体交付使用时，中标人须提供投标文件中注明的备品备件。质保期内，备品备件用完后，替换产品的配置须不低于备品备件的配置，并能满足采购人系统功能需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（4）质保期内，采购人有故障申报，中标人须在</w:t>
      </w:r>
      <w:r>
        <w:rPr>
          <w:rFonts w:hint="eastAsia" w:asciiTheme="minorEastAsia" w:hAnsiTheme="minorEastAsia" w:eastAsiaTheme="minorEastAsia" w:cstheme="minorEastAsia"/>
          <w:color w:val="auto"/>
          <w:sz w:val="24"/>
          <w:szCs w:val="24"/>
          <w:lang w:val="en-US" w:eastAsia="zh-CN"/>
        </w:rPr>
        <w:t>30分钟</w:t>
      </w:r>
      <w:r>
        <w:rPr>
          <w:rFonts w:hint="eastAsia" w:asciiTheme="minorEastAsia" w:hAnsiTheme="minorEastAsia" w:eastAsiaTheme="minorEastAsia" w:cstheme="minorEastAsia"/>
          <w:color w:val="auto"/>
          <w:sz w:val="24"/>
          <w:szCs w:val="24"/>
        </w:rPr>
        <w:t>内电话响应并提供解决方案；若不能以电话方式解决故障，须在4小时内赶到现场24小时</w:t>
      </w:r>
      <w:r>
        <w:rPr>
          <w:rFonts w:hint="eastAsia" w:asciiTheme="minorEastAsia" w:hAnsiTheme="minorEastAsia" w:eastAsiaTheme="minorEastAsia" w:cstheme="minorEastAsia"/>
          <w:color w:val="auto"/>
          <w:sz w:val="24"/>
          <w:szCs w:val="24"/>
          <w:lang w:val="en-US" w:eastAsia="zh-CN"/>
        </w:rPr>
        <w:t>内</w:t>
      </w:r>
      <w:r>
        <w:rPr>
          <w:rFonts w:hint="eastAsia" w:asciiTheme="minorEastAsia" w:hAnsiTheme="minorEastAsia" w:eastAsiaTheme="minorEastAsia" w:cstheme="minorEastAsia"/>
          <w:color w:val="auto"/>
          <w:sz w:val="24"/>
          <w:szCs w:val="24"/>
        </w:rPr>
        <w:t>解决。若不能现场解决，须提供同等性能、同等配置的设备替换，以确保采购人的系统不中断运行或与采购人协商解决。</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（5）质保期内，与维修相关的所有费用由中标人负责，更换的硬盘不退还，硬盘所有权归采购人所有。</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运维期</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中标人从最终验收合格之日起开始计算，负责本项目的维护和保养。</w:t>
      </w:r>
    </w:p>
    <w:p>
      <w:pPr>
        <w:pStyle w:val="8"/>
        <w:numPr>
          <w:ilvl w:val="3"/>
          <w:numId w:val="0"/>
        </w:numPr>
        <w:spacing w:before="0" w:after="0"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维护制度要求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人需制订相关运行维护制度，包含专门的抢修流程及内部日常管理、考核制度，并建立维护台账，严格按服务规范和标准执行。维护台账应包括设备名称、编号、安装位置、检定（验收）时间、功能及性能指标、采购人、管理单位、承建单位、维护单位、验收完成后设备现场图片、质保期、责任人等信息，以及设备的产品合格证、计量检定证书、检测报告影印件、质保书、施工图影印件、使用手册等资料。</w:t>
      </w:r>
    </w:p>
    <w:p>
      <w:pPr>
        <w:pStyle w:val="8"/>
        <w:numPr>
          <w:ilvl w:val="3"/>
          <w:numId w:val="0"/>
        </w:numPr>
        <w:spacing w:before="0" w:after="0"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运维人员要求</w:t>
      </w:r>
    </w:p>
    <w:p>
      <w:pPr>
        <w:snapToGrid w:val="0"/>
        <w:spacing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中标供应商需在采购方所在地设立维修服务点提供本地化</w:t>
      </w:r>
      <w:r>
        <w:rPr>
          <w:rFonts w:hint="eastAsia" w:asciiTheme="minorEastAsia" w:hAnsiTheme="minorEastAsia" w:eastAsiaTheme="minorEastAsia" w:cstheme="minorEastAsia"/>
          <w:color w:val="auto"/>
          <w:sz w:val="24"/>
          <w:szCs w:val="24"/>
          <w:lang w:val="en-US" w:eastAsia="zh-CN"/>
        </w:rPr>
        <w:t>驻点</w:t>
      </w:r>
      <w:r>
        <w:rPr>
          <w:rFonts w:hint="eastAsia" w:asciiTheme="minorEastAsia" w:hAnsiTheme="minorEastAsia" w:eastAsiaTheme="minorEastAsia" w:cstheme="minorEastAsia"/>
          <w:color w:val="auto"/>
          <w:sz w:val="24"/>
          <w:szCs w:val="24"/>
        </w:rPr>
        <w:t>服务，须同时提供本地化服务登高车</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辆（登高车为中标供应商单位自购</w:t>
      </w:r>
      <w:r>
        <w:rPr>
          <w:rFonts w:hint="eastAsia" w:asciiTheme="minorEastAsia" w:hAnsiTheme="minorEastAsia" w:eastAsiaTheme="minorEastAsia" w:cstheme="minorEastAsia"/>
          <w:color w:val="auto"/>
          <w:sz w:val="24"/>
          <w:szCs w:val="24"/>
          <w:lang w:val="en-US" w:eastAsia="zh-CN"/>
        </w:rPr>
        <w:t>或租赁，</w:t>
      </w:r>
      <w:r>
        <w:rPr>
          <w:rFonts w:hint="eastAsia" w:asciiTheme="minorEastAsia" w:hAnsiTheme="minorEastAsia" w:eastAsiaTheme="minorEastAsia" w:cstheme="minorEastAsia"/>
          <w:color w:val="auto"/>
          <w:sz w:val="24"/>
          <w:szCs w:val="24"/>
        </w:rPr>
        <w:t>需提供车辆的所有权证明</w:t>
      </w:r>
      <w:r>
        <w:rPr>
          <w:rFonts w:hint="eastAsia" w:asciiTheme="minorEastAsia" w:hAnsiTheme="minorEastAsia" w:eastAsiaTheme="minorEastAsia" w:cstheme="minorEastAsia"/>
          <w:color w:val="auto"/>
          <w:sz w:val="24"/>
          <w:szCs w:val="24"/>
          <w:lang w:val="en-US" w:eastAsia="zh-CN"/>
        </w:rPr>
        <w:t>或租赁合同</w:t>
      </w:r>
      <w:r>
        <w:rPr>
          <w:rFonts w:hint="eastAsia" w:asciiTheme="minorEastAsia" w:hAnsiTheme="minorEastAsia" w:eastAsiaTheme="minorEastAsia" w:cstheme="minorEastAsia"/>
          <w:color w:val="auto"/>
          <w:sz w:val="24"/>
          <w:szCs w:val="24"/>
        </w:rPr>
        <w:t>、车辆行驶证等相关证明材料，登高车需长期停放在</w:t>
      </w:r>
      <w:r>
        <w:rPr>
          <w:rFonts w:hint="eastAsia" w:asciiTheme="minorEastAsia" w:hAnsiTheme="minorEastAsia" w:eastAsiaTheme="minorEastAsia" w:cstheme="minorEastAsia"/>
          <w:color w:val="auto"/>
          <w:sz w:val="24"/>
          <w:szCs w:val="24"/>
          <w:lang w:val="en-US" w:eastAsia="zh-CN"/>
        </w:rPr>
        <w:t>永康市公安局交警大队</w:t>
      </w:r>
      <w:r>
        <w:rPr>
          <w:rFonts w:hint="eastAsia" w:asciiTheme="minorEastAsia" w:hAnsiTheme="minorEastAsia" w:eastAsiaTheme="minorEastAsia" w:cstheme="minorEastAsia"/>
          <w:color w:val="auto"/>
          <w:sz w:val="24"/>
          <w:szCs w:val="24"/>
        </w:rPr>
        <w:t>）和本地服务</w:t>
      </w:r>
      <w:r>
        <w:rPr>
          <w:rFonts w:hint="eastAsia" w:asciiTheme="minorEastAsia" w:hAnsiTheme="minorEastAsia" w:eastAsiaTheme="minorEastAsia" w:cstheme="minorEastAsia"/>
          <w:color w:val="auto"/>
          <w:sz w:val="24"/>
          <w:szCs w:val="24"/>
          <w:lang w:val="en-US" w:eastAsia="zh-CN"/>
        </w:rPr>
        <w:t>工程师1</w:t>
      </w:r>
      <w:r>
        <w:rPr>
          <w:rFonts w:hint="eastAsia" w:asciiTheme="minorEastAsia" w:hAnsiTheme="minorEastAsia" w:eastAsiaTheme="minorEastAsia" w:cstheme="minorEastAsia"/>
          <w:color w:val="auto"/>
          <w:sz w:val="24"/>
          <w:szCs w:val="24"/>
        </w:rPr>
        <w:t>名进驻（含法定节假日）</w:t>
      </w:r>
      <w:r>
        <w:rPr>
          <w:rFonts w:hint="eastAsia" w:asciiTheme="minorEastAsia" w:hAnsiTheme="minorEastAsia" w:eastAsiaTheme="minorEastAsia" w:cstheme="minorEastAsia"/>
          <w:color w:val="auto"/>
          <w:sz w:val="24"/>
          <w:szCs w:val="24"/>
          <w:lang w:val="en-US" w:eastAsia="zh-CN"/>
        </w:rPr>
        <w:t>永康市公安局保障畅行丽州项目</w:t>
      </w:r>
      <w:r>
        <w:rPr>
          <w:rFonts w:hint="eastAsia" w:asciiTheme="minorEastAsia" w:hAnsiTheme="minorEastAsia" w:eastAsiaTheme="minorEastAsia" w:cstheme="minorEastAsia"/>
          <w:color w:val="auto"/>
          <w:sz w:val="24"/>
          <w:szCs w:val="24"/>
        </w:rPr>
        <w:t>，实行24小</w:t>
      </w:r>
      <w:bookmarkStart w:id="61" w:name="_GoBack"/>
      <w:bookmarkEnd w:id="61"/>
      <w:r>
        <w:rPr>
          <w:rFonts w:hint="eastAsia" w:asciiTheme="minorEastAsia" w:hAnsiTheme="minorEastAsia" w:eastAsiaTheme="minorEastAsia" w:cstheme="minorEastAsia"/>
          <w:color w:val="auto"/>
          <w:sz w:val="24"/>
          <w:szCs w:val="24"/>
        </w:rPr>
        <w:t>时值班制度，确保售后服务，并为业主提供</w:t>
      </w:r>
      <w:r>
        <w:rPr>
          <w:rFonts w:hint="eastAsia" w:asciiTheme="minorEastAsia" w:hAnsiTheme="minorEastAsia" w:eastAsiaTheme="minorEastAsia" w:cstheme="minorEastAsia"/>
          <w:color w:val="auto"/>
          <w:sz w:val="24"/>
          <w:szCs w:val="24"/>
          <w:lang w:val="en-US" w:eastAsia="zh-CN"/>
        </w:rPr>
        <w:t>日常</w:t>
      </w:r>
      <w:r>
        <w:rPr>
          <w:rFonts w:hint="eastAsia" w:asciiTheme="minorEastAsia" w:hAnsiTheme="minorEastAsia" w:eastAsiaTheme="minorEastAsia" w:cstheme="minorEastAsia"/>
          <w:color w:val="auto"/>
          <w:sz w:val="24"/>
          <w:szCs w:val="24"/>
        </w:rPr>
        <w:t>安保协助等服务</w:t>
      </w:r>
      <w:r>
        <w:rPr>
          <w:rFonts w:hint="eastAsia" w:asciiTheme="minorEastAsia" w:hAnsiTheme="minorEastAsia" w:eastAsiaTheme="minorEastAsia" w:cstheme="minorEastAsia"/>
          <w:color w:val="auto"/>
          <w:sz w:val="24"/>
          <w:szCs w:val="24"/>
          <w:lang w:eastAsia="zh-CN"/>
        </w:rPr>
        <w:t>。</w:t>
      </w:r>
    </w:p>
    <w:p>
      <w:pPr>
        <w:pStyle w:val="8"/>
        <w:numPr>
          <w:ilvl w:val="3"/>
          <w:numId w:val="0"/>
        </w:numPr>
        <w:spacing w:before="0" w:after="0"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系统维修</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人的维修维护人员在平时日常的维修过程中，同时进行例行的维护。在重大故障修复后2个工作日内，向采购人提供详细故障分析报告。内容包括事件发生的时间、地点、状况、业务系统受到影响的范围、事故原因、处理结果、责任认定、未来防范措施等。现场无法修复的故障或设备故障的，中标人将应在省厅、市局考核规定的时间内提供不低于故障设备型号档次的备用设备供采购人单位使用，直至故障设备修复，保证系统正常运行。</w:t>
      </w:r>
    </w:p>
    <w:p>
      <w:pPr>
        <w:pStyle w:val="8"/>
        <w:numPr>
          <w:ilvl w:val="3"/>
          <w:numId w:val="0"/>
        </w:numPr>
        <w:spacing w:before="0" w:after="0"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系统的巡检</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个月至少对本项目前端设备和存储设备进行一次巡检和保养。主要查看基础设施（基础、立杆、控制柜等），控制设备等有无遭到损坏（被车磕、撞、碰、绊等）和人为破坏（被撬、砸、拆、偷）以及是否整洁。并作好巡检记录。如有发现损坏和破坏的则及时予以修复，不能修复的则予以更换，但都必须报业主单位进行确认后再实施。</w:t>
      </w:r>
    </w:p>
    <w:p>
      <w:pPr>
        <w:pStyle w:val="8"/>
        <w:numPr>
          <w:ilvl w:val="3"/>
          <w:numId w:val="0"/>
        </w:numPr>
        <w:spacing w:before="0" w:after="0"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图像质量的检查</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每个月</w:t>
      </w:r>
      <w:r>
        <w:rPr>
          <w:rFonts w:hint="eastAsia" w:asciiTheme="minorEastAsia" w:hAnsiTheme="minorEastAsia" w:eastAsiaTheme="minorEastAsia" w:cstheme="minorEastAsia"/>
          <w:color w:val="auto"/>
          <w:sz w:val="24"/>
          <w:szCs w:val="24"/>
          <w:lang w:val="en-US" w:eastAsia="zh-CN"/>
        </w:rPr>
        <w:t>通过后端平台</w:t>
      </w:r>
      <w:r>
        <w:rPr>
          <w:rFonts w:hint="eastAsia" w:asciiTheme="minorEastAsia" w:hAnsiTheme="minorEastAsia" w:eastAsiaTheme="minorEastAsia" w:cstheme="minorEastAsia"/>
          <w:color w:val="auto"/>
          <w:sz w:val="24"/>
          <w:szCs w:val="24"/>
        </w:rPr>
        <w:t>检查一次信号传输质量，对检查情况作好记录，并将情况及时反馈给维修组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由维修人员及时处理。</w:t>
      </w:r>
    </w:p>
    <w:p>
      <w:pPr>
        <w:pStyle w:val="8"/>
        <w:numPr>
          <w:ilvl w:val="3"/>
          <w:numId w:val="0"/>
        </w:numPr>
        <w:spacing w:before="0" w:after="0"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立杆、机柜保养</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立杆、机柜因均为外露设备，常年受日晒雨淋，容易造成油漆脱落，出现锈铁，影响了美观，减少了使用寿命。项目中标人应在日常巡检过程中，如出现有生锈的情况，则及时进行除锈油漆处理。</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备品备件要求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本项目所需要的</w:t>
      </w:r>
      <w:r>
        <w:rPr>
          <w:rFonts w:hint="eastAsia" w:asciiTheme="minorEastAsia" w:hAnsiTheme="minorEastAsia" w:eastAsiaTheme="minorEastAsia" w:cstheme="minorEastAsia"/>
          <w:color w:val="auto"/>
          <w:sz w:val="24"/>
          <w:szCs w:val="24"/>
          <w:lang w:val="en-US" w:eastAsia="zh-CN"/>
        </w:rPr>
        <w:t>常用设备</w:t>
      </w:r>
      <w:r>
        <w:rPr>
          <w:rFonts w:hint="eastAsia" w:asciiTheme="minorEastAsia" w:hAnsiTheme="minorEastAsia" w:eastAsiaTheme="minorEastAsia" w:cstheme="minorEastAsia"/>
          <w:color w:val="auto"/>
          <w:sz w:val="24"/>
          <w:szCs w:val="24"/>
        </w:rPr>
        <w:t>配件，中标人应常年备货。中标人在免费保修期内免费提供保证系统正常运行的全部备件及维护。</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其它要求</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（1）投标人须根据上述运维要求，提供5年运维方案，其内容还需包括日常运维责任以外的（如超期、人为破坏、不合理使用、偷盗、碰撞等）情况下的有偿和无偿运维内容和承诺。</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（2）投标单位须提供运维期满后的售后维保方案。</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（3）根据金华市监控管理要求，本项目验收前投标单位要完成点位命名的户籍化和其它相关系统的采集录入工作。运维期间内，监控点位相关要素变更后，投标单位应在系统中进行相应修改。</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（4）在运维期内，投标人须要完成前端监控点位设备、线路、基础、立杆、机箱、中心设备等系统设备的保修工作。</w:t>
      </w:r>
    </w:p>
    <w:p>
      <w:pPr>
        <w:pStyle w:val="7"/>
        <w:numPr>
          <w:ilvl w:val="0"/>
          <w:numId w:val="0"/>
        </w:numPr>
        <w:adjustRightInd w:val="0"/>
        <w:spacing w:before="156" w:beforeLines="50" w:after="156" w:afterLines="50"/>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考核条款</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（1）采购人对中标人按照售后服务承诺的清洁摄像机防护罩和检查系统运行情况的次数进行考核。每少一次扣</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000元，每少一个扣100元。</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（2）采购人对中标人按照售后服务承诺的对设备进行全面检修和保养（更换）的次数进行考核。每少一次扣</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000元。</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（3）采购人对中标人按照售后服务承诺的故障修复时间进行考核，每一路图像每超过一小时扣100元。</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（4）采购人对中标人检查发现机箱损坏（不可抗拒因素除外）、不能锁住或者机箱内设备杂乱不清洁的，每发现一次扣500元。</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（5）监控图像在相关要素改变后，中标人未及时按照永康市公安局要求在相应系统中修改的，每发现一个摄像头扣500元。</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（6）维护项目经理未履行请假手续擅自离开驻地的，发现一次扣款</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000元，上班迟到、早退的，每次扣款500元，未在规定时间内到达现场解决故障的，每次扣款1000元；采购人发现中标人配备的维护人员数量没有达到招标文件要求的，每次扣款</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000元，有兼项其它项目的，每次扣款</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000元；采购人发现中标人配备的维护车辆没有达到招标文件要求的，每次扣款</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000元，有兼项其它项目的，每次扣款</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000元。</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（7）中标人应服从项目监理的合理监督，承担不服从监理的一切后果。</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（8）采购人有权按照中标人售后服务承诺及合同文件的要求对其他运维事项进行考核及处罚。</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（9）处罚款从合同款中直接扣除。</w:t>
      </w:r>
    </w:p>
    <w:p>
      <w:pPr>
        <w:snapToGrid w:val="0"/>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（10）因不可抗力因素或非中标人因素造成维护工作无法达到考核要求的，经采购人同意，可不纳入总体考核。</w:t>
      </w:r>
    </w:p>
    <w:p>
      <w:pPr>
        <w:pStyle w:val="6"/>
        <w:widowControl w:val="0"/>
        <w:numPr>
          <w:ilvl w:val="0"/>
          <w:numId w:val="0"/>
        </w:numPr>
        <w:tabs>
          <w:tab w:val="clear" w:pos="1080"/>
        </w:tabs>
        <w:spacing w:before="260" w:after="260" w:line="416" w:lineRule="auto"/>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特别说明</w:t>
      </w:r>
    </w:p>
    <w:p>
      <w:pPr>
        <w:pBdr>
          <w:top w:val="none" w:color="auto" w:sz="0" w:space="0"/>
          <w:left w:val="none" w:color="auto" w:sz="0" w:space="0"/>
          <w:bottom w:val="none" w:color="auto" w:sz="0" w:space="0"/>
          <w:right w:val="none" w:color="auto" w:sz="0" w:space="0"/>
        </w:pBdr>
        <w:shd w:val="clear"/>
        <w:spacing w:line="360" w:lineRule="auto"/>
        <w:ind w:firstLine="422"/>
        <w:rPr>
          <w:rFonts w:hint="eastAsia" w:ascii="楷体" w:hAnsi="楷体" w:eastAsia="楷体" w:cs="楷体"/>
          <w:color w:val="auto"/>
          <w:highlight w:val="none"/>
        </w:rPr>
      </w:pPr>
      <w:r>
        <w:rPr>
          <w:rFonts w:hint="eastAsia" w:asciiTheme="minorEastAsia" w:hAnsiTheme="minorEastAsia" w:eastAsiaTheme="minorEastAsia" w:cstheme="minorEastAsia"/>
          <w:b/>
          <w:snapToGrid w:val="0"/>
          <w:color w:val="auto"/>
          <w:sz w:val="24"/>
          <w:szCs w:val="24"/>
          <w:highlight w:val="none"/>
        </w:rPr>
        <w:t>本技术规格只是对该项目原则性的要求，并非详尽的要求，投标人有责任对设计的实施符合技术规范负责，并有责任提出在本技术规格中未阐述的但为保证系统建成后能一次性通过终验及保证正常运行所必须的建议和要求，并落实在方案和投标报价之中。</w:t>
      </w:r>
    </w:p>
    <w:p>
      <w:pPr>
        <w:pStyle w:val="5"/>
        <w:numPr>
          <w:ilvl w:val="0"/>
          <w:numId w:val="7"/>
        </w:numPr>
        <w:pBdr>
          <w:top w:val="none" w:color="auto" w:sz="0" w:space="0"/>
          <w:left w:val="none" w:color="auto" w:sz="0" w:space="0"/>
          <w:bottom w:val="none" w:color="auto" w:sz="0" w:space="0"/>
          <w:right w:val="none" w:color="auto" w:sz="0" w:space="0"/>
        </w:pBdr>
        <w:shd w:val="clear"/>
        <w:spacing w:after="240"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商务要求</w:t>
      </w:r>
    </w:p>
    <w:p>
      <w:pPr>
        <w:widowControl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（一）产品质量及服务要求：</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1.1、产品要求</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所投产品需为原厂全新产品，符合国家技术规范和质量标准，通过国家有关部门检测合格的原产地产品，未曾开箱使用；设备安装调试完毕后，能在其功能范围内保障用户的系统安全、稳定运行。中标人应确保其技术建议以及所提供的设备的完整性、实用性，保证全部系统及时投入正常运行。否则若出现因中标人提供的设备不满足要求、不合理，或者其所提供的技术支持和服务不全面，而导致系统无法实现或不能完全实现的状况，中标人负全部责任。</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（2）所投产品的应详细列明投标设备的所有技术指标（包括所投产品的品牌、规格型号、详细配置、主要技术参数等）。</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（3）所投产品及主要部件均须非停产设备，并提供附件和耗材的供应。</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（4）投标时所提供的功能检测报告、证书证明或功能截图，中标后需要提供证明文件备查，不得虚假应标。</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(5)投标时所提供的相关设备，中标后业主单位有权将设备送去检测，如有作假，按合同追究相关法律责任，不予返还所上缴的履约保证金。</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 知识产权要求：</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所投定制开发应用平台软件知识产权为业主方与开发方共同所有。</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1.3、质量保证：</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（1）本项目涉及产品须高质量、高稳定。</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（2）投标货物必须是符合国家技术规范和质量标准的合格产品，满足采购人的使用需求，并具有可靠的售后服务体系，质量可靠、使用安全。</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中标人应保证其提供的货物中所有预装和为本项目安装的软件均为具有合法版权或使用权的正版软件且无质量瑕疵；</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（4）质保期要求: 提供五年免费质保服务，自验收完毕之日起计算。</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五年质保要求包括：</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1）硬件</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对本招标文件（以下视为合同）内所有设备进行保养、性能检查、故障修复及更换损坏设备，所有费用均由投标方承担；</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2）软件</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①对本合同内所有应用系统的软件进行保养、性能检查和故障修复；</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②对操作系统、数据库等系统的版本进行及时升级；</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③定时更新客户杀毒软件病毒代码库；</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④电脑资源优化、系统性能的优化；</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①负责各子</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系统应用操作培训及应用技巧传授，接受各类相关问题的咨询； </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②做好以上条款未能罗列完全，但属合同内的其他事宜；</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③协助做好采购人系统运行及其它相关工作；</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1.4、服务保证：</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（1）要求投标人提供的服务不得低于标准服务，即与投标设备制造厂商通过网站等对外公布的有效服务标准相一致。在标准服务基础上，投标人还应达到以下标准：</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投标货物制造厂商应具有完善的服务保障体系；供应商也应就投标货物的品质和服务对采购机构和采购单位负责。</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除在质保期内提供设备标准现场保修和技术支持服务外，还应提供备品、备件支持，以满足最终用户硬件故障、升级的要求。</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（2）中标人质保期内安装的任何零配件，必须是其投标设备制造厂商原产的或是经其认可的。</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（3）所有的替代零配件必须是新的未使用和未经修复的，除非采购人提供书面许可，否则不可使用此范围外的其他（非新的）配件。</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（4）在质保期内，供应商有责任解决所提供的投标设备和软件系统的任何问题，在质保期满后，当需要时，供应商仍须对因投标设备本身的固有缺陷和瑕疵承担相应责任。</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）供应商报价须包含所有的安装、搬运、税金及其他保障项目顺利交付运行的所有费用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采购人不再支付其他任何费用。</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1.5、服务响应：</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（1）终验合格后，提供7*24小时免费售后技术支持服务（包括故障排除、性能调优、技术咨询等，并负责处理、协调与各系统软件、硬件等供应商的关系）。技术服务热线支持应是中文服务。</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（2）在收到用户通知后，需即时响应，与突发事件保障人员同时到达现场解决问题，要确保设备的稳定性，对于易耗品需提供充足备件。</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（3）如果系统在维保期内发生故障，投标人如未按上述要求进行响应，采购人可以采取必要的措施，由此产生的风险和费用全部由投标人承担。</w:t>
      </w:r>
    </w:p>
    <w:p>
      <w:pPr>
        <w:widowControl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（二）实施要求：</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（1）工期要求：合同签订并收到开工令后</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个月内完工。</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（2）安装和调试：中标供应商负责全过程的施工、安装、调试、试运行工作。</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（3）实施进度要求：供应商进场施工要提供施工进度计划表，施工进度计划表需要需方确认。供方保证项目实施的技术力量必须按时完工。</w:t>
      </w:r>
    </w:p>
    <w:p>
      <w:pPr>
        <w:widowControl w:val="0"/>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（4）技术培训：投标人须对采购人系统管理人员免费提供具有针对性的系统培训。投标人提供的培训方案应包含：课时、时间、地点、食宿、方式、教材、讲师、场地及实验环境等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培训教师必须是</w:t>
      </w:r>
      <w:r>
        <w:rPr>
          <w:rFonts w:hint="eastAsia" w:asciiTheme="minorEastAsia" w:hAnsiTheme="minorEastAsia" w:eastAsiaTheme="minorEastAsia" w:cstheme="minorEastAsia"/>
          <w:color w:val="auto"/>
          <w:sz w:val="24"/>
          <w:szCs w:val="24"/>
          <w:lang w:val="en-US" w:eastAsia="zh-CN"/>
        </w:rPr>
        <w:t>投标人单位人员或</w:t>
      </w:r>
      <w:r>
        <w:rPr>
          <w:rFonts w:hint="eastAsia" w:asciiTheme="minorEastAsia" w:hAnsiTheme="minorEastAsia" w:eastAsiaTheme="minorEastAsia" w:cstheme="minorEastAsia"/>
          <w:color w:val="auto"/>
          <w:sz w:val="24"/>
          <w:szCs w:val="24"/>
        </w:rPr>
        <w:t>设备原厂商授权培训讲师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培训次数不少于2次。</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（5）施工安全要求：供方在施工过程中，应严格遵守安全施工的相关规范，应按相应安全规程操作，如在施工过程中发生安全事故，责任由供方自负。</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（6）质量目标：合格。</w:t>
      </w:r>
    </w:p>
    <w:p>
      <w:pPr>
        <w:widowControl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（三）验收要求：</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本项目验收以招投标文件、合同文件、第三方检测及国家标准规范为质量评定标准。</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本项目的最终用户为业主方，中标人必须提供本项目的所有文档。项目建成后，移交前文档资料准备应包括以下</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部分资料：</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一是工程过程的指导性文件：如技术交底、招投标文档、项目实际进度执行情况、系统日常操作与维护手册等。</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二是项目运作过程的记录性文件：如各种验收记录、系统修改日记等。</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三是项目过程的质量保证性文件：如设备签收记录、系统测试报告等。</w:t>
      </w:r>
    </w:p>
    <w:p>
      <w:pPr>
        <w:widowControl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（四）付款方式：</w:t>
      </w:r>
    </w:p>
    <w:p>
      <w:pPr>
        <w:widowControl w:val="0"/>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合同签订具备实施条件后7个工作日</w:t>
      </w:r>
      <w:r>
        <w:rPr>
          <w:rFonts w:hint="eastAsia" w:asciiTheme="minorEastAsia" w:hAnsiTheme="minorEastAsia" w:eastAsiaTheme="minorEastAsia" w:cstheme="minorEastAsia"/>
          <w:color w:val="auto"/>
          <w:sz w:val="24"/>
          <w:szCs w:val="24"/>
          <w:lang w:eastAsia="zh-CN"/>
        </w:rPr>
        <w:t>支付</w:t>
      </w:r>
      <w:r>
        <w:rPr>
          <w:rFonts w:hint="eastAsia" w:asciiTheme="minorEastAsia" w:hAnsiTheme="minorEastAsia" w:eastAsiaTheme="minorEastAsia" w:cstheme="minorEastAsia"/>
          <w:color w:val="auto"/>
          <w:sz w:val="24"/>
          <w:szCs w:val="24"/>
        </w:rPr>
        <w:t>合同总价的40%作为预付款（中标人须在采购人支付预付款前，向采购人提交合同总额</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%作为履约保证金，履约保证金形式可以银行出具的保函或其他担保措施，项目终验后无息退还）</w:t>
      </w:r>
      <w:r>
        <w:rPr>
          <w:rFonts w:hint="eastAsia" w:asciiTheme="minorEastAsia" w:hAnsiTheme="minorEastAsia" w:eastAsiaTheme="minorEastAsia" w:cstheme="minorEastAsia"/>
          <w:color w:val="auto"/>
          <w:sz w:val="24"/>
          <w:szCs w:val="24"/>
          <w:lang w:eastAsia="zh-CN"/>
        </w:rPr>
        <w:t>；</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2.项目通过终验</w:t>
      </w:r>
      <w:r>
        <w:rPr>
          <w:rFonts w:hint="eastAsia" w:asciiTheme="minorEastAsia" w:hAnsiTheme="minorEastAsia" w:eastAsiaTheme="minorEastAsia" w:cstheme="minorEastAsia"/>
          <w:color w:val="auto"/>
          <w:sz w:val="24"/>
          <w:szCs w:val="24"/>
          <w:lang w:val="en-US" w:eastAsia="zh-CN"/>
        </w:rPr>
        <w:t>完成后付至合同总额的60%，经结算审核后7个工作日内支付至最终合同总额的75％；</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服务期满1年后7</w:t>
      </w:r>
      <w:r>
        <w:rPr>
          <w:rFonts w:hint="eastAsia" w:asciiTheme="minorEastAsia" w:hAnsiTheme="minorEastAsia" w:eastAsiaTheme="minorEastAsia" w:cstheme="minorEastAsia"/>
          <w:color w:val="auto"/>
          <w:sz w:val="24"/>
          <w:szCs w:val="24"/>
        </w:rPr>
        <w:t>个工作日付至最终</w:t>
      </w:r>
      <w:r>
        <w:rPr>
          <w:rFonts w:hint="eastAsia" w:asciiTheme="minorEastAsia" w:hAnsiTheme="minorEastAsia" w:eastAsiaTheme="minorEastAsia" w:cstheme="minorEastAsia"/>
          <w:color w:val="auto"/>
          <w:sz w:val="24"/>
          <w:szCs w:val="24"/>
          <w:lang w:val="en-US" w:eastAsia="zh-CN"/>
        </w:rPr>
        <w:t>合同总额</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80</w:t>
      </w:r>
      <w:r>
        <w:rPr>
          <w:rFonts w:hint="eastAsia" w:asciiTheme="minorEastAsia" w:hAnsiTheme="minorEastAsia" w:eastAsiaTheme="minorEastAsia" w:cstheme="minorEastAsia"/>
          <w:color w:val="auto"/>
          <w:sz w:val="24"/>
          <w:szCs w:val="24"/>
        </w:rPr>
        <w:t>％。</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服务期满</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年后7</w:t>
      </w:r>
      <w:r>
        <w:rPr>
          <w:rFonts w:hint="eastAsia" w:asciiTheme="minorEastAsia" w:hAnsiTheme="minorEastAsia" w:eastAsiaTheme="minorEastAsia" w:cstheme="minorEastAsia"/>
          <w:color w:val="auto"/>
          <w:sz w:val="24"/>
          <w:szCs w:val="24"/>
        </w:rPr>
        <w:t>个工作日付至最终</w:t>
      </w:r>
      <w:r>
        <w:rPr>
          <w:rFonts w:hint="eastAsia" w:asciiTheme="minorEastAsia" w:hAnsiTheme="minorEastAsia" w:eastAsiaTheme="minorEastAsia" w:cstheme="minorEastAsia"/>
          <w:color w:val="auto"/>
          <w:sz w:val="24"/>
          <w:szCs w:val="24"/>
          <w:lang w:val="en-US" w:eastAsia="zh-CN"/>
        </w:rPr>
        <w:t>合同总额</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85</w:t>
      </w:r>
      <w:r>
        <w:rPr>
          <w:rFonts w:hint="eastAsia" w:asciiTheme="minorEastAsia" w:hAnsiTheme="minorEastAsia" w:eastAsiaTheme="minorEastAsia" w:cstheme="minorEastAsia"/>
          <w:color w:val="auto"/>
          <w:sz w:val="24"/>
          <w:szCs w:val="24"/>
        </w:rPr>
        <w:t>％。</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服务期满</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年后7</w:t>
      </w:r>
      <w:r>
        <w:rPr>
          <w:rFonts w:hint="eastAsia" w:asciiTheme="minorEastAsia" w:hAnsiTheme="minorEastAsia" w:eastAsiaTheme="minorEastAsia" w:cstheme="minorEastAsia"/>
          <w:color w:val="auto"/>
          <w:sz w:val="24"/>
          <w:szCs w:val="24"/>
        </w:rPr>
        <w:t>个工作日付至最终</w:t>
      </w:r>
      <w:r>
        <w:rPr>
          <w:rFonts w:hint="eastAsia" w:asciiTheme="minorEastAsia" w:hAnsiTheme="minorEastAsia" w:eastAsiaTheme="minorEastAsia" w:cstheme="minorEastAsia"/>
          <w:color w:val="auto"/>
          <w:sz w:val="24"/>
          <w:szCs w:val="24"/>
          <w:lang w:val="en-US" w:eastAsia="zh-CN"/>
        </w:rPr>
        <w:t>合同总额</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90</w:t>
      </w:r>
      <w:r>
        <w:rPr>
          <w:rFonts w:hint="eastAsia" w:asciiTheme="minorEastAsia" w:hAnsiTheme="minorEastAsia" w:eastAsiaTheme="minorEastAsia" w:cstheme="minorEastAsia"/>
          <w:color w:val="auto"/>
          <w:sz w:val="24"/>
          <w:szCs w:val="24"/>
        </w:rPr>
        <w:t>％。</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服务期满</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年后7</w:t>
      </w:r>
      <w:r>
        <w:rPr>
          <w:rFonts w:hint="eastAsia" w:asciiTheme="minorEastAsia" w:hAnsiTheme="minorEastAsia" w:eastAsiaTheme="minorEastAsia" w:cstheme="minorEastAsia"/>
          <w:color w:val="auto"/>
          <w:sz w:val="24"/>
          <w:szCs w:val="24"/>
        </w:rPr>
        <w:t>个工作日付至最终</w:t>
      </w:r>
      <w:r>
        <w:rPr>
          <w:rFonts w:hint="eastAsia" w:asciiTheme="minorEastAsia" w:hAnsiTheme="minorEastAsia" w:eastAsiaTheme="minorEastAsia" w:cstheme="minorEastAsia"/>
          <w:color w:val="auto"/>
          <w:sz w:val="24"/>
          <w:szCs w:val="24"/>
          <w:lang w:val="en-US" w:eastAsia="zh-CN"/>
        </w:rPr>
        <w:t>合同总额</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95</w:t>
      </w:r>
      <w:r>
        <w:rPr>
          <w:rFonts w:hint="eastAsia" w:asciiTheme="minorEastAsia" w:hAnsiTheme="minorEastAsia" w:eastAsiaTheme="minorEastAsia" w:cstheme="minorEastAsia"/>
          <w:color w:val="auto"/>
          <w:sz w:val="24"/>
          <w:szCs w:val="24"/>
        </w:rPr>
        <w:t>％。</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服务期满</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年后7</w:t>
      </w:r>
      <w:r>
        <w:rPr>
          <w:rFonts w:hint="eastAsia" w:asciiTheme="minorEastAsia" w:hAnsiTheme="minorEastAsia" w:eastAsiaTheme="minorEastAsia" w:cstheme="minorEastAsia"/>
          <w:color w:val="auto"/>
          <w:sz w:val="24"/>
          <w:szCs w:val="24"/>
        </w:rPr>
        <w:t>个工作日付至最终</w:t>
      </w:r>
      <w:r>
        <w:rPr>
          <w:rFonts w:hint="eastAsia" w:asciiTheme="minorEastAsia" w:hAnsiTheme="minorEastAsia" w:eastAsiaTheme="minorEastAsia" w:cstheme="minorEastAsia"/>
          <w:color w:val="auto"/>
          <w:sz w:val="24"/>
          <w:szCs w:val="24"/>
          <w:lang w:val="en-US" w:eastAsia="zh-CN"/>
        </w:rPr>
        <w:t>合同总额</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w:t>
      </w:r>
    </w:p>
    <w:p>
      <w:pPr>
        <w:widowControl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（五）税费：</w:t>
      </w:r>
      <w:r>
        <w:rPr>
          <w:rFonts w:hint="eastAsia" w:asciiTheme="minorEastAsia" w:hAnsiTheme="minorEastAsia" w:eastAsiaTheme="minorEastAsia" w:cstheme="minorEastAsia"/>
          <w:color w:val="auto"/>
          <w:sz w:val="24"/>
          <w:szCs w:val="24"/>
        </w:rPr>
        <w:t>凡与本合同相关的一切税费均由乙方负担；</w:t>
      </w:r>
    </w:p>
    <w:p>
      <w:pPr>
        <w:widowControl w:val="0"/>
        <w:spacing w:line="360" w:lineRule="auto"/>
        <w:rPr>
          <w:rFonts w:hint="eastAsia" w:ascii="楷体" w:hAnsi="楷体" w:eastAsia="楷体" w:cs="楷体"/>
          <w:color w:val="auto"/>
          <w:sz w:val="24"/>
          <w:szCs w:val="24"/>
        </w:rPr>
      </w:pPr>
      <w:r>
        <w:rPr>
          <w:rFonts w:hint="eastAsia" w:asciiTheme="minorEastAsia" w:hAnsiTheme="minorEastAsia" w:eastAsiaTheme="minorEastAsia" w:cstheme="minorEastAsia"/>
          <w:b/>
          <w:bCs/>
          <w:color w:val="auto"/>
          <w:sz w:val="24"/>
          <w:szCs w:val="24"/>
        </w:rPr>
        <w:t>（六）争议的解决：</w:t>
      </w:r>
      <w:r>
        <w:rPr>
          <w:rFonts w:hint="eastAsia" w:asciiTheme="minorEastAsia" w:hAnsiTheme="minorEastAsia" w:eastAsiaTheme="minorEastAsia" w:cstheme="minorEastAsia"/>
          <w:color w:val="auto"/>
          <w:sz w:val="24"/>
          <w:szCs w:val="24"/>
        </w:rPr>
        <w:t>合同执行过程中发生的争议，如双方不能通过友好协商解决，则按相关法律法规处理。</w:t>
      </w: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ascii="楷体" w:hAnsi="楷体" w:eastAsia="楷体" w:cs="楷体"/>
          <w:color w:val="auto"/>
          <w:sz w:val="24"/>
          <w:szCs w:val="24"/>
        </w:rPr>
      </w:pPr>
    </w:p>
    <w:p>
      <w:pPr>
        <w:rPr>
          <w:rFonts w:hint="eastAsia" w:ascii="楷体" w:hAnsi="楷体" w:eastAsia="楷体" w:cs="楷体"/>
          <w:color w:val="auto"/>
          <w:sz w:val="24"/>
          <w:szCs w:val="24"/>
        </w:rPr>
      </w:pPr>
    </w:p>
    <w:p>
      <w:pPr>
        <w:pStyle w:val="22"/>
        <w:rPr>
          <w:rFonts w:hint="eastAsia"/>
        </w:rPr>
      </w:pPr>
    </w:p>
    <w:p>
      <w:pPr>
        <w:widowControl w:val="0"/>
        <w:spacing w:line="360" w:lineRule="auto"/>
        <w:rPr>
          <w:rFonts w:hint="eastAsia" w:ascii="楷体" w:hAnsi="楷体" w:eastAsia="楷体" w:cs="楷体"/>
          <w:color w:val="auto"/>
          <w:sz w:val="24"/>
          <w:szCs w:val="24"/>
        </w:rPr>
      </w:pPr>
    </w:p>
    <w:p>
      <w:pPr>
        <w:widowControl w:val="0"/>
        <w:spacing w:after="120"/>
        <w:jc w:val="center"/>
        <w:rPr>
          <w:rFonts w:ascii="宋体" w:hAnsi="Calibri" w:cs="Times New Roman"/>
          <w:highlight w:val="none"/>
        </w:rPr>
      </w:pPr>
    </w:p>
    <w:p>
      <w:pPr>
        <w:pStyle w:val="13"/>
        <w:rPr>
          <w:rFonts w:ascii="宋体" w:hAnsi="Calibri" w:cs="Times New Roman"/>
          <w:highlight w:val="none"/>
        </w:rPr>
      </w:pPr>
    </w:p>
    <w:p>
      <w:pPr>
        <w:pStyle w:val="36"/>
        <w:rPr>
          <w:rFonts w:ascii="宋体" w:hAnsi="Calibri" w:cs="Times New Roman"/>
          <w:highlight w:val="none"/>
        </w:rPr>
      </w:pPr>
    </w:p>
    <w:p>
      <w:pPr>
        <w:rPr>
          <w:rFonts w:ascii="宋体" w:hAnsi="Calibri" w:cs="Times New Roman"/>
          <w:highlight w:val="none"/>
        </w:rPr>
      </w:pPr>
    </w:p>
    <w:p>
      <w:pPr>
        <w:pStyle w:val="13"/>
        <w:rPr>
          <w:highlight w:val="none"/>
        </w:rPr>
      </w:pPr>
    </w:p>
    <w:p>
      <w:pPr>
        <w:widowControl w:val="0"/>
        <w:tabs>
          <w:tab w:val="left" w:pos="0"/>
        </w:tabs>
        <w:snapToGrid w:val="0"/>
        <w:spacing w:line="360" w:lineRule="auto"/>
        <w:jc w:val="center"/>
        <w:rPr>
          <w:rFonts w:ascii="黑体" w:hAnsi="Calibri" w:eastAsia="黑体" w:cs="Times New Roman"/>
          <w:b/>
          <w:bCs/>
          <w:color w:val="000000"/>
          <w:sz w:val="48"/>
          <w:szCs w:val="48"/>
          <w:highlight w:val="none"/>
        </w:rPr>
      </w:pPr>
      <w:r>
        <w:rPr>
          <w:rFonts w:hint="eastAsia" w:ascii="黑体" w:hAnsi="Calibri" w:eastAsia="黑体" w:cs="黑体"/>
          <w:b/>
          <w:bCs/>
          <w:color w:val="000000"/>
          <w:sz w:val="48"/>
          <w:szCs w:val="48"/>
          <w:highlight w:val="none"/>
        </w:rPr>
        <w:t>第五章</w:t>
      </w:r>
    </w:p>
    <w:p>
      <w:pPr>
        <w:widowControl w:val="0"/>
        <w:tabs>
          <w:tab w:val="left" w:pos="0"/>
        </w:tabs>
        <w:snapToGrid w:val="0"/>
        <w:spacing w:line="360" w:lineRule="auto"/>
        <w:jc w:val="center"/>
        <w:rPr>
          <w:rFonts w:ascii="Calibri" w:hAnsi="Calibri" w:cs="Times New Roman"/>
          <w:b/>
          <w:bCs/>
          <w:color w:val="000000"/>
          <w:sz w:val="32"/>
          <w:szCs w:val="32"/>
          <w:highlight w:val="none"/>
        </w:rPr>
      </w:pPr>
      <w:r>
        <w:rPr>
          <w:rFonts w:hint="eastAsia" w:ascii="黑体" w:hAnsi="Calibri" w:eastAsia="黑体" w:cs="黑体"/>
          <w:b/>
          <w:bCs/>
          <w:color w:val="000000"/>
          <w:sz w:val="48"/>
          <w:szCs w:val="48"/>
          <w:highlight w:val="none"/>
        </w:rPr>
        <w:t>附件</w:t>
      </w:r>
      <w:r>
        <w:rPr>
          <w:rFonts w:ascii="黑体" w:hAnsi="Calibri" w:eastAsia="黑体" w:cs="Calibri"/>
          <w:b/>
          <w:bCs/>
          <w:color w:val="000000"/>
          <w:sz w:val="48"/>
          <w:szCs w:val="48"/>
          <w:highlight w:val="none"/>
        </w:rPr>
        <w:t>—</w:t>
      </w:r>
      <w:r>
        <w:rPr>
          <w:rFonts w:hint="eastAsia" w:ascii="黑体" w:hAnsi="Calibri" w:eastAsia="黑体" w:cs="黑体"/>
          <w:b/>
          <w:bCs/>
          <w:color w:val="000000"/>
          <w:sz w:val="48"/>
          <w:szCs w:val="48"/>
          <w:highlight w:val="none"/>
        </w:rPr>
        <w:t>投标文件格式</w:t>
      </w:r>
    </w:p>
    <w:p>
      <w:pPr>
        <w:widowControl w:val="0"/>
        <w:tabs>
          <w:tab w:val="left" w:pos="0"/>
        </w:tabs>
        <w:snapToGrid w:val="0"/>
        <w:spacing w:line="360" w:lineRule="auto"/>
        <w:rPr>
          <w:rFonts w:ascii="Calibri" w:hAnsi="Calibri" w:cs="Times New Roman"/>
          <w:b/>
          <w:bCs/>
          <w:color w:val="000000"/>
          <w:sz w:val="32"/>
          <w:szCs w:val="32"/>
          <w:highlight w:val="none"/>
        </w:rPr>
      </w:pPr>
    </w:p>
    <w:p>
      <w:pPr>
        <w:widowControl w:val="0"/>
        <w:spacing w:line="480" w:lineRule="auto"/>
        <w:rPr>
          <w:rFonts w:ascii="仿宋" w:hAnsi="仿宋" w:eastAsia="仿宋"/>
          <w:b/>
          <w:sz w:val="30"/>
          <w:szCs w:val="30"/>
          <w:highlight w:val="none"/>
        </w:rPr>
      </w:pPr>
      <w:r>
        <w:rPr>
          <w:rFonts w:ascii="Calibri" w:hAnsi="Calibri" w:cs="Times New Roman"/>
          <w:b/>
          <w:bCs/>
          <w:color w:val="000000"/>
          <w:sz w:val="32"/>
          <w:szCs w:val="32"/>
          <w:highlight w:val="none"/>
        </w:rPr>
        <w:br w:type="page"/>
      </w:r>
      <w:r>
        <w:rPr>
          <w:rFonts w:hint="eastAsia" w:ascii="仿宋" w:hAnsi="仿宋" w:eastAsia="仿宋"/>
          <w:sz w:val="30"/>
          <w:szCs w:val="30"/>
          <w:highlight w:val="none"/>
        </w:rPr>
        <w:t>附件1</w:t>
      </w:r>
      <w:r>
        <w:rPr>
          <w:rFonts w:hint="eastAsia" w:ascii="仿宋" w:hAnsi="仿宋" w:eastAsia="仿宋"/>
          <w:b/>
          <w:sz w:val="30"/>
          <w:szCs w:val="30"/>
          <w:highlight w:val="none"/>
        </w:rPr>
        <w:t xml:space="preserve">：                                          </w:t>
      </w:r>
    </w:p>
    <w:p>
      <w:pPr>
        <w:snapToGrid w:val="0"/>
        <w:spacing w:before="120" w:beforeLines="50" w:after="50"/>
        <w:ind w:right="150"/>
        <w:jc w:val="right"/>
        <w:rPr>
          <w:rFonts w:ascii="仿宋" w:hAnsi="仿宋" w:eastAsia="仿宋"/>
          <w:bCs/>
          <w:sz w:val="30"/>
          <w:szCs w:val="30"/>
          <w:highlight w:val="none"/>
        </w:rPr>
      </w:pPr>
    </w:p>
    <w:p>
      <w:pPr>
        <w:ind w:right="-110"/>
        <w:jc w:val="center"/>
        <w:rPr>
          <w:rFonts w:hint="eastAsia" w:ascii="仿宋" w:hAnsi="仿宋" w:eastAsia="仿宋"/>
          <w:spacing w:val="40"/>
          <w:sz w:val="52"/>
          <w:szCs w:val="52"/>
          <w:highlight w:val="none"/>
        </w:rPr>
      </w:pPr>
      <w:r>
        <w:rPr>
          <w:rFonts w:hint="eastAsia" w:ascii="仿宋" w:hAnsi="仿宋" w:eastAsia="仿宋"/>
          <w:spacing w:val="40"/>
          <w:sz w:val="52"/>
          <w:szCs w:val="52"/>
          <w:highlight w:val="none"/>
        </w:rPr>
        <w:t>项目名称：</w:t>
      </w:r>
    </w:p>
    <w:p>
      <w:pPr>
        <w:spacing w:before="240" w:beforeLines="100" w:line="240" w:lineRule="atLeast"/>
        <w:jc w:val="center"/>
        <w:rPr>
          <w:rFonts w:ascii="仿宋" w:hAnsi="仿宋" w:eastAsia="仿宋"/>
          <w:sz w:val="36"/>
          <w:szCs w:val="36"/>
          <w:highlight w:val="none"/>
        </w:rPr>
      </w:pPr>
      <w:r>
        <w:rPr>
          <w:rFonts w:hint="eastAsia" w:ascii="仿宋" w:hAnsi="仿宋" w:eastAsia="仿宋"/>
          <w:sz w:val="36"/>
          <w:szCs w:val="36"/>
          <w:highlight w:val="none"/>
        </w:rPr>
        <w:t>项目编号：</w:t>
      </w:r>
    </w:p>
    <w:p>
      <w:pPr>
        <w:spacing w:after="100" w:afterAutospacing="1" w:line="800" w:lineRule="exact"/>
        <w:ind w:right="-108"/>
        <w:jc w:val="center"/>
        <w:rPr>
          <w:rFonts w:ascii="仿宋" w:hAnsi="仿宋" w:eastAsia="仿宋"/>
          <w:b/>
          <w:spacing w:val="40"/>
          <w:sz w:val="84"/>
          <w:szCs w:val="84"/>
          <w:highlight w:val="none"/>
        </w:rPr>
      </w:pPr>
    </w:p>
    <w:p>
      <w:pPr>
        <w:spacing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资</w:t>
      </w:r>
    </w:p>
    <w:p>
      <w:pPr>
        <w:spacing w:after="100" w:afterAutospacing="1" w:line="800" w:lineRule="exact"/>
        <w:ind w:right="-108"/>
        <w:jc w:val="center"/>
        <w:rPr>
          <w:rFonts w:ascii="仿宋" w:hAnsi="仿宋" w:eastAsia="仿宋"/>
          <w:b/>
          <w:spacing w:val="40"/>
          <w:sz w:val="84"/>
          <w:szCs w:val="84"/>
          <w:highlight w:val="none"/>
        </w:rPr>
      </w:pPr>
    </w:p>
    <w:p>
      <w:pPr>
        <w:spacing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质</w:t>
      </w:r>
    </w:p>
    <w:p>
      <w:pPr>
        <w:spacing w:after="100" w:afterAutospacing="1" w:line="800" w:lineRule="exact"/>
        <w:ind w:right="-108"/>
        <w:jc w:val="center"/>
        <w:rPr>
          <w:rFonts w:ascii="仿宋" w:hAnsi="仿宋" w:eastAsia="仿宋"/>
          <w:b/>
          <w:spacing w:val="40"/>
          <w:sz w:val="84"/>
          <w:szCs w:val="84"/>
          <w:highlight w:val="none"/>
        </w:rPr>
      </w:pPr>
    </w:p>
    <w:p>
      <w:pPr>
        <w:spacing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文</w:t>
      </w:r>
    </w:p>
    <w:p>
      <w:pPr>
        <w:spacing w:after="100" w:afterAutospacing="1" w:line="800" w:lineRule="exact"/>
        <w:ind w:right="-108"/>
        <w:jc w:val="center"/>
        <w:rPr>
          <w:rFonts w:ascii="仿宋" w:hAnsi="仿宋" w:eastAsia="仿宋"/>
          <w:b/>
          <w:spacing w:val="40"/>
          <w:sz w:val="84"/>
          <w:szCs w:val="84"/>
          <w:highlight w:val="none"/>
        </w:rPr>
      </w:pPr>
    </w:p>
    <w:p>
      <w:pPr>
        <w:spacing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件</w:t>
      </w:r>
    </w:p>
    <w:p>
      <w:pPr>
        <w:spacing w:line="500" w:lineRule="exact"/>
        <w:ind w:right="532"/>
        <w:rPr>
          <w:rFonts w:ascii="仿宋" w:hAnsi="仿宋" w:eastAsia="仿宋"/>
          <w:sz w:val="36"/>
          <w:szCs w:val="36"/>
          <w:highlight w:val="none"/>
        </w:rPr>
      </w:pPr>
    </w:p>
    <w:p>
      <w:pPr>
        <w:spacing w:line="600" w:lineRule="exact"/>
        <w:ind w:right="532" w:firstLine="720" w:firstLineChars="200"/>
        <w:rPr>
          <w:rFonts w:ascii="仿宋" w:hAnsi="仿宋" w:eastAsia="仿宋"/>
          <w:sz w:val="36"/>
          <w:szCs w:val="36"/>
          <w:highlight w:val="none"/>
        </w:rPr>
      </w:pPr>
      <w:r>
        <w:rPr>
          <w:rFonts w:hint="eastAsia" w:ascii="仿宋" w:hAnsi="仿宋" w:eastAsia="仿宋"/>
          <w:sz w:val="36"/>
          <w:szCs w:val="36"/>
          <w:highlight w:val="none"/>
        </w:rPr>
        <w:t>投标人全称：</w:t>
      </w:r>
    </w:p>
    <w:p>
      <w:pPr>
        <w:spacing w:line="600" w:lineRule="exact"/>
        <w:ind w:right="532" w:firstLine="720" w:firstLineChars="200"/>
        <w:rPr>
          <w:rFonts w:ascii="仿宋" w:hAnsi="仿宋" w:eastAsia="仿宋"/>
          <w:sz w:val="36"/>
          <w:szCs w:val="36"/>
          <w:highlight w:val="none"/>
        </w:rPr>
      </w:pPr>
      <w:r>
        <w:rPr>
          <w:rFonts w:hint="eastAsia" w:ascii="仿宋" w:hAnsi="仿宋" w:eastAsia="仿宋"/>
          <w:sz w:val="36"/>
          <w:szCs w:val="36"/>
          <w:highlight w:val="none"/>
        </w:rPr>
        <w:t>地    址：</w:t>
      </w:r>
    </w:p>
    <w:p>
      <w:pPr>
        <w:spacing w:line="600" w:lineRule="exact"/>
        <w:ind w:right="532" w:firstLine="720" w:firstLineChars="200"/>
        <w:rPr>
          <w:rFonts w:ascii="仿宋" w:hAnsi="仿宋" w:eastAsia="仿宋"/>
          <w:sz w:val="36"/>
          <w:szCs w:val="36"/>
          <w:highlight w:val="none"/>
        </w:rPr>
      </w:pPr>
      <w:r>
        <w:rPr>
          <w:rFonts w:hint="eastAsia" w:ascii="仿宋" w:hAnsi="仿宋" w:eastAsia="仿宋"/>
          <w:sz w:val="36"/>
          <w:szCs w:val="36"/>
          <w:highlight w:val="none"/>
        </w:rPr>
        <w:t>时    间：</w:t>
      </w:r>
    </w:p>
    <w:p>
      <w:pPr>
        <w:snapToGrid w:val="0"/>
        <w:spacing w:before="50" w:after="50"/>
        <w:rPr>
          <w:rFonts w:ascii="仿宋" w:hAnsi="仿宋" w:eastAsia="仿宋"/>
          <w:b/>
          <w:bCs/>
          <w:sz w:val="36"/>
          <w:szCs w:val="36"/>
          <w:highlight w:val="none"/>
        </w:rPr>
      </w:pPr>
      <w:r>
        <w:rPr>
          <w:rFonts w:ascii="仿宋" w:hAnsi="仿宋" w:eastAsia="仿宋"/>
          <w:b/>
          <w:sz w:val="36"/>
          <w:szCs w:val="36"/>
          <w:highlight w:val="none"/>
        </w:rPr>
        <w:br w:type="page"/>
      </w:r>
      <w:r>
        <w:rPr>
          <w:rFonts w:hint="eastAsia" w:ascii="仿宋" w:hAnsi="仿宋" w:eastAsia="仿宋"/>
          <w:b/>
          <w:sz w:val="36"/>
          <w:szCs w:val="36"/>
          <w:highlight w:val="none"/>
        </w:rPr>
        <w:t>1、</w:t>
      </w:r>
      <w:r>
        <w:rPr>
          <w:rFonts w:hint="eastAsia" w:ascii="仿宋" w:hAnsi="仿宋" w:eastAsia="仿宋"/>
          <w:b/>
          <w:bCs/>
          <w:sz w:val="36"/>
          <w:szCs w:val="36"/>
          <w:highlight w:val="none"/>
        </w:rPr>
        <w:t>资质文件目录</w:t>
      </w:r>
    </w:p>
    <w:p>
      <w:pPr>
        <w:snapToGrid w:val="0"/>
        <w:spacing w:before="50" w:after="50"/>
        <w:rPr>
          <w:rFonts w:ascii="仿宋" w:hAnsi="仿宋" w:eastAsia="仿宋"/>
          <w:sz w:val="30"/>
          <w:szCs w:val="30"/>
          <w:highlight w:val="none"/>
        </w:rPr>
      </w:pPr>
    </w:p>
    <w:p>
      <w:pPr>
        <w:numPr>
          <w:ilvl w:val="0"/>
          <w:numId w:val="8"/>
        </w:numPr>
        <w:snapToGrid w:val="0"/>
        <w:spacing w:line="460" w:lineRule="exact"/>
        <w:ind w:firstLine="588"/>
        <w:jc w:val="left"/>
        <w:rPr>
          <w:rFonts w:hint="eastAsia" w:ascii="仿宋" w:hAnsi="仿宋" w:eastAsia="仿宋"/>
          <w:sz w:val="30"/>
          <w:szCs w:val="30"/>
          <w:highlight w:val="none"/>
        </w:rPr>
      </w:pPr>
      <w:r>
        <w:rPr>
          <w:rFonts w:hint="eastAsia" w:ascii="仿宋" w:hAnsi="仿宋" w:eastAsia="仿宋"/>
          <w:sz w:val="30"/>
          <w:szCs w:val="30"/>
          <w:highlight w:val="none"/>
        </w:rPr>
        <w:t>投标承诺函(格式见附件）；</w:t>
      </w:r>
    </w:p>
    <w:p>
      <w:pPr>
        <w:snapToGrid w:val="0"/>
        <w:spacing w:line="460" w:lineRule="exact"/>
        <w:ind w:firstLine="600" w:firstLineChars="200"/>
        <w:jc w:val="left"/>
        <w:rPr>
          <w:rFonts w:hint="eastAsia" w:ascii="仿宋" w:hAnsi="仿宋" w:eastAsia="仿宋"/>
          <w:sz w:val="30"/>
          <w:szCs w:val="30"/>
          <w:highlight w:val="none"/>
        </w:rPr>
      </w:pPr>
      <w:r>
        <w:rPr>
          <w:rFonts w:hint="eastAsia" w:ascii="仿宋" w:hAnsi="仿宋" w:eastAsia="仿宋"/>
          <w:sz w:val="30"/>
          <w:szCs w:val="30"/>
          <w:highlight w:val="none"/>
        </w:rPr>
        <w:t>（2）投标声明书 (格式见附件，含</w:t>
      </w:r>
      <w:r>
        <w:rPr>
          <w:rFonts w:hint="eastAsia" w:ascii="仿宋" w:hAnsi="仿宋" w:eastAsia="仿宋"/>
          <w:sz w:val="30"/>
          <w:szCs w:val="30"/>
          <w:highlight w:val="none"/>
          <w:lang w:val="en-US" w:eastAsia="zh-CN"/>
        </w:rPr>
        <w:t>无</w:t>
      </w:r>
      <w:r>
        <w:rPr>
          <w:rFonts w:hint="eastAsia" w:ascii="仿宋" w:hAnsi="仿宋" w:eastAsia="仿宋"/>
          <w:sz w:val="30"/>
          <w:szCs w:val="30"/>
          <w:highlight w:val="none"/>
        </w:rPr>
        <w:t>重大违法记录声明)；</w:t>
      </w:r>
    </w:p>
    <w:p>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（3）法定代表人授权委托书(格式见附件)；</w:t>
      </w:r>
    </w:p>
    <w:p>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ascii="仿宋" w:hAnsi="仿宋" w:eastAsia="仿宋"/>
          <w:sz w:val="30"/>
          <w:szCs w:val="30"/>
          <w:highlight w:val="none"/>
        </w:rPr>
      </w:pPr>
      <w:r>
        <w:rPr>
          <w:rFonts w:hint="eastAsia" w:ascii="仿宋" w:hAnsi="仿宋" w:eastAsia="仿宋"/>
          <w:sz w:val="30"/>
          <w:szCs w:val="30"/>
          <w:highlight w:val="none"/>
        </w:rPr>
        <w:t>（5）中小企业声明函（如有）；</w:t>
      </w:r>
    </w:p>
    <w:p>
      <w:pPr>
        <w:snapToGrid w:val="0"/>
        <w:spacing w:line="460" w:lineRule="exact"/>
        <w:ind w:firstLine="588" w:firstLineChars="196"/>
        <w:jc w:val="left"/>
        <w:rPr>
          <w:rFonts w:hint="eastAsia" w:ascii="仿宋" w:hAnsi="仿宋" w:eastAsia="仿宋"/>
          <w:sz w:val="30"/>
          <w:szCs w:val="30"/>
          <w:highlight w:val="none"/>
        </w:rPr>
      </w:pPr>
      <w:r>
        <w:rPr>
          <w:rFonts w:hint="eastAsia" w:ascii="仿宋" w:hAnsi="仿宋" w:eastAsia="仿宋"/>
          <w:sz w:val="30"/>
          <w:szCs w:val="30"/>
          <w:highlight w:val="none"/>
        </w:rPr>
        <w:t>（6）招标代理服务费承诺书(格式见附件)；</w:t>
      </w:r>
    </w:p>
    <w:p>
      <w:pPr>
        <w:snapToGrid w:val="0"/>
        <w:spacing w:line="460" w:lineRule="exact"/>
        <w:ind w:firstLine="588" w:firstLineChars="196"/>
        <w:jc w:val="left"/>
        <w:rPr>
          <w:rFonts w:ascii="仿宋" w:hAnsi="仿宋" w:eastAsia="仿宋"/>
          <w:sz w:val="30"/>
          <w:szCs w:val="30"/>
          <w:highlight w:val="none"/>
        </w:rPr>
      </w:pPr>
    </w:p>
    <w:p>
      <w:pPr>
        <w:snapToGrid w:val="0"/>
        <w:spacing w:before="50" w:after="120" w:afterLines="50" w:line="460" w:lineRule="exact"/>
        <w:jc w:val="left"/>
        <w:rPr>
          <w:rFonts w:ascii="仿宋" w:hAnsi="仿宋" w:eastAsia="仿宋"/>
          <w:sz w:val="30"/>
          <w:szCs w:val="30"/>
          <w:highlight w:val="none"/>
        </w:rPr>
      </w:pPr>
    </w:p>
    <w:p>
      <w:pPr>
        <w:pStyle w:val="18"/>
        <w:snapToGrid w:val="0"/>
        <w:spacing w:before="120" w:after="120"/>
        <w:rPr>
          <w:rFonts w:ascii="仿宋" w:hAnsi="仿宋" w:eastAsia="仿宋"/>
          <w:sz w:val="30"/>
          <w:szCs w:val="30"/>
          <w:highlight w:val="none"/>
        </w:rPr>
      </w:pPr>
    </w:p>
    <w:p>
      <w:pPr>
        <w:pStyle w:val="18"/>
        <w:snapToGrid w:val="0"/>
        <w:spacing w:before="120" w:after="120"/>
        <w:rPr>
          <w:rFonts w:ascii="仿宋" w:hAnsi="仿宋" w:eastAsia="仿宋"/>
          <w:sz w:val="30"/>
          <w:szCs w:val="30"/>
          <w:highlight w:val="none"/>
        </w:rPr>
      </w:pPr>
    </w:p>
    <w:p>
      <w:pPr>
        <w:pStyle w:val="18"/>
        <w:snapToGrid w:val="0"/>
        <w:spacing w:before="120" w:after="120"/>
        <w:rPr>
          <w:rFonts w:ascii="仿宋" w:hAnsi="仿宋" w:eastAsia="仿宋"/>
          <w:sz w:val="30"/>
          <w:szCs w:val="30"/>
          <w:highlight w:val="none"/>
        </w:rPr>
      </w:pPr>
    </w:p>
    <w:p>
      <w:pPr>
        <w:pStyle w:val="18"/>
        <w:snapToGrid w:val="0"/>
        <w:spacing w:before="120" w:after="120"/>
        <w:rPr>
          <w:rFonts w:ascii="仿宋" w:hAnsi="仿宋" w:eastAsia="仿宋"/>
          <w:sz w:val="30"/>
          <w:szCs w:val="30"/>
          <w:highlight w:val="none"/>
        </w:rPr>
      </w:pPr>
    </w:p>
    <w:p>
      <w:pPr>
        <w:pStyle w:val="18"/>
        <w:snapToGrid w:val="0"/>
        <w:spacing w:before="120" w:after="120"/>
        <w:rPr>
          <w:rFonts w:ascii="仿宋" w:hAnsi="仿宋" w:eastAsia="仿宋"/>
          <w:sz w:val="30"/>
          <w:szCs w:val="30"/>
          <w:highlight w:val="none"/>
        </w:rPr>
      </w:pPr>
    </w:p>
    <w:p>
      <w:pPr>
        <w:rPr>
          <w:rFonts w:hint="eastAsia" w:ascii="宋体" w:cs="宋体"/>
          <w:b/>
          <w:bCs/>
          <w:sz w:val="36"/>
          <w:szCs w:val="36"/>
          <w:highlight w:val="none"/>
        </w:rPr>
      </w:pPr>
      <w:r>
        <w:rPr>
          <w:rFonts w:hint="eastAsia" w:ascii="仿宋" w:hAnsi="仿宋" w:eastAsia="仿宋"/>
          <w:sz w:val="30"/>
          <w:szCs w:val="30"/>
          <w:highlight w:val="none"/>
        </w:rPr>
        <w:br w:type="page"/>
      </w:r>
      <w:r>
        <w:rPr>
          <w:rFonts w:hint="eastAsia" w:ascii="宋体" w:cs="宋体"/>
          <w:b/>
          <w:bCs/>
          <w:sz w:val="36"/>
          <w:szCs w:val="36"/>
          <w:highlight w:val="none"/>
        </w:rPr>
        <w:t>附件2             投标承诺函</w:t>
      </w:r>
    </w:p>
    <w:p>
      <w:pPr>
        <w:pStyle w:val="13"/>
        <w:rPr>
          <w:rFonts w:hint="eastAsia" w:ascii="宋体" w:hAnsi="宋体" w:cs="宋体"/>
          <w:highlight w:val="none"/>
        </w:rPr>
      </w:pPr>
    </w:p>
    <w:p>
      <w:pPr>
        <w:spacing w:line="360" w:lineRule="auto"/>
        <w:rPr>
          <w:rFonts w:hint="eastAsia" w:ascii="宋体" w:cs="宋体"/>
          <w:sz w:val="24"/>
          <w:highlight w:val="none"/>
        </w:rPr>
      </w:pPr>
      <w:r>
        <w:rPr>
          <w:rFonts w:hint="eastAsia" w:ascii="宋体" w:cs="宋体"/>
          <w:sz w:val="24"/>
          <w:highlight w:val="none"/>
        </w:rPr>
        <w:t>致（采购人、采购代理机构）：</w:t>
      </w:r>
    </w:p>
    <w:p>
      <w:pPr>
        <w:spacing w:line="360" w:lineRule="auto"/>
        <w:ind w:firstLine="480" w:firstLineChars="200"/>
        <w:rPr>
          <w:rFonts w:hint="eastAsia" w:ascii="宋体" w:cs="宋体"/>
          <w:sz w:val="24"/>
          <w:highlight w:val="none"/>
        </w:rPr>
      </w:pPr>
      <w:r>
        <w:rPr>
          <w:rFonts w:hint="eastAsia" w:ascii="宋体" w:cs="宋体"/>
          <w:sz w:val="24"/>
          <w:highlight w:val="none"/>
        </w:rPr>
        <w:t>（投标人名称）系中华人民共和国合法企业，愿意就贵方组织的（招标项目名称）（编号为：            ）项目进行投标，并就本次投标郑重承诺如下：</w:t>
      </w:r>
    </w:p>
    <w:p>
      <w:pPr>
        <w:spacing w:line="360" w:lineRule="auto"/>
        <w:ind w:firstLine="480" w:firstLineChars="200"/>
        <w:rPr>
          <w:rFonts w:hint="eastAsia" w:ascii="宋体" w:cs="宋体"/>
          <w:sz w:val="24"/>
          <w:highlight w:val="none"/>
        </w:rPr>
      </w:pPr>
      <w:r>
        <w:rPr>
          <w:rFonts w:hint="eastAsia" w:ascii="宋体" w:cs="宋体"/>
          <w:sz w:val="24"/>
          <w:highlight w:val="none"/>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pacing w:line="360" w:lineRule="auto"/>
        <w:ind w:firstLine="480" w:firstLineChars="200"/>
        <w:rPr>
          <w:rFonts w:hint="eastAsia" w:ascii="宋体" w:cs="宋体"/>
          <w:sz w:val="24"/>
          <w:highlight w:val="none"/>
        </w:rPr>
      </w:pPr>
      <w:r>
        <w:rPr>
          <w:rFonts w:hint="eastAsia" w:ascii="宋体" w:cs="宋体"/>
          <w:sz w:val="24"/>
          <w:highlight w:val="none"/>
        </w:rPr>
        <w:t>（1）在投标有效期60历天内撤回投标的；</w:t>
      </w:r>
    </w:p>
    <w:p>
      <w:pPr>
        <w:spacing w:line="360" w:lineRule="auto"/>
        <w:ind w:firstLine="480" w:firstLineChars="200"/>
        <w:rPr>
          <w:rFonts w:hint="eastAsia" w:ascii="宋体" w:cs="宋体"/>
          <w:sz w:val="24"/>
          <w:highlight w:val="none"/>
        </w:rPr>
      </w:pPr>
      <w:r>
        <w:rPr>
          <w:rFonts w:hint="eastAsia" w:ascii="宋体" w:cs="宋体"/>
          <w:sz w:val="24"/>
          <w:highlight w:val="none"/>
        </w:rPr>
        <w:t>（2）未按规定缴付采购代理服务费的；</w:t>
      </w:r>
    </w:p>
    <w:p>
      <w:pPr>
        <w:spacing w:line="360" w:lineRule="auto"/>
        <w:ind w:firstLine="480" w:firstLineChars="200"/>
        <w:rPr>
          <w:rFonts w:hint="eastAsia" w:ascii="宋体" w:cs="宋体"/>
          <w:sz w:val="24"/>
          <w:highlight w:val="none"/>
        </w:rPr>
      </w:pPr>
      <w:r>
        <w:rPr>
          <w:rFonts w:hint="eastAsia" w:ascii="宋体" w:cs="宋体"/>
          <w:sz w:val="24"/>
          <w:highlight w:val="none"/>
        </w:rPr>
        <w:t>（3）中标后拒签合同或拖延签订合同超过规定时间的；</w:t>
      </w:r>
    </w:p>
    <w:p>
      <w:pPr>
        <w:spacing w:line="360" w:lineRule="auto"/>
        <w:ind w:firstLine="480" w:firstLineChars="200"/>
        <w:rPr>
          <w:rFonts w:hint="eastAsia" w:ascii="宋体" w:cs="宋体"/>
          <w:sz w:val="24"/>
          <w:highlight w:val="none"/>
        </w:rPr>
      </w:pPr>
      <w:r>
        <w:rPr>
          <w:rFonts w:hint="eastAsia" w:ascii="宋体" w:cs="宋体"/>
          <w:sz w:val="24"/>
          <w:highlight w:val="none"/>
        </w:rPr>
        <w:t>（4）在投标过程中弄虚作假，提供虚假材料的；</w:t>
      </w:r>
    </w:p>
    <w:p>
      <w:pPr>
        <w:spacing w:line="360" w:lineRule="auto"/>
        <w:ind w:firstLine="480" w:firstLineChars="200"/>
        <w:rPr>
          <w:rFonts w:hint="eastAsia" w:ascii="宋体" w:cs="宋体"/>
          <w:sz w:val="24"/>
          <w:highlight w:val="none"/>
        </w:rPr>
      </w:pPr>
      <w:r>
        <w:rPr>
          <w:rFonts w:hint="eastAsia" w:ascii="宋体" w:cs="宋体"/>
          <w:sz w:val="24"/>
          <w:highlight w:val="none"/>
        </w:rPr>
        <w:t>（5）出现串通投标的；</w:t>
      </w:r>
    </w:p>
    <w:p>
      <w:pPr>
        <w:spacing w:line="360" w:lineRule="auto"/>
        <w:ind w:firstLine="480" w:firstLineChars="200"/>
        <w:rPr>
          <w:rFonts w:hint="eastAsia" w:ascii="宋体" w:cs="宋体"/>
          <w:sz w:val="24"/>
          <w:highlight w:val="none"/>
        </w:rPr>
      </w:pPr>
      <w:r>
        <w:rPr>
          <w:rFonts w:hint="eastAsia" w:ascii="宋体" w:cs="宋体"/>
          <w:sz w:val="24"/>
          <w:highlight w:val="none"/>
        </w:rPr>
        <w:t>（6）严重扰乱招投标程序的；</w:t>
      </w:r>
    </w:p>
    <w:p>
      <w:pPr>
        <w:spacing w:line="360" w:lineRule="auto"/>
        <w:ind w:firstLine="480" w:firstLineChars="200"/>
        <w:rPr>
          <w:rFonts w:hint="eastAsia" w:ascii="宋体" w:cs="宋体"/>
          <w:sz w:val="24"/>
          <w:highlight w:val="none"/>
        </w:rPr>
      </w:pPr>
      <w:r>
        <w:rPr>
          <w:rFonts w:hint="eastAsia" w:ascii="宋体" w:cs="宋体"/>
          <w:sz w:val="24"/>
          <w:highlight w:val="none"/>
        </w:rPr>
        <w:t>（7）其他违法违规导致被废除投标或中标资格的；</w:t>
      </w:r>
    </w:p>
    <w:p>
      <w:pPr>
        <w:spacing w:line="360" w:lineRule="auto"/>
        <w:ind w:firstLine="480" w:firstLineChars="200"/>
        <w:rPr>
          <w:rFonts w:hint="eastAsia" w:ascii="宋体" w:cs="宋体"/>
          <w:sz w:val="24"/>
          <w:highlight w:val="none"/>
        </w:rPr>
      </w:pPr>
    </w:p>
    <w:p>
      <w:pPr>
        <w:spacing w:line="360" w:lineRule="auto"/>
        <w:ind w:firstLine="480" w:firstLineChars="200"/>
        <w:rPr>
          <w:rFonts w:hint="eastAsia" w:ascii="宋体" w:cs="宋体"/>
          <w:sz w:val="24"/>
          <w:highlight w:val="none"/>
        </w:rPr>
      </w:pPr>
      <w:r>
        <w:rPr>
          <w:rFonts w:hint="eastAsia" w:ascii="宋体" w:cs="宋体"/>
          <w:sz w:val="24"/>
          <w:highlight w:val="none"/>
        </w:rPr>
        <w:t xml:space="preserve">授权代表签名：                      </w:t>
      </w:r>
    </w:p>
    <w:p>
      <w:pPr>
        <w:spacing w:line="360" w:lineRule="auto"/>
        <w:ind w:firstLine="480" w:firstLineChars="200"/>
        <w:rPr>
          <w:rFonts w:hint="eastAsia" w:ascii="宋体" w:cs="宋体"/>
          <w:sz w:val="24"/>
          <w:highlight w:val="none"/>
        </w:rPr>
      </w:pPr>
      <w:r>
        <w:rPr>
          <w:rFonts w:hint="eastAsia" w:ascii="宋体" w:cs="宋体"/>
          <w:sz w:val="24"/>
          <w:highlight w:val="none"/>
        </w:rPr>
        <w:t>投标单位名称（公章）：</w:t>
      </w:r>
    </w:p>
    <w:p>
      <w:pPr>
        <w:spacing w:line="360" w:lineRule="auto"/>
        <w:ind w:firstLine="480" w:firstLineChars="200"/>
        <w:rPr>
          <w:rFonts w:hint="eastAsia" w:ascii="宋体" w:cs="宋体"/>
          <w:sz w:val="24"/>
          <w:highlight w:val="none"/>
        </w:rPr>
      </w:pPr>
      <w:r>
        <w:rPr>
          <w:rFonts w:hint="eastAsia" w:ascii="宋体" w:cs="宋体"/>
          <w:sz w:val="24"/>
          <w:highlight w:val="none"/>
        </w:rPr>
        <w:t>日期：    年   月    日</w:t>
      </w:r>
    </w:p>
    <w:p>
      <w:pPr>
        <w:spacing w:line="360" w:lineRule="auto"/>
        <w:ind w:firstLine="480" w:firstLineChars="200"/>
        <w:rPr>
          <w:rFonts w:hint="eastAsia" w:ascii="宋体" w:cs="宋体"/>
          <w:sz w:val="24"/>
          <w:highlight w:val="none"/>
        </w:rPr>
      </w:pPr>
    </w:p>
    <w:p>
      <w:pPr>
        <w:spacing w:line="360" w:lineRule="auto"/>
        <w:rPr>
          <w:rFonts w:hint="eastAsia" w:ascii="宋体" w:cs="宋体"/>
          <w:sz w:val="24"/>
          <w:highlight w:val="none"/>
        </w:rPr>
      </w:pPr>
    </w:p>
    <w:p>
      <w:pPr>
        <w:spacing w:line="360" w:lineRule="auto"/>
        <w:ind w:firstLine="480" w:firstLineChars="200"/>
        <w:rPr>
          <w:rFonts w:hint="eastAsia" w:ascii="宋体" w:cs="宋体"/>
          <w:sz w:val="24"/>
          <w:highlight w:val="none"/>
        </w:rPr>
      </w:pPr>
      <w:r>
        <w:rPr>
          <w:rFonts w:hint="eastAsia" w:ascii="宋体" w:cs="宋体"/>
          <w:sz w:val="24"/>
          <w:highlight w:val="none"/>
        </w:rPr>
        <w:t>备注：</w:t>
      </w:r>
    </w:p>
    <w:p>
      <w:pPr>
        <w:spacing w:line="360" w:lineRule="auto"/>
        <w:ind w:firstLine="480" w:firstLineChars="200"/>
        <w:rPr>
          <w:rFonts w:hint="eastAsia" w:ascii="宋体" w:cs="宋体"/>
          <w:sz w:val="24"/>
          <w:highlight w:val="none"/>
        </w:rPr>
      </w:pPr>
      <w:r>
        <w:rPr>
          <w:rFonts w:hint="eastAsia" w:ascii="宋体" w:cs="宋体"/>
          <w:sz w:val="24"/>
          <w:highlight w:val="none"/>
        </w:rPr>
        <w:t>1.本投标承诺函作为资格标资料之一，未提供的视为无法保证投标响应和履约服务能力，资格审查不予通过。</w:t>
      </w:r>
    </w:p>
    <w:p>
      <w:pPr>
        <w:spacing w:line="360" w:lineRule="auto"/>
        <w:ind w:firstLine="480" w:firstLineChars="200"/>
        <w:rPr>
          <w:rFonts w:hint="eastAsia" w:ascii="宋体" w:cs="宋体"/>
          <w:sz w:val="24"/>
          <w:highlight w:val="none"/>
        </w:rPr>
      </w:pPr>
      <w:r>
        <w:rPr>
          <w:rFonts w:hint="eastAsia" w:ascii="宋体" w:cs="宋体"/>
          <w:sz w:val="24"/>
          <w:highlight w:val="none"/>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50" w:after="120" w:afterLines="50"/>
        <w:jc w:val="left"/>
        <w:rPr>
          <w:rFonts w:ascii="仿宋" w:hAnsi="仿宋" w:eastAsia="仿宋"/>
          <w:sz w:val="30"/>
          <w:szCs w:val="30"/>
          <w:highlight w:val="none"/>
        </w:rPr>
      </w:pPr>
      <w:r>
        <w:rPr>
          <w:rFonts w:hint="eastAsia" w:ascii="仿宋" w:hAnsi="仿宋" w:eastAsia="仿宋"/>
          <w:sz w:val="30"/>
          <w:szCs w:val="30"/>
          <w:highlight w:val="none"/>
        </w:rPr>
        <w:t>附件3</w:t>
      </w:r>
    </w:p>
    <w:p>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投 标 声 明 书</w:t>
      </w:r>
    </w:p>
    <w:p>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t>致金华市创佳工程项目管理有限公司：</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u w:val="single"/>
        </w:rPr>
        <w:t>（投标人名称）</w:t>
      </w:r>
      <w:r>
        <w:rPr>
          <w:rFonts w:hint="eastAsia" w:ascii="仿宋" w:hAnsi="仿宋" w:eastAsia="仿宋"/>
          <w:sz w:val="30"/>
          <w:szCs w:val="30"/>
          <w:highlight w:val="none"/>
        </w:rPr>
        <w:t>系中华人民共和国合法企业，经营地址。</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我</w:t>
      </w:r>
      <w:r>
        <w:rPr>
          <w:rFonts w:hint="eastAsia" w:ascii="仿宋" w:hAnsi="仿宋" w:eastAsia="仿宋"/>
          <w:sz w:val="30"/>
          <w:szCs w:val="30"/>
          <w:highlight w:val="none"/>
          <w:u w:val="single"/>
        </w:rPr>
        <w:t>（姓名）</w:t>
      </w:r>
      <w:r>
        <w:rPr>
          <w:rFonts w:hint="eastAsia" w:ascii="仿宋" w:hAnsi="仿宋" w:eastAsia="仿宋"/>
          <w:sz w:val="30"/>
          <w:szCs w:val="30"/>
          <w:highlight w:val="none"/>
        </w:rPr>
        <w:t>系</w:t>
      </w:r>
      <w:r>
        <w:rPr>
          <w:rFonts w:hint="eastAsia" w:ascii="仿宋" w:hAnsi="仿宋" w:eastAsia="仿宋"/>
          <w:sz w:val="30"/>
          <w:szCs w:val="30"/>
          <w:highlight w:val="none"/>
          <w:u w:val="single"/>
        </w:rPr>
        <w:t>（投标人名称）</w:t>
      </w:r>
      <w:r>
        <w:rPr>
          <w:rFonts w:hint="eastAsia" w:ascii="仿宋" w:hAnsi="仿宋" w:eastAsia="仿宋"/>
          <w:sz w:val="30"/>
          <w:szCs w:val="30"/>
          <w:highlight w:val="none"/>
        </w:rPr>
        <w:t>的法定代表人，我方愿意参加贵方组织的</w:t>
      </w:r>
      <w:r>
        <w:rPr>
          <w:rFonts w:hint="eastAsia" w:ascii="仿宋" w:hAnsi="仿宋" w:eastAsia="仿宋"/>
          <w:sz w:val="30"/>
          <w:szCs w:val="30"/>
          <w:highlight w:val="none"/>
          <w:u w:val="single"/>
        </w:rPr>
        <w:t>（招标项目名称）（编号为            ）</w:t>
      </w:r>
      <w:r>
        <w:rPr>
          <w:rFonts w:hint="eastAsia" w:ascii="仿宋" w:hAnsi="仿宋" w:eastAsia="仿宋"/>
          <w:sz w:val="30"/>
          <w:szCs w:val="30"/>
          <w:highlight w:val="none"/>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5.投标文件自开标日起有效期为90天。</w:t>
      </w:r>
    </w:p>
    <w:p>
      <w:pPr>
        <w:snapToGrid w:val="0"/>
        <w:spacing w:line="460" w:lineRule="exact"/>
        <w:ind w:firstLine="590" w:firstLineChars="196"/>
        <w:jc w:val="left"/>
        <w:rPr>
          <w:rFonts w:ascii="仿宋" w:hAnsi="仿宋" w:eastAsia="仿宋"/>
          <w:b/>
          <w:sz w:val="30"/>
          <w:szCs w:val="30"/>
          <w:highlight w:val="none"/>
        </w:rPr>
      </w:pPr>
      <w:r>
        <w:rPr>
          <w:rFonts w:hint="eastAsia" w:ascii="仿宋" w:hAnsi="仿宋" w:eastAsia="仿宋"/>
          <w:b/>
          <w:sz w:val="30"/>
          <w:szCs w:val="30"/>
          <w:highlight w:val="none"/>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highlight w:val="none"/>
          <w:u w:val="single"/>
        </w:rPr>
      </w:pPr>
      <w:r>
        <w:rPr>
          <w:rFonts w:hint="eastAsia" w:ascii="仿宋" w:hAnsi="仿宋" w:eastAsia="仿宋"/>
          <w:sz w:val="30"/>
          <w:szCs w:val="30"/>
          <w:highlight w:val="none"/>
        </w:rPr>
        <w:t>法定代表人签名（或签名章）：  日 期：</w:t>
      </w:r>
    </w:p>
    <w:p>
      <w:pPr>
        <w:snapToGrid w:val="0"/>
        <w:spacing w:before="120" w:beforeLines="50" w:after="50" w:line="460" w:lineRule="exact"/>
        <w:ind w:firstLine="150" w:firstLineChars="50"/>
        <w:rPr>
          <w:rFonts w:ascii="仿宋" w:hAnsi="仿宋" w:eastAsia="仿宋"/>
          <w:sz w:val="30"/>
          <w:szCs w:val="30"/>
          <w:highlight w:val="none"/>
        </w:rPr>
      </w:pPr>
      <w:r>
        <w:rPr>
          <w:rFonts w:hint="eastAsia" w:ascii="仿宋" w:hAnsi="仿宋" w:eastAsia="仿宋"/>
          <w:sz w:val="30"/>
          <w:szCs w:val="30"/>
          <w:highlight w:val="none"/>
        </w:rPr>
        <w:t>投标人全称（公章）：</w:t>
      </w:r>
    </w:p>
    <w:p>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br w:type="page"/>
      </w:r>
      <w:r>
        <w:rPr>
          <w:rFonts w:hint="eastAsia" w:ascii="仿宋" w:hAnsi="仿宋" w:eastAsia="仿宋"/>
          <w:sz w:val="30"/>
          <w:szCs w:val="30"/>
          <w:highlight w:val="none"/>
        </w:rPr>
        <w:t>附件4：</w:t>
      </w:r>
    </w:p>
    <w:p>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法定代表人授权委托书</w:t>
      </w:r>
    </w:p>
    <w:p>
      <w:pPr>
        <w:snapToGrid w:val="0"/>
        <w:spacing w:before="120" w:beforeLines="50" w:after="50"/>
        <w:jc w:val="center"/>
        <w:rPr>
          <w:rFonts w:ascii="仿宋" w:hAnsi="仿宋" w:eastAsia="仿宋"/>
          <w:b/>
          <w:sz w:val="30"/>
          <w:szCs w:val="30"/>
          <w:highlight w:val="none"/>
        </w:rPr>
      </w:pPr>
    </w:p>
    <w:p>
      <w:pPr>
        <w:snapToGrid w:val="0"/>
        <w:spacing w:before="120" w:beforeLines="50" w:after="50" w:line="460" w:lineRule="exact"/>
        <w:rPr>
          <w:rFonts w:ascii="仿宋" w:hAnsi="仿宋" w:eastAsia="仿宋"/>
          <w:b/>
          <w:bCs/>
          <w:sz w:val="30"/>
          <w:szCs w:val="30"/>
          <w:highlight w:val="none"/>
        </w:rPr>
      </w:pPr>
      <w:r>
        <w:rPr>
          <w:rFonts w:hint="eastAsia" w:ascii="仿宋" w:hAnsi="仿宋" w:eastAsia="仿宋"/>
          <w:bCs/>
          <w:sz w:val="30"/>
          <w:szCs w:val="30"/>
          <w:highlight w:val="none"/>
        </w:rPr>
        <w:t>金华市创佳工程项目管理有限公司：</w:t>
      </w:r>
    </w:p>
    <w:p>
      <w:pPr>
        <w:snapToGrid w:val="0"/>
        <w:spacing w:before="120" w:beforeLines="50" w:after="50" w:line="460" w:lineRule="exact"/>
        <w:ind w:firstLine="900" w:firstLineChars="300"/>
        <w:rPr>
          <w:rFonts w:ascii="仿宋" w:hAnsi="仿宋" w:eastAsia="仿宋"/>
          <w:sz w:val="30"/>
          <w:szCs w:val="30"/>
          <w:highlight w:val="none"/>
        </w:rPr>
      </w:pPr>
      <w:r>
        <w:rPr>
          <w:rFonts w:hint="eastAsia" w:ascii="仿宋" w:hAnsi="仿宋" w:eastAsia="仿宋"/>
          <w:sz w:val="30"/>
          <w:szCs w:val="30"/>
          <w:highlight w:val="none"/>
        </w:rPr>
        <w:t>我（姓名）系（投标人名称）的法定代表人，现授权委托本单位在职职工 （姓名）为授权代表，以我方的名义参加项目编号：项目名称</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highlight w:val="none"/>
        </w:rPr>
      </w:pPr>
      <w:r>
        <w:rPr>
          <w:rFonts w:hint="eastAsia" w:ascii="仿宋" w:hAnsi="仿宋" w:eastAsia="仿宋"/>
          <w:sz w:val="30"/>
          <w:szCs w:val="30"/>
          <w:highlight w:val="none"/>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highlight w:val="none"/>
        </w:rPr>
      </w:pPr>
      <w:r>
        <w:rPr>
          <w:rFonts w:hint="eastAsia" w:ascii="仿宋" w:hAnsi="仿宋" w:eastAsia="仿宋"/>
          <w:sz w:val="30"/>
          <w:szCs w:val="30"/>
          <w:highlight w:val="none"/>
        </w:rPr>
        <w:t>授权代表无转委托权，特此委托。</w:t>
      </w:r>
    </w:p>
    <w:p>
      <w:pPr>
        <w:snapToGrid w:val="0"/>
        <w:spacing w:before="120" w:beforeLines="50" w:after="50" w:line="460" w:lineRule="exact"/>
        <w:ind w:firstLine="480"/>
        <w:rPr>
          <w:rFonts w:ascii="仿宋" w:hAnsi="仿宋" w:eastAsia="仿宋"/>
          <w:sz w:val="30"/>
          <w:szCs w:val="30"/>
          <w:highlight w:val="none"/>
        </w:rPr>
      </w:pPr>
    </w:p>
    <w:p>
      <w:pPr>
        <w:snapToGrid w:val="0"/>
        <w:spacing w:before="120" w:beforeLines="50" w:after="50" w:line="460" w:lineRule="exact"/>
        <w:rPr>
          <w:rFonts w:ascii="仿宋" w:hAnsi="仿宋" w:eastAsia="仿宋"/>
          <w:sz w:val="30"/>
          <w:szCs w:val="30"/>
          <w:highlight w:val="none"/>
          <w:u w:val="single"/>
        </w:rPr>
      </w:pPr>
      <w:r>
        <w:rPr>
          <w:rFonts w:hint="eastAsia" w:ascii="仿宋" w:hAnsi="仿宋" w:eastAsia="仿宋"/>
          <w:sz w:val="30"/>
          <w:szCs w:val="30"/>
          <w:highlight w:val="none"/>
        </w:rPr>
        <w:t>授权代表签名： 职务：  联系方式：</w:t>
      </w:r>
    </w:p>
    <w:p>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t>邮箱： 传真：</w:t>
      </w:r>
    </w:p>
    <w:p>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t>授权代表身份证号码：</w:t>
      </w:r>
    </w:p>
    <w:p>
      <w:pPr>
        <w:snapToGrid w:val="0"/>
        <w:spacing w:before="120" w:beforeLines="50" w:after="50" w:line="460" w:lineRule="exact"/>
        <w:rPr>
          <w:rFonts w:ascii="仿宋" w:hAnsi="仿宋" w:eastAsia="仿宋"/>
          <w:sz w:val="30"/>
          <w:szCs w:val="30"/>
          <w:highlight w:val="none"/>
          <w:u w:val="single"/>
        </w:rPr>
      </w:pPr>
      <w:r>
        <w:rPr>
          <w:rFonts w:hint="eastAsia" w:ascii="仿宋" w:hAnsi="仿宋" w:eastAsia="仿宋"/>
          <w:sz w:val="30"/>
          <w:szCs w:val="30"/>
          <w:highlight w:val="none"/>
        </w:rPr>
        <w:t>法定代表人签名（或签名章）：   职务：</w:t>
      </w:r>
    </w:p>
    <w:p>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t>联系方式：</w:t>
      </w:r>
    </w:p>
    <w:p>
      <w:pPr>
        <w:snapToGrid w:val="0"/>
        <w:spacing w:before="120" w:beforeLines="50" w:after="50" w:line="460" w:lineRule="exact"/>
        <w:rPr>
          <w:rFonts w:ascii="仿宋" w:hAnsi="仿宋" w:eastAsia="仿宋"/>
          <w:sz w:val="30"/>
          <w:szCs w:val="30"/>
          <w:highlight w:val="none"/>
        </w:rPr>
      </w:pPr>
    </w:p>
    <w:p>
      <w:pPr>
        <w:snapToGrid w:val="0"/>
        <w:spacing w:before="120" w:beforeLines="50" w:after="50" w:line="460" w:lineRule="exact"/>
        <w:rPr>
          <w:rFonts w:ascii="仿宋" w:hAnsi="仿宋" w:eastAsia="仿宋"/>
          <w:sz w:val="30"/>
          <w:szCs w:val="30"/>
          <w:highlight w:val="none"/>
        </w:rPr>
      </w:pPr>
    </w:p>
    <w:p>
      <w:pPr>
        <w:snapToGrid w:val="0"/>
        <w:spacing w:before="120" w:beforeLines="50" w:after="50" w:line="460" w:lineRule="exact"/>
        <w:ind w:firstLine="6150" w:firstLineChars="2050"/>
        <w:rPr>
          <w:rFonts w:ascii="仿宋" w:hAnsi="仿宋" w:eastAsia="仿宋"/>
          <w:sz w:val="30"/>
          <w:szCs w:val="30"/>
          <w:highlight w:val="none"/>
        </w:rPr>
      </w:pPr>
    </w:p>
    <w:p>
      <w:pPr>
        <w:snapToGrid w:val="0"/>
        <w:spacing w:before="120" w:beforeLines="50" w:after="50" w:line="460" w:lineRule="exact"/>
        <w:rPr>
          <w:rFonts w:ascii="仿宋" w:hAnsi="仿宋" w:eastAsia="仿宋"/>
          <w:sz w:val="30"/>
          <w:szCs w:val="30"/>
          <w:highlight w:val="none"/>
          <w:u w:val="single"/>
        </w:rPr>
      </w:pPr>
      <w:r>
        <w:rPr>
          <w:rFonts w:hint="eastAsia" w:ascii="仿宋" w:hAnsi="仿宋" w:eastAsia="仿宋"/>
          <w:sz w:val="30"/>
          <w:szCs w:val="30"/>
          <w:highlight w:val="none"/>
        </w:rPr>
        <w:t>投标人全称（公章）：         日  期：</w:t>
      </w:r>
    </w:p>
    <w:p>
      <w:pPr>
        <w:snapToGrid w:val="0"/>
        <w:spacing w:before="120" w:beforeLines="50" w:after="50" w:line="460" w:lineRule="exact"/>
        <w:rPr>
          <w:rFonts w:ascii="仿宋" w:hAnsi="仿宋" w:eastAsia="仿宋"/>
          <w:sz w:val="30"/>
          <w:szCs w:val="30"/>
          <w:highlight w:val="none"/>
        </w:rPr>
      </w:pPr>
    </w:p>
    <w:p>
      <w:pPr>
        <w:snapToGrid w:val="0"/>
        <w:spacing w:before="120" w:beforeLines="50" w:after="50" w:line="460" w:lineRule="exact"/>
        <w:rPr>
          <w:rFonts w:ascii="仿宋" w:hAnsi="仿宋" w:eastAsia="仿宋"/>
          <w:sz w:val="30"/>
          <w:szCs w:val="30"/>
          <w:highlight w:val="none"/>
        </w:rPr>
      </w:pPr>
    </w:p>
    <w:p>
      <w:pPr>
        <w:snapToGrid w:val="0"/>
        <w:spacing w:before="120" w:beforeLines="50" w:after="50" w:line="460" w:lineRule="exact"/>
        <w:rPr>
          <w:rFonts w:ascii="仿宋" w:hAnsi="仿宋" w:eastAsia="仿宋"/>
          <w:sz w:val="30"/>
          <w:szCs w:val="30"/>
          <w:highlight w:val="none"/>
        </w:rPr>
      </w:pPr>
    </w:p>
    <w:p>
      <w:pPr>
        <w:pStyle w:val="5"/>
        <w:spacing w:line="360" w:lineRule="auto"/>
        <w:jc w:val="both"/>
        <w:rPr>
          <w:rFonts w:hint="eastAsia" w:eastAsia="宋体"/>
          <w:color w:val="0000FF"/>
          <w:highlight w:val="none"/>
          <w:lang w:eastAsia="zh-CN"/>
        </w:rPr>
      </w:pPr>
      <w:r>
        <w:rPr>
          <w:rFonts w:hint="eastAsia" w:ascii="宋体" w:cs="宋体"/>
          <w:sz w:val="36"/>
          <w:szCs w:val="36"/>
          <w:highlight w:val="none"/>
        </w:rPr>
        <w:t xml:space="preserve">附件5    </w:t>
      </w:r>
    </w:p>
    <w:p>
      <w:pPr>
        <w:jc w:val="center"/>
        <w:rPr>
          <w:sz w:val="28"/>
          <w:szCs w:val="28"/>
        </w:rPr>
      </w:pPr>
      <w:r>
        <w:rPr>
          <w:rFonts w:hint="eastAsia" w:ascii="宋体" w:cs="宋体"/>
          <w:b/>
          <w:color w:val="000000"/>
          <w:kern w:val="0"/>
          <w:sz w:val="28"/>
          <w:szCs w:val="28"/>
          <w:lang w:bidi="ar"/>
        </w:rPr>
        <w:t>中小企业声明函（货物） （如有）</w:t>
      </w:r>
    </w:p>
    <w:p>
      <w:pPr>
        <w:spacing w:line="360" w:lineRule="auto"/>
        <w:ind w:firstLine="480" w:firstLineChars="200"/>
        <w:jc w:val="left"/>
        <w:rPr>
          <w:rFonts w:hint="eastAsia" w:ascii="宋体" w:cs="宋体"/>
          <w:color w:val="000000"/>
          <w:kern w:val="0"/>
          <w:sz w:val="24"/>
          <w:szCs w:val="24"/>
          <w:lang w:bidi="ar"/>
        </w:rPr>
      </w:pPr>
      <w:r>
        <w:rPr>
          <w:rFonts w:hint="eastAsia" w:ascii="宋体" w:cs="宋体"/>
          <w:color w:val="000000"/>
          <w:kern w:val="0"/>
          <w:sz w:val="24"/>
          <w:szCs w:val="24"/>
          <w:lang w:bidi="ar"/>
        </w:rPr>
        <w:t>本公司（联合体）郑重声明，根据《政府采购促进中小 企业发展管理办法》（财库﹝2020﹞46 号）的规定，本公司 （联合体）参加</w:t>
      </w:r>
      <w:r>
        <w:rPr>
          <w:rFonts w:hint="eastAsia" w:ascii="宋体" w:cs="宋体"/>
          <w:color w:val="000000"/>
          <w:kern w:val="0"/>
          <w:sz w:val="24"/>
          <w:szCs w:val="24"/>
          <w:u w:val="single"/>
          <w:lang w:bidi="ar"/>
        </w:rPr>
        <w:t>（单位名称）</w:t>
      </w:r>
      <w:r>
        <w:rPr>
          <w:rFonts w:hint="eastAsia" w:ascii="宋体" w:cs="宋体"/>
          <w:color w:val="000000"/>
          <w:kern w:val="0"/>
          <w:sz w:val="24"/>
          <w:szCs w:val="24"/>
          <w:lang w:bidi="ar"/>
        </w:rPr>
        <w:t>的</w:t>
      </w:r>
      <w:r>
        <w:rPr>
          <w:rFonts w:hint="eastAsia" w:ascii="宋体" w:cs="宋体"/>
          <w:color w:val="000000"/>
          <w:kern w:val="0"/>
          <w:sz w:val="24"/>
          <w:szCs w:val="24"/>
          <w:u w:val="single"/>
          <w:lang w:bidi="ar"/>
        </w:rPr>
        <w:t>（项目名称）</w:t>
      </w:r>
      <w:r>
        <w:rPr>
          <w:rFonts w:hint="eastAsia" w:ascii="宋体" w:cs="宋体"/>
          <w:color w:val="000000"/>
          <w:kern w:val="0"/>
          <w:sz w:val="24"/>
          <w:szCs w:val="24"/>
          <w:lang w:bidi="ar"/>
        </w:rPr>
        <w:t xml:space="preserve">采购活动，提供的货物全部由符合政策要求的中小企业制造。相关企业（含联合体中的中小企业、签订分包意向协议的中小企业） 的具体情况如下： </w:t>
      </w:r>
    </w:p>
    <w:p>
      <w:pPr>
        <w:spacing w:line="360" w:lineRule="auto"/>
        <w:jc w:val="left"/>
        <w:rPr>
          <w:rFonts w:hint="eastAsia" w:ascii="宋体" w:cs="宋体"/>
          <w:color w:val="000000"/>
          <w:kern w:val="0"/>
          <w:sz w:val="24"/>
          <w:szCs w:val="24"/>
          <w:lang w:bidi="ar"/>
        </w:rPr>
      </w:pPr>
      <w:r>
        <w:rPr>
          <w:rFonts w:hint="eastAsia" w:ascii="宋体" w:cs="宋体"/>
          <w:color w:val="000000"/>
          <w:kern w:val="0"/>
          <w:sz w:val="24"/>
          <w:szCs w:val="24"/>
          <w:lang w:bidi="ar"/>
        </w:rPr>
        <w:t>1. （标的名称） ，属于</w:t>
      </w:r>
      <w:r>
        <w:rPr>
          <w:rFonts w:hint="eastAsia" w:ascii="宋体" w:cs="宋体"/>
          <w:color w:val="000000"/>
          <w:kern w:val="0"/>
          <w:sz w:val="24"/>
          <w:szCs w:val="24"/>
          <w:u w:val="single"/>
          <w:lang w:bidi="ar"/>
        </w:rPr>
        <w:t>（采购文件中明确的所属行业）</w:t>
      </w:r>
      <w:r>
        <w:rPr>
          <w:rFonts w:hint="eastAsia" w:ascii="宋体" w:cs="宋体"/>
          <w:color w:val="000000"/>
          <w:kern w:val="0"/>
          <w:sz w:val="24"/>
          <w:szCs w:val="24"/>
          <w:lang w:bidi="ar"/>
        </w:rPr>
        <w:t>行业；制造商为</w:t>
      </w:r>
      <w:r>
        <w:rPr>
          <w:rFonts w:hint="eastAsia" w:ascii="宋体" w:cs="宋体"/>
          <w:color w:val="000000"/>
          <w:kern w:val="0"/>
          <w:sz w:val="24"/>
          <w:szCs w:val="24"/>
          <w:u w:val="single"/>
          <w:lang w:bidi="ar"/>
        </w:rPr>
        <w:t>（企业名称）</w:t>
      </w:r>
      <w:r>
        <w:rPr>
          <w:rFonts w:hint="eastAsia" w:ascii="宋体" w:cs="宋体"/>
          <w:color w:val="000000"/>
          <w:kern w:val="0"/>
          <w:sz w:val="24"/>
          <w:szCs w:val="24"/>
          <w:lang w:bidi="ar"/>
        </w:rPr>
        <w:t>，从业人员</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人，营业收入为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万元，资产总额为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万元，属于</w:t>
      </w:r>
      <w:r>
        <w:rPr>
          <w:rFonts w:hint="eastAsia" w:ascii="宋体" w:cs="宋体"/>
          <w:color w:val="000000"/>
          <w:kern w:val="0"/>
          <w:sz w:val="24"/>
          <w:szCs w:val="24"/>
          <w:u w:val="single"/>
          <w:lang w:bidi="ar"/>
        </w:rPr>
        <w:t>（中型企业、小型企业、微型企业）</w:t>
      </w:r>
      <w:r>
        <w:rPr>
          <w:rFonts w:hint="eastAsia" w:ascii="宋体" w:cs="宋体"/>
          <w:color w:val="000000"/>
          <w:kern w:val="0"/>
          <w:sz w:val="24"/>
          <w:szCs w:val="24"/>
          <w:lang w:bidi="ar"/>
        </w:rPr>
        <w:t xml:space="preserve">； </w:t>
      </w:r>
    </w:p>
    <w:p>
      <w:pPr>
        <w:spacing w:line="360" w:lineRule="auto"/>
        <w:jc w:val="left"/>
        <w:rPr>
          <w:rFonts w:hint="eastAsia" w:ascii="宋体" w:cs="宋体"/>
          <w:color w:val="000000"/>
          <w:kern w:val="0"/>
          <w:sz w:val="24"/>
          <w:szCs w:val="24"/>
          <w:lang w:bidi="ar"/>
        </w:rPr>
      </w:pPr>
      <w:r>
        <w:rPr>
          <w:rFonts w:hint="eastAsia" w:ascii="宋体" w:cs="宋体"/>
          <w:color w:val="000000"/>
          <w:kern w:val="0"/>
          <w:sz w:val="24"/>
          <w:szCs w:val="24"/>
          <w:lang w:bidi="ar"/>
        </w:rPr>
        <w:t>2. （标的名称） ，属于</w:t>
      </w:r>
      <w:r>
        <w:rPr>
          <w:rFonts w:hint="eastAsia" w:ascii="宋体" w:cs="宋体"/>
          <w:color w:val="000000"/>
          <w:kern w:val="0"/>
          <w:sz w:val="24"/>
          <w:szCs w:val="24"/>
          <w:u w:val="single"/>
          <w:lang w:bidi="ar"/>
        </w:rPr>
        <w:t xml:space="preserve">（采购文件中明确的所属行业） </w:t>
      </w:r>
      <w:r>
        <w:rPr>
          <w:rFonts w:hint="eastAsia" w:ascii="宋体" w:cs="宋体"/>
          <w:color w:val="000000"/>
          <w:kern w:val="0"/>
          <w:sz w:val="24"/>
          <w:szCs w:val="24"/>
          <w:lang w:bidi="ar"/>
        </w:rPr>
        <w:t>行业；制造商为</w:t>
      </w:r>
      <w:r>
        <w:rPr>
          <w:rFonts w:hint="eastAsia" w:ascii="宋体" w:cs="宋体"/>
          <w:color w:val="000000"/>
          <w:kern w:val="0"/>
          <w:sz w:val="24"/>
          <w:szCs w:val="24"/>
          <w:u w:val="single"/>
          <w:lang w:bidi="ar"/>
        </w:rPr>
        <w:t>（企业名称）</w:t>
      </w:r>
      <w:r>
        <w:rPr>
          <w:rFonts w:hint="eastAsia" w:ascii="宋体" w:cs="宋体"/>
          <w:color w:val="000000"/>
          <w:kern w:val="0"/>
          <w:sz w:val="24"/>
          <w:szCs w:val="24"/>
          <w:lang w:bidi="ar"/>
        </w:rPr>
        <w:t>，从业人员</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人，营业收入为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万元，资产总额为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万元，属于</w:t>
      </w:r>
      <w:r>
        <w:rPr>
          <w:rFonts w:hint="eastAsia" w:ascii="宋体" w:cs="宋体"/>
          <w:color w:val="000000"/>
          <w:kern w:val="0"/>
          <w:sz w:val="24"/>
          <w:szCs w:val="24"/>
          <w:u w:val="single"/>
          <w:lang w:bidi="ar"/>
        </w:rPr>
        <w:t>（中型企业、小型 企业、微型企业）</w:t>
      </w:r>
      <w:r>
        <w:rPr>
          <w:rFonts w:hint="eastAsia" w:ascii="宋体" w:cs="宋体"/>
          <w:color w:val="000000"/>
          <w:kern w:val="0"/>
          <w:sz w:val="24"/>
          <w:szCs w:val="24"/>
          <w:lang w:bidi="ar"/>
        </w:rPr>
        <w:t xml:space="preserve">； </w:t>
      </w:r>
    </w:p>
    <w:p>
      <w:pPr>
        <w:spacing w:line="360" w:lineRule="auto"/>
        <w:jc w:val="left"/>
        <w:rPr>
          <w:rFonts w:hint="eastAsia" w:ascii="宋体" w:cs="宋体"/>
          <w:color w:val="000000"/>
          <w:kern w:val="0"/>
          <w:sz w:val="24"/>
          <w:szCs w:val="24"/>
          <w:lang w:bidi="ar"/>
        </w:rPr>
      </w:pPr>
      <w:r>
        <w:rPr>
          <w:rFonts w:hint="eastAsia" w:ascii="宋体" w:cs="宋体"/>
          <w:color w:val="000000"/>
          <w:kern w:val="0"/>
          <w:sz w:val="24"/>
          <w:szCs w:val="24"/>
          <w:lang w:bidi="ar"/>
        </w:rPr>
        <w:t>……</w:t>
      </w:r>
    </w:p>
    <w:p>
      <w:pPr>
        <w:spacing w:line="360" w:lineRule="auto"/>
        <w:ind w:firstLine="480" w:firstLineChars="200"/>
        <w:jc w:val="left"/>
        <w:rPr>
          <w:rFonts w:hint="eastAsia" w:ascii="宋体" w:cs="宋体"/>
          <w:color w:val="000000"/>
          <w:kern w:val="0"/>
          <w:sz w:val="24"/>
          <w:szCs w:val="24"/>
          <w:lang w:bidi="ar"/>
        </w:rPr>
      </w:pPr>
      <w:r>
        <w:rPr>
          <w:rFonts w:hint="eastAsia" w:ascii="宋体" w:cs="宋体"/>
          <w:color w:val="000000"/>
          <w:kern w:val="0"/>
          <w:sz w:val="24"/>
          <w:szCs w:val="24"/>
          <w:lang w:bidi="ar"/>
        </w:rPr>
        <w:t>以上企业，不属于大企业的分支机构，不存在控股股东 为大企业的情形，也不存在与大企业的负责人为同一人的情形。</w:t>
      </w:r>
    </w:p>
    <w:p>
      <w:pPr>
        <w:spacing w:line="360" w:lineRule="auto"/>
        <w:ind w:firstLine="480" w:firstLineChars="200"/>
        <w:jc w:val="left"/>
        <w:rPr>
          <w:rFonts w:hint="eastAsia" w:ascii="宋体" w:cs="宋体"/>
          <w:color w:val="000000"/>
          <w:kern w:val="0"/>
          <w:sz w:val="24"/>
          <w:szCs w:val="24"/>
          <w:lang w:bidi="ar"/>
        </w:rPr>
      </w:pPr>
      <w:r>
        <w:rPr>
          <w:rFonts w:hint="eastAsia" w:ascii="宋体" w:cs="宋体"/>
          <w:color w:val="000000"/>
          <w:kern w:val="0"/>
          <w:sz w:val="24"/>
          <w:szCs w:val="24"/>
          <w:lang w:bidi="ar"/>
        </w:rPr>
        <w:t xml:space="preserve">本企业对上述声明内容的真实性负责。如有虚假，将依法承担相应责任。 </w:t>
      </w:r>
    </w:p>
    <w:p>
      <w:pPr>
        <w:spacing w:line="360" w:lineRule="auto"/>
        <w:jc w:val="center"/>
        <w:rPr>
          <w:rFonts w:hint="eastAsia" w:ascii="宋体" w:cs="宋体"/>
          <w:color w:val="000000"/>
          <w:kern w:val="0"/>
          <w:sz w:val="24"/>
          <w:szCs w:val="24"/>
          <w:lang w:bidi="ar"/>
        </w:rPr>
      </w:pPr>
      <w:r>
        <w:rPr>
          <w:rFonts w:hint="eastAsia" w:ascii="宋体" w:cs="宋体"/>
          <w:color w:val="000000"/>
          <w:kern w:val="0"/>
          <w:sz w:val="24"/>
          <w:szCs w:val="24"/>
          <w:lang w:bidi="ar"/>
        </w:rPr>
        <w:t xml:space="preserve">企业名称（盖章）： </w:t>
      </w:r>
    </w:p>
    <w:p>
      <w:pPr>
        <w:spacing w:line="360" w:lineRule="auto"/>
        <w:jc w:val="center"/>
        <w:rPr>
          <w:rFonts w:hint="eastAsia" w:ascii="宋体" w:cs="宋体"/>
          <w:color w:val="000000"/>
          <w:kern w:val="0"/>
          <w:sz w:val="24"/>
          <w:szCs w:val="24"/>
          <w:lang w:bidi="ar"/>
        </w:rPr>
      </w:pPr>
      <w:r>
        <w:rPr>
          <w:rFonts w:hint="eastAsia" w:ascii="宋体" w:cs="宋体"/>
          <w:color w:val="000000"/>
          <w:kern w:val="0"/>
          <w:sz w:val="24"/>
          <w:szCs w:val="24"/>
          <w:lang w:bidi="ar"/>
        </w:rPr>
        <w:t>日 期：</w:t>
      </w:r>
    </w:p>
    <w:p>
      <w:pPr>
        <w:snapToGrid w:val="0"/>
        <w:spacing w:before="120" w:beforeLines="50" w:after="50" w:line="460" w:lineRule="exact"/>
        <w:rPr>
          <w:rFonts w:ascii="仿宋" w:hAnsi="仿宋" w:eastAsia="仿宋"/>
          <w:sz w:val="30"/>
          <w:szCs w:val="30"/>
        </w:rPr>
      </w:pPr>
      <w:r>
        <w:rPr>
          <w:rFonts w:ascii="仿宋" w:hAnsi="仿宋" w:eastAsia="仿宋"/>
          <w:sz w:val="30"/>
          <w:szCs w:val="30"/>
        </w:rPr>
        <w:br w:type="page"/>
      </w:r>
    </w:p>
    <w:p>
      <w:pPr>
        <w:spacing w:line="288" w:lineRule="auto"/>
        <w:rPr>
          <w:rFonts w:hint="eastAsia" w:ascii="宋体" w:cs="宋体"/>
          <w:b/>
          <w:sz w:val="36"/>
          <w:szCs w:val="36"/>
          <w:highlight w:val="none"/>
        </w:rPr>
      </w:pPr>
      <w:r>
        <w:rPr>
          <w:rFonts w:hint="eastAsia" w:ascii="仿宋" w:hAnsi="仿宋" w:eastAsia="仿宋"/>
          <w:sz w:val="30"/>
          <w:szCs w:val="30"/>
          <w:highlight w:val="none"/>
        </w:rPr>
        <w:t>附件6</w:t>
      </w:r>
      <w:r>
        <w:rPr>
          <w:rFonts w:hint="eastAsia" w:ascii="仿宋" w:hAnsi="仿宋" w:eastAsia="仿宋"/>
          <w:b/>
          <w:sz w:val="30"/>
          <w:szCs w:val="30"/>
          <w:highlight w:val="none"/>
        </w:rPr>
        <w:t xml:space="preserve">：  </w:t>
      </w:r>
      <w:r>
        <w:rPr>
          <w:rFonts w:hint="eastAsia" w:ascii="宋体" w:cs="宋体"/>
          <w:b/>
          <w:sz w:val="36"/>
          <w:szCs w:val="36"/>
          <w:highlight w:val="none"/>
        </w:rPr>
        <w:t xml:space="preserve">            </w:t>
      </w:r>
    </w:p>
    <w:p>
      <w:pPr>
        <w:spacing w:line="288" w:lineRule="auto"/>
        <w:rPr>
          <w:rFonts w:hint="eastAsia" w:ascii="宋体" w:cs="宋体"/>
          <w:b/>
          <w:sz w:val="36"/>
          <w:szCs w:val="36"/>
          <w:highlight w:val="none"/>
        </w:rPr>
      </w:pPr>
      <w:r>
        <w:rPr>
          <w:rFonts w:hint="eastAsia" w:ascii="宋体" w:cs="宋体"/>
          <w:b/>
          <w:sz w:val="36"/>
          <w:szCs w:val="36"/>
          <w:highlight w:val="none"/>
        </w:rPr>
        <w:t xml:space="preserve">                招标代理服务费承诺书</w:t>
      </w:r>
    </w:p>
    <w:p>
      <w:pPr>
        <w:spacing w:line="288" w:lineRule="auto"/>
        <w:rPr>
          <w:rFonts w:hint="eastAsia" w:ascii="宋体" w:cs="宋体"/>
          <w:sz w:val="24"/>
          <w:highlight w:val="none"/>
        </w:rPr>
      </w:pPr>
    </w:p>
    <w:p>
      <w:pPr>
        <w:spacing w:line="288" w:lineRule="auto"/>
        <w:rPr>
          <w:rFonts w:hint="eastAsia" w:ascii="宋体" w:cs="宋体"/>
          <w:sz w:val="24"/>
          <w:highlight w:val="none"/>
        </w:rPr>
      </w:pPr>
      <w:r>
        <w:rPr>
          <w:rFonts w:hint="eastAsia" w:ascii="宋体" w:cs="宋体"/>
          <w:sz w:val="24"/>
          <w:highlight w:val="none"/>
        </w:rPr>
        <w:t>致：金华市创佳工程项目管理有限公司：</w:t>
      </w:r>
    </w:p>
    <w:p>
      <w:pPr>
        <w:spacing w:line="288" w:lineRule="auto"/>
        <w:rPr>
          <w:rFonts w:hint="eastAsia" w:ascii="宋体" w:cs="宋体"/>
          <w:sz w:val="24"/>
          <w:highlight w:val="none"/>
        </w:rPr>
      </w:pPr>
    </w:p>
    <w:p>
      <w:pPr>
        <w:spacing w:line="288" w:lineRule="auto"/>
        <w:rPr>
          <w:rFonts w:hint="eastAsia" w:ascii="宋体" w:cs="宋体"/>
          <w:sz w:val="24"/>
          <w:highlight w:val="none"/>
        </w:rPr>
      </w:pPr>
    </w:p>
    <w:p>
      <w:pPr>
        <w:spacing w:line="288" w:lineRule="auto"/>
        <w:ind w:firstLine="437"/>
        <w:rPr>
          <w:rFonts w:hint="eastAsia" w:ascii="宋体" w:cs="宋体"/>
          <w:sz w:val="24"/>
          <w:highlight w:val="none"/>
        </w:rPr>
      </w:pPr>
      <w:r>
        <w:rPr>
          <w:rFonts w:hint="eastAsia" w:ascii="宋体" w:cs="宋体"/>
          <w:sz w:val="24"/>
          <w:highlight w:val="none"/>
        </w:rPr>
        <w:t>本公司</w:t>
      </w:r>
      <w:r>
        <w:rPr>
          <w:rFonts w:hint="eastAsia" w:ascii="宋体" w:cs="宋体"/>
          <w:sz w:val="24"/>
          <w:highlight w:val="none"/>
          <w:u w:val="single"/>
        </w:rPr>
        <w:t xml:space="preserve"> （投标人名称）           </w:t>
      </w:r>
      <w:r>
        <w:rPr>
          <w:rFonts w:hint="eastAsia" w:ascii="宋体" w:cs="宋体"/>
          <w:sz w:val="24"/>
          <w:highlight w:val="none"/>
        </w:rPr>
        <w:t>在参加贵公司举行的</w:t>
      </w:r>
      <w:r>
        <w:rPr>
          <w:rFonts w:hint="eastAsia" w:ascii="宋体" w:cs="宋体"/>
          <w:sz w:val="24"/>
          <w:highlight w:val="none"/>
          <w:u w:val="single"/>
        </w:rPr>
        <w:t>（项目名称）</w:t>
      </w:r>
      <w:r>
        <w:rPr>
          <w:rFonts w:hint="eastAsia" w:ascii="宋体" w:cs="宋体"/>
          <w:sz w:val="24"/>
          <w:highlight w:val="none"/>
        </w:rPr>
        <w:t xml:space="preserve"> 项目</w:t>
      </w:r>
      <w:r>
        <w:rPr>
          <w:rFonts w:hint="eastAsia" w:ascii="宋体" w:cs="宋体"/>
          <w:sz w:val="24"/>
          <w:highlight w:val="none"/>
          <w:u w:val="single"/>
        </w:rPr>
        <w:t>（采购编号：           ）</w:t>
      </w:r>
      <w:r>
        <w:rPr>
          <w:rFonts w:hint="eastAsia" w:ascii="宋体" w:cs="宋体"/>
          <w:sz w:val="24"/>
          <w:highlight w:val="none"/>
        </w:rPr>
        <w:t>的招标中如获中标，我公司保证在收到“中标通知书”的同时一次性足额向贵公司缴纳“招标代理服务费”。</w:t>
      </w:r>
    </w:p>
    <w:p>
      <w:pPr>
        <w:spacing w:line="288" w:lineRule="auto"/>
        <w:ind w:firstLine="437"/>
        <w:rPr>
          <w:rFonts w:hint="eastAsia" w:ascii="宋体" w:cs="宋体"/>
          <w:sz w:val="24"/>
          <w:highlight w:val="none"/>
        </w:rPr>
      </w:pPr>
      <w:r>
        <w:rPr>
          <w:rFonts w:hint="eastAsia" w:ascii="宋体" w:cs="宋体"/>
          <w:sz w:val="24"/>
          <w:highlight w:val="none"/>
        </w:rPr>
        <w:t>如我方违反上述承诺，自愿同意金华市创佳工程项目管理有限公司办理支付手续，并愿意承担全部由此引起的法律责任。</w:t>
      </w:r>
    </w:p>
    <w:p>
      <w:pPr>
        <w:spacing w:line="288" w:lineRule="auto"/>
        <w:rPr>
          <w:rFonts w:hint="eastAsia" w:ascii="宋体" w:cs="宋体"/>
          <w:sz w:val="24"/>
          <w:highlight w:val="none"/>
        </w:rPr>
      </w:pPr>
    </w:p>
    <w:p>
      <w:pPr>
        <w:spacing w:line="288" w:lineRule="auto"/>
        <w:ind w:firstLine="435"/>
        <w:rPr>
          <w:rFonts w:hint="eastAsia" w:ascii="宋体" w:cs="宋体"/>
          <w:sz w:val="24"/>
          <w:highlight w:val="none"/>
        </w:rPr>
      </w:pPr>
      <w:r>
        <w:rPr>
          <w:rFonts w:hint="eastAsia" w:ascii="宋体" w:cs="宋体"/>
          <w:sz w:val="24"/>
          <w:highlight w:val="none"/>
        </w:rPr>
        <w:t>特此承诺！</w:t>
      </w:r>
    </w:p>
    <w:p>
      <w:pPr>
        <w:spacing w:line="288" w:lineRule="auto"/>
        <w:rPr>
          <w:rFonts w:hint="eastAsia" w:ascii="宋体" w:cs="宋体"/>
          <w:sz w:val="24"/>
          <w:highlight w:val="none"/>
        </w:rPr>
      </w:pPr>
    </w:p>
    <w:p>
      <w:pPr>
        <w:spacing w:line="288" w:lineRule="auto"/>
        <w:ind w:left="567" w:hanging="567"/>
        <w:rPr>
          <w:rFonts w:hint="eastAsia" w:ascii="宋体" w:cs="宋体"/>
          <w:sz w:val="24"/>
          <w:highlight w:val="none"/>
          <w:u w:val="single"/>
        </w:rPr>
      </w:pPr>
      <w:r>
        <w:rPr>
          <w:rFonts w:hint="eastAsia" w:ascii="宋体" w:cs="宋体"/>
          <w:sz w:val="24"/>
          <w:highlight w:val="none"/>
        </w:rPr>
        <w:t>投标人名称（盖公章）：</w:t>
      </w:r>
      <w:r>
        <w:rPr>
          <w:rFonts w:hint="eastAsia" w:ascii="宋体" w:cs="宋体"/>
          <w:sz w:val="24"/>
          <w:highlight w:val="none"/>
          <w:u w:val="single"/>
        </w:rPr>
        <w:t xml:space="preserve">                                  </w:t>
      </w:r>
    </w:p>
    <w:p>
      <w:pPr>
        <w:spacing w:line="288" w:lineRule="auto"/>
        <w:ind w:left="567" w:hanging="567"/>
        <w:rPr>
          <w:rFonts w:hint="eastAsia" w:ascii="宋体" w:cs="宋体"/>
          <w:sz w:val="24"/>
          <w:highlight w:val="none"/>
          <w:u w:val="single"/>
        </w:rPr>
      </w:pPr>
      <w:r>
        <w:rPr>
          <w:rFonts w:hint="eastAsia" w:ascii="宋体" w:cs="宋体"/>
          <w:sz w:val="24"/>
          <w:highlight w:val="none"/>
        </w:rPr>
        <w:t>投标人地址：</w:t>
      </w:r>
      <w:r>
        <w:rPr>
          <w:rFonts w:hint="eastAsia" w:ascii="宋体" w:cs="宋体"/>
          <w:sz w:val="24"/>
          <w:highlight w:val="none"/>
          <w:u w:val="single"/>
        </w:rPr>
        <w:t xml:space="preserve">                                            </w:t>
      </w:r>
    </w:p>
    <w:p>
      <w:pPr>
        <w:spacing w:line="288" w:lineRule="auto"/>
        <w:ind w:left="567" w:hanging="567"/>
        <w:rPr>
          <w:rFonts w:hint="eastAsia" w:ascii="宋体" w:cs="宋体"/>
          <w:sz w:val="24"/>
          <w:highlight w:val="none"/>
          <w:u w:val="single"/>
        </w:rPr>
      </w:pPr>
      <w:r>
        <w:rPr>
          <w:rFonts w:hint="eastAsia" w:ascii="宋体" w:cs="宋体"/>
          <w:sz w:val="24"/>
          <w:highlight w:val="none"/>
        </w:rPr>
        <w:t>电话：</w:t>
      </w:r>
      <w:r>
        <w:rPr>
          <w:rFonts w:hint="eastAsia" w:ascii="宋体" w:cs="宋体"/>
          <w:sz w:val="24"/>
          <w:highlight w:val="none"/>
          <w:u w:val="single"/>
        </w:rPr>
        <w:t xml:space="preserve">                               </w:t>
      </w:r>
    </w:p>
    <w:p>
      <w:pPr>
        <w:spacing w:line="288" w:lineRule="auto"/>
        <w:ind w:left="567" w:hanging="567"/>
        <w:rPr>
          <w:rFonts w:hint="eastAsia" w:ascii="宋体" w:cs="宋体"/>
          <w:sz w:val="24"/>
          <w:highlight w:val="none"/>
          <w:u w:val="single"/>
        </w:rPr>
      </w:pPr>
      <w:r>
        <w:rPr>
          <w:rFonts w:hint="eastAsia" w:ascii="宋体" w:cs="宋体"/>
          <w:sz w:val="24"/>
          <w:highlight w:val="none"/>
        </w:rPr>
        <w:t>传真：</w:t>
      </w:r>
      <w:r>
        <w:rPr>
          <w:rFonts w:hint="eastAsia" w:ascii="宋体" w:cs="宋体"/>
          <w:sz w:val="24"/>
          <w:highlight w:val="none"/>
          <w:u w:val="single"/>
        </w:rPr>
        <w:t xml:space="preserve">                               </w:t>
      </w:r>
    </w:p>
    <w:p>
      <w:pPr>
        <w:spacing w:line="288" w:lineRule="auto"/>
        <w:ind w:left="567" w:hanging="567"/>
        <w:rPr>
          <w:rFonts w:hint="eastAsia" w:ascii="宋体" w:cs="宋体"/>
          <w:sz w:val="24"/>
          <w:highlight w:val="none"/>
          <w:u w:val="single"/>
        </w:rPr>
      </w:pPr>
      <w:r>
        <w:rPr>
          <w:rFonts w:hint="eastAsia" w:ascii="宋体" w:cs="宋体"/>
          <w:sz w:val="24"/>
          <w:highlight w:val="none"/>
        </w:rPr>
        <w:t>法定代表人或投标人授权代表(签名)：</w:t>
      </w:r>
      <w:r>
        <w:rPr>
          <w:rFonts w:hint="eastAsia" w:ascii="宋体" w:cs="宋体"/>
          <w:sz w:val="24"/>
          <w:highlight w:val="none"/>
          <w:u w:val="single"/>
        </w:rPr>
        <w:t xml:space="preserve">                       </w:t>
      </w:r>
    </w:p>
    <w:p>
      <w:pPr>
        <w:spacing w:line="360" w:lineRule="auto"/>
        <w:rPr>
          <w:rFonts w:hint="eastAsia" w:ascii="宋体" w:cs="宋体"/>
          <w:bCs/>
          <w:sz w:val="24"/>
          <w:highlight w:val="none"/>
        </w:rPr>
      </w:pPr>
      <w:r>
        <w:rPr>
          <w:rFonts w:hint="eastAsia" w:ascii="宋体" w:cs="宋体"/>
          <w:sz w:val="24"/>
          <w:highlight w:val="none"/>
        </w:rPr>
        <w:t>签署日期：</w:t>
      </w:r>
      <w:r>
        <w:rPr>
          <w:rFonts w:hint="eastAsia" w:ascii="宋体" w:cs="宋体"/>
          <w:sz w:val="24"/>
          <w:highlight w:val="none"/>
          <w:u w:val="single"/>
        </w:rPr>
        <w:t xml:space="preserve">     </w:t>
      </w:r>
      <w:r>
        <w:rPr>
          <w:rFonts w:hint="eastAsia" w:ascii="宋体" w:cs="宋体"/>
          <w:sz w:val="24"/>
          <w:highlight w:val="none"/>
        </w:rPr>
        <w:t>年</w:t>
      </w:r>
      <w:r>
        <w:rPr>
          <w:rFonts w:hint="eastAsia" w:ascii="宋体" w:cs="宋体"/>
          <w:sz w:val="24"/>
          <w:highlight w:val="none"/>
          <w:u w:val="single"/>
        </w:rPr>
        <w:t xml:space="preserve">    </w:t>
      </w:r>
      <w:r>
        <w:rPr>
          <w:rFonts w:hint="eastAsia" w:ascii="宋体" w:cs="宋体"/>
          <w:sz w:val="24"/>
          <w:highlight w:val="none"/>
        </w:rPr>
        <w:t>月</w:t>
      </w:r>
      <w:r>
        <w:rPr>
          <w:rFonts w:hint="eastAsia" w:ascii="宋体" w:cs="宋体"/>
          <w:sz w:val="24"/>
          <w:highlight w:val="none"/>
          <w:u w:val="single"/>
        </w:rPr>
        <w:t xml:space="preserve">    </w:t>
      </w:r>
      <w:r>
        <w:rPr>
          <w:rFonts w:hint="eastAsia" w:ascii="宋体" w:cs="宋体"/>
          <w:sz w:val="24"/>
          <w:highlight w:val="none"/>
        </w:rPr>
        <w:t>日</w:t>
      </w:r>
    </w:p>
    <w:p>
      <w:pPr>
        <w:snapToGrid w:val="0"/>
        <w:spacing w:before="120" w:beforeLines="50" w:after="50"/>
        <w:rPr>
          <w:rFonts w:hint="eastAsia" w:ascii="仿宋" w:hAnsi="仿宋" w:eastAsia="仿宋"/>
          <w:b/>
          <w:sz w:val="30"/>
          <w:szCs w:val="30"/>
          <w:highlight w:val="none"/>
        </w:rPr>
      </w:pPr>
      <w:r>
        <w:rPr>
          <w:rFonts w:hint="eastAsia" w:ascii="仿宋" w:hAnsi="仿宋" w:eastAsia="仿宋"/>
          <w:b/>
          <w:sz w:val="30"/>
          <w:szCs w:val="30"/>
          <w:highlight w:val="none"/>
        </w:rPr>
        <w:t xml:space="preserve">                      </w:t>
      </w:r>
    </w:p>
    <w:p>
      <w:pPr>
        <w:spacing w:before="86" w:line="360" w:lineRule="auto"/>
        <w:ind w:right="420" w:right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附代理公司账户信息：</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开户名称：金华市创佳工程项目管理有限公司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开户银行：中国农业银行股份有限公司永康溪心支行     </w:t>
      </w:r>
    </w:p>
    <w:p>
      <w:pPr>
        <w:spacing w:before="86" w:line="360" w:lineRule="auto"/>
        <w:ind w:right="420" w:rightChars="200"/>
        <w:jc w:val="left"/>
        <w:rPr>
          <w:rFonts w:hint="eastAsia" w:ascii="宋体" w:hAnsi="宋体" w:eastAsia="宋体" w:cs="宋体"/>
          <w:b/>
          <w:bCs/>
          <w:sz w:val="32"/>
          <w:szCs w:val="32"/>
          <w:highlight w:val="none"/>
        </w:rPr>
      </w:pPr>
      <w:r>
        <w:rPr>
          <w:rFonts w:hint="eastAsia" w:ascii="宋体" w:hAnsi="宋体" w:eastAsia="宋体" w:cs="宋体"/>
          <w:color w:val="auto"/>
          <w:sz w:val="24"/>
          <w:highlight w:val="none"/>
        </w:rPr>
        <w:t>帐号：19627701040001071</w:t>
      </w:r>
    </w:p>
    <w:p>
      <w:pPr>
        <w:snapToGrid w:val="0"/>
        <w:spacing w:before="120" w:beforeLines="50" w:after="50"/>
        <w:rPr>
          <w:rFonts w:ascii="仿宋" w:hAnsi="仿宋" w:eastAsia="仿宋"/>
          <w:b/>
          <w:sz w:val="30"/>
          <w:szCs w:val="30"/>
          <w:highlight w:val="none"/>
        </w:rPr>
      </w:pPr>
      <w:r>
        <w:rPr>
          <w:rFonts w:hint="eastAsia" w:ascii="仿宋" w:hAnsi="仿宋" w:eastAsia="仿宋"/>
          <w:b/>
          <w:sz w:val="30"/>
          <w:szCs w:val="30"/>
          <w:highlight w:val="none"/>
        </w:rPr>
        <w:br w:type="page"/>
      </w:r>
      <w:r>
        <w:rPr>
          <w:rFonts w:hint="eastAsia" w:ascii="仿宋" w:hAnsi="仿宋" w:eastAsia="仿宋"/>
          <w:b/>
          <w:sz w:val="30"/>
          <w:szCs w:val="30"/>
          <w:highlight w:val="none"/>
        </w:rPr>
        <w:t xml:space="preserve">             </w:t>
      </w:r>
    </w:p>
    <w:p>
      <w:pPr>
        <w:ind w:right="-110"/>
        <w:jc w:val="center"/>
        <w:rPr>
          <w:rFonts w:ascii="仿宋" w:hAnsi="仿宋" w:eastAsia="仿宋"/>
          <w:spacing w:val="40"/>
          <w:sz w:val="52"/>
          <w:szCs w:val="52"/>
          <w:highlight w:val="none"/>
        </w:rPr>
      </w:pPr>
      <w:r>
        <w:rPr>
          <w:rFonts w:hint="eastAsia" w:ascii="仿宋" w:hAnsi="仿宋" w:eastAsia="仿宋"/>
          <w:spacing w:val="40"/>
          <w:sz w:val="52"/>
          <w:szCs w:val="52"/>
          <w:highlight w:val="none"/>
        </w:rPr>
        <w:t>项目名称</w:t>
      </w:r>
    </w:p>
    <w:p>
      <w:pPr>
        <w:spacing w:before="240" w:beforeLines="100" w:line="240" w:lineRule="atLeast"/>
        <w:jc w:val="center"/>
        <w:rPr>
          <w:rFonts w:ascii="仿宋" w:hAnsi="仿宋" w:eastAsia="仿宋"/>
          <w:sz w:val="36"/>
          <w:szCs w:val="36"/>
          <w:highlight w:val="none"/>
        </w:rPr>
      </w:pPr>
      <w:r>
        <w:rPr>
          <w:rFonts w:hint="eastAsia" w:ascii="仿宋" w:hAnsi="仿宋" w:eastAsia="仿宋"/>
          <w:sz w:val="36"/>
          <w:szCs w:val="36"/>
          <w:highlight w:val="none"/>
        </w:rPr>
        <w:t>项目编号：                   （标项  ）</w:t>
      </w:r>
    </w:p>
    <w:p>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技</w:t>
      </w:r>
    </w:p>
    <w:p>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术</w:t>
      </w:r>
    </w:p>
    <w:p>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及</w:t>
      </w:r>
    </w:p>
    <w:p>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商</w:t>
      </w:r>
    </w:p>
    <w:p>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务</w:t>
      </w:r>
    </w:p>
    <w:p>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文</w:t>
      </w:r>
    </w:p>
    <w:p>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件</w:t>
      </w:r>
    </w:p>
    <w:p>
      <w:pPr>
        <w:spacing w:line="600" w:lineRule="exact"/>
        <w:ind w:right="532" w:firstLine="720" w:firstLineChars="200"/>
        <w:rPr>
          <w:rFonts w:ascii="仿宋" w:hAnsi="仿宋" w:eastAsia="仿宋"/>
          <w:sz w:val="36"/>
          <w:szCs w:val="36"/>
          <w:highlight w:val="none"/>
        </w:rPr>
      </w:pPr>
      <w:r>
        <w:rPr>
          <w:rFonts w:hint="eastAsia" w:ascii="仿宋" w:hAnsi="仿宋" w:eastAsia="仿宋"/>
          <w:sz w:val="36"/>
          <w:szCs w:val="36"/>
          <w:highlight w:val="none"/>
        </w:rPr>
        <w:t>投标人全称：</w:t>
      </w:r>
    </w:p>
    <w:p>
      <w:pPr>
        <w:spacing w:line="600" w:lineRule="exact"/>
        <w:ind w:right="-108" w:firstLine="720" w:firstLineChars="200"/>
        <w:rPr>
          <w:rFonts w:ascii="仿宋" w:hAnsi="仿宋" w:eastAsia="仿宋"/>
          <w:sz w:val="36"/>
          <w:szCs w:val="36"/>
          <w:highlight w:val="none"/>
        </w:rPr>
      </w:pPr>
      <w:r>
        <w:rPr>
          <w:rFonts w:hint="eastAsia" w:ascii="仿宋" w:hAnsi="仿宋" w:eastAsia="仿宋"/>
          <w:sz w:val="36"/>
          <w:szCs w:val="36"/>
          <w:highlight w:val="none"/>
        </w:rPr>
        <w:t>地    址：</w:t>
      </w:r>
    </w:p>
    <w:p>
      <w:pPr>
        <w:spacing w:line="600" w:lineRule="exact"/>
        <w:ind w:right="-108" w:firstLine="720" w:firstLineChars="200"/>
        <w:rPr>
          <w:rFonts w:ascii="仿宋" w:hAnsi="仿宋" w:eastAsia="仿宋"/>
          <w:sz w:val="36"/>
          <w:szCs w:val="36"/>
          <w:highlight w:val="none"/>
        </w:rPr>
      </w:pPr>
      <w:r>
        <w:rPr>
          <w:rFonts w:hint="eastAsia" w:ascii="仿宋" w:hAnsi="仿宋" w:eastAsia="仿宋"/>
          <w:sz w:val="36"/>
          <w:szCs w:val="36"/>
          <w:highlight w:val="none"/>
        </w:rPr>
        <w:t>时    间：</w:t>
      </w:r>
    </w:p>
    <w:p>
      <w:pPr>
        <w:snapToGrid w:val="0"/>
        <w:spacing w:before="50" w:after="50"/>
        <w:rPr>
          <w:rFonts w:ascii="仿宋" w:hAnsi="仿宋" w:eastAsia="仿宋"/>
          <w:sz w:val="30"/>
          <w:szCs w:val="30"/>
          <w:highlight w:val="none"/>
        </w:rPr>
      </w:pPr>
    </w:p>
    <w:p>
      <w:pPr>
        <w:snapToGrid w:val="0"/>
        <w:spacing w:before="50" w:after="50"/>
        <w:rPr>
          <w:rFonts w:ascii="仿宋" w:hAnsi="仿宋" w:eastAsia="仿宋"/>
          <w:sz w:val="30"/>
          <w:szCs w:val="30"/>
          <w:highlight w:val="none"/>
        </w:rPr>
      </w:pPr>
    </w:p>
    <w:p>
      <w:pPr>
        <w:snapToGrid w:val="0"/>
        <w:spacing w:before="50" w:after="50"/>
        <w:rPr>
          <w:rFonts w:ascii="仿宋" w:hAnsi="仿宋" w:eastAsia="仿宋"/>
          <w:b/>
          <w:bCs/>
          <w:sz w:val="36"/>
          <w:szCs w:val="36"/>
          <w:highlight w:val="none"/>
        </w:rPr>
      </w:pPr>
      <w:r>
        <w:rPr>
          <w:rFonts w:hint="eastAsia" w:ascii="仿宋" w:hAnsi="仿宋" w:eastAsia="仿宋"/>
          <w:sz w:val="36"/>
          <w:szCs w:val="36"/>
          <w:highlight w:val="none"/>
        </w:rPr>
        <w:br w:type="page"/>
      </w:r>
      <w:r>
        <w:rPr>
          <w:rFonts w:hint="eastAsia" w:ascii="仿宋" w:hAnsi="仿宋" w:eastAsia="仿宋"/>
          <w:sz w:val="36"/>
          <w:szCs w:val="36"/>
          <w:highlight w:val="none"/>
        </w:rPr>
        <w:t>2、</w:t>
      </w:r>
      <w:r>
        <w:rPr>
          <w:rFonts w:hint="eastAsia" w:ascii="仿宋" w:hAnsi="仿宋" w:eastAsia="仿宋"/>
          <w:b/>
          <w:bCs/>
          <w:sz w:val="36"/>
          <w:szCs w:val="36"/>
          <w:highlight w:val="none"/>
        </w:rPr>
        <w:t>技术及商务文件目录</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（1）评分对应表（格式见附件，主要用于评委对应评分内容）</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（2）投标项目明细清单（含货物、服务等）；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（3）技术响应表（格式见附件）；</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（4）项目总体方案（可包含且不限于对项目总体要求的理解、项目总体架构及技术解决方案等）；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（5）项目实施计划；</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（6）列入政府采购节能环保清单的证明资料（若有）；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（7）商务响应表（格式见附件）；</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（8）售后服务计划；</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（9）投标人履约能力（可包含且不限于技术力量情况、投标人各项能力证书）；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（10）案例的业绩证明（投标人业绩情况一览表、合同复印件等）；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（11）投标人认为需要的其他文件资料。</w:t>
      </w:r>
    </w:p>
    <w:p>
      <w:pPr>
        <w:snapToGrid w:val="0"/>
        <w:spacing w:before="50" w:after="120" w:afterLines="50"/>
        <w:jc w:val="left"/>
        <w:rPr>
          <w:rFonts w:ascii="仿宋" w:hAnsi="仿宋" w:eastAsia="仿宋"/>
          <w:sz w:val="30"/>
          <w:szCs w:val="30"/>
          <w:highlight w:val="none"/>
        </w:rPr>
      </w:pPr>
    </w:p>
    <w:p>
      <w:pPr>
        <w:snapToGrid w:val="0"/>
        <w:spacing w:before="50"/>
        <w:jc w:val="left"/>
        <w:rPr>
          <w:rFonts w:ascii="仿宋" w:hAnsi="仿宋" w:eastAsia="仿宋"/>
          <w:sz w:val="30"/>
          <w:szCs w:val="30"/>
          <w:highlight w:val="none"/>
        </w:rPr>
      </w:pPr>
      <w:r>
        <w:rPr>
          <w:rFonts w:hint="eastAsia" w:ascii="仿宋" w:hAnsi="仿宋" w:eastAsia="仿宋"/>
          <w:sz w:val="30"/>
          <w:szCs w:val="30"/>
          <w:highlight w:val="none"/>
        </w:rPr>
        <w:br w:type="page"/>
      </w:r>
      <w:r>
        <w:rPr>
          <w:rFonts w:hint="eastAsia" w:ascii="仿宋" w:hAnsi="仿宋" w:eastAsia="仿宋"/>
          <w:sz w:val="30"/>
          <w:szCs w:val="30"/>
          <w:highlight w:val="none"/>
        </w:rPr>
        <w:t>附件7：</w:t>
      </w:r>
    </w:p>
    <w:p>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评分对应表</w:t>
      </w:r>
    </w:p>
    <w:p>
      <w:pPr>
        <w:snapToGrid w:val="0"/>
        <w:spacing w:before="50"/>
        <w:jc w:val="center"/>
        <w:rPr>
          <w:rFonts w:ascii="仿宋" w:hAnsi="仿宋" w:eastAsia="仿宋"/>
          <w:b/>
          <w:sz w:val="32"/>
          <w:szCs w:val="32"/>
          <w:highlight w:val="none"/>
        </w:rPr>
      </w:pPr>
    </w:p>
    <w:p>
      <w:pPr>
        <w:pStyle w:val="14"/>
        <w:snapToGrid w:val="0"/>
        <w:rPr>
          <w:rFonts w:ascii="仿宋" w:hAnsi="仿宋" w:eastAsia="仿宋"/>
          <w:sz w:val="30"/>
          <w:szCs w:val="30"/>
          <w:highlight w:val="none"/>
          <w:u w:val="single"/>
        </w:rPr>
      </w:pPr>
      <w:r>
        <w:rPr>
          <w:rFonts w:hint="eastAsia" w:ascii="仿宋" w:hAnsi="仿宋" w:eastAsia="仿宋"/>
          <w:sz w:val="30"/>
          <w:szCs w:val="30"/>
          <w:highlight w:val="none"/>
        </w:rPr>
        <w:t>投标人全称（公章）：              标项：</w:t>
      </w:r>
    </w:p>
    <w:tbl>
      <w:tblPr>
        <w:tblStyle w:val="28"/>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highlight w:val="none"/>
              </w:rPr>
            </w:pPr>
            <w:r>
              <w:rPr>
                <w:rFonts w:hint="eastAsia" w:ascii="仿宋" w:hAnsi="仿宋" w:eastAsia="仿宋"/>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highlight w:val="none"/>
              </w:rPr>
            </w:pPr>
            <w:r>
              <w:rPr>
                <w:rFonts w:hint="eastAsia" w:ascii="仿宋" w:hAnsi="仿宋" w:eastAsia="仿宋"/>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highlight w:val="none"/>
              </w:rPr>
            </w:pPr>
            <w:r>
              <w:rPr>
                <w:rFonts w:hint="eastAsia" w:ascii="仿宋" w:hAnsi="仿宋" w:eastAsia="仿宋"/>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r>
              <w:rPr>
                <w:rFonts w:hint="eastAsia" w:ascii="仿宋" w:hAnsi="仿宋" w:eastAsia="仿宋"/>
                <w:sz w:val="30"/>
                <w:szCs w:val="30"/>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r>
              <w:rPr>
                <w:rFonts w:hint="eastAsia" w:ascii="仿宋" w:hAnsi="仿宋" w:eastAsia="仿宋"/>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bl>
    <w:p>
      <w:pPr>
        <w:snapToGrid w:val="0"/>
        <w:spacing w:before="120" w:beforeLines="50"/>
        <w:rPr>
          <w:rFonts w:ascii="仿宋" w:hAnsi="仿宋" w:eastAsia="仿宋"/>
          <w:sz w:val="30"/>
          <w:szCs w:val="30"/>
          <w:highlight w:val="none"/>
          <w:u w:val="single"/>
        </w:rPr>
      </w:pPr>
      <w:r>
        <w:rPr>
          <w:rFonts w:hint="eastAsia" w:ascii="仿宋" w:hAnsi="仿宋" w:eastAsia="仿宋"/>
          <w:sz w:val="30"/>
          <w:szCs w:val="30"/>
          <w:highlight w:val="none"/>
        </w:rPr>
        <w:t>授权代表签名：               日期：</w:t>
      </w:r>
    </w:p>
    <w:p>
      <w:pPr>
        <w:snapToGrid w:val="0"/>
        <w:spacing w:before="50" w:after="120" w:afterLines="50"/>
        <w:jc w:val="left"/>
        <w:rPr>
          <w:rFonts w:ascii="仿宋" w:hAnsi="仿宋" w:eastAsia="仿宋"/>
          <w:sz w:val="30"/>
          <w:szCs w:val="30"/>
          <w:highlight w:val="none"/>
        </w:rPr>
      </w:pPr>
      <w:r>
        <w:rPr>
          <w:rFonts w:hint="eastAsia" w:ascii="仿宋" w:hAnsi="仿宋" w:eastAsia="仿宋"/>
          <w:sz w:val="30"/>
          <w:szCs w:val="30"/>
          <w:highlight w:val="none"/>
        </w:rPr>
        <w:br w:type="page"/>
      </w:r>
      <w:r>
        <w:rPr>
          <w:rFonts w:hint="eastAsia" w:ascii="仿宋" w:hAnsi="仿宋" w:eastAsia="仿宋"/>
          <w:sz w:val="30"/>
          <w:szCs w:val="30"/>
          <w:highlight w:val="none"/>
        </w:rPr>
        <w:t>附件8：</w:t>
      </w:r>
    </w:p>
    <w:p>
      <w:pPr>
        <w:snapToGrid w:val="0"/>
        <w:spacing w:before="50" w:after="120" w:afterLines="50"/>
        <w:jc w:val="center"/>
        <w:rPr>
          <w:rFonts w:ascii="仿宋" w:hAnsi="仿宋" w:eastAsia="仿宋"/>
          <w:b/>
          <w:spacing w:val="40"/>
          <w:kern w:val="0"/>
          <w:sz w:val="36"/>
          <w:szCs w:val="36"/>
          <w:highlight w:val="none"/>
        </w:rPr>
      </w:pPr>
      <w:r>
        <w:rPr>
          <w:rFonts w:hint="eastAsia" w:ascii="仿宋" w:hAnsi="仿宋" w:eastAsia="仿宋"/>
          <w:b/>
          <w:spacing w:val="40"/>
          <w:kern w:val="0"/>
          <w:sz w:val="36"/>
          <w:szCs w:val="36"/>
          <w:highlight w:val="none"/>
        </w:rPr>
        <w:t>投标项目明细清单</w:t>
      </w:r>
    </w:p>
    <w:p>
      <w:pPr>
        <w:snapToGrid w:val="0"/>
        <w:spacing w:before="50" w:after="120" w:afterLines="50"/>
        <w:rPr>
          <w:rFonts w:ascii="仿宋" w:hAnsi="仿宋" w:eastAsia="仿宋"/>
          <w:b/>
          <w:spacing w:val="40"/>
          <w:kern w:val="0"/>
          <w:sz w:val="36"/>
          <w:szCs w:val="36"/>
          <w:highlight w:val="none"/>
        </w:rPr>
      </w:pPr>
    </w:p>
    <w:p>
      <w:pPr>
        <w:pStyle w:val="14"/>
        <w:snapToGrid w:val="0"/>
        <w:rPr>
          <w:rFonts w:ascii="仿宋" w:hAnsi="仿宋" w:eastAsia="仿宋"/>
          <w:kern w:val="0"/>
          <w:sz w:val="30"/>
          <w:szCs w:val="30"/>
          <w:highlight w:val="none"/>
          <w:u w:val="single"/>
        </w:rPr>
      </w:pPr>
      <w:r>
        <w:rPr>
          <w:rFonts w:hint="eastAsia" w:ascii="仿宋" w:hAnsi="仿宋" w:eastAsia="仿宋"/>
          <w:sz w:val="30"/>
          <w:szCs w:val="30"/>
          <w:highlight w:val="none"/>
        </w:rPr>
        <w:t>投标人全称（公章）：                标项：</w:t>
      </w:r>
    </w:p>
    <w:p>
      <w:pPr>
        <w:pStyle w:val="14"/>
        <w:snapToGrid w:val="0"/>
        <w:rPr>
          <w:rFonts w:ascii="仿宋" w:hAnsi="仿宋" w:eastAsia="仿宋"/>
          <w:sz w:val="30"/>
          <w:szCs w:val="30"/>
          <w:highlight w:val="none"/>
        </w:rPr>
      </w:pPr>
      <w:r>
        <w:rPr>
          <w:rFonts w:hint="eastAsia" w:ascii="仿宋" w:hAnsi="仿宋" w:eastAsia="仿宋"/>
          <w:sz w:val="30"/>
          <w:szCs w:val="30"/>
          <w:highlight w:val="none"/>
        </w:rPr>
        <w:t>货物类</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规格</w:t>
            </w:r>
          </w:p>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单位及</w:t>
            </w:r>
          </w:p>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bl>
    <w:p>
      <w:pPr>
        <w:snapToGrid w:val="0"/>
        <w:spacing w:before="120" w:beforeLines="50"/>
        <w:rPr>
          <w:rFonts w:ascii="仿宋" w:hAnsi="仿宋" w:eastAsia="仿宋"/>
          <w:sz w:val="30"/>
          <w:szCs w:val="30"/>
          <w:highlight w:val="none"/>
        </w:rPr>
      </w:pPr>
      <w:r>
        <w:rPr>
          <w:rFonts w:hint="eastAsia" w:ascii="仿宋" w:hAnsi="仿宋" w:eastAsia="仿宋"/>
          <w:sz w:val="30"/>
          <w:szCs w:val="30"/>
          <w:highlight w:val="none"/>
        </w:rPr>
        <w:t>服务类</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bl>
    <w:p>
      <w:pPr>
        <w:snapToGrid w:val="0"/>
        <w:spacing w:before="120" w:beforeLines="50"/>
        <w:rPr>
          <w:rFonts w:ascii="仿宋" w:hAnsi="仿宋" w:eastAsia="仿宋"/>
          <w:sz w:val="30"/>
          <w:szCs w:val="30"/>
          <w:highlight w:val="none"/>
        </w:rPr>
      </w:pPr>
      <w:r>
        <w:rPr>
          <w:rFonts w:hint="eastAsia" w:ascii="仿宋" w:hAnsi="仿宋" w:eastAsia="仿宋"/>
          <w:sz w:val="30"/>
          <w:szCs w:val="30"/>
          <w:highlight w:val="none"/>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highlight w:val="none"/>
        </w:rPr>
      </w:pPr>
    </w:p>
    <w:p>
      <w:pPr>
        <w:snapToGrid w:val="0"/>
        <w:spacing w:before="120" w:beforeLines="50"/>
        <w:rPr>
          <w:rFonts w:ascii="仿宋" w:hAnsi="仿宋" w:eastAsia="仿宋"/>
          <w:sz w:val="30"/>
          <w:szCs w:val="30"/>
          <w:highlight w:val="none"/>
          <w:u w:val="single"/>
        </w:rPr>
      </w:pPr>
      <w:r>
        <w:rPr>
          <w:rFonts w:hint="eastAsia" w:ascii="仿宋" w:hAnsi="仿宋" w:eastAsia="仿宋"/>
          <w:sz w:val="30"/>
          <w:szCs w:val="30"/>
          <w:highlight w:val="none"/>
        </w:rPr>
        <w:t>授权代表签名：               日期：</w:t>
      </w:r>
    </w:p>
    <w:p>
      <w:pPr>
        <w:snapToGrid w:val="0"/>
        <w:spacing w:before="50" w:after="50"/>
        <w:rPr>
          <w:rFonts w:ascii="仿宋" w:hAnsi="仿宋" w:eastAsia="仿宋"/>
          <w:spacing w:val="20"/>
          <w:sz w:val="30"/>
          <w:szCs w:val="30"/>
          <w:highlight w:val="none"/>
        </w:rPr>
      </w:pPr>
    </w:p>
    <w:p>
      <w:pPr>
        <w:snapToGrid w:val="0"/>
        <w:spacing w:before="50" w:after="50"/>
        <w:rPr>
          <w:rFonts w:ascii="仿宋" w:hAnsi="仿宋" w:eastAsia="仿宋"/>
          <w:sz w:val="30"/>
          <w:szCs w:val="30"/>
          <w:highlight w:val="none"/>
        </w:rPr>
      </w:pPr>
      <w:r>
        <w:rPr>
          <w:rFonts w:hint="eastAsia" w:ascii="仿宋" w:hAnsi="仿宋" w:eastAsia="仿宋"/>
          <w:spacing w:val="20"/>
          <w:sz w:val="30"/>
          <w:szCs w:val="30"/>
          <w:highlight w:val="none"/>
        </w:rPr>
        <w:br w:type="page"/>
      </w:r>
      <w:r>
        <w:rPr>
          <w:rFonts w:hint="eastAsia" w:ascii="仿宋" w:hAnsi="仿宋" w:eastAsia="仿宋"/>
          <w:sz w:val="30"/>
          <w:szCs w:val="30"/>
          <w:highlight w:val="none"/>
        </w:rPr>
        <w:t>附件9：</w:t>
      </w:r>
    </w:p>
    <w:p>
      <w:pPr>
        <w:snapToGrid w:val="0"/>
        <w:spacing w:before="50" w:after="120" w:afterLines="50"/>
        <w:jc w:val="center"/>
        <w:rPr>
          <w:rFonts w:ascii="仿宋" w:hAnsi="仿宋" w:eastAsia="仿宋"/>
          <w:b/>
          <w:spacing w:val="40"/>
          <w:kern w:val="0"/>
          <w:sz w:val="36"/>
          <w:szCs w:val="36"/>
          <w:highlight w:val="none"/>
        </w:rPr>
      </w:pPr>
      <w:r>
        <w:rPr>
          <w:rFonts w:hint="eastAsia" w:ascii="仿宋" w:hAnsi="仿宋" w:eastAsia="仿宋"/>
          <w:b/>
          <w:spacing w:val="40"/>
          <w:kern w:val="0"/>
          <w:sz w:val="36"/>
          <w:szCs w:val="36"/>
          <w:highlight w:val="none"/>
        </w:rPr>
        <w:t>技 术 响 应 表</w:t>
      </w:r>
    </w:p>
    <w:p>
      <w:pPr>
        <w:snapToGrid w:val="0"/>
        <w:spacing w:before="50" w:after="120" w:afterLines="50"/>
        <w:rPr>
          <w:rFonts w:ascii="仿宋" w:hAnsi="仿宋" w:eastAsia="仿宋"/>
          <w:b/>
          <w:sz w:val="32"/>
          <w:szCs w:val="32"/>
          <w:highlight w:val="none"/>
        </w:rPr>
      </w:pPr>
    </w:p>
    <w:p>
      <w:pPr>
        <w:pStyle w:val="14"/>
        <w:snapToGrid w:val="0"/>
        <w:rPr>
          <w:rFonts w:ascii="仿宋" w:hAnsi="仿宋" w:eastAsia="仿宋"/>
          <w:sz w:val="30"/>
          <w:szCs w:val="30"/>
          <w:highlight w:val="none"/>
          <w:u w:val="single"/>
        </w:rPr>
      </w:pPr>
      <w:r>
        <w:rPr>
          <w:rFonts w:hint="eastAsia" w:ascii="仿宋" w:hAnsi="仿宋" w:eastAsia="仿宋"/>
          <w:sz w:val="30"/>
          <w:szCs w:val="30"/>
          <w:highlight w:val="none"/>
        </w:rPr>
        <w:t>投标人全称（公章）：            标项：</w:t>
      </w:r>
    </w:p>
    <w:tbl>
      <w:tblPr>
        <w:tblStyle w:val="2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highlight w:val="none"/>
              </w:rPr>
            </w:pPr>
            <w:r>
              <w:rPr>
                <w:rFonts w:hint="eastAsia" w:ascii="仿宋" w:hAnsi="仿宋" w:eastAsia="仿宋"/>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highlight w:val="none"/>
              </w:rPr>
            </w:pPr>
            <w:r>
              <w:rPr>
                <w:rFonts w:hint="eastAsia" w:ascii="仿宋" w:hAnsi="仿宋" w:eastAsia="仿宋"/>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kern w:val="0"/>
                <w:sz w:val="30"/>
                <w:szCs w:val="30"/>
                <w:highlight w:val="none"/>
              </w:rPr>
            </w:pPr>
            <w:r>
              <w:rPr>
                <w:rFonts w:hint="eastAsia" w:ascii="仿宋" w:hAnsi="仿宋" w:eastAsia="仿宋"/>
                <w:sz w:val="30"/>
                <w:szCs w:val="30"/>
                <w:highlight w:val="none"/>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ascii="仿宋" w:hAnsi="仿宋" w:eastAsia="仿宋"/>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ascii="仿宋" w:hAnsi="仿宋" w:eastAsia="仿宋"/>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rPr>
                <w:rFonts w:ascii="仿宋" w:hAnsi="仿宋" w:eastAsia="仿宋"/>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ascii="仿宋" w:hAnsi="仿宋" w:eastAsia="仿宋"/>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ascii="仿宋" w:hAnsi="仿宋" w:eastAsia="仿宋"/>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c>
          <w:tcPr>
            <w:tcW w:w="2423" w:type="dxa"/>
            <w:tcBorders>
              <w:top w:val="single" w:color="auto" w:sz="4" w:space="0"/>
              <w:left w:val="single" w:color="auto" w:sz="4" w:space="0"/>
              <w:bottom w:val="nil"/>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ascii="仿宋" w:hAnsi="仿宋" w:eastAsia="仿宋"/>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120" w:after="120"/>
              <w:outlineLvl w:val="0"/>
              <w:rPr>
                <w:rFonts w:ascii="仿宋" w:hAnsi="仿宋" w:eastAsia="仿宋"/>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20" w:after="120"/>
              <w:outlineLvl w:val="0"/>
              <w:rPr>
                <w:rFonts w:ascii="仿宋" w:hAnsi="仿宋" w:eastAsia="仿宋"/>
                <w:sz w:val="30"/>
                <w:szCs w:val="30"/>
                <w:highlight w:val="none"/>
              </w:rPr>
            </w:pPr>
          </w:p>
        </w:tc>
      </w:tr>
    </w:tbl>
    <w:p>
      <w:pPr>
        <w:pStyle w:val="17"/>
        <w:rPr>
          <w:rFonts w:ascii="仿宋" w:hAnsi="仿宋" w:eastAsia="仿宋"/>
          <w:spacing w:val="20"/>
          <w:kern w:val="0"/>
          <w:sz w:val="30"/>
          <w:szCs w:val="30"/>
          <w:highlight w:val="none"/>
        </w:rPr>
      </w:pPr>
      <w:r>
        <w:rPr>
          <w:rFonts w:hint="eastAsia" w:ascii="仿宋" w:hAnsi="仿宋" w:eastAsia="仿宋"/>
          <w:sz w:val="30"/>
          <w:szCs w:val="30"/>
          <w:highlight w:val="none"/>
        </w:rPr>
        <w:t>注：投标人应根据投标的性能指标、对照招标文件要求在“偏离情况”栏注明“正偏离”、“负偏离”或“无偏离”。</w:t>
      </w:r>
    </w:p>
    <w:p>
      <w:pPr>
        <w:snapToGrid w:val="0"/>
        <w:spacing w:before="50" w:after="50"/>
        <w:rPr>
          <w:rFonts w:ascii="仿宋" w:hAnsi="仿宋" w:eastAsia="仿宋"/>
          <w:spacing w:val="20"/>
          <w:sz w:val="30"/>
          <w:szCs w:val="30"/>
          <w:highlight w:val="none"/>
        </w:rPr>
      </w:pPr>
    </w:p>
    <w:p>
      <w:pPr>
        <w:snapToGrid w:val="0"/>
        <w:spacing w:before="50" w:after="50"/>
        <w:rPr>
          <w:rFonts w:ascii="仿宋" w:hAnsi="仿宋" w:eastAsia="仿宋"/>
          <w:sz w:val="30"/>
          <w:szCs w:val="30"/>
          <w:highlight w:val="none"/>
        </w:rPr>
      </w:pPr>
      <w:r>
        <w:rPr>
          <w:rFonts w:hint="eastAsia" w:ascii="仿宋" w:hAnsi="仿宋" w:eastAsia="仿宋"/>
          <w:spacing w:val="20"/>
          <w:sz w:val="30"/>
          <w:szCs w:val="30"/>
          <w:highlight w:val="none"/>
        </w:rPr>
        <w:t>授权代表签名：          日 期：</w:t>
      </w:r>
    </w:p>
    <w:p>
      <w:pPr>
        <w:snapToGrid w:val="0"/>
        <w:spacing w:before="50" w:after="120" w:afterLines="50"/>
        <w:jc w:val="left"/>
        <w:rPr>
          <w:rFonts w:ascii="仿宋" w:hAnsi="仿宋" w:eastAsia="仿宋"/>
          <w:sz w:val="30"/>
          <w:szCs w:val="30"/>
          <w:highlight w:val="none"/>
        </w:rPr>
      </w:pPr>
    </w:p>
    <w:p>
      <w:pPr>
        <w:snapToGrid w:val="0"/>
        <w:spacing w:before="50" w:after="50"/>
        <w:rPr>
          <w:rFonts w:ascii="仿宋" w:hAnsi="仿宋" w:eastAsia="仿宋"/>
          <w:sz w:val="30"/>
          <w:szCs w:val="30"/>
          <w:highlight w:val="none"/>
        </w:rPr>
      </w:pPr>
      <w:r>
        <w:rPr>
          <w:rFonts w:hint="eastAsia" w:ascii="仿宋" w:hAnsi="仿宋" w:eastAsia="仿宋"/>
          <w:sz w:val="30"/>
          <w:szCs w:val="30"/>
          <w:highlight w:val="none"/>
        </w:rPr>
        <w:br w:type="page"/>
      </w:r>
      <w:r>
        <w:rPr>
          <w:rFonts w:hint="eastAsia" w:ascii="仿宋" w:hAnsi="仿宋" w:eastAsia="仿宋"/>
          <w:sz w:val="30"/>
          <w:szCs w:val="30"/>
          <w:highlight w:val="none"/>
        </w:rPr>
        <w:t>附件10：</w:t>
      </w:r>
    </w:p>
    <w:p>
      <w:pPr>
        <w:snapToGrid w:val="0"/>
        <w:spacing w:before="50" w:after="120" w:afterLines="50"/>
        <w:jc w:val="center"/>
        <w:rPr>
          <w:rFonts w:ascii="仿宋" w:hAnsi="仿宋" w:eastAsia="仿宋"/>
          <w:b/>
          <w:kern w:val="0"/>
          <w:sz w:val="36"/>
          <w:szCs w:val="36"/>
          <w:highlight w:val="none"/>
        </w:rPr>
      </w:pPr>
      <w:r>
        <w:rPr>
          <w:rFonts w:hint="eastAsia" w:ascii="仿宋" w:hAnsi="仿宋" w:eastAsia="仿宋"/>
          <w:b/>
          <w:kern w:val="0"/>
          <w:sz w:val="36"/>
          <w:szCs w:val="36"/>
          <w:highlight w:val="none"/>
        </w:rPr>
        <w:t>项目组人员清单</w:t>
      </w:r>
    </w:p>
    <w:p>
      <w:pPr>
        <w:snapToGrid w:val="0"/>
        <w:spacing w:before="120" w:beforeLines="50" w:after="50"/>
        <w:rPr>
          <w:rFonts w:ascii="仿宋" w:hAnsi="仿宋" w:eastAsia="仿宋"/>
          <w:b/>
          <w:sz w:val="30"/>
          <w:szCs w:val="30"/>
          <w:highlight w:val="none"/>
        </w:rPr>
      </w:pPr>
    </w:p>
    <w:p>
      <w:pPr>
        <w:pStyle w:val="14"/>
        <w:snapToGrid w:val="0"/>
        <w:rPr>
          <w:rFonts w:ascii="仿宋" w:hAnsi="仿宋" w:eastAsia="仿宋"/>
          <w:sz w:val="30"/>
          <w:szCs w:val="30"/>
          <w:highlight w:val="none"/>
          <w:u w:val="single"/>
        </w:rPr>
      </w:pPr>
      <w:r>
        <w:rPr>
          <w:rFonts w:hint="eastAsia" w:ascii="仿宋" w:hAnsi="仿宋" w:eastAsia="仿宋"/>
          <w:sz w:val="30"/>
          <w:szCs w:val="30"/>
          <w:highlight w:val="none"/>
        </w:rPr>
        <w:t>投标人全称（公章）：              标项：</w:t>
      </w:r>
    </w:p>
    <w:tbl>
      <w:tblPr>
        <w:tblStyle w:val="28"/>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highlight w:val="none"/>
              </w:rPr>
            </w:pPr>
            <w:r>
              <w:rPr>
                <w:rFonts w:hint="eastAsia" w:ascii="仿宋" w:hAnsi="仿宋" w:eastAsia="仿宋"/>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highlight w:val="none"/>
              </w:rPr>
            </w:pPr>
            <w:r>
              <w:rPr>
                <w:rFonts w:hint="eastAsia" w:ascii="仿宋" w:hAnsi="仿宋" w:eastAsia="仿宋"/>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kern w:val="0"/>
                <w:sz w:val="30"/>
                <w:szCs w:val="30"/>
                <w:highlight w:val="none"/>
              </w:rPr>
            </w:pPr>
            <w:r>
              <w:rPr>
                <w:rFonts w:hint="eastAsia" w:ascii="仿宋" w:hAnsi="仿宋" w:eastAsia="仿宋"/>
                <w:sz w:val="30"/>
                <w:szCs w:val="30"/>
                <w:highlight w:val="none"/>
              </w:rPr>
              <w:t>专业技</w:t>
            </w:r>
          </w:p>
          <w:p>
            <w:pPr>
              <w:snapToGrid w:val="0"/>
              <w:spacing w:before="120" w:beforeLines="50" w:after="50" w:line="460" w:lineRule="exact"/>
              <w:jc w:val="center"/>
              <w:rPr>
                <w:rFonts w:ascii="仿宋" w:hAnsi="仿宋" w:eastAsia="仿宋"/>
                <w:kern w:val="0"/>
                <w:sz w:val="30"/>
                <w:szCs w:val="30"/>
                <w:highlight w:val="none"/>
              </w:rPr>
            </w:pPr>
            <w:r>
              <w:rPr>
                <w:rFonts w:hint="eastAsia" w:ascii="仿宋" w:hAnsi="仿宋" w:eastAsia="仿宋"/>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kern w:val="0"/>
                <w:sz w:val="30"/>
                <w:szCs w:val="30"/>
                <w:highlight w:val="none"/>
              </w:rPr>
            </w:pPr>
            <w:r>
              <w:rPr>
                <w:rFonts w:hint="eastAsia" w:ascii="仿宋" w:hAnsi="仿宋" w:eastAsia="仿宋"/>
                <w:sz w:val="30"/>
                <w:szCs w:val="30"/>
                <w:highlight w:val="none"/>
              </w:rPr>
              <w:t>证书</w:t>
            </w:r>
          </w:p>
          <w:p>
            <w:pPr>
              <w:snapToGrid w:val="0"/>
              <w:spacing w:before="120" w:beforeLines="50" w:after="50" w:line="460" w:lineRule="exact"/>
              <w:jc w:val="center"/>
              <w:rPr>
                <w:rFonts w:ascii="仿宋" w:hAnsi="仿宋" w:eastAsia="仿宋"/>
                <w:kern w:val="0"/>
                <w:sz w:val="30"/>
                <w:szCs w:val="30"/>
                <w:highlight w:val="none"/>
              </w:rPr>
            </w:pPr>
            <w:r>
              <w:rPr>
                <w:rFonts w:hint="eastAsia" w:ascii="仿宋" w:hAnsi="仿宋" w:eastAsia="仿宋"/>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kern w:val="0"/>
                <w:sz w:val="30"/>
                <w:szCs w:val="30"/>
                <w:highlight w:val="none"/>
              </w:rPr>
            </w:pPr>
            <w:r>
              <w:rPr>
                <w:rFonts w:hint="eastAsia" w:ascii="仿宋" w:hAnsi="仿宋" w:eastAsia="仿宋"/>
                <w:bCs/>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kern w:val="0"/>
                <w:sz w:val="30"/>
                <w:szCs w:val="30"/>
                <w:highlight w:val="none"/>
              </w:rPr>
            </w:pPr>
            <w:r>
              <w:rPr>
                <w:rFonts w:hint="eastAsia" w:ascii="仿宋" w:hAnsi="仿宋" w:eastAsia="仿宋"/>
                <w:bCs/>
                <w:sz w:val="30"/>
                <w:szCs w:val="30"/>
                <w:highlight w:val="none"/>
              </w:rPr>
              <w:t>劳动合</w:t>
            </w:r>
          </w:p>
          <w:p>
            <w:pPr>
              <w:snapToGrid w:val="0"/>
              <w:spacing w:before="120" w:beforeLines="50" w:after="50" w:line="460" w:lineRule="exact"/>
              <w:jc w:val="center"/>
              <w:rPr>
                <w:rFonts w:ascii="仿宋" w:hAnsi="仿宋" w:eastAsia="仿宋"/>
                <w:bCs/>
                <w:kern w:val="0"/>
                <w:sz w:val="30"/>
                <w:szCs w:val="30"/>
                <w:highlight w:val="none"/>
              </w:rPr>
            </w:pPr>
            <w:r>
              <w:rPr>
                <w:rFonts w:hint="eastAsia" w:ascii="仿宋" w:hAnsi="仿宋" w:eastAsia="仿宋"/>
                <w:bCs/>
                <w:sz w:val="30"/>
                <w:szCs w:val="30"/>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9"/>
              <w:snapToGrid w:val="0"/>
              <w:spacing w:before="120" w:beforeLines="50" w:after="50" w:line="460" w:lineRule="exact"/>
              <w:ind w:left="5250"/>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highlight w:val="none"/>
              </w:rPr>
            </w:pPr>
          </w:p>
        </w:tc>
      </w:tr>
    </w:tbl>
    <w:p>
      <w:pPr>
        <w:snapToGrid w:val="0"/>
        <w:spacing w:before="50" w:after="120" w:afterLines="50" w:line="460" w:lineRule="exact"/>
        <w:jc w:val="left"/>
        <w:rPr>
          <w:rFonts w:ascii="仿宋" w:hAnsi="仿宋" w:eastAsia="仿宋"/>
          <w:sz w:val="30"/>
          <w:szCs w:val="30"/>
          <w:highlight w:val="none"/>
        </w:rPr>
      </w:pPr>
      <w:r>
        <w:rPr>
          <w:rFonts w:hint="eastAsia" w:ascii="仿宋" w:hAnsi="仿宋" w:eastAsia="仿宋"/>
          <w:sz w:val="30"/>
          <w:szCs w:val="30"/>
          <w:highlight w:val="none"/>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highlight w:val="none"/>
        </w:rPr>
      </w:pPr>
    </w:p>
    <w:p>
      <w:pPr>
        <w:snapToGrid w:val="0"/>
        <w:spacing w:before="50" w:after="50" w:line="460" w:lineRule="exact"/>
        <w:rPr>
          <w:rFonts w:ascii="仿宋" w:hAnsi="仿宋" w:eastAsia="仿宋"/>
          <w:spacing w:val="20"/>
          <w:sz w:val="30"/>
          <w:szCs w:val="30"/>
          <w:highlight w:val="none"/>
          <w:u w:val="single"/>
        </w:rPr>
      </w:pPr>
      <w:r>
        <w:rPr>
          <w:rFonts w:hint="eastAsia" w:ascii="仿宋" w:hAnsi="仿宋" w:eastAsia="仿宋"/>
          <w:spacing w:val="20"/>
          <w:sz w:val="30"/>
          <w:szCs w:val="30"/>
          <w:highlight w:val="none"/>
        </w:rPr>
        <w:t>授权代表签名： 日  期：</w:t>
      </w:r>
    </w:p>
    <w:p>
      <w:pPr>
        <w:snapToGrid w:val="0"/>
        <w:spacing w:before="50" w:after="120" w:afterLines="50" w:line="460" w:lineRule="exact"/>
        <w:jc w:val="left"/>
        <w:rPr>
          <w:rFonts w:ascii="仿宋" w:hAnsi="仿宋" w:eastAsia="仿宋"/>
          <w:sz w:val="30"/>
          <w:szCs w:val="30"/>
          <w:highlight w:val="none"/>
        </w:rPr>
      </w:pPr>
    </w:p>
    <w:p>
      <w:pPr>
        <w:pStyle w:val="18"/>
        <w:snapToGrid w:val="0"/>
        <w:spacing w:before="120" w:after="120" w:line="460" w:lineRule="exact"/>
        <w:rPr>
          <w:rFonts w:ascii="仿宋" w:hAnsi="仿宋" w:eastAsia="仿宋"/>
          <w:sz w:val="30"/>
          <w:szCs w:val="30"/>
          <w:highlight w:val="none"/>
        </w:rPr>
      </w:pPr>
    </w:p>
    <w:p>
      <w:pPr>
        <w:snapToGrid w:val="0"/>
        <w:spacing w:before="50"/>
        <w:jc w:val="left"/>
        <w:rPr>
          <w:rFonts w:ascii="仿宋" w:hAnsi="仿宋" w:eastAsia="仿宋"/>
          <w:sz w:val="30"/>
          <w:szCs w:val="30"/>
          <w:highlight w:val="none"/>
        </w:rPr>
      </w:pPr>
      <w:r>
        <w:rPr>
          <w:rFonts w:hint="eastAsia" w:ascii="仿宋" w:hAnsi="仿宋" w:eastAsia="仿宋"/>
          <w:sz w:val="30"/>
          <w:szCs w:val="30"/>
          <w:highlight w:val="none"/>
        </w:rPr>
        <w:br w:type="page"/>
      </w:r>
      <w:r>
        <w:rPr>
          <w:rFonts w:hint="eastAsia" w:ascii="仿宋" w:hAnsi="仿宋" w:eastAsia="仿宋"/>
          <w:sz w:val="30"/>
          <w:szCs w:val="30"/>
          <w:highlight w:val="none"/>
        </w:rPr>
        <w:t>附件11：</w:t>
      </w:r>
    </w:p>
    <w:p>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商务响应表</w:t>
      </w:r>
    </w:p>
    <w:p>
      <w:pPr>
        <w:snapToGrid w:val="0"/>
        <w:spacing w:before="50"/>
        <w:jc w:val="center"/>
        <w:rPr>
          <w:rFonts w:ascii="仿宋" w:hAnsi="仿宋" w:eastAsia="仿宋"/>
          <w:b/>
          <w:sz w:val="32"/>
          <w:szCs w:val="32"/>
          <w:highlight w:val="none"/>
        </w:rPr>
      </w:pPr>
    </w:p>
    <w:p>
      <w:pPr>
        <w:pStyle w:val="14"/>
        <w:snapToGrid w:val="0"/>
        <w:rPr>
          <w:rFonts w:ascii="仿宋" w:hAnsi="仿宋" w:eastAsia="仿宋"/>
          <w:sz w:val="30"/>
          <w:szCs w:val="30"/>
          <w:highlight w:val="none"/>
          <w:u w:val="single"/>
        </w:rPr>
      </w:pPr>
      <w:r>
        <w:rPr>
          <w:rFonts w:hint="eastAsia" w:ascii="仿宋" w:hAnsi="仿宋" w:eastAsia="仿宋"/>
          <w:sz w:val="30"/>
          <w:szCs w:val="30"/>
          <w:highlight w:val="none"/>
        </w:rPr>
        <w:t>投标人全称（公章）：              标项：</w:t>
      </w:r>
    </w:p>
    <w:tbl>
      <w:tblPr>
        <w:tblStyle w:val="28"/>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highlight w:val="none"/>
              </w:rPr>
            </w:pPr>
            <w:r>
              <w:rPr>
                <w:rFonts w:hint="eastAsia" w:ascii="仿宋" w:hAnsi="仿宋" w:eastAsia="仿宋"/>
                <w:sz w:val="30"/>
                <w:szCs w:val="30"/>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highlight w:val="none"/>
              </w:rPr>
            </w:pPr>
            <w:r>
              <w:rPr>
                <w:rFonts w:hint="eastAsia" w:ascii="仿宋" w:hAnsi="仿宋" w:eastAsia="仿宋"/>
                <w:sz w:val="30"/>
                <w:szCs w:val="30"/>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highlight w:val="none"/>
              </w:rPr>
            </w:pPr>
            <w:r>
              <w:rPr>
                <w:rFonts w:hint="eastAsia" w:ascii="仿宋" w:hAnsi="仿宋" w:eastAsia="仿宋"/>
                <w:sz w:val="30"/>
                <w:szCs w:val="30"/>
                <w:highlight w:val="none"/>
              </w:rPr>
              <w:t>是否</w:t>
            </w:r>
          </w:p>
          <w:p>
            <w:pPr>
              <w:snapToGrid w:val="0"/>
              <w:spacing w:before="120" w:beforeLines="50"/>
              <w:jc w:val="center"/>
              <w:rPr>
                <w:rFonts w:ascii="仿宋" w:hAnsi="仿宋" w:eastAsia="仿宋"/>
                <w:kern w:val="0"/>
                <w:sz w:val="30"/>
                <w:szCs w:val="30"/>
                <w:highlight w:val="none"/>
              </w:rPr>
            </w:pPr>
            <w:r>
              <w:rPr>
                <w:rFonts w:hint="eastAsia" w:ascii="仿宋" w:hAnsi="仿宋" w:eastAsia="仿宋"/>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highlight w:val="none"/>
              </w:rPr>
            </w:pPr>
            <w:r>
              <w:rPr>
                <w:rFonts w:hint="eastAsia" w:ascii="仿宋" w:hAnsi="仿宋" w:eastAsia="仿宋"/>
                <w:sz w:val="30"/>
                <w:szCs w:val="30"/>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highlight w:val="none"/>
              </w:rPr>
            </w:pPr>
            <w:r>
              <w:rPr>
                <w:rFonts w:hint="eastAsia" w:ascii="仿宋" w:hAnsi="仿宋" w:eastAsia="仿宋"/>
                <w:sz w:val="28"/>
                <w:szCs w:val="28"/>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r>
              <w:rPr>
                <w:rFonts w:hint="eastAsia" w:ascii="仿宋" w:hAnsi="仿宋" w:eastAsia="仿宋"/>
                <w:sz w:val="30"/>
                <w:szCs w:val="30"/>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highlight w:val="none"/>
              </w:rPr>
            </w:pPr>
          </w:p>
        </w:tc>
      </w:tr>
    </w:tbl>
    <w:p>
      <w:pPr>
        <w:snapToGrid w:val="0"/>
        <w:spacing w:before="120" w:beforeLines="50"/>
        <w:rPr>
          <w:rFonts w:ascii="仿宋" w:hAnsi="仿宋" w:eastAsia="仿宋"/>
          <w:sz w:val="30"/>
          <w:szCs w:val="30"/>
          <w:highlight w:val="none"/>
          <w:u w:val="single"/>
        </w:rPr>
      </w:pPr>
      <w:r>
        <w:rPr>
          <w:rFonts w:hint="eastAsia" w:ascii="仿宋" w:hAnsi="仿宋" w:eastAsia="仿宋"/>
          <w:sz w:val="30"/>
          <w:szCs w:val="30"/>
          <w:highlight w:val="none"/>
        </w:rPr>
        <w:t>授权代表签名：               日期：</w:t>
      </w:r>
    </w:p>
    <w:p>
      <w:pPr>
        <w:jc w:val="left"/>
        <w:rPr>
          <w:rFonts w:ascii="仿宋" w:hAnsi="仿宋" w:eastAsia="仿宋"/>
          <w:sz w:val="30"/>
          <w:szCs w:val="30"/>
          <w:highlight w:val="none"/>
        </w:rPr>
        <w:sectPr>
          <w:headerReference r:id="rId5" w:type="default"/>
          <w:footerReference r:id="rId6"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highlight w:val="none"/>
        </w:rPr>
      </w:pPr>
      <w:r>
        <w:rPr>
          <w:rFonts w:hint="eastAsia" w:ascii="仿宋" w:hAnsi="仿宋" w:eastAsia="仿宋"/>
          <w:sz w:val="30"/>
          <w:szCs w:val="30"/>
          <w:highlight w:val="none"/>
        </w:rPr>
        <w:t>附件12：</w:t>
      </w:r>
    </w:p>
    <w:p>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投标人业绩情况一览表</w:t>
      </w:r>
    </w:p>
    <w:p>
      <w:pPr>
        <w:pStyle w:val="14"/>
        <w:snapToGrid w:val="0"/>
        <w:rPr>
          <w:rFonts w:ascii="仿宋" w:hAnsi="仿宋" w:eastAsia="仿宋"/>
          <w:sz w:val="30"/>
          <w:szCs w:val="30"/>
          <w:highlight w:val="none"/>
          <w:u w:val="single"/>
        </w:rPr>
      </w:pPr>
      <w:r>
        <w:rPr>
          <w:rFonts w:hint="eastAsia" w:ascii="仿宋" w:hAnsi="仿宋" w:eastAsia="仿宋"/>
          <w:sz w:val="30"/>
          <w:szCs w:val="30"/>
          <w:highlight w:val="none"/>
        </w:rPr>
        <w:t>投标人全称（公章）：</w:t>
      </w:r>
    </w:p>
    <w:tbl>
      <w:tblPr>
        <w:tblStyle w:val="2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采购</w:t>
            </w:r>
          </w:p>
          <w:p>
            <w:pPr>
              <w:snapToGrid w:val="0"/>
              <w:jc w:val="center"/>
              <w:rPr>
                <w:rFonts w:ascii="仿宋" w:hAnsi="仿宋" w:eastAsia="仿宋"/>
                <w:sz w:val="30"/>
                <w:szCs w:val="30"/>
                <w:highlight w:val="none"/>
              </w:rPr>
            </w:pPr>
            <w:r>
              <w:rPr>
                <w:rFonts w:hint="eastAsia" w:ascii="仿宋" w:hAnsi="仿宋" w:eastAsia="仿宋"/>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合同</w:t>
            </w:r>
          </w:p>
          <w:p>
            <w:pPr>
              <w:snapToGrid w:val="0"/>
              <w:jc w:val="center"/>
              <w:rPr>
                <w:rFonts w:ascii="仿宋" w:hAnsi="仿宋" w:eastAsia="仿宋"/>
                <w:sz w:val="30"/>
                <w:szCs w:val="30"/>
                <w:highlight w:val="none"/>
              </w:rPr>
            </w:pPr>
            <w:r>
              <w:rPr>
                <w:rFonts w:hint="eastAsia" w:ascii="仿宋" w:hAnsi="仿宋" w:eastAsia="仿宋"/>
                <w:sz w:val="30"/>
                <w:szCs w:val="30"/>
                <w:highlight w:val="none"/>
              </w:rPr>
              <w:t>金额</w:t>
            </w:r>
          </w:p>
          <w:p>
            <w:pPr>
              <w:snapToGrid w:val="0"/>
              <w:jc w:val="center"/>
              <w:rPr>
                <w:rFonts w:ascii="仿宋" w:hAnsi="仿宋" w:eastAsia="仿宋"/>
                <w:sz w:val="30"/>
                <w:szCs w:val="30"/>
                <w:highlight w:val="none"/>
              </w:rPr>
            </w:pPr>
            <w:r>
              <w:rPr>
                <w:rFonts w:hint="eastAsia" w:ascii="仿宋" w:hAnsi="仿宋" w:eastAsia="仿宋"/>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采购单位联系人及</w:t>
            </w:r>
          </w:p>
          <w:p>
            <w:pPr>
              <w:snapToGrid w:val="0"/>
              <w:jc w:val="center"/>
              <w:rPr>
                <w:rFonts w:ascii="仿宋" w:hAnsi="仿宋" w:eastAsia="仿宋"/>
                <w:sz w:val="30"/>
                <w:szCs w:val="30"/>
                <w:highlight w:val="none"/>
              </w:rPr>
            </w:pPr>
            <w:r>
              <w:rPr>
                <w:rFonts w:hint="eastAsia" w:ascii="仿宋" w:hAnsi="仿宋" w:eastAsia="仿宋"/>
                <w:sz w:val="30"/>
                <w:szCs w:val="3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合</w:t>
            </w:r>
          </w:p>
          <w:p>
            <w:pPr>
              <w:snapToGrid w:val="0"/>
              <w:jc w:val="center"/>
              <w:rPr>
                <w:rFonts w:ascii="仿宋" w:hAnsi="仿宋" w:eastAsia="仿宋"/>
                <w:sz w:val="30"/>
                <w:szCs w:val="30"/>
                <w:highlight w:val="none"/>
              </w:rPr>
            </w:pPr>
            <w:r>
              <w:rPr>
                <w:rFonts w:hint="eastAsia" w:ascii="仿宋" w:hAnsi="仿宋" w:eastAsia="仿宋"/>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highlight w:val="none"/>
              </w:rPr>
            </w:pPr>
            <w:r>
              <w:rPr>
                <w:rFonts w:hint="eastAsia" w:ascii="仿宋" w:hAnsi="仿宋" w:eastAsia="仿宋"/>
                <w:sz w:val="30"/>
                <w:szCs w:val="30"/>
                <w:highlight w:val="none"/>
              </w:rPr>
              <w:t>验收</w:t>
            </w:r>
          </w:p>
          <w:p>
            <w:pPr>
              <w:snapToGrid w:val="0"/>
              <w:jc w:val="center"/>
              <w:rPr>
                <w:rFonts w:ascii="仿宋" w:hAnsi="仿宋" w:eastAsia="仿宋"/>
                <w:sz w:val="30"/>
                <w:szCs w:val="30"/>
                <w:highlight w:val="none"/>
              </w:rPr>
            </w:pPr>
            <w:r>
              <w:rPr>
                <w:rFonts w:hint="eastAsia" w:ascii="仿宋" w:hAnsi="仿宋" w:eastAsia="仿宋"/>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sz w:val="30"/>
                <w:szCs w:val="30"/>
                <w:highlight w:val="none"/>
              </w:rPr>
            </w:pPr>
            <w:r>
              <w:rPr>
                <w:rFonts w:hint="eastAsia" w:ascii="仿宋" w:hAnsi="仿宋" w:eastAsia="仿宋"/>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highlight w:val="none"/>
              </w:rPr>
            </w:pPr>
            <w:r>
              <w:rPr>
                <w:rFonts w:hint="eastAsia" w:ascii="仿宋" w:hAnsi="仿宋" w:eastAsia="仿宋"/>
                <w:sz w:val="32"/>
                <w:szCs w:val="32"/>
                <w:highlight w:val="none"/>
              </w:rPr>
              <w:t>提供投标人同类项目合同复印件、用户验收报告（如有）。</w:t>
            </w:r>
          </w:p>
        </w:tc>
      </w:tr>
    </w:tbl>
    <w:p>
      <w:pPr>
        <w:pStyle w:val="14"/>
        <w:snapToGrid w:val="0"/>
        <w:spacing w:before="240"/>
        <w:rPr>
          <w:rFonts w:ascii="仿宋" w:hAnsi="仿宋" w:eastAsia="仿宋"/>
          <w:kern w:val="0"/>
          <w:sz w:val="30"/>
          <w:szCs w:val="30"/>
          <w:highlight w:val="none"/>
        </w:rPr>
      </w:pPr>
      <w:r>
        <w:rPr>
          <w:rFonts w:hint="eastAsia" w:ascii="仿宋" w:hAnsi="仿宋" w:eastAsia="仿宋"/>
          <w:sz w:val="30"/>
          <w:szCs w:val="30"/>
          <w:highlight w:val="none"/>
        </w:rPr>
        <w:t>授权代表签名：</w:t>
      </w:r>
      <w:r>
        <w:rPr>
          <w:rFonts w:hint="eastAsia" w:ascii="仿宋" w:hAnsi="仿宋" w:eastAsia="仿宋"/>
          <w:sz w:val="30"/>
          <w:szCs w:val="30"/>
          <w:highlight w:val="none"/>
          <w:u w:val="single"/>
        </w:rPr>
        <w:t>　　　　　</w:t>
      </w:r>
      <w:r>
        <w:rPr>
          <w:rFonts w:hint="eastAsia" w:ascii="仿宋" w:hAnsi="仿宋" w:eastAsia="仿宋"/>
          <w:sz w:val="30"/>
          <w:szCs w:val="30"/>
          <w:highlight w:val="none"/>
        </w:rPr>
        <w:t xml:space="preserve">                                            时  间：</w:t>
      </w:r>
    </w:p>
    <w:p>
      <w:pPr>
        <w:jc w:val="left"/>
        <w:rPr>
          <w:rFonts w:ascii="仿宋" w:hAnsi="仿宋" w:eastAsia="仿宋"/>
          <w:sz w:val="30"/>
          <w:szCs w:val="30"/>
          <w:highlight w:val="none"/>
        </w:rPr>
        <w:sectPr>
          <w:pgSz w:w="16838" w:h="11906" w:orient="landscape"/>
          <w:pgMar w:top="1797" w:right="1474" w:bottom="1797" w:left="1247" w:header="851" w:footer="851" w:gutter="0"/>
          <w:pgNumType w:fmt="decimal"/>
          <w:cols w:space="720" w:num="1"/>
        </w:sectPr>
      </w:pPr>
    </w:p>
    <w:p>
      <w:pPr>
        <w:snapToGrid w:val="0"/>
        <w:spacing w:before="156" w:beforeLines="50" w:after="50"/>
        <w:rPr>
          <w:rFonts w:ascii="仿宋" w:hAnsi="仿宋" w:eastAsia="仿宋"/>
          <w:b/>
          <w:sz w:val="30"/>
          <w:szCs w:val="30"/>
          <w:highlight w:val="none"/>
        </w:rPr>
      </w:pPr>
      <w:r>
        <w:rPr>
          <w:rFonts w:hint="eastAsia" w:ascii="仿宋" w:hAnsi="仿宋" w:eastAsia="仿宋"/>
          <w:b/>
          <w:sz w:val="30"/>
          <w:szCs w:val="30"/>
          <w:highlight w:val="none"/>
        </w:rPr>
        <w:t xml:space="preserve">                                   </w:t>
      </w:r>
    </w:p>
    <w:p>
      <w:pPr>
        <w:ind w:right="-110"/>
        <w:jc w:val="center"/>
        <w:rPr>
          <w:rFonts w:ascii="仿宋" w:hAnsi="仿宋" w:eastAsia="仿宋"/>
          <w:spacing w:val="40"/>
          <w:sz w:val="52"/>
          <w:szCs w:val="52"/>
          <w:highlight w:val="none"/>
        </w:rPr>
      </w:pPr>
      <w:r>
        <w:rPr>
          <w:rFonts w:hint="eastAsia" w:ascii="仿宋" w:hAnsi="仿宋" w:eastAsia="仿宋"/>
          <w:spacing w:val="40"/>
          <w:sz w:val="52"/>
          <w:szCs w:val="52"/>
          <w:highlight w:val="none"/>
        </w:rPr>
        <w:t>项目名称</w:t>
      </w:r>
    </w:p>
    <w:p>
      <w:pPr>
        <w:spacing w:before="312" w:beforeLines="100" w:line="240" w:lineRule="atLeast"/>
        <w:jc w:val="center"/>
        <w:rPr>
          <w:rFonts w:ascii="仿宋" w:hAnsi="仿宋" w:eastAsia="仿宋"/>
          <w:sz w:val="36"/>
          <w:szCs w:val="36"/>
          <w:highlight w:val="none"/>
        </w:rPr>
      </w:pPr>
      <w:r>
        <w:rPr>
          <w:rFonts w:hint="eastAsia" w:ascii="仿宋" w:hAnsi="仿宋" w:eastAsia="仿宋"/>
          <w:sz w:val="36"/>
          <w:szCs w:val="36"/>
          <w:highlight w:val="none"/>
        </w:rPr>
        <w:t>项目编号：（标项  ）</w:t>
      </w:r>
    </w:p>
    <w:p>
      <w:pPr>
        <w:spacing w:after="100" w:afterAutospacing="1" w:line="800" w:lineRule="exact"/>
        <w:ind w:right="-108"/>
        <w:jc w:val="center"/>
        <w:rPr>
          <w:rFonts w:ascii="仿宋" w:hAnsi="仿宋" w:eastAsia="仿宋"/>
          <w:b/>
          <w:spacing w:val="40"/>
          <w:sz w:val="84"/>
          <w:szCs w:val="84"/>
          <w:highlight w:val="none"/>
        </w:rPr>
      </w:pPr>
    </w:p>
    <w:p>
      <w:pPr>
        <w:spacing w:after="100" w:afterAutospacing="1"/>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报</w:t>
      </w:r>
    </w:p>
    <w:p>
      <w:pPr>
        <w:spacing w:after="100" w:afterAutospacing="1"/>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价</w:t>
      </w:r>
    </w:p>
    <w:p>
      <w:pPr>
        <w:spacing w:after="100" w:afterAutospacing="1"/>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文</w:t>
      </w:r>
    </w:p>
    <w:p>
      <w:pPr>
        <w:spacing w:after="100" w:afterAutospacing="1"/>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件</w:t>
      </w:r>
    </w:p>
    <w:p>
      <w:pPr>
        <w:spacing w:line="500" w:lineRule="exact"/>
        <w:ind w:right="532"/>
        <w:jc w:val="center"/>
        <w:rPr>
          <w:rFonts w:ascii="仿宋" w:hAnsi="仿宋" w:eastAsia="仿宋"/>
          <w:sz w:val="36"/>
          <w:szCs w:val="36"/>
          <w:highlight w:val="none"/>
        </w:rPr>
      </w:pPr>
    </w:p>
    <w:p>
      <w:pPr>
        <w:spacing w:line="500" w:lineRule="exact"/>
        <w:ind w:right="532" w:firstLine="720" w:firstLineChars="200"/>
        <w:rPr>
          <w:rFonts w:ascii="仿宋" w:hAnsi="仿宋" w:eastAsia="仿宋"/>
          <w:sz w:val="36"/>
          <w:szCs w:val="36"/>
          <w:highlight w:val="none"/>
        </w:rPr>
      </w:pPr>
      <w:r>
        <w:rPr>
          <w:rFonts w:hint="eastAsia" w:ascii="仿宋" w:hAnsi="仿宋" w:eastAsia="仿宋"/>
          <w:sz w:val="36"/>
          <w:szCs w:val="36"/>
          <w:highlight w:val="none"/>
        </w:rPr>
        <w:t>投标人全称：</w:t>
      </w:r>
    </w:p>
    <w:p>
      <w:pPr>
        <w:wordWrap w:val="0"/>
        <w:spacing w:line="500" w:lineRule="exact"/>
        <w:ind w:right="-108" w:firstLine="720" w:firstLineChars="200"/>
        <w:rPr>
          <w:rFonts w:ascii="仿宋" w:hAnsi="仿宋" w:eastAsia="仿宋"/>
          <w:sz w:val="36"/>
          <w:szCs w:val="36"/>
          <w:highlight w:val="none"/>
        </w:rPr>
      </w:pPr>
      <w:r>
        <w:rPr>
          <w:rFonts w:hint="eastAsia" w:ascii="仿宋" w:hAnsi="仿宋" w:eastAsia="仿宋"/>
          <w:sz w:val="36"/>
          <w:szCs w:val="36"/>
          <w:highlight w:val="none"/>
        </w:rPr>
        <w:t>地    址：</w:t>
      </w:r>
    </w:p>
    <w:p>
      <w:pPr>
        <w:wordWrap w:val="0"/>
        <w:spacing w:line="500" w:lineRule="exact"/>
        <w:ind w:right="-108" w:firstLine="720" w:firstLineChars="200"/>
        <w:rPr>
          <w:rFonts w:ascii="仿宋" w:hAnsi="仿宋" w:eastAsia="仿宋"/>
          <w:sz w:val="36"/>
          <w:szCs w:val="36"/>
          <w:highlight w:val="none"/>
        </w:rPr>
      </w:pPr>
      <w:r>
        <w:rPr>
          <w:rFonts w:hint="eastAsia" w:ascii="仿宋" w:hAnsi="仿宋" w:eastAsia="仿宋"/>
          <w:sz w:val="36"/>
          <w:szCs w:val="36"/>
          <w:highlight w:val="none"/>
        </w:rPr>
        <w:t>时    间：</w:t>
      </w:r>
    </w:p>
    <w:p>
      <w:pPr>
        <w:snapToGrid w:val="0"/>
        <w:spacing w:before="50" w:after="50"/>
        <w:rPr>
          <w:rFonts w:ascii="仿宋" w:hAnsi="仿宋" w:eastAsia="仿宋"/>
          <w:sz w:val="30"/>
          <w:szCs w:val="30"/>
          <w:highlight w:val="none"/>
        </w:rPr>
      </w:pPr>
    </w:p>
    <w:p>
      <w:pPr>
        <w:pStyle w:val="19"/>
        <w:snapToGrid w:val="0"/>
        <w:ind w:left="0" w:leftChars="0"/>
        <w:rPr>
          <w:rFonts w:ascii="仿宋" w:hAnsi="仿宋" w:eastAsia="仿宋"/>
          <w:b/>
          <w:sz w:val="36"/>
          <w:szCs w:val="36"/>
          <w:highlight w:val="none"/>
        </w:rPr>
      </w:pPr>
      <w:r>
        <w:rPr>
          <w:rFonts w:hint="eastAsia" w:ascii="仿宋" w:hAnsi="仿宋" w:eastAsia="仿宋"/>
          <w:kern w:val="0"/>
          <w:sz w:val="36"/>
          <w:szCs w:val="36"/>
          <w:highlight w:val="none"/>
        </w:rPr>
        <w:br w:type="page"/>
      </w:r>
      <w:r>
        <w:rPr>
          <w:rFonts w:hint="eastAsia" w:ascii="仿宋" w:hAnsi="仿宋" w:eastAsia="仿宋"/>
          <w:sz w:val="36"/>
          <w:szCs w:val="36"/>
          <w:highlight w:val="none"/>
        </w:rPr>
        <w:t>3、</w:t>
      </w:r>
      <w:r>
        <w:rPr>
          <w:rFonts w:hint="eastAsia" w:ascii="仿宋" w:hAnsi="仿宋" w:eastAsia="仿宋"/>
          <w:b/>
          <w:sz w:val="36"/>
          <w:szCs w:val="36"/>
          <w:highlight w:val="none"/>
        </w:rPr>
        <w:t>报价文件目录</w:t>
      </w:r>
    </w:p>
    <w:p>
      <w:pPr>
        <w:rPr>
          <w:rFonts w:ascii="仿宋" w:hAnsi="仿宋" w:eastAsia="仿宋"/>
          <w:highlight w:val="none"/>
        </w:rPr>
      </w:pPr>
    </w:p>
    <w:p>
      <w:pPr>
        <w:pStyle w:val="19"/>
        <w:snapToGrid w:val="0"/>
        <w:spacing w:line="460" w:lineRule="exact"/>
        <w:ind w:left="0" w:leftChars="0"/>
        <w:rPr>
          <w:rFonts w:ascii="仿宋" w:hAnsi="仿宋" w:eastAsia="仿宋"/>
          <w:sz w:val="30"/>
          <w:szCs w:val="30"/>
          <w:highlight w:val="none"/>
        </w:rPr>
      </w:pPr>
      <w:r>
        <w:rPr>
          <w:rFonts w:hint="eastAsia" w:ascii="仿宋" w:hAnsi="仿宋" w:eastAsia="仿宋"/>
          <w:sz w:val="30"/>
          <w:szCs w:val="30"/>
          <w:highlight w:val="none"/>
        </w:rPr>
        <w:t>（1）投标报价明细表（见附件13）；</w:t>
      </w:r>
    </w:p>
    <w:p>
      <w:pPr>
        <w:pStyle w:val="19"/>
        <w:snapToGrid w:val="0"/>
        <w:spacing w:line="460" w:lineRule="exact"/>
        <w:ind w:left="0" w:leftChars="0"/>
        <w:rPr>
          <w:rFonts w:ascii="仿宋" w:hAnsi="仿宋" w:eastAsia="仿宋"/>
          <w:sz w:val="30"/>
          <w:szCs w:val="30"/>
          <w:highlight w:val="none"/>
        </w:rPr>
      </w:pPr>
      <w:r>
        <w:rPr>
          <w:rFonts w:hint="eastAsia" w:ascii="仿宋" w:hAnsi="仿宋" w:eastAsia="仿宋"/>
          <w:sz w:val="30"/>
          <w:szCs w:val="30"/>
          <w:highlight w:val="none"/>
        </w:rPr>
        <w:t>（2）投标人针对报价需要说明的其他文件和说明（格式自拟）；</w:t>
      </w:r>
    </w:p>
    <w:p>
      <w:pPr>
        <w:pStyle w:val="23"/>
        <w:widowControl w:val="0"/>
        <w:spacing w:after="12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（3）残疾人福利企业声明函（见附件14）。</w:t>
      </w:r>
    </w:p>
    <w:p>
      <w:pPr>
        <w:pStyle w:val="18"/>
        <w:snapToGrid w:val="0"/>
        <w:spacing w:before="120" w:after="120"/>
        <w:jc w:val="left"/>
        <w:rPr>
          <w:rFonts w:ascii="仿宋" w:hAnsi="仿宋" w:eastAsia="仿宋"/>
          <w:b/>
          <w:sz w:val="36"/>
          <w:szCs w:val="36"/>
          <w:highlight w:val="none"/>
        </w:rPr>
      </w:pPr>
      <w:r>
        <w:rPr>
          <w:rFonts w:hint="eastAsia" w:ascii="仿宋" w:hAnsi="仿宋" w:eastAsia="仿宋"/>
          <w:kern w:val="0"/>
          <w:sz w:val="30"/>
          <w:szCs w:val="30"/>
          <w:highlight w:val="none"/>
        </w:rPr>
        <w:br w:type="page"/>
      </w:r>
      <w:r>
        <w:rPr>
          <w:rFonts w:hint="eastAsia" w:ascii="仿宋" w:hAnsi="仿宋" w:eastAsia="仿宋"/>
          <w:sz w:val="30"/>
          <w:szCs w:val="30"/>
          <w:highlight w:val="none"/>
        </w:rPr>
        <w:t>附件13：</w:t>
      </w:r>
    </w:p>
    <w:p>
      <w:pPr>
        <w:pStyle w:val="18"/>
        <w:snapToGrid w:val="0"/>
        <w:spacing w:before="120" w:after="120"/>
        <w:ind w:firstLine="1084" w:firstLineChars="300"/>
        <w:jc w:val="center"/>
        <w:rPr>
          <w:rFonts w:hAnsi="宋体"/>
          <w:b/>
          <w:sz w:val="36"/>
          <w:szCs w:val="36"/>
          <w:highlight w:val="none"/>
        </w:rPr>
      </w:pPr>
      <w:r>
        <w:rPr>
          <w:rFonts w:hint="eastAsia" w:hAnsi="宋体"/>
          <w:b/>
          <w:sz w:val="36"/>
          <w:szCs w:val="36"/>
          <w:highlight w:val="none"/>
        </w:rPr>
        <w:t>投 标 报 价 明 细 表</w:t>
      </w:r>
    </w:p>
    <w:p>
      <w:pPr>
        <w:pStyle w:val="18"/>
        <w:snapToGrid w:val="0"/>
        <w:spacing w:before="120" w:after="120"/>
        <w:ind w:firstLine="1084" w:firstLineChars="300"/>
        <w:jc w:val="center"/>
        <w:rPr>
          <w:rFonts w:ascii="仿宋" w:hAnsi="仿宋" w:eastAsia="仿宋"/>
          <w:b/>
          <w:sz w:val="36"/>
          <w:szCs w:val="36"/>
          <w:highlight w:val="none"/>
        </w:rPr>
      </w:pPr>
    </w:p>
    <w:p>
      <w:pPr>
        <w:snapToGrid w:val="0"/>
        <w:rPr>
          <w:rFonts w:ascii="仿宋" w:hAnsi="仿宋" w:eastAsia="仿宋"/>
          <w:sz w:val="28"/>
          <w:szCs w:val="28"/>
          <w:highlight w:val="none"/>
        </w:rPr>
      </w:pPr>
      <w:r>
        <w:rPr>
          <w:rFonts w:hint="eastAsia" w:ascii="仿宋" w:hAnsi="仿宋" w:eastAsia="仿宋"/>
          <w:sz w:val="28"/>
          <w:szCs w:val="28"/>
          <w:highlight w:val="none"/>
        </w:rPr>
        <w:t>投标人全称（公章）：</w:t>
      </w:r>
    </w:p>
    <w:p>
      <w:pPr>
        <w:snapToGrid w:val="0"/>
        <w:rPr>
          <w:rFonts w:ascii="仿宋" w:hAnsi="仿宋" w:eastAsia="仿宋"/>
          <w:sz w:val="28"/>
          <w:szCs w:val="28"/>
          <w:highlight w:val="none"/>
        </w:rPr>
      </w:pPr>
    </w:p>
    <w:p>
      <w:pPr>
        <w:snapToGrid w:val="0"/>
        <w:rPr>
          <w:rFonts w:hint="eastAsia" w:ascii="仿宋" w:hAnsi="仿宋" w:eastAsia="仿宋"/>
          <w:sz w:val="28"/>
          <w:szCs w:val="28"/>
          <w:highlight w:val="none"/>
        </w:rPr>
      </w:pPr>
      <w:r>
        <w:rPr>
          <w:rFonts w:hint="eastAsia" w:ascii="仿宋" w:hAnsi="仿宋" w:eastAsia="仿宋"/>
          <w:sz w:val="28"/>
          <w:szCs w:val="28"/>
          <w:highlight w:val="none"/>
        </w:rPr>
        <w:t>招标编号及标项：</w:t>
      </w:r>
    </w:p>
    <w:tbl>
      <w:tblPr>
        <w:tblStyle w:val="28"/>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70"/>
        <w:gridCol w:w="1188"/>
        <w:gridCol w:w="1156"/>
        <w:gridCol w:w="106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spacing w:line="400" w:lineRule="exact"/>
              <w:jc w:val="center"/>
              <w:rPr>
                <w:sz w:val="24"/>
                <w:highlight w:val="none"/>
              </w:rPr>
            </w:pPr>
            <w:r>
              <w:rPr>
                <w:rFonts w:hint="eastAsia"/>
                <w:sz w:val="24"/>
                <w:highlight w:val="none"/>
              </w:rPr>
              <w:t>序号</w:t>
            </w:r>
          </w:p>
        </w:tc>
        <w:tc>
          <w:tcPr>
            <w:tcW w:w="2670" w:type="dxa"/>
            <w:noWrap/>
            <w:vAlign w:val="center"/>
          </w:tcPr>
          <w:p>
            <w:pPr>
              <w:spacing w:line="400" w:lineRule="exact"/>
              <w:jc w:val="center"/>
              <w:rPr>
                <w:sz w:val="24"/>
                <w:highlight w:val="none"/>
              </w:rPr>
            </w:pPr>
            <w:r>
              <w:rPr>
                <w:rFonts w:hint="eastAsia"/>
                <w:sz w:val="24"/>
                <w:highlight w:val="none"/>
              </w:rPr>
              <w:t>招标项目</w:t>
            </w:r>
          </w:p>
          <w:p>
            <w:pPr>
              <w:spacing w:line="400" w:lineRule="exact"/>
              <w:jc w:val="center"/>
              <w:rPr>
                <w:sz w:val="24"/>
                <w:highlight w:val="none"/>
              </w:rPr>
            </w:pPr>
          </w:p>
        </w:tc>
        <w:tc>
          <w:tcPr>
            <w:tcW w:w="1188" w:type="dxa"/>
            <w:noWrap/>
            <w:vAlign w:val="center"/>
          </w:tcPr>
          <w:p>
            <w:pPr>
              <w:spacing w:line="400" w:lineRule="exact"/>
              <w:jc w:val="center"/>
              <w:rPr>
                <w:sz w:val="24"/>
                <w:highlight w:val="none"/>
              </w:rPr>
            </w:pPr>
            <w:r>
              <w:rPr>
                <w:rFonts w:hint="eastAsia"/>
                <w:sz w:val="24"/>
                <w:highlight w:val="none"/>
              </w:rPr>
              <w:t>数量</w:t>
            </w:r>
          </w:p>
        </w:tc>
        <w:tc>
          <w:tcPr>
            <w:tcW w:w="1156" w:type="dxa"/>
            <w:noWrap/>
            <w:vAlign w:val="center"/>
          </w:tcPr>
          <w:p>
            <w:pPr>
              <w:rPr>
                <w:rFonts w:hint="eastAsia" w:ascii="宋体" w:cs="宋体"/>
                <w:kern w:val="0"/>
                <w:sz w:val="24"/>
                <w:highlight w:val="none"/>
              </w:rPr>
            </w:pPr>
            <w:r>
              <w:rPr>
                <w:rFonts w:hint="eastAsia" w:ascii="宋体" w:cs="宋体"/>
                <w:kern w:val="0"/>
                <w:sz w:val="24"/>
                <w:highlight w:val="none"/>
              </w:rPr>
              <w:t>单价</w:t>
            </w:r>
          </w:p>
        </w:tc>
        <w:tc>
          <w:tcPr>
            <w:tcW w:w="1064" w:type="dxa"/>
            <w:noWrap/>
            <w:vAlign w:val="center"/>
          </w:tcPr>
          <w:p>
            <w:pPr>
              <w:rPr>
                <w:rFonts w:hint="eastAsia"/>
                <w:sz w:val="24"/>
                <w:highlight w:val="none"/>
              </w:rPr>
            </w:pPr>
            <w:r>
              <w:rPr>
                <w:rFonts w:hint="eastAsia"/>
                <w:sz w:val="24"/>
                <w:highlight w:val="none"/>
              </w:rPr>
              <w:t>总价</w:t>
            </w:r>
          </w:p>
        </w:tc>
        <w:tc>
          <w:tcPr>
            <w:tcW w:w="2440" w:type="dxa"/>
            <w:noWrap/>
            <w:vAlign w:val="center"/>
          </w:tcPr>
          <w:p>
            <w:pPr>
              <w:jc w:val="center"/>
              <w:rPr>
                <w:rFonts w:ascii="宋体" w:cs="宋体"/>
                <w:kern w:val="0"/>
                <w:sz w:val="24"/>
                <w:highlight w:val="none"/>
              </w:rPr>
            </w:pPr>
            <w:r>
              <w:rPr>
                <w:rFonts w:hint="eastAsia" w:ascii="宋体" w:cs="宋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spacing w:before="156" w:beforeLines="50" w:after="156" w:afterLines="50"/>
              <w:jc w:val="center"/>
              <w:rPr>
                <w:sz w:val="24"/>
                <w:highlight w:val="none"/>
              </w:rPr>
            </w:pPr>
            <w:r>
              <w:rPr>
                <w:rFonts w:hint="eastAsia"/>
                <w:sz w:val="24"/>
                <w:highlight w:val="none"/>
              </w:rPr>
              <w:t>1</w:t>
            </w:r>
          </w:p>
        </w:tc>
        <w:tc>
          <w:tcPr>
            <w:tcW w:w="2670" w:type="dxa"/>
            <w:noWrap/>
            <w:vAlign w:val="center"/>
          </w:tcPr>
          <w:p>
            <w:pPr>
              <w:spacing w:before="156" w:beforeLines="50" w:after="156" w:afterLines="50"/>
              <w:jc w:val="center"/>
              <w:rPr>
                <w:rFonts w:hint="eastAsia" w:eastAsia="新宋体"/>
                <w:kern w:val="0"/>
                <w:sz w:val="24"/>
                <w:highlight w:val="none"/>
                <w:lang w:eastAsia="zh-CN"/>
              </w:rPr>
            </w:pPr>
          </w:p>
        </w:tc>
        <w:tc>
          <w:tcPr>
            <w:tcW w:w="1188" w:type="dxa"/>
            <w:noWrap/>
            <w:vAlign w:val="center"/>
          </w:tcPr>
          <w:p>
            <w:pPr>
              <w:spacing w:before="156" w:beforeLines="50" w:after="156" w:afterLines="50"/>
              <w:jc w:val="center"/>
              <w:rPr>
                <w:rFonts w:hint="default" w:eastAsia="新宋体"/>
                <w:kern w:val="0"/>
                <w:sz w:val="24"/>
                <w:highlight w:val="none"/>
                <w:lang w:val="en-US" w:eastAsia="zh-CN"/>
              </w:rPr>
            </w:pPr>
            <w:r>
              <w:rPr>
                <w:rFonts w:hint="eastAsia" w:eastAsia="新宋体"/>
                <w:kern w:val="0"/>
                <w:sz w:val="24"/>
                <w:highlight w:val="none"/>
                <w:lang w:val="en-US" w:eastAsia="zh-CN"/>
              </w:rPr>
              <w:t>1项</w:t>
            </w:r>
          </w:p>
        </w:tc>
        <w:tc>
          <w:tcPr>
            <w:tcW w:w="1156" w:type="dxa"/>
            <w:noWrap/>
            <w:vAlign w:val="center"/>
          </w:tcPr>
          <w:p>
            <w:pPr>
              <w:jc w:val="center"/>
              <w:rPr>
                <w:highlight w:val="none"/>
              </w:rPr>
            </w:pPr>
          </w:p>
        </w:tc>
        <w:tc>
          <w:tcPr>
            <w:tcW w:w="1064" w:type="dxa"/>
            <w:noWrap/>
            <w:vAlign w:val="center"/>
          </w:tcPr>
          <w:p>
            <w:pPr>
              <w:jc w:val="center"/>
              <w:rPr>
                <w:highlight w:val="none"/>
              </w:rPr>
            </w:pPr>
          </w:p>
        </w:tc>
        <w:tc>
          <w:tcPr>
            <w:tcW w:w="2440" w:type="dxa"/>
            <w:noWrap/>
            <w:vAlign w:val="center"/>
          </w:tcPr>
          <w:p>
            <w:pPr>
              <w:jc w:val="center"/>
              <w:rPr>
                <w:rFonts w:ascii="宋体" w:cs="宋体"/>
                <w:b/>
                <w:kern w:val="0"/>
                <w:sz w:val="24"/>
                <w:highlight w:val="none"/>
              </w:rPr>
            </w:pPr>
            <w:r>
              <w:rPr>
                <w:rFonts w:hint="eastAsia" w:ascii="宋体" w:cs="宋体"/>
                <w:b/>
                <w:kern w:val="0"/>
                <w:sz w:val="24"/>
                <w:highlight w:val="none"/>
              </w:rPr>
              <w:t>须提供各分项报价清单（如有）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6"/>
            <w:noWrap/>
            <w:vAlign w:val="center"/>
          </w:tcPr>
          <w:p>
            <w:pPr>
              <w:spacing w:line="400" w:lineRule="exact"/>
              <w:rPr>
                <w:sz w:val="24"/>
                <w:highlight w:val="none"/>
              </w:rPr>
            </w:pPr>
            <w:r>
              <w:rPr>
                <w:rFonts w:hint="eastAsia"/>
                <w:sz w:val="24"/>
                <w:highlight w:val="none"/>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6"/>
            <w:noWrap/>
            <w:vAlign w:val="center"/>
          </w:tcPr>
          <w:p>
            <w:pPr>
              <w:numPr>
                <w:ilvl w:val="0"/>
                <w:numId w:val="9"/>
              </w:numPr>
              <w:snapToGrid w:val="0"/>
              <w:jc w:val="left"/>
              <w:rPr>
                <w:rFonts w:hint="eastAsia" w:ascii="仿宋" w:hAnsi="仿宋" w:eastAsia="仿宋"/>
                <w:sz w:val="24"/>
                <w:szCs w:val="24"/>
                <w:highlight w:val="none"/>
              </w:rPr>
            </w:pPr>
            <w:r>
              <w:rPr>
                <w:rFonts w:hint="eastAsia" w:ascii="仿宋" w:hAnsi="仿宋" w:eastAsia="仿宋"/>
                <w:sz w:val="24"/>
                <w:szCs w:val="24"/>
                <w:highlight w:val="none"/>
              </w:rPr>
              <w:t>报价单上的采购数量为估计数量，仅作为共同投标的依据，最后结算在不突破预算金额的前提下，以中标单价和实际安装企业数量为最终结算金额；投标单位的报价超过</w:t>
            </w:r>
            <w:r>
              <w:rPr>
                <w:rFonts w:hint="eastAsia" w:ascii="仿宋" w:hAnsi="仿宋" w:eastAsia="仿宋"/>
                <w:sz w:val="24"/>
                <w:szCs w:val="24"/>
                <w:highlight w:val="none"/>
                <w:lang w:eastAsia="zh-CN"/>
              </w:rPr>
              <w:t>预算</w:t>
            </w:r>
            <w:r>
              <w:rPr>
                <w:rFonts w:hint="eastAsia" w:ascii="仿宋" w:hAnsi="仿宋" w:eastAsia="仿宋"/>
                <w:sz w:val="24"/>
                <w:szCs w:val="24"/>
                <w:highlight w:val="none"/>
              </w:rPr>
              <w:t>将作废标处理。</w:t>
            </w:r>
          </w:p>
          <w:p>
            <w:pPr>
              <w:numPr>
                <w:ilvl w:val="0"/>
                <w:numId w:val="9"/>
              </w:numPr>
              <w:snapToGrid w:val="0"/>
              <w:jc w:val="left"/>
              <w:rPr>
                <w:rFonts w:ascii="仿宋" w:hAnsi="仿宋" w:eastAsia="仿宋"/>
                <w:sz w:val="24"/>
                <w:szCs w:val="24"/>
                <w:highlight w:val="none"/>
              </w:rPr>
            </w:pPr>
            <w:r>
              <w:rPr>
                <w:rFonts w:hint="eastAsia" w:ascii="仿宋" w:hAnsi="仿宋" w:eastAsia="仿宋"/>
                <w:sz w:val="24"/>
                <w:szCs w:val="24"/>
                <w:highlight w:val="none"/>
              </w:rPr>
              <w:t>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highlight w:val="none"/>
              </w:rPr>
            </w:pP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.报价要求：项目费用包括项目实施所需的工程费、工时费、服务费、运输费、安装调试费、税费及其他一切费用。</w:t>
            </w:r>
          </w:p>
          <w:p>
            <w:pPr>
              <w:snapToGrid w:val="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.报价中不允许出现报价优惠等字样（明细出现“0”元，视同赠送）,投标总价合计金额应与明细报价汇总相等。</w:t>
            </w:r>
          </w:p>
          <w:p>
            <w:pPr>
              <w:spacing w:line="400" w:lineRule="exact"/>
              <w:rPr>
                <w:sz w:val="24"/>
                <w:highlight w:val="none"/>
              </w:rPr>
            </w:pPr>
          </w:p>
        </w:tc>
      </w:tr>
    </w:tbl>
    <w:p>
      <w:pPr>
        <w:snapToGrid w:val="0"/>
        <w:spacing w:line="360" w:lineRule="auto"/>
        <w:rPr>
          <w:rFonts w:ascii="仿宋" w:hAnsi="仿宋" w:eastAsia="仿宋"/>
          <w:sz w:val="30"/>
          <w:szCs w:val="30"/>
          <w:highlight w:val="none"/>
        </w:rPr>
      </w:pPr>
    </w:p>
    <w:p>
      <w:pPr>
        <w:snapToGrid w:val="0"/>
        <w:spacing w:line="400" w:lineRule="exact"/>
        <w:jc w:val="left"/>
        <w:rPr>
          <w:rFonts w:ascii="仿宋" w:hAnsi="仿宋" w:eastAsia="仿宋"/>
          <w:sz w:val="28"/>
          <w:szCs w:val="28"/>
          <w:highlight w:val="none"/>
        </w:rPr>
      </w:pPr>
      <w:r>
        <w:rPr>
          <w:rFonts w:hint="eastAsia" w:ascii="仿宋" w:hAnsi="仿宋" w:eastAsia="仿宋"/>
          <w:sz w:val="28"/>
          <w:szCs w:val="28"/>
          <w:highlight w:val="none"/>
        </w:rPr>
        <w:t xml:space="preserve">授权代表签名：                              日期： </w:t>
      </w:r>
    </w:p>
    <w:p>
      <w:pPr>
        <w:snapToGrid w:val="0"/>
        <w:spacing w:line="360" w:lineRule="auto"/>
        <w:rPr>
          <w:rFonts w:ascii="仿宋" w:hAnsi="仿宋" w:eastAsia="仿宋"/>
          <w:sz w:val="30"/>
          <w:szCs w:val="30"/>
          <w:highlight w:val="none"/>
        </w:rPr>
      </w:pPr>
    </w:p>
    <w:p>
      <w:pPr>
        <w:pStyle w:val="13"/>
        <w:ind w:left="0" w:leftChars="0" w:firstLine="0" w:firstLineChars="0"/>
        <w:rPr>
          <w:rFonts w:ascii="宋体" w:cs="宋体"/>
          <w:color w:val="000000"/>
          <w:sz w:val="15"/>
          <w:szCs w:val="15"/>
          <w:highlight w:val="none"/>
        </w:rPr>
        <w:sectPr>
          <w:pgSz w:w="11906" w:h="16838"/>
          <w:pgMar w:top="1440" w:right="1800" w:bottom="1440" w:left="1800" w:header="851" w:footer="992" w:gutter="0"/>
          <w:pgNumType w:fmt="decimal"/>
          <w:cols w:space="720" w:num="1"/>
          <w:docGrid w:type="lines" w:linePitch="312" w:charSpace="0"/>
        </w:sectPr>
      </w:pPr>
    </w:p>
    <w:p>
      <w:pPr>
        <w:snapToGrid w:val="0"/>
        <w:spacing w:line="312" w:lineRule="auto"/>
        <w:ind w:firstLine="4620" w:firstLineChars="1650"/>
        <w:rPr>
          <w:rFonts w:ascii="仿宋" w:hAnsi="仿宋" w:eastAsia="仿宋"/>
          <w:sz w:val="28"/>
          <w:szCs w:val="28"/>
          <w:highlight w:val="none"/>
        </w:rPr>
      </w:pPr>
    </w:p>
    <w:p>
      <w:pPr>
        <w:snapToGrid w:val="0"/>
        <w:rPr>
          <w:rStyle w:val="31"/>
          <w:rFonts w:hint="eastAsia" w:ascii="新宋体" w:hAnsi="新宋体" w:eastAsia="新宋体" w:cs="新宋体"/>
          <w:sz w:val="36"/>
          <w:szCs w:val="36"/>
          <w:lang w:eastAsia="zh-CN"/>
        </w:rPr>
      </w:pPr>
      <w:r>
        <w:rPr>
          <w:rStyle w:val="31"/>
          <w:rFonts w:hint="eastAsia" w:ascii="新宋体" w:hAnsi="新宋体" w:eastAsia="新宋体" w:cs="新宋体"/>
          <w:sz w:val="36"/>
          <w:szCs w:val="36"/>
          <w:lang w:eastAsia="zh-CN"/>
        </w:rPr>
        <w:t>附件：</w:t>
      </w:r>
      <w:r>
        <w:rPr>
          <w:rFonts w:hint="eastAsia" w:ascii="新宋体" w:hAnsi="新宋体" w:eastAsia="新宋体" w:cs="新宋体"/>
          <w:b/>
          <w:kern w:val="0"/>
          <w:sz w:val="36"/>
          <w:szCs w:val="36"/>
        </w:rPr>
        <w:t>分项</w:t>
      </w:r>
      <w:r>
        <w:rPr>
          <w:rStyle w:val="31"/>
          <w:rFonts w:hint="eastAsia" w:ascii="新宋体" w:hAnsi="新宋体" w:eastAsia="新宋体" w:cs="新宋体"/>
          <w:sz w:val="36"/>
          <w:szCs w:val="36"/>
          <w:lang w:eastAsia="zh-CN"/>
        </w:rPr>
        <w:t>报价清单</w:t>
      </w:r>
    </w:p>
    <w:p>
      <w:pPr>
        <w:snapToGrid w:val="0"/>
        <w:rPr>
          <w:rStyle w:val="31"/>
          <w:rFonts w:hint="eastAsia" w:ascii="新宋体" w:hAnsi="新宋体" w:eastAsia="新宋体" w:cs="新宋体"/>
          <w:sz w:val="36"/>
          <w:szCs w:val="36"/>
          <w:lang w:eastAsia="zh-CN"/>
        </w:rPr>
      </w:pPr>
    </w:p>
    <w:p>
      <w:pPr>
        <w:snapToGrid w:val="0"/>
        <w:ind w:firstLine="0" w:firstLineChars="0"/>
        <w:rPr>
          <w:rStyle w:val="31"/>
          <w:rFonts w:hint="eastAsia" w:ascii="新宋体" w:hAnsi="新宋体" w:eastAsia="新宋体" w:cs="新宋体"/>
          <w:sz w:val="36"/>
          <w:szCs w:val="36"/>
          <w:lang w:eastAsia="zh-CN"/>
        </w:rPr>
      </w:pPr>
    </w:p>
    <w:p>
      <w:pPr>
        <w:snapToGrid w:val="0"/>
        <w:ind w:firstLine="3614" w:firstLineChars="1000"/>
        <w:rPr>
          <w:rStyle w:val="31"/>
          <w:rFonts w:hint="eastAsia" w:ascii="新宋体" w:hAnsi="新宋体" w:eastAsia="新宋体" w:cs="新宋体"/>
          <w:sz w:val="36"/>
          <w:szCs w:val="36"/>
          <w:lang w:eastAsia="zh-CN"/>
        </w:rPr>
      </w:pPr>
      <w:r>
        <w:rPr>
          <w:rFonts w:hint="eastAsia" w:ascii="新宋体" w:hAnsi="新宋体" w:eastAsia="新宋体" w:cs="新宋体"/>
          <w:b/>
          <w:kern w:val="0"/>
          <w:sz w:val="36"/>
          <w:szCs w:val="36"/>
        </w:rPr>
        <w:t>分项</w:t>
      </w:r>
      <w:r>
        <w:rPr>
          <w:rStyle w:val="31"/>
          <w:rFonts w:hint="eastAsia" w:ascii="新宋体" w:hAnsi="新宋体" w:eastAsia="新宋体" w:cs="新宋体"/>
          <w:sz w:val="36"/>
          <w:szCs w:val="36"/>
          <w:lang w:eastAsia="zh-CN"/>
        </w:rPr>
        <w:t>报价清单</w:t>
      </w:r>
    </w:p>
    <w:tbl>
      <w:tblPr>
        <w:tblStyle w:val="29"/>
        <w:tblpPr w:leftFromText="180" w:rightFromText="180" w:vertAnchor="text" w:horzAnchor="page" w:tblpX="1262" w:tblpY="715"/>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58"/>
        <w:gridCol w:w="1365"/>
        <w:gridCol w:w="1455"/>
        <w:gridCol w:w="14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r>
              <w:rPr>
                <w:rFonts w:hint="eastAsia" w:ascii="新宋体" w:hAnsi="新宋体" w:eastAsia="新宋体" w:cs="新宋体"/>
                <w:b/>
                <w:i w:val="0"/>
                <w:color w:val="auto"/>
                <w:kern w:val="0"/>
                <w:sz w:val="24"/>
                <w:szCs w:val="24"/>
                <w:u w:val="none"/>
                <w:lang w:val="en-US" w:eastAsia="zh-CN" w:bidi="ar"/>
              </w:rPr>
              <w:t>序号</w:t>
            </w: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color w:val="auto"/>
                <w:sz w:val="24"/>
                <w:szCs w:val="24"/>
                <w:vertAlign w:val="baseline"/>
              </w:rPr>
            </w:pPr>
            <w:r>
              <w:rPr>
                <w:rFonts w:hint="eastAsia" w:ascii="新宋体" w:hAnsi="新宋体" w:eastAsia="新宋体" w:cs="新宋体"/>
                <w:b/>
                <w:i w:val="0"/>
                <w:color w:val="auto"/>
                <w:kern w:val="0"/>
                <w:sz w:val="21"/>
                <w:szCs w:val="21"/>
                <w:u w:val="none"/>
                <w:lang w:val="en-US" w:eastAsia="zh-CN" w:bidi="ar"/>
              </w:rPr>
              <w:t>名称</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r>
              <w:rPr>
                <w:rFonts w:hint="eastAsia" w:ascii="新宋体" w:hAnsi="新宋体" w:eastAsia="新宋体" w:cs="新宋体"/>
                <w:b/>
                <w:color w:val="auto"/>
                <w:sz w:val="24"/>
                <w:szCs w:val="24"/>
              </w:rPr>
              <w:t>数量</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b/>
                <w:i w:val="0"/>
                <w:color w:val="auto"/>
                <w:kern w:val="0"/>
                <w:sz w:val="24"/>
                <w:szCs w:val="24"/>
                <w:u w:val="none"/>
                <w:lang w:val="en-US" w:eastAsia="zh-CN" w:bidi="ar"/>
              </w:rPr>
            </w:pPr>
            <w:r>
              <w:rPr>
                <w:rFonts w:hint="eastAsia" w:ascii="新宋体" w:hAnsi="新宋体" w:eastAsia="新宋体" w:cs="新宋体"/>
                <w:b/>
                <w:i w:val="0"/>
                <w:color w:val="auto"/>
                <w:kern w:val="0"/>
                <w:sz w:val="24"/>
                <w:szCs w:val="24"/>
                <w:u w:val="none"/>
                <w:lang w:val="en-US" w:eastAsia="zh-CN" w:bidi="ar"/>
              </w:rPr>
              <w:t>单价（元）</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b/>
                <w:i w:val="0"/>
                <w:color w:val="auto"/>
                <w:kern w:val="0"/>
                <w:sz w:val="24"/>
                <w:szCs w:val="24"/>
                <w:u w:val="none"/>
                <w:lang w:val="en-US" w:eastAsia="zh-CN" w:bidi="ar"/>
              </w:rPr>
            </w:pPr>
            <w:r>
              <w:rPr>
                <w:rFonts w:hint="eastAsia" w:ascii="新宋体" w:hAnsi="新宋体" w:eastAsia="新宋体" w:cs="新宋体"/>
                <w:b/>
                <w:i w:val="0"/>
                <w:color w:val="auto"/>
                <w:kern w:val="0"/>
                <w:sz w:val="24"/>
                <w:szCs w:val="24"/>
                <w:u w:val="none"/>
                <w:lang w:val="en-US" w:eastAsia="zh-CN" w:bidi="ar"/>
              </w:rPr>
              <w:t>总价（元）</w:t>
            </w: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b/>
                <w:i w:val="0"/>
                <w:color w:val="auto"/>
                <w:kern w:val="0"/>
                <w:sz w:val="24"/>
                <w:szCs w:val="24"/>
                <w:u w:val="none"/>
                <w:lang w:val="en-US" w:eastAsia="zh-CN" w:bidi="ar"/>
              </w:rPr>
            </w:pPr>
            <w:bookmarkStart w:id="60" w:name="OLE_LINK6"/>
            <w:r>
              <w:rPr>
                <w:rFonts w:hint="eastAsia" w:ascii="新宋体" w:hAnsi="新宋体" w:eastAsia="新宋体" w:cs="新宋体"/>
                <w:b/>
                <w:i w:val="0"/>
                <w:color w:val="auto"/>
                <w:kern w:val="0"/>
                <w:sz w:val="24"/>
                <w:szCs w:val="24"/>
                <w:u w:val="none"/>
                <w:lang w:val="en-US" w:eastAsia="zh-CN" w:bidi="ar"/>
              </w:rPr>
              <w:t>制造商</w:t>
            </w:r>
            <w:bookmarkEnd w:id="60"/>
            <w:r>
              <w:rPr>
                <w:rFonts w:hint="eastAsia" w:ascii="新宋体" w:hAnsi="新宋体" w:eastAsia="新宋体" w:cs="新宋体"/>
                <w:b/>
                <w:i w:val="0"/>
                <w:color w:val="auto"/>
                <w:kern w:val="0"/>
                <w:sz w:val="24"/>
                <w:szCs w:val="24"/>
                <w:u w:val="none"/>
                <w:lang w:val="en-US" w:eastAsia="zh-CN"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r>
              <w:rPr>
                <w:rFonts w:hint="eastAsia" w:ascii="新宋体" w:hAnsi="新宋体" w:eastAsia="新宋体" w:cs="新宋体"/>
                <w:i w:val="0"/>
                <w:color w:val="auto"/>
                <w:kern w:val="0"/>
                <w:sz w:val="24"/>
                <w:szCs w:val="24"/>
                <w:u w:val="none"/>
                <w:lang w:val="en-US" w:eastAsia="zh-CN" w:bidi="ar"/>
              </w:rPr>
              <w:t>1</w:t>
            </w: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新宋体" w:hAnsi="新宋体" w:eastAsia="新宋体" w:cs="新宋体"/>
                <w:color w:val="auto"/>
                <w:sz w:val="24"/>
                <w:szCs w:val="24"/>
                <w:vertAlign w:val="baseline"/>
              </w:rPr>
            </w:pPr>
          </w:p>
        </w:tc>
        <w:tc>
          <w:tcPr>
            <w:tcW w:w="136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i w:val="0"/>
                <w:color w:val="auto"/>
                <w:kern w:val="0"/>
                <w:sz w:val="21"/>
                <w:szCs w:val="21"/>
                <w:u w:val="none"/>
                <w:lang w:val="en-US" w:eastAsia="zh-CN" w:bidi="ar"/>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2</w:t>
            </w: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新宋体" w:hAnsi="新宋体" w:eastAsia="新宋体" w:cs="新宋体"/>
                <w:color w:val="auto"/>
                <w:kern w:val="2"/>
                <w:sz w:val="24"/>
                <w:szCs w:val="24"/>
                <w:vertAlign w:val="baseline"/>
                <w:lang w:val="en-US" w:eastAsia="zh-CN" w:bidi="ar-SA"/>
              </w:rPr>
            </w:pPr>
          </w:p>
        </w:tc>
        <w:tc>
          <w:tcPr>
            <w:tcW w:w="136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i w:val="0"/>
                <w:color w:val="auto"/>
                <w:kern w:val="0"/>
                <w:sz w:val="21"/>
                <w:szCs w:val="21"/>
                <w:u w:val="none"/>
                <w:lang w:val="en-US" w:eastAsia="zh-CN" w:bidi="ar"/>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kern w:val="2"/>
                <w:sz w:val="24"/>
                <w:szCs w:val="24"/>
                <w:vertAlign w:val="baseline"/>
                <w:lang w:val="en-US" w:eastAsia="zh-CN" w:bidi="ar-SA"/>
              </w:rPr>
            </w:pP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kern w:val="2"/>
                <w:sz w:val="24"/>
                <w:szCs w:val="24"/>
                <w:vertAlign w:val="baseline"/>
                <w:lang w:val="en-US" w:eastAsia="zh-CN" w:bidi="ar-SA"/>
              </w:rPr>
            </w:pP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lang w:val="en-US" w:eastAsia="zh-CN"/>
              </w:rPr>
            </w:pPr>
            <w:r>
              <w:rPr>
                <w:rFonts w:hint="eastAsia" w:ascii="新宋体" w:hAnsi="新宋体" w:eastAsia="新宋体" w:cs="新宋体"/>
                <w:color w:val="auto"/>
                <w:sz w:val="24"/>
                <w:szCs w:val="24"/>
                <w:vertAlign w:val="baseline"/>
                <w:lang w:val="en-US" w:eastAsia="zh-CN"/>
              </w:rPr>
              <w:t>3</w:t>
            </w: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新宋体" w:hAnsi="新宋体" w:eastAsia="新宋体" w:cs="新宋体"/>
                <w:color w:val="auto"/>
                <w:sz w:val="24"/>
                <w:szCs w:val="24"/>
                <w:vertAlign w:val="baseline"/>
              </w:rPr>
            </w:pPr>
          </w:p>
        </w:tc>
        <w:tc>
          <w:tcPr>
            <w:tcW w:w="136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i w:val="0"/>
                <w:color w:val="auto"/>
                <w:kern w:val="0"/>
                <w:sz w:val="21"/>
                <w:szCs w:val="21"/>
                <w:u w:val="none"/>
                <w:lang w:val="en-US" w:eastAsia="zh-CN" w:bidi="ar"/>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lang w:val="en-US" w:eastAsia="zh-CN"/>
              </w:rPr>
            </w:pPr>
            <w:r>
              <w:rPr>
                <w:rFonts w:hint="eastAsia" w:ascii="新宋体" w:hAnsi="新宋体" w:eastAsia="新宋体" w:cs="新宋体"/>
                <w:color w:val="auto"/>
                <w:sz w:val="24"/>
                <w:szCs w:val="24"/>
                <w:vertAlign w:val="baseline"/>
                <w:lang w:val="en-US" w:eastAsia="zh-CN"/>
              </w:rPr>
              <w:t>4</w:t>
            </w: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新宋体" w:hAnsi="新宋体" w:eastAsia="新宋体" w:cs="新宋体"/>
                <w:color w:val="auto"/>
                <w:sz w:val="24"/>
                <w:szCs w:val="24"/>
                <w:vertAlign w:val="baseline"/>
              </w:rPr>
            </w:pPr>
          </w:p>
        </w:tc>
        <w:tc>
          <w:tcPr>
            <w:tcW w:w="136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i w:val="0"/>
                <w:color w:val="auto"/>
                <w:kern w:val="0"/>
                <w:sz w:val="21"/>
                <w:szCs w:val="21"/>
                <w:u w:val="none"/>
                <w:lang w:val="en-US" w:eastAsia="zh-CN" w:bidi="ar"/>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lang w:val="en-US" w:eastAsia="zh-CN"/>
              </w:rPr>
            </w:pPr>
            <w:r>
              <w:rPr>
                <w:rFonts w:hint="eastAsia" w:ascii="新宋体" w:hAnsi="新宋体" w:eastAsia="新宋体" w:cs="新宋体"/>
                <w:color w:val="auto"/>
                <w:sz w:val="24"/>
                <w:szCs w:val="24"/>
                <w:vertAlign w:val="baseline"/>
                <w:lang w:val="en-US" w:eastAsia="zh-CN"/>
              </w:rPr>
              <w:t>5</w:t>
            </w: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新宋体" w:hAnsi="新宋体" w:eastAsia="新宋体" w:cs="新宋体"/>
                <w:color w:val="auto"/>
                <w:sz w:val="24"/>
                <w:szCs w:val="24"/>
                <w:vertAlign w:val="baseline"/>
              </w:rPr>
            </w:pPr>
          </w:p>
        </w:tc>
        <w:tc>
          <w:tcPr>
            <w:tcW w:w="136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i w:val="0"/>
                <w:color w:val="auto"/>
                <w:kern w:val="0"/>
                <w:sz w:val="21"/>
                <w:szCs w:val="21"/>
                <w:u w:val="none"/>
                <w:lang w:val="en-US" w:eastAsia="zh-CN" w:bidi="ar"/>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strike w:val="0"/>
                <w:dstrike w:val="0"/>
                <w:color w:val="auto"/>
                <w:kern w:val="0"/>
                <w:sz w:val="24"/>
                <w:szCs w:val="24"/>
                <w:u w:val="none"/>
                <w:lang w:val="en-US" w:eastAsia="zh-CN" w:bidi="ar"/>
              </w:rPr>
            </w:pPr>
            <w:r>
              <w:rPr>
                <w:rFonts w:hint="eastAsia" w:ascii="新宋体" w:hAnsi="新宋体" w:eastAsia="新宋体" w:cs="新宋体"/>
                <w:i w:val="0"/>
                <w:strike w:val="0"/>
                <w:dstrike w:val="0"/>
                <w:color w:val="auto"/>
                <w:kern w:val="0"/>
                <w:sz w:val="24"/>
                <w:szCs w:val="24"/>
                <w:u w:val="none"/>
                <w:lang w:val="en-US" w:eastAsia="zh-CN" w:bidi="ar"/>
              </w:rPr>
              <w:t>6</w:t>
            </w: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新宋体" w:hAnsi="新宋体" w:eastAsia="新宋体" w:cs="新宋体"/>
                <w:i w:val="0"/>
                <w:strike w:val="0"/>
                <w:dstrike w:val="0"/>
                <w:color w:val="auto"/>
                <w:kern w:val="0"/>
                <w:sz w:val="24"/>
                <w:szCs w:val="24"/>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i w:val="0"/>
                <w:color w:val="auto"/>
                <w:kern w:val="0"/>
                <w:sz w:val="21"/>
                <w:szCs w:val="21"/>
                <w:u w:val="none"/>
                <w:lang w:val="en-US" w:eastAsia="zh-CN" w:bidi="ar"/>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trike w:val="0"/>
                <w:dstrike w:val="0"/>
                <w:color w:val="auto"/>
                <w:kern w:val="2"/>
                <w:sz w:val="24"/>
                <w:szCs w:val="24"/>
                <w:vertAlign w:val="baseline"/>
                <w:lang w:val="en-US" w:eastAsia="zh-CN" w:bidi="ar-SA"/>
              </w:rPr>
            </w:pP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strike w:val="0"/>
                <w:dstrike w:val="0"/>
                <w:color w:val="auto"/>
                <w:kern w:val="0"/>
                <w:sz w:val="24"/>
                <w:szCs w:val="24"/>
                <w:u w:val="none"/>
                <w:lang w:val="en-US" w:eastAsia="zh-CN" w:bidi="ar"/>
              </w:rPr>
            </w:pP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strike w:val="0"/>
                <w:dstrike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lang w:val="en-US" w:eastAsia="zh-CN"/>
              </w:rPr>
            </w:pP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新宋体" w:hAnsi="新宋体" w:eastAsia="新宋体" w:cs="新宋体"/>
                <w:i w:val="0"/>
                <w:color w:val="auto"/>
                <w:kern w:val="0"/>
                <w:sz w:val="24"/>
                <w:szCs w:val="24"/>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i w:val="0"/>
                <w:color w:val="auto"/>
                <w:kern w:val="0"/>
                <w:sz w:val="21"/>
                <w:szCs w:val="21"/>
                <w:u w:val="none"/>
                <w:lang w:val="en-US" w:eastAsia="zh-CN" w:bidi="ar"/>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auto"/>
                <w:kern w:val="0"/>
                <w:sz w:val="24"/>
                <w:szCs w:val="24"/>
                <w:u w:val="none"/>
                <w:lang w:val="en-US" w:eastAsia="zh-CN" w:bidi="ar"/>
              </w:rPr>
            </w:pP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auto"/>
                <w:kern w:val="0"/>
                <w:sz w:val="24"/>
                <w:szCs w:val="24"/>
                <w:u w:val="none"/>
                <w:lang w:val="en-US" w:eastAsia="zh-CN" w:bidi="ar"/>
              </w:rPr>
            </w:pP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color w:val="auto"/>
                <w:sz w:val="24"/>
                <w:szCs w:val="24"/>
                <w:vertAlign w:val="baseline"/>
                <w:lang w:val="en-US" w:eastAsia="zh-CN"/>
              </w:rPr>
            </w:pPr>
          </w:p>
        </w:tc>
        <w:tc>
          <w:tcPr>
            <w:tcW w:w="255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新宋体" w:hAnsi="新宋体" w:eastAsia="新宋体" w:cs="新宋体"/>
                <w:i w:val="0"/>
                <w:color w:val="auto"/>
                <w:kern w:val="0"/>
                <w:sz w:val="24"/>
                <w:szCs w:val="24"/>
                <w:u w:val="none"/>
                <w:lang w:val="en-US" w:eastAsia="zh-CN" w:bidi="ar"/>
              </w:rPr>
            </w:pPr>
          </w:p>
        </w:tc>
        <w:tc>
          <w:tcPr>
            <w:tcW w:w="136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新宋体" w:hAnsi="新宋体" w:eastAsia="新宋体" w:cs="新宋体"/>
                <w:i w:val="0"/>
                <w:color w:val="auto"/>
                <w:kern w:val="0"/>
                <w:sz w:val="21"/>
                <w:szCs w:val="21"/>
                <w:u w:val="none"/>
                <w:lang w:val="en-US" w:eastAsia="zh-CN" w:bidi="ar"/>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auto"/>
                <w:kern w:val="0"/>
                <w:sz w:val="24"/>
                <w:szCs w:val="24"/>
                <w:u w:val="none"/>
                <w:lang w:val="en-US" w:eastAsia="zh-CN" w:bidi="ar"/>
              </w:rPr>
            </w:pP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auto"/>
                <w:kern w:val="0"/>
                <w:sz w:val="24"/>
                <w:szCs w:val="24"/>
                <w:u w:val="none"/>
                <w:lang w:val="en-US" w:eastAsia="zh-CN" w:bidi="ar"/>
              </w:rPr>
            </w:pPr>
          </w:p>
        </w:tc>
        <w:tc>
          <w:tcPr>
            <w:tcW w:w="1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33"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新宋体" w:hAnsi="新宋体" w:eastAsia="新宋体" w:cs="新宋体"/>
                <w:sz w:val="24"/>
              </w:rPr>
            </w:pPr>
            <w:r>
              <w:rPr>
                <w:rFonts w:hint="eastAsia" w:ascii="新宋体" w:hAnsi="新宋体" w:eastAsia="新宋体" w:cs="新宋体"/>
                <w:sz w:val="24"/>
              </w:rPr>
              <w:t>总价合计金额</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大写：</w:t>
            </w:r>
            <w:r>
              <w:rPr>
                <w:rFonts w:hint="eastAsia" w:ascii="新宋体" w:hAnsi="新宋体" w:eastAsia="新宋体" w:cs="新宋体"/>
                <w:sz w:val="24"/>
                <w:u w:val="single"/>
              </w:rPr>
              <w:t xml:space="preserve">                     </w:t>
            </w:r>
            <w:r>
              <w:rPr>
                <w:rFonts w:hint="eastAsia" w:ascii="新宋体" w:hAnsi="新宋体" w:eastAsia="新宋体" w:cs="新宋体"/>
                <w:sz w:val="24"/>
                <w:u w:val="single"/>
                <w:lang w:eastAsia="zh-CN"/>
              </w:rPr>
              <w:t>元</w:t>
            </w:r>
            <w:r>
              <w:rPr>
                <w:rFonts w:hint="eastAsia" w:ascii="新宋体" w:hAnsi="新宋体" w:eastAsia="新宋体" w:cs="新宋体"/>
                <w:sz w:val="24"/>
                <w:u w:val="single"/>
              </w:rPr>
              <w:t xml:space="preserve"> </w:t>
            </w:r>
            <w:r>
              <w:rPr>
                <w:rFonts w:hint="eastAsia" w:ascii="新宋体" w:hAnsi="新宋体" w:eastAsia="新宋体" w:cs="新宋体"/>
                <w:sz w:val="24"/>
              </w:rPr>
              <w:t>小写：￥</w:t>
            </w:r>
            <w:r>
              <w:rPr>
                <w:rFonts w:hint="eastAsia" w:ascii="新宋体" w:hAnsi="新宋体" w:eastAsia="新宋体" w:cs="新宋体"/>
                <w:sz w:val="24"/>
                <w:u w:val="single"/>
              </w:rPr>
              <w:t xml:space="preserve"> </w:t>
            </w:r>
            <w:r>
              <w:rPr>
                <w:rFonts w:hint="eastAsia" w:ascii="新宋体" w:hAnsi="新宋体" w:eastAsia="新宋体" w:cs="新宋体"/>
                <w:bCs/>
                <w:sz w:val="24"/>
                <w:u w:val="single"/>
              </w:rPr>
              <w:t xml:space="preserve">           </w:t>
            </w:r>
            <w:r>
              <w:rPr>
                <w:rFonts w:hint="eastAsia" w:ascii="新宋体" w:hAnsi="新宋体" w:eastAsia="新宋体" w:cs="新宋体"/>
                <w:bCs/>
                <w:sz w:val="24"/>
                <w:u w:val="single"/>
                <w:lang w:val="en-US" w:eastAsia="zh-CN"/>
              </w:rPr>
              <w:t xml:space="preserve">            </w:t>
            </w:r>
            <w:r>
              <w:rPr>
                <w:rFonts w:hint="eastAsia" w:ascii="新宋体" w:hAnsi="新宋体" w:eastAsia="新宋体" w:cs="新宋体"/>
                <w:bCs/>
                <w:sz w:val="24"/>
                <w:u w:val="single"/>
                <w:lang w:eastAsia="zh-CN"/>
              </w:rPr>
              <w:t>元</w:t>
            </w:r>
            <w:r>
              <w:rPr>
                <w:rFonts w:hint="eastAsia" w:ascii="新宋体" w:hAnsi="新宋体" w:eastAsia="新宋体" w:cs="新宋体"/>
                <w:bCs/>
                <w:sz w:val="24"/>
                <w:u w:val="single"/>
              </w:rPr>
              <w:t xml:space="preserve">  </w:t>
            </w:r>
            <w:r>
              <w:rPr>
                <w:rFonts w:hint="eastAsia" w:ascii="新宋体" w:hAnsi="新宋体" w:eastAsia="新宋体" w:cs="新宋体"/>
                <w:sz w:val="24"/>
                <w:u w:val="single"/>
              </w:rPr>
              <w:t xml:space="preserve">      </w:t>
            </w:r>
          </w:p>
        </w:tc>
      </w:tr>
    </w:tbl>
    <w:p>
      <w:pPr>
        <w:snapToGrid w:val="0"/>
        <w:rPr>
          <w:rStyle w:val="31"/>
          <w:rFonts w:hint="eastAsia" w:ascii="新宋体" w:hAnsi="新宋体" w:eastAsia="新宋体" w:cs="新宋体"/>
          <w:sz w:val="24"/>
        </w:rPr>
      </w:pPr>
    </w:p>
    <w:p>
      <w:pPr>
        <w:snapToGrid w:val="0"/>
        <w:rPr>
          <w:rStyle w:val="31"/>
          <w:rFonts w:hint="eastAsia" w:ascii="新宋体" w:hAnsi="新宋体" w:eastAsia="新宋体" w:cs="新宋体"/>
          <w:sz w:val="24"/>
          <w:lang w:eastAsia="zh-CN"/>
        </w:rPr>
      </w:pPr>
      <w:r>
        <w:rPr>
          <w:rStyle w:val="31"/>
          <w:rFonts w:hint="eastAsia" w:ascii="新宋体" w:hAnsi="新宋体" w:eastAsia="新宋体" w:cs="新宋体"/>
          <w:sz w:val="24"/>
          <w:lang w:val="en-US" w:eastAsia="zh-CN"/>
        </w:rPr>
        <w:t xml:space="preserve">     </w:t>
      </w:r>
    </w:p>
    <w:p>
      <w:pPr>
        <w:rPr>
          <w:rFonts w:hint="eastAsia" w:ascii="新宋体" w:hAnsi="新宋体" w:eastAsia="新宋体" w:cs="新宋体"/>
          <w:b/>
          <w:bCs/>
          <w:sz w:val="28"/>
          <w:szCs w:val="28"/>
          <w:lang w:eastAsia="zh-CN"/>
        </w:rPr>
      </w:pPr>
    </w:p>
    <w:p>
      <w:pPr>
        <w:jc w:val="left"/>
        <w:rPr>
          <w:rFonts w:hint="eastAsia" w:ascii="新宋体" w:hAnsi="新宋体" w:eastAsia="新宋体" w:cs="新宋体"/>
          <w:b/>
          <w:bCs/>
          <w:sz w:val="28"/>
          <w:szCs w:val="28"/>
        </w:rPr>
      </w:pPr>
      <w:r>
        <w:rPr>
          <w:rFonts w:hint="eastAsia" w:ascii="新宋体" w:hAnsi="新宋体" w:eastAsia="新宋体" w:cs="新宋体"/>
          <w:b/>
          <w:bCs/>
          <w:sz w:val="28"/>
          <w:szCs w:val="28"/>
          <w:lang w:eastAsia="zh-CN"/>
        </w:rPr>
        <w:t>注：</w:t>
      </w:r>
      <w:r>
        <w:rPr>
          <w:rFonts w:hint="eastAsia" w:ascii="新宋体" w:hAnsi="新宋体" w:eastAsia="新宋体" w:cs="新宋体"/>
          <w:b/>
          <w:bCs/>
          <w:sz w:val="28"/>
          <w:szCs w:val="28"/>
        </w:rPr>
        <w:t>最终结算时以实际量体数量为准。</w:t>
      </w:r>
    </w:p>
    <w:p>
      <w:pPr>
        <w:rPr>
          <w:rFonts w:hint="eastAsia" w:ascii="仿宋" w:hAnsi="仿宋" w:eastAsia="仿宋"/>
          <w:sz w:val="30"/>
          <w:szCs w:val="30"/>
          <w:highlight w:val="none"/>
        </w:rPr>
      </w:pPr>
      <w:r>
        <w:rPr>
          <w:rFonts w:hint="eastAsia" w:ascii="仿宋" w:hAnsi="仿宋" w:eastAsia="仿宋"/>
          <w:sz w:val="30"/>
          <w:szCs w:val="30"/>
          <w:highlight w:val="none"/>
        </w:rPr>
        <w:br w:type="page"/>
      </w:r>
    </w:p>
    <w:p>
      <w:pPr>
        <w:jc w:val="left"/>
        <w:rPr>
          <w:rFonts w:ascii="仿宋" w:hAnsi="仿宋" w:eastAsia="仿宋"/>
          <w:highlight w:val="none"/>
        </w:rPr>
      </w:pPr>
      <w:r>
        <w:rPr>
          <w:rFonts w:hint="eastAsia" w:ascii="仿宋" w:hAnsi="仿宋" w:eastAsia="仿宋"/>
          <w:sz w:val="30"/>
          <w:szCs w:val="30"/>
          <w:highlight w:val="none"/>
        </w:rPr>
        <w:t>附件14：</w:t>
      </w:r>
    </w:p>
    <w:p>
      <w:pPr>
        <w:rPr>
          <w:rFonts w:ascii="仿宋" w:hAnsi="仿宋" w:eastAsia="仿宋"/>
          <w:highlight w:val="none"/>
        </w:rPr>
      </w:pPr>
    </w:p>
    <w:p>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残疾人福利性单位声明函</w:t>
      </w:r>
    </w:p>
    <w:p>
      <w:pPr>
        <w:spacing w:line="588" w:lineRule="exact"/>
        <w:rPr>
          <w:rFonts w:ascii="仿宋_GB2312" w:eastAsia="仿宋_GB2312"/>
          <w:b/>
          <w:spacing w:val="6"/>
          <w:sz w:val="30"/>
          <w:szCs w:val="30"/>
          <w:highlight w:val="none"/>
        </w:rPr>
      </w:pPr>
    </w:p>
    <w:p>
      <w:pPr>
        <w:snapToGrid w:val="0"/>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sz w:val="28"/>
          <w:szCs w:val="28"/>
          <w:highlight w:val="none"/>
        </w:rPr>
      </w:pPr>
    </w:p>
    <w:p>
      <w:pPr>
        <w:spacing w:line="588" w:lineRule="exact"/>
        <w:ind w:firstLine="624" w:firstLineChars="200"/>
        <w:rPr>
          <w:rFonts w:ascii="仿宋_GB2312" w:eastAsia="仿宋_GB2312"/>
          <w:spacing w:val="6"/>
          <w:sz w:val="30"/>
          <w:szCs w:val="30"/>
          <w:highlight w:val="none"/>
        </w:rPr>
      </w:pPr>
    </w:p>
    <w:p>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      投标人名称（盖章）：</w:t>
      </w:r>
    </w:p>
    <w:p>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       日  期：</w:t>
      </w:r>
    </w:p>
    <w:p>
      <w:pPr>
        <w:rPr>
          <w:highlight w:val="none"/>
        </w:rPr>
      </w:pPr>
    </w:p>
    <w:p>
      <w:pPr>
        <w:rPr>
          <w:highlight w:val="none"/>
        </w:rPr>
      </w:pPr>
    </w:p>
    <w:p>
      <w:pPr>
        <w:pStyle w:val="18"/>
        <w:adjustRightInd w:val="0"/>
        <w:snapToGrid w:val="0"/>
        <w:spacing w:line="360" w:lineRule="auto"/>
        <w:jc w:val="center"/>
        <w:rPr>
          <w:rFonts w:ascii="Calibri" w:hAnsi="Calibri" w:cs="宋体"/>
          <w:b/>
          <w:bCs/>
          <w:color w:val="000000"/>
          <w:sz w:val="30"/>
          <w:szCs w:val="30"/>
          <w:highlight w:val="none"/>
        </w:rPr>
      </w:pPr>
      <w:r>
        <w:rPr>
          <w:rFonts w:ascii="Calibri" w:hAnsi="Calibri" w:cs="宋体"/>
          <w:b/>
          <w:bCs/>
          <w:color w:val="000000"/>
          <w:sz w:val="30"/>
          <w:szCs w:val="30"/>
          <w:highlight w:val="none"/>
        </w:rPr>
        <w:br w:type="page"/>
      </w:r>
    </w:p>
    <w:p>
      <w:pPr>
        <w:pStyle w:val="18"/>
        <w:adjustRightInd w:val="0"/>
        <w:snapToGrid w:val="0"/>
        <w:spacing w:line="360" w:lineRule="auto"/>
        <w:jc w:val="center"/>
        <w:rPr>
          <w:rFonts w:ascii="Calibri" w:hAnsi="Calibri" w:cs="宋体"/>
          <w:b/>
          <w:bCs/>
          <w:color w:val="000000"/>
          <w:sz w:val="30"/>
          <w:szCs w:val="30"/>
          <w:highlight w:val="none"/>
        </w:rPr>
      </w:pPr>
    </w:p>
    <w:p>
      <w:pPr>
        <w:pStyle w:val="18"/>
        <w:adjustRightInd w:val="0"/>
        <w:snapToGrid w:val="0"/>
        <w:spacing w:line="360" w:lineRule="auto"/>
        <w:jc w:val="center"/>
        <w:rPr>
          <w:rFonts w:hint="eastAsia" w:ascii="仿宋" w:hAnsi="仿宋" w:eastAsia="仿宋" w:cs="等线"/>
          <w:sz w:val="44"/>
          <w:szCs w:val="44"/>
          <w:highlight w:val="none"/>
        </w:rPr>
      </w:pPr>
      <w:r>
        <w:rPr>
          <w:rFonts w:hint="eastAsia" w:ascii="仿宋" w:hAnsi="仿宋" w:eastAsia="仿宋" w:cs="等线"/>
          <w:b/>
          <w:bCs/>
          <w:sz w:val="32"/>
          <w:szCs w:val="32"/>
          <w:highlight w:val="none"/>
        </w:rPr>
        <w:t>监狱企业声明函</w:t>
      </w:r>
    </w:p>
    <w:p>
      <w:pPr>
        <w:adjustRightInd w:val="0"/>
        <w:snapToGrid w:val="0"/>
        <w:spacing w:line="360" w:lineRule="auto"/>
        <w:jc w:val="center"/>
        <w:rPr>
          <w:rFonts w:hint="eastAsia" w:ascii="仿宋" w:hAnsi="仿宋" w:eastAsia="仿宋"/>
          <w:sz w:val="28"/>
          <w:szCs w:val="28"/>
          <w:highlight w:val="none"/>
        </w:rPr>
      </w:pPr>
      <w:r>
        <w:rPr>
          <w:rFonts w:hint="eastAsia" w:ascii="仿宋" w:hAnsi="仿宋" w:eastAsia="仿宋"/>
          <w:sz w:val="28"/>
          <w:szCs w:val="28"/>
          <w:highlight w:val="none"/>
        </w:rPr>
        <w:t>【不属于监狱企业，不用提供此函】</w:t>
      </w:r>
    </w:p>
    <w:p>
      <w:pPr>
        <w:adjustRightInd w:val="0"/>
        <w:snapToGrid w:val="0"/>
        <w:spacing w:line="360" w:lineRule="auto"/>
        <w:ind w:firstLine="560" w:firstLineChars="200"/>
        <w:rPr>
          <w:rFonts w:hint="eastAsia" w:ascii="仿宋" w:hAnsi="仿宋" w:eastAsia="仿宋"/>
          <w:sz w:val="28"/>
          <w:szCs w:val="28"/>
          <w:highlight w:val="none"/>
        </w:rPr>
      </w:pPr>
    </w:p>
    <w:p>
      <w:pPr>
        <w:adjustRightInd w:val="0"/>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根据上述标准，我企业属于监狱企业的理由为：         。</w:t>
      </w:r>
    </w:p>
    <w:p>
      <w:pPr>
        <w:adjustRightInd w:val="0"/>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本企业参加______单位的______项目采购活动提供本企业的产品。</w:t>
      </w:r>
    </w:p>
    <w:p>
      <w:pPr>
        <w:adjustRightInd w:val="0"/>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本企业对上述声明的真实性负责。如有虚假，将依法承担相应责任。</w:t>
      </w:r>
    </w:p>
    <w:p>
      <w:pPr>
        <w:adjustRightInd w:val="0"/>
        <w:snapToGrid w:val="0"/>
        <w:spacing w:line="360" w:lineRule="auto"/>
        <w:ind w:firstLine="560" w:firstLineChars="200"/>
        <w:jc w:val="center"/>
        <w:rPr>
          <w:rFonts w:hint="eastAsia" w:ascii="仿宋" w:hAnsi="仿宋" w:eastAsia="仿宋"/>
          <w:sz w:val="28"/>
          <w:szCs w:val="28"/>
          <w:highlight w:val="none"/>
        </w:rPr>
      </w:pPr>
    </w:p>
    <w:p>
      <w:pPr>
        <w:pStyle w:val="18"/>
        <w:adjustRightInd w:val="0"/>
        <w:snapToGrid w:val="0"/>
        <w:spacing w:line="360" w:lineRule="auto"/>
        <w:ind w:firstLine="560" w:firstLineChars="200"/>
        <w:rPr>
          <w:rFonts w:hint="eastAsia" w:ascii="仿宋" w:hAnsi="仿宋" w:eastAsia="仿宋" w:cs="等线"/>
          <w:sz w:val="28"/>
          <w:szCs w:val="28"/>
          <w:highlight w:val="none"/>
        </w:rPr>
      </w:pPr>
      <w:r>
        <w:rPr>
          <w:rFonts w:hint="eastAsia" w:ascii="仿宋" w:hAnsi="仿宋" w:eastAsia="仿宋" w:cs="等线"/>
          <w:sz w:val="28"/>
          <w:szCs w:val="28"/>
          <w:highlight w:val="none"/>
        </w:rPr>
        <w:t>投标人全称：                      （盖单位公章）</w:t>
      </w:r>
    </w:p>
    <w:p>
      <w:pPr>
        <w:pStyle w:val="18"/>
        <w:adjustRightInd w:val="0"/>
        <w:snapToGrid w:val="0"/>
        <w:spacing w:line="360" w:lineRule="auto"/>
        <w:ind w:firstLine="560" w:firstLineChars="200"/>
        <w:rPr>
          <w:rFonts w:hint="eastAsia" w:ascii="仿宋" w:hAnsi="仿宋" w:eastAsia="仿宋" w:cs="等线"/>
          <w:sz w:val="28"/>
          <w:szCs w:val="28"/>
          <w:highlight w:val="none"/>
        </w:rPr>
      </w:pPr>
      <w:r>
        <w:rPr>
          <w:rFonts w:hint="eastAsia" w:ascii="仿宋" w:hAnsi="仿宋" w:eastAsia="仿宋" w:cs="等线"/>
          <w:sz w:val="28"/>
          <w:szCs w:val="28"/>
          <w:highlight w:val="none"/>
        </w:rPr>
        <w:t>日期：年  月  日</w:t>
      </w:r>
    </w:p>
    <w:p>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hint="eastAsia" w:ascii="仿宋" w:hAnsi="仿宋" w:eastAsia="仿宋"/>
          <w:sz w:val="28"/>
          <w:szCs w:val="28"/>
          <w:highlight w:val="none"/>
        </w:rPr>
      </w:pPr>
    </w:p>
    <w:p>
      <w:pPr>
        <w:widowControl w:val="0"/>
        <w:spacing w:before="240"/>
        <w:jc w:val="center"/>
        <w:rPr>
          <w:rFonts w:hint="eastAsia" w:ascii="仿宋" w:hAnsi="仿宋" w:eastAsia="仿宋"/>
          <w:sz w:val="28"/>
          <w:szCs w:val="28"/>
          <w:highlight w:val="none"/>
        </w:rPr>
      </w:pPr>
    </w:p>
    <w:p>
      <w:pPr>
        <w:widowControl w:val="0"/>
        <w:snapToGrid w:val="0"/>
        <w:spacing w:line="900" w:lineRule="exact"/>
        <w:jc w:val="center"/>
        <w:rPr>
          <w:rFonts w:hint="eastAsia" w:ascii="仿宋" w:hAnsi="仿宋" w:eastAsia="仿宋"/>
          <w:sz w:val="28"/>
          <w:szCs w:val="28"/>
          <w:highlight w:val="none"/>
        </w:rPr>
      </w:pPr>
    </w:p>
    <w:p>
      <w:pPr>
        <w:widowControl w:val="0"/>
        <w:snapToGrid w:val="0"/>
        <w:spacing w:line="900" w:lineRule="exact"/>
        <w:jc w:val="center"/>
        <w:rPr>
          <w:rFonts w:ascii="宋体" w:hAnsi="Courier New" w:cs="Times New Roman"/>
          <w:color w:val="000000"/>
          <w:sz w:val="24"/>
          <w:szCs w:val="24"/>
          <w:highlight w:val="none"/>
        </w:rPr>
      </w:pPr>
    </w:p>
    <w:p>
      <w:pPr>
        <w:widowControl w:val="0"/>
        <w:snapToGrid w:val="0"/>
        <w:spacing w:line="900" w:lineRule="exact"/>
        <w:rPr>
          <w:rFonts w:ascii="宋体" w:hAnsi="Courier New" w:cs="Times New Roman"/>
          <w:color w:val="000000"/>
          <w:sz w:val="24"/>
          <w:szCs w:val="24"/>
          <w:highlight w:val="none"/>
        </w:rPr>
      </w:pPr>
    </w:p>
    <w:p>
      <w:pPr>
        <w:widowControl w:val="0"/>
        <w:snapToGrid w:val="0"/>
        <w:spacing w:line="900" w:lineRule="exact"/>
        <w:jc w:val="center"/>
        <w:rPr>
          <w:rFonts w:ascii="宋体" w:hAnsi="Courier New" w:cs="Times New Roman"/>
          <w:color w:val="000000"/>
          <w:sz w:val="24"/>
          <w:szCs w:val="24"/>
          <w:highlight w:val="none"/>
        </w:rPr>
      </w:pPr>
    </w:p>
    <w:p>
      <w:pPr>
        <w:widowControl w:val="0"/>
        <w:snapToGrid w:val="0"/>
        <w:spacing w:line="900" w:lineRule="exact"/>
        <w:jc w:val="center"/>
        <w:rPr>
          <w:rFonts w:ascii="黑体" w:hAnsi="Courier New" w:eastAsia="黑体" w:cs="Times New Roman"/>
          <w:b/>
          <w:bCs/>
          <w:sz w:val="48"/>
          <w:szCs w:val="48"/>
          <w:highlight w:val="none"/>
        </w:rPr>
      </w:pPr>
      <w:r>
        <w:rPr>
          <w:rFonts w:hint="eastAsia" w:ascii="黑体" w:hAnsi="Courier New" w:eastAsia="黑体" w:cs="黑体"/>
          <w:b/>
          <w:bCs/>
          <w:sz w:val="48"/>
          <w:szCs w:val="48"/>
          <w:highlight w:val="none"/>
        </w:rPr>
        <w:t>第六章</w:t>
      </w:r>
    </w:p>
    <w:p>
      <w:pPr>
        <w:widowControl w:val="0"/>
        <w:snapToGrid w:val="0"/>
        <w:spacing w:line="900" w:lineRule="exact"/>
        <w:jc w:val="center"/>
        <w:rPr>
          <w:rFonts w:ascii="黑体" w:hAnsi="Courier New" w:eastAsia="黑体" w:cs="Times New Roman"/>
          <w:b/>
          <w:bCs/>
          <w:color w:val="000000"/>
          <w:sz w:val="48"/>
          <w:szCs w:val="48"/>
          <w:highlight w:val="none"/>
        </w:rPr>
      </w:pPr>
      <w:r>
        <w:rPr>
          <w:rFonts w:hint="eastAsia" w:ascii="黑体" w:hAnsi="Courier New" w:eastAsia="黑体" w:cs="黑体"/>
          <w:b/>
          <w:bCs/>
          <w:color w:val="000000"/>
          <w:sz w:val="48"/>
          <w:szCs w:val="48"/>
          <w:highlight w:val="none"/>
        </w:rPr>
        <w:t>合同主要条款</w:t>
      </w:r>
    </w:p>
    <w:p>
      <w:pPr>
        <w:widowControl w:val="0"/>
        <w:adjustRightInd w:val="0"/>
        <w:rPr>
          <w:rFonts w:ascii="宋体" w:hAnsi="Calibri" w:cs="Times New Roman"/>
          <w:sz w:val="24"/>
          <w:szCs w:val="24"/>
          <w:highlight w:val="none"/>
        </w:rPr>
      </w:pPr>
    </w:p>
    <w:p>
      <w:pPr>
        <w:widowControl w:val="0"/>
        <w:snapToGrid w:val="0"/>
        <w:spacing w:before="161" w:beforeLines="50" w:after="161" w:afterLines="50"/>
        <w:jc w:val="center"/>
        <w:rPr>
          <w:rFonts w:ascii="宋体" w:hAnsi="Calibri" w:cs="Times New Roman"/>
          <w:b/>
          <w:bCs/>
          <w:sz w:val="36"/>
          <w:szCs w:val="36"/>
          <w:highlight w:val="none"/>
        </w:rPr>
      </w:pPr>
    </w:p>
    <w:p>
      <w:pPr>
        <w:pStyle w:val="18"/>
        <w:snapToGrid w:val="0"/>
        <w:jc w:val="right"/>
        <w:rPr>
          <w:sz w:val="18"/>
          <w:szCs w:val="18"/>
          <w:highlight w:val="none"/>
        </w:rPr>
      </w:pPr>
      <w:r>
        <w:rPr>
          <w:rFonts w:hAnsi="Calibri"/>
          <w:b/>
          <w:bCs/>
          <w:sz w:val="30"/>
          <w:szCs w:val="30"/>
          <w:highlight w:val="none"/>
        </w:rPr>
        <w:br w:type="page"/>
      </w:r>
      <w:r>
        <w:rPr>
          <w:rFonts w:hint="eastAsia" w:ascii="黑体" w:hAnsi="黑体" w:eastAsia="黑体"/>
          <w:b/>
          <w:bCs/>
          <w:color w:val="000000"/>
          <w:sz w:val="36"/>
          <w:szCs w:val="36"/>
          <w:highlight w:val="none"/>
        </w:rPr>
        <w:t>永</w:t>
      </w:r>
      <w:r>
        <w:rPr>
          <w:rFonts w:hint="eastAsia" w:ascii="黑体" w:eastAsia="黑体"/>
          <w:b/>
          <w:bCs/>
          <w:color w:val="000000"/>
          <w:sz w:val="36"/>
          <w:szCs w:val="36"/>
          <w:highlight w:val="none"/>
        </w:rPr>
        <w:t xml:space="preserve"> </w:t>
      </w:r>
      <w:r>
        <w:rPr>
          <w:rFonts w:hint="eastAsia" w:ascii="黑体" w:hAnsi="黑体" w:eastAsia="黑体"/>
          <w:b/>
          <w:bCs/>
          <w:color w:val="000000"/>
          <w:sz w:val="36"/>
          <w:szCs w:val="36"/>
          <w:highlight w:val="none"/>
        </w:rPr>
        <w:t>康</w:t>
      </w:r>
      <w:r>
        <w:rPr>
          <w:rFonts w:hint="eastAsia" w:ascii="黑体" w:eastAsia="黑体"/>
          <w:b/>
          <w:bCs/>
          <w:color w:val="000000"/>
          <w:sz w:val="36"/>
          <w:szCs w:val="36"/>
          <w:highlight w:val="none"/>
        </w:rPr>
        <w:t xml:space="preserve"> </w:t>
      </w:r>
      <w:r>
        <w:rPr>
          <w:rFonts w:hint="eastAsia" w:ascii="黑体" w:hAnsi="黑体" w:eastAsia="黑体"/>
          <w:b/>
          <w:bCs/>
          <w:color w:val="000000"/>
          <w:sz w:val="36"/>
          <w:szCs w:val="36"/>
          <w:highlight w:val="none"/>
        </w:rPr>
        <w:t>市</w:t>
      </w:r>
      <w:r>
        <w:rPr>
          <w:rFonts w:hint="eastAsia" w:ascii="黑体" w:eastAsia="黑体"/>
          <w:b/>
          <w:bCs/>
          <w:color w:val="000000"/>
          <w:sz w:val="36"/>
          <w:szCs w:val="36"/>
          <w:highlight w:val="none"/>
        </w:rPr>
        <w:t xml:space="preserve"> </w:t>
      </w:r>
      <w:r>
        <w:rPr>
          <w:rFonts w:hint="eastAsia" w:ascii="黑体" w:hAnsi="黑体" w:eastAsia="黑体"/>
          <w:b/>
          <w:bCs/>
          <w:color w:val="000000"/>
          <w:sz w:val="36"/>
          <w:szCs w:val="36"/>
          <w:highlight w:val="none"/>
        </w:rPr>
        <w:t>政</w:t>
      </w:r>
      <w:r>
        <w:rPr>
          <w:rFonts w:hint="eastAsia" w:ascii="黑体" w:eastAsia="黑体"/>
          <w:b/>
          <w:bCs/>
          <w:color w:val="000000"/>
          <w:sz w:val="36"/>
          <w:szCs w:val="36"/>
          <w:highlight w:val="none"/>
        </w:rPr>
        <w:t xml:space="preserve"> </w:t>
      </w:r>
      <w:r>
        <w:rPr>
          <w:rFonts w:hint="eastAsia" w:ascii="黑体" w:hAnsi="黑体" w:eastAsia="黑体"/>
          <w:b/>
          <w:bCs/>
          <w:color w:val="000000"/>
          <w:sz w:val="36"/>
          <w:szCs w:val="36"/>
          <w:highlight w:val="none"/>
        </w:rPr>
        <w:t>府</w:t>
      </w:r>
      <w:r>
        <w:rPr>
          <w:rFonts w:hint="eastAsia" w:ascii="黑体" w:eastAsia="黑体"/>
          <w:b/>
          <w:bCs/>
          <w:color w:val="000000"/>
          <w:sz w:val="36"/>
          <w:szCs w:val="36"/>
          <w:highlight w:val="none"/>
        </w:rPr>
        <w:t xml:space="preserve"> </w:t>
      </w:r>
      <w:r>
        <w:rPr>
          <w:rFonts w:hint="eastAsia" w:ascii="黑体" w:hAnsi="黑体" w:eastAsia="黑体"/>
          <w:b/>
          <w:bCs/>
          <w:color w:val="000000"/>
          <w:sz w:val="36"/>
          <w:szCs w:val="36"/>
          <w:highlight w:val="none"/>
        </w:rPr>
        <w:t>采</w:t>
      </w:r>
      <w:r>
        <w:rPr>
          <w:rFonts w:hint="eastAsia" w:ascii="黑体" w:eastAsia="黑体"/>
          <w:b/>
          <w:bCs/>
          <w:color w:val="000000"/>
          <w:sz w:val="36"/>
          <w:szCs w:val="36"/>
          <w:highlight w:val="none"/>
        </w:rPr>
        <w:t xml:space="preserve"> </w:t>
      </w:r>
      <w:r>
        <w:rPr>
          <w:rFonts w:hint="eastAsia" w:ascii="黑体" w:hAnsi="黑体" w:eastAsia="黑体"/>
          <w:b/>
          <w:bCs/>
          <w:color w:val="000000"/>
          <w:sz w:val="36"/>
          <w:szCs w:val="36"/>
          <w:highlight w:val="none"/>
        </w:rPr>
        <w:t>购</w:t>
      </w:r>
      <w:r>
        <w:rPr>
          <w:rFonts w:hint="eastAsia" w:ascii="黑体" w:eastAsia="黑体"/>
          <w:b/>
          <w:bCs/>
          <w:color w:val="000000"/>
          <w:sz w:val="36"/>
          <w:szCs w:val="36"/>
          <w:highlight w:val="none"/>
        </w:rPr>
        <w:t xml:space="preserve"> </w:t>
      </w:r>
      <w:r>
        <w:rPr>
          <w:rFonts w:hint="eastAsia" w:ascii="黑体" w:hAnsi="黑体" w:eastAsia="黑体"/>
          <w:b/>
          <w:bCs/>
          <w:color w:val="000000"/>
          <w:sz w:val="36"/>
          <w:szCs w:val="36"/>
          <w:highlight w:val="none"/>
        </w:rPr>
        <w:t>合</w:t>
      </w:r>
      <w:r>
        <w:rPr>
          <w:rFonts w:hint="eastAsia" w:ascii="黑体" w:eastAsia="黑体"/>
          <w:b/>
          <w:bCs/>
          <w:color w:val="000000"/>
          <w:sz w:val="36"/>
          <w:szCs w:val="36"/>
          <w:highlight w:val="none"/>
        </w:rPr>
        <w:t xml:space="preserve"> </w:t>
      </w:r>
      <w:r>
        <w:rPr>
          <w:rFonts w:hint="eastAsia" w:ascii="黑体" w:hAnsi="黑体" w:eastAsia="黑体"/>
          <w:b/>
          <w:bCs/>
          <w:color w:val="000000"/>
          <w:sz w:val="36"/>
          <w:szCs w:val="36"/>
          <w:highlight w:val="none"/>
        </w:rPr>
        <w:t>同</w:t>
      </w:r>
      <w:r>
        <w:rPr>
          <w:rFonts w:hint="eastAsia"/>
          <w:color w:val="000000"/>
          <w:sz w:val="24"/>
          <w:szCs w:val="24"/>
          <w:highlight w:val="none"/>
        </w:rPr>
        <w:t xml:space="preserve">      </w:t>
      </w:r>
      <w:r>
        <w:rPr>
          <w:rFonts w:hint="eastAsia" w:hAnsi="宋体"/>
          <w:color w:val="000000"/>
          <w:sz w:val="24"/>
          <w:szCs w:val="24"/>
          <w:highlight w:val="none"/>
        </w:rPr>
        <w:t>（参考样本）</w:t>
      </w:r>
      <w:r>
        <w:rPr>
          <w:rFonts w:hint="eastAsia"/>
          <w:color w:val="000000"/>
          <w:sz w:val="24"/>
          <w:szCs w:val="24"/>
          <w:highlight w:val="none"/>
        </w:rPr>
        <w:t xml:space="preserve">                                            </w:t>
      </w:r>
      <w:r>
        <w:rPr>
          <w:rFonts w:hint="eastAsia"/>
          <w:sz w:val="18"/>
          <w:szCs w:val="18"/>
          <w:highlight w:val="none"/>
        </w:rPr>
        <w:t xml:space="preserve">                                                  </w:t>
      </w:r>
      <w:r>
        <w:rPr>
          <w:rFonts w:hint="eastAsia"/>
          <w:color w:val="000000"/>
          <w:sz w:val="24"/>
          <w:szCs w:val="24"/>
          <w:highlight w:val="none"/>
        </w:rPr>
        <w:t xml:space="preserve">                                           </w:t>
      </w:r>
    </w:p>
    <w:p>
      <w:pPr>
        <w:pStyle w:val="18"/>
        <w:snapToGrid w:val="0"/>
        <w:spacing w:line="380" w:lineRule="exact"/>
        <w:ind w:left="17" w:leftChars="8" w:right="420" w:rightChars="200" w:firstLine="94" w:firstLineChars="45"/>
        <w:rPr>
          <w:rFonts w:hAnsi="宋体" w:cs="宋体"/>
          <w:highlight w:val="none"/>
        </w:rPr>
      </w:pPr>
      <w:r>
        <w:rPr>
          <w:rFonts w:hint="eastAsia" w:hAnsi="宋体" w:cs="宋体"/>
          <w:highlight w:val="none"/>
        </w:rPr>
        <w:t>项目名称：</w:t>
      </w:r>
      <w:r>
        <w:rPr>
          <w:rFonts w:hint="eastAsia" w:hAnsi="宋体" w:cs="宋体"/>
          <w:highlight w:val="none"/>
          <w:lang w:eastAsia="zh-CN"/>
        </w:rPr>
        <w:t>永康市公安局城市大脑畅行丽州-协同应用项目（2021年一期）前端系统建设项目</w:t>
      </w:r>
    </w:p>
    <w:p>
      <w:pPr>
        <w:pStyle w:val="18"/>
        <w:snapToGrid w:val="0"/>
        <w:spacing w:line="380" w:lineRule="exact"/>
        <w:ind w:left="17" w:leftChars="8" w:right="420" w:rightChars="200" w:firstLine="94" w:firstLineChars="45"/>
        <w:rPr>
          <w:rFonts w:hint="eastAsia" w:hAnsi="宋体" w:eastAsia="宋体" w:cs="宋体"/>
          <w:highlight w:val="none"/>
          <w:lang w:eastAsia="zh-CN"/>
        </w:rPr>
      </w:pPr>
      <w:r>
        <w:rPr>
          <w:rFonts w:hint="eastAsia" w:hAnsi="宋体" w:cs="宋体"/>
          <w:highlight w:val="none"/>
        </w:rPr>
        <w:t>采购计划文号：</w:t>
      </w:r>
    </w:p>
    <w:p>
      <w:pPr>
        <w:pStyle w:val="18"/>
        <w:snapToGrid w:val="0"/>
        <w:spacing w:line="380" w:lineRule="exact"/>
        <w:ind w:left="17" w:leftChars="8" w:right="420" w:rightChars="200" w:firstLine="94" w:firstLineChars="45"/>
        <w:rPr>
          <w:sz w:val="18"/>
          <w:szCs w:val="18"/>
          <w:highlight w:val="none"/>
        </w:rPr>
      </w:pPr>
      <w:r>
        <w:rPr>
          <w:rFonts w:hint="eastAsia" w:hAnsi="宋体" w:cs="宋体"/>
          <w:highlight w:val="none"/>
        </w:rPr>
        <w:t>项目编号： 1106012022004-CJCG22032</w:t>
      </w:r>
      <w:r>
        <w:rPr>
          <w:rFonts w:hint="eastAsia"/>
          <w:sz w:val="18"/>
          <w:szCs w:val="18"/>
          <w:highlight w:val="none"/>
        </w:rPr>
        <w:t xml:space="preserve">                                        </w:t>
      </w:r>
      <w:r>
        <w:rPr>
          <w:rFonts w:hint="eastAsia"/>
          <w:color w:val="000000"/>
          <w:sz w:val="24"/>
          <w:szCs w:val="24"/>
          <w:highlight w:val="none"/>
        </w:rPr>
        <w:t xml:space="preserve">                                           </w:t>
      </w:r>
    </w:p>
    <w:p>
      <w:pPr>
        <w:pStyle w:val="18"/>
        <w:snapToGrid w:val="0"/>
        <w:spacing w:line="340" w:lineRule="exact"/>
        <w:ind w:left="17" w:leftChars="8" w:right="420" w:rightChars="200" w:firstLine="94" w:firstLineChars="45"/>
        <w:rPr>
          <w:rFonts w:hint="eastAsia" w:hAnsi="宋体" w:eastAsia="宋体"/>
          <w:highlight w:val="none"/>
          <w:lang w:eastAsia="zh-CN"/>
        </w:rPr>
      </w:pPr>
      <w:r>
        <w:rPr>
          <w:rFonts w:hint="eastAsia" w:hAnsi="宋体"/>
          <w:highlight w:val="none"/>
        </w:rPr>
        <w:t xml:space="preserve">甲方（采购人）： </w:t>
      </w:r>
      <w:r>
        <w:rPr>
          <w:rFonts w:hint="eastAsia" w:hAnsi="宋体" w:cs="宋体"/>
          <w:highlight w:val="none"/>
          <w:lang w:eastAsia="zh-CN"/>
        </w:rPr>
        <w:t>永康市公安局</w:t>
      </w:r>
    </w:p>
    <w:p>
      <w:pPr>
        <w:pStyle w:val="18"/>
        <w:snapToGrid w:val="0"/>
        <w:spacing w:line="340" w:lineRule="exact"/>
        <w:ind w:left="17" w:leftChars="8" w:right="420" w:rightChars="200" w:firstLine="94" w:firstLineChars="45"/>
        <w:rPr>
          <w:rFonts w:hAnsi="宋体"/>
          <w:highlight w:val="none"/>
        </w:rPr>
      </w:pPr>
      <w:r>
        <w:rPr>
          <w:rFonts w:hint="eastAsia" w:hAnsi="宋体"/>
          <w:highlight w:val="none"/>
        </w:rPr>
        <w:t>乙方（</w:t>
      </w:r>
      <w:r>
        <w:rPr>
          <w:rFonts w:hint="eastAsia"/>
          <w:highlight w:val="none"/>
        </w:rPr>
        <w:t>中标方</w:t>
      </w:r>
      <w:r>
        <w:rPr>
          <w:rFonts w:hint="eastAsia" w:hAnsi="宋体"/>
          <w:highlight w:val="none"/>
        </w:rPr>
        <w:t xml:space="preserve">）： </w:t>
      </w:r>
    </w:p>
    <w:p>
      <w:pPr>
        <w:pStyle w:val="18"/>
        <w:snapToGrid w:val="0"/>
        <w:spacing w:line="340" w:lineRule="exact"/>
        <w:rPr>
          <w:rFonts w:hAnsi="宋体"/>
          <w:highlight w:val="none"/>
        </w:rPr>
      </w:pPr>
      <w:r>
        <w:rPr>
          <w:rFonts w:hint="eastAsia" w:hAnsi="宋体"/>
          <w:highlight w:val="none"/>
        </w:rPr>
        <w:t>采购代理机构：金华市创佳工程项目管理有限公司</w:t>
      </w:r>
    </w:p>
    <w:p>
      <w:pPr>
        <w:pStyle w:val="18"/>
        <w:snapToGrid w:val="0"/>
        <w:spacing w:line="340" w:lineRule="exact"/>
        <w:ind w:firstLine="570"/>
        <w:rPr>
          <w:rFonts w:hAnsi="宋体"/>
          <w:highlight w:val="none"/>
        </w:rPr>
      </w:pPr>
      <w:r>
        <w:rPr>
          <w:rFonts w:hint="eastAsia" w:hAnsi="宋体" w:cs="宋体"/>
          <w:highlight w:val="none"/>
          <w:lang w:eastAsia="zh-CN"/>
        </w:rPr>
        <w:t>永康市公安局委托</w:t>
      </w:r>
      <w:r>
        <w:rPr>
          <w:rFonts w:hint="eastAsia" w:hAnsi="宋体"/>
          <w:highlight w:val="none"/>
        </w:rPr>
        <w:t>金华市创佳工程项目管理有限公司经过_</w:t>
      </w:r>
      <w:r>
        <w:rPr>
          <w:rFonts w:hint="eastAsia" w:hAnsi="宋体"/>
          <w:highlight w:val="none"/>
          <w:u w:val="single"/>
        </w:rPr>
        <w:t>公开招标_</w:t>
      </w:r>
      <w:r>
        <w:rPr>
          <w:rFonts w:hint="eastAsia" w:hAnsi="宋体"/>
          <w:highlight w:val="none"/>
        </w:rPr>
        <w:t>_采购，确定_</w:t>
      </w:r>
      <w:r>
        <w:rPr>
          <w:rFonts w:hint="eastAsia" w:hAnsi="宋体"/>
          <w:highlight w:val="none"/>
          <w:u w:val="single"/>
        </w:rPr>
        <w:t xml:space="preserve">_               </w:t>
      </w:r>
      <w:r>
        <w:rPr>
          <w:rFonts w:hint="eastAsia" w:hAnsi="宋体"/>
          <w:highlight w:val="none"/>
        </w:rPr>
        <w:t>__为中标单位，甲、乙双方经协商，达成以下条款：</w:t>
      </w:r>
    </w:p>
    <w:p>
      <w:pPr>
        <w:pStyle w:val="18"/>
        <w:snapToGrid w:val="0"/>
        <w:spacing w:line="400" w:lineRule="exact"/>
        <w:rPr>
          <w:rFonts w:hAnsi="宋体"/>
          <w:b/>
          <w:bCs/>
          <w:highlight w:val="none"/>
        </w:rPr>
      </w:pPr>
      <w:r>
        <w:rPr>
          <w:rFonts w:hint="eastAsia" w:hAnsi="宋体"/>
          <w:b/>
          <w:bCs/>
          <w:highlight w:val="none"/>
        </w:rPr>
        <w:t>第一条：采购商品清单及合同价格                      金额单位：人民币元</w:t>
      </w:r>
    </w:p>
    <w:tbl>
      <w:tblPr>
        <w:tblStyle w:val="28"/>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440"/>
        <w:gridCol w:w="201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400" w:lineRule="exact"/>
              <w:ind w:left="-108"/>
              <w:jc w:val="center"/>
              <w:rPr>
                <w:rFonts w:hAnsi="宋体"/>
                <w:highlight w:val="none"/>
              </w:rPr>
            </w:pPr>
            <w:r>
              <w:rPr>
                <w:rFonts w:hint="eastAsia" w:hAnsi="宋体"/>
                <w:highlight w:val="none"/>
                <w:lang w:eastAsia="zh-CN"/>
              </w:rPr>
              <w:t>货物</w:t>
            </w:r>
            <w:r>
              <w:rPr>
                <w:rFonts w:hint="eastAsia" w:hAnsi="宋体"/>
                <w:highlight w:val="none"/>
              </w:rPr>
              <w:t>名称</w:t>
            </w:r>
          </w:p>
        </w:tc>
        <w:tc>
          <w:tcPr>
            <w:tcW w:w="1440" w:type="dxa"/>
            <w:tcBorders>
              <w:top w:val="single" w:color="auto" w:sz="4" w:space="0"/>
              <w:left w:val="nil"/>
              <w:bottom w:val="single" w:color="auto" w:sz="4" w:space="0"/>
              <w:right w:val="single" w:color="auto" w:sz="4" w:space="0"/>
            </w:tcBorders>
            <w:noWrap w:val="0"/>
            <w:vAlign w:val="center"/>
          </w:tcPr>
          <w:p>
            <w:pPr>
              <w:pStyle w:val="18"/>
              <w:snapToGrid w:val="0"/>
              <w:spacing w:line="400" w:lineRule="exact"/>
              <w:ind w:left="-108"/>
              <w:jc w:val="center"/>
              <w:rPr>
                <w:rFonts w:hAnsi="宋体"/>
                <w:highlight w:val="none"/>
              </w:rPr>
            </w:pPr>
            <w:r>
              <w:rPr>
                <w:rFonts w:hint="eastAsia" w:hAnsi="宋体"/>
                <w:highlight w:val="none"/>
              </w:rPr>
              <w:t>数量</w:t>
            </w:r>
          </w:p>
        </w:tc>
        <w:tc>
          <w:tcPr>
            <w:tcW w:w="2017" w:type="dxa"/>
            <w:tcBorders>
              <w:top w:val="single" w:color="auto" w:sz="4" w:space="0"/>
              <w:left w:val="nil"/>
              <w:bottom w:val="single" w:color="auto" w:sz="4" w:space="0"/>
              <w:right w:val="single" w:color="auto" w:sz="4" w:space="0"/>
            </w:tcBorders>
            <w:noWrap w:val="0"/>
            <w:vAlign w:val="center"/>
          </w:tcPr>
          <w:p>
            <w:pPr>
              <w:pStyle w:val="18"/>
              <w:snapToGrid w:val="0"/>
              <w:spacing w:line="400" w:lineRule="exact"/>
              <w:ind w:left="-108"/>
              <w:jc w:val="center"/>
              <w:rPr>
                <w:rFonts w:hAnsi="宋体"/>
                <w:highlight w:val="none"/>
              </w:rPr>
            </w:pPr>
            <w:r>
              <w:rPr>
                <w:rFonts w:hint="eastAsia" w:hAnsi="宋体"/>
                <w:highlight w:val="none"/>
              </w:rPr>
              <w:t>单价</w:t>
            </w:r>
          </w:p>
        </w:tc>
        <w:tc>
          <w:tcPr>
            <w:tcW w:w="2312" w:type="dxa"/>
            <w:tcBorders>
              <w:top w:val="single" w:color="auto" w:sz="4" w:space="0"/>
              <w:left w:val="nil"/>
              <w:bottom w:val="single" w:color="auto" w:sz="4" w:space="0"/>
              <w:right w:val="single" w:color="auto" w:sz="4" w:space="0"/>
            </w:tcBorders>
            <w:noWrap w:val="0"/>
            <w:vAlign w:val="center"/>
          </w:tcPr>
          <w:p>
            <w:pPr>
              <w:pStyle w:val="18"/>
              <w:snapToGrid w:val="0"/>
              <w:spacing w:line="400" w:lineRule="exact"/>
              <w:ind w:left="-108"/>
              <w:jc w:val="center"/>
              <w:rPr>
                <w:rFonts w:hAnsi="宋体"/>
                <w:highlight w:val="none"/>
              </w:rPr>
            </w:pPr>
            <w:r>
              <w:rPr>
                <w:rFonts w:hint="eastAsia" w:hAnsi="宋体"/>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45"/>
              <w:spacing w:line="400" w:lineRule="exact"/>
              <w:jc w:val="center"/>
              <w:rPr>
                <w:rFonts w:cs="Times New Roman"/>
                <w:sz w:val="21"/>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ighlight w:val="none"/>
              </w:rPr>
            </w:pPr>
          </w:p>
        </w:tc>
        <w:tc>
          <w:tcPr>
            <w:tcW w:w="20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ighlight w:val="none"/>
              </w:rPr>
            </w:pPr>
          </w:p>
        </w:tc>
        <w:tc>
          <w:tcPr>
            <w:tcW w:w="2312" w:type="dxa"/>
            <w:tcBorders>
              <w:top w:val="single" w:color="auto" w:sz="4" w:space="0"/>
              <w:left w:val="nil"/>
              <w:bottom w:val="single" w:color="auto" w:sz="4" w:space="0"/>
              <w:right w:val="single" w:color="auto" w:sz="4" w:space="0"/>
            </w:tcBorders>
            <w:noWrap w:val="0"/>
            <w:vAlign w:val="center"/>
          </w:tcPr>
          <w:p>
            <w:pPr>
              <w:pStyle w:val="45"/>
              <w:spacing w:line="400" w:lineRule="exact"/>
              <w:jc w:val="center"/>
              <w:rPr>
                <w:rFonts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45"/>
              <w:spacing w:line="400" w:lineRule="exact"/>
              <w:jc w:val="center"/>
              <w:rPr>
                <w:rFonts w:cs="Times New Roman"/>
                <w:sz w:val="21"/>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ighlight w:val="none"/>
              </w:rPr>
            </w:pPr>
          </w:p>
        </w:tc>
        <w:tc>
          <w:tcPr>
            <w:tcW w:w="20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ighlight w:val="none"/>
              </w:rPr>
            </w:pPr>
          </w:p>
        </w:tc>
        <w:tc>
          <w:tcPr>
            <w:tcW w:w="2312" w:type="dxa"/>
            <w:tcBorders>
              <w:top w:val="single" w:color="auto" w:sz="4" w:space="0"/>
              <w:left w:val="nil"/>
              <w:bottom w:val="single" w:color="auto" w:sz="4" w:space="0"/>
              <w:right w:val="single" w:color="auto" w:sz="4" w:space="0"/>
            </w:tcBorders>
            <w:noWrap w:val="0"/>
            <w:vAlign w:val="center"/>
          </w:tcPr>
          <w:p>
            <w:pPr>
              <w:pStyle w:val="45"/>
              <w:spacing w:line="400" w:lineRule="exact"/>
              <w:jc w:val="center"/>
              <w:rPr>
                <w:rFonts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6805" w:type="dxa"/>
            <w:gridSpan w:val="3"/>
            <w:tcBorders>
              <w:top w:val="single" w:color="auto" w:sz="4" w:space="0"/>
              <w:left w:val="single" w:color="auto" w:sz="4" w:space="0"/>
              <w:bottom w:val="single" w:color="auto" w:sz="4" w:space="0"/>
              <w:right w:val="single" w:color="auto" w:sz="4" w:space="0"/>
            </w:tcBorders>
            <w:noWrap w:val="0"/>
            <w:vAlign w:val="center"/>
          </w:tcPr>
          <w:p>
            <w:pPr>
              <w:pStyle w:val="45"/>
              <w:spacing w:line="400" w:lineRule="exact"/>
              <w:jc w:val="center"/>
              <w:rPr>
                <w:rFonts w:cs="Times New Roman"/>
                <w:sz w:val="21"/>
                <w:szCs w:val="21"/>
                <w:highlight w:val="none"/>
              </w:rPr>
            </w:pPr>
            <w:r>
              <w:rPr>
                <w:rFonts w:hint="eastAsia" w:cs="Times New Roman"/>
                <w:highlight w:val="none"/>
              </w:rPr>
              <w:t>合    计</w:t>
            </w:r>
          </w:p>
        </w:tc>
        <w:tc>
          <w:tcPr>
            <w:tcW w:w="2312" w:type="dxa"/>
            <w:tcBorders>
              <w:top w:val="single" w:color="auto" w:sz="4" w:space="0"/>
              <w:left w:val="nil"/>
              <w:bottom w:val="single" w:color="auto" w:sz="4" w:space="0"/>
              <w:right w:val="single" w:color="auto" w:sz="4" w:space="0"/>
            </w:tcBorders>
            <w:noWrap w:val="0"/>
            <w:vAlign w:val="center"/>
          </w:tcPr>
          <w:p>
            <w:pPr>
              <w:pStyle w:val="45"/>
              <w:spacing w:line="400" w:lineRule="exact"/>
              <w:jc w:val="center"/>
              <w:rPr>
                <w:rFonts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117" w:type="dxa"/>
            <w:gridSpan w:val="4"/>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400" w:lineRule="exact"/>
              <w:rPr>
                <w:rFonts w:hAnsi="宋体"/>
                <w:highlight w:val="none"/>
              </w:rPr>
            </w:pPr>
            <w:r>
              <w:rPr>
                <w:rFonts w:hint="eastAsia" w:hAnsi="宋体"/>
                <w:highlight w:val="none"/>
              </w:rPr>
              <w:t>合同总价：（人民币）（大写）                    元整</w:t>
            </w:r>
          </w:p>
        </w:tc>
      </w:tr>
    </w:tbl>
    <w:p>
      <w:pPr>
        <w:pStyle w:val="18"/>
        <w:snapToGrid w:val="0"/>
        <w:spacing w:line="340" w:lineRule="exact"/>
        <w:rPr>
          <w:rFonts w:hAnsi="宋体"/>
          <w:highlight w:val="none"/>
        </w:rPr>
      </w:pPr>
      <w:r>
        <w:rPr>
          <w:rFonts w:hint="eastAsia" w:hAnsi="宋体"/>
          <w:highlight w:val="none"/>
        </w:rPr>
        <w:t>注：采购内容、数量、配置要求及使用单位地址等详见附件清单。</w:t>
      </w:r>
    </w:p>
    <w:p>
      <w:pPr>
        <w:pStyle w:val="18"/>
        <w:snapToGrid w:val="0"/>
        <w:spacing w:line="340" w:lineRule="exact"/>
        <w:rPr>
          <w:rFonts w:hAnsi="宋体"/>
          <w:b/>
          <w:bCs/>
          <w:highlight w:val="none"/>
        </w:rPr>
      </w:pPr>
      <w:r>
        <w:rPr>
          <w:rFonts w:hint="eastAsia" w:hAnsi="宋体"/>
          <w:b/>
          <w:bCs/>
          <w:highlight w:val="none"/>
        </w:rPr>
        <w:t>第二条：</w:t>
      </w:r>
      <w:r>
        <w:rPr>
          <w:rFonts w:hint="eastAsia" w:ascii="宋体" w:cs="宋体"/>
          <w:b/>
          <w:bCs/>
          <w:highlight w:val="none"/>
          <w:lang w:eastAsia="zh-CN"/>
        </w:rPr>
        <w:t>设备安装期限</w:t>
      </w:r>
    </w:p>
    <w:p>
      <w:pPr>
        <w:snapToGrid w:val="0"/>
        <w:spacing w:line="312" w:lineRule="auto"/>
        <w:jc w:val="left"/>
        <w:rPr>
          <w:rFonts w:hint="eastAsia" w:ascii="宋体" w:cs="宋体"/>
          <w:b w:val="0"/>
          <w:bCs/>
          <w:highlight w:val="none"/>
          <w:lang w:eastAsia="zh-CN"/>
        </w:rPr>
      </w:pPr>
      <w:r>
        <w:rPr>
          <w:rFonts w:hint="eastAsia" w:ascii="宋体" w:cs="宋体"/>
          <w:b w:val="0"/>
          <w:bCs/>
          <w:highlight w:val="none"/>
          <w:lang w:eastAsia="zh-CN"/>
        </w:rPr>
        <w:t>合同签订并收到开工令后4个月内完工。设备安装完工后，设备验收合格后服务期限5年。</w:t>
      </w:r>
    </w:p>
    <w:p>
      <w:pPr>
        <w:snapToGrid w:val="0"/>
        <w:spacing w:line="312" w:lineRule="auto"/>
        <w:jc w:val="left"/>
        <w:rPr>
          <w:rFonts w:ascii="宋体" w:cs="宋体"/>
          <w:b/>
          <w:highlight w:val="none"/>
        </w:rPr>
      </w:pPr>
      <w:r>
        <w:rPr>
          <w:rFonts w:hint="eastAsia" w:ascii="宋体" w:cs="宋体"/>
          <w:b/>
          <w:highlight w:val="none"/>
        </w:rPr>
        <w:t>第三条：技术要求</w:t>
      </w:r>
    </w:p>
    <w:p>
      <w:pPr>
        <w:pStyle w:val="18"/>
        <w:snapToGrid w:val="0"/>
        <w:spacing w:line="360" w:lineRule="auto"/>
        <w:rPr>
          <w:rFonts w:hint="eastAsia" w:hAnsi="宋体" w:cs="黑体"/>
          <w:highlight w:val="none"/>
        </w:rPr>
      </w:pPr>
      <w:r>
        <w:rPr>
          <w:rFonts w:hint="eastAsia" w:hAnsi="宋体" w:cs="黑体"/>
          <w:highlight w:val="none"/>
        </w:rPr>
        <w:t>见招标文件第四章</w:t>
      </w:r>
    </w:p>
    <w:p>
      <w:pPr>
        <w:pStyle w:val="18"/>
        <w:snapToGrid w:val="0"/>
        <w:spacing w:line="360" w:lineRule="auto"/>
        <w:rPr>
          <w:rFonts w:hint="eastAsia" w:hAnsi="宋体" w:cs="黑体"/>
          <w:b/>
          <w:bCs/>
          <w:highlight w:val="none"/>
          <w:lang w:eastAsia="zh-CN"/>
        </w:rPr>
      </w:pPr>
      <w:r>
        <w:rPr>
          <w:rFonts w:hint="eastAsia" w:hAnsi="宋体" w:cs="黑体"/>
          <w:b/>
          <w:bCs/>
          <w:highlight w:val="none"/>
          <w:lang w:eastAsia="zh-CN"/>
        </w:rPr>
        <w:t>第四条：质保期</w:t>
      </w:r>
    </w:p>
    <w:p>
      <w:pPr>
        <w:pStyle w:val="18"/>
        <w:snapToGrid w:val="0"/>
        <w:spacing w:line="360" w:lineRule="auto"/>
        <w:rPr>
          <w:rFonts w:hint="default" w:hAnsi="宋体" w:cs="黑体"/>
          <w:highlight w:val="none"/>
          <w:lang w:val="en-US" w:eastAsia="zh-CN"/>
        </w:rPr>
      </w:pPr>
      <w:r>
        <w:rPr>
          <w:rFonts w:hint="eastAsia" w:hAnsi="宋体" w:cs="黑体"/>
          <w:highlight w:val="none"/>
          <w:lang w:eastAsia="zh-CN"/>
        </w:rPr>
        <w:t>验收合格后</w:t>
      </w:r>
      <w:r>
        <w:rPr>
          <w:rFonts w:hint="eastAsia" w:hAnsi="宋体" w:cs="黑体"/>
          <w:highlight w:val="none"/>
          <w:lang w:val="en-US" w:eastAsia="zh-CN"/>
        </w:rPr>
        <w:t>5年。</w:t>
      </w:r>
    </w:p>
    <w:p>
      <w:pPr>
        <w:pStyle w:val="18"/>
        <w:snapToGrid w:val="0"/>
        <w:spacing w:line="360" w:lineRule="auto"/>
        <w:rPr>
          <w:rFonts w:hAnsi="宋体" w:cs="黑体"/>
          <w:b/>
          <w:bCs/>
          <w:highlight w:val="none"/>
        </w:rPr>
      </w:pPr>
      <w:r>
        <w:rPr>
          <w:rFonts w:hint="eastAsia" w:hAnsi="宋体" w:cs="黑体"/>
          <w:b/>
          <w:bCs/>
          <w:highlight w:val="none"/>
        </w:rPr>
        <w:t>第</w:t>
      </w:r>
      <w:r>
        <w:rPr>
          <w:rFonts w:hint="eastAsia" w:hAnsi="宋体" w:cs="黑体"/>
          <w:b/>
          <w:bCs/>
          <w:highlight w:val="none"/>
          <w:lang w:eastAsia="zh-CN"/>
        </w:rPr>
        <w:t>五</w:t>
      </w:r>
      <w:r>
        <w:rPr>
          <w:rFonts w:hint="eastAsia" w:hAnsi="宋体" w:cs="黑体"/>
          <w:b/>
          <w:bCs/>
          <w:highlight w:val="none"/>
        </w:rPr>
        <w:t>条：付款方式</w:t>
      </w:r>
    </w:p>
    <w:p>
      <w:pPr>
        <w:widowControl w:val="0"/>
        <w:spacing w:line="360" w:lineRule="auto"/>
        <w:rPr>
          <w:rFonts w:hint="eastAsia"/>
          <w:lang w:eastAsia="zh-CN"/>
        </w:rPr>
      </w:pPr>
      <w:r>
        <w:rPr>
          <w:rFonts w:hint="eastAsia"/>
          <w:lang w:val="en-US" w:eastAsia="zh-CN"/>
        </w:rPr>
        <w:t>1、</w:t>
      </w:r>
      <w:r>
        <w:rPr>
          <w:rFonts w:hint="eastAsia"/>
        </w:rPr>
        <w:t>合同签订具备实施条件后7个工作日</w:t>
      </w:r>
      <w:r>
        <w:rPr>
          <w:rFonts w:hint="eastAsia"/>
          <w:lang w:eastAsia="zh-CN"/>
        </w:rPr>
        <w:t>支付</w:t>
      </w:r>
      <w:r>
        <w:rPr>
          <w:rFonts w:hint="eastAsia"/>
        </w:rPr>
        <w:t>合同总价的40%作为预付款（中标人须在采购人支付预付款前，向采购人提交合同总额</w:t>
      </w:r>
      <w:r>
        <w:rPr>
          <w:rFonts w:hint="eastAsia"/>
          <w:lang w:val="en-US" w:eastAsia="zh-CN"/>
        </w:rPr>
        <w:t>1</w:t>
      </w:r>
      <w:r>
        <w:rPr>
          <w:rFonts w:hint="eastAsia"/>
        </w:rPr>
        <w:t>%作为履约保证金，履约保证金形式可以银行出具的保函或其他担保措施，项目终验后无息退还）</w:t>
      </w:r>
      <w:r>
        <w:rPr>
          <w:rFonts w:hint="eastAsia"/>
          <w:lang w:eastAsia="zh-CN"/>
        </w:rPr>
        <w:t>；</w:t>
      </w:r>
    </w:p>
    <w:p>
      <w:pPr>
        <w:widowControl w:val="0"/>
        <w:spacing w:line="360" w:lineRule="auto"/>
        <w:rPr>
          <w:rFonts w:hint="eastAsia"/>
        </w:rPr>
      </w:pPr>
      <w:r>
        <w:rPr>
          <w:rFonts w:hint="eastAsia"/>
        </w:rPr>
        <w:t>2.项目通过终验</w:t>
      </w:r>
      <w:r>
        <w:rPr>
          <w:rFonts w:hint="eastAsia"/>
          <w:lang w:val="en-US" w:eastAsia="zh-CN"/>
        </w:rPr>
        <w:t>完成后付至合同总额的60%，经结算审核后7个工作日内支付至最终合同总额的75％；</w:t>
      </w:r>
    </w:p>
    <w:p>
      <w:pPr>
        <w:widowControl w:val="0"/>
        <w:spacing w:line="360" w:lineRule="auto"/>
        <w:rPr>
          <w:rFonts w:hint="eastAsia"/>
        </w:rPr>
      </w:pPr>
      <w:r>
        <w:rPr>
          <w:rFonts w:hint="eastAsia"/>
        </w:rPr>
        <w:t>3.</w:t>
      </w:r>
      <w:r>
        <w:rPr>
          <w:rFonts w:hint="eastAsia"/>
          <w:lang w:eastAsia="zh-CN"/>
        </w:rPr>
        <w:t>服务期满1年后7</w:t>
      </w:r>
      <w:r>
        <w:rPr>
          <w:rFonts w:hint="eastAsia"/>
        </w:rPr>
        <w:t>个工作日付至最终</w:t>
      </w:r>
      <w:r>
        <w:rPr>
          <w:rFonts w:hint="eastAsia"/>
          <w:lang w:val="en-US" w:eastAsia="zh-CN"/>
        </w:rPr>
        <w:t>合同总额</w:t>
      </w:r>
      <w:r>
        <w:rPr>
          <w:rFonts w:hint="eastAsia"/>
        </w:rPr>
        <w:t>的</w:t>
      </w:r>
      <w:r>
        <w:rPr>
          <w:rFonts w:hint="eastAsia"/>
          <w:lang w:val="en-US" w:eastAsia="zh-CN"/>
        </w:rPr>
        <w:t>80</w:t>
      </w:r>
      <w:r>
        <w:rPr>
          <w:rFonts w:hint="eastAsia"/>
        </w:rPr>
        <w:t>％。</w:t>
      </w:r>
    </w:p>
    <w:p>
      <w:pPr>
        <w:widowControl w:val="0"/>
        <w:spacing w:line="360" w:lineRule="auto"/>
        <w:rPr>
          <w:rFonts w:hint="eastAsia"/>
        </w:rPr>
      </w:pPr>
      <w:r>
        <w:rPr>
          <w:rFonts w:hint="eastAsia"/>
          <w:lang w:val="en-US" w:eastAsia="zh-CN"/>
        </w:rPr>
        <w:t>4</w:t>
      </w:r>
      <w:r>
        <w:rPr>
          <w:rFonts w:hint="eastAsia"/>
        </w:rPr>
        <w:t>.</w:t>
      </w:r>
      <w:r>
        <w:rPr>
          <w:rFonts w:hint="eastAsia"/>
          <w:lang w:eastAsia="zh-CN"/>
        </w:rPr>
        <w:t>服务期满</w:t>
      </w:r>
      <w:r>
        <w:rPr>
          <w:rFonts w:hint="eastAsia"/>
          <w:lang w:val="en-US" w:eastAsia="zh-CN"/>
        </w:rPr>
        <w:t>2</w:t>
      </w:r>
      <w:r>
        <w:rPr>
          <w:rFonts w:hint="eastAsia"/>
          <w:lang w:eastAsia="zh-CN"/>
        </w:rPr>
        <w:t>年后7</w:t>
      </w:r>
      <w:r>
        <w:rPr>
          <w:rFonts w:hint="eastAsia"/>
        </w:rPr>
        <w:t>个工作日付至最终</w:t>
      </w:r>
      <w:r>
        <w:rPr>
          <w:rFonts w:hint="eastAsia"/>
          <w:lang w:val="en-US" w:eastAsia="zh-CN"/>
        </w:rPr>
        <w:t>合同总额</w:t>
      </w:r>
      <w:r>
        <w:rPr>
          <w:rFonts w:hint="eastAsia"/>
        </w:rPr>
        <w:t>的</w:t>
      </w:r>
      <w:r>
        <w:rPr>
          <w:rFonts w:hint="eastAsia"/>
          <w:lang w:val="en-US" w:eastAsia="zh-CN"/>
        </w:rPr>
        <w:t>85</w:t>
      </w:r>
      <w:r>
        <w:rPr>
          <w:rFonts w:hint="eastAsia"/>
        </w:rPr>
        <w:t>％。</w:t>
      </w:r>
    </w:p>
    <w:p>
      <w:pPr>
        <w:widowControl w:val="0"/>
        <w:spacing w:line="360" w:lineRule="auto"/>
        <w:rPr>
          <w:rFonts w:hint="eastAsia"/>
        </w:rPr>
      </w:pPr>
      <w:r>
        <w:rPr>
          <w:rFonts w:hint="eastAsia"/>
          <w:lang w:val="en-US" w:eastAsia="zh-CN"/>
        </w:rPr>
        <w:t>5</w:t>
      </w:r>
      <w:r>
        <w:rPr>
          <w:rFonts w:hint="eastAsia"/>
        </w:rPr>
        <w:t>.</w:t>
      </w:r>
      <w:r>
        <w:rPr>
          <w:rFonts w:hint="eastAsia"/>
          <w:lang w:eastAsia="zh-CN"/>
        </w:rPr>
        <w:t>服务期满</w:t>
      </w:r>
      <w:r>
        <w:rPr>
          <w:rFonts w:hint="eastAsia"/>
          <w:lang w:val="en-US" w:eastAsia="zh-CN"/>
        </w:rPr>
        <w:t>3</w:t>
      </w:r>
      <w:r>
        <w:rPr>
          <w:rFonts w:hint="eastAsia"/>
          <w:lang w:eastAsia="zh-CN"/>
        </w:rPr>
        <w:t>年后7</w:t>
      </w:r>
      <w:r>
        <w:rPr>
          <w:rFonts w:hint="eastAsia"/>
        </w:rPr>
        <w:t>个工作日付至最终</w:t>
      </w:r>
      <w:r>
        <w:rPr>
          <w:rFonts w:hint="eastAsia"/>
          <w:lang w:val="en-US" w:eastAsia="zh-CN"/>
        </w:rPr>
        <w:t>合同总额</w:t>
      </w:r>
      <w:r>
        <w:rPr>
          <w:rFonts w:hint="eastAsia"/>
        </w:rPr>
        <w:t>的</w:t>
      </w:r>
      <w:r>
        <w:rPr>
          <w:rFonts w:hint="eastAsia"/>
          <w:lang w:val="en-US" w:eastAsia="zh-CN"/>
        </w:rPr>
        <w:t>90</w:t>
      </w:r>
      <w:r>
        <w:rPr>
          <w:rFonts w:hint="eastAsia"/>
        </w:rPr>
        <w:t>％。</w:t>
      </w:r>
    </w:p>
    <w:p>
      <w:pPr>
        <w:widowControl w:val="0"/>
        <w:spacing w:line="360" w:lineRule="auto"/>
        <w:rPr>
          <w:rFonts w:hint="eastAsia"/>
        </w:rPr>
      </w:pPr>
      <w:r>
        <w:rPr>
          <w:rFonts w:hint="eastAsia"/>
          <w:lang w:val="en-US" w:eastAsia="zh-CN"/>
        </w:rPr>
        <w:t>6</w:t>
      </w:r>
      <w:r>
        <w:rPr>
          <w:rFonts w:hint="eastAsia"/>
        </w:rPr>
        <w:t>.</w:t>
      </w:r>
      <w:r>
        <w:rPr>
          <w:rFonts w:hint="eastAsia"/>
          <w:lang w:eastAsia="zh-CN"/>
        </w:rPr>
        <w:t>服务期满</w:t>
      </w:r>
      <w:r>
        <w:rPr>
          <w:rFonts w:hint="eastAsia"/>
          <w:lang w:val="en-US" w:eastAsia="zh-CN"/>
        </w:rPr>
        <w:t>4</w:t>
      </w:r>
      <w:r>
        <w:rPr>
          <w:rFonts w:hint="eastAsia"/>
          <w:lang w:eastAsia="zh-CN"/>
        </w:rPr>
        <w:t>年后7</w:t>
      </w:r>
      <w:r>
        <w:rPr>
          <w:rFonts w:hint="eastAsia"/>
        </w:rPr>
        <w:t>个工作日付至最终</w:t>
      </w:r>
      <w:r>
        <w:rPr>
          <w:rFonts w:hint="eastAsia"/>
          <w:lang w:val="en-US" w:eastAsia="zh-CN"/>
        </w:rPr>
        <w:t>合同总额</w:t>
      </w:r>
      <w:r>
        <w:rPr>
          <w:rFonts w:hint="eastAsia"/>
        </w:rPr>
        <w:t>的</w:t>
      </w:r>
      <w:r>
        <w:rPr>
          <w:rFonts w:hint="eastAsia"/>
          <w:lang w:val="en-US" w:eastAsia="zh-CN"/>
        </w:rPr>
        <w:t>95</w:t>
      </w:r>
      <w:r>
        <w:rPr>
          <w:rFonts w:hint="eastAsia"/>
        </w:rPr>
        <w:t>％。</w:t>
      </w:r>
    </w:p>
    <w:p>
      <w:pPr>
        <w:pStyle w:val="18"/>
        <w:snapToGrid w:val="0"/>
        <w:spacing w:line="360" w:lineRule="auto"/>
        <w:rPr>
          <w:rFonts w:hint="eastAsia"/>
        </w:rPr>
      </w:pPr>
      <w:r>
        <w:rPr>
          <w:rFonts w:hint="eastAsia"/>
          <w:lang w:val="en-US" w:eastAsia="zh-CN"/>
        </w:rPr>
        <w:t>7</w:t>
      </w:r>
      <w:r>
        <w:rPr>
          <w:rFonts w:hint="eastAsia"/>
        </w:rPr>
        <w:t>.</w:t>
      </w:r>
      <w:r>
        <w:rPr>
          <w:rFonts w:hint="eastAsia"/>
          <w:lang w:eastAsia="zh-CN"/>
        </w:rPr>
        <w:t>服务期满</w:t>
      </w:r>
      <w:r>
        <w:rPr>
          <w:rFonts w:hint="eastAsia"/>
          <w:lang w:val="en-US" w:eastAsia="zh-CN"/>
        </w:rPr>
        <w:t>5</w:t>
      </w:r>
      <w:r>
        <w:rPr>
          <w:rFonts w:hint="eastAsia"/>
          <w:lang w:eastAsia="zh-CN"/>
        </w:rPr>
        <w:t>年后7</w:t>
      </w:r>
      <w:r>
        <w:rPr>
          <w:rFonts w:hint="eastAsia"/>
        </w:rPr>
        <w:t>个工作日付至最终</w:t>
      </w:r>
      <w:r>
        <w:rPr>
          <w:rFonts w:hint="eastAsia"/>
          <w:lang w:val="en-US" w:eastAsia="zh-CN"/>
        </w:rPr>
        <w:t>合同总额</w:t>
      </w:r>
      <w:r>
        <w:rPr>
          <w:rFonts w:hint="eastAsia"/>
        </w:rPr>
        <w:t>的</w:t>
      </w:r>
      <w:r>
        <w:rPr>
          <w:rFonts w:hint="eastAsia"/>
          <w:lang w:val="en-US" w:eastAsia="zh-CN"/>
        </w:rPr>
        <w:t>100</w:t>
      </w:r>
      <w:r>
        <w:rPr>
          <w:rFonts w:hint="eastAsia"/>
        </w:rPr>
        <w:t>％。</w:t>
      </w:r>
    </w:p>
    <w:p>
      <w:pPr>
        <w:pStyle w:val="18"/>
        <w:snapToGrid w:val="0"/>
        <w:spacing w:line="360" w:lineRule="auto"/>
        <w:rPr>
          <w:rFonts w:hAnsi="宋体"/>
          <w:b/>
          <w:highlight w:val="none"/>
        </w:rPr>
      </w:pPr>
      <w:r>
        <w:rPr>
          <w:rFonts w:hint="eastAsia" w:hAnsi="宋体"/>
          <w:b/>
          <w:highlight w:val="none"/>
        </w:rPr>
        <w:t>第</w:t>
      </w:r>
      <w:r>
        <w:rPr>
          <w:rFonts w:hint="eastAsia" w:hAnsi="宋体"/>
          <w:b/>
          <w:highlight w:val="none"/>
          <w:lang w:eastAsia="zh-CN"/>
        </w:rPr>
        <w:t>六</w:t>
      </w:r>
      <w:r>
        <w:rPr>
          <w:rFonts w:hint="eastAsia" w:hAnsi="宋体"/>
          <w:b/>
          <w:highlight w:val="none"/>
        </w:rPr>
        <w:t>条：其他约定</w:t>
      </w:r>
    </w:p>
    <w:p>
      <w:pPr>
        <w:pStyle w:val="18"/>
        <w:numPr>
          <w:ilvl w:val="0"/>
          <w:numId w:val="10"/>
        </w:numPr>
        <w:snapToGrid w:val="0"/>
        <w:spacing w:line="360" w:lineRule="auto"/>
        <w:rPr>
          <w:spacing w:val="-5"/>
          <w:highlight w:val="none"/>
        </w:rPr>
      </w:pPr>
      <w:r>
        <w:rPr>
          <w:rFonts w:hint="eastAsia"/>
          <w:spacing w:val="-5"/>
          <w:highlight w:val="none"/>
        </w:rPr>
        <w:t>合同约定解除条款：（1）如在履行过程中，遇到政策调整情形，采购合同继续履行将损害国家利益和社会公共利益的，双方均有权解除本合同；（2）任何一方由于不可抗力原因不能按约履行合同时，应在不可抗力事件结束后7日内向对方书面形式有效通报，并根据情况可以变更或者解除合同。因不可抗力解除合同，合同双方可部分或全部免于承担违约责任。</w:t>
      </w:r>
    </w:p>
    <w:p>
      <w:pPr>
        <w:pStyle w:val="18"/>
        <w:numPr>
          <w:ilvl w:val="0"/>
          <w:numId w:val="10"/>
        </w:numPr>
        <w:snapToGrid w:val="0"/>
        <w:spacing w:line="360" w:lineRule="auto"/>
        <w:rPr>
          <w:rFonts w:hint="eastAsia"/>
          <w:b/>
          <w:bCs/>
          <w:spacing w:val="-5"/>
          <w:highlight w:val="none"/>
        </w:rPr>
      </w:pPr>
      <w:r>
        <w:rPr>
          <w:rFonts w:hint="eastAsia"/>
          <w:b/>
          <w:bCs/>
          <w:spacing w:val="-5"/>
          <w:highlight w:val="none"/>
        </w:rPr>
        <w:t>履约保证金或履约保函条款：乙方交纳人民币△元作为本合同的履约保证金（如有）。</w:t>
      </w:r>
    </w:p>
    <w:p>
      <w:pPr>
        <w:pStyle w:val="18"/>
        <w:snapToGrid w:val="0"/>
        <w:spacing w:line="360" w:lineRule="auto"/>
        <w:rPr>
          <w:spacing w:val="-5"/>
          <w:highlight w:val="none"/>
        </w:rPr>
      </w:pPr>
      <w:r>
        <w:rPr>
          <w:rFonts w:hint="eastAsia"/>
          <w:spacing w:val="-5"/>
          <w:highlight w:val="none"/>
        </w:rPr>
        <w:t>3.保密条款：乙方在工作过程中接触到的甲方的任何资料、文件、数据，以及对为甲方服务形成的任何交付物，负有为甲方保密的责任。未经甲方书面同意，乙方不得以任何方式向任何第三方提供或透露，否则乙方应承担相应法律责任。</w:t>
      </w:r>
    </w:p>
    <w:p>
      <w:pPr>
        <w:spacing w:line="360" w:lineRule="auto"/>
        <w:rPr>
          <w:rFonts w:ascii="宋体"/>
          <w:highlight w:val="none"/>
        </w:rPr>
      </w:pPr>
      <w:r>
        <w:rPr>
          <w:rFonts w:hint="eastAsia"/>
          <w:spacing w:val="-5"/>
          <w:highlight w:val="none"/>
          <w:lang w:eastAsia="zh-CN"/>
        </w:rPr>
        <w:t>永康市公安局城市大脑畅行丽州-协同应用项目（2021年一期）前端系统建设项目</w:t>
      </w:r>
      <w:r>
        <w:rPr>
          <w:rFonts w:hint="eastAsia" w:ascii="宋体"/>
          <w:highlight w:val="none"/>
        </w:rPr>
        <w:t>（招标编号：</w:t>
      </w:r>
      <w:r>
        <w:rPr>
          <w:rFonts w:hint="eastAsia"/>
          <w:highlight w:val="none"/>
          <w:lang w:eastAsia="zh-CN"/>
        </w:rPr>
        <w:t>1106012022004-CJCG22032</w:t>
      </w:r>
      <w:r>
        <w:rPr>
          <w:rFonts w:hint="eastAsia" w:ascii="宋体"/>
          <w:highlight w:val="none"/>
        </w:rPr>
        <w:t>）招标文件以及投标文件、询标纪要、 “承诺书”是本合同不可分割的组成部分，本合同未尽事宜从其规定。</w:t>
      </w:r>
    </w:p>
    <w:p>
      <w:pPr>
        <w:pStyle w:val="18"/>
        <w:tabs>
          <w:tab w:val="center" w:pos="4153"/>
        </w:tabs>
        <w:snapToGrid w:val="0"/>
        <w:spacing w:line="360" w:lineRule="auto"/>
        <w:rPr>
          <w:rFonts w:hAnsi="宋体"/>
          <w:b/>
          <w:highlight w:val="none"/>
        </w:rPr>
      </w:pPr>
      <w:r>
        <w:rPr>
          <w:rFonts w:hint="eastAsia" w:hAnsi="宋体"/>
          <w:b/>
          <w:highlight w:val="none"/>
        </w:rPr>
        <w:t>第</w:t>
      </w:r>
      <w:r>
        <w:rPr>
          <w:rFonts w:hint="eastAsia" w:hAnsi="宋体"/>
          <w:b/>
          <w:highlight w:val="none"/>
          <w:lang w:eastAsia="zh-CN"/>
        </w:rPr>
        <w:t>七</w:t>
      </w:r>
      <w:r>
        <w:rPr>
          <w:rFonts w:hint="eastAsia" w:hAnsi="宋体"/>
          <w:b/>
          <w:highlight w:val="none"/>
        </w:rPr>
        <w:t>条：违约责任</w:t>
      </w:r>
      <w:r>
        <w:rPr>
          <w:rFonts w:hAnsi="宋体"/>
          <w:b/>
          <w:highlight w:val="none"/>
        </w:rPr>
        <w:tab/>
      </w:r>
    </w:p>
    <w:p>
      <w:pPr>
        <w:pStyle w:val="18"/>
        <w:snapToGrid w:val="0"/>
        <w:spacing w:line="360" w:lineRule="auto"/>
        <w:rPr>
          <w:rFonts w:hAnsi="宋体"/>
          <w:highlight w:val="none"/>
        </w:rPr>
      </w:pPr>
      <w:r>
        <w:rPr>
          <w:rFonts w:hint="eastAsia" w:hAnsi="宋体"/>
          <w:highlight w:val="none"/>
        </w:rPr>
        <w:t xml:space="preserve">    1、乙方逾期履行合同的，自逾期之日起，向甲方每日偿付合同总价万分之二的违约金；乙方逾期30日（非工作日）不能服务的，甲方有权解除合同。</w:t>
      </w:r>
    </w:p>
    <w:p>
      <w:pPr>
        <w:pStyle w:val="18"/>
        <w:snapToGrid w:val="0"/>
        <w:spacing w:line="360" w:lineRule="auto"/>
        <w:ind w:firstLine="480"/>
        <w:rPr>
          <w:rFonts w:hAnsi="宋体"/>
          <w:highlight w:val="none"/>
        </w:rPr>
      </w:pPr>
      <w:r>
        <w:rPr>
          <w:rFonts w:hint="eastAsia" w:hAnsi="宋体"/>
          <w:highlight w:val="none"/>
        </w:rPr>
        <w:t>2、甲方逾期支付服务款的，自逾期之日起，向乙方每日偿付合同总价万分之二的违约金。</w:t>
      </w:r>
    </w:p>
    <w:p>
      <w:pPr>
        <w:pStyle w:val="18"/>
        <w:snapToGrid w:val="0"/>
        <w:spacing w:line="360" w:lineRule="auto"/>
        <w:ind w:firstLine="480"/>
        <w:rPr>
          <w:rFonts w:hAnsi="宋体"/>
          <w:highlight w:val="none"/>
        </w:rPr>
      </w:pPr>
      <w:r>
        <w:rPr>
          <w:rFonts w:hint="eastAsia" w:hAnsi="宋体"/>
          <w:highlight w:val="none"/>
        </w:rPr>
        <w:t>3、乙方在服务验收合格之日起一年内违反本合同有关质量保证及售后响应时间的，在履约保函金额内赔付，损失赔偿不足部分，按法律相关规定处理；在服务完成交付验收合格之日起一年后发生问题的，按法律相关规定处理。</w:t>
      </w:r>
    </w:p>
    <w:p>
      <w:pPr>
        <w:pStyle w:val="18"/>
        <w:snapToGrid w:val="0"/>
        <w:rPr>
          <w:rFonts w:hAnsi="宋体"/>
          <w:b/>
          <w:highlight w:val="none"/>
        </w:rPr>
      </w:pPr>
      <w:r>
        <w:rPr>
          <w:rFonts w:hint="eastAsia" w:hAnsi="宋体"/>
          <w:b/>
          <w:highlight w:val="none"/>
        </w:rPr>
        <w:t>第</w:t>
      </w:r>
      <w:r>
        <w:rPr>
          <w:rFonts w:hint="eastAsia" w:hAnsi="宋体"/>
          <w:b/>
          <w:highlight w:val="none"/>
          <w:lang w:eastAsia="zh-CN"/>
        </w:rPr>
        <w:t>八</w:t>
      </w:r>
      <w:r>
        <w:rPr>
          <w:rFonts w:hint="eastAsia" w:hAnsi="宋体"/>
          <w:b/>
          <w:highlight w:val="none"/>
        </w:rPr>
        <w:t>条：争议的解决</w:t>
      </w:r>
    </w:p>
    <w:p>
      <w:pPr>
        <w:pStyle w:val="18"/>
        <w:snapToGrid w:val="0"/>
        <w:ind w:firstLine="480"/>
        <w:rPr>
          <w:rFonts w:hAnsi="宋体"/>
          <w:highlight w:val="none"/>
        </w:rPr>
      </w:pPr>
      <w:r>
        <w:rPr>
          <w:rFonts w:hint="eastAsia" w:hAnsi="宋体"/>
          <w:highlight w:val="none"/>
        </w:rPr>
        <w:t xml:space="preserve"> 本合同为政府采购之合同，在发生售后服务等问题时，甲方有权直接向乙方索赔，签订必要的书面处理协议。如协商不成，任何一方有权提交永康市人民法院</w:t>
      </w:r>
      <w:r>
        <w:rPr>
          <w:rFonts w:hint="eastAsia"/>
          <w:highlight w:val="none"/>
        </w:rPr>
        <w:t>依法律规定处理</w:t>
      </w:r>
      <w:r>
        <w:rPr>
          <w:rFonts w:hint="eastAsia" w:hAnsi="宋体"/>
          <w:highlight w:val="none"/>
        </w:rPr>
        <w:t>。</w:t>
      </w:r>
    </w:p>
    <w:p>
      <w:pPr>
        <w:pStyle w:val="18"/>
        <w:snapToGrid w:val="0"/>
        <w:rPr>
          <w:rFonts w:hAnsi="宋体"/>
          <w:highlight w:val="none"/>
        </w:rPr>
      </w:pPr>
      <w:r>
        <w:rPr>
          <w:rFonts w:hint="eastAsia" w:hAnsi="宋体"/>
          <w:highlight w:val="none"/>
        </w:rPr>
        <w:t>第八条：合同的生效</w:t>
      </w:r>
    </w:p>
    <w:p>
      <w:pPr>
        <w:pStyle w:val="18"/>
        <w:snapToGrid w:val="0"/>
        <w:rPr>
          <w:rFonts w:hAnsi="宋体"/>
          <w:highlight w:val="none"/>
        </w:rPr>
      </w:pPr>
      <w:r>
        <w:rPr>
          <w:rFonts w:hint="eastAsia" w:hAnsi="宋体"/>
          <w:highlight w:val="none"/>
        </w:rPr>
        <w:t xml:space="preserve">    1、本合同经乙方和甲方、金华市创佳工程项目管理有限公司法定代表人或其委托人签字并加盖叁方公章生效。</w:t>
      </w:r>
    </w:p>
    <w:p>
      <w:pPr>
        <w:pStyle w:val="18"/>
        <w:snapToGrid w:val="0"/>
        <w:rPr>
          <w:rFonts w:hAnsi="宋体"/>
          <w:highlight w:val="none"/>
        </w:rPr>
      </w:pPr>
      <w:r>
        <w:rPr>
          <w:rFonts w:hint="eastAsia" w:hAnsi="宋体"/>
          <w:highlight w:val="none"/>
        </w:rPr>
        <w:t xml:space="preserve">    2、本合同一式四份，甲方一份，乙方一份，永康市财政局政府采购监管科一份，招标代理机构一份。</w:t>
      </w:r>
    </w:p>
    <w:p>
      <w:pPr>
        <w:pStyle w:val="18"/>
        <w:snapToGrid w:val="0"/>
        <w:rPr>
          <w:rFonts w:hAnsi="宋体"/>
          <w:highlight w:val="none"/>
        </w:rPr>
      </w:pPr>
      <w:r>
        <w:rPr>
          <w:rFonts w:hint="eastAsia" w:hAnsi="宋体"/>
          <w:highlight w:val="none"/>
        </w:rPr>
        <w:t xml:space="preserve">    3、相关招标文件、投标文件、报价单等与本合同具有同等法律效力。</w:t>
      </w:r>
    </w:p>
    <w:p>
      <w:pPr>
        <w:pStyle w:val="18"/>
        <w:snapToGrid w:val="0"/>
        <w:rPr>
          <w:rFonts w:hAnsi="宋体"/>
          <w:highlight w:val="none"/>
        </w:rPr>
      </w:pPr>
      <w:r>
        <w:rPr>
          <w:rFonts w:hint="eastAsia" w:hAnsi="宋体"/>
          <w:highlight w:val="none"/>
        </w:rPr>
        <w:t>　　甲方（公章）：                     签证方（公章）：</w:t>
      </w:r>
    </w:p>
    <w:p>
      <w:pPr>
        <w:pStyle w:val="18"/>
        <w:snapToGrid w:val="0"/>
        <w:ind w:firstLine="315" w:firstLineChars="150"/>
        <w:rPr>
          <w:rFonts w:hAnsi="宋体"/>
          <w:highlight w:val="none"/>
        </w:rPr>
      </w:pPr>
      <w:r>
        <w:rPr>
          <w:rFonts w:hint="eastAsia" w:hAnsi="宋体"/>
          <w:highlight w:val="none"/>
        </w:rPr>
        <w:t>法定代表人或受委托人              法定代表人或受委托人</w:t>
      </w:r>
    </w:p>
    <w:p>
      <w:pPr>
        <w:pStyle w:val="18"/>
        <w:snapToGrid w:val="0"/>
        <w:ind w:firstLine="525" w:firstLineChars="250"/>
        <w:rPr>
          <w:rFonts w:hAnsi="宋体"/>
          <w:highlight w:val="none"/>
        </w:rPr>
      </w:pPr>
      <w:r>
        <w:rPr>
          <w:rFonts w:hint="eastAsia" w:hAnsi="宋体"/>
          <w:highlight w:val="none"/>
        </w:rPr>
        <w:t>（签字）                           （签字）</w:t>
      </w:r>
    </w:p>
    <w:p>
      <w:pPr>
        <w:pStyle w:val="18"/>
        <w:snapToGrid w:val="0"/>
        <w:ind w:firstLine="315" w:firstLineChars="150"/>
        <w:rPr>
          <w:rFonts w:hAnsi="宋体"/>
          <w:highlight w:val="none"/>
        </w:rPr>
      </w:pPr>
      <w:r>
        <w:rPr>
          <w:rFonts w:hint="eastAsia" w:hAnsi="宋体"/>
          <w:highlight w:val="none"/>
        </w:rPr>
        <w:t xml:space="preserve">地址：                            </w:t>
      </w:r>
    </w:p>
    <w:p>
      <w:pPr>
        <w:pStyle w:val="18"/>
        <w:snapToGrid w:val="0"/>
        <w:ind w:firstLine="315" w:firstLineChars="150"/>
        <w:rPr>
          <w:rFonts w:hAnsi="宋体"/>
          <w:highlight w:val="none"/>
        </w:rPr>
      </w:pPr>
      <w:r>
        <w:rPr>
          <w:rFonts w:hint="eastAsia" w:hAnsi="宋体"/>
          <w:highlight w:val="none"/>
        </w:rPr>
        <w:t xml:space="preserve">邮编：                         </w:t>
      </w:r>
    </w:p>
    <w:p>
      <w:pPr>
        <w:pStyle w:val="18"/>
        <w:snapToGrid w:val="0"/>
        <w:ind w:firstLine="315" w:firstLineChars="150"/>
        <w:rPr>
          <w:rFonts w:hAnsi="宋体"/>
          <w:highlight w:val="none"/>
        </w:rPr>
      </w:pPr>
      <w:r>
        <w:rPr>
          <w:rFonts w:hint="eastAsia" w:hAnsi="宋体"/>
          <w:highlight w:val="none"/>
        </w:rPr>
        <w:t xml:space="preserve">电话：                           </w:t>
      </w:r>
    </w:p>
    <w:p>
      <w:pPr>
        <w:pStyle w:val="18"/>
        <w:snapToGrid w:val="0"/>
        <w:ind w:firstLine="315" w:firstLineChars="150"/>
        <w:rPr>
          <w:rFonts w:hAnsi="宋体"/>
          <w:highlight w:val="none"/>
        </w:rPr>
      </w:pPr>
      <w:r>
        <w:rPr>
          <w:rFonts w:hint="eastAsia" w:hAnsi="宋体"/>
          <w:highlight w:val="none"/>
        </w:rPr>
        <w:t xml:space="preserve">传真：                          </w:t>
      </w:r>
    </w:p>
    <w:p>
      <w:pPr>
        <w:pStyle w:val="18"/>
        <w:snapToGrid w:val="0"/>
        <w:ind w:firstLine="315" w:firstLineChars="150"/>
        <w:rPr>
          <w:rFonts w:hAnsi="宋体"/>
          <w:highlight w:val="none"/>
        </w:rPr>
      </w:pPr>
      <w:r>
        <w:rPr>
          <w:rFonts w:hint="eastAsia" w:hAnsi="宋体"/>
          <w:highlight w:val="none"/>
        </w:rPr>
        <w:t xml:space="preserve">开户银行：                        </w:t>
      </w:r>
    </w:p>
    <w:p>
      <w:pPr>
        <w:pStyle w:val="18"/>
        <w:snapToGrid w:val="0"/>
        <w:ind w:firstLine="315" w:firstLineChars="150"/>
        <w:rPr>
          <w:rFonts w:hAnsi="宋体"/>
          <w:highlight w:val="none"/>
        </w:rPr>
      </w:pPr>
      <w:r>
        <w:rPr>
          <w:rFonts w:hint="eastAsia" w:hAnsi="宋体"/>
          <w:highlight w:val="none"/>
        </w:rPr>
        <w:t xml:space="preserve">帐号：                          </w:t>
      </w:r>
    </w:p>
    <w:p>
      <w:pPr>
        <w:pStyle w:val="18"/>
        <w:snapToGrid w:val="0"/>
        <w:ind w:firstLine="315" w:firstLineChars="150"/>
        <w:rPr>
          <w:rFonts w:hAnsi="宋体"/>
          <w:highlight w:val="none"/>
        </w:rPr>
      </w:pPr>
      <w:r>
        <w:rPr>
          <w:rFonts w:hint="eastAsia" w:hAnsi="宋体"/>
          <w:highlight w:val="none"/>
        </w:rPr>
        <w:t xml:space="preserve">　乙方（公章）：                   </w:t>
      </w:r>
      <w:r>
        <w:rPr>
          <w:rFonts w:hint="eastAsia"/>
          <w:sz w:val="24"/>
          <w:szCs w:val="24"/>
          <w:highlight w:val="none"/>
        </w:rPr>
        <w:t xml:space="preserve"> 永康市财政局政府采购监管科（备案）：</w:t>
      </w:r>
    </w:p>
    <w:p>
      <w:pPr>
        <w:snapToGrid w:val="0"/>
        <w:ind w:firstLine="315" w:firstLineChars="150"/>
        <w:rPr>
          <w:rFonts w:ascii="宋体"/>
          <w:highlight w:val="none"/>
        </w:rPr>
      </w:pPr>
      <w:r>
        <w:rPr>
          <w:rFonts w:hint="eastAsia" w:ascii="宋体"/>
          <w:highlight w:val="none"/>
        </w:rPr>
        <w:t xml:space="preserve">法定代表人或受委托人                 </w:t>
      </w:r>
    </w:p>
    <w:p>
      <w:pPr>
        <w:pStyle w:val="18"/>
        <w:snapToGrid w:val="0"/>
        <w:ind w:firstLine="420" w:firstLineChars="200"/>
        <w:rPr>
          <w:rFonts w:hAnsi="宋体"/>
          <w:highlight w:val="none"/>
        </w:rPr>
      </w:pPr>
      <w:r>
        <w:rPr>
          <w:rFonts w:hint="eastAsia" w:hAnsi="宋体"/>
          <w:highlight w:val="none"/>
        </w:rPr>
        <w:t xml:space="preserve">（签字）                        </w:t>
      </w:r>
    </w:p>
    <w:p>
      <w:pPr>
        <w:pStyle w:val="18"/>
        <w:snapToGrid w:val="0"/>
        <w:ind w:firstLine="315" w:firstLineChars="150"/>
        <w:rPr>
          <w:rFonts w:hAnsi="宋体"/>
          <w:highlight w:val="none"/>
        </w:rPr>
      </w:pPr>
      <w:r>
        <w:rPr>
          <w:rFonts w:hint="eastAsia" w:hAnsi="宋体"/>
          <w:highlight w:val="none"/>
        </w:rPr>
        <w:t xml:space="preserve">地址：                            </w:t>
      </w:r>
    </w:p>
    <w:p>
      <w:pPr>
        <w:pStyle w:val="18"/>
        <w:snapToGrid w:val="0"/>
        <w:ind w:firstLine="315" w:firstLineChars="150"/>
        <w:rPr>
          <w:rFonts w:hAnsi="宋体"/>
          <w:highlight w:val="none"/>
        </w:rPr>
      </w:pPr>
      <w:r>
        <w:rPr>
          <w:rFonts w:hint="eastAsia" w:hAnsi="宋体"/>
          <w:highlight w:val="none"/>
        </w:rPr>
        <w:t xml:space="preserve">邮编：                         </w:t>
      </w:r>
    </w:p>
    <w:p>
      <w:pPr>
        <w:pStyle w:val="18"/>
        <w:snapToGrid w:val="0"/>
        <w:ind w:firstLine="315" w:firstLineChars="150"/>
        <w:rPr>
          <w:rFonts w:hAnsi="宋体"/>
          <w:highlight w:val="none"/>
        </w:rPr>
      </w:pPr>
      <w:r>
        <w:rPr>
          <w:rFonts w:hint="eastAsia" w:hAnsi="宋体"/>
          <w:highlight w:val="none"/>
        </w:rPr>
        <w:t xml:space="preserve">电话：                         </w:t>
      </w:r>
    </w:p>
    <w:p>
      <w:pPr>
        <w:pStyle w:val="18"/>
        <w:snapToGrid w:val="0"/>
        <w:ind w:firstLine="315" w:firstLineChars="150"/>
        <w:rPr>
          <w:rFonts w:hAnsi="宋体"/>
          <w:highlight w:val="none"/>
        </w:rPr>
      </w:pPr>
      <w:r>
        <w:rPr>
          <w:rFonts w:hint="eastAsia" w:hAnsi="宋体"/>
          <w:highlight w:val="none"/>
        </w:rPr>
        <w:t xml:space="preserve">传真：                         </w:t>
      </w:r>
    </w:p>
    <w:p>
      <w:pPr>
        <w:pStyle w:val="18"/>
        <w:snapToGrid w:val="0"/>
        <w:ind w:firstLine="315" w:firstLineChars="150"/>
        <w:rPr>
          <w:rFonts w:hAnsi="宋体"/>
          <w:highlight w:val="none"/>
        </w:rPr>
      </w:pPr>
      <w:r>
        <w:rPr>
          <w:rFonts w:hint="eastAsia" w:hAnsi="宋体"/>
          <w:highlight w:val="none"/>
        </w:rPr>
        <w:t xml:space="preserve">开户银行：                        </w:t>
      </w:r>
    </w:p>
    <w:p>
      <w:pPr>
        <w:pStyle w:val="18"/>
        <w:snapToGrid w:val="0"/>
        <w:ind w:firstLine="315" w:firstLineChars="150"/>
        <w:rPr>
          <w:rFonts w:hAnsi="宋体"/>
          <w:highlight w:val="none"/>
        </w:rPr>
      </w:pPr>
      <w:r>
        <w:rPr>
          <w:rFonts w:hint="eastAsia" w:hAnsi="宋体"/>
          <w:highlight w:val="none"/>
        </w:rPr>
        <w:t xml:space="preserve">帐号：   </w:t>
      </w:r>
    </w:p>
    <w:p>
      <w:pPr>
        <w:pStyle w:val="18"/>
        <w:snapToGrid w:val="0"/>
        <w:rPr>
          <w:rFonts w:hAnsi="宋体"/>
          <w:highlight w:val="none"/>
        </w:rPr>
      </w:pPr>
      <w:r>
        <w:rPr>
          <w:rFonts w:hint="eastAsia"/>
          <w:highlight w:val="none"/>
        </w:rPr>
        <w:t xml:space="preserve">                                             签约时间：202</w:t>
      </w:r>
      <w:r>
        <w:rPr>
          <w:rFonts w:hint="eastAsia"/>
          <w:highlight w:val="none"/>
          <w:lang w:val="en-US" w:eastAsia="zh-CN"/>
        </w:rPr>
        <w:t>2</w:t>
      </w:r>
      <w:r>
        <w:rPr>
          <w:rFonts w:hint="eastAsia"/>
          <w:highlight w:val="none"/>
        </w:rPr>
        <w:t>年    月    日</w:t>
      </w:r>
    </w:p>
    <w:p>
      <w:pPr>
        <w:pStyle w:val="18"/>
        <w:snapToGrid w:val="0"/>
        <w:rPr>
          <w:highlight w:val="none"/>
        </w:rPr>
      </w:pPr>
    </w:p>
    <w:p>
      <w:pPr>
        <w:pStyle w:val="18"/>
        <w:snapToGrid w:val="0"/>
        <w:rPr>
          <w:highlight w:val="none"/>
        </w:rPr>
      </w:pPr>
      <w:r>
        <w:rPr>
          <w:rFonts w:hint="eastAsia"/>
          <w:b/>
          <w:bCs/>
          <w:highlight w:val="none"/>
        </w:rPr>
        <w:t>注：采购人、中标方应当按照采购文件中的约定进行填写。</w:t>
      </w:r>
    </w:p>
    <w:p>
      <w:pPr>
        <w:pStyle w:val="18"/>
        <w:keepNext w:val="0"/>
        <w:keepLines w:val="0"/>
        <w:pageBreakBefore w:val="0"/>
        <w:kinsoku/>
        <w:wordWrap/>
        <w:overflowPunct/>
        <w:topLinePunct w:val="0"/>
        <w:autoSpaceDE/>
        <w:autoSpaceDN/>
        <w:bidi w:val="0"/>
        <w:adjustRightInd/>
        <w:snapToGrid w:val="0"/>
        <w:spacing w:line="330" w:lineRule="exact"/>
        <w:ind w:firstLine="4935" w:firstLineChars="2350"/>
        <w:textAlignment w:val="auto"/>
        <w:outlineLvl w:val="9"/>
        <w:rPr>
          <w:rFonts w:hint="eastAsia" w:ascii="楷体" w:hAnsi="楷体" w:eastAsia="楷体" w:cs="楷体"/>
          <w:color w:val="auto"/>
        </w:rPr>
      </w:pPr>
    </w:p>
    <w:sectPr>
      <w:footerReference r:id="rId7"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汉仪仿宋简">
    <w:altName w:val="仿宋"/>
    <w:panose1 w:val="00000000000000000000"/>
    <w:charset w:val="86"/>
    <w:family w:val="auto"/>
    <w:pitch w:val="default"/>
    <w:sig w:usb0="00000000" w:usb1="00000000" w:usb2="00000012"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05pt;height:0pt;width:468pt;z-index:251659264;mso-width-relative:page;mso-height-relative:page;" filled="f" stroked="t" coordsize="21600,21600" o:gfxdata="UEsDBAoAAAAAAIdO4kAAAAAAAAAAAAAAAAAEAAAAZHJzL1BLAwQUAAAACACHTuJAD5wsz9MAAAAG AQAADwAAAGRycy9kb3ducmV2LnhtbE2PzU7DMBCE70i8g7VIXKrWTitFEOL0AOTGhVLEdRsvSUS8 TmP3B56eRRzgODOrmW/L9dkP6khT7ANbyBYGFHETXM+the1LPb8BFROywyEwWfikCOvq8qLEwoUT P9Nxk1olJRwLtNClNBZax6Yjj3ERRmLJ3sPkMYmcWu0mPEm5H/TSmFx77FkWOhzpvqPmY3PwFmL9 Svv6a9bMzNuqDbTcPzw9orXXV5m5A5XonP6O4Qdf0KESpl04sItqsCCPJAvzPAMl6e0qF2P3a+iq 1P/xq29QSwMEFAAAAAgAh07iQMVhuaLpAQAAuAMAAA4AAABkcnMvZTJvRG9jLnhtbK1TvY4TMRDu kXgHyz3ZJJATt8rmikRHc0CkOx7A8XqzFrbH8jjZ5CV4ASQ6qCjp7204HoOxN8n90FzBFpY98803 M9/MTi921rCtCqjBVXw0GHKmnIRau3XFP91cvnrLGUbhamHAqYrvFfKL2csX086XagwtmFoFRiQO y85XvI3Rl0WBslVW4AC8cuRsIFgR6RnWRR1ER+zWFOPh8KzoINQ+gFSIZF30Tn5gDM8hhKbRUi1A bqxysWcNyohILWGrPfJZrrZplIwfmwZVZKbi1GnMJyWh+yqdxWwqynUQvtXyUIJ4TglPerJCO0p6 olqIKNgm6H+orJYBEJo4kGCLvpGsCHUxGj7R5roVXuVeSGr0J9Hx/9HKD9tlYLqmTeDMCUsDv/v6 6/eX739uv9F59/MHGyWROo8lYeduGVKbcueu/RXIz8gczFvh1ioXe7P3xJAjikch6YGeUq2691AT RmwiZMV2TbCJkrRguzyY/WkwaheZJOPk/M3rsyHNTB59hSiPgT5gfKfAsnSpuNEuaSZKsb3CSKUT 9AhJZgeX2pg8d+NYV/HzyXiSAxCMrpMzwTCsV3MT2Fakzclf0oHIHsECbFzd241LcSov3SHzsete vxXU+2VI4GSngWa6w/KljXn4zqj7H272F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A+cLM/TAAAA BgEAAA8AAAAAAAAAAQAgAAAAIgAAAGRycy9kb3ducmV2LnhtbFBLAQIUABQAAAAIAIdO4kDFYbmi 6QEAALgDAAAOAAAAAAAAAAEAIAAAACIBAABkcnMvZTJvRG9jLnhtbFBLBQYAAAAABgAGAFkBAAB9 BQAAAAA= ">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QoMkBAACZAwAADgAAAGRycy9lMm9Eb2MueG1srVPNjtMwEL4j8Q6W 79TZroS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Eb5CgyQEAAJkDAAAOAAAAAAAAAAEAIAAAAB4BAABkcnMvZTJvRG9j LnhtbFBLBQYAAAAABgAGAFkBAABZBQAAAAA= ">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2"/>
        <w:rFonts w:ascii="Calibri" w:hAnsi="Calibri" w:cs="Calibri"/>
        <w:sz w:val="18"/>
        <w:szCs w:val="18"/>
      </w:rPr>
      <w:instrText xml:space="preserve"> PAGE </w:instrText>
    </w:r>
    <w:r>
      <w:rPr>
        <w:rFonts w:ascii="Calibri" w:hAnsi="Calibri" w:cs="Calibri"/>
        <w:sz w:val="18"/>
        <w:szCs w:val="18"/>
      </w:rPr>
      <w:fldChar w:fldCharType="separate"/>
    </w:r>
    <w:r>
      <w:rPr>
        <w:rStyle w:val="32"/>
        <w:rFonts w:ascii="Calibri" w:hAnsi="Calibri" w:cs="Calibri"/>
        <w:sz w:val="18"/>
        <w:szCs w:val="18"/>
      </w:rPr>
      <w:t>108</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77"/>
        <w:tab w:val="left" w:pos="7365"/>
      </w:tabs>
      <w:jc w:val="center"/>
      <w:rPr>
        <w:rFonts w:ascii="Calibri" w:hAnsi="Calibri" w:cs="Times New Roman"/>
      </w:rPr>
    </w:pPr>
    <w:r>
      <w:rPr>
        <w:rFonts w:hint="eastAsia" w:cs="宋体"/>
        <w:color w:val="FF0000"/>
      </w:rPr>
      <w:t xml:space="preserve"> </w:t>
    </w:r>
    <w:r>
      <w:rPr>
        <w:rFonts w:cs="宋体"/>
        <w:color w:val="FF0000"/>
      </w:rPr>
      <w:t xml:space="preserve"> </w:t>
    </w:r>
    <w:r>
      <w:rPr>
        <w:rFonts w:hint="eastAsia" w:cs="宋体"/>
        <w:color w:val="FF0000"/>
        <w:sz w:val="21"/>
        <w:szCs w:val="21"/>
        <w:lang w:eastAsia="zh-CN"/>
      </w:rPr>
      <w:t>永康市公安局</w:t>
    </w:r>
    <w:r>
      <w:rPr>
        <w:rFonts w:hint="eastAsia" w:ascii="Calibri" w:hAnsi="Calibri" w:eastAsia="宋体" w:cs="宋体"/>
        <w:color w:val="FF0000"/>
        <w:kern w:val="2"/>
        <w:sz w:val="21"/>
        <w:szCs w:val="21"/>
        <w:lang w:val="en-US" w:eastAsia="zh-CN" w:bidi="ar-SA"/>
      </w:rPr>
      <w:t>城市大脑畅行丽州-协同应用项目（2021年一期）前端系统建设项目</w:t>
    </w:r>
    <w:r>
      <w:rPr>
        <w:rFonts w:hint="eastAsia" w:cs="宋体"/>
        <w:color w:val="FF000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77"/>
        <w:tab w:val="left" w:pos="7365"/>
      </w:tabs>
      <w:jc w:val="center"/>
      <w:rPr>
        <w:sz w:val="21"/>
        <w:szCs w:val="21"/>
      </w:rPr>
    </w:pPr>
    <w:r>
      <w:rPr>
        <w:rFonts w:hint="eastAsia" w:cs="宋体"/>
        <w:color w:val="FF0000"/>
        <w:sz w:val="21"/>
        <w:szCs w:val="21"/>
        <w:lang w:eastAsia="zh-CN"/>
      </w:rPr>
      <w:t>永康市公安局</w:t>
    </w:r>
    <w:r>
      <w:rPr>
        <w:rFonts w:hint="eastAsia" w:ascii="Calibri" w:hAnsi="Calibri" w:eastAsia="宋体" w:cs="宋体"/>
        <w:color w:val="FF0000"/>
        <w:kern w:val="2"/>
        <w:sz w:val="21"/>
        <w:szCs w:val="21"/>
        <w:lang w:val="en-US" w:eastAsia="zh-CN" w:bidi="ar-SA"/>
      </w:rPr>
      <w:t>城市大脑畅行丽州-协同应用项目（2021年一期）前端系统建设项目</w:t>
    </w:r>
    <w:r>
      <w:rPr>
        <w:rFonts w:hint="eastAsia" w:cs="宋体"/>
        <w:color w:val="FF0000"/>
        <w:sz w:val="21"/>
        <w:szCs w:val="21"/>
      </w:rPr>
      <w:t>招标文件</w:t>
    </w:r>
  </w:p>
  <w:p>
    <w:pPr>
      <w:spacing w:before="48" w:line="58"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A9DCD"/>
    <w:multiLevelType w:val="singleLevel"/>
    <w:tmpl w:val="986A9DCD"/>
    <w:lvl w:ilvl="0" w:tentative="0">
      <w:start w:val="1"/>
      <w:numFmt w:val="decimal"/>
      <w:lvlText w:val="%1."/>
      <w:lvlJc w:val="left"/>
      <w:pPr>
        <w:tabs>
          <w:tab w:val="left" w:pos="312"/>
        </w:tabs>
      </w:pPr>
    </w:lvl>
  </w:abstractNum>
  <w:abstractNum w:abstractNumId="1">
    <w:nsid w:val="A745AC90"/>
    <w:multiLevelType w:val="singleLevel"/>
    <w:tmpl w:val="A745AC90"/>
    <w:lvl w:ilvl="0" w:tentative="0">
      <w:start w:val="7"/>
      <w:numFmt w:val="chineseCounting"/>
      <w:suff w:val="nothing"/>
      <w:lvlText w:val="%1．"/>
      <w:lvlJc w:val="left"/>
      <w:rPr>
        <w:rFonts w:hint="eastAsia"/>
      </w:rPr>
    </w:lvl>
  </w:abstractNum>
  <w:abstractNum w:abstractNumId="2">
    <w:nsid w:val="E2713C37"/>
    <w:multiLevelType w:val="singleLevel"/>
    <w:tmpl w:val="E2713C37"/>
    <w:lvl w:ilvl="0" w:tentative="0">
      <w:start w:val="1"/>
      <w:numFmt w:val="decimal"/>
      <w:suff w:val="nothing"/>
      <w:lvlText w:val="（%1）"/>
      <w:lvlJc w:val="left"/>
      <w:pPr>
        <w:ind w:left="42"/>
      </w:pPr>
    </w:lvl>
  </w:abstractNum>
  <w:abstractNum w:abstractNumId="3">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4">
    <w:nsid w:val="071728BC"/>
    <w:multiLevelType w:val="singleLevel"/>
    <w:tmpl w:val="071728BC"/>
    <w:lvl w:ilvl="0" w:tentative="0">
      <w:start w:val="1"/>
      <w:numFmt w:val="decimal"/>
      <w:suff w:val="space"/>
      <w:lvlText w:val="%1."/>
      <w:lvlJc w:val="left"/>
    </w:lvl>
  </w:abstractNum>
  <w:abstractNum w:abstractNumId="5">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0612183"/>
    <w:multiLevelType w:val="multilevel"/>
    <w:tmpl w:val="60612183"/>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6CE7D5D"/>
    <w:multiLevelType w:val="multilevel"/>
    <w:tmpl w:val="76CE7D5D"/>
    <w:lvl w:ilvl="0" w:tentative="0">
      <w:start w:val="1"/>
      <w:numFmt w:val="chineseCountingThousand"/>
      <w:lvlText w:val="第%1章"/>
      <w:lvlJc w:val="left"/>
      <w:pPr>
        <w:ind w:left="420" w:hanging="420"/>
      </w:pPr>
      <w:rPr>
        <w:rFonts w:hint="eastAsia"/>
        <w:b/>
        <w:i w:val="0"/>
        <w:sz w:val="44"/>
        <w:szCs w:val="28"/>
        <w:lang w:val="en-US"/>
      </w:rPr>
    </w:lvl>
    <w:lvl w:ilvl="1" w:tentative="0">
      <w:start w:val="1"/>
      <w:numFmt w:val="decimal"/>
      <w:isLgl/>
      <w:suff w:val="space"/>
      <w:lvlText w:val="%1.%2"/>
      <w:lvlJc w:val="left"/>
      <w:pPr>
        <w:ind w:left="0" w:firstLine="0"/>
      </w:pPr>
      <w:rPr>
        <w:rFonts w:hint="default" w:ascii="Times New Roman" w:hAnsi="Times New Roman" w:eastAsia="黑体"/>
        <w:b/>
        <w:i w:val="0"/>
        <w:sz w:val="28"/>
        <w:szCs w:val="24"/>
      </w:rPr>
    </w:lvl>
    <w:lvl w:ilvl="2" w:tentative="0">
      <w:start w:val="1"/>
      <w:numFmt w:val="decimal"/>
      <w:isLgl/>
      <w:suff w:val="space"/>
      <w:lvlText w:val="%1.%2.%3"/>
      <w:lvlJc w:val="left"/>
      <w:pPr>
        <w:ind w:left="226" w:firstLine="200"/>
      </w:pPr>
      <w:rPr>
        <w:rFonts w:hint="default" w:ascii="Times New Roman" w:hAnsi="Times New Roman" w:eastAsia="黑体"/>
        <w:sz w:val="24"/>
        <w:szCs w:val="28"/>
      </w:rPr>
    </w:lvl>
    <w:lvl w:ilvl="3" w:tentative="0">
      <w:start w:val="1"/>
      <w:numFmt w:val="decimal"/>
      <w:pStyle w:val="8"/>
      <w:isLgl/>
      <w:suff w:val="space"/>
      <w:lvlText w:val="%1.%2.%3.%4"/>
      <w:lvlJc w:val="left"/>
      <w:pPr>
        <w:ind w:left="0" w:firstLine="200"/>
      </w:pPr>
      <w:rPr>
        <w:rFonts w:hint="default" w:ascii="Times New Roman" w:hAnsi="Times New Roman" w:eastAsia="黑体"/>
        <w:sz w:val="24"/>
        <w:szCs w:val="28"/>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9">
    <w:nsid w:val="7AECA05C"/>
    <w:multiLevelType w:val="singleLevel"/>
    <w:tmpl w:val="7AECA05C"/>
    <w:lvl w:ilvl="0" w:tentative="0">
      <w:start w:val="1"/>
      <w:numFmt w:val="decimal"/>
      <w:suff w:val="nothing"/>
      <w:lvlText w:val="%1、"/>
      <w:lvlJc w:val="left"/>
    </w:lvl>
  </w:abstractNum>
  <w:num w:numId="1">
    <w:abstractNumId w:val="8"/>
  </w:num>
  <w:num w:numId="2">
    <w:abstractNumId w:val="3"/>
  </w:num>
  <w:num w:numId="3">
    <w:abstractNumId w:val="1"/>
  </w:num>
  <w:num w:numId="4">
    <w:abstractNumId w:val="7"/>
  </w:num>
  <w:num w:numId="5">
    <w:abstractNumId w:val="9"/>
  </w:num>
  <w:num w:numId="6">
    <w:abstractNumId w:val="5"/>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ZmNhMDgxMGY5MjIyYzA3MmQ2MmZlYTA1NGVmYzkifQ=="/>
  </w:docVars>
  <w:rsids>
    <w:rsidRoot w:val="00ED1ED6"/>
    <w:rsid w:val="000121CC"/>
    <w:rsid w:val="000415C8"/>
    <w:rsid w:val="00042E8A"/>
    <w:rsid w:val="00047029"/>
    <w:rsid w:val="00050BC1"/>
    <w:rsid w:val="00055A8B"/>
    <w:rsid w:val="00055DD3"/>
    <w:rsid w:val="000578EE"/>
    <w:rsid w:val="00060480"/>
    <w:rsid w:val="000622BA"/>
    <w:rsid w:val="0006320B"/>
    <w:rsid w:val="0006551C"/>
    <w:rsid w:val="00067630"/>
    <w:rsid w:val="00070B16"/>
    <w:rsid w:val="00072950"/>
    <w:rsid w:val="00072EED"/>
    <w:rsid w:val="00076144"/>
    <w:rsid w:val="000776CE"/>
    <w:rsid w:val="000812DC"/>
    <w:rsid w:val="00081807"/>
    <w:rsid w:val="000850B6"/>
    <w:rsid w:val="0009331F"/>
    <w:rsid w:val="000B603D"/>
    <w:rsid w:val="000B6219"/>
    <w:rsid w:val="000B6B50"/>
    <w:rsid w:val="000C0C8A"/>
    <w:rsid w:val="000C34DE"/>
    <w:rsid w:val="000C3C06"/>
    <w:rsid w:val="000D0761"/>
    <w:rsid w:val="000E0318"/>
    <w:rsid w:val="000E158B"/>
    <w:rsid w:val="000E3B68"/>
    <w:rsid w:val="000F062D"/>
    <w:rsid w:val="000F07B7"/>
    <w:rsid w:val="000F0DC7"/>
    <w:rsid w:val="000F24D1"/>
    <w:rsid w:val="000F2649"/>
    <w:rsid w:val="000F29A4"/>
    <w:rsid w:val="000F3954"/>
    <w:rsid w:val="000F3F12"/>
    <w:rsid w:val="000F4695"/>
    <w:rsid w:val="0010122C"/>
    <w:rsid w:val="0010172E"/>
    <w:rsid w:val="00101E07"/>
    <w:rsid w:val="001039E4"/>
    <w:rsid w:val="001068B0"/>
    <w:rsid w:val="00107FB9"/>
    <w:rsid w:val="00117A76"/>
    <w:rsid w:val="00122CE3"/>
    <w:rsid w:val="00124F9D"/>
    <w:rsid w:val="00127560"/>
    <w:rsid w:val="001321FC"/>
    <w:rsid w:val="001336A2"/>
    <w:rsid w:val="001412AB"/>
    <w:rsid w:val="00144118"/>
    <w:rsid w:val="00145D91"/>
    <w:rsid w:val="00151AD7"/>
    <w:rsid w:val="00163B79"/>
    <w:rsid w:val="0016406E"/>
    <w:rsid w:val="00172642"/>
    <w:rsid w:val="001749BD"/>
    <w:rsid w:val="00183893"/>
    <w:rsid w:val="001858DA"/>
    <w:rsid w:val="0018735A"/>
    <w:rsid w:val="00190B1C"/>
    <w:rsid w:val="001955F5"/>
    <w:rsid w:val="001A7521"/>
    <w:rsid w:val="001A7765"/>
    <w:rsid w:val="001B36A1"/>
    <w:rsid w:val="001B4EA3"/>
    <w:rsid w:val="001C42A1"/>
    <w:rsid w:val="001C5C4C"/>
    <w:rsid w:val="001C66D6"/>
    <w:rsid w:val="001D13DF"/>
    <w:rsid w:val="001D7FCE"/>
    <w:rsid w:val="001E0E5E"/>
    <w:rsid w:val="001E41EE"/>
    <w:rsid w:val="001E4792"/>
    <w:rsid w:val="001E6D4F"/>
    <w:rsid w:val="001F0559"/>
    <w:rsid w:val="001F1166"/>
    <w:rsid w:val="001F2AB1"/>
    <w:rsid w:val="001F36EF"/>
    <w:rsid w:val="001F4095"/>
    <w:rsid w:val="001F5720"/>
    <w:rsid w:val="002010A2"/>
    <w:rsid w:val="0020768E"/>
    <w:rsid w:val="00211BAB"/>
    <w:rsid w:val="002122F0"/>
    <w:rsid w:val="00212DEC"/>
    <w:rsid w:val="00213C28"/>
    <w:rsid w:val="00213C6A"/>
    <w:rsid w:val="002224FB"/>
    <w:rsid w:val="00226355"/>
    <w:rsid w:val="00231733"/>
    <w:rsid w:val="00231F2B"/>
    <w:rsid w:val="002324EE"/>
    <w:rsid w:val="002337BE"/>
    <w:rsid w:val="00235E40"/>
    <w:rsid w:val="00240AFA"/>
    <w:rsid w:val="00241663"/>
    <w:rsid w:val="00245975"/>
    <w:rsid w:val="002477DC"/>
    <w:rsid w:val="00251C80"/>
    <w:rsid w:val="00257C1B"/>
    <w:rsid w:val="0026091A"/>
    <w:rsid w:val="00261D02"/>
    <w:rsid w:val="0026702F"/>
    <w:rsid w:val="0027692F"/>
    <w:rsid w:val="00277DDE"/>
    <w:rsid w:val="00277DFD"/>
    <w:rsid w:val="002806D2"/>
    <w:rsid w:val="002910D7"/>
    <w:rsid w:val="002928F7"/>
    <w:rsid w:val="002939E3"/>
    <w:rsid w:val="002963C4"/>
    <w:rsid w:val="00296EB6"/>
    <w:rsid w:val="002A04E1"/>
    <w:rsid w:val="002A086B"/>
    <w:rsid w:val="002A14C1"/>
    <w:rsid w:val="002A40C3"/>
    <w:rsid w:val="002A69A2"/>
    <w:rsid w:val="002B3341"/>
    <w:rsid w:val="002C2457"/>
    <w:rsid w:val="002D1C50"/>
    <w:rsid w:val="002D4EDE"/>
    <w:rsid w:val="002D701A"/>
    <w:rsid w:val="002E0014"/>
    <w:rsid w:val="002E1BE3"/>
    <w:rsid w:val="002E5080"/>
    <w:rsid w:val="002F2779"/>
    <w:rsid w:val="002F3BB3"/>
    <w:rsid w:val="002F6549"/>
    <w:rsid w:val="002F719B"/>
    <w:rsid w:val="002F7F92"/>
    <w:rsid w:val="00303F6C"/>
    <w:rsid w:val="00305BE7"/>
    <w:rsid w:val="003073DE"/>
    <w:rsid w:val="00313E43"/>
    <w:rsid w:val="003163E7"/>
    <w:rsid w:val="00316635"/>
    <w:rsid w:val="00317164"/>
    <w:rsid w:val="00321AB2"/>
    <w:rsid w:val="003438B0"/>
    <w:rsid w:val="0034430F"/>
    <w:rsid w:val="00347D1B"/>
    <w:rsid w:val="00353AA1"/>
    <w:rsid w:val="003544E0"/>
    <w:rsid w:val="00354836"/>
    <w:rsid w:val="00364F8B"/>
    <w:rsid w:val="00365F3D"/>
    <w:rsid w:val="00371594"/>
    <w:rsid w:val="00377719"/>
    <w:rsid w:val="00380175"/>
    <w:rsid w:val="00382728"/>
    <w:rsid w:val="0038441E"/>
    <w:rsid w:val="0038780E"/>
    <w:rsid w:val="00390494"/>
    <w:rsid w:val="00390ACC"/>
    <w:rsid w:val="00392217"/>
    <w:rsid w:val="003922A2"/>
    <w:rsid w:val="00392FAE"/>
    <w:rsid w:val="00396192"/>
    <w:rsid w:val="003A0071"/>
    <w:rsid w:val="003A2081"/>
    <w:rsid w:val="003A257E"/>
    <w:rsid w:val="003A45AF"/>
    <w:rsid w:val="003A5B60"/>
    <w:rsid w:val="003A69AA"/>
    <w:rsid w:val="003A6B3C"/>
    <w:rsid w:val="003B4594"/>
    <w:rsid w:val="003B4DB5"/>
    <w:rsid w:val="003C08ED"/>
    <w:rsid w:val="003C47A6"/>
    <w:rsid w:val="003C519D"/>
    <w:rsid w:val="003D19AB"/>
    <w:rsid w:val="003D2812"/>
    <w:rsid w:val="003E119B"/>
    <w:rsid w:val="003E2340"/>
    <w:rsid w:val="003E2FDB"/>
    <w:rsid w:val="003E538E"/>
    <w:rsid w:val="003F25AC"/>
    <w:rsid w:val="003F6581"/>
    <w:rsid w:val="003F6D80"/>
    <w:rsid w:val="00405BA0"/>
    <w:rsid w:val="00406960"/>
    <w:rsid w:val="004118B8"/>
    <w:rsid w:val="00412373"/>
    <w:rsid w:val="004141A8"/>
    <w:rsid w:val="004162F5"/>
    <w:rsid w:val="00422209"/>
    <w:rsid w:val="0042444D"/>
    <w:rsid w:val="00427158"/>
    <w:rsid w:val="004358A6"/>
    <w:rsid w:val="00443F3E"/>
    <w:rsid w:val="0045781B"/>
    <w:rsid w:val="004619DB"/>
    <w:rsid w:val="004620FA"/>
    <w:rsid w:val="00462ECC"/>
    <w:rsid w:val="0046762D"/>
    <w:rsid w:val="00467AE3"/>
    <w:rsid w:val="00467F2A"/>
    <w:rsid w:val="004701A9"/>
    <w:rsid w:val="0047035F"/>
    <w:rsid w:val="00480765"/>
    <w:rsid w:val="004848E9"/>
    <w:rsid w:val="00491758"/>
    <w:rsid w:val="00494566"/>
    <w:rsid w:val="00494B9C"/>
    <w:rsid w:val="004B00C5"/>
    <w:rsid w:val="004B3952"/>
    <w:rsid w:val="004B3FF8"/>
    <w:rsid w:val="004B740A"/>
    <w:rsid w:val="004C3380"/>
    <w:rsid w:val="004D02B4"/>
    <w:rsid w:val="004F0601"/>
    <w:rsid w:val="004F21C2"/>
    <w:rsid w:val="004F3F15"/>
    <w:rsid w:val="004F6E65"/>
    <w:rsid w:val="005037A9"/>
    <w:rsid w:val="00504FF8"/>
    <w:rsid w:val="00510488"/>
    <w:rsid w:val="005141AB"/>
    <w:rsid w:val="005162BD"/>
    <w:rsid w:val="00517A7E"/>
    <w:rsid w:val="00520666"/>
    <w:rsid w:val="00520A97"/>
    <w:rsid w:val="005210F3"/>
    <w:rsid w:val="00523E31"/>
    <w:rsid w:val="00526F14"/>
    <w:rsid w:val="0052733B"/>
    <w:rsid w:val="00532F8F"/>
    <w:rsid w:val="00533277"/>
    <w:rsid w:val="00533B8B"/>
    <w:rsid w:val="005403AE"/>
    <w:rsid w:val="00540D3A"/>
    <w:rsid w:val="005414DD"/>
    <w:rsid w:val="00552EFE"/>
    <w:rsid w:val="00553E0D"/>
    <w:rsid w:val="005554FB"/>
    <w:rsid w:val="005566E9"/>
    <w:rsid w:val="00557378"/>
    <w:rsid w:val="00557A83"/>
    <w:rsid w:val="005611DC"/>
    <w:rsid w:val="005709F9"/>
    <w:rsid w:val="005723C7"/>
    <w:rsid w:val="005725CC"/>
    <w:rsid w:val="00580B0E"/>
    <w:rsid w:val="0058415B"/>
    <w:rsid w:val="00590674"/>
    <w:rsid w:val="00593811"/>
    <w:rsid w:val="005953FD"/>
    <w:rsid w:val="00596FB3"/>
    <w:rsid w:val="00597F75"/>
    <w:rsid w:val="005A0D31"/>
    <w:rsid w:val="005A1642"/>
    <w:rsid w:val="005A64BF"/>
    <w:rsid w:val="005B093E"/>
    <w:rsid w:val="005B1FCD"/>
    <w:rsid w:val="005B62E0"/>
    <w:rsid w:val="005B6B92"/>
    <w:rsid w:val="005B6F15"/>
    <w:rsid w:val="005C11ED"/>
    <w:rsid w:val="005C7452"/>
    <w:rsid w:val="005D0A81"/>
    <w:rsid w:val="005D4D59"/>
    <w:rsid w:val="005D50FF"/>
    <w:rsid w:val="005E578F"/>
    <w:rsid w:val="005E7C5B"/>
    <w:rsid w:val="005F3C5F"/>
    <w:rsid w:val="005F538C"/>
    <w:rsid w:val="00603F9E"/>
    <w:rsid w:val="00606E59"/>
    <w:rsid w:val="00620154"/>
    <w:rsid w:val="0062511C"/>
    <w:rsid w:val="006253A8"/>
    <w:rsid w:val="006370FB"/>
    <w:rsid w:val="00641F35"/>
    <w:rsid w:val="00644889"/>
    <w:rsid w:val="006465BD"/>
    <w:rsid w:val="0065217A"/>
    <w:rsid w:val="0065560A"/>
    <w:rsid w:val="006560BC"/>
    <w:rsid w:val="00660FD7"/>
    <w:rsid w:val="006617F3"/>
    <w:rsid w:val="006618BF"/>
    <w:rsid w:val="00664583"/>
    <w:rsid w:val="006647AF"/>
    <w:rsid w:val="00666126"/>
    <w:rsid w:val="006701B0"/>
    <w:rsid w:val="00670AAD"/>
    <w:rsid w:val="00671FEF"/>
    <w:rsid w:val="00673B57"/>
    <w:rsid w:val="00677DE5"/>
    <w:rsid w:val="00681BF4"/>
    <w:rsid w:val="00683801"/>
    <w:rsid w:val="00683EA4"/>
    <w:rsid w:val="006856CB"/>
    <w:rsid w:val="00690050"/>
    <w:rsid w:val="0069656E"/>
    <w:rsid w:val="006966E0"/>
    <w:rsid w:val="006974BF"/>
    <w:rsid w:val="0069786B"/>
    <w:rsid w:val="006A3824"/>
    <w:rsid w:val="006A62AD"/>
    <w:rsid w:val="006B4B0D"/>
    <w:rsid w:val="006B74BB"/>
    <w:rsid w:val="006C43A9"/>
    <w:rsid w:val="006E0FF9"/>
    <w:rsid w:val="006E533D"/>
    <w:rsid w:val="006E70C3"/>
    <w:rsid w:val="006F14DD"/>
    <w:rsid w:val="006F48B1"/>
    <w:rsid w:val="0070146F"/>
    <w:rsid w:val="00704753"/>
    <w:rsid w:val="00706435"/>
    <w:rsid w:val="007112CF"/>
    <w:rsid w:val="007117B9"/>
    <w:rsid w:val="00720375"/>
    <w:rsid w:val="00722D02"/>
    <w:rsid w:val="00723674"/>
    <w:rsid w:val="00725BE4"/>
    <w:rsid w:val="007271B7"/>
    <w:rsid w:val="00731F61"/>
    <w:rsid w:val="0073566C"/>
    <w:rsid w:val="00741C06"/>
    <w:rsid w:val="00743CDC"/>
    <w:rsid w:val="00744A7D"/>
    <w:rsid w:val="0075227A"/>
    <w:rsid w:val="0075761A"/>
    <w:rsid w:val="0075783F"/>
    <w:rsid w:val="007623AC"/>
    <w:rsid w:val="00766073"/>
    <w:rsid w:val="007802A8"/>
    <w:rsid w:val="00781282"/>
    <w:rsid w:val="00786371"/>
    <w:rsid w:val="0078777D"/>
    <w:rsid w:val="00796304"/>
    <w:rsid w:val="007A4525"/>
    <w:rsid w:val="007A6A67"/>
    <w:rsid w:val="007B43B2"/>
    <w:rsid w:val="007C1DF2"/>
    <w:rsid w:val="007C1F38"/>
    <w:rsid w:val="007C1F8A"/>
    <w:rsid w:val="007C2EC8"/>
    <w:rsid w:val="007C3220"/>
    <w:rsid w:val="007D0BE0"/>
    <w:rsid w:val="007D3828"/>
    <w:rsid w:val="007D3E1C"/>
    <w:rsid w:val="007E0D16"/>
    <w:rsid w:val="007E60B9"/>
    <w:rsid w:val="007F1061"/>
    <w:rsid w:val="007F192A"/>
    <w:rsid w:val="007F27AC"/>
    <w:rsid w:val="007F2ED4"/>
    <w:rsid w:val="007F6228"/>
    <w:rsid w:val="00801B4E"/>
    <w:rsid w:val="00805384"/>
    <w:rsid w:val="00814BB6"/>
    <w:rsid w:val="008151C9"/>
    <w:rsid w:val="008171C7"/>
    <w:rsid w:val="00824807"/>
    <w:rsid w:val="00833231"/>
    <w:rsid w:val="0083351E"/>
    <w:rsid w:val="00844122"/>
    <w:rsid w:val="00853F55"/>
    <w:rsid w:val="00856618"/>
    <w:rsid w:val="00857F64"/>
    <w:rsid w:val="00862D91"/>
    <w:rsid w:val="00862E16"/>
    <w:rsid w:val="00865C66"/>
    <w:rsid w:val="00873006"/>
    <w:rsid w:val="00875F8F"/>
    <w:rsid w:val="008763FA"/>
    <w:rsid w:val="00881FF8"/>
    <w:rsid w:val="008825BB"/>
    <w:rsid w:val="00885380"/>
    <w:rsid w:val="00893D13"/>
    <w:rsid w:val="0089514F"/>
    <w:rsid w:val="008A017B"/>
    <w:rsid w:val="008A088E"/>
    <w:rsid w:val="008A0A1E"/>
    <w:rsid w:val="008A4C7E"/>
    <w:rsid w:val="008A5AE4"/>
    <w:rsid w:val="008A5D09"/>
    <w:rsid w:val="008B338E"/>
    <w:rsid w:val="008B3AA3"/>
    <w:rsid w:val="008B402D"/>
    <w:rsid w:val="008B480F"/>
    <w:rsid w:val="008C0CAB"/>
    <w:rsid w:val="008C7630"/>
    <w:rsid w:val="008D324C"/>
    <w:rsid w:val="008D71E8"/>
    <w:rsid w:val="008E09C1"/>
    <w:rsid w:val="008E0B54"/>
    <w:rsid w:val="008E4BAB"/>
    <w:rsid w:val="008E73EF"/>
    <w:rsid w:val="008E7942"/>
    <w:rsid w:val="008F0732"/>
    <w:rsid w:val="008F4C40"/>
    <w:rsid w:val="008F4F2E"/>
    <w:rsid w:val="009016D8"/>
    <w:rsid w:val="0090510A"/>
    <w:rsid w:val="009068A5"/>
    <w:rsid w:val="00914614"/>
    <w:rsid w:val="009159BD"/>
    <w:rsid w:val="00915DB5"/>
    <w:rsid w:val="009242E3"/>
    <w:rsid w:val="009259DB"/>
    <w:rsid w:val="00927495"/>
    <w:rsid w:val="00937EFD"/>
    <w:rsid w:val="00940537"/>
    <w:rsid w:val="009441EE"/>
    <w:rsid w:val="00945A57"/>
    <w:rsid w:val="00946EE2"/>
    <w:rsid w:val="00951C41"/>
    <w:rsid w:val="00952285"/>
    <w:rsid w:val="00952501"/>
    <w:rsid w:val="009557B1"/>
    <w:rsid w:val="009576B3"/>
    <w:rsid w:val="0096029E"/>
    <w:rsid w:val="0097338A"/>
    <w:rsid w:val="009736CA"/>
    <w:rsid w:val="00974296"/>
    <w:rsid w:val="00980379"/>
    <w:rsid w:val="009829BB"/>
    <w:rsid w:val="00985E55"/>
    <w:rsid w:val="009869DD"/>
    <w:rsid w:val="00987E74"/>
    <w:rsid w:val="00995001"/>
    <w:rsid w:val="009969E6"/>
    <w:rsid w:val="0099737B"/>
    <w:rsid w:val="009A2A81"/>
    <w:rsid w:val="009A44AC"/>
    <w:rsid w:val="009A4CD3"/>
    <w:rsid w:val="009B2A74"/>
    <w:rsid w:val="009B48CD"/>
    <w:rsid w:val="009B5A33"/>
    <w:rsid w:val="009B6789"/>
    <w:rsid w:val="009C07F1"/>
    <w:rsid w:val="009C132C"/>
    <w:rsid w:val="009C58D6"/>
    <w:rsid w:val="009C5941"/>
    <w:rsid w:val="009C704A"/>
    <w:rsid w:val="009D013D"/>
    <w:rsid w:val="009D07BC"/>
    <w:rsid w:val="009D1B21"/>
    <w:rsid w:val="009D246E"/>
    <w:rsid w:val="009D365D"/>
    <w:rsid w:val="009D5C6B"/>
    <w:rsid w:val="009D71BE"/>
    <w:rsid w:val="009E31B8"/>
    <w:rsid w:val="009E47ED"/>
    <w:rsid w:val="009E50C9"/>
    <w:rsid w:val="009E5805"/>
    <w:rsid w:val="009F67BB"/>
    <w:rsid w:val="009F7BE0"/>
    <w:rsid w:val="00A01E79"/>
    <w:rsid w:val="00A03C29"/>
    <w:rsid w:val="00A058F6"/>
    <w:rsid w:val="00A065EE"/>
    <w:rsid w:val="00A17B62"/>
    <w:rsid w:val="00A3617D"/>
    <w:rsid w:val="00A379AE"/>
    <w:rsid w:val="00A40473"/>
    <w:rsid w:val="00A412A4"/>
    <w:rsid w:val="00A44426"/>
    <w:rsid w:val="00A453DB"/>
    <w:rsid w:val="00A46FB7"/>
    <w:rsid w:val="00A510D6"/>
    <w:rsid w:val="00A51B32"/>
    <w:rsid w:val="00A5254A"/>
    <w:rsid w:val="00A53149"/>
    <w:rsid w:val="00A5318C"/>
    <w:rsid w:val="00A54FBB"/>
    <w:rsid w:val="00A5544D"/>
    <w:rsid w:val="00A56AF1"/>
    <w:rsid w:val="00A605D6"/>
    <w:rsid w:val="00A60E7A"/>
    <w:rsid w:val="00A61FCE"/>
    <w:rsid w:val="00A64426"/>
    <w:rsid w:val="00A648FE"/>
    <w:rsid w:val="00A65A99"/>
    <w:rsid w:val="00A6684D"/>
    <w:rsid w:val="00A701F6"/>
    <w:rsid w:val="00A72769"/>
    <w:rsid w:val="00A852DB"/>
    <w:rsid w:val="00A858AF"/>
    <w:rsid w:val="00A8692F"/>
    <w:rsid w:val="00A946F9"/>
    <w:rsid w:val="00A9559C"/>
    <w:rsid w:val="00AB2BB3"/>
    <w:rsid w:val="00AB5A5A"/>
    <w:rsid w:val="00AB5D67"/>
    <w:rsid w:val="00AC59C1"/>
    <w:rsid w:val="00AD289A"/>
    <w:rsid w:val="00AD4502"/>
    <w:rsid w:val="00AD7725"/>
    <w:rsid w:val="00AE3D1F"/>
    <w:rsid w:val="00AE62CC"/>
    <w:rsid w:val="00AE64DF"/>
    <w:rsid w:val="00AF37AA"/>
    <w:rsid w:val="00AF539B"/>
    <w:rsid w:val="00B00A1E"/>
    <w:rsid w:val="00B0373D"/>
    <w:rsid w:val="00B10DA8"/>
    <w:rsid w:val="00B121C0"/>
    <w:rsid w:val="00B1267B"/>
    <w:rsid w:val="00B12FB2"/>
    <w:rsid w:val="00B14DC0"/>
    <w:rsid w:val="00B217B4"/>
    <w:rsid w:val="00B217F2"/>
    <w:rsid w:val="00B22116"/>
    <w:rsid w:val="00B23AFD"/>
    <w:rsid w:val="00B25E85"/>
    <w:rsid w:val="00B427C1"/>
    <w:rsid w:val="00B43396"/>
    <w:rsid w:val="00B47424"/>
    <w:rsid w:val="00B52278"/>
    <w:rsid w:val="00B6244E"/>
    <w:rsid w:val="00B64B2E"/>
    <w:rsid w:val="00B66393"/>
    <w:rsid w:val="00B674EC"/>
    <w:rsid w:val="00B70CB9"/>
    <w:rsid w:val="00B730BA"/>
    <w:rsid w:val="00B732D1"/>
    <w:rsid w:val="00B77E0B"/>
    <w:rsid w:val="00B80063"/>
    <w:rsid w:val="00B80872"/>
    <w:rsid w:val="00B868C2"/>
    <w:rsid w:val="00B871AC"/>
    <w:rsid w:val="00B93D46"/>
    <w:rsid w:val="00BA518A"/>
    <w:rsid w:val="00BA673B"/>
    <w:rsid w:val="00BA78AA"/>
    <w:rsid w:val="00BA7F68"/>
    <w:rsid w:val="00BB7EB6"/>
    <w:rsid w:val="00BC088F"/>
    <w:rsid w:val="00BC11B3"/>
    <w:rsid w:val="00BC2102"/>
    <w:rsid w:val="00BC27C4"/>
    <w:rsid w:val="00BD03D5"/>
    <w:rsid w:val="00BE4494"/>
    <w:rsid w:val="00BE6C88"/>
    <w:rsid w:val="00BF01C6"/>
    <w:rsid w:val="00BF24EB"/>
    <w:rsid w:val="00BF5E9E"/>
    <w:rsid w:val="00C013F8"/>
    <w:rsid w:val="00C024C4"/>
    <w:rsid w:val="00C02FCE"/>
    <w:rsid w:val="00C068FB"/>
    <w:rsid w:val="00C105D5"/>
    <w:rsid w:val="00C17C81"/>
    <w:rsid w:val="00C228E2"/>
    <w:rsid w:val="00C22A84"/>
    <w:rsid w:val="00C23D9B"/>
    <w:rsid w:val="00C303E0"/>
    <w:rsid w:val="00C346BA"/>
    <w:rsid w:val="00C34BC6"/>
    <w:rsid w:val="00C37F74"/>
    <w:rsid w:val="00C41697"/>
    <w:rsid w:val="00C42685"/>
    <w:rsid w:val="00C539F8"/>
    <w:rsid w:val="00C63C2B"/>
    <w:rsid w:val="00C73BF4"/>
    <w:rsid w:val="00C744A6"/>
    <w:rsid w:val="00C7490C"/>
    <w:rsid w:val="00C75F2A"/>
    <w:rsid w:val="00C9059D"/>
    <w:rsid w:val="00C937BE"/>
    <w:rsid w:val="00C94098"/>
    <w:rsid w:val="00C954CC"/>
    <w:rsid w:val="00CA17FB"/>
    <w:rsid w:val="00CA449F"/>
    <w:rsid w:val="00CA7C89"/>
    <w:rsid w:val="00CB028A"/>
    <w:rsid w:val="00CB59D7"/>
    <w:rsid w:val="00CB7844"/>
    <w:rsid w:val="00CC1BB8"/>
    <w:rsid w:val="00CC4D65"/>
    <w:rsid w:val="00CC744B"/>
    <w:rsid w:val="00CC7C15"/>
    <w:rsid w:val="00CC7E3A"/>
    <w:rsid w:val="00CD094F"/>
    <w:rsid w:val="00CD3E13"/>
    <w:rsid w:val="00CD419C"/>
    <w:rsid w:val="00CD5B8D"/>
    <w:rsid w:val="00CD5C53"/>
    <w:rsid w:val="00CD6729"/>
    <w:rsid w:val="00CE3CE7"/>
    <w:rsid w:val="00CF5C3D"/>
    <w:rsid w:val="00D02A1E"/>
    <w:rsid w:val="00D03D35"/>
    <w:rsid w:val="00D07384"/>
    <w:rsid w:val="00D079E4"/>
    <w:rsid w:val="00D07FB3"/>
    <w:rsid w:val="00D143D9"/>
    <w:rsid w:val="00D15518"/>
    <w:rsid w:val="00D15B96"/>
    <w:rsid w:val="00D17C29"/>
    <w:rsid w:val="00D22CE4"/>
    <w:rsid w:val="00D312EF"/>
    <w:rsid w:val="00D338C2"/>
    <w:rsid w:val="00D36440"/>
    <w:rsid w:val="00D3744A"/>
    <w:rsid w:val="00D43964"/>
    <w:rsid w:val="00D47824"/>
    <w:rsid w:val="00D55C79"/>
    <w:rsid w:val="00D57737"/>
    <w:rsid w:val="00D602D0"/>
    <w:rsid w:val="00D60780"/>
    <w:rsid w:val="00D60B4E"/>
    <w:rsid w:val="00D614C7"/>
    <w:rsid w:val="00D634B7"/>
    <w:rsid w:val="00D65B8F"/>
    <w:rsid w:val="00D66DFB"/>
    <w:rsid w:val="00D70A5F"/>
    <w:rsid w:val="00D71276"/>
    <w:rsid w:val="00D72A3D"/>
    <w:rsid w:val="00D7546B"/>
    <w:rsid w:val="00D75A8F"/>
    <w:rsid w:val="00D76794"/>
    <w:rsid w:val="00D85474"/>
    <w:rsid w:val="00D85CFE"/>
    <w:rsid w:val="00D86AA3"/>
    <w:rsid w:val="00D90ED7"/>
    <w:rsid w:val="00D91FED"/>
    <w:rsid w:val="00D931EB"/>
    <w:rsid w:val="00D96B0E"/>
    <w:rsid w:val="00DA0251"/>
    <w:rsid w:val="00DA1A33"/>
    <w:rsid w:val="00DA3EBA"/>
    <w:rsid w:val="00DA6D5E"/>
    <w:rsid w:val="00DB28F8"/>
    <w:rsid w:val="00DB5766"/>
    <w:rsid w:val="00DB5925"/>
    <w:rsid w:val="00DC111C"/>
    <w:rsid w:val="00DC64FD"/>
    <w:rsid w:val="00DD0714"/>
    <w:rsid w:val="00DD0C65"/>
    <w:rsid w:val="00DD388E"/>
    <w:rsid w:val="00DD4EBF"/>
    <w:rsid w:val="00DD639F"/>
    <w:rsid w:val="00DE02E7"/>
    <w:rsid w:val="00DE3AE2"/>
    <w:rsid w:val="00DE4A15"/>
    <w:rsid w:val="00DE4F79"/>
    <w:rsid w:val="00DE7528"/>
    <w:rsid w:val="00DF7722"/>
    <w:rsid w:val="00DF7C4D"/>
    <w:rsid w:val="00E0027C"/>
    <w:rsid w:val="00E01A4E"/>
    <w:rsid w:val="00E07E54"/>
    <w:rsid w:val="00E12824"/>
    <w:rsid w:val="00E13240"/>
    <w:rsid w:val="00E212C9"/>
    <w:rsid w:val="00E25657"/>
    <w:rsid w:val="00E26F4A"/>
    <w:rsid w:val="00E307BE"/>
    <w:rsid w:val="00E36278"/>
    <w:rsid w:val="00E37C42"/>
    <w:rsid w:val="00E4361B"/>
    <w:rsid w:val="00E4401D"/>
    <w:rsid w:val="00E46E38"/>
    <w:rsid w:val="00E50B96"/>
    <w:rsid w:val="00E544F7"/>
    <w:rsid w:val="00E54D85"/>
    <w:rsid w:val="00E650FF"/>
    <w:rsid w:val="00E67134"/>
    <w:rsid w:val="00E67AB4"/>
    <w:rsid w:val="00E7120B"/>
    <w:rsid w:val="00E75C47"/>
    <w:rsid w:val="00E82C4B"/>
    <w:rsid w:val="00E83EB4"/>
    <w:rsid w:val="00E96998"/>
    <w:rsid w:val="00E970E0"/>
    <w:rsid w:val="00EA0065"/>
    <w:rsid w:val="00EA0758"/>
    <w:rsid w:val="00EA2113"/>
    <w:rsid w:val="00EA26DA"/>
    <w:rsid w:val="00EA3C37"/>
    <w:rsid w:val="00EA5C6C"/>
    <w:rsid w:val="00EB49CE"/>
    <w:rsid w:val="00EB5DE7"/>
    <w:rsid w:val="00EC09E3"/>
    <w:rsid w:val="00EC6492"/>
    <w:rsid w:val="00ED1917"/>
    <w:rsid w:val="00ED1ED6"/>
    <w:rsid w:val="00ED433F"/>
    <w:rsid w:val="00ED63A8"/>
    <w:rsid w:val="00ED7795"/>
    <w:rsid w:val="00EE6A72"/>
    <w:rsid w:val="00EF02EF"/>
    <w:rsid w:val="00EF0811"/>
    <w:rsid w:val="00EF1088"/>
    <w:rsid w:val="00EF2D18"/>
    <w:rsid w:val="00EF357C"/>
    <w:rsid w:val="00EF37E2"/>
    <w:rsid w:val="00EF7ACA"/>
    <w:rsid w:val="00F029B0"/>
    <w:rsid w:val="00F0678B"/>
    <w:rsid w:val="00F12CDA"/>
    <w:rsid w:val="00F12EDD"/>
    <w:rsid w:val="00F1557F"/>
    <w:rsid w:val="00F167E9"/>
    <w:rsid w:val="00F2223B"/>
    <w:rsid w:val="00F237B3"/>
    <w:rsid w:val="00F429E1"/>
    <w:rsid w:val="00F513B0"/>
    <w:rsid w:val="00F54CE0"/>
    <w:rsid w:val="00F569D6"/>
    <w:rsid w:val="00F5743C"/>
    <w:rsid w:val="00F61D87"/>
    <w:rsid w:val="00F65CA3"/>
    <w:rsid w:val="00F6781A"/>
    <w:rsid w:val="00F71F63"/>
    <w:rsid w:val="00F72500"/>
    <w:rsid w:val="00F800F1"/>
    <w:rsid w:val="00F80852"/>
    <w:rsid w:val="00F81F59"/>
    <w:rsid w:val="00F93299"/>
    <w:rsid w:val="00F971AC"/>
    <w:rsid w:val="00FA0C91"/>
    <w:rsid w:val="00FA3205"/>
    <w:rsid w:val="00FA37AB"/>
    <w:rsid w:val="00FA7E4C"/>
    <w:rsid w:val="00FB2998"/>
    <w:rsid w:val="00FB57C3"/>
    <w:rsid w:val="00FC165C"/>
    <w:rsid w:val="00FC1F82"/>
    <w:rsid w:val="00FC3AB8"/>
    <w:rsid w:val="00FC4245"/>
    <w:rsid w:val="00FC5E86"/>
    <w:rsid w:val="00FC690F"/>
    <w:rsid w:val="00FD2F4D"/>
    <w:rsid w:val="00FD7761"/>
    <w:rsid w:val="00FE1BBB"/>
    <w:rsid w:val="00FE52C7"/>
    <w:rsid w:val="00FF2293"/>
    <w:rsid w:val="00FF3CED"/>
    <w:rsid w:val="00FF6695"/>
    <w:rsid w:val="00FF7BC0"/>
    <w:rsid w:val="01CF6CC2"/>
    <w:rsid w:val="01F04499"/>
    <w:rsid w:val="01F70876"/>
    <w:rsid w:val="022C6AD0"/>
    <w:rsid w:val="0490760B"/>
    <w:rsid w:val="04DA5B31"/>
    <w:rsid w:val="05571F2F"/>
    <w:rsid w:val="057049A1"/>
    <w:rsid w:val="05C45834"/>
    <w:rsid w:val="060F1D85"/>
    <w:rsid w:val="061611B5"/>
    <w:rsid w:val="0639190E"/>
    <w:rsid w:val="065966E8"/>
    <w:rsid w:val="06934168"/>
    <w:rsid w:val="082559D9"/>
    <w:rsid w:val="09276052"/>
    <w:rsid w:val="09AD65FB"/>
    <w:rsid w:val="09B40971"/>
    <w:rsid w:val="0A092C8F"/>
    <w:rsid w:val="0A2E4AF9"/>
    <w:rsid w:val="0AB913A2"/>
    <w:rsid w:val="0B4E7B1E"/>
    <w:rsid w:val="0BE11644"/>
    <w:rsid w:val="0BF5372E"/>
    <w:rsid w:val="0C813D3B"/>
    <w:rsid w:val="0D4932CE"/>
    <w:rsid w:val="0DBE0DD6"/>
    <w:rsid w:val="0E4220E2"/>
    <w:rsid w:val="0F5C7653"/>
    <w:rsid w:val="10085F7B"/>
    <w:rsid w:val="105D57F2"/>
    <w:rsid w:val="107812AC"/>
    <w:rsid w:val="11212F0D"/>
    <w:rsid w:val="11AF612C"/>
    <w:rsid w:val="11EA261C"/>
    <w:rsid w:val="12016E5F"/>
    <w:rsid w:val="13DD60B9"/>
    <w:rsid w:val="141E5353"/>
    <w:rsid w:val="146E0F41"/>
    <w:rsid w:val="14A60C3A"/>
    <w:rsid w:val="157278DD"/>
    <w:rsid w:val="15A53AB3"/>
    <w:rsid w:val="166F74D1"/>
    <w:rsid w:val="18412A7C"/>
    <w:rsid w:val="192E4B98"/>
    <w:rsid w:val="19456905"/>
    <w:rsid w:val="1A485933"/>
    <w:rsid w:val="1B7C2009"/>
    <w:rsid w:val="1BFE43D5"/>
    <w:rsid w:val="1CD46C10"/>
    <w:rsid w:val="1D312236"/>
    <w:rsid w:val="1F4072EA"/>
    <w:rsid w:val="1F4C4DC0"/>
    <w:rsid w:val="1F9C3E1C"/>
    <w:rsid w:val="1FE173D8"/>
    <w:rsid w:val="1FE97CA6"/>
    <w:rsid w:val="203F4BC5"/>
    <w:rsid w:val="20CC3A25"/>
    <w:rsid w:val="20F82625"/>
    <w:rsid w:val="213F3A2E"/>
    <w:rsid w:val="218176FE"/>
    <w:rsid w:val="21D435EF"/>
    <w:rsid w:val="2236792C"/>
    <w:rsid w:val="223B10F5"/>
    <w:rsid w:val="23D07BBE"/>
    <w:rsid w:val="240C6B45"/>
    <w:rsid w:val="243B0975"/>
    <w:rsid w:val="24611274"/>
    <w:rsid w:val="24B429EB"/>
    <w:rsid w:val="24F84247"/>
    <w:rsid w:val="25956D48"/>
    <w:rsid w:val="260C46B2"/>
    <w:rsid w:val="26555BF8"/>
    <w:rsid w:val="2678079F"/>
    <w:rsid w:val="26A94938"/>
    <w:rsid w:val="26AD6E50"/>
    <w:rsid w:val="273B7152"/>
    <w:rsid w:val="27BF40D9"/>
    <w:rsid w:val="27D47E9A"/>
    <w:rsid w:val="28A21943"/>
    <w:rsid w:val="28B56309"/>
    <w:rsid w:val="28BF18B6"/>
    <w:rsid w:val="2A015650"/>
    <w:rsid w:val="2A5D31BD"/>
    <w:rsid w:val="2B014054"/>
    <w:rsid w:val="2B1A6321"/>
    <w:rsid w:val="2C307433"/>
    <w:rsid w:val="2CAB7686"/>
    <w:rsid w:val="2E187E86"/>
    <w:rsid w:val="2E994BD9"/>
    <w:rsid w:val="2ED919A5"/>
    <w:rsid w:val="2F666460"/>
    <w:rsid w:val="309E63DD"/>
    <w:rsid w:val="31063C4C"/>
    <w:rsid w:val="31E41578"/>
    <w:rsid w:val="31FC5D17"/>
    <w:rsid w:val="322E5E2A"/>
    <w:rsid w:val="33DA02A0"/>
    <w:rsid w:val="340459C2"/>
    <w:rsid w:val="34540AF1"/>
    <w:rsid w:val="35A07A01"/>
    <w:rsid w:val="35BC6459"/>
    <w:rsid w:val="35C5286C"/>
    <w:rsid w:val="366D71CF"/>
    <w:rsid w:val="37236AE7"/>
    <w:rsid w:val="37CC393A"/>
    <w:rsid w:val="393E407D"/>
    <w:rsid w:val="3A017404"/>
    <w:rsid w:val="3A8B5D5A"/>
    <w:rsid w:val="3C0D4421"/>
    <w:rsid w:val="3C544530"/>
    <w:rsid w:val="3C751FEB"/>
    <w:rsid w:val="3C9E715D"/>
    <w:rsid w:val="3E2C5CF6"/>
    <w:rsid w:val="3E402C84"/>
    <w:rsid w:val="3E985CDA"/>
    <w:rsid w:val="3EFC1601"/>
    <w:rsid w:val="3F28660D"/>
    <w:rsid w:val="3F342FC8"/>
    <w:rsid w:val="3F5C3EA6"/>
    <w:rsid w:val="40181D19"/>
    <w:rsid w:val="403B20E9"/>
    <w:rsid w:val="40557098"/>
    <w:rsid w:val="4057575E"/>
    <w:rsid w:val="4204506C"/>
    <w:rsid w:val="421A454D"/>
    <w:rsid w:val="431006D9"/>
    <w:rsid w:val="435B29BF"/>
    <w:rsid w:val="439C4036"/>
    <w:rsid w:val="44302127"/>
    <w:rsid w:val="460B0929"/>
    <w:rsid w:val="4634655B"/>
    <w:rsid w:val="466B524A"/>
    <w:rsid w:val="468C12E8"/>
    <w:rsid w:val="47347ED4"/>
    <w:rsid w:val="47D41514"/>
    <w:rsid w:val="490A03EF"/>
    <w:rsid w:val="495B5395"/>
    <w:rsid w:val="49FF39C5"/>
    <w:rsid w:val="4AE80471"/>
    <w:rsid w:val="4AFE304E"/>
    <w:rsid w:val="4BD56D10"/>
    <w:rsid w:val="4CE35A2A"/>
    <w:rsid w:val="4D4E0B28"/>
    <w:rsid w:val="4D511EE1"/>
    <w:rsid w:val="4FAB19E3"/>
    <w:rsid w:val="5022028B"/>
    <w:rsid w:val="51CC53A3"/>
    <w:rsid w:val="520B0905"/>
    <w:rsid w:val="526E1486"/>
    <w:rsid w:val="53860519"/>
    <w:rsid w:val="53E333C6"/>
    <w:rsid w:val="53F4760D"/>
    <w:rsid w:val="53FB7EF1"/>
    <w:rsid w:val="54235151"/>
    <w:rsid w:val="56D652E1"/>
    <w:rsid w:val="57E40DEC"/>
    <w:rsid w:val="580D2D6A"/>
    <w:rsid w:val="58EC5B1C"/>
    <w:rsid w:val="58F21E8F"/>
    <w:rsid w:val="58F61756"/>
    <w:rsid w:val="59144717"/>
    <w:rsid w:val="592C7AE0"/>
    <w:rsid w:val="59FA6256"/>
    <w:rsid w:val="5AC41807"/>
    <w:rsid w:val="5AD6581E"/>
    <w:rsid w:val="5ADE0C5A"/>
    <w:rsid w:val="5AFA31C2"/>
    <w:rsid w:val="5B1D15C1"/>
    <w:rsid w:val="5B83080A"/>
    <w:rsid w:val="5BAD6C44"/>
    <w:rsid w:val="5BD37248"/>
    <w:rsid w:val="5BDF425D"/>
    <w:rsid w:val="5D0C09C2"/>
    <w:rsid w:val="5DC7295C"/>
    <w:rsid w:val="5E5C77D1"/>
    <w:rsid w:val="5F3E250E"/>
    <w:rsid w:val="60C53673"/>
    <w:rsid w:val="60DA3662"/>
    <w:rsid w:val="61172425"/>
    <w:rsid w:val="61371DBF"/>
    <w:rsid w:val="621A39F9"/>
    <w:rsid w:val="63D66368"/>
    <w:rsid w:val="640B3F6A"/>
    <w:rsid w:val="64184C61"/>
    <w:rsid w:val="65627634"/>
    <w:rsid w:val="656735AD"/>
    <w:rsid w:val="65680850"/>
    <w:rsid w:val="65705BA3"/>
    <w:rsid w:val="65B039E9"/>
    <w:rsid w:val="66186F67"/>
    <w:rsid w:val="662F4186"/>
    <w:rsid w:val="664C2042"/>
    <w:rsid w:val="675A43EA"/>
    <w:rsid w:val="67714FD1"/>
    <w:rsid w:val="67FC3F60"/>
    <w:rsid w:val="684B64CB"/>
    <w:rsid w:val="69420AF4"/>
    <w:rsid w:val="698060B5"/>
    <w:rsid w:val="6B5D66AE"/>
    <w:rsid w:val="6BA5059F"/>
    <w:rsid w:val="6BB53AFE"/>
    <w:rsid w:val="6BC370E8"/>
    <w:rsid w:val="6C0E42E7"/>
    <w:rsid w:val="6D130EF0"/>
    <w:rsid w:val="6D537C50"/>
    <w:rsid w:val="6EEB2832"/>
    <w:rsid w:val="6F984CC9"/>
    <w:rsid w:val="70564AF7"/>
    <w:rsid w:val="7066061E"/>
    <w:rsid w:val="70C20CF6"/>
    <w:rsid w:val="713432E2"/>
    <w:rsid w:val="728E42B1"/>
    <w:rsid w:val="73B21068"/>
    <w:rsid w:val="75B5764E"/>
    <w:rsid w:val="762878B8"/>
    <w:rsid w:val="763806FD"/>
    <w:rsid w:val="76A258BD"/>
    <w:rsid w:val="77337E64"/>
    <w:rsid w:val="79324F8F"/>
    <w:rsid w:val="795F767E"/>
    <w:rsid w:val="7A1A0D02"/>
    <w:rsid w:val="7AA83B7C"/>
    <w:rsid w:val="7B83218C"/>
    <w:rsid w:val="7BB40A76"/>
    <w:rsid w:val="7C772659"/>
    <w:rsid w:val="7D3E31C9"/>
    <w:rsid w:val="7D533D6A"/>
    <w:rsid w:val="7EC21B01"/>
    <w:rsid w:val="7EC35CB3"/>
    <w:rsid w:val="7EE65FF6"/>
    <w:rsid w:val="7F997770"/>
    <w:rsid w:val="7FA36202"/>
    <w:rsid w:val="7FA76E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qFormat="1" w:unhideWhenUsed="0" w:uiPriority="0" w:semiHidden="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5">
    <w:name w:val="heading 1"/>
    <w:basedOn w:val="1"/>
    <w:next w:val="1"/>
    <w:link w:val="51"/>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52"/>
    <w:qFormat/>
    <w:uiPriority w:val="9"/>
    <w:pPr>
      <w:keepNext/>
      <w:keepLines/>
      <w:tabs>
        <w:tab w:val="left" w:pos="1080"/>
      </w:tabs>
      <w:spacing w:line="360" w:lineRule="auto"/>
      <w:outlineLvl w:val="1"/>
    </w:pPr>
    <w:rPr>
      <w:rFonts w:ascii="宋体" w:cs="宋体"/>
      <w:kern w:val="24"/>
      <w:sz w:val="24"/>
      <w:szCs w:val="24"/>
    </w:rPr>
  </w:style>
  <w:style w:type="paragraph" w:styleId="7">
    <w:name w:val="heading 3"/>
    <w:basedOn w:val="1"/>
    <w:next w:val="1"/>
    <w:link w:val="40"/>
    <w:qFormat/>
    <w:uiPriority w:val="9"/>
    <w:pPr>
      <w:keepNext/>
      <w:keepLines/>
      <w:spacing w:after="120" w:line="360" w:lineRule="auto"/>
      <w:outlineLvl w:val="2"/>
    </w:pPr>
    <w:rPr>
      <w:rFonts w:ascii="黑体" w:eastAsia="黑体" w:cs="黑体"/>
      <w:color w:val="000000"/>
      <w:kern w:val="24"/>
      <w:sz w:val="24"/>
      <w:szCs w:val="24"/>
    </w:rPr>
  </w:style>
  <w:style w:type="paragraph" w:styleId="8">
    <w:name w:val="heading 4"/>
    <w:basedOn w:val="1"/>
    <w:next w:val="1"/>
    <w:link w:val="53"/>
    <w:unhideWhenUsed/>
    <w:qFormat/>
    <w:uiPriority w:val="0"/>
    <w:pPr>
      <w:keepNext/>
      <w:keepLines/>
      <w:numPr>
        <w:ilvl w:val="3"/>
        <w:numId w:val="1"/>
      </w:numPr>
      <w:spacing w:before="280" w:after="290" w:line="376" w:lineRule="auto"/>
      <w:outlineLvl w:val="3"/>
    </w:pPr>
    <w:rPr>
      <w:rFonts w:ascii="Cambria" w:hAnsi="Cambria" w:cs="Times New Roman"/>
      <w:b/>
      <w:bCs/>
      <w:sz w:val="28"/>
      <w:szCs w:val="28"/>
    </w:rPr>
  </w:style>
  <w:style w:type="paragraph" w:styleId="9">
    <w:name w:val="heading 5"/>
    <w:basedOn w:val="1"/>
    <w:next w:val="10"/>
    <w:link w:val="49"/>
    <w:qFormat/>
    <w:uiPriority w:val="99"/>
    <w:pPr>
      <w:widowControl w:val="0"/>
      <w:ind w:firstLine="454"/>
      <w:outlineLvl w:val="4"/>
    </w:pPr>
    <w:rPr>
      <w:rFonts w:ascii="Calibri" w:hAnsi="Calibri" w:cs="Calibri"/>
    </w:rPr>
  </w:style>
  <w:style w:type="paragraph" w:styleId="10">
    <w:name w:val="heading 6"/>
    <w:basedOn w:val="1"/>
    <w:next w:val="1"/>
    <w:link w:val="50"/>
    <w:qFormat/>
    <w:uiPriority w:val="99"/>
    <w:pPr>
      <w:widowControl w:val="0"/>
      <w:ind w:firstLine="680"/>
      <w:outlineLvl w:val="5"/>
    </w:pPr>
    <w:rPr>
      <w:rFonts w:ascii="Calibri" w:hAnsi="Calibri" w:cs="Calibr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99"/>
    <w:pPr>
      <w:widowControl w:val="0"/>
      <w:spacing w:after="120"/>
    </w:pPr>
    <w:rPr>
      <w:rFonts w:ascii="Calibri" w:hAnsi="Calibri" w:cs="Calibri"/>
    </w:rPr>
  </w:style>
  <w:style w:type="paragraph" w:styleId="3">
    <w:name w:val="header"/>
    <w:basedOn w:val="1"/>
    <w:next w:val="4"/>
    <w:link w:val="61"/>
    <w:qFormat/>
    <w:uiPriority w:val="0"/>
    <w:pPr>
      <w:widowControl w:val="0"/>
      <w:pBdr>
        <w:bottom w:val="single" w:color="auto" w:sz="6" w:space="1"/>
      </w:pBdr>
      <w:tabs>
        <w:tab w:val="center" w:pos="4153"/>
        <w:tab w:val="right" w:pos="8306"/>
      </w:tabs>
      <w:snapToGrid w:val="0"/>
      <w:jc w:val="center"/>
    </w:pPr>
    <w:rPr>
      <w:rFonts w:ascii="Calibri" w:hAnsi="Calibri" w:cs="Calibri"/>
      <w:sz w:val="18"/>
      <w:szCs w:val="18"/>
    </w:rPr>
  </w:style>
  <w:style w:type="paragraph" w:customStyle="1" w:styleId="4">
    <w:name w:val="Quote1"/>
    <w:basedOn w:val="1"/>
    <w:next w:val="1"/>
    <w:qFormat/>
    <w:uiPriority w:val="99"/>
    <w:pPr>
      <w:widowControl/>
      <w:wordWrap w:val="0"/>
      <w:spacing w:before="200" w:after="160"/>
      <w:ind w:left="864" w:right="864"/>
      <w:jc w:val="center"/>
    </w:pPr>
    <w:rPr>
      <w:rFonts w:ascii="宋体"/>
      <w:i/>
      <w:color w:val="404040"/>
    </w:rPr>
  </w:style>
  <w:style w:type="paragraph" w:styleId="11">
    <w:name w:val="Normal Indent"/>
    <w:basedOn w:val="1"/>
    <w:next w:val="12"/>
    <w:link w:val="54"/>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2">
    <w:name w:val="Body Text Indent"/>
    <w:basedOn w:val="1"/>
    <w:next w:val="13"/>
    <w:link w:val="58"/>
    <w:qFormat/>
    <w:uiPriority w:val="99"/>
    <w:pPr>
      <w:widowControl w:val="0"/>
      <w:spacing w:after="120"/>
      <w:ind w:left="420" w:leftChars="200"/>
    </w:pPr>
    <w:rPr>
      <w:rFonts w:ascii="Calibri" w:hAnsi="Calibri" w:cs="Calibri"/>
    </w:rPr>
  </w:style>
  <w:style w:type="paragraph" w:styleId="13">
    <w:name w:val="Body Text First Indent 2"/>
    <w:basedOn w:val="12"/>
    <w:next w:val="2"/>
    <w:link w:val="64"/>
    <w:qFormat/>
    <w:uiPriority w:val="99"/>
    <w:pPr>
      <w:ind w:firstLine="420" w:firstLineChars="200"/>
    </w:pPr>
  </w:style>
  <w:style w:type="paragraph" w:styleId="14">
    <w:name w:val="caption"/>
    <w:basedOn w:val="1"/>
    <w:next w:val="1"/>
    <w:qFormat/>
    <w:uiPriority w:val="35"/>
    <w:rPr>
      <w:rFonts w:ascii="Arial" w:hAnsi="Arial" w:eastAsia="黑体"/>
      <w:sz w:val="20"/>
    </w:rPr>
  </w:style>
  <w:style w:type="paragraph" w:styleId="15">
    <w:name w:val="Document Map"/>
    <w:basedOn w:val="1"/>
    <w:link w:val="55"/>
    <w:qFormat/>
    <w:uiPriority w:val="99"/>
    <w:pPr>
      <w:widowControl w:val="0"/>
    </w:pPr>
    <w:rPr>
      <w:rFonts w:ascii="宋体" w:hAnsi="Calibri" w:cs="宋体"/>
      <w:sz w:val="18"/>
      <w:szCs w:val="18"/>
    </w:rPr>
  </w:style>
  <w:style w:type="paragraph" w:styleId="16">
    <w:name w:val="annotation text"/>
    <w:basedOn w:val="1"/>
    <w:link w:val="56"/>
    <w:qFormat/>
    <w:uiPriority w:val="99"/>
    <w:pPr>
      <w:widowControl w:val="0"/>
      <w:jc w:val="left"/>
    </w:pPr>
    <w:rPr>
      <w:rFonts w:ascii="Calibri" w:hAnsi="Calibri" w:cs="Calibri"/>
    </w:rPr>
  </w:style>
  <w:style w:type="paragraph" w:styleId="17">
    <w:name w:val="Body Text 3"/>
    <w:basedOn w:val="1"/>
    <w:qFormat/>
    <w:uiPriority w:val="0"/>
    <w:pPr>
      <w:snapToGrid w:val="0"/>
      <w:spacing w:before="50" w:after="50"/>
    </w:pPr>
    <w:rPr>
      <w:rFonts w:ascii="Times New Roman" w:hAnsi="宋体" w:eastAsia="仿宋_GB2312"/>
      <w:b/>
      <w:bCs/>
      <w:sz w:val="24"/>
      <w:szCs w:val="20"/>
    </w:rPr>
  </w:style>
  <w:style w:type="paragraph" w:styleId="18">
    <w:name w:val="Plain Text"/>
    <w:basedOn w:val="1"/>
    <w:link w:val="59"/>
    <w:qFormat/>
    <w:uiPriority w:val="0"/>
    <w:pPr>
      <w:widowControl w:val="0"/>
    </w:pPr>
    <w:rPr>
      <w:rFonts w:ascii="宋体" w:hAnsi="Courier New" w:cs="宋体"/>
    </w:rPr>
  </w:style>
  <w:style w:type="paragraph" w:styleId="19">
    <w:name w:val="Date"/>
    <w:basedOn w:val="1"/>
    <w:next w:val="1"/>
    <w:qFormat/>
    <w:uiPriority w:val="0"/>
    <w:pPr>
      <w:ind w:left="2500" w:leftChars="2500"/>
    </w:pPr>
    <w:rPr>
      <w:rFonts w:eastAsia="楷体_GB2312"/>
      <w:sz w:val="32"/>
      <w:szCs w:val="20"/>
    </w:rPr>
  </w:style>
  <w:style w:type="paragraph" w:styleId="20">
    <w:name w:val="Balloon Text"/>
    <w:basedOn w:val="1"/>
    <w:link w:val="60"/>
    <w:qFormat/>
    <w:uiPriority w:val="99"/>
    <w:pPr>
      <w:widowControl w:val="0"/>
    </w:pPr>
    <w:rPr>
      <w:rFonts w:ascii="Calibri" w:hAnsi="Calibri" w:cs="Calibri"/>
      <w:sz w:val="18"/>
      <w:szCs w:val="18"/>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toc 2"/>
    <w:basedOn w:val="1"/>
    <w:next w:val="1"/>
    <w:qFormat/>
    <w:uiPriority w:val="0"/>
    <w:pPr>
      <w:ind w:left="420" w:leftChars="200"/>
    </w:pPr>
  </w:style>
  <w:style w:type="paragraph" w:styleId="23">
    <w:name w:val="Body Text 2"/>
    <w:basedOn w:val="1"/>
    <w:qFormat/>
    <w:uiPriority w:val="0"/>
    <w:rPr>
      <w:rFonts w:ascii="宋体" w:hAnsi="Times New Roman" w:cs="Times New Roman"/>
      <w:color w:val="000000"/>
      <w:sz w:val="28"/>
    </w:rPr>
  </w:style>
  <w:style w:type="paragraph" w:styleId="24">
    <w:name w:val="HTML Preformatted"/>
    <w:basedOn w:val="1"/>
    <w:link w:val="62"/>
    <w:qFormat/>
    <w:uiPriority w:val="99"/>
    <w:pPr>
      <w:widowControl w:val="0"/>
    </w:pPr>
    <w:rPr>
      <w:rFonts w:ascii="Courier New" w:hAnsi="Courier New" w:cs="Courier New"/>
      <w:sz w:val="20"/>
      <w:szCs w:val="20"/>
    </w:rPr>
  </w:style>
  <w:style w:type="paragraph" w:styleId="25">
    <w:name w:val="Normal (Web)"/>
    <w:basedOn w:val="1"/>
    <w:link w:val="141"/>
    <w:qFormat/>
    <w:uiPriority w:val="0"/>
    <w:pPr>
      <w:widowControl w:val="0"/>
    </w:pPr>
    <w:rPr>
      <w:rFonts w:ascii="Calibri" w:hAnsi="Calibri" w:cs="Calibri"/>
      <w:sz w:val="24"/>
      <w:szCs w:val="24"/>
    </w:rPr>
  </w:style>
  <w:style w:type="paragraph" w:styleId="26">
    <w:name w:val="annotation subject"/>
    <w:basedOn w:val="16"/>
    <w:next w:val="16"/>
    <w:link w:val="63"/>
    <w:qFormat/>
    <w:uiPriority w:val="99"/>
    <w:rPr>
      <w:b/>
      <w:bCs/>
    </w:rPr>
  </w:style>
  <w:style w:type="paragraph" w:styleId="27">
    <w:name w:val="Body Text First Indent"/>
    <w:basedOn w:val="2"/>
    <w:next w:val="1"/>
    <w:unhideWhenUsed/>
    <w:qFormat/>
    <w:uiPriority w:val="99"/>
    <w:pPr>
      <w:spacing w:after="120"/>
      <w:ind w:firstLine="420" w:firstLineChars="100"/>
    </w:pPr>
    <w:rPr>
      <w:rFonts w:ascii="Calibri" w:hAnsi="Calibri" w:eastAsia="宋体" w:cs="Times New Roman"/>
      <w:szCs w:val="22"/>
      <w:lang w:val="en-US" w:bidi="ar-SA"/>
    </w:rPr>
  </w:style>
  <w:style w:type="table" w:styleId="29">
    <w:name w:val="Table Grid"/>
    <w:basedOn w:val="28"/>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b/>
      <w:bCs/>
    </w:rPr>
  </w:style>
  <w:style w:type="character" w:styleId="32">
    <w:name w:val="page number"/>
    <w:basedOn w:val="30"/>
    <w:qFormat/>
    <w:uiPriority w:val="99"/>
  </w:style>
  <w:style w:type="character" w:styleId="33">
    <w:name w:val="HTML Definition"/>
    <w:qFormat/>
    <w:uiPriority w:val="0"/>
    <w:rPr>
      <w:i/>
    </w:rPr>
  </w:style>
  <w:style w:type="character" w:styleId="34">
    <w:name w:val="Hyperlink"/>
    <w:basedOn w:val="30"/>
    <w:qFormat/>
    <w:uiPriority w:val="99"/>
    <w:rPr>
      <w:color w:val="0000FF"/>
      <w:u w:val="single"/>
    </w:rPr>
  </w:style>
  <w:style w:type="character" w:styleId="35">
    <w:name w:val="annotation reference"/>
    <w:basedOn w:val="30"/>
    <w:qFormat/>
    <w:uiPriority w:val="99"/>
    <w:rPr>
      <w:sz w:val="21"/>
      <w:szCs w:val="21"/>
    </w:rPr>
  </w:style>
  <w:style w:type="paragraph" w:customStyle="1" w:styleId="36">
    <w:name w:val="xl53"/>
    <w:basedOn w:val="1"/>
    <w:next w:val="1"/>
    <w:qFormat/>
    <w:uiPriority w:val="0"/>
    <w:pPr>
      <w:spacing w:before="280" w:after="280" w:line="100" w:lineRule="exact"/>
      <w:jc w:val="center"/>
    </w:pPr>
    <w:rPr>
      <w:b/>
      <w:sz w:val="20"/>
    </w:rPr>
  </w:style>
  <w:style w:type="paragraph" w:customStyle="1" w:styleId="37">
    <w:name w:val="样式 表格正文 + 两端对齐"/>
    <w:basedOn w:val="1"/>
    <w:next w:val="38"/>
    <w:qFormat/>
    <w:uiPriority w:val="99"/>
    <w:pPr>
      <w:spacing w:line="300" w:lineRule="auto"/>
    </w:pPr>
    <w:rPr>
      <w:sz w:val="24"/>
    </w:rPr>
  </w:style>
  <w:style w:type="paragraph" w:customStyle="1" w:styleId="38">
    <w:name w:val="正文1"/>
    <w:basedOn w:val="1"/>
    <w:next w:val="39"/>
    <w:qFormat/>
    <w:uiPriority w:val="0"/>
    <w:pPr>
      <w:tabs>
        <w:tab w:val="left" w:pos="1980"/>
        <w:tab w:val="left" w:pos="2160"/>
      </w:tabs>
      <w:spacing w:line="360" w:lineRule="auto"/>
      <w:ind w:left="2160"/>
    </w:pPr>
    <w:rPr>
      <w:rFonts w:ascii="宋体" w:hAnsi="宋体"/>
    </w:rPr>
  </w:style>
  <w:style w:type="paragraph" w:customStyle="1" w:styleId="39">
    <w:name w:val="自动更正"/>
    <w:qFormat/>
    <w:uiPriority w:val="99"/>
    <w:pPr>
      <w:widowControl w:val="0"/>
      <w:jc w:val="both"/>
    </w:pPr>
    <w:rPr>
      <w:rFonts w:ascii="黑体" w:hAnsi="黑体" w:eastAsia="微软雅黑" w:cs="黑体"/>
      <w:kern w:val="2"/>
      <w:sz w:val="21"/>
      <w:szCs w:val="21"/>
      <w:lang w:val="en-US" w:eastAsia="zh-CN" w:bidi="ar-SA"/>
    </w:rPr>
  </w:style>
  <w:style w:type="character" w:customStyle="1" w:styleId="40">
    <w:name w:val="标题 3 字符"/>
    <w:basedOn w:val="30"/>
    <w:link w:val="7"/>
    <w:qFormat/>
    <w:locked/>
    <w:uiPriority w:val="9"/>
    <w:rPr>
      <w:rFonts w:ascii="黑体" w:hAnsi="宋体" w:eastAsia="黑体" w:cs="黑体"/>
      <w:color w:val="000000"/>
      <w:kern w:val="24"/>
      <w:sz w:val="24"/>
      <w:szCs w:val="24"/>
    </w:rPr>
  </w:style>
  <w:style w:type="paragraph" w:customStyle="1" w:styleId="41">
    <w:name w:val="正文2"/>
    <w:basedOn w:val="23"/>
    <w:qFormat/>
    <w:uiPriority w:val="99"/>
    <w:pPr>
      <w:widowControl w:val="0"/>
      <w:spacing w:before="156" w:line="360" w:lineRule="auto"/>
      <w:ind w:firstLine="510" w:firstLineChars="200"/>
    </w:pPr>
    <w:rPr>
      <w:rFonts w:ascii="Calibri" w:hAnsi="Calibri" w:cs="Calibri"/>
      <w:sz w:val="24"/>
      <w:szCs w:val="24"/>
    </w:rPr>
  </w:style>
  <w:style w:type="paragraph" w:styleId="42">
    <w:name w:val="List Paragraph"/>
    <w:basedOn w:val="1"/>
    <w:link w:val="136"/>
    <w:qFormat/>
    <w:uiPriority w:val="0"/>
    <w:pPr>
      <w:ind w:firstLine="420" w:firstLineChars="200"/>
    </w:pPr>
  </w:style>
  <w:style w:type="paragraph" w:customStyle="1" w:styleId="43">
    <w:name w:val="列出段落2"/>
    <w:basedOn w:val="1"/>
    <w:qFormat/>
    <w:uiPriority w:val="0"/>
    <w:pPr>
      <w:ind w:firstLine="420" w:firstLineChars="200"/>
    </w:pPr>
  </w:style>
  <w:style w:type="paragraph" w:customStyle="1" w:styleId="44">
    <w:name w:val="普通(Web)1"/>
    <w:basedOn w:val="1"/>
    <w:next w:val="25"/>
    <w:qFormat/>
    <w:uiPriority w:val="99"/>
    <w:pPr>
      <w:spacing w:before="100" w:beforeAutospacing="1" w:after="100" w:afterAutospacing="1"/>
      <w:jc w:val="left"/>
    </w:pPr>
    <w:rPr>
      <w:rFonts w:ascii="宋体" w:cs="宋体"/>
      <w:color w:val="000000"/>
      <w:kern w:val="0"/>
      <w:sz w:val="24"/>
      <w:szCs w:val="24"/>
    </w:rPr>
  </w:style>
  <w:style w:type="paragraph" w:customStyle="1" w:styleId="45">
    <w:name w:val="Proposals body"/>
    <w:basedOn w:val="1"/>
    <w:next w:val="1"/>
    <w:qFormat/>
    <w:uiPriority w:val="99"/>
    <w:pPr>
      <w:spacing w:line="360" w:lineRule="auto"/>
      <w:jc w:val="left"/>
    </w:pPr>
    <w:rPr>
      <w:rFonts w:ascii="宋体" w:hAnsi="Calibri" w:cs="宋体"/>
      <w:color w:val="000000"/>
      <w:kern w:val="0"/>
      <w:sz w:val="24"/>
      <w:szCs w:val="24"/>
    </w:rPr>
  </w:style>
  <w:style w:type="character" w:customStyle="1" w:styleId="46">
    <w:name w:val="页脚 字符"/>
    <w:basedOn w:val="30"/>
    <w:link w:val="21"/>
    <w:qFormat/>
    <w:uiPriority w:val="99"/>
    <w:rPr>
      <w:rFonts w:ascii="等线" w:hAnsi="宋体" w:cs="等线"/>
      <w:kern w:val="2"/>
      <w:sz w:val="18"/>
      <w:szCs w:val="18"/>
    </w:rPr>
  </w:style>
  <w:style w:type="paragraph" w:customStyle="1" w:styleId="47">
    <w:name w:val="！正文（四号字）"/>
    <w:link w:val="127"/>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paragraph" w:customStyle="1" w:styleId="48">
    <w:name w:val="p0"/>
    <w:basedOn w:val="1"/>
    <w:qFormat/>
    <w:uiPriority w:val="0"/>
    <w:pPr>
      <w:ind w:left="108" w:right="108" w:firstLine="200"/>
    </w:pPr>
    <w:rPr>
      <w:rFonts w:ascii="Times New Roman" w:hAnsi="Times New Roman" w:eastAsia="微软雅黑" w:cs="Times New Roman"/>
      <w:kern w:val="0"/>
    </w:rPr>
  </w:style>
  <w:style w:type="character" w:customStyle="1" w:styleId="49">
    <w:name w:val="标题 5 字符"/>
    <w:basedOn w:val="30"/>
    <w:link w:val="9"/>
    <w:qFormat/>
    <w:uiPriority w:val="99"/>
    <w:rPr>
      <w:rFonts w:ascii="Calibri" w:hAnsi="Calibri" w:cs="Calibri"/>
      <w:kern w:val="2"/>
      <w:sz w:val="21"/>
      <w:szCs w:val="21"/>
    </w:rPr>
  </w:style>
  <w:style w:type="character" w:customStyle="1" w:styleId="50">
    <w:name w:val="标题 6 字符"/>
    <w:basedOn w:val="30"/>
    <w:link w:val="10"/>
    <w:qFormat/>
    <w:uiPriority w:val="99"/>
    <w:rPr>
      <w:rFonts w:ascii="Calibri" w:hAnsi="Calibri" w:cs="Calibri"/>
      <w:kern w:val="2"/>
      <w:sz w:val="21"/>
      <w:szCs w:val="21"/>
    </w:rPr>
  </w:style>
  <w:style w:type="character" w:customStyle="1" w:styleId="51">
    <w:name w:val="标题 1 字符"/>
    <w:basedOn w:val="30"/>
    <w:link w:val="5"/>
    <w:qFormat/>
    <w:locked/>
    <w:uiPriority w:val="99"/>
    <w:rPr>
      <w:rFonts w:ascii="等线" w:hAnsi="宋体" w:cs="等线"/>
      <w:b/>
      <w:bCs/>
      <w:kern w:val="44"/>
      <w:sz w:val="44"/>
      <w:szCs w:val="44"/>
    </w:rPr>
  </w:style>
  <w:style w:type="character" w:customStyle="1" w:styleId="52">
    <w:name w:val="标题 2 字符"/>
    <w:basedOn w:val="30"/>
    <w:link w:val="6"/>
    <w:qFormat/>
    <w:locked/>
    <w:uiPriority w:val="9"/>
    <w:rPr>
      <w:rFonts w:ascii="宋体" w:hAnsi="宋体" w:cs="宋体"/>
      <w:kern w:val="24"/>
      <w:sz w:val="24"/>
      <w:szCs w:val="24"/>
    </w:rPr>
  </w:style>
  <w:style w:type="character" w:customStyle="1" w:styleId="53">
    <w:name w:val="标题 4 字符"/>
    <w:basedOn w:val="30"/>
    <w:link w:val="8"/>
    <w:qFormat/>
    <w:uiPriority w:val="0"/>
    <w:rPr>
      <w:rFonts w:ascii="Cambria" w:hAnsi="Cambria"/>
      <w:b/>
      <w:bCs/>
      <w:kern w:val="2"/>
      <w:sz w:val="28"/>
      <w:szCs w:val="28"/>
    </w:rPr>
  </w:style>
  <w:style w:type="character" w:customStyle="1" w:styleId="54">
    <w:name w:val="正文缩进 字符"/>
    <w:link w:val="11"/>
    <w:qFormat/>
    <w:uiPriority w:val="0"/>
    <w:rPr>
      <w:rFonts w:ascii="宋体" w:hAnsi="宋体"/>
      <w:snapToGrid w:val="0"/>
      <w:color w:val="000000"/>
      <w:kern w:val="28"/>
      <w:sz w:val="28"/>
    </w:rPr>
  </w:style>
  <w:style w:type="character" w:customStyle="1" w:styleId="55">
    <w:name w:val="文档结构图 字符"/>
    <w:basedOn w:val="30"/>
    <w:link w:val="15"/>
    <w:qFormat/>
    <w:uiPriority w:val="99"/>
    <w:rPr>
      <w:rFonts w:ascii="宋体" w:hAnsi="Calibri" w:cs="宋体"/>
      <w:kern w:val="2"/>
      <w:sz w:val="18"/>
      <w:szCs w:val="18"/>
    </w:rPr>
  </w:style>
  <w:style w:type="character" w:customStyle="1" w:styleId="56">
    <w:name w:val="批注文字 字符"/>
    <w:basedOn w:val="30"/>
    <w:link w:val="16"/>
    <w:qFormat/>
    <w:uiPriority w:val="99"/>
    <w:rPr>
      <w:rFonts w:ascii="Calibri" w:hAnsi="Calibri" w:cs="Calibri"/>
      <w:kern w:val="2"/>
      <w:sz w:val="21"/>
      <w:szCs w:val="21"/>
    </w:rPr>
  </w:style>
  <w:style w:type="character" w:customStyle="1" w:styleId="57">
    <w:name w:val="正文文本 字符"/>
    <w:basedOn w:val="30"/>
    <w:link w:val="2"/>
    <w:qFormat/>
    <w:uiPriority w:val="99"/>
    <w:rPr>
      <w:rFonts w:ascii="Calibri" w:hAnsi="Calibri" w:cs="Calibri"/>
      <w:kern w:val="2"/>
      <w:sz w:val="21"/>
      <w:szCs w:val="21"/>
    </w:rPr>
  </w:style>
  <w:style w:type="character" w:customStyle="1" w:styleId="58">
    <w:name w:val="正文文本缩进 字符"/>
    <w:basedOn w:val="30"/>
    <w:link w:val="12"/>
    <w:qFormat/>
    <w:locked/>
    <w:uiPriority w:val="99"/>
    <w:rPr>
      <w:rFonts w:ascii="Calibri" w:hAnsi="Calibri" w:cs="Calibri"/>
      <w:kern w:val="2"/>
      <w:sz w:val="21"/>
      <w:szCs w:val="21"/>
    </w:rPr>
  </w:style>
  <w:style w:type="character" w:customStyle="1" w:styleId="59">
    <w:name w:val="纯文本 字符"/>
    <w:basedOn w:val="30"/>
    <w:link w:val="18"/>
    <w:qFormat/>
    <w:locked/>
    <w:uiPriority w:val="0"/>
    <w:rPr>
      <w:rFonts w:ascii="宋体" w:hAnsi="Courier New" w:cs="宋体"/>
      <w:kern w:val="2"/>
      <w:sz w:val="21"/>
      <w:szCs w:val="21"/>
    </w:rPr>
  </w:style>
  <w:style w:type="character" w:customStyle="1" w:styleId="60">
    <w:name w:val="批注框文本 字符"/>
    <w:basedOn w:val="30"/>
    <w:link w:val="20"/>
    <w:qFormat/>
    <w:uiPriority w:val="99"/>
    <w:rPr>
      <w:rFonts w:ascii="Calibri" w:hAnsi="Calibri" w:cs="Calibri"/>
      <w:kern w:val="2"/>
      <w:sz w:val="18"/>
      <w:szCs w:val="18"/>
    </w:rPr>
  </w:style>
  <w:style w:type="character" w:customStyle="1" w:styleId="61">
    <w:name w:val="页眉 字符"/>
    <w:basedOn w:val="30"/>
    <w:link w:val="3"/>
    <w:qFormat/>
    <w:locked/>
    <w:uiPriority w:val="0"/>
    <w:rPr>
      <w:rFonts w:ascii="Calibri" w:hAnsi="Calibri" w:cs="Calibri"/>
      <w:kern w:val="2"/>
      <w:sz w:val="18"/>
      <w:szCs w:val="18"/>
    </w:rPr>
  </w:style>
  <w:style w:type="character" w:customStyle="1" w:styleId="62">
    <w:name w:val="HTML 预设格式 字符"/>
    <w:basedOn w:val="30"/>
    <w:link w:val="24"/>
    <w:qFormat/>
    <w:uiPriority w:val="99"/>
    <w:rPr>
      <w:rFonts w:ascii="Courier New" w:hAnsi="Courier New" w:cs="Courier New"/>
      <w:kern w:val="2"/>
    </w:rPr>
  </w:style>
  <w:style w:type="character" w:customStyle="1" w:styleId="63">
    <w:name w:val="批注主题 字符"/>
    <w:basedOn w:val="56"/>
    <w:link w:val="26"/>
    <w:qFormat/>
    <w:uiPriority w:val="99"/>
    <w:rPr>
      <w:rFonts w:ascii="Calibri" w:hAnsi="Calibri" w:cs="Calibri"/>
      <w:b/>
      <w:bCs/>
      <w:kern w:val="2"/>
      <w:sz w:val="21"/>
      <w:szCs w:val="21"/>
    </w:rPr>
  </w:style>
  <w:style w:type="character" w:customStyle="1" w:styleId="64">
    <w:name w:val="正文首行缩进 2 字符"/>
    <w:basedOn w:val="58"/>
    <w:link w:val="13"/>
    <w:qFormat/>
    <w:locked/>
    <w:uiPriority w:val="99"/>
    <w:rPr>
      <w:rFonts w:ascii="Calibri" w:hAnsi="Calibri" w:cs="Calibri"/>
      <w:kern w:val="2"/>
      <w:sz w:val="21"/>
      <w:szCs w:val="21"/>
    </w:rPr>
  </w:style>
  <w:style w:type="character" w:customStyle="1" w:styleId="65">
    <w:name w:val="不明显强调1"/>
    <w:basedOn w:val="30"/>
    <w:qFormat/>
    <w:uiPriority w:val="99"/>
    <w:rPr>
      <w:i/>
      <w:iCs/>
      <w:color w:val="auto"/>
    </w:rPr>
  </w:style>
  <w:style w:type="character" w:customStyle="1" w:styleId="66">
    <w:name w:val="font11"/>
    <w:qFormat/>
    <w:uiPriority w:val="99"/>
    <w:rPr>
      <w:rFonts w:ascii="宋体" w:hAnsi="宋体" w:eastAsia="宋体" w:cs="宋体"/>
      <w:color w:val="000000"/>
      <w:sz w:val="22"/>
      <w:szCs w:val="22"/>
      <w:u w:val="none"/>
    </w:rPr>
  </w:style>
  <w:style w:type="character" w:customStyle="1" w:styleId="67">
    <w:name w:val="font41"/>
    <w:basedOn w:val="30"/>
    <w:qFormat/>
    <w:uiPriority w:val="99"/>
    <w:rPr>
      <w:rFonts w:ascii="Calibri" w:hAnsi="Calibri" w:cs="Calibri"/>
      <w:color w:val="000000"/>
      <w:sz w:val="18"/>
      <w:szCs w:val="18"/>
      <w:u w:val="none"/>
    </w:rPr>
  </w:style>
  <w:style w:type="character" w:customStyle="1" w:styleId="68">
    <w:name w:val="font151"/>
    <w:qFormat/>
    <w:uiPriority w:val="99"/>
    <w:rPr>
      <w:rFonts w:ascii="宋体" w:hAnsi="宋体" w:eastAsia="宋体" w:cs="宋体"/>
      <w:color w:val="000000"/>
      <w:sz w:val="20"/>
      <w:szCs w:val="20"/>
      <w:u w:val="none"/>
    </w:rPr>
  </w:style>
  <w:style w:type="character" w:customStyle="1" w:styleId="69">
    <w:name w:val="large1"/>
    <w:qFormat/>
    <w:uiPriority w:val="99"/>
    <w:rPr>
      <w:rFonts w:ascii="宋体" w:hAnsi="宋体" w:eastAsia="宋体" w:cs="宋体"/>
      <w:sz w:val="21"/>
      <w:szCs w:val="21"/>
    </w:rPr>
  </w:style>
  <w:style w:type="character" w:customStyle="1" w:styleId="70">
    <w:name w:val="font01"/>
    <w:qFormat/>
    <w:uiPriority w:val="99"/>
    <w:rPr>
      <w:rFonts w:ascii="宋体" w:hAnsi="宋体" w:eastAsia="宋体" w:cs="宋体"/>
      <w:color w:val="000000"/>
      <w:sz w:val="20"/>
      <w:szCs w:val="20"/>
      <w:u w:val="none"/>
    </w:rPr>
  </w:style>
  <w:style w:type="character" w:customStyle="1" w:styleId="71">
    <w:name w:val="font51"/>
    <w:qFormat/>
    <w:uiPriority w:val="99"/>
    <w:rPr>
      <w:rFonts w:ascii="宋体" w:hAnsi="宋体" w:eastAsia="宋体" w:cs="宋体"/>
      <w:color w:val="000000"/>
      <w:sz w:val="20"/>
      <w:szCs w:val="20"/>
      <w:u w:val="none"/>
    </w:rPr>
  </w:style>
  <w:style w:type="character" w:customStyle="1" w:styleId="72">
    <w:name w:val="font21"/>
    <w:basedOn w:val="30"/>
    <w:qFormat/>
    <w:uiPriority w:val="99"/>
    <w:rPr>
      <w:rFonts w:ascii="宋体" w:hAnsi="宋体" w:eastAsia="宋体" w:cs="宋体"/>
      <w:color w:val="000000"/>
      <w:sz w:val="22"/>
      <w:szCs w:val="22"/>
      <w:u w:val="none"/>
    </w:rPr>
  </w:style>
  <w:style w:type="character" w:customStyle="1" w:styleId="73">
    <w:name w:val="font31"/>
    <w:qFormat/>
    <w:uiPriority w:val="99"/>
    <w:rPr>
      <w:rFonts w:ascii="宋体" w:hAnsi="宋体" w:eastAsia="宋体" w:cs="宋体"/>
      <w:color w:val="000000"/>
      <w:sz w:val="24"/>
      <w:szCs w:val="24"/>
      <w:u w:val="none"/>
    </w:rPr>
  </w:style>
  <w:style w:type="character" w:customStyle="1" w:styleId="74">
    <w:name w:val="font171"/>
    <w:qFormat/>
    <w:uiPriority w:val="99"/>
    <w:rPr>
      <w:rFonts w:ascii="font-weight : 400" w:hAnsi="font-weight : 400" w:cs="font-weight : 400"/>
      <w:color w:val="000000"/>
      <w:sz w:val="20"/>
      <w:szCs w:val="20"/>
      <w:u w:val="none"/>
    </w:rPr>
  </w:style>
  <w:style w:type="character" w:customStyle="1" w:styleId="75">
    <w:name w:val="font71"/>
    <w:qFormat/>
    <w:uiPriority w:val="99"/>
    <w:rPr>
      <w:rFonts w:ascii="宋体" w:hAnsi="宋体" w:eastAsia="宋体" w:cs="宋体"/>
      <w:color w:val="000000"/>
      <w:sz w:val="18"/>
      <w:szCs w:val="18"/>
      <w:u w:val="none"/>
    </w:rPr>
  </w:style>
  <w:style w:type="character" w:customStyle="1" w:styleId="76">
    <w:name w:val="font61"/>
    <w:basedOn w:val="30"/>
    <w:qFormat/>
    <w:uiPriority w:val="99"/>
    <w:rPr>
      <w:rFonts w:ascii="宋体" w:hAnsi="宋体" w:eastAsia="宋体" w:cs="宋体"/>
      <w:color w:val="7030A0"/>
      <w:sz w:val="20"/>
      <w:szCs w:val="20"/>
      <w:u w:val="none"/>
    </w:rPr>
  </w:style>
  <w:style w:type="character" w:customStyle="1" w:styleId="77">
    <w:name w:val="font131"/>
    <w:qFormat/>
    <w:uiPriority w:val="99"/>
    <w:rPr>
      <w:rFonts w:ascii="等线" w:hAnsi="等线" w:eastAsia="等线" w:cs="等线"/>
      <w:color w:val="FF0000"/>
      <w:sz w:val="22"/>
      <w:szCs w:val="22"/>
      <w:u w:val="none"/>
    </w:rPr>
  </w:style>
  <w:style w:type="character" w:customStyle="1" w:styleId="78">
    <w:name w:val="font141"/>
    <w:qFormat/>
    <w:uiPriority w:val="99"/>
    <w:rPr>
      <w:rFonts w:ascii="宋体" w:hAnsi="宋体" w:eastAsia="宋体" w:cs="宋体"/>
      <w:color w:val="000000"/>
      <w:sz w:val="20"/>
      <w:szCs w:val="20"/>
      <w:u w:val="none"/>
    </w:rPr>
  </w:style>
  <w:style w:type="character" w:customStyle="1" w:styleId="79">
    <w:name w:val="font161"/>
    <w:qFormat/>
    <w:uiPriority w:val="99"/>
    <w:rPr>
      <w:rFonts w:ascii="宋体" w:hAnsi="宋体" w:eastAsia="宋体" w:cs="宋体"/>
      <w:color w:val="000000"/>
      <w:sz w:val="20"/>
      <w:szCs w:val="20"/>
      <w:u w:val="none"/>
    </w:rPr>
  </w:style>
  <w:style w:type="paragraph" w:customStyle="1" w:styleId="80">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8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u w:color="000000"/>
      <w:lang w:val="en-US" w:eastAsia="zh-CN" w:bidi="ar-SA"/>
    </w:rPr>
  </w:style>
  <w:style w:type="paragraph" w:customStyle="1" w:styleId="82">
    <w:name w:val="Table Paragraph"/>
    <w:basedOn w:val="1"/>
    <w:qFormat/>
    <w:uiPriority w:val="99"/>
    <w:pPr>
      <w:widowControl w:val="0"/>
    </w:pPr>
    <w:rPr>
      <w:rFonts w:ascii="PMingLiU" w:hAnsi="PMingLiU" w:eastAsia="PMingLiU" w:cs="PMingLiU"/>
      <w:lang w:val="zh-CN"/>
    </w:rPr>
  </w:style>
  <w:style w:type="paragraph" w:customStyle="1" w:styleId="8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84">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85">
    <w:name w:val="列出段落1"/>
    <w:basedOn w:val="1"/>
    <w:qFormat/>
    <w:uiPriority w:val="99"/>
    <w:pPr>
      <w:widowControl w:val="0"/>
      <w:ind w:firstLine="420" w:firstLineChars="200"/>
    </w:pPr>
    <w:rPr>
      <w:rFonts w:ascii="Calibri" w:hAnsi="Calibri" w:cs="Calibri"/>
    </w:rPr>
  </w:style>
  <w:style w:type="paragraph" w:customStyle="1" w:styleId="8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7">
    <w:name w:val="列出段落11"/>
    <w:basedOn w:val="1"/>
    <w:qFormat/>
    <w:uiPriority w:val="99"/>
    <w:pPr>
      <w:widowControl w:val="0"/>
      <w:ind w:firstLine="420" w:firstLineChars="200"/>
    </w:pPr>
    <w:rPr>
      <w:rFonts w:ascii="Calibri" w:hAnsi="Calibri" w:cs="Calibri"/>
    </w:rPr>
  </w:style>
  <w:style w:type="paragraph" w:customStyle="1" w:styleId="8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89">
    <w:name w:val="正文文字 Char"/>
    <w:basedOn w:val="1"/>
    <w:next w:val="2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0">
    <w:name w:val="_Style 2"/>
    <w:basedOn w:val="1"/>
    <w:qFormat/>
    <w:uiPriority w:val="99"/>
    <w:pPr>
      <w:widowControl w:val="0"/>
      <w:ind w:firstLine="420" w:firstLineChars="200"/>
    </w:pPr>
    <w:rPr>
      <w:rFonts w:ascii="Calibri" w:hAnsi="Calibri" w:cs="Calibri"/>
    </w:rPr>
  </w:style>
  <w:style w:type="paragraph" w:customStyle="1" w:styleId="91">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92">
    <w:name w:val="_Style 3"/>
    <w:qFormat/>
    <w:uiPriority w:val="99"/>
    <w:rPr>
      <w:rFonts w:ascii="Calibri" w:hAnsi="Calibri" w:eastAsia="宋体" w:cs="Calibri"/>
      <w:sz w:val="22"/>
      <w:szCs w:val="22"/>
      <w:lang w:val="en-US" w:eastAsia="zh-CN" w:bidi="ar-SA"/>
    </w:rPr>
  </w:style>
  <w:style w:type="paragraph" w:customStyle="1" w:styleId="93">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94">
    <w:name w:val="font6"/>
    <w:basedOn w:val="1"/>
    <w:qFormat/>
    <w:uiPriority w:val="0"/>
    <w:pPr>
      <w:spacing w:before="100" w:beforeAutospacing="1" w:after="100" w:afterAutospacing="1"/>
      <w:jc w:val="left"/>
    </w:pPr>
    <w:rPr>
      <w:rFonts w:ascii="宋体" w:cs="宋体"/>
      <w:kern w:val="0"/>
      <w:sz w:val="18"/>
      <w:szCs w:val="18"/>
    </w:rPr>
  </w:style>
  <w:style w:type="paragraph" w:customStyle="1" w:styleId="95">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98">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9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0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6">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07">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8">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9">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0">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11">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2">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14">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15">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16">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7">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8">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9">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20">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23">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4">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5">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6">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character" w:customStyle="1" w:styleId="127">
    <w:name w:val="！正文（四号字） Char"/>
    <w:link w:val="47"/>
    <w:qFormat/>
    <w:uiPriority w:val="0"/>
    <w:rPr>
      <w:sz w:val="24"/>
      <w:szCs w:val="28"/>
    </w:rPr>
  </w:style>
  <w:style w:type="paragraph" w:customStyle="1" w:styleId="128">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2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0">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1">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32">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3">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4">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5">
    <w:name w:val="样式 正文文本缩进 + 首行缩进:  2 字符 行距: 1.5 倍行距"/>
    <w:basedOn w:val="12"/>
    <w:qFormat/>
    <w:uiPriority w:val="0"/>
    <w:pPr>
      <w:spacing w:before="156" w:line="360" w:lineRule="auto"/>
      <w:ind w:left="0" w:leftChars="0" w:firstLine="482" w:firstLineChars="200"/>
    </w:pPr>
    <w:rPr>
      <w:rFonts w:ascii="Times New Roman" w:hAnsi="Times New Roman" w:cs="宋体"/>
      <w:b/>
      <w:sz w:val="24"/>
      <w:szCs w:val="24"/>
    </w:rPr>
  </w:style>
  <w:style w:type="character" w:customStyle="1" w:styleId="136">
    <w:name w:val="列出段落 字符"/>
    <w:link w:val="42"/>
    <w:qFormat/>
    <w:uiPriority w:val="0"/>
    <w:rPr>
      <w:rFonts w:ascii="等线" w:hAnsi="宋体" w:cs="等线"/>
      <w:kern w:val="2"/>
      <w:sz w:val="21"/>
      <w:szCs w:val="21"/>
    </w:rPr>
  </w:style>
  <w:style w:type="character" w:customStyle="1" w:styleId="137">
    <w:name w:val="列出段落 字符1"/>
    <w:qFormat/>
    <w:uiPriority w:val="34"/>
    <w:rPr>
      <w:kern w:val="2"/>
      <w:sz w:val="21"/>
      <w:szCs w:val="24"/>
    </w:rPr>
  </w:style>
  <w:style w:type="character" w:customStyle="1" w:styleId="138">
    <w:name w:val="star-info"/>
    <w:basedOn w:val="30"/>
    <w:qFormat/>
    <w:uiPriority w:val="0"/>
    <w:rPr>
      <w:color w:val="FD7B24"/>
      <w:sz w:val="24"/>
      <w:szCs w:val="24"/>
    </w:rPr>
  </w:style>
  <w:style w:type="character" w:customStyle="1" w:styleId="139">
    <w:name w:val="*正文 Char"/>
    <w:link w:val="140"/>
    <w:qFormat/>
    <w:uiPriority w:val="0"/>
    <w:rPr>
      <w:rFonts w:ascii="宋体" w:hAnsi="宋体"/>
      <w:sz w:val="24"/>
    </w:rPr>
  </w:style>
  <w:style w:type="paragraph" w:customStyle="1" w:styleId="140">
    <w:name w:val="*正文"/>
    <w:basedOn w:val="1"/>
    <w:link w:val="139"/>
    <w:qFormat/>
    <w:uiPriority w:val="0"/>
    <w:pPr>
      <w:widowControl w:val="0"/>
      <w:spacing w:line="360" w:lineRule="auto"/>
      <w:ind w:firstLine="482" w:firstLineChars="200"/>
    </w:pPr>
    <w:rPr>
      <w:rFonts w:ascii="宋体" w:cs="Times New Roman"/>
      <w:kern w:val="0"/>
      <w:sz w:val="24"/>
      <w:szCs w:val="20"/>
    </w:rPr>
  </w:style>
  <w:style w:type="character" w:customStyle="1" w:styleId="141">
    <w:name w:val="普通(网站) 字符"/>
    <w:link w:val="25"/>
    <w:qFormat/>
    <w:uiPriority w:val="0"/>
    <w:rPr>
      <w:rFonts w:ascii="Calibri" w:hAnsi="Calibri" w:cs="Calibri"/>
      <w:kern w:val="2"/>
      <w:sz w:val="24"/>
      <w:szCs w:val="24"/>
    </w:rPr>
  </w:style>
  <w:style w:type="paragraph" w:customStyle="1" w:styleId="142">
    <w:name w:val="0-正文"/>
    <w:basedOn w:val="1"/>
    <w:qFormat/>
    <w:uiPriority w:val="0"/>
    <w:pPr>
      <w:adjustRightInd/>
      <w:spacing w:line="360" w:lineRule="auto"/>
      <w:ind w:firstLine="420" w:firstLineChars="200"/>
      <w:jc w:val="both"/>
      <w:textAlignment w:val="auto"/>
    </w:pPr>
    <w:rPr>
      <w:rFonts w:ascii="汉仪仿宋简" w:hAnsi="仿宋"/>
      <w:sz w:val="24"/>
      <w:szCs w:val="28"/>
    </w:rPr>
  </w:style>
  <w:style w:type="character" w:customStyle="1" w:styleId="143">
    <w:name w:val="font81"/>
    <w:basedOn w:val="30"/>
    <w:qFormat/>
    <w:uiPriority w:val="0"/>
    <w:rPr>
      <w:rFonts w:ascii="Arial" w:hAnsi="Arial" w:cs="Arial"/>
      <w:color w:val="000000"/>
      <w:sz w:val="18"/>
      <w:szCs w:val="18"/>
      <w:u w:val="none"/>
    </w:rPr>
  </w:style>
  <w:style w:type="paragraph" w:customStyle="1" w:styleId="144">
    <w:name w:val="章正文"/>
    <w:basedOn w:val="1"/>
    <w:qFormat/>
    <w:uiPriority w:val="0"/>
    <w:pPr>
      <w:spacing w:before="50" w:beforeLines="50" w:after="120" w:line="300" w:lineRule="auto"/>
      <w:ind w:firstLine="480"/>
    </w:pPr>
    <w:rPr>
      <w:rFonts w:ascii="Helvetica" w:hAnsi="Helvetica"/>
      <w:kern w:val="0"/>
      <w:sz w:val="24"/>
    </w:rPr>
  </w:style>
  <w:style w:type="paragraph" w:customStyle="1" w:styleId="145">
    <w:name w:val="表格内容"/>
    <w:qFormat/>
    <w:uiPriority w:val="2"/>
    <w:pPr>
      <w:jc w:val="center"/>
    </w:pPr>
    <w:rPr>
      <w:rFonts w:ascii="Times New Roman" w:hAnsi="Times New Roman" w:eastAsia="宋体" w:cs="Times New Roman"/>
      <w:sz w:val="24"/>
      <w:szCs w:val="28"/>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customXml/item2.xml" Type="http://schemas.openxmlformats.org/officeDocument/2006/relationships/customXml"/><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C194D-E072-4A44-9710-43CC5E1553F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93</Pages>
  <Words>48631</Words>
  <Characters>53353</Characters>
  <Lines>553</Lines>
  <Paragraphs>155</Paragraphs>
  <TotalTime>3</TotalTime>
  <ScaleCrop>false</ScaleCrop>
  <LinksUpToDate>false</LinksUpToDate>
  <CharactersWithSpaces>55541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2021-02-24T01:59:00Z</dcterms:created>
  <dc:creator>2K-5</dc:creator>
  <cp:lastModifiedBy>િી大脸菜姐</cp:lastModifiedBy>
  <cp:lastPrinted>2021-02-09T06:50:00Z</cp:lastPrinted>
  <dcterms:modified xsi:type="dcterms:W3CDTF">2022-09-02T07:13:59Z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726F3C1E33C644F79EED7369670EE855</vt:lpwstr>
  </property>
</Properties>
</file>