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417"/>
        <w:tblOverlap w:val="never"/>
        <w:tblW w:w="6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920"/>
        <w:gridCol w:w="986"/>
        <w:gridCol w:w="736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jc w:val="center"/>
        </w:trPr>
        <w:tc>
          <w:tcPr>
            <w:tcW w:w="272"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序号</w:t>
            </w:r>
          </w:p>
        </w:tc>
        <w:tc>
          <w:tcPr>
            <w:tcW w:w="885" w:type="pct"/>
            <w:gridSpan w:val="2"/>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评分内容</w:t>
            </w:r>
          </w:p>
        </w:tc>
        <w:tc>
          <w:tcPr>
            <w:tcW w:w="3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评分说明</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72" w:type="pct"/>
            <w:vMerge w:val="restart"/>
            <w:shd w:val="clear" w:color="auto" w:fill="auto"/>
            <w:vAlign w:val="center"/>
          </w:tcPr>
          <w:p>
            <w:pPr>
              <w:spacing w:line="240" w:lineRule="auto"/>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1</w:t>
            </w:r>
          </w:p>
        </w:tc>
        <w:tc>
          <w:tcPr>
            <w:tcW w:w="427" w:type="pct"/>
            <w:vMerge w:val="restar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投标主要系统设计</w:t>
            </w: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系统总体设计方案</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根据投标人对总体项目的熟悉程度、需求理解、业务统筹、规划思路等综合因素分析，提供全面、详实、可行的总体设计方案，由评审专家打分。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default" w:ascii="华文宋体" w:hAnsi="华文宋体" w:eastAsia="华文宋体" w:cs="华文宋体"/>
                <w:color w:val="auto"/>
                <w:highlight w:val="none"/>
                <w:lang w:val="en-US" w:eastAsia="zh-CN"/>
              </w:rPr>
            </w:pPr>
            <w:r>
              <w:rPr>
                <w:rFonts w:hint="eastAsia"/>
                <w:color w:val="auto"/>
                <w:lang w:val="en-US" w:eastAsia="zh-CN"/>
              </w:rPr>
              <w:t>（6）对每项内容未进行阐述的，得0分；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72" w:type="pct"/>
            <w:vMerge w:val="continue"/>
            <w:vAlign w:val="center"/>
          </w:tcPr>
          <w:p>
            <w:pPr>
              <w:spacing w:line="240" w:lineRule="auto"/>
              <w:jc w:val="center"/>
              <w:rPr>
                <w:rFonts w:hint="eastAsia" w:ascii="楷体" w:hAnsi="楷体" w:eastAsia="楷体" w:cs="楷体"/>
                <w:color w:val="auto"/>
                <w:kern w:val="0"/>
                <w:sz w:val="24"/>
                <w:szCs w:val="24"/>
              </w:rPr>
            </w:pPr>
          </w:p>
        </w:tc>
        <w:tc>
          <w:tcPr>
            <w:tcW w:w="427" w:type="pct"/>
            <w:vMerge w:val="continue"/>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系统数据存储AR对接方案</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投标人根据本期项目数据存储扩容、AR建设需求，提供详细、全面、可靠的视频、图片数据存储设计框架、技术路线，以及满足与永康市公安局及上级的无缝对接方案，由评审专家打分。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w:t>
            </w:r>
            <w:bookmarkStart w:id="0" w:name="_GoBack"/>
            <w:bookmarkEnd w:id="0"/>
            <w:r>
              <w:rPr>
                <w:rFonts w:hint="eastAsia"/>
                <w:color w:val="auto"/>
                <w:lang w:val="en-US" w:eastAsia="zh-CN"/>
              </w:rPr>
              <w:t>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（6）对每项内容未进行阐述的，得0分；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9" w:hRule="atLeast"/>
          <w:jc w:val="center"/>
        </w:trPr>
        <w:tc>
          <w:tcPr>
            <w:tcW w:w="272" w:type="pct"/>
            <w:vMerge w:val="continue"/>
            <w:vAlign w:val="center"/>
          </w:tcPr>
          <w:p>
            <w:pPr>
              <w:spacing w:line="240" w:lineRule="auto"/>
              <w:jc w:val="center"/>
              <w:rPr>
                <w:rFonts w:hint="eastAsia" w:ascii="楷体" w:hAnsi="楷体" w:eastAsia="楷体" w:cs="楷体"/>
                <w:color w:val="auto"/>
                <w:kern w:val="0"/>
                <w:sz w:val="24"/>
                <w:szCs w:val="24"/>
              </w:rPr>
            </w:pPr>
          </w:p>
        </w:tc>
        <w:tc>
          <w:tcPr>
            <w:tcW w:w="427" w:type="pct"/>
            <w:vMerge w:val="continue"/>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系统现状分析提升方案</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对现有道路交通现状基础、科技建设应用情况以及存在的问题，结合项目总体建设需求，提供全面、准确、可靠的道路交通现状数据分析、建设现状基础调研分析，并提出对应解决思路及应用提升措施，由评审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（6）对每项内容未进行阐述的，得0分；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72" w:type="pct"/>
            <w:vMerge w:val="continue"/>
            <w:vAlign w:val="center"/>
          </w:tcPr>
          <w:p>
            <w:pPr>
              <w:spacing w:line="240" w:lineRule="auto"/>
              <w:jc w:val="center"/>
              <w:rPr>
                <w:rFonts w:hint="eastAsia" w:ascii="楷体" w:hAnsi="楷体" w:eastAsia="楷体" w:cs="楷体"/>
                <w:color w:val="auto"/>
                <w:kern w:val="0"/>
                <w:sz w:val="24"/>
                <w:szCs w:val="24"/>
              </w:rPr>
            </w:pPr>
          </w:p>
        </w:tc>
        <w:tc>
          <w:tcPr>
            <w:tcW w:w="427" w:type="pct"/>
            <w:vMerge w:val="continue"/>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系统网络及安全设计方案</w:t>
            </w:r>
          </w:p>
        </w:tc>
        <w:tc>
          <w:tcPr>
            <w:tcW w:w="3421" w:type="pct"/>
            <w:shd w:val="clear" w:color="auto" w:fill="auto"/>
            <w:vAlign w:val="top"/>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根据投标人对现有网络基础现状、业务分布等综合因素分析，并结合本期建设需求提供详细、明确的现状分析架构。由评审专家打分。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（2）对每项内容进行了阐述但一般合理的，得2分；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（3）对每项内容进行了阐述但不太合理的，得1分；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（4）对每项内容未进行阐述的，得0分；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72" w:type="pct"/>
            <w:vMerge w:val="restart"/>
            <w:vAlign w:val="center"/>
          </w:tcPr>
          <w:p>
            <w:pPr>
              <w:spacing w:line="240" w:lineRule="auto"/>
              <w:ind w:firstLine="240" w:firstLineChars="100"/>
              <w:jc w:val="center"/>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2</w:t>
            </w:r>
          </w:p>
        </w:tc>
        <w:tc>
          <w:tcPr>
            <w:tcW w:w="427" w:type="pct"/>
            <w:vMerge w:val="restar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投标主要系统项目实施</w:t>
            </w: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操作培训和维护培训方案</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提供操作培训和维护培训及提供其他形式培训的情况，具体至培训次数、方式、内容、地点、时间、准备资料、承诺达到的效果等，根据方案的科学性、完整性、先进性、可行性，由专家打分。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（6）对每项内容未进行阐述的，得0分；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272" w:type="pct"/>
            <w:vMerge w:val="continue"/>
            <w:vAlign w:val="center"/>
          </w:tcPr>
          <w:p>
            <w:pPr>
              <w:spacing w:line="240" w:lineRule="auto"/>
              <w:ind w:firstLine="240" w:firstLineChars="100"/>
              <w:jc w:val="center"/>
              <w:rPr>
                <w:rFonts w:hint="eastAsia" w:ascii="楷体" w:hAnsi="楷体" w:eastAsia="楷体" w:cs="楷体"/>
                <w:color w:val="auto"/>
                <w:kern w:val="0"/>
                <w:sz w:val="24"/>
                <w:szCs w:val="24"/>
                <w:lang w:val="en-US" w:eastAsia="zh-CN"/>
              </w:rPr>
            </w:pPr>
          </w:p>
        </w:tc>
        <w:tc>
          <w:tcPr>
            <w:tcW w:w="427" w:type="pct"/>
            <w:vMerge w:val="continue"/>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项目实施方案</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根据投标人提供的实施方案，包括</w:t>
            </w:r>
            <w:r>
              <w:rPr>
                <w:rFonts w:hint="default" w:ascii="Calibri" w:hAnsi="Calibri" w:eastAsia="华文宋体" w:cs="Calibri"/>
                <w:color w:val="auto"/>
                <w:highlight w:val="none"/>
                <w:lang w:val="en-US" w:eastAsia="zh-CN"/>
              </w:rPr>
              <w:t>①</w:t>
            </w:r>
            <w:r>
              <w:rPr>
                <w:rFonts w:hint="eastAsia" w:ascii="华文宋体" w:hAnsi="华文宋体" w:eastAsia="华文宋体" w:cs="华文宋体"/>
                <w:color w:val="auto"/>
                <w:highlight w:val="none"/>
                <w:lang w:val="en-US" w:eastAsia="zh-CN"/>
              </w:rPr>
              <w:t>供货方案、</w:t>
            </w:r>
            <w:r>
              <w:rPr>
                <w:rFonts w:hint="default" w:ascii="Calibri" w:hAnsi="Calibri" w:eastAsia="华文宋体" w:cs="Calibri"/>
                <w:color w:val="auto"/>
                <w:highlight w:val="none"/>
                <w:lang w:val="en-US" w:eastAsia="zh-CN"/>
              </w:rPr>
              <w:t>②</w:t>
            </w:r>
            <w:r>
              <w:rPr>
                <w:rFonts w:hint="eastAsia" w:ascii="华文宋体" w:hAnsi="华文宋体" w:eastAsia="华文宋体" w:cs="华文宋体"/>
                <w:color w:val="auto"/>
                <w:highlight w:val="none"/>
                <w:lang w:val="en-US" w:eastAsia="zh-CN"/>
              </w:rPr>
              <w:t>安装、调试、验收方案、</w:t>
            </w:r>
            <w:r>
              <w:rPr>
                <w:rFonts w:hint="default" w:ascii="Calibri" w:hAnsi="Calibri" w:eastAsia="华文宋体" w:cs="Calibri"/>
                <w:color w:val="auto"/>
                <w:highlight w:val="none"/>
                <w:lang w:val="en-US" w:eastAsia="zh-CN"/>
              </w:rPr>
              <w:t>③</w:t>
            </w:r>
            <w:r>
              <w:rPr>
                <w:rFonts w:hint="eastAsia" w:ascii="Calibri" w:hAnsi="Calibri" w:eastAsia="华文宋体" w:cs="Calibri"/>
                <w:color w:val="auto"/>
                <w:highlight w:val="none"/>
                <w:lang w:val="en-US" w:eastAsia="zh-CN"/>
              </w:rPr>
              <w:t>施工保障</w:t>
            </w:r>
            <w:r>
              <w:rPr>
                <w:rFonts w:hint="eastAsia" w:ascii="华文宋体" w:hAnsi="华文宋体" w:eastAsia="华文宋体" w:cs="华文宋体"/>
                <w:color w:val="auto"/>
                <w:highlight w:val="none"/>
                <w:lang w:val="en-US" w:eastAsia="zh-CN"/>
              </w:rPr>
              <w:t>措施</w:t>
            </w:r>
            <w:r>
              <w:rPr>
                <w:rFonts w:hint="eastAsia" w:ascii="微软雅黑" w:hAnsi="微软雅黑" w:eastAsia="微软雅黑" w:cs="微软雅黑"/>
                <w:color w:val="auto"/>
                <w:highlight w:val="none"/>
                <w:lang w:val="en-US" w:eastAsia="zh-CN"/>
              </w:rPr>
              <w:t>④</w:t>
            </w:r>
            <w:r>
              <w:rPr>
                <w:rFonts w:hint="eastAsia" w:ascii="华文宋体" w:hAnsi="华文宋体" w:eastAsia="华文宋体" w:cs="华文宋体"/>
                <w:color w:val="auto"/>
                <w:highlight w:val="none"/>
                <w:lang w:val="en-US" w:eastAsia="zh-CN"/>
              </w:rPr>
              <w:t>重难点解决方案等由专家综合评分。（每项2分，满分8分）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（2）对每项内容进行了阐述但一般合理的，得1分；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（3）对每项内容未进行阐述或阐述不合理的，得0分；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272" w:type="pct"/>
            <w:vMerge w:val="continue"/>
            <w:vAlign w:val="center"/>
          </w:tcPr>
          <w:p>
            <w:pPr>
              <w:spacing w:line="240" w:lineRule="auto"/>
              <w:jc w:val="center"/>
              <w:rPr>
                <w:rFonts w:hint="eastAsia" w:ascii="楷体" w:hAnsi="楷体" w:eastAsia="楷体" w:cs="楷体"/>
                <w:color w:val="auto"/>
                <w:kern w:val="0"/>
                <w:sz w:val="24"/>
                <w:szCs w:val="24"/>
              </w:rPr>
            </w:pPr>
          </w:p>
        </w:tc>
        <w:tc>
          <w:tcPr>
            <w:tcW w:w="427" w:type="pct"/>
            <w:vMerge w:val="continue"/>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进度规划的合理性</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根据投标人对本项目实施计划的合理性和可行性（须详细列出施工的进度安排表），由专家打分。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color w:val="auto"/>
                <w:lang w:val="en-US" w:eastAsia="zh-CN"/>
              </w:rPr>
              <w:t>（6）对每项内容未进行阐述的，得0分；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72" w:type="pct"/>
            <w:vAlign w:val="center"/>
          </w:tcPr>
          <w:p>
            <w:pPr>
              <w:spacing w:line="240" w:lineRule="auto"/>
              <w:jc w:val="center"/>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3</w:t>
            </w:r>
          </w:p>
        </w:tc>
        <w:tc>
          <w:tcPr>
            <w:tcW w:w="427" w:type="pct"/>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投标系统所有设备技术参数及功能</w:t>
            </w:r>
          </w:p>
        </w:tc>
        <w:tc>
          <w:tcPr>
            <w:tcW w:w="457" w:type="pct"/>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设备技术参数及功能要求</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对招标系统技术参数、功能要求、建设要求等进行比较打分，完全满足招标文件要求的得13分，带“★”核心参数不满足每一项负偏离扣2分，不带“★”参数不满足每一项负偏离扣0.5分，扣完为止（招标文件中要求提供相关权威机构产品认证、检测报告或其他证明材料的，需提供相关证明材料复印件并加盖投标单位电子签章，未能按照招标文件要求提供相关证明材料的作负偏离处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72" w:type="pct"/>
            <w:vMerge w:val="restart"/>
            <w:shd w:val="clear" w:color="auto" w:fill="auto"/>
            <w:vAlign w:val="center"/>
          </w:tcPr>
          <w:p>
            <w:pPr>
              <w:spacing w:line="240" w:lineRule="auto"/>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4</w:t>
            </w:r>
          </w:p>
        </w:tc>
        <w:tc>
          <w:tcPr>
            <w:tcW w:w="427" w:type="pct"/>
            <w:vMerge w:val="restar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项目团队配备</w:t>
            </w: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项目经理</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项目经理具备机电工程专业二级建造师及以上/信息系统项目管理师/系统集成项目管理工程师之一的得2分。</w:t>
            </w:r>
            <w:r>
              <w:rPr>
                <w:rFonts w:hint="eastAsia" w:ascii="华文宋体" w:hAnsi="华文宋体" w:eastAsia="华文宋体" w:cs="华文宋体"/>
                <w:color w:val="auto"/>
                <w:highlight w:val="none"/>
                <w:lang w:val="en-US" w:eastAsia="zh-CN"/>
              </w:rPr>
              <w:br w:type="textWrapping"/>
            </w:r>
            <w:r>
              <w:rPr>
                <w:rFonts w:hint="eastAsia" w:ascii="华文宋体" w:hAnsi="华文宋体" w:eastAsia="华文宋体" w:cs="华文宋体"/>
                <w:color w:val="auto"/>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272" w:type="pct"/>
            <w:vMerge w:val="continue"/>
            <w:vAlign w:val="center"/>
          </w:tcPr>
          <w:p>
            <w:pPr>
              <w:spacing w:line="240" w:lineRule="auto"/>
              <w:jc w:val="center"/>
              <w:rPr>
                <w:rFonts w:hint="eastAsia" w:ascii="楷体" w:hAnsi="楷体" w:eastAsia="楷体" w:cs="楷体"/>
                <w:color w:val="auto"/>
                <w:kern w:val="0"/>
                <w:sz w:val="24"/>
                <w:szCs w:val="24"/>
              </w:rPr>
            </w:pPr>
          </w:p>
        </w:tc>
        <w:tc>
          <w:tcPr>
            <w:tcW w:w="427" w:type="pct"/>
            <w:vMerge w:val="continue"/>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实施成员</w:t>
            </w:r>
          </w:p>
        </w:tc>
        <w:tc>
          <w:tcPr>
            <w:tcW w:w="3421" w:type="pct"/>
            <w:shd w:val="clear" w:color="auto" w:fill="auto"/>
            <w:vAlign w:val="center"/>
          </w:tcPr>
          <w:p>
            <w:pPr>
              <w:widowControl/>
              <w:numPr>
                <w:ilvl w:val="0"/>
                <w:numId w:val="0"/>
              </w:numPr>
              <w:spacing w:line="240" w:lineRule="auto"/>
              <w:jc w:val="left"/>
              <w:rPr>
                <w:rFonts w:hint="eastAsia" w:ascii="宋体" w:cs="宋体"/>
                <w:color w:val="auto"/>
                <w:kern w:val="0"/>
                <w:lang w:eastAsia="zh-CN"/>
              </w:rPr>
            </w:pPr>
            <w:r>
              <w:rPr>
                <w:rFonts w:hint="eastAsia" w:ascii="宋体" w:cs="宋体"/>
                <w:color w:val="auto"/>
                <w:kern w:val="0"/>
              </w:rPr>
              <w:t>项目</w:t>
            </w:r>
            <w:r>
              <w:rPr>
                <w:rFonts w:hint="eastAsia" w:ascii="宋体" w:cs="宋体"/>
                <w:color w:val="auto"/>
                <w:kern w:val="0"/>
                <w:lang w:val="en-US" w:eastAsia="zh-CN"/>
              </w:rPr>
              <w:t>实施</w:t>
            </w:r>
            <w:r>
              <w:rPr>
                <w:rFonts w:hint="eastAsia" w:ascii="宋体" w:cs="宋体"/>
                <w:color w:val="auto"/>
                <w:kern w:val="0"/>
              </w:rPr>
              <w:t>团队</w:t>
            </w:r>
            <w:r>
              <w:rPr>
                <w:rFonts w:hint="eastAsia" w:ascii="宋体" w:cs="宋体"/>
                <w:color w:val="auto"/>
                <w:kern w:val="0"/>
                <w:lang w:val="en-US" w:eastAsia="zh-CN"/>
              </w:rPr>
              <w:t>中相关需求专业</w:t>
            </w:r>
            <w:r>
              <w:rPr>
                <w:rFonts w:hint="eastAsia" w:ascii="宋体" w:cs="宋体"/>
                <w:color w:val="auto"/>
                <w:kern w:val="0"/>
              </w:rPr>
              <w:t>人员配备齐全，实施团队</w:t>
            </w:r>
            <w:r>
              <w:rPr>
                <w:rFonts w:hint="eastAsia" w:ascii="宋体" w:cs="宋体"/>
                <w:color w:val="auto"/>
                <w:kern w:val="0"/>
                <w:lang w:val="en-US" w:eastAsia="zh-CN"/>
              </w:rPr>
              <w:t>5</w:t>
            </w:r>
            <w:r>
              <w:rPr>
                <w:rFonts w:hint="eastAsia" w:ascii="宋体" w:cs="宋体"/>
                <w:color w:val="auto"/>
                <w:kern w:val="0"/>
              </w:rPr>
              <w:t>人</w:t>
            </w:r>
            <w:r>
              <w:rPr>
                <w:rFonts w:hint="eastAsia" w:ascii="宋体" w:cs="宋体"/>
                <w:color w:val="auto"/>
                <w:kern w:val="0"/>
                <w:lang w:val="en-US" w:eastAsia="zh-CN"/>
              </w:rPr>
              <w:t>及</w:t>
            </w:r>
            <w:r>
              <w:rPr>
                <w:rFonts w:hint="eastAsia" w:ascii="宋体" w:cs="宋体"/>
                <w:color w:val="auto"/>
                <w:kern w:val="0"/>
              </w:rPr>
              <w:t>以上，其中工程师≥</w:t>
            </w:r>
            <w:r>
              <w:rPr>
                <w:rFonts w:hint="eastAsia" w:ascii="宋体" w:cs="宋体"/>
                <w:color w:val="auto"/>
                <w:kern w:val="0"/>
                <w:lang w:val="en-US" w:eastAsia="zh-CN"/>
              </w:rPr>
              <w:t>2</w:t>
            </w:r>
            <w:r>
              <w:rPr>
                <w:rFonts w:hint="eastAsia" w:ascii="宋体" w:cs="宋体"/>
                <w:color w:val="auto"/>
                <w:kern w:val="0"/>
              </w:rPr>
              <w:t>人，高级工程师≥</w:t>
            </w:r>
            <w:r>
              <w:rPr>
                <w:rFonts w:hint="eastAsia" w:ascii="宋体" w:cs="宋体"/>
                <w:color w:val="auto"/>
                <w:kern w:val="0"/>
                <w:lang w:val="en-US" w:eastAsia="zh-CN"/>
              </w:rPr>
              <w:t>3</w:t>
            </w:r>
            <w:r>
              <w:rPr>
                <w:rFonts w:hint="eastAsia" w:ascii="宋体" w:cs="宋体"/>
                <w:color w:val="auto"/>
                <w:kern w:val="0"/>
              </w:rPr>
              <w:t>人，得</w:t>
            </w:r>
            <w:r>
              <w:rPr>
                <w:rFonts w:hint="eastAsia" w:ascii="宋体" w:cs="宋体"/>
                <w:color w:val="auto"/>
                <w:kern w:val="0"/>
                <w:lang w:val="en-US" w:eastAsia="zh-CN"/>
              </w:rPr>
              <w:t>3</w:t>
            </w:r>
            <w:r>
              <w:rPr>
                <w:rFonts w:hint="eastAsia" w:ascii="宋体" w:cs="宋体"/>
                <w:color w:val="auto"/>
                <w:kern w:val="0"/>
              </w:rPr>
              <w:t>分</w:t>
            </w:r>
            <w:r>
              <w:rPr>
                <w:rFonts w:hint="eastAsia" w:ascii="宋体" w:cs="宋体"/>
                <w:color w:val="auto"/>
                <w:kern w:val="0"/>
                <w:lang w:eastAsia="zh-CN"/>
              </w:rPr>
              <w:t>；</w:t>
            </w:r>
          </w:p>
          <w:p>
            <w:pPr>
              <w:widowControl/>
              <w:numPr>
                <w:ilvl w:val="0"/>
                <w:numId w:val="0"/>
              </w:numPr>
              <w:spacing w:line="240" w:lineRule="auto"/>
              <w:jc w:val="left"/>
              <w:rPr>
                <w:rFonts w:hint="eastAsia" w:ascii="宋体" w:cs="宋体"/>
                <w:color w:val="auto"/>
                <w:kern w:val="0"/>
                <w:lang w:eastAsia="zh-CN"/>
              </w:rPr>
            </w:pPr>
            <w:r>
              <w:rPr>
                <w:rFonts w:hint="eastAsia" w:ascii="宋体" w:cs="宋体"/>
                <w:color w:val="auto"/>
                <w:kern w:val="0"/>
              </w:rPr>
              <w:t>项目</w:t>
            </w:r>
            <w:r>
              <w:rPr>
                <w:rFonts w:hint="eastAsia" w:ascii="宋体" w:cs="宋体"/>
                <w:color w:val="auto"/>
                <w:kern w:val="0"/>
                <w:lang w:val="en-US" w:eastAsia="zh-CN"/>
              </w:rPr>
              <w:t>实施</w:t>
            </w:r>
            <w:r>
              <w:rPr>
                <w:rFonts w:hint="eastAsia" w:ascii="宋体" w:cs="宋体"/>
                <w:color w:val="auto"/>
                <w:kern w:val="0"/>
              </w:rPr>
              <w:t>团队</w:t>
            </w:r>
            <w:r>
              <w:rPr>
                <w:rFonts w:hint="eastAsia" w:ascii="宋体" w:cs="宋体"/>
                <w:color w:val="auto"/>
                <w:kern w:val="0"/>
                <w:lang w:val="en-US" w:eastAsia="zh-CN"/>
              </w:rPr>
              <w:t>中</w:t>
            </w:r>
            <w:r>
              <w:rPr>
                <w:rFonts w:hint="eastAsia" w:ascii="华文宋体" w:hAnsi="华文宋体" w:eastAsia="华文宋体" w:cs="华文宋体"/>
                <w:color w:val="auto"/>
                <w:highlight w:val="none"/>
                <w:lang w:val="en-US" w:eastAsia="zh-CN"/>
              </w:rPr>
              <w:t>相关需求专业人员</w:t>
            </w:r>
            <w:r>
              <w:rPr>
                <w:rFonts w:hint="eastAsia" w:ascii="宋体" w:cs="宋体"/>
                <w:color w:val="auto"/>
                <w:kern w:val="0"/>
              </w:rPr>
              <w:t>配备齐全</w:t>
            </w:r>
            <w:r>
              <w:rPr>
                <w:rFonts w:hint="eastAsia" w:ascii="宋体" w:cs="宋体"/>
                <w:color w:val="auto"/>
                <w:kern w:val="0"/>
                <w:lang w:eastAsia="zh-CN"/>
              </w:rPr>
              <w:t>，</w:t>
            </w:r>
            <w:r>
              <w:rPr>
                <w:rFonts w:hint="eastAsia" w:ascii="宋体" w:cs="宋体"/>
                <w:color w:val="auto"/>
                <w:kern w:val="0"/>
              </w:rPr>
              <w:t>实施团队</w:t>
            </w:r>
            <w:r>
              <w:rPr>
                <w:rFonts w:hint="eastAsia" w:ascii="宋体" w:cs="宋体"/>
                <w:color w:val="auto"/>
                <w:kern w:val="0"/>
                <w:lang w:val="en-US" w:eastAsia="zh-CN"/>
              </w:rPr>
              <w:t>4人</w:t>
            </w:r>
            <w:r>
              <w:rPr>
                <w:rFonts w:hint="eastAsia" w:ascii="宋体" w:cs="宋体"/>
                <w:color w:val="auto"/>
                <w:kern w:val="0"/>
              </w:rPr>
              <w:t>，其中工程师≥</w:t>
            </w:r>
            <w:r>
              <w:rPr>
                <w:rFonts w:hint="eastAsia" w:ascii="宋体" w:cs="宋体"/>
                <w:color w:val="auto"/>
                <w:kern w:val="0"/>
                <w:lang w:val="en-US" w:eastAsia="zh-CN"/>
              </w:rPr>
              <w:t>1</w:t>
            </w:r>
            <w:r>
              <w:rPr>
                <w:rFonts w:hint="eastAsia" w:ascii="宋体" w:cs="宋体"/>
                <w:color w:val="auto"/>
                <w:kern w:val="0"/>
              </w:rPr>
              <w:t>人，高级工程师≥2人，得</w:t>
            </w:r>
            <w:r>
              <w:rPr>
                <w:rFonts w:hint="eastAsia" w:ascii="宋体" w:cs="宋体"/>
                <w:color w:val="auto"/>
                <w:kern w:val="0"/>
                <w:lang w:val="en-US" w:eastAsia="zh-CN"/>
              </w:rPr>
              <w:t>2</w:t>
            </w:r>
            <w:r>
              <w:rPr>
                <w:rFonts w:hint="eastAsia" w:ascii="宋体" w:cs="宋体"/>
                <w:color w:val="auto"/>
                <w:kern w:val="0"/>
              </w:rPr>
              <w:t>分</w:t>
            </w:r>
            <w:r>
              <w:rPr>
                <w:rFonts w:hint="eastAsia" w:ascii="宋体" w:cs="宋体"/>
                <w:color w:val="auto"/>
                <w:kern w:val="0"/>
                <w:lang w:eastAsia="zh-CN"/>
              </w:rPr>
              <w:t>；</w:t>
            </w:r>
          </w:p>
          <w:p>
            <w:pPr>
              <w:widowControl/>
              <w:numPr>
                <w:ilvl w:val="0"/>
                <w:numId w:val="0"/>
              </w:numPr>
              <w:spacing w:line="240" w:lineRule="auto"/>
              <w:jc w:val="left"/>
              <w:rPr>
                <w:rFonts w:hint="eastAsia" w:ascii="宋体" w:cs="宋体"/>
                <w:color w:val="auto"/>
                <w:kern w:val="0"/>
              </w:rPr>
            </w:pPr>
            <w:r>
              <w:rPr>
                <w:rFonts w:hint="eastAsia" w:ascii="华文宋体" w:hAnsi="华文宋体" w:eastAsia="华文宋体" w:cs="华文宋体"/>
                <w:color w:val="auto"/>
                <w:highlight w:val="none"/>
                <w:lang w:val="en-US" w:eastAsia="zh-CN"/>
              </w:rPr>
              <w:t>项目实施团队中相关需求专业人员</w:t>
            </w:r>
            <w:r>
              <w:rPr>
                <w:rFonts w:hint="eastAsia" w:ascii="宋体" w:cs="宋体"/>
                <w:color w:val="auto"/>
                <w:kern w:val="0"/>
              </w:rPr>
              <w:t>配备齐全，实施团队</w:t>
            </w:r>
            <w:r>
              <w:rPr>
                <w:rFonts w:hint="eastAsia" w:ascii="宋体" w:cs="宋体"/>
                <w:color w:val="auto"/>
                <w:kern w:val="0"/>
                <w:lang w:val="en-US" w:eastAsia="zh-CN"/>
              </w:rPr>
              <w:t>3人</w:t>
            </w:r>
            <w:r>
              <w:rPr>
                <w:rFonts w:hint="eastAsia" w:ascii="宋体" w:cs="宋体"/>
                <w:color w:val="auto"/>
                <w:kern w:val="0"/>
              </w:rPr>
              <w:t>，其中工程师≥</w:t>
            </w:r>
            <w:r>
              <w:rPr>
                <w:rFonts w:hint="eastAsia" w:ascii="宋体" w:cs="宋体"/>
                <w:color w:val="auto"/>
                <w:kern w:val="0"/>
                <w:lang w:val="en-US" w:eastAsia="zh-CN"/>
              </w:rPr>
              <w:t>1</w:t>
            </w:r>
            <w:r>
              <w:rPr>
                <w:rFonts w:hint="eastAsia" w:ascii="宋体" w:cs="宋体"/>
                <w:color w:val="auto"/>
                <w:kern w:val="0"/>
              </w:rPr>
              <w:t>人，高级工程师1人，得</w:t>
            </w:r>
            <w:r>
              <w:rPr>
                <w:rFonts w:hint="eastAsia" w:ascii="宋体" w:cs="宋体"/>
                <w:color w:val="auto"/>
                <w:kern w:val="0"/>
                <w:lang w:val="en-US" w:eastAsia="zh-CN"/>
              </w:rPr>
              <w:t>1</w:t>
            </w:r>
            <w:r>
              <w:rPr>
                <w:rFonts w:hint="eastAsia" w:ascii="宋体" w:cs="宋体"/>
                <w:color w:val="auto"/>
                <w:kern w:val="0"/>
              </w:rPr>
              <w:t>分；</w:t>
            </w:r>
          </w:p>
          <w:p>
            <w:pPr>
              <w:pStyle w:val="2"/>
              <w:rPr>
                <w:rFonts w:hint="default" w:eastAsiaTheme="minorEastAsia"/>
                <w:color w:val="auto"/>
                <w:lang w:val="en-US" w:eastAsia="zh-CN"/>
              </w:rPr>
            </w:pPr>
            <w:r>
              <w:rPr>
                <w:rFonts w:hint="eastAsia" w:ascii="华文宋体" w:hAnsi="华文宋体" w:eastAsia="华文宋体" w:cs="华文宋体"/>
                <w:color w:val="auto"/>
                <w:highlight w:val="none"/>
                <w:lang w:val="en-US" w:eastAsia="zh-CN"/>
              </w:rPr>
              <w:t>项目实施团队中相关需求专业人员</w:t>
            </w:r>
            <w:r>
              <w:rPr>
                <w:rFonts w:hint="eastAsia" w:ascii="宋体" w:cs="宋体"/>
                <w:color w:val="auto"/>
                <w:kern w:val="0"/>
              </w:rPr>
              <w:t>配备</w:t>
            </w:r>
            <w:r>
              <w:rPr>
                <w:rFonts w:hint="eastAsia" w:ascii="宋体" w:cs="宋体"/>
                <w:color w:val="auto"/>
                <w:kern w:val="0"/>
                <w:lang w:val="en-US" w:eastAsia="zh-CN"/>
              </w:rPr>
              <w:t>不</w:t>
            </w:r>
            <w:r>
              <w:rPr>
                <w:rFonts w:hint="eastAsia" w:ascii="宋体" w:cs="宋体"/>
                <w:color w:val="auto"/>
                <w:kern w:val="0"/>
              </w:rPr>
              <w:t>齐全</w:t>
            </w:r>
            <w:r>
              <w:rPr>
                <w:rFonts w:hint="eastAsia" w:ascii="宋体" w:cs="宋体"/>
                <w:color w:val="auto"/>
                <w:kern w:val="0"/>
                <w:lang w:val="en-US" w:eastAsia="zh-CN"/>
              </w:rPr>
              <w:t>的，得0分。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72" w:type="pct"/>
            <w:vMerge w:val="restart"/>
            <w:shd w:val="clear" w:color="auto" w:fill="auto"/>
            <w:vAlign w:val="center"/>
          </w:tcPr>
          <w:p>
            <w:pPr>
              <w:spacing w:line="240" w:lineRule="auto"/>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5</w:t>
            </w:r>
          </w:p>
        </w:tc>
        <w:tc>
          <w:tcPr>
            <w:tcW w:w="427" w:type="pct"/>
            <w:vMerge w:val="restar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投标人综合实力</w:t>
            </w: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履约能力和荣誉</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根据投标人企业整体经营状况、荣誉、信息业务相关认证等方面。</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（1）对每项内容进行了阐述且合理适用的，得3分；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（2）对每项内容进行了阐述但一般合理的，得2分；</w:t>
            </w:r>
          </w:p>
          <w:p>
            <w:pPr>
              <w:pStyle w:val="2"/>
              <w:rPr>
                <w:rFonts w:hint="eastAsia"/>
                <w:color w:val="auto"/>
                <w:lang w:val="en-US" w:eastAsia="zh-CN"/>
              </w:rPr>
            </w:pPr>
            <w:r>
              <w:rPr>
                <w:rFonts w:hint="eastAsia" w:ascii="华文宋体" w:hAnsi="华文宋体" w:eastAsia="华文宋体" w:cs="华文宋体"/>
                <w:color w:val="auto"/>
                <w:highlight w:val="none"/>
                <w:lang w:val="en-US" w:eastAsia="zh-CN"/>
              </w:rPr>
              <w:t>（3）对每项内容进行了阐述但不太合理的，得1分；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（4）对每项内容未进行阐述或阐述不太合理的，得0分；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注：需在投标文件中提供相关资质证书等相关材料扫描件加盖投标人电子签章，不提供不得分。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72" w:type="pct"/>
            <w:vMerge w:val="continue"/>
            <w:shd w:val="clear" w:color="auto" w:fill="auto"/>
            <w:vAlign w:val="center"/>
          </w:tcPr>
          <w:p>
            <w:pPr>
              <w:spacing w:line="240" w:lineRule="auto"/>
              <w:jc w:val="center"/>
              <w:rPr>
                <w:rFonts w:hint="eastAsia" w:ascii="楷体" w:hAnsi="楷体" w:eastAsia="楷体" w:cs="楷体"/>
                <w:color w:val="auto"/>
                <w:kern w:val="0"/>
                <w:sz w:val="24"/>
                <w:szCs w:val="24"/>
                <w:lang w:val="en-US" w:eastAsia="zh-CN"/>
              </w:rPr>
            </w:pPr>
          </w:p>
        </w:tc>
        <w:tc>
          <w:tcPr>
            <w:tcW w:w="427" w:type="pct"/>
            <w:vMerge w:val="continue"/>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投标人业绩案例</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提供的近三年（2019年1月1日起至本项目投标截止时间）对业绩情况与本项目采购需求的匹配程度、业绩数量、验收报告等方面进行综合打分。每提供一份匹配程度高的业绩得1分，最多得3分（提供合同及中标通知书复印件，业绩对应的验收报告和发票）。（对省级以上主管部门认定的首台套产品，自纳入《省推广应用指导目录》起三年内参加政府采购活动的，视同已具备相应销售业绩，业绩分为满分）。未提供发票的业绩不得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272" w:type="pct"/>
            <w:vMerge w:val="restart"/>
            <w:shd w:val="clear" w:color="auto" w:fill="auto"/>
            <w:vAlign w:val="center"/>
          </w:tcPr>
          <w:p>
            <w:pPr>
              <w:spacing w:line="240" w:lineRule="auto"/>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6</w:t>
            </w:r>
          </w:p>
        </w:tc>
        <w:tc>
          <w:tcPr>
            <w:tcW w:w="427" w:type="pct"/>
            <w:vMerge w:val="restar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售后服务团队配备及综合能力</w:t>
            </w: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售后服务要求</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根据投标人的售后服务能力，服务措施方案是否合理，是否具有全面的应急服务能力措施的情况，由专家打分。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（1）对每项内容进行了阐述且合理适用的，得5分；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（2）对每项内容进行了阐述较合理适用的，得4分；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（3）对每项内容进行了阐述但一般合理的，得3分；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（4）对每项内容进行了阐述但不太合理的，得2分；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（5）对每项内容进行了阐述但不合理的，得1分；</w:t>
            </w:r>
          </w:p>
          <w:p>
            <w:pPr>
              <w:widowControl/>
              <w:numPr>
                <w:ilvl w:val="0"/>
                <w:numId w:val="0"/>
              </w:numPr>
              <w:spacing w:line="240" w:lineRule="auto"/>
              <w:jc w:val="left"/>
              <w:rPr>
                <w:rFonts w:hint="eastAsia"/>
                <w:color w:val="auto"/>
                <w:lang w:val="en-US" w:eastAsia="zh-CN"/>
              </w:rPr>
            </w:pPr>
            <w:r>
              <w:rPr>
                <w:rFonts w:hint="eastAsia"/>
                <w:color w:val="auto"/>
                <w:lang w:val="en-US" w:eastAsia="zh-CN"/>
              </w:rPr>
              <w:t>（6）对每项内容未进行阐述的，得0分；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需将佐证材料扫描件加盖投标人电子签章置于投标文件中，作为衡量投标人售后服务能力标准之一，未提供或提供的佐证材料不符合要求的不得分。</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72" w:type="pct"/>
            <w:vMerge w:val="continue"/>
            <w:shd w:val="clear" w:color="auto" w:fill="auto"/>
            <w:vAlign w:val="center"/>
          </w:tcPr>
          <w:p>
            <w:pPr>
              <w:spacing w:line="240" w:lineRule="auto"/>
              <w:jc w:val="center"/>
              <w:rPr>
                <w:rFonts w:hint="eastAsia" w:ascii="楷体" w:hAnsi="楷体" w:eastAsia="楷体" w:cs="楷体"/>
                <w:color w:val="auto"/>
                <w:kern w:val="0"/>
                <w:sz w:val="24"/>
                <w:szCs w:val="24"/>
                <w:lang w:eastAsia="zh-CN"/>
              </w:rPr>
            </w:pPr>
          </w:p>
        </w:tc>
        <w:tc>
          <w:tcPr>
            <w:tcW w:w="427" w:type="pct"/>
            <w:vMerge w:val="continue"/>
            <w:shd w:val="clear" w:color="auto" w:fill="auto"/>
            <w:vAlign w:val="center"/>
          </w:tcPr>
          <w:p>
            <w:pPr>
              <w:spacing w:line="240" w:lineRule="auto"/>
              <w:jc w:val="center"/>
              <w:rPr>
                <w:rFonts w:hint="eastAsia" w:ascii="楷体" w:hAnsi="楷体" w:eastAsia="楷体" w:cs="楷体"/>
                <w:color w:val="auto"/>
                <w:kern w:val="0"/>
                <w:sz w:val="24"/>
                <w:szCs w:val="24"/>
                <w:lang w:val="en-US" w:eastAsia="zh-CN"/>
              </w:rPr>
            </w:pPr>
          </w:p>
        </w:tc>
        <w:tc>
          <w:tcPr>
            <w:tcW w:w="457"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售后服务团队人员</w:t>
            </w:r>
          </w:p>
        </w:tc>
        <w:tc>
          <w:tcPr>
            <w:tcW w:w="3421" w:type="pct"/>
            <w:shd w:val="clear" w:color="auto" w:fill="auto"/>
            <w:vAlign w:val="center"/>
          </w:tcPr>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售后服务人员中具备3名以上信息相关专业的助理工程师及以上的得3分，2名以上的得2分，1名以上的得1分。</w:t>
            </w:r>
          </w:p>
          <w:p>
            <w:pPr>
              <w:widowControl/>
              <w:numPr>
                <w:ilvl w:val="0"/>
                <w:numId w:val="0"/>
              </w:numPr>
              <w:spacing w:line="240" w:lineRule="auto"/>
              <w:jc w:val="left"/>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421" w:type="pct"/>
            <w:shd w:val="clear" w:color="auto" w:fill="auto"/>
            <w:vAlign w:val="center"/>
          </w:tcPr>
          <w:p>
            <w:pPr>
              <w:spacing w:line="240" w:lineRule="auto"/>
              <w:jc w:val="center"/>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72" w:type="pct"/>
            <w:shd w:val="clear" w:color="auto" w:fill="auto"/>
            <w:vAlign w:val="center"/>
          </w:tcPr>
          <w:p>
            <w:pPr>
              <w:spacing w:line="240" w:lineRule="auto"/>
              <w:jc w:val="center"/>
              <w:rPr>
                <w:rFonts w:hint="default"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7</w:t>
            </w:r>
          </w:p>
        </w:tc>
        <w:tc>
          <w:tcPr>
            <w:tcW w:w="427" w:type="pct"/>
            <w:shd w:val="clear" w:color="auto" w:fill="auto"/>
            <w:vAlign w:val="center"/>
          </w:tcPr>
          <w:p>
            <w:pPr>
              <w:spacing w:line="240" w:lineRule="auto"/>
              <w:jc w:val="center"/>
              <w:rPr>
                <w:rFonts w:hint="eastAsia" w:ascii="楷体" w:hAnsi="楷体" w:eastAsia="楷体" w:cs="楷体"/>
                <w:color w:val="auto"/>
                <w:kern w:val="0"/>
                <w:sz w:val="24"/>
                <w:szCs w:val="24"/>
                <w:lang w:val="en-US" w:eastAsia="zh-CN"/>
              </w:rPr>
            </w:pPr>
            <w:r>
              <w:rPr>
                <w:rFonts w:hint="eastAsia" w:ascii="新宋体" w:hAnsi="新宋体" w:eastAsia="新宋体" w:cs="新宋体"/>
                <w:color w:val="auto"/>
                <w:kern w:val="0"/>
                <w:szCs w:val="21"/>
              </w:rPr>
              <w:t>政策功能</w:t>
            </w:r>
          </w:p>
        </w:tc>
        <w:tc>
          <w:tcPr>
            <w:tcW w:w="457" w:type="pct"/>
            <w:shd w:val="clear" w:color="auto" w:fill="auto"/>
            <w:vAlign w:val="center"/>
          </w:tcPr>
          <w:p>
            <w:pPr>
              <w:widowControl/>
              <w:spacing w:line="380" w:lineRule="exact"/>
              <w:jc w:val="center"/>
              <w:rPr>
                <w:rFonts w:hint="default"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节能环保</w:t>
            </w:r>
          </w:p>
        </w:tc>
        <w:tc>
          <w:tcPr>
            <w:tcW w:w="3421" w:type="pct"/>
            <w:shd w:val="clear" w:color="auto" w:fill="auto"/>
            <w:vAlign w:val="center"/>
          </w:tcPr>
          <w:p>
            <w:pPr>
              <w:widowControl/>
              <w:spacing w:line="380" w:lineRule="exact"/>
              <w:jc w:val="both"/>
              <w:rPr>
                <w:rFonts w:hint="eastAsia" w:ascii="华文宋体" w:hAnsi="华文宋体" w:eastAsia="华文宋体" w:cs="华文宋体"/>
                <w:color w:val="auto"/>
                <w:highlight w:val="none"/>
                <w:lang w:val="en-US" w:eastAsia="zh-CN"/>
              </w:rPr>
            </w:pPr>
            <w:r>
              <w:rPr>
                <w:rFonts w:hint="eastAsia" w:ascii="新宋体" w:hAnsi="新宋体" w:eastAsia="新宋体" w:cs="新宋体"/>
                <w:color w:val="auto"/>
                <w:kern w:val="0"/>
                <w:sz w:val="22"/>
                <w:szCs w:val="22"/>
              </w:rPr>
              <w:t>投标产品中具有</w:t>
            </w:r>
            <w:r>
              <w:rPr>
                <w:rFonts w:hint="eastAsia" w:ascii="新宋体" w:hAnsi="新宋体" w:eastAsia="新宋体" w:cs="新宋体"/>
                <w:color w:val="auto"/>
                <w:kern w:val="0"/>
                <w:sz w:val="22"/>
                <w:szCs w:val="22"/>
                <w:lang w:val="en-US" w:eastAsia="zh-CN"/>
              </w:rPr>
              <w:t>属于品目清单范围且提供</w:t>
            </w:r>
            <w:r>
              <w:rPr>
                <w:rFonts w:hint="eastAsia" w:ascii="新宋体" w:hAnsi="新宋体" w:eastAsia="新宋体" w:cs="新宋体"/>
                <w:color w:val="auto"/>
                <w:kern w:val="0"/>
                <w:sz w:val="22"/>
                <w:szCs w:val="22"/>
              </w:rPr>
              <w:t>国家确定的认证机构出具的、处于有效期之内的节能产品、环境标志产品认证证书</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扫描件加盖公章</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rPr>
              <w:t>的，根据数量和占比酌情打分。</w:t>
            </w:r>
          </w:p>
        </w:tc>
        <w:tc>
          <w:tcPr>
            <w:tcW w:w="421" w:type="pct"/>
            <w:shd w:val="clear" w:color="auto" w:fill="auto"/>
            <w:vAlign w:val="center"/>
          </w:tcPr>
          <w:p>
            <w:pPr>
              <w:spacing w:line="380" w:lineRule="exact"/>
              <w:jc w:val="center"/>
              <w:rPr>
                <w:rFonts w:hint="eastAsia" w:ascii="华文宋体" w:hAnsi="华文宋体" w:eastAsia="华文宋体" w:cs="华文宋体"/>
                <w:color w:val="auto"/>
                <w:highlight w:val="none"/>
                <w:lang w:val="en-US" w:eastAsia="zh-CN"/>
              </w:rPr>
            </w:pPr>
            <w:r>
              <w:rPr>
                <w:rFonts w:hint="eastAsia" w:ascii="新宋体" w:hAnsi="新宋体" w:eastAsia="新宋体" w:cs="新宋体"/>
                <w:color w:val="auto"/>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8" w:type="pct"/>
            <w:gridSpan w:val="4"/>
            <w:shd w:val="clear" w:color="auto" w:fill="auto"/>
            <w:vAlign w:val="center"/>
          </w:tcPr>
          <w:p>
            <w:pPr>
              <w:widowControl/>
              <w:spacing w:line="380" w:lineRule="exact"/>
              <w:jc w:val="center"/>
              <w:rPr>
                <w:rFonts w:hint="eastAsia" w:ascii="新宋体" w:hAnsi="新宋体" w:eastAsia="新宋体" w:cs="新宋体"/>
                <w:color w:val="auto"/>
                <w:kern w:val="0"/>
                <w:sz w:val="24"/>
                <w:lang w:val="en-US" w:eastAsia="zh-CN"/>
              </w:rPr>
            </w:pPr>
            <w:r>
              <w:rPr>
                <w:rFonts w:hint="eastAsia" w:ascii="新宋体" w:hAnsi="新宋体" w:eastAsia="新宋体" w:cs="新宋体"/>
                <w:color w:val="auto"/>
                <w:kern w:val="0"/>
                <w:sz w:val="24"/>
                <w:lang w:val="en-US" w:eastAsia="zh-CN"/>
              </w:rPr>
              <w:t>合计</w:t>
            </w:r>
          </w:p>
        </w:tc>
        <w:tc>
          <w:tcPr>
            <w:tcW w:w="421" w:type="pct"/>
            <w:shd w:val="clear" w:color="auto" w:fill="auto"/>
            <w:vAlign w:val="center"/>
          </w:tcPr>
          <w:p>
            <w:pPr>
              <w:spacing w:line="380" w:lineRule="exact"/>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0-70</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NhMDgxMGY5MjIyYzA3MmQ2MmZlYTA1NGVmYzkifQ=="/>
  </w:docVars>
  <w:rsids>
    <w:rsidRoot w:val="1A462C1B"/>
    <w:rsid w:val="1A462C1B"/>
    <w:rsid w:val="1DEF5DEA"/>
    <w:rsid w:val="34873A5C"/>
    <w:rsid w:val="3510578B"/>
    <w:rsid w:val="37417E25"/>
    <w:rsid w:val="374B6019"/>
    <w:rsid w:val="40E9308C"/>
    <w:rsid w:val="43E46E28"/>
    <w:rsid w:val="59AF4C28"/>
    <w:rsid w:val="64A1230E"/>
    <w:rsid w:val="65B0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keepNext/>
      <w:keepLines/>
      <w:tabs>
        <w:tab w:val="left" w:pos="1080"/>
      </w:tabs>
      <w:spacing w:line="360" w:lineRule="auto"/>
      <w:outlineLvl w:val="1"/>
    </w:pPr>
    <w:rPr>
      <w:rFonts w:ascii="宋体" w:cs="宋体"/>
      <w:kern w:val="24"/>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customStyle="1" w:styleId="4">
    <w:name w:val="Quote1"/>
    <w:basedOn w:val="1"/>
    <w:next w:val="1"/>
    <w:qFormat/>
    <w:uiPriority w:val="99"/>
    <w:pPr>
      <w:widowControl/>
      <w:wordWrap w:val="0"/>
      <w:spacing w:before="200" w:after="160"/>
      <w:ind w:left="864" w:right="864"/>
      <w:jc w:val="center"/>
    </w:pPr>
    <w:rPr>
      <w:rFonts w:ascii="宋体"/>
      <w:i/>
      <w:color w:val="4040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3059</Words>
  <Characters>3101</Characters>
  <Lines>0</Lines>
  <Paragraphs>0</Paragraphs>
  <TotalTime>51</TotalTime>
  <ScaleCrop>false</ScaleCrop>
  <LinksUpToDate>false</LinksUpToDate>
  <CharactersWithSpaces>3101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2022-09-01T08:28:00Z</dcterms:created>
  <dc:creator>િી大脸菜姐</dc:creator>
  <cp:lastModifiedBy>િી大脸菜姐</cp:lastModifiedBy>
  <dcterms:modified xsi:type="dcterms:W3CDTF">2022-09-02T07:21:24Z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B5FAACF41A3C4C6EB334F13D2C4DE80F</vt:lpwstr>
  </property>
</Properties>
</file>