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</w:t>
      </w:r>
    </w:p>
    <w:p>
      <w:pPr>
        <w:pStyle w:val="2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/>
          <w:b/>
          <w:bCs/>
          <w:lang w:val="en-US" w:eastAsia="zh-CN"/>
        </w:rPr>
        <w:t>技术参数及要求</w:t>
      </w: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val="en-US" w:eastAsia="zh-CN"/>
        </w:rPr>
        <w:t>更正内容</w:t>
      </w:r>
      <w:r>
        <w:rPr>
          <w:rFonts w:hint="eastAsia" w:ascii="Times New Roman" w:hAnsi="Times New Roman" w:eastAsia="宋体" w:cs="Times New Roman"/>
          <w:b/>
          <w:bCs/>
          <w:color w:val="auto"/>
          <w:sz w:val="21"/>
          <w:szCs w:val="21"/>
          <w:lang w:eastAsia="zh-CN"/>
        </w:rPr>
        <w:t>）</w:t>
      </w:r>
      <w:r>
        <w:rPr>
          <w:rFonts w:hint="eastAsia"/>
          <w:b/>
          <w:bCs/>
          <w:lang w:val="en-US" w:eastAsia="zh-CN"/>
        </w:rPr>
        <w:t>：</w:t>
      </w:r>
    </w:p>
    <w:tbl>
      <w:tblPr>
        <w:tblStyle w:val="5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2319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产品名称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永久阻燃布帘1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pStyle w:val="7"/>
              <w:widowControl w:val="0"/>
              <w:spacing w:before="37" w:line="214" w:lineRule="auto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5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值：4.0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永久阻燃布帘2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7.ph：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4.0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永久阻燃纱帘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ind w:left="425" w:hanging="425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  <w:t>49.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Ph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42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2"/>
                <w:sz w:val="21"/>
                <w:szCs w:val="21"/>
              </w:rPr>
              <w:t>值：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4.0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永久阻燃病床围帘布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1.ph值：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4.0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7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trike w:val="0"/>
                <w:dstrike w:val="0"/>
                <w:color w:val="auto"/>
                <w:sz w:val="21"/>
                <w:szCs w:val="21"/>
                <w:highlight w:val="none"/>
              </w:rPr>
              <w:t>开孔率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1%阳光卷帘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▲46.面料经抗阻燃处理，达到国家抗阻燃B1级标准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阻燃次数：5次 </w:t>
            </w: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符合标准GB  8624-2012《建筑材料及制品燃烧性能分级》(窗帘幕布、家具制品装饰用织物 B1级)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（1）氧指数≥ 32.0；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损毁长度≤ 150mm ，续燃时间≤5s，阴燃时间≤ 5s；</w:t>
            </w: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（3）燃烧滴落物未引起脱脂棉燃烧或阴燃；</w:t>
            </w:r>
          </w:p>
          <w:p>
            <w:pPr>
              <w:widowControl w:val="0"/>
              <w:jc w:val="both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51.pH 值：4.0-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9.0</w:t>
            </w:r>
          </w:p>
          <w:p>
            <w:pPr>
              <w:widowControl w:val="0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▲67.纤维含量：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%聚酯纤维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11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电动开孔率1%阳光卷帘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▲46.面料经抗阻燃处理，达到国家抗阻燃B1级标准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 xml:space="preserve">阻燃次数：5次 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符合标准GB  8624-2012《建筑材料及制品燃烧性能分级》(窗帘幕布、家具制品装饰用织物 B1级)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（1）氧指数≥ 32.0；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（2）损毁长度≤ 150mm ，续燃时间≤5s，阴燃时间≤ 5s；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（3）燃烧滴落物未引起脱脂棉燃烧或阴燃；</w:t>
            </w:r>
          </w:p>
          <w:p>
            <w:pPr>
              <w:widowControl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51.pH 值：4.0-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9.0</w:t>
            </w:r>
            <w:bookmarkStart w:id="0" w:name="_GoBack"/>
            <w:bookmarkEnd w:id="0"/>
          </w:p>
          <w:p>
            <w:pPr>
              <w:widowControl w:val="0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▲67.纤维含量：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%聚酯纤维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13</w:t>
            </w:r>
          </w:p>
        </w:tc>
        <w:tc>
          <w:tcPr>
            <w:tcW w:w="231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浴帘</w:t>
            </w:r>
          </w:p>
        </w:tc>
        <w:tc>
          <w:tcPr>
            <w:tcW w:w="6233" w:type="dxa"/>
            <w:noWrap w:val="0"/>
            <w:vAlign w:val="center"/>
          </w:tcPr>
          <w:p>
            <w:pPr>
              <w:ind w:left="210" w:hanging="210" w:hangingChars="100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bidi="ar"/>
              </w:rPr>
              <w:t>2.pH值：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</w:rPr>
              <w:t>4.0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-3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spacing w:val="-3"/>
                <w:sz w:val="21"/>
                <w:szCs w:val="21"/>
                <w:lang w:val="en-US" w:eastAsia="zh-CN"/>
              </w:rPr>
              <w:t>9.0</w:t>
            </w:r>
          </w:p>
        </w:tc>
      </w:tr>
    </w:tbl>
    <w:p>
      <w:pPr>
        <w:pStyle w:val="2"/>
        <w:ind w:left="0" w:leftChars="0" w:firstLine="0" w:firstLineChars="0"/>
        <w:rPr>
          <w:rFonts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B7179"/>
    <w:rsid w:val="16EB7179"/>
    <w:rsid w:val="42F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4"/>
    <w:qFormat/>
    <w:uiPriority w:val="0"/>
    <w:pPr>
      <w:spacing w:line="440" w:lineRule="exact"/>
      <w:ind w:firstLine="480" w:firstLineChars="200"/>
      <w:jc w:val="both"/>
    </w:pPr>
    <w:rPr>
      <w:rFonts w:ascii="Times New Roman" w:hAnsi="Times New Roman" w:eastAsia="仿宋_GB2312" w:cs="Times New Roman"/>
    </w:rPr>
  </w:style>
  <w:style w:type="paragraph" w:styleId="4">
    <w:name w:val="Normal Indent"/>
    <w:basedOn w:val="1"/>
    <w:qFormat/>
    <w:uiPriority w:val="0"/>
    <w:pPr>
      <w:widowControl w:val="0"/>
      <w:spacing w:line="360" w:lineRule="auto"/>
      <w:ind w:firstLine="200" w:firstLineChars="200"/>
    </w:pPr>
    <w:rPr>
      <w:kern w:val="2"/>
      <w:sz w:val="21"/>
      <w:szCs w:val="20"/>
    </w:r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2024-04-22T07:10:00Z</dcterms:created>
  <dc:creator>Administrator</dc:creator>
  <cp:lastModifiedBy>Administrator</cp:lastModifiedBy>
  <dcterms:modified xsi:type="dcterms:W3CDTF">2024-04-22T07:25:29Z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