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7"/>
        <w:jc w:val="center"/>
        <w:rPr>
          <w:rFonts w:ascii="楷体" w:hAnsi="楷体" w:eastAsia="楷体" w:cs="楷体"/>
          <w:color w:val="000000" w:themeColor="text1"/>
          <w:spacing w:val="30"/>
          <w:sz w:val="48"/>
          <w:szCs w:val="48"/>
        </w:rPr>
      </w:pPr>
      <w:r>
        <w:rPr>
          <w:rFonts w:hint="eastAsia" w:ascii="楷体" w:hAnsi="楷体" w:eastAsia="楷体" w:cs="楷体"/>
          <w:color w:val="000000" w:themeColor="text1"/>
          <w:spacing w:val="30"/>
          <w:sz w:val="48"/>
          <w:szCs w:val="48"/>
        </w:rPr>
        <w:t>金华市政府采购中心关于金华市公安局**训练基地科技信息化项目（**教学信息化）</w:t>
      </w:r>
    </w:p>
    <w:p>
      <w:pPr>
        <w:pStyle w:val="30"/>
        <w:ind w:firstLine="1080"/>
        <w:rPr>
          <w:rFonts w:ascii="楷体" w:hAnsi="楷体" w:eastAsia="楷体" w:cs="楷体"/>
          <w:color w:val="000000" w:themeColor="text1"/>
          <w:spacing w:val="30"/>
          <w:sz w:val="48"/>
          <w:szCs w:val="48"/>
        </w:rPr>
      </w:pPr>
    </w:p>
    <w:p>
      <w:pPr>
        <w:pStyle w:val="30"/>
        <w:ind w:firstLine="1080"/>
        <w:rPr>
          <w:rFonts w:ascii="楷体" w:hAnsi="楷体" w:eastAsia="楷体" w:cs="楷体"/>
          <w:color w:val="000000" w:themeColor="text1"/>
          <w:spacing w:val="30"/>
          <w:sz w:val="48"/>
          <w:szCs w:val="48"/>
        </w:rPr>
      </w:pPr>
    </w:p>
    <w:p>
      <w:pPr>
        <w:pStyle w:val="30"/>
        <w:ind w:firstLine="1080"/>
        <w:rPr>
          <w:rFonts w:ascii="楷体" w:hAnsi="楷体" w:eastAsia="楷体" w:cs="楷体"/>
          <w:color w:val="000000" w:themeColor="text1"/>
          <w:spacing w:val="30"/>
          <w:sz w:val="48"/>
          <w:szCs w:val="48"/>
        </w:rPr>
      </w:pPr>
    </w:p>
    <w:p>
      <w:pPr>
        <w:spacing w:before="312" w:beforeLines="100" w:after="100" w:afterAutospacing="1" w:line="800" w:lineRule="exact"/>
        <w:ind w:right="-108"/>
        <w:jc w:val="center"/>
        <w:rPr>
          <w:rFonts w:ascii="宋体" w:hAnsi="宋体"/>
          <w:color w:val="000000" w:themeColor="text1"/>
          <w:spacing w:val="40"/>
          <w:sz w:val="72"/>
          <w:szCs w:val="72"/>
        </w:rPr>
      </w:pPr>
      <w:r>
        <w:rPr>
          <w:rFonts w:hint="eastAsia" w:ascii="宋体" w:hAnsi="宋体"/>
          <w:color w:val="000000" w:themeColor="text1"/>
          <w:spacing w:val="40"/>
          <w:sz w:val="72"/>
          <w:szCs w:val="72"/>
        </w:rPr>
        <w:t>公开招标采购文件</w:t>
      </w:r>
    </w:p>
    <w:p>
      <w:pPr>
        <w:pStyle w:val="30"/>
        <w:ind w:left="0" w:leftChars="0" w:firstLine="0" w:firstLineChars="0"/>
        <w:jc w:val="center"/>
        <w:rPr>
          <w:color w:val="000000" w:themeColor="text1"/>
          <w:sz w:val="44"/>
          <w:szCs w:val="44"/>
        </w:rPr>
      </w:pPr>
      <w:r>
        <w:rPr>
          <w:rFonts w:hint="eastAsia" w:ascii="宋体" w:hAnsi="宋体"/>
          <w:color w:val="000000" w:themeColor="text1"/>
          <w:spacing w:val="40"/>
          <w:sz w:val="44"/>
          <w:szCs w:val="44"/>
        </w:rPr>
        <w:t>（线上电子招标）</w:t>
      </w:r>
    </w:p>
    <w:p>
      <w:pPr>
        <w:ind w:right="-110"/>
        <w:rPr>
          <w:rFonts w:ascii="宋体" w:hAnsi="宋体"/>
          <w:color w:val="000000" w:themeColor="text1"/>
          <w:sz w:val="32"/>
          <w:szCs w:val="32"/>
        </w:rPr>
      </w:pPr>
    </w:p>
    <w:p>
      <w:pPr>
        <w:spacing w:before="312" w:beforeLines="100" w:line="480" w:lineRule="auto"/>
        <w:ind w:right="-108"/>
        <w:rPr>
          <w:rFonts w:ascii="宋体" w:hAnsi="宋体"/>
          <w:color w:val="000000" w:themeColor="text1"/>
          <w:sz w:val="32"/>
          <w:szCs w:val="32"/>
        </w:rPr>
      </w:pPr>
    </w:p>
    <w:p>
      <w:pPr>
        <w:spacing w:before="312" w:beforeLines="100" w:line="480" w:lineRule="auto"/>
        <w:ind w:right="-108"/>
        <w:rPr>
          <w:rFonts w:ascii="楷体" w:hAnsi="楷体" w:eastAsia="楷体" w:cs="楷体"/>
          <w:color w:val="000000" w:themeColor="text1"/>
          <w:sz w:val="36"/>
          <w:szCs w:val="36"/>
        </w:rPr>
      </w:pPr>
      <w:r>
        <w:rPr>
          <w:rFonts w:hint="eastAsia" w:ascii="宋体" w:hAnsi="宋体"/>
          <w:color w:val="000000" w:themeColor="text1"/>
          <w:sz w:val="36"/>
          <w:szCs w:val="36"/>
        </w:rPr>
        <w:t xml:space="preserve">    </w:t>
      </w:r>
      <w:r>
        <w:rPr>
          <w:rFonts w:hint="eastAsia" w:ascii="楷体" w:hAnsi="楷体" w:eastAsia="楷体" w:cs="楷体"/>
          <w:color w:val="000000" w:themeColor="text1"/>
          <w:sz w:val="36"/>
          <w:szCs w:val="36"/>
        </w:rPr>
        <w:t>项目编号：JHCG2022G-034</w:t>
      </w:r>
    </w:p>
    <w:p>
      <w:pPr>
        <w:wordWrap w:val="0"/>
        <w:spacing w:line="480" w:lineRule="auto"/>
        <w:ind w:right="-108" w:firstLine="720" w:firstLineChars="200"/>
        <w:rPr>
          <w:rFonts w:ascii="楷体" w:hAnsi="楷体" w:eastAsia="楷体" w:cs="楷体"/>
          <w:color w:val="000000" w:themeColor="text1"/>
          <w:sz w:val="36"/>
          <w:szCs w:val="36"/>
        </w:rPr>
      </w:pPr>
      <w:r>
        <w:rPr>
          <w:rFonts w:hint="eastAsia" w:ascii="楷体" w:hAnsi="楷体" w:eastAsia="楷体" w:cs="楷体"/>
          <w:color w:val="000000" w:themeColor="text1"/>
          <w:sz w:val="36"/>
          <w:szCs w:val="36"/>
        </w:rPr>
        <w:t>代理机构：金华市政府采购中心</w:t>
      </w:r>
    </w:p>
    <w:p>
      <w:pPr>
        <w:wordWrap w:val="0"/>
        <w:spacing w:line="480" w:lineRule="auto"/>
        <w:ind w:right="-108" w:firstLine="720" w:firstLineChars="200"/>
        <w:rPr>
          <w:rFonts w:ascii="楷体" w:hAnsi="楷体" w:eastAsia="楷体" w:cs="楷体"/>
          <w:color w:val="000000" w:themeColor="text1"/>
          <w:sz w:val="36"/>
          <w:szCs w:val="36"/>
        </w:rPr>
      </w:pPr>
      <w:r>
        <w:rPr>
          <w:rFonts w:hint="eastAsia" w:ascii="楷体" w:hAnsi="楷体" w:eastAsia="楷体" w:cs="楷体"/>
          <w:color w:val="000000" w:themeColor="text1"/>
          <w:sz w:val="36"/>
          <w:szCs w:val="36"/>
        </w:rPr>
        <w:t>地址：金华市双龙南街858号财富大厦4楼</w:t>
      </w:r>
    </w:p>
    <w:p>
      <w:pPr>
        <w:pStyle w:val="24"/>
        <w:ind w:left="0" w:firstLine="720" w:firstLineChars="200"/>
        <w:rPr>
          <w:rFonts w:ascii="楷体" w:hAnsi="楷体" w:eastAsia="楷体" w:cs="楷体"/>
          <w:color w:val="000000" w:themeColor="text1"/>
          <w:sz w:val="36"/>
          <w:szCs w:val="36"/>
        </w:rPr>
      </w:pPr>
      <w:r>
        <w:rPr>
          <w:rFonts w:hint="eastAsia" w:ascii="楷体" w:hAnsi="楷体" w:eastAsia="楷体" w:cs="楷体"/>
          <w:color w:val="000000" w:themeColor="text1"/>
          <w:sz w:val="36"/>
          <w:szCs w:val="36"/>
        </w:rPr>
        <w:t>开标时间：2022-</w:t>
      </w:r>
      <w:r>
        <w:rPr>
          <w:rFonts w:hint="eastAsia" w:ascii="楷体" w:hAnsi="楷体" w:eastAsia="楷体" w:cs="楷体"/>
          <w:color w:val="000000" w:themeColor="text1"/>
          <w:sz w:val="36"/>
          <w:szCs w:val="36"/>
          <w:lang w:val="en-US" w:eastAsia="zh-CN"/>
        </w:rPr>
        <w:t>09</w:t>
      </w:r>
      <w:r>
        <w:rPr>
          <w:rFonts w:hint="eastAsia" w:ascii="楷体" w:hAnsi="楷体" w:eastAsia="楷体" w:cs="楷体"/>
          <w:color w:val="000000" w:themeColor="text1"/>
          <w:sz w:val="36"/>
          <w:szCs w:val="36"/>
        </w:rPr>
        <w:t>-</w:t>
      </w:r>
      <w:r>
        <w:rPr>
          <w:rFonts w:hint="eastAsia" w:ascii="楷体" w:hAnsi="楷体" w:eastAsia="楷体" w:cs="楷体"/>
          <w:color w:val="000000" w:themeColor="text1"/>
          <w:sz w:val="36"/>
          <w:szCs w:val="36"/>
          <w:lang w:val="en-US" w:eastAsia="zh-CN"/>
        </w:rPr>
        <w:t>22</w:t>
      </w:r>
      <w:r>
        <w:rPr>
          <w:rFonts w:hint="eastAsia" w:ascii="楷体" w:hAnsi="楷体" w:eastAsia="楷体" w:cs="楷体"/>
          <w:color w:val="000000" w:themeColor="text1"/>
          <w:sz w:val="36"/>
          <w:szCs w:val="36"/>
        </w:rPr>
        <w:t xml:space="preserve"> 上午9：30整</w:t>
      </w:r>
    </w:p>
    <w:p>
      <w:pPr>
        <w:rPr>
          <w:rFonts w:ascii="楷体" w:hAnsi="楷体" w:eastAsia="楷体" w:cs="楷体"/>
          <w:color w:val="000000" w:themeColor="text1"/>
          <w:sz w:val="36"/>
          <w:szCs w:val="36"/>
        </w:rPr>
      </w:pPr>
    </w:p>
    <w:p>
      <w:pPr>
        <w:pStyle w:val="39"/>
        <w:spacing w:before="156"/>
        <w:ind w:firstLine="616"/>
        <w:rPr>
          <w:rFonts w:ascii="楷体" w:hAnsi="楷体" w:eastAsia="楷体" w:cs="楷体"/>
          <w:color w:val="000000" w:themeColor="text1"/>
          <w:sz w:val="36"/>
          <w:szCs w:val="36"/>
        </w:rPr>
      </w:pPr>
    </w:p>
    <w:p>
      <w:pPr>
        <w:pStyle w:val="39"/>
        <w:spacing w:before="156"/>
        <w:ind w:firstLine="616"/>
        <w:rPr>
          <w:rFonts w:ascii="楷体" w:hAnsi="楷体" w:eastAsia="楷体" w:cs="楷体"/>
          <w:color w:val="000000" w:themeColor="text1"/>
          <w:sz w:val="36"/>
          <w:szCs w:val="36"/>
        </w:rPr>
      </w:pPr>
    </w:p>
    <w:p>
      <w:pPr>
        <w:spacing w:line="360" w:lineRule="auto"/>
        <w:ind w:right="57"/>
        <w:jc w:val="left"/>
        <w:rPr>
          <w:rFonts w:ascii="楷体" w:hAnsi="楷体" w:eastAsia="楷体"/>
          <w:color w:val="000000" w:themeColor="text1"/>
          <w:spacing w:val="30"/>
          <w:sz w:val="28"/>
          <w:szCs w:val="11"/>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olor w:val="000000" w:themeColor="text1"/>
          <w:spacing w:val="30"/>
          <w:sz w:val="28"/>
          <w:szCs w:val="11"/>
        </w:rPr>
        <w:t>备注：因疫情防控需要，近14天去过中高风险地区的不得参加现场开标</w:t>
      </w:r>
    </w:p>
    <w:p>
      <w:pPr>
        <w:spacing w:line="800" w:lineRule="exact"/>
        <w:ind w:firstLine="840" w:firstLineChars="300"/>
        <w:rPr>
          <w:color w:val="000000" w:themeColor="text1"/>
          <w:sz w:val="28"/>
          <w:szCs w:val="28"/>
        </w:rPr>
      </w:pPr>
    </w:p>
    <w:p>
      <w:pPr>
        <w:spacing w:line="800" w:lineRule="exact"/>
        <w:ind w:firstLine="840" w:firstLineChars="300"/>
        <w:rPr>
          <w:color w:val="000000" w:themeColor="text1"/>
          <w:sz w:val="28"/>
          <w:szCs w:val="28"/>
        </w:rPr>
      </w:pPr>
      <w:r>
        <w:rPr>
          <w:rFonts w:hint="eastAsia"/>
          <w:color w:val="000000" w:themeColor="text1"/>
          <w:sz w:val="28"/>
          <w:szCs w:val="28"/>
        </w:rPr>
        <w:t>根据省、市疫情防控有关要求，对参加本项目招标采购活动的当事人要求如下：</w:t>
      </w:r>
    </w:p>
    <w:p>
      <w:pPr>
        <w:spacing w:line="800" w:lineRule="exact"/>
        <w:rPr>
          <w:color w:val="000000" w:themeColor="text1"/>
          <w:sz w:val="28"/>
          <w:szCs w:val="28"/>
        </w:rPr>
      </w:pPr>
      <w:r>
        <w:rPr>
          <w:rFonts w:hint="eastAsia"/>
          <w:color w:val="000000" w:themeColor="text1"/>
          <w:sz w:val="28"/>
          <w:szCs w:val="28"/>
        </w:rPr>
        <w:t xml:space="preserve">    1.参加招标采购项目当事人需佩戴口罩凭健康码、行程码绿码进入招标采购现场。</w:t>
      </w:r>
    </w:p>
    <w:p>
      <w:pPr>
        <w:spacing w:line="800" w:lineRule="exact"/>
        <w:ind w:firstLine="560" w:firstLineChars="200"/>
        <w:rPr>
          <w:color w:val="000000" w:themeColor="text1"/>
          <w:sz w:val="28"/>
          <w:szCs w:val="28"/>
        </w:rPr>
      </w:pPr>
      <w:r>
        <w:rPr>
          <w:rFonts w:hint="eastAsia"/>
          <w:color w:val="000000" w:themeColor="text1"/>
          <w:sz w:val="28"/>
          <w:szCs w:val="28"/>
        </w:rPr>
        <w:t>2.对于健康码为绿码但行程卡带“*”的人员，需提供24小时内的核酸检测阴性报告并作书面承诺方可进入招投标现场；</w:t>
      </w:r>
    </w:p>
    <w:p>
      <w:pPr>
        <w:spacing w:line="800" w:lineRule="exact"/>
        <w:ind w:firstLine="560" w:firstLineChars="200"/>
        <w:rPr>
          <w:color w:val="000000" w:themeColor="text1"/>
          <w:sz w:val="28"/>
          <w:szCs w:val="28"/>
        </w:rPr>
      </w:pPr>
      <w:r>
        <w:rPr>
          <w:rFonts w:hint="eastAsia"/>
          <w:color w:val="000000" w:themeColor="text1"/>
          <w:sz w:val="28"/>
          <w:szCs w:val="28"/>
        </w:rPr>
        <w:t>3.健康码</w:t>
      </w:r>
      <w:r>
        <w:rPr>
          <w:color w:val="000000" w:themeColor="text1"/>
          <w:sz w:val="28"/>
          <w:szCs w:val="28"/>
        </w:rPr>
        <w:t>为黄</w:t>
      </w:r>
      <w:r>
        <w:rPr>
          <w:rFonts w:hint="eastAsia"/>
          <w:color w:val="000000" w:themeColor="text1"/>
          <w:sz w:val="28"/>
          <w:szCs w:val="28"/>
        </w:rPr>
        <w:t>码</w:t>
      </w:r>
      <w:r>
        <w:rPr>
          <w:color w:val="000000" w:themeColor="text1"/>
          <w:sz w:val="28"/>
          <w:szCs w:val="28"/>
        </w:rPr>
        <w:t>或红</w:t>
      </w:r>
      <w:r>
        <w:rPr>
          <w:rFonts w:hint="eastAsia"/>
          <w:color w:val="000000" w:themeColor="text1"/>
          <w:sz w:val="28"/>
          <w:szCs w:val="28"/>
        </w:rPr>
        <w:t>码</w:t>
      </w:r>
      <w:r>
        <w:rPr>
          <w:color w:val="000000" w:themeColor="text1"/>
          <w:sz w:val="28"/>
          <w:szCs w:val="28"/>
        </w:rPr>
        <w:t>、体温</w:t>
      </w:r>
      <w:r>
        <w:rPr>
          <w:rFonts w:hint="eastAsia"/>
          <w:color w:val="000000" w:themeColor="text1"/>
          <w:sz w:val="28"/>
          <w:szCs w:val="28"/>
        </w:rPr>
        <w:t>≥</w:t>
      </w:r>
      <w:r>
        <w:rPr>
          <w:color w:val="000000" w:themeColor="text1"/>
          <w:sz w:val="28"/>
          <w:szCs w:val="28"/>
        </w:rPr>
        <w:t>37.3</w:t>
      </w:r>
      <w:r>
        <w:rPr>
          <w:rFonts w:hint="eastAsia"/>
          <w:color w:val="000000" w:themeColor="text1"/>
          <w:sz w:val="28"/>
          <w:szCs w:val="28"/>
        </w:rPr>
        <w:t>℃</w:t>
      </w:r>
      <w:r>
        <w:rPr>
          <w:color w:val="000000" w:themeColor="text1"/>
          <w:sz w:val="28"/>
          <w:szCs w:val="28"/>
        </w:rPr>
        <w:t>的，严禁进场</w:t>
      </w:r>
      <w:r>
        <w:rPr>
          <w:rFonts w:hint="eastAsia"/>
          <w:color w:val="000000" w:themeColor="text1"/>
          <w:sz w:val="28"/>
          <w:szCs w:val="28"/>
        </w:rPr>
        <w:t>。</w:t>
      </w:r>
    </w:p>
    <w:p>
      <w:pPr>
        <w:spacing w:line="800" w:lineRule="exact"/>
        <w:ind w:firstLine="560" w:firstLineChars="200"/>
        <w:rPr>
          <w:color w:val="000000" w:themeColor="text1"/>
          <w:sz w:val="28"/>
          <w:szCs w:val="28"/>
        </w:rPr>
      </w:pPr>
      <w:r>
        <w:rPr>
          <w:rFonts w:hint="eastAsia"/>
          <w:color w:val="000000" w:themeColor="text1"/>
          <w:sz w:val="28"/>
          <w:szCs w:val="28"/>
        </w:rPr>
        <w:t>请各参加招投标活动人员按要求做好疫情防护工作，提前做好准备。最新疫情防控要求根据疫情防控指挥部有关通知精神进行动态调整。</w:t>
      </w:r>
    </w:p>
    <w:p>
      <w:pPr>
        <w:pStyle w:val="29"/>
        <w:ind w:firstLine="210"/>
        <w:rPr>
          <w:color w:val="000000" w:themeColor="text1"/>
        </w:rPr>
      </w:pPr>
    </w:p>
    <w:p>
      <w:pPr>
        <w:pStyle w:val="29"/>
        <w:ind w:firstLine="210"/>
        <w:rPr>
          <w:color w:val="000000" w:themeColor="text1"/>
        </w:rPr>
      </w:pPr>
    </w:p>
    <w:p>
      <w:pPr>
        <w:pStyle w:val="29"/>
        <w:ind w:firstLine="210"/>
        <w:rPr>
          <w:color w:val="000000" w:themeColor="text1"/>
        </w:rPr>
      </w:pPr>
    </w:p>
    <w:p>
      <w:pPr>
        <w:pStyle w:val="29"/>
        <w:ind w:firstLine="280"/>
        <w:jc w:val="right"/>
        <w:rPr>
          <w:color w:val="000000" w:themeColor="text1"/>
          <w:sz w:val="28"/>
          <w:szCs w:val="28"/>
        </w:rPr>
      </w:pPr>
      <w:r>
        <w:rPr>
          <w:rFonts w:hint="eastAsia"/>
          <w:color w:val="000000" w:themeColor="text1"/>
          <w:sz w:val="28"/>
          <w:szCs w:val="28"/>
        </w:rPr>
        <w:t>金华市政府采购中心</w:t>
      </w:r>
    </w:p>
    <w:p>
      <w:pPr>
        <w:pStyle w:val="29"/>
        <w:ind w:firstLine="210"/>
        <w:jc w:val="right"/>
        <w:rPr>
          <w:color w:val="000000" w:themeColor="text1"/>
        </w:rPr>
        <w:sectPr>
          <w:pgSz w:w="11906" w:h="16838"/>
          <w:pgMar w:top="1440" w:right="1800" w:bottom="1440" w:left="1800" w:header="851" w:footer="992" w:gutter="0"/>
          <w:pgNumType w:fmt="decimal"/>
          <w:cols w:space="720" w:num="1"/>
          <w:docGrid w:type="lines" w:linePitch="312" w:charSpace="0"/>
        </w:sectPr>
      </w:pPr>
    </w:p>
    <w:p>
      <w:pPr>
        <w:pStyle w:val="16"/>
        <w:spacing w:before="156" w:after="156" w:line="480" w:lineRule="auto"/>
        <w:jc w:val="center"/>
        <w:rPr>
          <w:rFonts w:hAnsi="宋体"/>
          <w:b/>
          <w:color w:val="000000" w:themeColor="text1"/>
          <w:sz w:val="36"/>
          <w:szCs w:val="36"/>
        </w:rPr>
      </w:pPr>
      <w:r>
        <w:rPr>
          <w:rFonts w:hint="eastAsia" w:hAnsi="宋体"/>
          <w:b/>
          <w:color w:val="000000" w:themeColor="text1"/>
          <w:sz w:val="36"/>
          <w:szCs w:val="36"/>
        </w:rPr>
        <w:t>目    录</w:t>
      </w:r>
    </w:p>
    <w:p>
      <w:pPr>
        <w:spacing w:before="156" w:beforeLines="50" w:line="480" w:lineRule="exact"/>
        <w:rPr>
          <w:rFonts w:ascii="宋体" w:hAnsi="宋体" w:eastAsia="仿宋_GB2312"/>
          <w:color w:val="000000" w:themeColor="text1"/>
          <w:sz w:val="30"/>
          <w:szCs w:val="30"/>
        </w:rPr>
      </w:pP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bookmarkStart w:id="0" w:name="_Hlk112339663"/>
      <w:r>
        <w:rPr>
          <w:rFonts w:hint="eastAsia" w:asciiTheme="minorEastAsia" w:hAnsiTheme="minorEastAsia" w:eastAsiaTheme="minorEastAsia"/>
          <w:b/>
          <w:bCs/>
          <w:color w:val="000000" w:themeColor="text1"/>
          <w:sz w:val="30"/>
          <w:szCs w:val="30"/>
        </w:rPr>
        <w:t xml:space="preserve"> 公开</w:t>
      </w:r>
      <w:r>
        <w:rPr>
          <w:rFonts w:asciiTheme="minorEastAsia" w:hAnsiTheme="minorEastAsia" w:eastAsiaTheme="minorEastAsia"/>
          <w:b/>
          <w:bCs/>
          <w:color w:val="000000" w:themeColor="text1"/>
          <w:sz w:val="30"/>
          <w:szCs w:val="30"/>
        </w:rPr>
        <w:t>招标采购公告</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招标</w:t>
      </w:r>
      <w:r>
        <w:rPr>
          <w:rFonts w:asciiTheme="minorEastAsia" w:hAnsiTheme="minorEastAsia" w:eastAsiaTheme="minorEastAsia"/>
          <w:b/>
          <w:bCs/>
          <w:color w:val="000000" w:themeColor="text1"/>
          <w:sz w:val="30"/>
          <w:szCs w:val="30"/>
        </w:rPr>
        <w:t>需求</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投标人</w:t>
      </w:r>
      <w:r>
        <w:rPr>
          <w:rFonts w:asciiTheme="minorEastAsia" w:hAnsiTheme="minorEastAsia" w:eastAsiaTheme="minorEastAsia"/>
          <w:b/>
          <w:bCs/>
          <w:color w:val="000000" w:themeColor="text1"/>
          <w:sz w:val="30"/>
          <w:szCs w:val="30"/>
        </w:rPr>
        <w:t>须知</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政府采购政策功能相关说明</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评标定标办法</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asciiTheme="minorEastAsia" w:hAnsiTheme="minorEastAsia" w:eastAsiaTheme="minorEastAsia"/>
          <w:b/>
          <w:bCs/>
          <w:color w:val="000000" w:themeColor="text1"/>
          <w:sz w:val="30"/>
          <w:szCs w:val="30"/>
        </w:rPr>
        <w:t xml:space="preserve"> </w:t>
      </w:r>
      <w:r>
        <w:rPr>
          <w:rFonts w:hint="eastAsia" w:asciiTheme="minorEastAsia" w:hAnsiTheme="minorEastAsia" w:eastAsiaTheme="minorEastAsia"/>
          <w:b/>
          <w:bCs/>
          <w:color w:val="000000" w:themeColor="text1"/>
          <w:sz w:val="30"/>
          <w:szCs w:val="30"/>
        </w:rPr>
        <w:t>政府采购合同主要条款</w:t>
      </w:r>
    </w:p>
    <w:p>
      <w:pPr>
        <w:numPr>
          <w:ilvl w:val="0"/>
          <w:numId w:val="2"/>
        </w:numPr>
        <w:spacing w:before="156" w:beforeLines="50" w:line="480" w:lineRule="exact"/>
        <w:rPr>
          <w:rFonts w:asciiTheme="minorEastAsia" w:hAnsiTheme="minorEastAsia" w:eastAsiaTheme="minorEastAsia"/>
          <w:b/>
          <w:bCs/>
          <w:color w:val="000000" w:themeColor="text1"/>
          <w:sz w:val="30"/>
          <w:szCs w:val="30"/>
        </w:rPr>
      </w:pPr>
      <w:r>
        <w:rPr>
          <w:rFonts w:hint="eastAsia" w:asciiTheme="minorEastAsia" w:hAnsiTheme="minorEastAsia" w:eastAsiaTheme="minorEastAsia"/>
          <w:b/>
          <w:bCs/>
          <w:color w:val="000000" w:themeColor="text1"/>
          <w:sz w:val="30"/>
          <w:szCs w:val="30"/>
        </w:rPr>
        <w:t xml:space="preserve"> 投标文件格式</w:t>
      </w:r>
    </w:p>
    <w:bookmarkEnd w:id="0"/>
    <w:p>
      <w:pPr>
        <w:rPr>
          <w:color w:val="000000" w:themeColor="text1"/>
        </w:rPr>
      </w:pPr>
      <w:r>
        <w:rPr>
          <w:rFonts w:hint="eastAsia"/>
          <w:color w:val="000000" w:themeColor="text1"/>
        </w:rPr>
        <w:t xml:space="preserve">  </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jc w:val="left"/>
        <w:rPr>
          <w:b/>
          <w:color w:val="000000" w:themeColor="text1"/>
        </w:rPr>
      </w:pPr>
      <w:bookmarkStart w:id="1" w:name="_Hlk112339672"/>
      <w:r>
        <w:rPr>
          <w:rFonts w:hint="eastAsia"/>
          <w:b/>
          <w:color w:val="000000" w:themeColor="text1"/>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rPr>
          <w:b/>
          <w:color w:val="000000" w:themeColor="text1"/>
        </w:rPr>
      </w:pPr>
      <w:r>
        <w:rPr>
          <w:rFonts w:hint="eastAsia"/>
          <w:b/>
          <w:color w:val="000000" w:themeColor="text1"/>
        </w:rPr>
        <w:t>举报电话：</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rPr>
          <w:b/>
          <w:color w:val="000000" w:themeColor="text1"/>
        </w:rPr>
      </w:pPr>
      <w:r>
        <w:rPr>
          <w:rFonts w:hint="eastAsia"/>
          <w:b/>
          <w:color w:val="000000" w:themeColor="text1"/>
        </w:rPr>
        <w:t>市扫黑办  0579-82495227</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rPr>
          <w:b/>
          <w:color w:val="000000" w:themeColor="text1"/>
        </w:rPr>
      </w:pPr>
      <w:r>
        <w:rPr>
          <w:rFonts w:hint="eastAsia"/>
          <w:b/>
          <w:color w:val="000000" w:themeColor="text1"/>
        </w:rPr>
        <w:t>市公安局  110、0579-82512110</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rPr>
          <w:b/>
          <w:color w:val="000000" w:themeColor="text1"/>
        </w:rPr>
      </w:pPr>
      <w:r>
        <w:rPr>
          <w:rFonts w:hint="eastAsia"/>
          <w:b/>
          <w:color w:val="000000" w:themeColor="text1"/>
        </w:rPr>
        <w:t>市检察院  0579-82537082</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rPr>
          <w:b/>
          <w:color w:val="000000" w:themeColor="text1"/>
        </w:rPr>
      </w:pPr>
      <w:r>
        <w:rPr>
          <w:rFonts w:hint="eastAsia"/>
          <w:b/>
          <w:color w:val="000000" w:themeColor="text1"/>
        </w:rPr>
        <w:t>市 法 院  0579-82688725</w:t>
      </w:r>
    </w:p>
    <w:p>
      <w:pPr>
        <w:pStyle w:val="16"/>
        <w:pBdr>
          <w:top w:val="single" w:color="auto" w:sz="4" w:space="1"/>
          <w:left w:val="single" w:color="auto" w:sz="4" w:space="4"/>
          <w:bottom w:val="single" w:color="auto" w:sz="4" w:space="1"/>
          <w:right w:val="single" w:color="auto" w:sz="4" w:space="4"/>
        </w:pBdr>
        <w:snapToGrid w:val="0"/>
        <w:spacing w:before="156" w:after="156"/>
        <w:ind w:firstLine="481" w:firstLineChars="200"/>
        <w:rPr>
          <w:b/>
          <w:color w:val="000000" w:themeColor="text1"/>
        </w:rPr>
      </w:pPr>
      <w:r>
        <w:rPr>
          <w:rFonts w:hint="eastAsia"/>
          <w:b/>
          <w:color w:val="000000" w:themeColor="text1"/>
        </w:rPr>
        <w:t>市公共资源交易管理办公室  0579-82469285</w:t>
      </w:r>
    </w:p>
    <w:bookmarkEnd w:id="1"/>
    <w:p>
      <w:pPr>
        <w:pStyle w:val="30"/>
        <w:rPr>
          <w:color w:val="000000" w:themeColor="text1"/>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16"/>
        <w:spacing w:before="120" w:after="120" w:line="360" w:lineRule="auto"/>
        <w:jc w:val="center"/>
        <w:outlineLvl w:val="0"/>
        <w:rPr>
          <w:rFonts w:hAnsi="宋体"/>
          <w:b/>
          <w:color w:val="000000" w:themeColor="text1"/>
          <w:sz w:val="36"/>
          <w:szCs w:val="36"/>
        </w:rPr>
      </w:pPr>
      <w:bookmarkStart w:id="2" w:name="_Toc439237127"/>
      <w:r>
        <w:rPr>
          <w:rFonts w:hint="eastAsia" w:hAnsi="宋体"/>
          <w:b/>
          <w:color w:val="000000" w:themeColor="text1"/>
          <w:sz w:val="36"/>
          <w:szCs w:val="36"/>
        </w:rPr>
        <w:t>第一章  公开招标采购公告</w:t>
      </w:r>
      <w:bookmarkEnd w:id="2"/>
    </w:p>
    <w:p>
      <w:pPr>
        <w:pStyle w:val="58"/>
        <w:ind w:firstLine="480"/>
        <w:rPr>
          <w:color w:val="000000" w:themeColor="text1"/>
        </w:rPr>
      </w:pPr>
      <w:bookmarkStart w:id="3" w:name="_Hlk112336444"/>
      <w:r>
        <w:rPr>
          <w:rFonts w:hint="eastAsia"/>
          <w:color w:val="000000" w:themeColor="text1"/>
        </w:rPr>
        <w:t>根据《中华人民共和国政府采购法》、《中华人民共和国政府采购实施条例》、《政府采购货物和服务招标投标管理办法》（注：基建工程、经批准采购进口机电产品的项目，应注明相关法律依据）等规定，经财政局批准，现就该</w:t>
      </w:r>
      <w:r>
        <w:rPr>
          <w:color w:val="000000" w:themeColor="text1"/>
        </w:rPr>
        <w:t>项目进行公开招标采购，</w:t>
      </w:r>
      <w:r>
        <w:rPr>
          <w:rFonts w:hint="eastAsia"/>
          <w:color w:val="000000" w:themeColor="text1"/>
        </w:rPr>
        <w:t>欢迎提供本国货物、服务的生产制造厂商或其合格代理商前来投标：</w:t>
      </w:r>
    </w:p>
    <w:bookmarkEnd w:id="3"/>
    <w:p>
      <w:pPr>
        <w:snapToGrid w:val="0"/>
        <w:spacing w:line="460" w:lineRule="exact"/>
        <w:rPr>
          <w:rFonts w:asciiTheme="minorEastAsia" w:hAnsiTheme="minorEastAsia" w:eastAsiaTheme="minorEastAsia" w:cstheme="minorEastAsia"/>
          <w:b/>
          <w:bCs/>
          <w:color w:val="000000" w:themeColor="text1"/>
          <w:sz w:val="24"/>
          <w:szCs w:val="24"/>
        </w:rPr>
      </w:pPr>
      <w:bookmarkStart w:id="4" w:name="_Hlk112339725"/>
      <w:r>
        <w:rPr>
          <w:rFonts w:hint="eastAsia" w:asciiTheme="minorEastAsia" w:hAnsiTheme="minorEastAsia" w:eastAsiaTheme="minorEastAsia" w:cstheme="minorEastAsia"/>
          <w:b/>
          <w:bCs/>
          <w:color w:val="000000" w:themeColor="text1"/>
          <w:sz w:val="24"/>
          <w:szCs w:val="24"/>
        </w:rPr>
        <w:t>一、项目编号：JHCG2022G-034</w:t>
      </w:r>
    </w:p>
    <w:p>
      <w:pPr>
        <w:snapToGrid w:val="0"/>
        <w:spacing w:line="46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二</w:t>
      </w:r>
      <w:r>
        <w:rPr>
          <w:rFonts w:asciiTheme="minorEastAsia" w:hAnsiTheme="minorEastAsia" w:eastAsiaTheme="minorEastAsia" w:cstheme="minorEastAsia"/>
          <w:b/>
          <w:bCs/>
          <w:color w:val="000000" w:themeColor="text1"/>
          <w:sz w:val="24"/>
          <w:szCs w:val="24"/>
        </w:rPr>
        <w:t>、采购组织类型：政府集中采购</w:t>
      </w:r>
    </w:p>
    <w:p>
      <w:pPr>
        <w:snapToGrid w:val="0"/>
        <w:spacing w:line="46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三、采购内容及数量</w:t>
      </w:r>
    </w:p>
    <w:bookmarkEnd w:id="4"/>
    <w:tbl>
      <w:tblPr>
        <w:tblStyle w:val="31"/>
        <w:tblW w:w="9281"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895"/>
        <w:gridCol w:w="825"/>
        <w:gridCol w:w="1178"/>
        <w:gridCol w:w="1357"/>
        <w:gridCol w:w="2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预算</w:t>
            </w:r>
          </w:p>
          <w:p>
            <w:pPr>
              <w:widowControl/>
              <w:snapToGrid w:val="0"/>
              <w:spacing w:line="4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（万元）</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**训练基地科技信息化项目（**教学信息化）</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批</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686.9695</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金华市公安局</w:t>
            </w:r>
          </w:p>
        </w:tc>
      </w:tr>
    </w:tbl>
    <w:p>
      <w:pPr>
        <w:snapToGrid w:val="0"/>
        <w:spacing w:line="460" w:lineRule="exac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四、投标供应商资格要求</w:t>
      </w:r>
    </w:p>
    <w:p>
      <w:pPr>
        <w:pStyle w:val="40"/>
        <w:widowControl w:val="0"/>
        <w:spacing w:afterLines="0" w:line="460" w:lineRule="exact"/>
        <w:ind w:firstLine="480"/>
        <w:rPr>
          <w:rFonts w:ascii="宋体" w:hAnsi="宋体" w:cs="Arial"/>
          <w:bCs/>
          <w:color w:val="000000" w:themeColor="text1"/>
          <w:kern w:val="2"/>
          <w:szCs w:val="24"/>
        </w:rPr>
      </w:pPr>
      <w:r>
        <w:rPr>
          <w:rFonts w:hint="eastAsia" w:ascii="宋体" w:hAnsi="宋体" w:cs="Arial"/>
          <w:bCs/>
          <w:color w:val="000000" w:themeColor="text1"/>
          <w:kern w:val="2"/>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0"/>
        <w:widowControl w:val="0"/>
        <w:spacing w:afterLines="0" w:line="460" w:lineRule="exact"/>
        <w:ind w:firstLine="480"/>
        <w:rPr>
          <w:rFonts w:ascii="宋体" w:hAnsi="宋体" w:cs="Arial"/>
          <w:bCs/>
          <w:color w:val="000000" w:themeColor="text1"/>
          <w:kern w:val="2"/>
          <w:szCs w:val="24"/>
        </w:rPr>
      </w:pPr>
      <w:r>
        <w:rPr>
          <w:rFonts w:hint="eastAsia" w:ascii="宋体" w:hAnsi="宋体" w:cs="Arial"/>
          <w:bCs/>
          <w:color w:val="000000" w:themeColor="text1"/>
          <w:kern w:val="2"/>
          <w:szCs w:val="24"/>
        </w:rPr>
        <w:t xml:space="preserve">2.落实政府采购政策需满足的资格要求： </w:t>
      </w:r>
    </w:p>
    <w:p>
      <w:pPr>
        <w:spacing w:line="360" w:lineRule="exact"/>
        <w:ind w:firstLine="480" w:firstLineChars="200"/>
        <w:rPr>
          <w:rFonts w:ascii="宋体" w:hAnsi="宋体" w:cs="Arial"/>
          <w:bCs/>
          <w:color w:val="000000" w:themeColor="text1"/>
          <w:sz w:val="24"/>
          <w:szCs w:val="24"/>
        </w:rPr>
      </w:pPr>
      <w:bookmarkStart w:id="5" w:name="_Hlk112336534"/>
      <w:bookmarkStart w:id="6" w:name="_Hlk112339798"/>
      <w:r>
        <w:rPr>
          <w:rFonts w:ascii="Segoe UI Symbol" w:hAnsi="Segoe UI Symbol" w:cs="Segoe UI Symbol"/>
          <w:bCs/>
          <w:color w:val="000000" w:themeColor="text1"/>
          <w:sz w:val="24"/>
          <w:szCs w:val="24"/>
        </w:rPr>
        <w:t>☑</w:t>
      </w:r>
      <w:r>
        <w:rPr>
          <w:rFonts w:hint="eastAsia" w:ascii="宋体" w:hAnsi="宋体" w:cs="Arial"/>
          <w:bCs/>
          <w:color w:val="000000" w:themeColor="text1"/>
          <w:sz w:val="24"/>
          <w:szCs w:val="24"/>
        </w:rPr>
        <w:t>无；</w:t>
      </w:r>
    </w:p>
    <w:bookmarkEnd w:id="5"/>
    <w:p>
      <w:pPr>
        <w:spacing w:line="360" w:lineRule="exact"/>
        <w:ind w:firstLine="480" w:firstLineChars="200"/>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s="Arial"/>
          <w:color w:val="000000" w:themeColor="text1"/>
          <w:kern w:val="0"/>
          <w:sz w:val="24"/>
        </w:rPr>
        <w:t>专</w:t>
      </w:r>
      <w:r>
        <w:rPr>
          <w:rFonts w:hint="eastAsia" w:ascii="宋体" w:hAnsi="宋体"/>
          <w:color w:val="000000" w:themeColor="text1"/>
          <w:sz w:val="24"/>
        </w:rPr>
        <w:t>门面向中小企业</w:t>
      </w:r>
    </w:p>
    <w:p>
      <w:pPr>
        <w:spacing w:line="360" w:lineRule="exact"/>
        <w:ind w:firstLine="897" w:firstLineChars="374"/>
        <w:jc w:val="left"/>
        <w:rPr>
          <w:rFonts w:ascii="宋体" w:hAnsi="宋体"/>
          <w:color w:val="000000" w:themeColor="text1"/>
          <w:sz w:val="24"/>
          <w:u w:val="single"/>
        </w:rPr>
      </w:pPr>
      <w:r>
        <w:rPr>
          <w:rFonts w:ascii="Segoe UI Symbol" w:hAnsi="Segoe UI Symbol" w:cs="Segoe UI Symbol"/>
          <w:color w:val="000000" w:themeColor="text1"/>
          <w:kern w:val="0"/>
          <w:sz w:val="24"/>
        </w:rPr>
        <w:t>☐</w:t>
      </w:r>
      <w:r>
        <w:rPr>
          <w:rFonts w:hint="eastAsia" w:ascii="宋体" w:hAnsi="宋体"/>
          <w:color w:val="000000" w:themeColor="text1"/>
          <w:sz w:val="24"/>
        </w:rPr>
        <w:t>货物全部由符合政策要求的中小企业制造，提供中小企业声明函；</w:t>
      </w:r>
    </w:p>
    <w:p>
      <w:pPr>
        <w:spacing w:line="360" w:lineRule="exact"/>
        <w:ind w:firstLine="897" w:firstLineChars="374"/>
        <w:jc w:val="left"/>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olor w:val="000000" w:themeColor="text1"/>
          <w:sz w:val="24"/>
        </w:rPr>
        <w:t>货物全部由符合政策要求的小微企业制造，提供中小企业声明函；</w:t>
      </w:r>
    </w:p>
    <w:p>
      <w:pPr>
        <w:spacing w:line="360" w:lineRule="exact"/>
        <w:ind w:firstLine="897" w:firstLineChars="374"/>
        <w:jc w:val="left"/>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olor w:val="000000" w:themeColor="text1"/>
          <w:sz w:val="24"/>
        </w:rPr>
        <w:t>服务全部由符合政策要求的中小企业承接，提供中小企业声明函；</w:t>
      </w:r>
    </w:p>
    <w:p>
      <w:pPr>
        <w:spacing w:line="360" w:lineRule="exact"/>
        <w:ind w:firstLine="897" w:firstLineChars="374"/>
        <w:jc w:val="left"/>
        <w:rPr>
          <w:rFonts w:ascii="宋体" w:hAnsi="宋体"/>
          <w:color w:val="000000" w:themeColor="text1"/>
          <w:sz w:val="24"/>
        </w:rPr>
      </w:pPr>
      <w:r>
        <w:rPr>
          <w:rFonts w:ascii="Segoe UI Symbol" w:hAnsi="Segoe UI Symbol" w:cs="Segoe UI Symbol"/>
          <w:color w:val="000000" w:themeColor="text1"/>
          <w:kern w:val="0"/>
          <w:sz w:val="24"/>
        </w:rPr>
        <w:t>☐</w:t>
      </w:r>
      <w:r>
        <w:rPr>
          <w:rFonts w:hint="eastAsia" w:ascii="宋体" w:hAnsi="宋体"/>
          <w:color w:val="000000" w:themeColor="text1"/>
          <w:sz w:val="24"/>
        </w:rPr>
        <w:t>服务全部由符合政策要求的小微企业承接，提供中小企业声明函；</w:t>
      </w:r>
    </w:p>
    <w:p>
      <w:pPr>
        <w:spacing w:line="360" w:lineRule="exact"/>
        <w:ind w:firstLine="897" w:firstLineChars="374"/>
        <w:jc w:val="left"/>
        <w:rPr>
          <w:rFonts w:ascii="宋体" w:hAnsi="宋体"/>
          <w:color w:val="000000" w:themeColor="text1"/>
          <w:sz w:val="24"/>
        </w:rPr>
      </w:pPr>
      <w:bookmarkStart w:id="7" w:name="_Hlk112336530"/>
      <w:r>
        <w:rPr>
          <w:rFonts w:ascii="Segoe UI Symbol" w:hAnsi="Segoe UI Symbol" w:cs="Segoe UI Symbol"/>
          <w:color w:val="000000" w:themeColor="text1"/>
          <w:kern w:val="0"/>
          <w:sz w:val="24"/>
        </w:rPr>
        <w:t>☐</w:t>
      </w:r>
      <w:bookmarkEnd w:id="7"/>
      <w:r>
        <w:rPr>
          <w:rFonts w:hint="eastAsia" w:ascii="宋体" w:hAnsi="宋体"/>
          <w:color w:val="000000" w:themeColor="text1"/>
          <w:sz w:val="24"/>
        </w:rPr>
        <w:t>工程全部由符合政策要求的中小企业承接，提供中小企业声明函；</w:t>
      </w:r>
    </w:p>
    <w:p>
      <w:pPr>
        <w:spacing w:line="360" w:lineRule="exact"/>
        <w:ind w:firstLine="897" w:firstLineChars="374"/>
        <w:jc w:val="left"/>
        <w:rPr>
          <w:rFonts w:ascii="宋体" w:hAnsi="宋体"/>
          <w:color w:val="000000" w:themeColor="text1"/>
        </w:rPr>
      </w:pPr>
      <w:r>
        <w:rPr>
          <w:rFonts w:ascii="Segoe UI Symbol" w:hAnsi="Segoe UI Symbol" w:cs="Segoe UI Symbol"/>
          <w:color w:val="000000" w:themeColor="text1"/>
          <w:kern w:val="0"/>
          <w:sz w:val="24"/>
        </w:rPr>
        <w:t>☐</w:t>
      </w:r>
      <w:r>
        <w:rPr>
          <w:rFonts w:hint="eastAsia" w:ascii="宋体" w:hAnsi="宋体"/>
          <w:color w:val="000000" w:themeColor="text1"/>
          <w:sz w:val="24"/>
        </w:rPr>
        <w:t>工程全部由符合政策要求的小微企业承接，提供中小企业声明函；</w:t>
      </w:r>
    </w:p>
    <w:p>
      <w:pPr>
        <w:pStyle w:val="30"/>
        <w:ind w:left="0" w:leftChars="0" w:firstLine="240" w:firstLineChars="100"/>
        <w:rPr>
          <w:rFonts w:ascii="宋体" w:hAnsi="宋体" w:cs="宋体"/>
          <w:bCs/>
          <w:color w:val="000000" w:themeColor="text1"/>
          <w:sz w:val="24"/>
          <w:szCs w:val="24"/>
        </w:rPr>
      </w:pPr>
      <w:r>
        <w:rPr>
          <w:rFonts w:hint="eastAsia" w:ascii="宋体" w:hAnsi="宋体" w:cs="宋体"/>
          <w:bCs/>
          <w:color w:val="000000" w:themeColor="text1"/>
          <w:sz w:val="24"/>
          <w:szCs w:val="24"/>
        </w:rPr>
        <w:t>3.本项目的特定资格要求：无</w:t>
      </w:r>
    </w:p>
    <w:bookmarkEnd w:id="6"/>
    <w:p>
      <w:pPr>
        <w:widowControl/>
        <w:snapToGrid w:val="0"/>
        <w:spacing w:line="4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五、获取招标文件</w:t>
      </w:r>
    </w:p>
    <w:p>
      <w:pPr>
        <w:pStyle w:val="9"/>
        <w:spacing w:line="460" w:lineRule="exact"/>
        <w:ind w:firstLine="480"/>
        <w:rPr>
          <w:rFonts w:ascii="宋体" w:cs="宋体"/>
          <w:bCs/>
          <w:color w:val="000000" w:themeColor="text1"/>
          <w:sz w:val="24"/>
          <w:szCs w:val="24"/>
        </w:rPr>
      </w:pPr>
      <w:bookmarkStart w:id="8" w:name="B18_招标文件发售起始日期"/>
      <w:bookmarkEnd w:id="8"/>
      <w:r>
        <w:rPr>
          <w:rFonts w:hint="eastAsia" w:ascii="宋体" w:cs="宋体"/>
          <w:bCs/>
          <w:color w:val="000000" w:themeColor="text1"/>
          <w:sz w:val="24"/>
          <w:szCs w:val="24"/>
        </w:rPr>
        <w:t>1、本项目招标文件实行“政府采购云平台”（https://zfcg.czt.zj.gov.cn/）在线获取，不提供招标文件纸质版。供应商获取招标文件前应先完成“政府采购云平台”的账号注册；</w:t>
      </w:r>
    </w:p>
    <w:p>
      <w:pPr>
        <w:pStyle w:val="9"/>
        <w:spacing w:line="460" w:lineRule="exact"/>
        <w:ind w:firstLine="480"/>
        <w:rPr>
          <w:rFonts w:ascii="宋体" w:cs="宋体"/>
          <w:bCs/>
          <w:color w:val="000000" w:themeColor="text1"/>
          <w:sz w:val="24"/>
          <w:szCs w:val="24"/>
        </w:rPr>
      </w:pPr>
      <w:r>
        <w:rPr>
          <w:rFonts w:hint="eastAsia" w:ascii="宋体" w:cs="宋体"/>
          <w:bCs/>
          <w:color w:val="000000" w:themeColor="text1"/>
          <w:sz w:val="24"/>
          <w:szCs w:val="24"/>
        </w:rPr>
        <w:t>2、地点：政采云平台（https://zfcg.czt.zj.gov.cn/）；</w:t>
      </w:r>
    </w:p>
    <w:p>
      <w:pPr>
        <w:pStyle w:val="30"/>
        <w:ind w:left="0" w:leftChars="0" w:firstLine="480"/>
        <w:rPr>
          <w:rFonts w:ascii="宋体" w:cs="宋体"/>
          <w:bCs/>
          <w:color w:val="000000" w:themeColor="text1"/>
          <w:sz w:val="24"/>
          <w:szCs w:val="24"/>
        </w:rPr>
      </w:pPr>
      <w:r>
        <w:rPr>
          <w:rFonts w:hint="eastAsia" w:ascii="宋体" w:cs="宋体"/>
          <w:bCs/>
          <w:color w:val="000000" w:themeColor="text1"/>
          <w:sz w:val="24"/>
          <w:szCs w:val="24"/>
        </w:rPr>
        <w:t>3、方式：潜在供应商登陆政采云平台，在线申请获取招标文件（进入“项目采购”，在获取招标文件菜单中选择项目，申请获取招标文件，</w:t>
      </w:r>
      <w:r>
        <w:rPr>
          <w:rFonts w:ascii="宋体" w:cs="宋体"/>
          <w:bCs/>
          <w:color w:val="000000" w:themeColor="text1"/>
          <w:sz w:val="24"/>
          <w:szCs w:val="24"/>
        </w:rPr>
        <w:t>填写获取采购文件的申请信息，提交后点击【下载采购文件】即可获取</w:t>
      </w:r>
      <w:r>
        <w:rPr>
          <w:rFonts w:hint="eastAsia" w:ascii="宋体" w:cs="宋体"/>
          <w:bCs/>
          <w:color w:val="000000" w:themeColor="text1"/>
          <w:sz w:val="24"/>
          <w:szCs w:val="24"/>
        </w:rPr>
        <w:t>招标</w:t>
      </w:r>
      <w:r>
        <w:rPr>
          <w:rFonts w:ascii="宋体" w:cs="宋体"/>
          <w:bCs/>
          <w:color w:val="000000" w:themeColor="text1"/>
          <w:sz w:val="24"/>
          <w:szCs w:val="24"/>
        </w:rPr>
        <w:t>文件</w:t>
      </w:r>
      <w:r>
        <w:rPr>
          <w:rFonts w:hint="eastAsia" w:ascii="宋体" w:cs="宋体"/>
          <w:bCs/>
          <w:color w:val="000000" w:themeColor="text1"/>
          <w:sz w:val="24"/>
          <w:szCs w:val="24"/>
        </w:rPr>
        <w:t>，本项目招标文件不收取工本费。仅需浏览招标文件的供应商可点击“游客，浏览招标文件”直接下载招标文件浏览。</w:t>
      </w:r>
    </w:p>
    <w:p>
      <w:pPr>
        <w:pStyle w:val="30"/>
        <w:ind w:left="0" w:leftChars="0" w:firstLine="480"/>
        <w:rPr>
          <w:rFonts w:ascii="宋体" w:cs="宋体"/>
          <w:color w:val="000000" w:themeColor="text1"/>
          <w:sz w:val="24"/>
          <w:szCs w:val="24"/>
        </w:rPr>
      </w:pPr>
      <w:r>
        <w:rPr>
          <w:rFonts w:hint="eastAsia" w:ascii="宋体" w:cs="宋体"/>
          <w:color w:val="000000" w:themeColor="text1"/>
          <w:sz w:val="24"/>
          <w:szCs w:val="24"/>
        </w:rPr>
        <w:t>4、供应商获取招标文件时须提交的文件资料：无</w:t>
      </w:r>
    </w:p>
    <w:p>
      <w:pPr>
        <w:pStyle w:val="9"/>
        <w:spacing w:line="460" w:lineRule="exact"/>
        <w:ind w:firstLine="480"/>
        <w:rPr>
          <w:rFonts w:ascii="宋体" w:cs="宋体"/>
          <w:bCs/>
          <w:color w:val="000000" w:themeColor="text1"/>
          <w:sz w:val="24"/>
          <w:szCs w:val="24"/>
        </w:rPr>
      </w:pPr>
      <w:r>
        <w:rPr>
          <w:rFonts w:hint="eastAsia" w:ascii="宋体" w:cs="宋体"/>
          <w:bCs/>
          <w:color w:val="000000" w:themeColor="text1"/>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60" w:lineRule="exact"/>
        <w:jc w:val="left"/>
        <w:rPr>
          <w:rFonts w:ascii="宋体" w:cs="宋体"/>
          <w:bCs/>
          <w:color w:val="000000" w:themeColor="text1"/>
          <w:sz w:val="24"/>
          <w:szCs w:val="24"/>
        </w:rPr>
      </w:pPr>
      <w:r>
        <w:rPr>
          <w:rFonts w:hint="eastAsia" w:ascii="宋体" w:cs="宋体"/>
          <w:bCs/>
          <w:color w:val="000000" w:themeColor="text1"/>
          <w:sz w:val="24"/>
          <w:szCs w:val="24"/>
        </w:rPr>
        <w:t>注：请供应商按上述要求获取招标文件，如未在“政采云”系统内完成相关流程，引起的投标无效责任自负。</w:t>
      </w:r>
    </w:p>
    <w:p>
      <w:pPr>
        <w:widowControl/>
        <w:snapToGrid w:val="0"/>
        <w:spacing w:line="460" w:lineRule="exact"/>
        <w:jc w:val="left"/>
        <w:rPr>
          <w:rFonts w:ascii="宋体"/>
          <w:color w:val="000000" w:themeColor="text1"/>
          <w:sz w:val="22"/>
        </w:rPr>
      </w:pPr>
      <w:r>
        <w:rPr>
          <w:rFonts w:hint="eastAsia" w:ascii="宋体"/>
          <w:b/>
          <w:bCs/>
          <w:color w:val="000000" w:themeColor="text1"/>
          <w:sz w:val="24"/>
          <w:szCs w:val="24"/>
        </w:rPr>
        <w:t>六</w:t>
      </w:r>
      <w:r>
        <w:rPr>
          <w:rFonts w:ascii="宋体"/>
          <w:b/>
          <w:bCs/>
          <w:color w:val="000000" w:themeColor="text1"/>
          <w:sz w:val="24"/>
          <w:szCs w:val="24"/>
        </w:rPr>
        <w:t>、</w:t>
      </w:r>
      <w:r>
        <w:rPr>
          <w:rFonts w:hint="eastAsia" w:ascii="宋体"/>
          <w:b/>
          <w:bCs/>
          <w:color w:val="000000" w:themeColor="text1"/>
          <w:sz w:val="24"/>
          <w:szCs w:val="24"/>
        </w:rPr>
        <w:t>提交投标文件截止时间：</w:t>
      </w:r>
      <w:r>
        <w:rPr>
          <w:rFonts w:ascii="宋体"/>
          <w:color w:val="000000" w:themeColor="text1"/>
          <w:sz w:val="22"/>
        </w:rPr>
        <w:t>：</w:t>
      </w:r>
      <w:bookmarkStart w:id="9" w:name="B25_投标截止时间"/>
      <w:r>
        <w:rPr>
          <w:rFonts w:hint="eastAsia" w:ascii="宋体"/>
          <w:color w:val="000000" w:themeColor="text1"/>
          <w:sz w:val="22"/>
        </w:rPr>
        <w:t>2022-</w:t>
      </w:r>
      <w:r>
        <w:rPr>
          <w:rFonts w:hint="eastAsia" w:ascii="宋体"/>
          <w:color w:val="000000" w:themeColor="text1"/>
          <w:sz w:val="22"/>
          <w:lang w:val="en-US" w:eastAsia="zh-CN"/>
        </w:rPr>
        <w:t>09</w:t>
      </w:r>
      <w:r>
        <w:rPr>
          <w:rFonts w:hint="eastAsia" w:ascii="宋体"/>
          <w:color w:val="000000" w:themeColor="text1"/>
          <w:sz w:val="22"/>
        </w:rPr>
        <w:t>-</w:t>
      </w:r>
      <w:r>
        <w:rPr>
          <w:rFonts w:hint="eastAsia" w:ascii="宋体"/>
          <w:color w:val="000000" w:themeColor="text1"/>
          <w:sz w:val="22"/>
          <w:lang w:val="en-US" w:eastAsia="zh-CN"/>
        </w:rPr>
        <w:t>22</w:t>
      </w:r>
      <w:r>
        <w:rPr>
          <w:rFonts w:hint="eastAsia" w:ascii="宋体"/>
          <w:color w:val="000000" w:themeColor="text1"/>
          <w:sz w:val="22"/>
        </w:rPr>
        <w:t xml:space="preserve">    </w:t>
      </w:r>
      <w:r>
        <w:rPr>
          <w:rFonts w:ascii="宋体"/>
          <w:color w:val="000000" w:themeColor="text1"/>
          <w:sz w:val="22"/>
        </w:rPr>
        <w:t>上午</w:t>
      </w:r>
      <w:bookmarkEnd w:id="9"/>
      <w:r>
        <w:rPr>
          <w:rFonts w:hint="eastAsia" w:ascii="宋体"/>
          <w:color w:val="000000" w:themeColor="text1"/>
          <w:sz w:val="22"/>
        </w:rPr>
        <w:t>9:30</w:t>
      </w:r>
    </w:p>
    <w:p>
      <w:pPr>
        <w:widowControl/>
        <w:snapToGrid w:val="0"/>
        <w:spacing w:line="460" w:lineRule="exact"/>
        <w:jc w:val="left"/>
        <w:rPr>
          <w:rFonts w:ascii="宋体" w:hAnsi="宋体"/>
          <w:color w:val="000000" w:themeColor="text1"/>
          <w:sz w:val="24"/>
          <w:szCs w:val="24"/>
        </w:rPr>
      </w:pPr>
      <w:r>
        <w:rPr>
          <w:rFonts w:hint="eastAsia" w:ascii="宋体" w:hAnsi="宋体"/>
          <w:b/>
          <w:bCs/>
          <w:color w:val="000000" w:themeColor="text1"/>
          <w:sz w:val="24"/>
          <w:szCs w:val="24"/>
        </w:rPr>
        <w:t>七</w:t>
      </w:r>
      <w:r>
        <w:rPr>
          <w:rFonts w:ascii="宋体" w:hAnsi="宋体"/>
          <w:b/>
          <w:bCs/>
          <w:color w:val="000000" w:themeColor="text1"/>
          <w:sz w:val="24"/>
          <w:szCs w:val="24"/>
        </w:rPr>
        <w:t>、投标地点</w:t>
      </w:r>
      <w:r>
        <w:rPr>
          <w:rFonts w:ascii="宋体" w:hAnsi="宋体"/>
          <w:color w:val="000000" w:themeColor="text1"/>
          <w:sz w:val="24"/>
          <w:szCs w:val="24"/>
        </w:rPr>
        <w:t>：</w:t>
      </w:r>
      <w:r>
        <w:rPr>
          <w:rFonts w:hint="eastAsia" w:ascii="宋体" w:hAnsi="宋体"/>
          <w:color w:val="000000" w:themeColor="text1"/>
          <w:sz w:val="24"/>
          <w:szCs w:val="24"/>
        </w:rPr>
        <w:t>金华市双龙南街858号财富大厦4楼开标2室（本项目采用在线投标方式，投标供应商无须前往投标现场。）</w:t>
      </w:r>
    </w:p>
    <w:p>
      <w:pPr>
        <w:widowControl/>
        <w:snapToGrid w:val="0"/>
        <w:spacing w:line="460" w:lineRule="exact"/>
        <w:jc w:val="left"/>
        <w:rPr>
          <w:rFonts w:ascii="宋体" w:hAnsi="宋体"/>
          <w:color w:val="000000" w:themeColor="text1"/>
          <w:sz w:val="24"/>
          <w:szCs w:val="24"/>
        </w:rPr>
      </w:pPr>
      <w:r>
        <w:rPr>
          <w:rFonts w:hint="eastAsia" w:ascii="宋体" w:hAnsi="宋体"/>
          <w:b/>
          <w:bCs/>
          <w:color w:val="000000" w:themeColor="text1"/>
          <w:sz w:val="24"/>
          <w:szCs w:val="24"/>
        </w:rPr>
        <w:t>八</w:t>
      </w:r>
      <w:r>
        <w:rPr>
          <w:rFonts w:ascii="宋体" w:hAnsi="宋体"/>
          <w:b/>
          <w:bCs/>
          <w:color w:val="000000" w:themeColor="text1"/>
          <w:sz w:val="24"/>
          <w:szCs w:val="24"/>
        </w:rPr>
        <w:t>、开标时间</w:t>
      </w:r>
      <w:r>
        <w:rPr>
          <w:rFonts w:ascii="宋体" w:hAnsi="宋体"/>
          <w:color w:val="000000" w:themeColor="text1"/>
          <w:sz w:val="24"/>
          <w:szCs w:val="24"/>
        </w:rPr>
        <w:t>：</w:t>
      </w:r>
      <w:bookmarkStart w:id="10" w:name="B28_开标时间"/>
      <w:r>
        <w:rPr>
          <w:rFonts w:hint="eastAsia" w:ascii="宋体" w:hAnsi="宋体"/>
          <w:color w:val="000000" w:themeColor="text1"/>
          <w:sz w:val="24"/>
          <w:szCs w:val="24"/>
        </w:rPr>
        <w:t>2022-</w:t>
      </w:r>
      <w:r>
        <w:rPr>
          <w:rFonts w:hint="eastAsia" w:ascii="宋体" w:hAnsi="宋体"/>
          <w:color w:val="000000" w:themeColor="text1"/>
          <w:sz w:val="24"/>
          <w:szCs w:val="24"/>
          <w:lang w:val="en-US" w:eastAsia="zh-CN"/>
        </w:rPr>
        <w:t>09</w:t>
      </w:r>
      <w:r>
        <w:rPr>
          <w:rFonts w:hint="eastAsia" w:ascii="宋体" w:hAnsi="宋体"/>
          <w:color w:val="000000" w:themeColor="text1"/>
          <w:sz w:val="24"/>
          <w:szCs w:val="24"/>
        </w:rPr>
        <w:t>-</w:t>
      </w:r>
      <w:r>
        <w:rPr>
          <w:rFonts w:hint="eastAsia" w:ascii="宋体" w:hAnsi="宋体"/>
          <w:color w:val="000000" w:themeColor="text1"/>
          <w:sz w:val="24"/>
          <w:szCs w:val="24"/>
          <w:lang w:val="en-US" w:eastAsia="zh-CN"/>
        </w:rPr>
        <w:t>22</w:t>
      </w:r>
      <w:r>
        <w:rPr>
          <w:rFonts w:hint="eastAsia" w:ascii="宋体" w:hAnsi="宋体"/>
          <w:color w:val="000000" w:themeColor="text1"/>
          <w:sz w:val="24"/>
          <w:szCs w:val="24"/>
        </w:rPr>
        <w:t xml:space="preserve">  </w:t>
      </w:r>
      <w:r>
        <w:rPr>
          <w:rFonts w:hint="eastAsia" w:ascii="宋体" w:hAnsi="宋体" w:cs="宋体"/>
          <w:color w:val="000000" w:themeColor="text1"/>
          <w:sz w:val="24"/>
          <w:szCs w:val="24"/>
        </w:rPr>
        <w:t xml:space="preserve">  </w:t>
      </w:r>
      <w:r>
        <w:rPr>
          <w:rFonts w:ascii="宋体" w:hAnsi="宋体"/>
          <w:color w:val="000000" w:themeColor="text1"/>
          <w:sz w:val="24"/>
          <w:szCs w:val="24"/>
        </w:rPr>
        <w:t>上午</w:t>
      </w:r>
      <w:bookmarkEnd w:id="10"/>
      <w:r>
        <w:rPr>
          <w:rFonts w:hint="eastAsia" w:ascii="宋体" w:hAnsi="宋体"/>
          <w:color w:val="000000" w:themeColor="text1"/>
          <w:sz w:val="24"/>
          <w:szCs w:val="24"/>
        </w:rPr>
        <w:t>9:30</w:t>
      </w:r>
    </w:p>
    <w:p>
      <w:pPr>
        <w:widowControl/>
        <w:snapToGrid w:val="0"/>
        <w:spacing w:line="460" w:lineRule="exact"/>
        <w:jc w:val="left"/>
        <w:rPr>
          <w:rFonts w:ascii="宋体" w:hAnsi="宋体"/>
          <w:color w:val="000000" w:themeColor="text1"/>
          <w:sz w:val="24"/>
          <w:szCs w:val="24"/>
        </w:rPr>
      </w:pPr>
      <w:r>
        <w:rPr>
          <w:rFonts w:hint="eastAsia" w:ascii="宋体" w:hAnsi="宋体"/>
          <w:b/>
          <w:bCs/>
          <w:color w:val="000000" w:themeColor="text1"/>
          <w:sz w:val="24"/>
          <w:szCs w:val="24"/>
        </w:rPr>
        <w:t>九</w:t>
      </w:r>
      <w:r>
        <w:rPr>
          <w:rFonts w:ascii="宋体" w:hAnsi="宋体"/>
          <w:b/>
          <w:bCs/>
          <w:color w:val="000000" w:themeColor="text1"/>
          <w:sz w:val="24"/>
          <w:szCs w:val="24"/>
        </w:rPr>
        <w:t>、开标地点</w:t>
      </w:r>
      <w:r>
        <w:rPr>
          <w:rFonts w:ascii="宋体" w:hAnsi="宋体"/>
          <w:color w:val="000000" w:themeColor="text1"/>
          <w:sz w:val="24"/>
          <w:szCs w:val="24"/>
        </w:rPr>
        <w:t>：</w:t>
      </w:r>
      <w:r>
        <w:rPr>
          <w:rFonts w:hint="eastAsia" w:ascii="宋体" w:hAnsi="宋体"/>
          <w:color w:val="000000" w:themeColor="text1"/>
          <w:sz w:val="24"/>
          <w:szCs w:val="24"/>
        </w:rPr>
        <w:t>金华市双龙南街858号财富大厦4楼开标2室（本项目采用在线投标方式，投标供应商无须前往开标现场。）</w:t>
      </w:r>
    </w:p>
    <w:p>
      <w:pPr>
        <w:widowControl/>
        <w:snapToGrid w:val="0"/>
        <w:spacing w:line="460" w:lineRule="exact"/>
        <w:jc w:val="left"/>
        <w:rPr>
          <w:rFonts w:ascii="宋体" w:hAnsi="宋体" w:cs="宋体"/>
          <w:color w:val="000000" w:themeColor="text1"/>
          <w:sz w:val="24"/>
          <w:szCs w:val="24"/>
        </w:rPr>
      </w:pPr>
      <w:r>
        <w:rPr>
          <w:rFonts w:ascii="宋体" w:hAnsi="宋体"/>
          <w:b/>
          <w:bCs/>
          <w:color w:val="000000" w:themeColor="text1"/>
          <w:sz w:val="24"/>
          <w:szCs w:val="24"/>
        </w:rPr>
        <w:t>十、</w:t>
      </w:r>
      <w:r>
        <w:rPr>
          <w:rFonts w:hint="eastAsia" w:ascii="宋体" w:hAnsi="宋体"/>
          <w:b/>
          <w:bCs/>
          <w:color w:val="000000" w:themeColor="text1"/>
          <w:sz w:val="24"/>
          <w:szCs w:val="24"/>
        </w:rPr>
        <w:t>投标保证金</w:t>
      </w:r>
      <w:r>
        <w:rPr>
          <w:rFonts w:hint="eastAsia" w:ascii="宋体" w:hAnsi="宋体"/>
          <w:color w:val="000000" w:themeColor="text1"/>
          <w:sz w:val="24"/>
          <w:szCs w:val="24"/>
        </w:rPr>
        <w:t>：无</w:t>
      </w:r>
    </w:p>
    <w:p>
      <w:pPr>
        <w:widowControl/>
        <w:snapToGrid w:val="0"/>
        <w:spacing w:line="460" w:lineRule="exact"/>
        <w:jc w:val="left"/>
        <w:rPr>
          <w:rFonts w:ascii="宋体" w:hAnsi="宋体"/>
          <w:b/>
          <w:bCs/>
          <w:color w:val="000000" w:themeColor="text1"/>
          <w:sz w:val="24"/>
          <w:szCs w:val="24"/>
        </w:rPr>
      </w:pPr>
      <w:r>
        <w:rPr>
          <w:rFonts w:ascii="宋体" w:hAnsi="宋体"/>
          <w:b/>
          <w:bCs/>
          <w:color w:val="000000" w:themeColor="text1"/>
          <w:sz w:val="24"/>
          <w:szCs w:val="24"/>
        </w:rPr>
        <w:t>十</w:t>
      </w:r>
      <w:r>
        <w:rPr>
          <w:rFonts w:hint="eastAsia" w:ascii="宋体" w:hAnsi="宋体"/>
          <w:b/>
          <w:bCs/>
          <w:color w:val="000000" w:themeColor="text1"/>
          <w:sz w:val="24"/>
          <w:szCs w:val="24"/>
        </w:rPr>
        <w:t>一</w:t>
      </w:r>
      <w:r>
        <w:rPr>
          <w:rFonts w:ascii="宋体" w:hAnsi="宋体"/>
          <w:b/>
          <w:bCs/>
          <w:color w:val="000000" w:themeColor="text1"/>
          <w:sz w:val="24"/>
          <w:szCs w:val="24"/>
        </w:rPr>
        <w:t>、</w:t>
      </w:r>
      <w:r>
        <w:rPr>
          <w:rFonts w:hint="eastAsia" w:ascii="宋体" w:hAnsi="宋体"/>
          <w:b/>
          <w:bCs/>
          <w:color w:val="000000" w:themeColor="text1"/>
          <w:sz w:val="24"/>
          <w:szCs w:val="24"/>
        </w:rPr>
        <w:t xml:space="preserve">公告期限 </w:t>
      </w:r>
    </w:p>
    <w:p>
      <w:pPr>
        <w:widowControl/>
        <w:snapToGrid w:val="0"/>
        <w:spacing w:line="460" w:lineRule="exact"/>
        <w:ind w:firstLine="240" w:firstLineChars="100"/>
        <w:jc w:val="left"/>
        <w:rPr>
          <w:rFonts w:ascii="宋体" w:hAnsi="宋体"/>
          <w:bCs/>
          <w:color w:val="000000" w:themeColor="text1"/>
          <w:sz w:val="24"/>
          <w:szCs w:val="24"/>
        </w:rPr>
      </w:pPr>
      <w:r>
        <w:rPr>
          <w:rFonts w:hint="eastAsia" w:ascii="宋体" w:hAnsi="宋体"/>
          <w:bCs/>
          <w:color w:val="000000" w:themeColor="text1"/>
          <w:sz w:val="24"/>
          <w:szCs w:val="24"/>
        </w:rPr>
        <w:t>自本公告发布之日起5个工作日。</w:t>
      </w:r>
    </w:p>
    <w:p>
      <w:pPr>
        <w:widowControl/>
        <w:snapToGrid w:val="0"/>
        <w:spacing w:line="460" w:lineRule="exact"/>
        <w:jc w:val="left"/>
        <w:rPr>
          <w:rFonts w:ascii="宋体" w:hAnsi="宋体"/>
          <w:b/>
          <w:bCs/>
          <w:color w:val="000000" w:themeColor="text1"/>
          <w:sz w:val="24"/>
          <w:szCs w:val="24"/>
        </w:rPr>
      </w:pPr>
      <w:r>
        <w:rPr>
          <w:rFonts w:ascii="宋体" w:hAnsi="宋体"/>
          <w:b/>
          <w:bCs/>
          <w:color w:val="000000" w:themeColor="text1"/>
          <w:sz w:val="24"/>
          <w:szCs w:val="24"/>
        </w:rPr>
        <w:t>十</w:t>
      </w:r>
      <w:r>
        <w:rPr>
          <w:rFonts w:hint="eastAsia" w:ascii="宋体" w:hAnsi="宋体"/>
          <w:b/>
          <w:bCs/>
          <w:color w:val="000000" w:themeColor="text1"/>
          <w:sz w:val="24"/>
          <w:szCs w:val="24"/>
        </w:rPr>
        <w:t>二</w:t>
      </w:r>
      <w:r>
        <w:rPr>
          <w:rFonts w:ascii="宋体" w:hAnsi="宋体"/>
          <w:b/>
          <w:bCs/>
          <w:color w:val="000000" w:themeColor="text1"/>
          <w:sz w:val="24"/>
          <w:szCs w:val="24"/>
        </w:rPr>
        <w:t>、</w:t>
      </w:r>
      <w:r>
        <w:rPr>
          <w:rFonts w:hint="eastAsia" w:ascii="宋体" w:hAnsi="宋体"/>
          <w:b/>
          <w:bCs/>
          <w:color w:val="000000" w:themeColor="text1"/>
          <w:sz w:val="24"/>
          <w:szCs w:val="24"/>
        </w:rPr>
        <w:t>其他补充事宜</w:t>
      </w:r>
    </w:p>
    <w:p>
      <w:pPr>
        <w:snapToGrid w:val="0"/>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8"/>
        <w:ind w:firstLine="480"/>
        <w:rPr>
          <w:color w:val="000000" w:themeColor="text1"/>
        </w:rPr>
      </w:pPr>
      <w:r>
        <w:rPr>
          <w:rFonts w:hint="eastAsia"/>
          <w:color w:val="000000" w:themeColor="text1"/>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540" w:lineRule="exact"/>
        <w:rPr>
          <w:rFonts w:ascii="宋体" w:hAnsi="宋体"/>
          <w:bCs/>
          <w:color w:val="000000" w:themeColor="text1"/>
          <w:sz w:val="24"/>
          <w:szCs w:val="24"/>
        </w:rPr>
      </w:pPr>
      <w:r>
        <w:rPr>
          <w:rFonts w:hint="eastAsia" w:ascii="宋体" w:hAnsi="宋体"/>
          <w:bCs/>
          <w:color w:val="000000" w:themeColor="text1"/>
          <w:sz w:val="24"/>
          <w:szCs w:val="24"/>
        </w:rPr>
        <w:t>政府采购金融服务提示：</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为扩大政府采购金融服务面，除政采云网上金融服务合作银行外，金华市范围增加线下合作银行两家，具体信息如下：</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金华银行文创支行   联系人：   张琳俊 </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联系电话： 13586975082 </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0579 82479020</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浙商银行金华分行   联系人：   朱晨祥 </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联系电话： 15857978811</w:t>
      </w:r>
    </w:p>
    <w:p>
      <w:pPr>
        <w:spacing w:line="5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                              0579 82999581</w:t>
      </w:r>
    </w:p>
    <w:p>
      <w:pPr>
        <w:adjustRightInd w:val="0"/>
        <w:snapToGrid w:val="0"/>
        <w:spacing w:line="360" w:lineRule="auto"/>
        <w:rPr>
          <w:rFonts w:ascii="宋体" w:hAnsi="宋体" w:cs="Arial"/>
          <w:b/>
          <w:bCs/>
          <w:color w:val="000000" w:themeColor="text1"/>
          <w:sz w:val="24"/>
          <w:szCs w:val="24"/>
        </w:rPr>
      </w:pPr>
      <w:r>
        <w:rPr>
          <w:rFonts w:hint="eastAsia" w:ascii="宋体" w:hAnsi="宋体" w:cs="Arial"/>
          <w:b/>
          <w:bCs/>
          <w:color w:val="000000" w:themeColor="text1"/>
          <w:sz w:val="24"/>
          <w:szCs w:val="24"/>
        </w:rPr>
        <w:t>十三、业务咨询（</w:t>
      </w:r>
      <w:r>
        <w:rPr>
          <w:rFonts w:hint="eastAsia" w:ascii="宋体" w:hAnsi="宋体" w:cs="Arial"/>
          <w:b/>
          <w:color w:val="000000" w:themeColor="text1"/>
          <w:sz w:val="24"/>
          <w:szCs w:val="24"/>
        </w:rPr>
        <w:t>招标需求的疑问请向采购人询问或反映）</w:t>
      </w:r>
    </w:p>
    <w:p>
      <w:pPr>
        <w:adjustRightInd w:val="0"/>
        <w:snapToGrid w:val="0"/>
        <w:spacing w:line="360" w:lineRule="auto"/>
        <w:ind w:firstLine="480" w:firstLineChars="200"/>
        <w:rPr>
          <w:rFonts w:ascii="宋体" w:hAnsi="宋体" w:cstheme="minorEastAsia"/>
          <w:color w:val="000000" w:themeColor="text1"/>
          <w:sz w:val="24"/>
          <w:szCs w:val="24"/>
        </w:rPr>
      </w:pPr>
      <w:r>
        <w:rPr>
          <w:rFonts w:hint="eastAsia" w:ascii="宋体" w:hAnsi="宋体" w:cstheme="minorEastAsia"/>
          <w:color w:val="000000" w:themeColor="text1"/>
          <w:sz w:val="24"/>
          <w:szCs w:val="24"/>
        </w:rPr>
        <w:t>采购单位：金华市公安局</w:t>
      </w:r>
    </w:p>
    <w:p>
      <w:pPr>
        <w:adjustRightInd w:val="0"/>
        <w:snapToGrid w:val="0"/>
        <w:spacing w:line="360" w:lineRule="auto"/>
        <w:ind w:firstLine="480" w:firstLineChars="200"/>
        <w:rPr>
          <w:rFonts w:ascii="宋体" w:hAnsi="宋体" w:cstheme="minorEastAsia"/>
          <w:color w:val="000000" w:themeColor="text1"/>
          <w:kern w:val="0"/>
          <w:sz w:val="24"/>
          <w:szCs w:val="24"/>
        </w:rPr>
      </w:pPr>
      <w:r>
        <w:rPr>
          <w:rFonts w:hint="eastAsia" w:ascii="宋体" w:hAnsi="宋体" w:cstheme="minorEastAsia"/>
          <w:color w:val="000000" w:themeColor="text1"/>
          <w:kern w:val="0"/>
          <w:sz w:val="24"/>
          <w:szCs w:val="24"/>
        </w:rPr>
        <w:t>采购人：陈旻</w:t>
      </w:r>
    </w:p>
    <w:p>
      <w:pPr>
        <w:adjustRightInd w:val="0"/>
        <w:snapToGrid w:val="0"/>
        <w:spacing w:line="360" w:lineRule="auto"/>
        <w:ind w:firstLine="480" w:firstLineChars="200"/>
        <w:rPr>
          <w:rFonts w:ascii="宋体" w:hAnsi="宋体" w:cstheme="minorEastAsia"/>
          <w:color w:val="000000" w:themeColor="text1"/>
          <w:kern w:val="0"/>
          <w:sz w:val="24"/>
          <w:szCs w:val="24"/>
        </w:rPr>
      </w:pPr>
      <w:r>
        <w:rPr>
          <w:rFonts w:hint="eastAsia" w:ascii="宋体" w:hAnsi="宋体" w:cstheme="minorEastAsia"/>
          <w:color w:val="000000" w:themeColor="text1"/>
          <w:kern w:val="0"/>
          <w:sz w:val="24"/>
          <w:szCs w:val="24"/>
        </w:rPr>
        <w:t>联系电话：</w:t>
      </w:r>
      <w:bookmarkStart w:id="11" w:name="联系电话1"/>
      <w:bookmarkEnd w:id="11"/>
      <w:r>
        <w:rPr>
          <w:rFonts w:hint="eastAsia" w:ascii="宋体" w:hAnsi="宋体" w:cstheme="minorEastAsia"/>
          <w:color w:val="000000" w:themeColor="text1"/>
          <w:kern w:val="0"/>
          <w:sz w:val="24"/>
          <w:szCs w:val="24"/>
        </w:rPr>
        <w:t>13957988088</w:t>
      </w:r>
    </w:p>
    <w:p>
      <w:pPr>
        <w:adjustRightInd w:val="0"/>
        <w:snapToGrid w:val="0"/>
        <w:spacing w:line="360" w:lineRule="auto"/>
        <w:ind w:firstLine="480" w:firstLineChars="200"/>
        <w:rPr>
          <w:rFonts w:ascii="宋体" w:hAnsi="宋体" w:cstheme="minorEastAsia"/>
          <w:color w:val="000000" w:themeColor="text1"/>
          <w:kern w:val="0"/>
          <w:sz w:val="24"/>
          <w:szCs w:val="24"/>
        </w:rPr>
      </w:pPr>
      <w:r>
        <w:rPr>
          <w:rFonts w:hint="eastAsia" w:ascii="宋体" w:hAnsi="宋体" w:cstheme="minorEastAsia"/>
          <w:color w:val="000000" w:themeColor="text1"/>
          <w:kern w:val="0"/>
          <w:sz w:val="24"/>
          <w:szCs w:val="24"/>
        </w:rPr>
        <w:t>采购代理机构：</w:t>
      </w:r>
      <w:r>
        <w:rPr>
          <w:rFonts w:hint="eastAsia" w:ascii="宋体" w:hAnsi="宋体" w:cstheme="minorEastAsia"/>
          <w:color w:val="000000" w:themeColor="text1"/>
          <w:sz w:val="24"/>
          <w:szCs w:val="24"/>
        </w:rPr>
        <w:t>金华市政府采购中心</w:t>
      </w:r>
    </w:p>
    <w:p>
      <w:pPr>
        <w:adjustRightInd w:val="0"/>
        <w:snapToGrid w:val="0"/>
        <w:spacing w:line="360" w:lineRule="auto"/>
        <w:ind w:firstLine="480"/>
        <w:rPr>
          <w:rFonts w:ascii="宋体" w:hAnsi="宋体" w:cstheme="minorEastAsia"/>
          <w:color w:val="000000" w:themeColor="text1"/>
          <w:sz w:val="24"/>
          <w:szCs w:val="24"/>
        </w:rPr>
      </w:pPr>
      <w:r>
        <w:rPr>
          <w:rFonts w:hint="eastAsia" w:ascii="宋体" w:hAnsi="宋体" w:cstheme="minorEastAsia"/>
          <w:color w:val="000000" w:themeColor="text1"/>
          <w:sz w:val="24"/>
          <w:szCs w:val="24"/>
        </w:rPr>
        <w:t>联系人：张老师</w:t>
      </w:r>
      <w:r>
        <w:rPr>
          <w:rFonts w:ascii="宋体" w:hAnsi="宋体" w:cstheme="minorEastAsia"/>
          <w:color w:val="000000" w:themeColor="text1"/>
          <w:sz w:val="24"/>
          <w:szCs w:val="24"/>
        </w:rPr>
        <w:t xml:space="preserve"> </w:t>
      </w:r>
    </w:p>
    <w:p>
      <w:pPr>
        <w:pStyle w:val="24"/>
        <w:adjustRightInd w:val="0"/>
        <w:snapToGrid w:val="0"/>
        <w:ind w:left="0" w:firstLine="480" w:firstLineChars="200"/>
        <w:rPr>
          <w:rFonts w:ascii="宋体" w:hAnsi="宋体" w:cstheme="minorEastAsia"/>
          <w:color w:val="000000" w:themeColor="text1"/>
          <w:sz w:val="24"/>
          <w:szCs w:val="24"/>
        </w:rPr>
      </w:pPr>
      <w:r>
        <w:rPr>
          <w:rFonts w:hint="eastAsia" w:ascii="宋体" w:hAnsi="宋体" w:cstheme="minorEastAsia"/>
          <w:color w:val="000000" w:themeColor="text1"/>
          <w:sz w:val="24"/>
          <w:szCs w:val="24"/>
        </w:rPr>
        <w:t>联系电话：83186120</w:t>
      </w:r>
    </w:p>
    <w:p>
      <w:pPr>
        <w:adjustRightInd w:val="0"/>
        <w:snapToGrid w:val="0"/>
        <w:spacing w:line="360" w:lineRule="auto"/>
        <w:ind w:firstLine="480" w:firstLineChars="200"/>
        <w:rPr>
          <w:rFonts w:ascii="宋体" w:hAnsi="宋体"/>
          <w:color w:val="000000" w:themeColor="text1"/>
          <w:sz w:val="24"/>
          <w:szCs w:val="24"/>
        </w:rPr>
      </w:pPr>
      <w:r>
        <w:rPr>
          <w:rFonts w:hint="eastAsia" w:ascii="宋体" w:hAnsi="宋体" w:cstheme="minorEastAsia"/>
          <w:color w:val="000000" w:themeColor="text1"/>
          <w:sz w:val="24"/>
          <w:szCs w:val="24"/>
        </w:rPr>
        <w:t>地址：</w:t>
      </w:r>
      <w:r>
        <w:rPr>
          <w:rFonts w:hint="eastAsia" w:ascii="宋体" w:hAnsi="宋体" w:cstheme="minorEastAsia"/>
          <w:color w:val="000000" w:themeColor="text1"/>
          <w:kern w:val="0"/>
          <w:sz w:val="24"/>
          <w:szCs w:val="24"/>
        </w:rPr>
        <w:t>金华市双龙南街858号财富大厦4楼</w:t>
      </w:r>
    </w:p>
    <w:p>
      <w:pPr>
        <w:pStyle w:val="41"/>
        <w:adjustRightInd w:val="0"/>
        <w:snapToGrid w:val="0"/>
        <w:spacing w:beforeLines="0" w:afterLines="0"/>
        <w:ind w:firstLine="481" w:firstLineChars="200"/>
        <w:jc w:val="left"/>
        <w:rPr>
          <w:rFonts w:cs="Arial"/>
          <w:color w:val="000000" w:themeColor="text1"/>
          <w:sz w:val="24"/>
          <w:szCs w:val="24"/>
        </w:rPr>
      </w:pPr>
      <w:r>
        <w:rPr>
          <w:rFonts w:hint="eastAsia" w:cs="Arial"/>
          <w:color w:val="000000" w:themeColor="text1"/>
          <w:sz w:val="24"/>
          <w:szCs w:val="24"/>
        </w:rPr>
        <w:t>政府采购行政监管及投诉受理部分：金华市财政局政府采购监管处；</w:t>
      </w:r>
    </w:p>
    <w:p>
      <w:pPr>
        <w:pStyle w:val="41"/>
        <w:adjustRightInd w:val="0"/>
        <w:snapToGrid w:val="0"/>
        <w:spacing w:before="120" w:after="120"/>
        <w:ind w:firstLine="615"/>
        <w:jc w:val="left"/>
        <w:rPr>
          <w:rFonts w:cs="Arial"/>
          <w:color w:val="000000" w:themeColor="text1"/>
          <w:sz w:val="24"/>
          <w:szCs w:val="24"/>
        </w:rPr>
      </w:pPr>
      <w:r>
        <w:rPr>
          <w:rFonts w:hint="eastAsia" w:cs="Arial"/>
          <w:color w:val="000000" w:themeColor="text1"/>
          <w:sz w:val="24"/>
          <w:szCs w:val="24"/>
        </w:rPr>
        <w:t>联系人：徐女士               联系电话：0579-82468735</w:t>
      </w:r>
    </w:p>
    <w:p>
      <w:pPr>
        <w:pStyle w:val="16"/>
        <w:spacing w:before="120" w:after="120" w:line="360" w:lineRule="auto"/>
        <w:jc w:val="center"/>
        <w:outlineLvl w:val="0"/>
        <w:rPr>
          <w:rFonts w:hAnsi="宋体"/>
          <w:b/>
          <w:color w:val="000000" w:themeColor="text1"/>
          <w:sz w:val="36"/>
          <w:szCs w:val="36"/>
        </w:rPr>
      </w:pPr>
      <w:r>
        <w:rPr>
          <w:rFonts w:hint="eastAsia" w:hAnsi="宋体"/>
          <w:b/>
          <w:color w:val="000000" w:themeColor="text1"/>
          <w:sz w:val="36"/>
          <w:szCs w:val="36"/>
        </w:rPr>
        <w:t>第二章  招标需求</w:t>
      </w:r>
    </w:p>
    <w:p>
      <w:pPr>
        <w:pStyle w:val="58"/>
        <w:ind w:firstLine="0" w:firstLineChars="0"/>
        <w:jc w:val="center"/>
        <w:rPr>
          <w:color w:val="000000" w:themeColor="text1"/>
        </w:rPr>
      </w:pPr>
      <w:bookmarkStart w:id="12" w:name="_Hlk112336638"/>
      <w:r>
        <w:rPr>
          <w:rFonts w:hint="eastAsia"/>
          <w:color w:val="000000" w:themeColor="text1"/>
        </w:rPr>
        <w:t>（</w:t>
      </w:r>
      <w:bookmarkStart w:id="13" w:name="_Hlk112342731"/>
      <w:r>
        <w:rPr>
          <w:rFonts w:hint="eastAsia"/>
          <w:color w:val="000000" w:themeColor="text1"/>
        </w:rPr>
        <w:t>“</w:t>
      </w:r>
      <w:r>
        <w:rPr>
          <w:rFonts w:hint="eastAsia"/>
          <w:color w:val="000000" w:themeColor="text1"/>
          <w:lang w:eastAsia="zh-CN"/>
        </w:rPr>
        <w:t>★</w:t>
      </w:r>
      <w:r>
        <w:rPr>
          <w:rFonts w:hint="eastAsia"/>
          <w:color w:val="000000" w:themeColor="text1"/>
        </w:rPr>
        <w:t>”系指实质性要求条款，“</w:t>
      </w:r>
      <w:r>
        <w:rPr>
          <w:rFonts w:hint="eastAsia"/>
          <w:color w:val="000000" w:themeColor="text1"/>
          <w:lang w:eastAsia="zh-CN"/>
        </w:rPr>
        <w:t>●</w:t>
      </w:r>
      <w:r>
        <w:rPr>
          <w:rFonts w:hint="eastAsia"/>
          <w:color w:val="000000" w:themeColor="text1"/>
        </w:rPr>
        <w:t>”系指重要性指标</w:t>
      </w:r>
      <w:bookmarkEnd w:id="13"/>
      <w:r>
        <w:rPr>
          <w:rFonts w:hint="eastAsia"/>
          <w:color w:val="000000" w:themeColor="text1"/>
        </w:rPr>
        <w:t>）</w:t>
      </w:r>
    </w:p>
    <w:bookmarkEnd w:id="12"/>
    <w:p>
      <w:pPr>
        <w:pStyle w:val="4"/>
        <w:rPr>
          <w:color w:val="000000" w:themeColor="text1"/>
        </w:rPr>
      </w:pPr>
      <w:bookmarkStart w:id="14" w:name="_Toc98181825"/>
      <w:bookmarkStart w:id="15" w:name="_Toc24263"/>
      <w:bookmarkStart w:id="16" w:name="_Toc109376866"/>
      <w:bookmarkStart w:id="17" w:name="_Toc58847883"/>
      <w:bookmarkStart w:id="18" w:name="_Toc80875205"/>
      <w:r>
        <w:rPr>
          <w:color w:val="000000" w:themeColor="text1"/>
        </w:rPr>
        <w:t>项目</w:t>
      </w:r>
      <w:bookmarkEnd w:id="14"/>
      <w:bookmarkEnd w:id="15"/>
      <w:r>
        <w:rPr>
          <w:rFonts w:hint="eastAsia"/>
          <w:color w:val="000000" w:themeColor="text1"/>
        </w:rPr>
        <w:t>总体建设</w:t>
      </w:r>
      <w:bookmarkEnd w:id="16"/>
      <w:r>
        <w:rPr>
          <w:rFonts w:hint="eastAsia"/>
          <w:color w:val="000000" w:themeColor="text1"/>
        </w:rPr>
        <w:t>规划</w:t>
      </w:r>
    </w:p>
    <w:p>
      <w:pPr>
        <w:pStyle w:val="5"/>
        <w:rPr>
          <w:color w:val="000000" w:themeColor="text1"/>
        </w:rPr>
      </w:pPr>
      <w:bookmarkStart w:id="19" w:name="_Toc109376867"/>
      <w:bookmarkStart w:id="20" w:name="_Toc98181833"/>
      <w:bookmarkStart w:id="21" w:name="_Toc6327"/>
      <w:r>
        <w:rPr>
          <w:color w:val="000000" w:themeColor="text1"/>
        </w:rPr>
        <w:t>建设目标</w:t>
      </w:r>
      <w:bookmarkEnd w:id="19"/>
      <w:bookmarkEnd w:id="20"/>
      <w:bookmarkEnd w:id="21"/>
    </w:p>
    <w:p>
      <w:pPr>
        <w:pStyle w:val="58"/>
        <w:ind w:firstLine="480"/>
        <w:rPr>
          <w:color w:val="000000" w:themeColor="text1"/>
        </w:rPr>
      </w:pPr>
      <w:r>
        <w:rPr>
          <w:rFonts w:hint="eastAsia"/>
          <w:color w:val="000000" w:themeColor="text1"/>
        </w:rPr>
        <w:t>建成后使用目标：通过为金华市**训练基地量身打造的慧校园信息化系统工程的信息化设计，使金华市**训练基地1</w:t>
      </w:r>
      <w:r>
        <w:rPr>
          <w:color w:val="000000" w:themeColor="text1"/>
        </w:rPr>
        <w:t>5</w:t>
      </w:r>
      <w:r>
        <w:rPr>
          <w:rFonts w:hint="eastAsia"/>
          <w:color w:val="000000" w:themeColor="text1"/>
        </w:rPr>
        <w:t>个智能化硬件设备及平台软件达到完美的融合，打通各子系统间的信息孤岛，互联共同，形成一个实用、便捷的一体信息化业务平台。从教学管理、警员训练、基地运维等各方方面面，各种角色用户，能够通过本平台一体化智慧管理基地的各项工作。</w:t>
      </w:r>
    </w:p>
    <w:p>
      <w:pPr>
        <w:pStyle w:val="5"/>
        <w:rPr>
          <w:color w:val="000000" w:themeColor="text1"/>
        </w:rPr>
      </w:pPr>
      <w:bookmarkStart w:id="22" w:name="_Toc24840"/>
      <w:bookmarkStart w:id="23" w:name="_Toc98181835"/>
      <w:bookmarkStart w:id="24" w:name="_Toc109376868"/>
      <w:r>
        <w:rPr>
          <w:rFonts w:hint="eastAsia"/>
          <w:color w:val="000000" w:themeColor="text1"/>
        </w:rPr>
        <w:t>建设</w:t>
      </w:r>
      <w:r>
        <w:rPr>
          <w:color w:val="000000" w:themeColor="text1"/>
        </w:rPr>
        <w:t>内容</w:t>
      </w:r>
      <w:bookmarkEnd w:id="22"/>
      <w:bookmarkEnd w:id="23"/>
      <w:bookmarkEnd w:id="24"/>
    </w:p>
    <w:p>
      <w:pPr>
        <w:pStyle w:val="58"/>
        <w:ind w:firstLine="480"/>
        <w:rPr>
          <w:color w:val="000000" w:themeColor="text1"/>
        </w:rPr>
      </w:pPr>
      <w:bookmarkStart w:id="25" w:name="_Toc98181836"/>
      <w:r>
        <w:rPr>
          <w:rFonts w:hint="eastAsia"/>
          <w:color w:val="000000" w:themeColor="text1"/>
        </w:rPr>
        <w:t>根据金华市**训练基地实际情况，。主要建设内容如下：</w:t>
      </w:r>
    </w:p>
    <w:p>
      <w:pPr>
        <w:pStyle w:val="54"/>
        <w:numPr>
          <w:ilvl w:val="0"/>
          <w:numId w:val="3"/>
        </w:numPr>
        <w:adjustRightInd w:val="0"/>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**教学信息化建设：</w:t>
      </w:r>
    </w:p>
    <w:p>
      <w:pPr>
        <w:pStyle w:val="54"/>
        <w:numPr>
          <w:ilvl w:val="0"/>
          <w:numId w:val="4"/>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综合管控平台（含智慧教学系统）建设含</w:t>
      </w:r>
      <w:r>
        <w:rPr>
          <w:rFonts w:hint="eastAsia" w:ascii="宋体" w:hAnsi="宋体" w:cs="宋体"/>
          <w:color w:val="000000" w:themeColor="text1"/>
          <w:sz w:val="24"/>
        </w:rPr>
        <w:t>（统一支撑平台、学员报到系统、教学计划管理、警训教务管理系统、学员学习管理系统、课程管理系统、教学引导系统、教学评估系统、教学资源库管理系统、辅助决策系统、移动办公、移动学习、学习中心、个人中心、训练中心、考试中心、培训统计、教员中心、后勤管理（公寓）、后勤管理（维修管理）、运维管理模块、系统数据对接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多媒体教学系统含</w:t>
      </w:r>
      <w:r>
        <w:rPr>
          <w:rFonts w:hint="eastAsia" w:ascii="宋体" w:hAnsi="宋体" w:cs="宋体"/>
          <w:color w:val="000000" w:themeColor="text1"/>
          <w:sz w:val="24"/>
        </w:rPr>
        <w:t>（无线覆盖系统、扩声系统、智慧教学设备、智能录播系统、人脸识别系统、综合显示系统、VR教学系统等）；</w:t>
      </w:r>
    </w:p>
    <w:p>
      <w:pPr>
        <w:pStyle w:val="54"/>
        <w:adjustRightInd w:val="0"/>
        <w:snapToGrid w:val="0"/>
        <w:spacing w:line="360" w:lineRule="auto"/>
        <w:ind w:left="420" w:leftChars="200"/>
        <w:rPr>
          <w:rFonts w:ascii="宋体" w:hAnsi="宋体" w:cs="宋体"/>
          <w:color w:val="000000" w:themeColor="text1"/>
          <w:sz w:val="24"/>
        </w:rPr>
      </w:pPr>
      <w:r>
        <w:rPr>
          <w:rFonts w:hint="eastAsia" w:ascii="宋体" w:hAnsi="宋体" w:cs="宋体"/>
          <w:color w:val="000000" w:themeColor="text1"/>
          <w:sz w:val="24"/>
        </w:rPr>
        <w:t>3、</w:t>
      </w:r>
      <w:r>
        <w:rPr>
          <w:rFonts w:hint="eastAsia" w:ascii="宋体" w:hAnsi="宋体" w:cs="宋体"/>
          <w:b/>
          <w:bCs/>
          <w:color w:val="000000" w:themeColor="text1"/>
          <w:sz w:val="24"/>
        </w:rPr>
        <w:t>会议系统含</w:t>
      </w:r>
      <w:r>
        <w:rPr>
          <w:rFonts w:hint="eastAsia" w:ascii="宋体" w:hAnsi="宋体" w:cs="宋体"/>
          <w:color w:val="000000" w:themeColor="text1"/>
          <w:sz w:val="24"/>
        </w:rPr>
        <w:t>（扩声系统、远程会议系统、综合显示系统等）；</w:t>
      </w:r>
    </w:p>
    <w:p>
      <w:pPr>
        <w:pStyle w:val="54"/>
        <w:adjustRightInd w:val="0"/>
        <w:snapToGrid w:val="0"/>
        <w:spacing w:line="360" w:lineRule="auto"/>
        <w:ind w:left="420" w:leftChars="200"/>
        <w:rPr>
          <w:rFonts w:ascii="宋体" w:hAnsi="宋体" w:cs="宋体"/>
          <w:color w:val="000000" w:themeColor="text1"/>
          <w:sz w:val="24"/>
        </w:rPr>
      </w:pPr>
      <w:r>
        <w:rPr>
          <w:rFonts w:hint="eastAsia" w:ascii="宋体" w:hAnsi="宋体" w:cs="宋体"/>
          <w:color w:val="000000" w:themeColor="text1"/>
          <w:sz w:val="24"/>
        </w:rPr>
        <w:t>4、</w:t>
      </w:r>
      <w:r>
        <w:rPr>
          <w:rFonts w:hint="eastAsia" w:ascii="宋体" w:hAnsi="宋体" w:cs="宋体"/>
          <w:b/>
          <w:bCs/>
          <w:color w:val="000000" w:themeColor="text1"/>
          <w:sz w:val="24"/>
        </w:rPr>
        <w:t>公共广播系统含</w:t>
      </w:r>
      <w:r>
        <w:rPr>
          <w:rFonts w:hint="eastAsia" w:ascii="宋体" w:hAnsi="宋体" w:cs="宋体"/>
          <w:color w:val="000000" w:themeColor="text1"/>
          <w:sz w:val="24"/>
        </w:rPr>
        <w:t>（前端广播、功放、播控中心等）；</w:t>
      </w:r>
    </w:p>
    <w:p>
      <w:pPr>
        <w:pStyle w:val="54"/>
        <w:adjustRightInd w:val="0"/>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二、**训练信息化建设：</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b/>
          <w:bCs/>
          <w:color w:val="000000" w:themeColor="text1"/>
          <w:sz w:val="24"/>
        </w:rPr>
        <w:t>信息引导及发布系统含</w:t>
      </w:r>
      <w:r>
        <w:rPr>
          <w:rFonts w:hint="eastAsia" w:ascii="宋体" w:hAnsi="宋体" w:cs="宋体"/>
          <w:color w:val="000000" w:themeColor="text1"/>
          <w:sz w:val="24"/>
        </w:rPr>
        <w:t>（综合显示系统、会议预约系统等）；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**基地实战指挥中心含</w:t>
      </w:r>
      <w:r>
        <w:rPr>
          <w:rFonts w:hint="eastAsia" w:ascii="宋体" w:hAnsi="宋体" w:cs="宋体"/>
          <w:color w:val="000000" w:themeColor="text1"/>
          <w:sz w:val="24"/>
        </w:rPr>
        <w:t>（扩声系统、数字会议系统、分布式系统、综合显示系统、视频会议系统、视频调度系统、智能操作台等）；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w:t>
      </w:r>
      <w:r>
        <w:rPr>
          <w:rFonts w:hint="eastAsia" w:ascii="宋体" w:hAnsi="宋体" w:cs="宋体"/>
          <w:b/>
          <w:bCs/>
          <w:color w:val="000000" w:themeColor="text1"/>
          <w:sz w:val="24"/>
        </w:rPr>
        <w:t>数字场馆含</w:t>
      </w:r>
      <w:r>
        <w:rPr>
          <w:rFonts w:hint="eastAsia" w:ascii="宋体" w:hAnsi="宋体" w:cs="宋体"/>
          <w:color w:val="000000" w:themeColor="text1"/>
          <w:sz w:val="24"/>
        </w:rPr>
        <w:t>（扩声系统、电动升棋系统、综合显示系统、计时计分系统、体能测试系统等）；</w:t>
      </w:r>
    </w:p>
    <w:p>
      <w:pPr>
        <w:pStyle w:val="54"/>
        <w:adjustRightInd w:val="0"/>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三、基础设施信息化建设</w:t>
      </w:r>
      <w:bookmarkStart w:id="26" w:name="_Hlk83331185"/>
      <w:r>
        <w:rPr>
          <w:rFonts w:hint="eastAsia" w:ascii="宋体" w:hAnsi="宋体" w:cs="宋体"/>
          <w:b/>
          <w:bCs/>
          <w:color w:val="000000" w:themeColor="text1"/>
          <w:sz w:val="24"/>
        </w:rPr>
        <w:t>：</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b/>
          <w:bCs/>
          <w:color w:val="000000" w:themeColor="text1"/>
          <w:sz w:val="24"/>
        </w:rPr>
        <w:t>建筑设备监控系统含</w:t>
      </w:r>
      <w:r>
        <w:rPr>
          <w:rFonts w:hint="eastAsia" w:ascii="宋体" w:hAnsi="宋体" w:cs="宋体"/>
          <w:color w:val="000000" w:themeColor="text1"/>
          <w:sz w:val="24"/>
        </w:rPr>
        <w:t>（楼宇自控系统、智能照明系统等）；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建筑能效监管系统含</w:t>
      </w:r>
      <w:r>
        <w:rPr>
          <w:rFonts w:hint="eastAsia" w:ascii="宋体" w:hAnsi="宋体" w:cs="宋体"/>
          <w:color w:val="000000" w:themeColor="text1"/>
          <w:sz w:val="24"/>
        </w:rPr>
        <w:t>（能耗监测系统等）；</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w:t>
      </w:r>
      <w:r>
        <w:rPr>
          <w:rFonts w:hint="eastAsia" w:ascii="宋体" w:hAnsi="宋体" w:cs="宋体"/>
          <w:b/>
          <w:bCs/>
          <w:color w:val="000000" w:themeColor="text1"/>
          <w:sz w:val="24"/>
        </w:rPr>
        <w:t>公寓管理系统含</w:t>
      </w:r>
      <w:r>
        <w:rPr>
          <w:rFonts w:hint="eastAsia" w:ascii="宋体" w:hAnsi="宋体" w:cs="宋体"/>
          <w:color w:val="000000" w:themeColor="text1"/>
          <w:sz w:val="24"/>
        </w:rPr>
        <w:t>（自助登记系统、一卡通系统、客控系统等）；</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阳光厨房</w:t>
      </w:r>
      <w:r>
        <w:rPr>
          <w:rFonts w:hint="eastAsia" w:ascii="宋体" w:hAnsi="宋体" w:cs="宋体"/>
          <w:color w:val="000000" w:themeColor="text1"/>
          <w:sz w:val="24"/>
        </w:rPr>
        <w:t>；</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信息网络系统含</w:t>
      </w:r>
      <w:r>
        <w:rPr>
          <w:rFonts w:hint="eastAsia" w:ascii="宋体" w:hAnsi="宋体" w:cs="宋体"/>
          <w:color w:val="000000" w:themeColor="text1"/>
          <w:sz w:val="24"/>
        </w:rPr>
        <w:t>（网络安全系统、计算机网络、日志审查、数据库审计、运维审计、网管平台等）；</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安全技术防范系统含</w:t>
      </w:r>
      <w:r>
        <w:rPr>
          <w:rFonts w:hint="eastAsia" w:ascii="宋体" w:hAnsi="宋体" w:cs="宋体"/>
          <w:color w:val="000000" w:themeColor="text1"/>
          <w:sz w:val="24"/>
        </w:rPr>
        <w:t>（视频监控系统、人脸识别系统、楼层显示系统、视频云存储、液晶拼接屏、脉冲电子围栏系统、室内红外报警系统、巡更系统、出入口管理系统、门禁系统、访客系统、综合安防管理平台等）；</w:t>
      </w:r>
    </w:p>
    <w:p>
      <w:pPr>
        <w:pStyle w:val="54"/>
        <w:numPr>
          <w:ilvl w:val="0"/>
          <w:numId w:val="5"/>
        </w:numPr>
        <w:adjustRightInd w:val="0"/>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基地消控中心含</w:t>
      </w:r>
      <w:r>
        <w:rPr>
          <w:rFonts w:hint="eastAsia" w:ascii="宋体" w:hAnsi="宋体" w:cs="宋体"/>
          <w:color w:val="000000" w:themeColor="text1"/>
          <w:sz w:val="24"/>
        </w:rPr>
        <w:t>（ups系统、消防系统、防雷接地系统等）；</w:t>
      </w:r>
    </w:p>
    <w:p>
      <w:pPr>
        <w:pStyle w:val="54"/>
        <w:adjustRightInd w:val="0"/>
        <w:snapToGrid w:val="0"/>
        <w:spacing w:line="360" w:lineRule="auto"/>
        <w:ind w:left="420" w:leftChars="200"/>
        <w:rPr>
          <w:rFonts w:ascii="宋体" w:hAnsi="宋体" w:cs="宋体"/>
          <w:color w:val="000000" w:themeColor="text1"/>
          <w:sz w:val="24"/>
        </w:rPr>
      </w:pPr>
      <w:r>
        <w:rPr>
          <w:rFonts w:hint="eastAsia" w:ascii="宋体" w:hAnsi="宋体" w:cs="宋体"/>
          <w:color w:val="000000" w:themeColor="text1"/>
          <w:sz w:val="24"/>
        </w:rPr>
        <w:t>8、</w:t>
      </w:r>
      <w:r>
        <w:rPr>
          <w:rFonts w:hint="eastAsia" w:ascii="宋体" w:hAnsi="宋体" w:cs="宋体"/>
          <w:b/>
          <w:bCs/>
          <w:color w:val="000000" w:themeColor="text1"/>
          <w:sz w:val="24"/>
        </w:rPr>
        <w:t>室外管线。</w:t>
      </w:r>
    </w:p>
    <w:p>
      <w:pPr>
        <w:pStyle w:val="54"/>
        <w:adjustRightInd w:val="0"/>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三大建设模块共计15个子系统。</w:t>
      </w:r>
    </w:p>
    <w:bookmarkEnd w:id="25"/>
    <w:bookmarkEnd w:id="26"/>
    <w:p>
      <w:pPr>
        <w:pStyle w:val="4"/>
        <w:rPr>
          <w:color w:val="000000" w:themeColor="text1"/>
        </w:rPr>
      </w:pPr>
      <w:bookmarkStart w:id="27" w:name="_Toc22281"/>
      <w:bookmarkStart w:id="28" w:name="_Toc109376869"/>
      <w:bookmarkStart w:id="29" w:name="_Toc98181914"/>
      <w:r>
        <w:rPr>
          <w:rFonts w:hint="eastAsia"/>
          <w:color w:val="000000" w:themeColor="text1"/>
        </w:rPr>
        <w:t>项目</w:t>
      </w:r>
      <w:r>
        <w:rPr>
          <w:color w:val="000000" w:themeColor="text1"/>
        </w:rPr>
        <w:t>总体建设</w:t>
      </w:r>
      <w:bookmarkEnd w:id="27"/>
      <w:bookmarkEnd w:id="28"/>
      <w:bookmarkEnd w:id="29"/>
      <w:r>
        <w:rPr>
          <w:rFonts w:hint="eastAsia"/>
          <w:color w:val="000000" w:themeColor="text1"/>
        </w:rPr>
        <w:t>要求</w:t>
      </w:r>
    </w:p>
    <w:p>
      <w:pPr>
        <w:pStyle w:val="5"/>
        <w:rPr>
          <w:color w:val="000000" w:themeColor="text1"/>
        </w:rPr>
      </w:pPr>
      <w:bookmarkStart w:id="30" w:name="_Toc109376870"/>
      <w:r>
        <w:rPr>
          <w:rFonts w:hint="eastAsia"/>
          <w:color w:val="000000" w:themeColor="text1"/>
        </w:rPr>
        <w:t>总平台建设</w:t>
      </w:r>
      <w:bookmarkEnd w:id="30"/>
    </w:p>
    <w:p>
      <w:pPr>
        <w:pStyle w:val="58"/>
        <w:ind w:firstLine="480"/>
        <w:rPr>
          <w:color w:val="000000" w:themeColor="text1"/>
        </w:rPr>
      </w:pPr>
      <w:r>
        <w:rPr>
          <w:rFonts w:hint="eastAsia"/>
          <w:color w:val="000000" w:themeColor="text1"/>
        </w:rPr>
        <w:t>金华市**训练基地科技信息化项目本次建设内容为围绕两个体系来建设“1</w:t>
      </w:r>
      <w:r>
        <w:rPr>
          <w:color w:val="000000" w:themeColor="text1"/>
        </w:rPr>
        <w:t>+3</w:t>
      </w:r>
      <w:r>
        <w:rPr>
          <w:rFonts w:hint="eastAsia"/>
          <w:color w:val="000000" w:themeColor="text1"/>
        </w:rPr>
        <w:t>”的相关内容。</w:t>
      </w:r>
    </w:p>
    <w:p>
      <w:pPr>
        <w:pStyle w:val="58"/>
        <w:ind w:firstLine="480"/>
        <w:rPr>
          <w:color w:val="000000" w:themeColor="text1"/>
        </w:rPr>
      </w:pPr>
      <w:r>
        <w:rPr>
          <w:rFonts w:hint="eastAsia"/>
          <w:color w:val="000000" w:themeColor="text1"/>
        </w:rPr>
        <w:t>首先搭建一套具有开放性、包容性的金华市**训练基地一体化智慧管控平台。本次建设涉及2</w:t>
      </w:r>
      <w:r>
        <w:rPr>
          <w:color w:val="000000" w:themeColor="text1"/>
        </w:rPr>
        <w:t>3</w:t>
      </w:r>
      <w:r>
        <w:rPr>
          <w:rFonts w:hint="eastAsia"/>
          <w:color w:val="000000" w:themeColor="text1"/>
        </w:rPr>
        <w:t>项基础应用，满足**训练基地启用时的所有训练教学和基地管控应用需求。2</w:t>
      </w:r>
      <w:r>
        <w:rPr>
          <w:color w:val="000000" w:themeColor="text1"/>
        </w:rPr>
        <w:t>3</w:t>
      </w:r>
      <w:r>
        <w:rPr>
          <w:rFonts w:hint="eastAsia"/>
          <w:color w:val="000000" w:themeColor="text1"/>
        </w:rPr>
        <w:t>项基础应用如下：</w:t>
      </w:r>
      <w:r>
        <w:rPr>
          <w:color w:val="000000" w:themeColor="text1"/>
        </w:rPr>
        <w:t>1、统一平台管理；2、学员报名报到管理；3、教学计划管理；4、警训教务管理系统；5、学员学习管理系统；6、课程管理系统；7、教学引导系统；8、教学评估系统；9、教学资源库管理系统；；10、移动办公平台；11、移动学习平台；12、学习中心；13、个人中心；14、训练中心；15、考试中心；16、培训统计；17、教员中心</w:t>
      </w:r>
      <w:r>
        <w:rPr>
          <w:rFonts w:hint="eastAsia"/>
          <w:color w:val="000000" w:themeColor="text1"/>
        </w:rPr>
        <w:t>；</w:t>
      </w:r>
      <w:r>
        <w:rPr>
          <w:rFonts w:hint="eastAsia" w:cs="宋体"/>
          <w:color w:val="000000" w:themeColor="text1"/>
        </w:rPr>
        <w:t>：</w:t>
      </w:r>
      <w:r>
        <w:rPr>
          <w:rFonts w:cs="宋体"/>
          <w:color w:val="000000" w:themeColor="text1"/>
        </w:rPr>
        <w:t>18</w:t>
      </w:r>
      <w:r>
        <w:rPr>
          <w:rFonts w:hint="eastAsia" w:cs="宋体"/>
          <w:color w:val="000000" w:themeColor="text1"/>
        </w:rPr>
        <w:t>、后勤管理系统（餐饮）；</w:t>
      </w:r>
      <w:r>
        <w:rPr>
          <w:rFonts w:cs="宋体"/>
          <w:color w:val="000000" w:themeColor="text1"/>
        </w:rPr>
        <w:t>19</w:t>
      </w:r>
      <w:r>
        <w:rPr>
          <w:rFonts w:hint="eastAsia" w:cs="宋体"/>
          <w:color w:val="000000" w:themeColor="text1"/>
        </w:rPr>
        <w:t>、后勤管理系统（公寓）；</w:t>
      </w:r>
      <w:r>
        <w:rPr>
          <w:rFonts w:cs="宋体"/>
          <w:color w:val="000000" w:themeColor="text1"/>
        </w:rPr>
        <w:t>20</w:t>
      </w:r>
      <w:r>
        <w:rPr>
          <w:rFonts w:hint="eastAsia" w:cs="宋体"/>
          <w:color w:val="000000" w:themeColor="text1"/>
        </w:rPr>
        <w:t>、后勤管理系统（维修管理）；</w:t>
      </w:r>
      <w:r>
        <w:rPr>
          <w:rFonts w:cs="宋体"/>
          <w:color w:val="000000" w:themeColor="text1"/>
        </w:rPr>
        <w:t>21</w:t>
      </w:r>
      <w:r>
        <w:rPr>
          <w:rFonts w:hint="eastAsia" w:cs="宋体"/>
          <w:color w:val="000000" w:themeColor="text1"/>
        </w:rPr>
        <w:t>、IT设备运维；</w:t>
      </w:r>
      <w:r>
        <w:rPr>
          <w:rFonts w:cs="宋体"/>
          <w:color w:val="000000" w:themeColor="text1"/>
        </w:rPr>
        <w:t>22</w:t>
      </w:r>
      <w:r>
        <w:rPr>
          <w:rFonts w:hint="eastAsia" w:cs="宋体"/>
          <w:color w:val="000000" w:themeColor="text1"/>
        </w:rPr>
        <w:t>、辅助决策系统；</w:t>
      </w:r>
      <w:r>
        <w:rPr>
          <w:rFonts w:cs="宋体"/>
          <w:color w:val="000000" w:themeColor="text1"/>
        </w:rPr>
        <w:t>23</w:t>
      </w:r>
      <w:r>
        <w:rPr>
          <w:rFonts w:hint="eastAsia" w:cs="宋体"/>
          <w:color w:val="000000" w:themeColor="text1"/>
        </w:rPr>
        <w:t>、系统数据集成对接。</w:t>
      </w:r>
    </w:p>
    <w:p>
      <w:pPr>
        <w:pStyle w:val="58"/>
        <w:ind w:firstLine="480"/>
        <w:rPr>
          <w:color w:val="000000" w:themeColor="text1"/>
        </w:rPr>
      </w:pPr>
      <w:r>
        <w:rPr>
          <w:rFonts w:hint="eastAsia"/>
          <w:color w:val="000000" w:themeColor="text1"/>
        </w:rPr>
        <w:t>其次，在本期项目中按照业主需求和基地启动时的实际使用情况出发，围绕“</w:t>
      </w:r>
      <w:r>
        <w:rPr>
          <w:color w:val="000000" w:themeColor="text1"/>
        </w:rPr>
        <w:t>**教学信息化</w:t>
      </w:r>
      <w:r>
        <w:rPr>
          <w:rFonts w:hint="eastAsia"/>
          <w:color w:val="000000" w:themeColor="text1"/>
        </w:rPr>
        <w:t>、</w:t>
      </w:r>
      <w:r>
        <w:rPr>
          <w:color w:val="000000" w:themeColor="text1"/>
        </w:rPr>
        <w:t>**训练信息化</w:t>
      </w:r>
      <w:r>
        <w:rPr>
          <w:rFonts w:hint="eastAsia"/>
          <w:color w:val="000000" w:themeColor="text1"/>
        </w:rPr>
        <w:t>、</w:t>
      </w:r>
      <w:r>
        <w:rPr>
          <w:color w:val="000000" w:themeColor="text1"/>
        </w:rPr>
        <w:t>基础设施信息化</w:t>
      </w:r>
      <w:r>
        <w:rPr>
          <w:rFonts w:hint="eastAsia"/>
          <w:color w:val="000000" w:themeColor="text1"/>
        </w:rPr>
        <w:t>”三大需求框架。</w:t>
      </w:r>
    </w:p>
    <w:p>
      <w:pPr>
        <w:jc w:val="center"/>
        <w:rPr>
          <w:color w:val="000000" w:themeColor="text1"/>
        </w:rPr>
      </w:pPr>
      <w:r>
        <w:rPr>
          <w:color w:val="000000" w:themeColor="text1"/>
        </w:rPr>
        <w:drawing>
          <wp:inline distT="0" distB="0" distL="0" distR="0">
            <wp:extent cx="5544185" cy="2446020"/>
            <wp:effectExtent l="0" t="0" r="18415" b="11430"/>
            <wp:docPr id="44045" name="图片 440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045" name="图片 44045"/>
                    <pic:cNvPicPr>
                      <a:picLocks noChangeAspect="true"/>
                    </pic:cNvPicPr>
                  </pic:nvPicPr>
                  <pic:blipFill>
                    <a:blip r:embed="rId11"/>
                    <a:stretch>
                      <a:fillRect/>
                    </a:stretch>
                  </pic:blipFill>
                  <pic:spPr>
                    <a:xfrm>
                      <a:off x="0" y="0"/>
                      <a:ext cx="5544185" cy="2446020"/>
                    </a:xfrm>
                    <a:prstGeom prst="rect">
                      <a:avLst/>
                    </a:prstGeom>
                  </pic:spPr>
                </pic:pic>
              </a:graphicData>
            </a:graphic>
          </wp:inline>
        </w:drawing>
      </w:r>
    </w:p>
    <w:p>
      <w:pPr>
        <w:pStyle w:val="11"/>
        <w:jc w:val="center"/>
        <w:rPr>
          <w:rFonts w:eastAsiaTheme="minorEastAsia"/>
          <w:color w:val="000000" w:themeColor="text1"/>
        </w:rPr>
      </w:pPr>
      <w:r>
        <w:rPr>
          <w:color w:val="000000" w:themeColor="text1"/>
        </w:rPr>
        <w:t xml:space="preserve">图 </w:t>
      </w:r>
      <w:r>
        <w:rPr>
          <w:color w:val="000000" w:themeColor="text1"/>
        </w:rPr>
        <w:fldChar w:fldCharType="begin"/>
      </w:r>
      <w:r>
        <w:rPr>
          <w:color w:val="000000" w:themeColor="text1"/>
        </w:rPr>
        <w:instrText xml:space="preserve"> SEQ 图 \* ARABIC </w:instrText>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需求框架</w:t>
      </w:r>
    </w:p>
    <w:p>
      <w:pPr>
        <w:pStyle w:val="58"/>
        <w:ind w:firstLine="480"/>
        <w:rPr>
          <w:color w:val="000000" w:themeColor="text1"/>
        </w:rPr>
      </w:pPr>
      <w:r>
        <w:rPr>
          <w:rFonts w:hint="eastAsia"/>
          <w:color w:val="000000" w:themeColor="text1"/>
        </w:rPr>
        <w:t>建设1</w:t>
      </w:r>
      <w:r>
        <w:rPr>
          <w:color w:val="000000" w:themeColor="text1"/>
        </w:rPr>
        <w:t>5</w:t>
      </w:r>
      <w:r>
        <w:rPr>
          <w:rFonts w:hint="eastAsia"/>
          <w:color w:val="000000" w:themeColor="text1"/>
        </w:rPr>
        <w:t>个子系统来保证基地在启动阶段正常运行。1</w:t>
      </w:r>
      <w:r>
        <w:rPr>
          <w:color w:val="000000" w:themeColor="text1"/>
        </w:rPr>
        <w:t>5</w:t>
      </w:r>
      <w:r>
        <w:rPr>
          <w:rFonts w:hint="eastAsia"/>
          <w:color w:val="000000" w:themeColor="text1"/>
        </w:rPr>
        <w:t>个具体子系统如下：</w:t>
      </w:r>
      <w:r>
        <w:rPr>
          <w:color w:val="000000" w:themeColor="text1"/>
        </w:rPr>
        <w:t>1、</w:t>
      </w:r>
      <w:r>
        <w:rPr>
          <w:rFonts w:hint="eastAsia"/>
          <w:color w:val="000000" w:themeColor="text1"/>
        </w:rPr>
        <w:t>智慧</w:t>
      </w:r>
      <w:r>
        <w:rPr>
          <w:color w:val="000000" w:themeColor="text1"/>
        </w:rPr>
        <w:t>管控平台（含智慧教学系统）；2、多媒体教学系统；3、会议系统；4、公共广播系统；5、信息引导及发布系统；6、**基地实战指挥中心；7、数字场馆；8、建筑设备监控系统；9、建筑能效监管系统；10、公寓管理系统；11、阳光厨房；12、信息网络系统；13、安全技术防范系统；14、消控中心、</w:t>
      </w:r>
      <w:r>
        <w:rPr>
          <w:rFonts w:hint="eastAsia"/>
          <w:color w:val="000000" w:themeColor="text1"/>
        </w:rPr>
        <w:t>网络汇聚间</w:t>
      </w:r>
      <w:r>
        <w:rPr>
          <w:color w:val="000000" w:themeColor="text1"/>
        </w:rPr>
        <w:t>；15、室外管线。</w:t>
      </w:r>
    </w:p>
    <w:p>
      <w:pPr>
        <w:jc w:val="center"/>
        <w:rPr>
          <w:color w:val="000000" w:themeColor="text1"/>
        </w:rPr>
      </w:pPr>
      <w:r>
        <w:rPr>
          <w:color w:val="000000" w:themeColor="text1"/>
        </w:rPr>
        <w:drawing>
          <wp:inline distT="0" distB="0" distL="0" distR="0">
            <wp:extent cx="5544185" cy="2752725"/>
            <wp:effectExtent l="0" t="0" r="18415"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2"/>
                    <a:stretch>
                      <a:fillRect/>
                    </a:stretch>
                  </pic:blipFill>
                  <pic:spPr>
                    <a:xfrm>
                      <a:off x="0" y="0"/>
                      <a:ext cx="5544185" cy="2752725"/>
                    </a:xfrm>
                    <a:prstGeom prst="rect">
                      <a:avLst/>
                    </a:prstGeom>
                  </pic:spPr>
                </pic:pic>
              </a:graphicData>
            </a:graphic>
          </wp:inline>
        </w:drawing>
      </w:r>
    </w:p>
    <w:p>
      <w:pPr>
        <w:pStyle w:val="11"/>
        <w:jc w:val="center"/>
        <w:rPr>
          <w:rFonts w:eastAsiaTheme="minorEastAsia"/>
          <w:color w:val="000000" w:themeColor="text1"/>
        </w:rPr>
      </w:pPr>
      <w:r>
        <w:rPr>
          <w:color w:val="000000" w:themeColor="text1"/>
        </w:rPr>
        <w:t xml:space="preserve">图 </w:t>
      </w:r>
      <w:r>
        <w:rPr>
          <w:color w:val="000000" w:themeColor="text1"/>
        </w:rPr>
        <w:fldChar w:fldCharType="begin"/>
      </w:r>
      <w:r>
        <w:rPr>
          <w:color w:val="000000" w:themeColor="text1"/>
        </w:rPr>
        <w:instrText xml:space="preserve"> SEQ 图 \* ARABIC </w:instrText>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建设内容</w:t>
      </w:r>
    </w:p>
    <w:p>
      <w:pPr>
        <w:pStyle w:val="4"/>
        <w:rPr>
          <w:color w:val="000000" w:themeColor="text1"/>
        </w:rPr>
      </w:pPr>
      <w:bookmarkStart w:id="31" w:name="_Toc109376871"/>
      <w:bookmarkStart w:id="32" w:name="_Toc98181938"/>
      <w:bookmarkStart w:id="33" w:name="_Toc31907"/>
      <w:r>
        <w:rPr>
          <w:color w:val="000000" w:themeColor="text1"/>
        </w:rPr>
        <w:t>项目</w:t>
      </w:r>
      <w:bookmarkEnd w:id="31"/>
      <w:bookmarkEnd w:id="32"/>
      <w:bookmarkEnd w:id="33"/>
      <w:r>
        <w:rPr>
          <w:rFonts w:hint="eastAsia"/>
          <w:color w:val="000000" w:themeColor="text1"/>
        </w:rPr>
        <w:t>各系统建设要求</w:t>
      </w:r>
    </w:p>
    <w:p>
      <w:pPr>
        <w:pStyle w:val="5"/>
        <w:rPr>
          <w:color w:val="000000" w:themeColor="text1"/>
        </w:rPr>
      </w:pPr>
      <w:bookmarkStart w:id="34" w:name="_Toc32536"/>
      <w:bookmarkStart w:id="35" w:name="_Toc18883"/>
      <w:bookmarkStart w:id="36" w:name="_Toc98181939"/>
      <w:bookmarkStart w:id="37" w:name="_Toc109376872"/>
      <w:bookmarkStart w:id="38" w:name="_Toc80875210"/>
      <w:r>
        <w:rPr>
          <w:rFonts w:hint="eastAsia"/>
          <w:color w:val="000000" w:themeColor="text1"/>
        </w:rPr>
        <w:t>智慧管控平台</w:t>
      </w:r>
      <w:bookmarkEnd w:id="34"/>
      <w:bookmarkEnd w:id="35"/>
      <w:bookmarkEnd w:id="36"/>
      <w:bookmarkEnd w:id="37"/>
    </w:p>
    <w:p>
      <w:pPr>
        <w:pStyle w:val="6"/>
        <w:rPr>
          <w:color w:val="000000" w:themeColor="text1"/>
        </w:rPr>
      </w:pPr>
      <w:bookmarkStart w:id="39" w:name="_Toc80875212"/>
      <w:bookmarkStart w:id="40" w:name="_Toc109376873"/>
      <w:bookmarkStart w:id="41" w:name="_Toc81561422"/>
      <w:bookmarkStart w:id="42" w:name="_Toc18375"/>
      <w:bookmarkStart w:id="43" w:name="_Toc98181940"/>
      <w:r>
        <w:rPr>
          <w:rFonts w:hint="eastAsia"/>
          <w:color w:val="000000" w:themeColor="text1"/>
        </w:rPr>
        <w:t>建设目标</w:t>
      </w:r>
      <w:bookmarkEnd w:id="39"/>
      <w:bookmarkEnd w:id="40"/>
      <w:bookmarkEnd w:id="41"/>
      <w:bookmarkEnd w:id="42"/>
      <w:bookmarkEnd w:id="43"/>
    </w:p>
    <w:p>
      <w:pPr>
        <w:pStyle w:val="58"/>
        <w:ind w:firstLine="480"/>
        <w:rPr>
          <w:color w:val="000000" w:themeColor="text1"/>
        </w:rPr>
      </w:pPr>
      <w:r>
        <w:rPr>
          <w:rFonts w:hint="eastAsia"/>
          <w:color w:val="000000" w:themeColor="text1"/>
        </w:rPr>
        <w:t>智慧管控平台需求分为两部分：</w:t>
      </w:r>
    </w:p>
    <w:p>
      <w:pPr>
        <w:pStyle w:val="58"/>
        <w:ind w:firstLine="480"/>
        <w:rPr>
          <w:color w:val="000000" w:themeColor="text1"/>
        </w:rPr>
      </w:pPr>
      <w:r>
        <w:rPr>
          <w:rFonts w:hint="eastAsia"/>
          <w:color w:val="000000" w:themeColor="text1"/>
        </w:rPr>
        <w:t>一是建设针对金华市**训练基地培训的校务平台，供教职员、培训学员在校教学、工作、培训使用，通过信息化的手段，使教学管理、课程管理、学员生活管理更加智能化，减少人力投入。满足以下要求：1、统一平台管理；2、学员报名报到管理；3、教学计划管理；4、警训教务管理系统；5、学员学习管理系统；6、课程管理系统；7、教学引导系统；8、教学评估系统；9、教学资源库管理系统；；10、移动办公平台；11、移动学习平台；12、学习中心；13、个人中心；14、训练中心；15、考试中心；16、培训统计；17、教员中心。</w:t>
      </w:r>
    </w:p>
    <w:p>
      <w:pPr>
        <w:pStyle w:val="58"/>
        <w:ind w:firstLine="480"/>
        <w:rPr>
          <w:color w:val="000000" w:themeColor="text1"/>
        </w:rPr>
      </w:pPr>
      <w:r>
        <w:rPr>
          <w:rFonts w:hint="eastAsia"/>
          <w:color w:val="000000" w:themeColor="text1"/>
        </w:rPr>
        <w:t>平台需要和**训练库数据打通，可以获取警员数据；同时也具备警员终端通信的能力，实现平台和警员通讯、查看数据、发送训练报告等功能。</w:t>
      </w:r>
    </w:p>
    <w:p>
      <w:pPr>
        <w:pStyle w:val="58"/>
        <w:ind w:firstLine="480"/>
        <w:rPr>
          <w:color w:val="000000" w:themeColor="text1"/>
        </w:rPr>
      </w:pPr>
      <w:r>
        <w:rPr>
          <w:rFonts w:hint="eastAsia"/>
          <w:color w:val="000000" w:themeColor="text1"/>
        </w:rPr>
        <w:t>二是建设一套针对训练基地园区的管理平台，对整个园区的建筑楼宇、设备实施、后勤管理、IT设备运维等进行信息化智慧管理，减少基地日常运行的人力成本。具体功能如下：1、后勤管理系统（餐饮）；2、后勤管理系统（公寓）；3、后勤管理系统（维修管理）；4、IT设备运维；5、辅助决策系统；6、系统数据集成对接。</w:t>
      </w:r>
    </w:p>
    <w:p>
      <w:pPr>
        <w:pStyle w:val="6"/>
        <w:rPr>
          <w:color w:val="000000" w:themeColor="text1"/>
        </w:rPr>
      </w:pPr>
      <w:bookmarkStart w:id="44" w:name="_Toc109376874"/>
      <w:bookmarkStart w:id="45" w:name="_Toc98181944"/>
      <w:r>
        <w:rPr>
          <w:rFonts w:hint="eastAsia"/>
          <w:color w:val="000000" w:themeColor="text1"/>
        </w:rPr>
        <w:t>技术设计架构</w:t>
      </w:r>
      <w:bookmarkEnd w:id="44"/>
      <w:bookmarkEnd w:id="45"/>
    </w:p>
    <w:p>
      <w:pPr>
        <w:pStyle w:val="58"/>
        <w:numPr>
          <w:ilvl w:val="0"/>
          <w:numId w:val="6"/>
        </w:numPr>
        <w:ind w:firstLineChars="0"/>
        <w:rPr>
          <w:color w:val="000000" w:themeColor="text1"/>
        </w:rPr>
      </w:pPr>
      <w:r>
        <w:rPr>
          <w:rFonts w:hint="eastAsia"/>
          <w:color w:val="000000" w:themeColor="text1"/>
        </w:rPr>
        <w:t>基于</w:t>
      </w:r>
      <w:r>
        <w:rPr>
          <w:color w:val="000000" w:themeColor="text1"/>
        </w:rPr>
        <w:t>DevSecOps</w:t>
      </w:r>
      <w:r>
        <w:rPr>
          <w:rFonts w:hint="eastAsia"/>
          <w:color w:val="000000" w:themeColor="text1"/>
        </w:rPr>
        <w:t>积木搭建模式全国产化低代码开发平台；</w:t>
      </w:r>
    </w:p>
    <w:p>
      <w:pPr>
        <w:pStyle w:val="58"/>
        <w:numPr>
          <w:ilvl w:val="0"/>
          <w:numId w:val="6"/>
        </w:numPr>
        <w:ind w:firstLineChars="0"/>
        <w:rPr>
          <w:color w:val="000000" w:themeColor="text1"/>
        </w:rPr>
      </w:pPr>
      <w:r>
        <w:rPr>
          <w:rFonts w:hint="eastAsia"/>
          <w:color w:val="000000" w:themeColor="text1"/>
        </w:rPr>
        <w:t>全面适配国产化；</w:t>
      </w:r>
    </w:p>
    <w:p>
      <w:pPr>
        <w:pStyle w:val="58"/>
        <w:numPr>
          <w:ilvl w:val="0"/>
          <w:numId w:val="6"/>
        </w:numPr>
        <w:ind w:firstLineChars="0"/>
        <w:rPr>
          <w:color w:val="000000" w:themeColor="text1"/>
        </w:rPr>
      </w:pPr>
      <w:r>
        <w:rPr>
          <w:rFonts w:hint="eastAsia"/>
          <w:color w:val="000000" w:themeColor="text1"/>
        </w:rPr>
        <w:t>软件即服务模式，用户只需订阅即可使用服务；</w:t>
      </w:r>
    </w:p>
    <w:p>
      <w:pPr>
        <w:pStyle w:val="58"/>
        <w:numPr>
          <w:ilvl w:val="0"/>
          <w:numId w:val="6"/>
        </w:numPr>
        <w:ind w:firstLineChars="0"/>
        <w:rPr>
          <w:color w:val="000000" w:themeColor="text1"/>
        </w:rPr>
      </w:pPr>
      <w:r>
        <w:rPr>
          <w:rFonts w:hint="eastAsia"/>
          <w:color w:val="000000" w:themeColor="text1"/>
        </w:rPr>
        <w:t>将平台拆分为多个独立服务，各服务间通过接口进行数据交换，整个平台耦合度更低。是目前流行的开发模式；</w:t>
      </w:r>
    </w:p>
    <w:p>
      <w:pPr>
        <w:pStyle w:val="58"/>
        <w:numPr>
          <w:ilvl w:val="0"/>
          <w:numId w:val="6"/>
        </w:numPr>
        <w:ind w:firstLineChars="0"/>
        <w:rPr>
          <w:color w:val="000000" w:themeColor="text1"/>
        </w:rPr>
      </w:pPr>
      <w:r>
        <w:rPr>
          <w:rFonts w:hint="eastAsia"/>
          <w:color w:val="000000" w:themeColor="text1"/>
        </w:rPr>
        <w:t>通过智能搜索、智能办理、智能办公秘书、智能用户行为分析等功能实现平台的智能化；</w:t>
      </w:r>
    </w:p>
    <w:p>
      <w:pPr>
        <w:pStyle w:val="58"/>
        <w:numPr>
          <w:ilvl w:val="0"/>
          <w:numId w:val="6"/>
        </w:numPr>
        <w:ind w:firstLineChars="0"/>
        <w:rPr>
          <w:color w:val="000000" w:themeColor="text1"/>
        </w:rPr>
      </w:pPr>
      <w:r>
        <w:rPr>
          <w:rFonts w:hint="eastAsia"/>
          <w:color w:val="000000" w:themeColor="text1"/>
        </w:rPr>
        <w:t>使用统一的元数据标准管理整个系统的数据，为整个系统的数据标准化打好基础，更利于数据的利用。</w:t>
      </w:r>
    </w:p>
    <w:p>
      <w:pPr>
        <w:pStyle w:val="58"/>
        <w:ind w:firstLine="480"/>
        <w:rPr>
          <w:color w:val="000000" w:themeColor="text1"/>
        </w:rPr>
      </w:pPr>
      <w:r>
        <w:rPr>
          <w:rFonts w:hint="eastAsia"/>
          <w:color w:val="000000" w:themeColor="text1"/>
        </w:rPr>
        <w:t>金华**训练基地的综合管控平台数据服务层、平台支撑层、应用协同层建设在公安网云机房，架设两台智慧综合管控平台服务器。</w:t>
      </w:r>
    </w:p>
    <w:p>
      <w:pPr>
        <w:pStyle w:val="58"/>
        <w:ind w:firstLine="480"/>
        <w:rPr>
          <w:color w:val="000000" w:themeColor="text1"/>
        </w:rPr>
      </w:pPr>
      <w:r>
        <w:rPr>
          <w:rFonts w:hint="eastAsia"/>
          <w:color w:val="000000" w:themeColor="text1"/>
        </w:rPr>
        <w:t>金华**训练基地本地通过综合管控平台管理工作站，通过B/S架构，主要事务逻辑在服务器端实现。综合管控平台管理工作站接入公安网，通过访问智慧综合管控平台服务器，完成对智慧综合管控平台的操作控制。</w:t>
      </w:r>
      <w:bookmarkStart w:id="46" w:name="_Toc98181946"/>
    </w:p>
    <w:p>
      <w:pPr>
        <w:pStyle w:val="6"/>
        <w:rPr>
          <w:color w:val="000000" w:themeColor="text1"/>
        </w:rPr>
      </w:pPr>
      <w:bookmarkStart w:id="47" w:name="_Toc109376875"/>
      <w:r>
        <w:rPr>
          <w:rFonts w:hint="eastAsia"/>
          <w:color w:val="000000" w:themeColor="text1"/>
        </w:rPr>
        <w:t>数据库对接</w:t>
      </w:r>
      <w:bookmarkEnd w:id="46"/>
      <w:bookmarkEnd w:id="47"/>
    </w:p>
    <w:p>
      <w:pPr>
        <w:pStyle w:val="58"/>
        <w:ind w:firstLine="480"/>
        <w:rPr>
          <w:color w:val="000000" w:themeColor="text1"/>
        </w:rPr>
      </w:pPr>
      <w:r>
        <w:rPr>
          <w:rFonts w:hint="eastAsia"/>
          <w:color w:val="000000" w:themeColor="text1"/>
        </w:rPr>
        <w:t>综合管控平台数据中心建设框架主要由数据交换服务、基础数据库、业务数据库、感知数据库和主题库等构成。</w:t>
      </w:r>
    </w:p>
    <w:p>
      <w:pPr>
        <w:pStyle w:val="58"/>
        <w:ind w:firstLine="480"/>
        <w:rPr>
          <w:color w:val="000000" w:themeColor="text1"/>
        </w:rPr>
      </w:pPr>
      <w:r>
        <w:rPr>
          <w:rFonts w:hint="eastAsia"/>
          <w:color w:val="000000" w:themeColor="text1"/>
        </w:rPr>
        <w:t>数据对接分析：</w:t>
      </w:r>
    </w:p>
    <w:p>
      <w:pPr>
        <w:pStyle w:val="58"/>
        <w:ind w:firstLine="480"/>
        <w:rPr>
          <w:color w:val="000000" w:themeColor="text1"/>
        </w:rPr>
      </w:pPr>
      <w:r>
        <w:rPr>
          <w:rFonts w:hint="eastAsia"/>
          <w:color w:val="000000" w:themeColor="text1"/>
        </w:rPr>
        <w:t>公安网：警员信息库（警员人脸等基本信息采集）、警员训练库（警员人脸等基本信息采集）、**通（培训警员报名数据采集、教学报告信息、课程安排、训练成绩档案等教学系统数据下发）；</w:t>
      </w:r>
    </w:p>
    <w:p>
      <w:pPr>
        <w:pStyle w:val="58"/>
        <w:ind w:firstLine="480"/>
        <w:rPr>
          <w:color w:val="000000" w:themeColor="text1"/>
        </w:rPr>
      </w:pPr>
      <w:r>
        <w:rPr>
          <w:rFonts w:hint="eastAsia"/>
          <w:color w:val="000000" w:themeColor="text1"/>
        </w:rPr>
        <w:t>政务网：浙政钉（培训人员报名数据采集、教学报告信息、课程安排、训练成绩档案等教学系统数据下发）；</w:t>
      </w:r>
    </w:p>
    <w:p>
      <w:pPr>
        <w:pStyle w:val="58"/>
        <w:ind w:firstLine="480"/>
        <w:rPr>
          <w:color w:val="000000" w:themeColor="text1"/>
        </w:rPr>
      </w:pPr>
      <w:r>
        <w:rPr>
          <w:rFonts w:hint="eastAsia"/>
          <w:color w:val="000000" w:themeColor="text1"/>
        </w:rPr>
        <w:t>金华**训练基地：信息发布系统（教学管理系统信息发布数据下发、系统管理数据传输）、会议预约系统（教学管理系统会议预约数据上传、下发、系统管理数据传输）、体能测试系统（训练数据、考勤数据上传、系统管理数据传输）、建筑设备监控系统（楼宇自控系统采集数据上传、系统管理数据传输）、建筑能效监管系统（建筑能耗数据上传、系统管理数据传输）、公寓管理系统（教学管理系统入住安排数据下发、公寓入住情况反馈、系统管理数据传输）、安全技术防范系统（教学管理系统人脸、车辆信息下发、基地安防数据上传、系统管理数据传输）。</w:t>
      </w:r>
    </w:p>
    <w:p>
      <w:pPr>
        <w:pStyle w:val="6"/>
        <w:rPr>
          <w:color w:val="000000" w:themeColor="text1"/>
        </w:rPr>
      </w:pPr>
      <w:bookmarkStart w:id="48" w:name="_Toc98181947"/>
      <w:bookmarkStart w:id="49" w:name="_Toc109376876"/>
      <w:bookmarkStart w:id="50" w:name="_Toc15644"/>
      <w:r>
        <w:rPr>
          <w:rFonts w:hint="eastAsia"/>
          <w:color w:val="000000" w:themeColor="text1"/>
        </w:rPr>
        <w:t>平台功能设计</w:t>
      </w:r>
      <w:bookmarkEnd w:id="48"/>
      <w:bookmarkEnd w:id="49"/>
      <w:bookmarkEnd w:id="50"/>
    </w:p>
    <w:p>
      <w:pPr>
        <w:pStyle w:val="7"/>
        <w:rPr>
          <w:color w:val="000000" w:themeColor="text1"/>
        </w:rPr>
      </w:pPr>
      <w:bookmarkStart w:id="51" w:name="_Toc98181948"/>
      <w:r>
        <w:rPr>
          <w:rFonts w:hint="eastAsia"/>
          <w:color w:val="000000" w:themeColor="text1"/>
        </w:rPr>
        <w:t>统一支撑平台</w:t>
      </w:r>
      <w:bookmarkEnd w:id="51"/>
    </w:p>
    <w:p>
      <w:pPr>
        <w:pStyle w:val="58"/>
        <w:ind w:firstLine="480"/>
        <w:rPr>
          <w:color w:val="000000" w:themeColor="text1"/>
        </w:rPr>
      </w:pPr>
      <w:r>
        <w:rPr>
          <w:rFonts w:hint="eastAsia"/>
          <w:color w:val="000000" w:themeColor="text1"/>
        </w:rPr>
        <w:t>金华市**训练基地智慧校园系统功能随需定制的集成平台，统一支撑平台主要包括以下平台：统一用户管理、统一认证管理、统一授权管理、统一消息管理、统一短信服务、统一工作流管理、统一接口管理、统一报表管理等。</w:t>
      </w:r>
    </w:p>
    <w:p>
      <w:pPr>
        <w:pStyle w:val="7"/>
        <w:rPr>
          <w:color w:val="000000" w:themeColor="text1"/>
        </w:rPr>
      </w:pPr>
      <w:bookmarkStart w:id="52" w:name="_Toc98181949"/>
      <w:r>
        <w:rPr>
          <w:rFonts w:hint="eastAsia"/>
          <w:color w:val="000000" w:themeColor="text1"/>
        </w:rPr>
        <w:t>学员报到系统</w:t>
      </w:r>
      <w:bookmarkEnd w:id="52"/>
    </w:p>
    <w:p>
      <w:pPr>
        <w:pStyle w:val="58"/>
        <w:ind w:firstLine="480"/>
        <w:rPr>
          <w:color w:val="000000" w:themeColor="text1"/>
        </w:rPr>
      </w:pPr>
      <w:r>
        <w:rPr>
          <w:rFonts w:hint="eastAsia"/>
          <w:color w:val="000000" w:themeColor="text1"/>
        </w:rPr>
        <w:t>学员报到系统主要解决学员快速报到问题，需要集成一卡通、公寓管理、短信平台、网络管理平台、软件基础平台等综合应用。</w:t>
      </w:r>
    </w:p>
    <w:p>
      <w:pPr>
        <w:pStyle w:val="58"/>
        <w:ind w:firstLine="480"/>
        <w:rPr>
          <w:color w:val="000000" w:themeColor="text1"/>
        </w:rPr>
      </w:pPr>
      <w:r>
        <w:rPr>
          <w:rFonts w:hint="eastAsia"/>
          <w:color w:val="000000" w:themeColor="text1"/>
        </w:rPr>
        <w:t>在学员入学前教务处已提前把学员信息导入，平台要求警员数据从金华警训库里自己导入信息，通过短信、移动端告知学员系统登陆地址、用户名和密码。学员入学后，通过登陆系统后进行个人信息的完善，照片的上传，修改登录密码，在线缴费等操作，完成学员自助报道。该系统包括身份证读取、报到确认、信息发送、签到查看、接站信息、送站信息的功能下。</w:t>
      </w:r>
    </w:p>
    <w:p>
      <w:pPr>
        <w:pStyle w:val="7"/>
        <w:rPr>
          <w:color w:val="000000" w:themeColor="text1"/>
        </w:rPr>
      </w:pPr>
      <w:bookmarkStart w:id="53" w:name="_Toc443404025"/>
      <w:bookmarkStart w:id="54" w:name="_Toc98181950"/>
      <w:bookmarkStart w:id="55" w:name="_Toc513151849"/>
      <w:bookmarkStart w:id="56" w:name="_Toc375720710"/>
      <w:bookmarkStart w:id="57" w:name="_Toc304287080"/>
      <w:r>
        <w:rPr>
          <w:rFonts w:hint="eastAsia"/>
          <w:color w:val="000000" w:themeColor="text1"/>
        </w:rPr>
        <w:t>教学计划管理</w:t>
      </w:r>
      <w:bookmarkEnd w:id="53"/>
      <w:bookmarkEnd w:id="54"/>
      <w:bookmarkEnd w:id="55"/>
      <w:bookmarkEnd w:id="56"/>
      <w:bookmarkEnd w:id="57"/>
    </w:p>
    <w:p>
      <w:pPr>
        <w:pStyle w:val="58"/>
        <w:ind w:firstLine="480"/>
        <w:rPr>
          <w:color w:val="000000" w:themeColor="text1"/>
        </w:rPr>
      </w:pPr>
      <w:r>
        <w:rPr>
          <w:rFonts w:hint="eastAsia"/>
          <w:color w:val="000000" w:themeColor="text1"/>
        </w:rPr>
        <w:t>由教学主管部门进行班次的安排，指定单班的具体课程名称、授课人、授课时间、教学方式、教学地点等内容，制定完成后全校公开。</w:t>
      </w:r>
    </w:p>
    <w:p>
      <w:pPr>
        <w:pStyle w:val="58"/>
        <w:ind w:firstLine="480"/>
        <w:rPr>
          <w:color w:val="000000" w:themeColor="text1"/>
        </w:rPr>
      </w:pPr>
      <w:r>
        <w:rPr>
          <w:rFonts w:hint="eastAsia"/>
          <w:color w:val="000000" w:themeColor="text1"/>
        </w:rPr>
        <w:t>校内所有计划内的班次课程都由教务部进行统一编排，首先由组织部统一下发学期的总班次表，然后警校根据班次表指定每个单班的班主任、教研部协调人和教务部协调人，最后分派到教务部中的具体人员，对单班进行课程排定。该系统包括教学任务书管理、排课管理、实施计划书管理、教学质量报告管理、授课管理、调课管理、课程共享管理、证书管理、班次管理等功能。</w:t>
      </w:r>
    </w:p>
    <w:p>
      <w:pPr>
        <w:pStyle w:val="7"/>
        <w:rPr>
          <w:color w:val="000000" w:themeColor="text1"/>
        </w:rPr>
      </w:pPr>
      <w:bookmarkStart w:id="58" w:name="_Toc98181951"/>
      <w:r>
        <w:rPr>
          <w:rFonts w:hint="eastAsia"/>
          <w:color w:val="000000" w:themeColor="text1"/>
        </w:rPr>
        <w:t>警训教务管理系统</w:t>
      </w:r>
      <w:bookmarkEnd w:id="58"/>
    </w:p>
    <w:p>
      <w:pPr>
        <w:pStyle w:val="58"/>
        <w:ind w:firstLine="480"/>
        <w:rPr>
          <w:color w:val="000000" w:themeColor="text1"/>
        </w:rPr>
      </w:pPr>
      <w:r>
        <w:rPr>
          <w:rFonts w:hint="eastAsia"/>
          <w:color w:val="000000" w:themeColor="text1"/>
        </w:rPr>
        <w:t>教务管理系统为我校信息化建设核心应用，从班次开班开始，对整个学习过程进行信息化操作，如制定教学计划、确定班级课表及授课老师、安排体训课、统计分析教学评价、打印结业证书等一系列操作，将教学管理做到以人为本，减少教职员工的重复操作，消除各部门之间的壁垒，提高整体教学质量和工作效率。该系统包括班级信息管理、排课管理、调课管理、授课管理、课程共享管理、课表管理、课表管理、考情管理、结业证管理、教学资源分配管理等功能。</w:t>
      </w:r>
    </w:p>
    <w:p>
      <w:pPr>
        <w:pStyle w:val="7"/>
        <w:rPr>
          <w:color w:val="000000" w:themeColor="text1"/>
        </w:rPr>
      </w:pPr>
      <w:bookmarkStart w:id="59" w:name="_Toc98181952"/>
      <w:r>
        <w:rPr>
          <w:rFonts w:hint="eastAsia"/>
          <w:color w:val="000000" w:themeColor="text1"/>
        </w:rPr>
        <w:t>学员学习管理系统</w:t>
      </w:r>
      <w:bookmarkEnd w:id="59"/>
    </w:p>
    <w:p>
      <w:pPr>
        <w:pStyle w:val="58"/>
        <w:ind w:firstLine="480"/>
        <w:rPr>
          <w:color w:val="000000" w:themeColor="text1"/>
        </w:rPr>
      </w:pPr>
      <w:r>
        <w:rPr>
          <w:rFonts w:hint="eastAsia"/>
          <w:color w:val="000000" w:themeColor="text1"/>
        </w:rPr>
        <w:t>学员管理系统要求提供以下功能：学员信息管理、人员信息浏览、信息反馈、通知公告、学员评估、交流空间、排座位、请假管理、课程查看、考勤管理、评估管理、问卷调查、学员小结、个人中心等。</w:t>
      </w:r>
    </w:p>
    <w:p>
      <w:pPr>
        <w:pStyle w:val="7"/>
        <w:rPr>
          <w:color w:val="000000" w:themeColor="text1"/>
        </w:rPr>
      </w:pPr>
      <w:bookmarkStart w:id="60" w:name="_Toc98181953"/>
      <w:r>
        <w:rPr>
          <w:rFonts w:hint="eastAsia"/>
          <w:color w:val="000000" w:themeColor="text1"/>
        </w:rPr>
        <w:t>课程管理系统</w:t>
      </w:r>
      <w:bookmarkEnd w:id="60"/>
    </w:p>
    <w:p>
      <w:pPr>
        <w:pStyle w:val="58"/>
        <w:ind w:firstLine="480"/>
        <w:rPr>
          <w:color w:val="000000" w:themeColor="text1"/>
        </w:rPr>
      </w:pPr>
      <w:r>
        <w:rPr>
          <w:rFonts w:hint="eastAsia"/>
          <w:color w:val="000000" w:themeColor="text1"/>
        </w:rPr>
        <w:t>班主任管理系统是主要针对班主任平时大量的信息处理和管理工作而开发的系统，通过对学员信息管理、班级管理、课程管理、评价管理、学员交流管理等，实现班主任管理工作的系统化，规范化和自动化，实现班主任工作流程的集中统一管理，给班主任的工作带来更高的效率。该系统包括公告维护、课程安排、评价管理、作业情况、交流空间、学员信息维护、考情管理、排座位、短信平台等功能。</w:t>
      </w:r>
    </w:p>
    <w:p>
      <w:pPr>
        <w:pStyle w:val="7"/>
        <w:rPr>
          <w:color w:val="000000" w:themeColor="text1"/>
        </w:rPr>
      </w:pPr>
      <w:bookmarkStart w:id="61" w:name="_Toc38297847"/>
      <w:bookmarkStart w:id="62" w:name="_Toc98181954"/>
      <w:r>
        <w:rPr>
          <w:rFonts w:hint="eastAsia"/>
          <w:color w:val="000000" w:themeColor="text1"/>
        </w:rPr>
        <w:t>教学引导系统</w:t>
      </w:r>
      <w:bookmarkEnd w:id="61"/>
      <w:bookmarkEnd w:id="62"/>
    </w:p>
    <w:p>
      <w:pPr>
        <w:pStyle w:val="58"/>
        <w:ind w:firstLine="480"/>
        <w:rPr>
          <w:color w:val="000000" w:themeColor="text1"/>
        </w:rPr>
      </w:pPr>
      <w:r>
        <w:rPr>
          <w:rFonts w:hint="eastAsia"/>
          <w:color w:val="000000" w:themeColor="text1"/>
        </w:rPr>
        <w:t>为了方便学员更好的了解教学课程、教学时间、教学场地、任课老师等信息，在各教学场所安装教学引导显示屏硬件。将教务系统与校一卡通系统进行对接，学员通过引导屏刷卡后展示当前学员基本信息、上课时间、上课课程、授课老师等情况；学员进入教室，可以通过教学引导屏刷卡记录考勤；教师和教务部、学员部有关人员通过引导屏可以了解学员上课考勤情况；学员也可以通过引导屏刷卡后了解其一卡通系统内的相关信息；当引导屏闲置时把学校校园相关信息发布在屏上，供学员了解。教学引导屏可以按不同时间开关机，不同教室开关机，实现远程开关教学引导屏。该系统包括刷卡管理、教学引导管理、教学宣传管理、考情管理、触摸查询、通讯方式、开发接口等功能。</w:t>
      </w:r>
    </w:p>
    <w:p>
      <w:pPr>
        <w:pStyle w:val="7"/>
        <w:rPr>
          <w:color w:val="000000" w:themeColor="text1"/>
        </w:rPr>
      </w:pPr>
      <w:bookmarkStart w:id="63" w:name="_Toc98181955"/>
      <w:r>
        <w:rPr>
          <w:rFonts w:hint="eastAsia"/>
          <w:color w:val="000000" w:themeColor="text1"/>
        </w:rPr>
        <w:t>教学评估系统</w:t>
      </w:r>
      <w:bookmarkEnd w:id="63"/>
    </w:p>
    <w:p>
      <w:pPr>
        <w:pStyle w:val="58"/>
        <w:ind w:firstLine="480"/>
        <w:rPr>
          <w:color w:val="000000" w:themeColor="text1"/>
        </w:rPr>
      </w:pPr>
      <w:r>
        <w:rPr>
          <w:rFonts w:hint="eastAsia"/>
          <w:color w:val="000000" w:themeColor="text1"/>
        </w:rPr>
        <w:t>以学员教学评估为主线，包括课程信息、评估指标信息、评估数据、权限数据，同时建设评估界面、查询界面、管理者界面、数据导入界面、短信通知等上层应用平台。</w:t>
      </w:r>
    </w:p>
    <w:p>
      <w:pPr>
        <w:pStyle w:val="58"/>
        <w:ind w:firstLine="480"/>
        <w:rPr>
          <w:color w:val="000000" w:themeColor="text1"/>
        </w:rPr>
      </w:pPr>
      <w:bookmarkStart w:id="64" w:name="_Toc403128017"/>
      <w:bookmarkEnd w:id="64"/>
      <w:r>
        <w:rPr>
          <w:rFonts w:hint="eastAsia"/>
          <w:color w:val="000000" w:themeColor="text1"/>
        </w:rPr>
        <w:t>学员在接受培训过程中，通过系统发放课程评价表，实时对课程、老师、后勤等方面进行评价。课程评价表的评价项目可以由系统自动生成，也可以由用户自己设定，系统针对学员对课程、授课老师、后勤服务的反馈，形成各类统计表，供警校检验课程的优劣以及教师的授课情况及警校后勤服务的质量。该系统包括授课老师评估、课程评估、现场教学评估、评估管理等功能。</w:t>
      </w:r>
    </w:p>
    <w:p>
      <w:pPr>
        <w:pStyle w:val="7"/>
        <w:rPr>
          <w:color w:val="000000" w:themeColor="text1"/>
        </w:rPr>
      </w:pPr>
      <w:bookmarkStart w:id="65" w:name="_Toc38297840"/>
      <w:bookmarkStart w:id="66" w:name="_Toc98181956"/>
      <w:r>
        <w:rPr>
          <w:rFonts w:hint="eastAsia"/>
          <w:color w:val="000000" w:themeColor="text1"/>
        </w:rPr>
        <w:t>教学资源库管理系统</w:t>
      </w:r>
      <w:bookmarkEnd w:id="65"/>
      <w:bookmarkEnd w:id="66"/>
    </w:p>
    <w:p>
      <w:pPr>
        <w:pStyle w:val="58"/>
        <w:ind w:firstLine="480"/>
        <w:rPr>
          <w:color w:val="000000" w:themeColor="text1"/>
        </w:rPr>
      </w:pPr>
      <w:r>
        <w:rPr>
          <w:rFonts w:hint="eastAsia"/>
          <w:color w:val="000000" w:themeColor="text1"/>
        </w:rPr>
        <w:t>教学资源库管理系统包括学员库管理、师资库管理、班主任库管理、班次库管理、课程库管理、教材库管理等，建设一个规范的、内容丰富的、开放性的和具有“校园特色”的教学资源库管理系统对学校更快的发展搭建了有利平台。该系统包括学员库管理、师资库管理、课程课管理、教材库管理、案列库管理、班主任库管理、统计查询等功能。</w:t>
      </w:r>
    </w:p>
    <w:p>
      <w:pPr>
        <w:pStyle w:val="7"/>
        <w:rPr>
          <w:color w:val="000000" w:themeColor="text1"/>
        </w:rPr>
      </w:pPr>
      <w:bookmarkStart w:id="67" w:name="_Toc98181957"/>
      <w:r>
        <w:rPr>
          <w:rFonts w:hint="eastAsia"/>
          <w:color w:val="000000" w:themeColor="text1"/>
        </w:rPr>
        <w:t>移动办公平台</w:t>
      </w:r>
      <w:bookmarkEnd w:id="67"/>
    </w:p>
    <w:p>
      <w:pPr>
        <w:pStyle w:val="58"/>
        <w:ind w:firstLine="480"/>
        <w:rPr>
          <w:color w:val="000000" w:themeColor="text1"/>
        </w:rPr>
      </w:pPr>
      <w:r>
        <w:rPr>
          <w:rFonts w:hint="eastAsia"/>
          <w:color w:val="000000" w:themeColor="text1"/>
        </w:rPr>
        <w:t>移动办公平台是警校学教员与领导通过移动终端进行信息互动的平台，主要实现移动终端客户与计算机 PC 终端客户之间的信息沟通。移动办公平台以手机 APP 和微信应用的方式，为教员、领导提供便捷的移动信息服务。系统应支持根据用户角色设置功能模块访问权限，不同类型的用户使用不同的版本。该系统包括通知公告、校园通讯录、一周日程、待办任务、查询统计、一周课表、教学通告、资源共享、教学评议、请假审批、班级通讯录等功能。</w:t>
      </w:r>
    </w:p>
    <w:p>
      <w:pPr>
        <w:pStyle w:val="7"/>
        <w:rPr>
          <w:color w:val="000000" w:themeColor="text1"/>
        </w:rPr>
      </w:pPr>
      <w:bookmarkStart w:id="68" w:name="_Toc98181958"/>
      <w:r>
        <w:rPr>
          <w:rFonts w:hint="eastAsia"/>
          <w:color w:val="000000" w:themeColor="text1"/>
        </w:rPr>
        <w:t>移动学习平台</w:t>
      </w:r>
      <w:bookmarkEnd w:id="68"/>
    </w:p>
    <w:p>
      <w:pPr>
        <w:pStyle w:val="58"/>
        <w:ind w:firstLine="480"/>
        <w:rPr>
          <w:color w:val="000000" w:themeColor="text1"/>
        </w:rPr>
      </w:pPr>
      <w:r>
        <w:rPr>
          <w:rFonts w:hint="eastAsia"/>
          <w:color w:val="000000" w:themeColor="text1"/>
        </w:rPr>
        <w:t>移动学习平台是警校学员通过移动终端进行信息互动的平台，主要实现移动终端客户与计算机 PC 终端客户之间的信息沟通。 移动学习平台以手机 APP 和微信应用的方式，为学员提供便捷的移动信息服务。系统应支持根据用户角色设置功能模块访问权限，不同类型的用户使用不同的版本。该系统包括通知公告、课表查询、教学评议（学员端）、请假申请、同学录、资源共享、学员须知、服务指南等功能。</w:t>
      </w:r>
    </w:p>
    <w:p>
      <w:pPr>
        <w:pStyle w:val="7"/>
        <w:rPr>
          <w:color w:val="000000" w:themeColor="text1"/>
        </w:rPr>
      </w:pPr>
      <w:bookmarkStart w:id="69" w:name="_Toc98181959"/>
      <w:r>
        <w:rPr>
          <w:rFonts w:hint="eastAsia"/>
          <w:color w:val="000000" w:themeColor="text1"/>
        </w:rPr>
        <w:t>移动服务平台</w:t>
      </w:r>
      <w:bookmarkEnd w:id="69"/>
    </w:p>
    <w:p>
      <w:pPr>
        <w:pStyle w:val="58"/>
        <w:ind w:firstLine="480"/>
        <w:rPr>
          <w:color w:val="000000" w:themeColor="text1"/>
        </w:rPr>
      </w:pPr>
      <w:r>
        <w:rPr>
          <w:rFonts w:hint="eastAsia"/>
          <w:color w:val="000000" w:themeColor="text1"/>
        </w:rPr>
        <w:t>移动应用平台是警校、老师、学员通过移动终端进行信息互动的平台，主要实现移动终端客户与计算机 PC 终端客户之间的信息沟通。 移动服务平台以手机 APP 和微信应用的方式，为校领导、管理人员、教职工，学员提供便捷的移动信息服务。系统应支持根据用户角色设置功能模块访问权限，不同类型的用户使用不同的版本。该系统包括通知公告、校园通讯录、一周日程、待办任务、一周课表、教学通知、资源共享、教学评议、评价统计、请假审批、班级通讯录等功能。</w:t>
      </w:r>
    </w:p>
    <w:p>
      <w:pPr>
        <w:pStyle w:val="7"/>
        <w:rPr>
          <w:color w:val="000000" w:themeColor="text1"/>
        </w:rPr>
      </w:pPr>
      <w:bookmarkStart w:id="70" w:name="_Toc98181960"/>
      <w:r>
        <w:rPr>
          <w:rFonts w:hint="eastAsia"/>
          <w:color w:val="000000" w:themeColor="text1"/>
        </w:rPr>
        <w:t>学习中心</w:t>
      </w:r>
      <w:bookmarkEnd w:id="70"/>
    </w:p>
    <w:p>
      <w:pPr>
        <w:pStyle w:val="58"/>
        <w:ind w:firstLine="480"/>
        <w:rPr>
          <w:color w:val="000000" w:themeColor="text1"/>
        </w:rPr>
      </w:pPr>
      <w:r>
        <w:rPr>
          <w:rFonts w:hint="eastAsia"/>
          <w:color w:val="000000" w:themeColor="text1"/>
        </w:rPr>
        <w:t>在校培训学员可以在系统内通过自己的账号进行课程学习，课程学习支持视频观看学习课程，记录学员观看时间和频次，系统可通过后台数据统计正在学习的课程，便于学员实时查看在学课程，同时提供新增在学课程快捷按钮和继续学习按钮。课程具体信息包括课程顺序、课程名称、学时、课程时长等。可以扩展学生课后的学习任务。</w:t>
      </w:r>
    </w:p>
    <w:p>
      <w:pPr>
        <w:pStyle w:val="7"/>
        <w:rPr>
          <w:color w:val="000000" w:themeColor="text1"/>
        </w:rPr>
      </w:pPr>
      <w:bookmarkStart w:id="71" w:name="_Toc98181961"/>
      <w:r>
        <w:rPr>
          <w:rFonts w:hint="eastAsia"/>
          <w:color w:val="000000" w:themeColor="text1"/>
        </w:rPr>
        <w:t>个人中心</w:t>
      </w:r>
      <w:bookmarkEnd w:id="71"/>
    </w:p>
    <w:p>
      <w:pPr>
        <w:pStyle w:val="58"/>
        <w:ind w:firstLine="480"/>
        <w:rPr>
          <w:color w:val="000000" w:themeColor="text1"/>
        </w:rPr>
      </w:pPr>
      <w:r>
        <w:rPr>
          <w:rFonts w:hint="eastAsia"/>
          <w:color w:val="000000" w:themeColor="text1"/>
        </w:rPr>
        <w:t>在校培训学员可以在系统内查看个人的培训、体训的信息，如成绩、学习资料、选择干兴趣的培训内容等。也可以进行训练制度、问题咨询、查看精品课程等。</w:t>
      </w:r>
    </w:p>
    <w:p>
      <w:pPr>
        <w:pStyle w:val="7"/>
        <w:rPr>
          <w:color w:val="000000" w:themeColor="text1"/>
        </w:rPr>
      </w:pPr>
      <w:bookmarkStart w:id="72" w:name="_Toc98181962"/>
      <w:r>
        <w:rPr>
          <w:rFonts w:hint="eastAsia"/>
          <w:color w:val="000000" w:themeColor="text1"/>
        </w:rPr>
        <w:t>训练中心</w:t>
      </w:r>
      <w:bookmarkEnd w:id="72"/>
    </w:p>
    <w:p>
      <w:pPr>
        <w:pStyle w:val="58"/>
        <w:ind w:firstLine="480"/>
        <w:rPr>
          <w:color w:val="000000" w:themeColor="text1"/>
        </w:rPr>
      </w:pPr>
      <w:r>
        <w:rPr>
          <w:rFonts w:hint="eastAsia"/>
          <w:color w:val="000000" w:themeColor="text1"/>
        </w:rPr>
        <w:t>在校培训学员可以在系统内可以通过训练中心，进行试题测试，错题集查看，做题记录等，提供对学员在系统中所有做题情况进行记录，包括日常作业、在线自测、考试测试等过程中的做题情况，提供做题记录的汇总与统计，方便学员进行检索与查看。</w:t>
      </w:r>
    </w:p>
    <w:p>
      <w:pPr>
        <w:pStyle w:val="7"/>
        <w:rPr>
          <w:color w:val="000000" w:themeColor="text1"/>
        </w:rPr>
      </w:pPr>
      <w:bookmarkStart w:id="73" w:name="_Toc98181963"/>
      <w:r>
        <w:rPr>
          <w:rFonts w:hint="eastAsia"/>
          <w:color w:val="000000" w:themeColor="text1"/>
        </w:rPr>
        <w:t>考试中心</w:t>
      </w:r>
      <w:bookmarkEnd w:id="73"/>
    </w:p>
    <w:p>
      <w:pPr>
        <w:pStyle w:val="58"/>
        <w:ind w:firstLine="480"/>
        <w:rPr>
          <w:color w:val="000000" w:themeColor="text1"/>
        </w:rPr>
      </w:pPr>
      <w:r>
        <w:rPr>
          <w:rFonts w:hint="eastAsia"/>
          <w:color w:val="000000" w:themeColor="text1"/>
        </w:rPr>
        <w:t>通过考试中心，基地教员可以进行题库管理，对题库进行增、删、改、查及标签化综合管理。发起对学员的线上考试、考试阅卷、成绩查询、认证证书等。</w:t>
      </w:r>
    </w:p>
    <w:p>
      <w:pPr>
        <w:pStyle w:val="7"/>
        <w:rPr>
          <w:color w:val="000000" w:themeColor="text1"/>
        </w:rPr>
      </w:pPr>
      <w:bookmarkStart w:id="74" w:name="_Toc98181964"/>
      <w:r>
        <w:rPr>
          <w:rFonts w:hint="eastAsia"/>
          <w:color w:val="000000" w:themeColor="text1"/>
        </w:rPr>
        <w:t>培训统计</w:t>
      </w:r>
      <w:bookmarkEnd w:id="74"/>
    </w:p>
    <w:p>
      <w:pPr>
        <w:pStyle w:val="58"/>
        <w:ind w:firstLine="480"/>
        <w:rPr>
          <w:color w:val="000000" w:themeColor="text1"/>
        </w:rPr>
      </w:pPr>
      <w:r>
        <w:rPr>
          <w:rFonts w:hint="eastAsia"/>
          <w:color w:val="000000" w:themeColor="text1"/>
        </w:rPr>
        <w:t>在校培训教员、学员可以在系统内培训情况统计功能，可在每次培训后对培训成果进行统计展现。同时可统计某一时间段公安厅整体培训数量、培训班次数量、培训课程、培训人数等信息，支持培训统计情况的可视化图表展现。</w:t>
      </w:r>
    </w:p>
    <w:p>
      <w:pPr>
        <w:pStyle w:val="7"/>
        <w:rPr>
          <w:color w:val="000000" w:themeColor="text1"/>
        </w:rPr>
      </w:pPr>
      <w:bookmarkStart w:id="75" w:name="_Toc98181965"/>
      <w:r>
        <w:rPr>
          <w:rFonts w:hint="eastAsia"/>
          <w:color w:val="000000" w:themeColor="text1"/>
        </w:rPr>
        <w:t>教员中心</w:t>
      </w:r>
      <w:bookmarkEnd w:id="75"/>
    </w:p>
    <w:p>
      <w:pPr>
        <w:pStyle w:val="58"/>
        <w:ind w:firstLine="480"/>
        <w:rPr>
          <w:color w:val="000000" w:themeColor="text1"/>
        </w:rPr>
      </w:pPr>
      <w:r>
        <w:rPr>
          <w:rFonts w:hint="eastAsia"/>
          <w:color w:val="000000" w:themeColor="text1"/>
        </w:rPr>
        <w:t>对金华**训练基地的教员信息进行维护、管理与展现，供相关人员进行查阅，包括教员基本信息、教员业务警种、教员简历、教员教历等信息。</w:t>
      </w:r>
    </w:p>
    <w:p>
      <w:pPr>
        <w:pStyle w:val="7"/>
        <w:rPr>
          <w:color w:val="000000" w:themeColor="text1"/>
        </w:rPr>
      </w:pPr>
      <w:bookmarkStart w:id="76" w:name="_Toc98181966"/>
      <w:bookmarkStart w:id="77" w:name="_Toc34220864"/>
      <w:bookmarkStart w:id="78" w:name="_Toc38297848"/>
      <w:bookmarkStart w:id="79" w:name="_Toc496382350"/>
      <w:r>
        <w:rPr>
          <w:rFonts w:hint="eastAsia"/>
          <w:color w:val="000000" w:themeColor="text1"/>
        </w:rPr>
        <w:t>后勤管理系统（餐饮）</w:t>
      </w:r>
      <w:bookmarkEnd w:id="76"/>
    </w:p>
    <w:p>
      <w:pPr>
        <w:pStyle w:val="58"/>
        <w:ind w:firstLine="480"/>
        <w:rPr>
          <w:color w:val="000000" w:themeColor="text1"/>
        </w:rPr>
      </w:pPr>
      <w:r>
        <w:rPr>
          <w:rFonts w:hint="eastAsia"/>
          <w:color w:val="000000" w:themeColor="text1"/>
        </w:rPr>
        <w:t>对金华**训练基地食堂进行管理可实现每日用餐信息记录、每周菜谱统计与修改、月度台账统计、服务监管工作记录等功能。</w:t>
      </w:r>
    </w:p>
    <w:p>
      <w:pPr>
        <w:pStyle w:val="7"/>
        <w:rPr>
          <w:color w:val="000000" w:themeColor="text1"/>
        </w:rPr>
      </w:pPr>
      <w:bookmarkStart w:id="80" w:name="_Toc98181967"/>
      <w:r>
        <w:rPr>
          <w:rFonts w:hint="eastAsia"/>
          <w:color w:val="000000" w:themeColor="text1"/>
        </w:rPr>
        <w:t>后勤管理系统（公寓）</w:t>
      </w:r>
      <w:bookmarkEnd w:id="80"/>
    </w:p>
    <w:p>
      <w:pPr>
        <w:pStyle w:val="58"/>
        <w:ind w:firstLine="480"/>
        <w:rPr>
          <w:color w:val="000000" w:themeColor="text1"/>
        </w:rPr>
      </w:pPr>
      <w:r>
        <w:rPr>
          <w:rFonts w:hint="eastAsia"/>
          <w:color w:val="000000" w:themeColor="text1"/>
        </w:rPr>
        <w:t>对金华**训练基地6栋宿舍进行管理，实现入住计划管理、自助报道、住宿查询、客房状态设置等功能</w:t>
      </w:r>
    </w:p>
    <w:p>
      <w:pPr>
        <w:pStyle w:val="7"/>
        <w:rPr>
          <w:color w:val="000000" w:themeColor="text1"/>
        </w:rPr>
      </w:pPr>
      <w:bookmarkStart w:id="81" w:name="_Toc98181968"/>
      <w:r>
        <w:rPr>
          <w:rFonts w:hint="eastAsia"/>
          <w:color w:val="000000" w:themeColor="text1"/>
        </w:rPr>
        <w:t>后勤管理系统（维修管理）</w:t>
      </w:r>
      <w:bookmarkEnd w:id="81"/>
    </w:p>
    <w:p>
      <w:pPr>
        <w:pStyle w:val="58"/>
        <w:ind w:firstLine="480"/>
        <w:rPr>
          <w:color w:val="000000" w:themeColor="text1"/>
        </w:rPr>
      </w:pPr>
      <w:r>
        <w:rPr>
          <w:rFonts w:hint="eastAsia"/>
          <w:color w:val="000000" w:themeColor="text1"/>
        </w:rPr>
        <w:t>学员、教员对已经损坏或已濒临维修边缘的设备内容申请维修，系统同意并指派或者自动分配给专人维修。用户利用此功能进行满意度评价，管理人员可以查看评价结果及统计分析信息。</w:t>
      </w:r>
    </w:p>
    <w:p>
      <w:pPr>
        <w:pStyle w:val="7"/>
        <w:rPr>
          <w:color w:val="000000" w:themeColor="text1"/>
        </w:rPr>
      </w:pPr>
      <w:bookmarkStart w:id="82" w:name="_Toc98181969"/>
      <w:r>
        <w:rPr>
          <w:rFonts w:hint="eastAsia"/>
          <w:color w:val="000000" w:themeColor="text1"/>
        </w:rPr>
        <w:t>辅助决策系统</w:t>
      </w:r>
      <w:bookmarkEnd w:id="77"/>
      <w:bookmarkEnd w:id="78"/>
      <w:bookmarkEnd w:id="82"/>
    </w:p>
    <w:p>
      <w:pPr>
        <w:pStyle w:val="58"/>
        <w:ind w:firstLine="480"/>
        <w:rPr>
          <w:color w:val="000000" w:themeColor="text1"/>
        </w:rPr>
      </w:pPr>
      <w:r>
        <w:rPr>
          <w:rFonts w:hint="eastAsia"/>
          <w:color w:val="000000" w:themeColor="text1"/>
        </w:rPr>
        <w:t>诸多应用系统在运行一段时间后势必会沉淀很多数据，如何利用好这些数据，将对未来的警校教学工作有着深远的影响，通过初步智能化的数据抽取和挖掘，对信息进行有效过滤和整理，通过动态的图形化报表进行初步展示，让领导随时掌握校内宏观和细节信息，为决策提供有力依据。</w:t>
      </w:r>
    </w:p>
    <w:p>
      <w:pPr>
        <w:pStyle w:val="58"/>
        <w:ind w:firstLine="480"/>
        <w:rPr>
          <w:color w:val="000000" w:themeColor="text1"/>
        </w:rPr>
      </w:pPr>
      <w:r>
        <w:rPr>
          <w:rFonts w:hint="eastAsia"/>
          <w:color w:val="000000" w:themeColor="text1"/>
        </w:rPr>
        <w:t>辅助决策系统主要提供分布式数据存储能力和分析处理能力，基于开放的大数据处理技术，汇集各类安全和社会数据，形成海量的大数据分析处理中心。多种类型的数据收集以后，首先形成原始库，原始库经过分析形成主题库，进一步根据业务需求整理为面向业务的专题库。大数据平台具有细粒度的权限管理模型和可视化运维能力，确保大数据分析平台具备良好的安全性和可维护性。该系统包括即时查询、统计查询（教学资源统计、全院课表、学员库查询、全量课程表、培训统计表、综合分析、学员情况分析、学习行为分析、资源调用分析、资源推送分析、部门培训动态分析、人才结构分析）可视化展示（园区概览、物业管理、智能化建设、园区服务、园区党建、教学教务展示、考情情况展示、考核情况展示、学员情况展示、组织人事）、决策支持等功能。</w:t>
      </w:r>
    </w:p>
    <w:p>
      <w:pPr>
        <w:pStyle w:val="7"/>
        <w:rPr>
          <w:color w:val="000000" w:themeColor="text1"/>
        </w:rPr>
      </w:pPr>
      <w:bookmarkStart w:id="83" w:name="_Toc98181970"/>
      <w:r>
        <w:rPr>
          <w:rFonts w:hint="eastAsia"/>
          <w:color w:val="000000" w:themeColor="text1"/>
        </w:rPr>
        <w:t>IT运维管理</w:t>
      </w:r>
      <w:bookmarkEnd w:id="83"/>
    </w:p>
    <w:p>
      <w:pPr>
        <w:pStyle w:val="58"/>
        <w:ind w:firstLine="480"/>
        <w:rPr>
          <w:color w:val="000000" w:themeColor="text1"/>
        </w:rPr>
      </w:pPr>
      <w:r>
        <w:rPr>
          <w:rFonts w:hint="eastAsia"/>
          <w:color w:val="000000" w:themeColor="text1"/>
        </w:rPr>
        <w:t>从智慧管理、智慧服务、智慧警校三方面，构建智慧基地信息设施运行管理平台，为金华市**训练基地提供数字化运营手段和决策依据，提高公安训练基地的服务水平。</w:t>
      </w:r>
    </w:p>
    <w:p>
      <w:pPr>
        <w:pStyle w:val="58"/>
        <w:ind w:firstLine="480"/>
        <w:rPr>
          <w:color w:val="000000" w:themeColor="text1"/>
        </w:rPr>
      </w:pPr>
      <w:r>
        <w:rPr>
          <w:rFonts w:hint="eastAsia"/>
          <w:color w:val="000000" w:themeColor="text1"/>
        </w:rPr>
        <w:t>设计范围包括：1、设施设备运维；2、固定资产管理；3、故障报修，工单下发；4、安保物管人员管理。</w:t>
      </w:r>
    </w:p>
    <w:p>
      <w:pPr>
        <w:pStyle w:val="58"/>
        <w:ind w:firstLine="480"/>
        <w:rPr>
          <w:color w:val="000000" w:themeColor="text1"/>
        </w:rPr>
      </w:pPr>
      <w:r>
        <w:rPr>
          <w:rFonts w:hint="eastAsia"/>
          <w:color w:val="000000" w:themeColor="text1"/>
        </w:rPr>
        <w:t>设施设备运维</w:t>
      </w:r>
    </w:p>
    <w:p>
      <w:pPr>
        <w:pStyle w:val="58"/>
        <w:ind w:firstLine="480"/>
        <w:rPr>
          <w:color w:val="000000" w:themeColor="text1"/>
        </w:rPr>
      </w:pPr>
      <w:r>
        <w:rPr>
          <w:rFonts w:hint="eastAsia"/>
          <w:color w:val="000000" w:themeColor="text1"/>
        </w:rPr>
        <w:t>设备管理是平台对物联网终端进行远程监控、设置调整、故障排查、生命周期管理等功能。同时可实时提供网关和应用状态监控告警反馈，为预先处理故障提供支撑，提高客户服务满意度；开放的API调用接口则能帮助客户轻松地进行系统集成和增值功能开发；所有设备的数据可以存储在云端。</w:t>
      </w:r>
    </w:p>
    <w:p>
      <w:pPr>
        <w:pStyle w:val="54"/>
        <w:jc w:val="center"/>
        <w:rPr>
          <w:rFonts w:cs="宋体"/>
          <w:color w:val="000000" w:themeColor="text1"/>
        </w:rPr>
      </w:pPr>
      <w:r>
        <w:rPr>
          <w:rFonts w:hint="eastAsia" w:cs="宋体"/>
          <w:color w:val="000000" w:themeColor="text1"/>
        </w:rPr>
        <w:drawing>
          <wp:inline distT="0" distB="0" distL="0" distR="0">
            <wp:extent cx="5199380" cy="2115820"/>
            <wp:effectExtent l="0" t="0" r="1270" b="17780"/>
            <wp:docPr id="36" name="图片 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5199380" cy="2115820"/>
                    </a:xfrm>
                    <a:prstGeom prst="rect">
                      <a:avLst/>
                    </a:prstGeom>
                    <a:noFill/>
                    <a:ln>
                      <a:noFill/>
                    </a:ln>
                    <a:effectLst/>
                  </pic:spPr>
                </pic:pic>
              </a:graphicData>
            </a:graphic>
          </wp:inline>
        </w:drawing>
      </w:r>
    </w:p>
    <w:p>
      <w:pPr>
        <w:pStyle w:val="11"/>
        <w:ind w:firstLine="360"/>
        <w:jc w:val="center"/>
        <w:rPr>
          <w:rFonts w:ascii="宋体" w:hAnsi="宋体" w:cs="宋体"/>
          <w:color w:val="000000" w:themeColor="text1"/>
        </w:rPr>
      </w:pPr>
      <w:r>
        <w:rPr>
          <w:rFonts w:hint="eastAsia" w:ascii="宋体" w:hAnsi="宋体" w:cs="宋体"/>
          <w:color w:val="000000" w:themeColor="text1"/>
        </w:rPr>
        <w:t xml:space="preserve">图 </w:t>
      </w:r>
      <w:r>
        <w:rPr>
          <w:rFonts w:hint="eastAsia" w:ascii="宋体" w:hAnsi="宋体" w:cs="宋体"/>
          <w:color w:val="000000" w:themeColor="text1"/>
        </w:rPr>
        <w:fldChar w:fldCharType="begin"/>
      </w:r>
      <w:r>
        <w:rPr>
          <w:rFonts w:hint="eastAsia" w:ascii="宋体" w:hAnsi="宋体" w:cs="宋体"/>
          <w:color w:val="000000" w:themeColor="text1"/>
        </w:rPr>
        <w:instrText xml:space="preserve"> SEQ 图 \* ARABIC </w:instrText>
      </w:r>
      <w:r>
        <w:rPr>
          <w:rFonts w:hint="eastAsia" w:ascii="宋体" w:hAnsi="宋体" w:cs="宋体"/>
          <w:color w:val="000000" w:themeColor="text1"/>
        </w:rPr>
        <w:fldChar w:fldCharType="separate"/>
      </w:r>
      <w:r>
        <w:rPr>
          <w:rFonts w:ascii="宋体" w:hAnsi="宋体" w:cs="宋体"/>
          <w:color w:val="000000" w:themeColor="text1"/>
        </w:rPr>
        <w:t>3</w:t>
      </w:r>
      <w:r>
        <w:rPr>
          <w:rFonts w:hint="eastAsia" w:ascii="宋体" w:hAnsi="宋体" w:cs="宋体"/>
          <w:color w:val="000000" w:themeColor="text1"/>
        </w:rPr>
        <w:fldChar w:fldCharType="end"/>
      </w:r>
      <w:r>
        <w:rPr>
          <w:rFonts w:hint="eastAsia" w:ascii="宋体" w:hAnsi="宋体" w:cs="宋体"/>
          <w:color w:val="000000" w:themeColor="text1"/>
        </w:rPr>
        <w:t xml:space="preserve"> 设备管理控制示意图</w:t>
      </w:r>
    </w:p>
    <w:p>
      <w:pPr>
        <w:pStyle w:val="58"/>
        <w:ind w:firstLine="480"/>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设备注册</w:t>
      </w:r>
    </w:p>
    <w:p>
      <w:pPr>
        <w:pStyle w:val="58"/>
        <w:ind w:firstLine="480"/>
        <w:rPr>
          <w:color w:val="000000" w:themeColor="text1"/>
        </w:rPr>
      </w:pPr>
      <w:r>
        <w:rPr>
          <w:rFonts w:hint="eastAsia"/>
          <w:color w:val="000000" w:themeColor="text1"/>
        </w:rPr>
        <w:t>为了实现物联网平台对设备的管理，被管理的设备需要在物联网平台完成注册。在物联网平台完成注册有两种方式：</w:t>
      </w:r>
    </w:p>
    <w:p>
      <w:pPr>
        <w:pStyle w:val="58"/>
        <w:ind w:firstLine="480"/>
        <w:rPr>
          <w:color w:val="000000" w:themeColor="text1"/>
        </w:rPr>
      </w:pPr>
      <w:r>
        <w:rPr>
          <w:rFonts w:hint="eastAsia"/>
          <w:color w:val="000000" w:themeColor="text1"/>
        </w:rPr>
        <w:t>方式一：上层应用调用物联网平台的北向接口，输入设备的标识完成设备的注册，可以单个也可以批量。</w:t>
      </w:r>
    </w:p>
    <w:p>
      <w:pPr>
        <w:pStyle w:val="58"/>
        <w:ind w:firstLine="480"/>
        <w:rPr>
          <w:color w:val="000000" w:themeColor="text1"/>
        </w:rPr>
      </w:pPr>
      <w:r>
        <w:rPr>
          <w:rFonts w:hint="eastAsia"/>
          <w:color w:val="000000" w:themeColor="text1"/>
        </w:rPr>
        <w:t>方式二：政府用户通过政府账号登录物联网平台的Portal，在Portal中可以批量或者单个完成设备注册。</w:t>
      </w:r>
    </w:p>
    <w:p>
      <w:pPr>
        <w:pStyle w:val="58"/>
        <w:ind w:firstLine="480"/>
        <w:rPr>
          <w:color w:val="000000" w:themeColor="text1"/>
        </w:rPr>
      </w:pPr>
      <w:r>
        <w:rPr>
          <w:rFonts w:hint="eastAsia"/>
          <w:color w:val="000000" w:themeColor="text1"/>
        </w:rPr>
        <w:t>注册的主要目的，通过在平台的注册确保后期设备上电后接入物联网平台的合法认证。在注册后，平台会给设备分配物联网平台内部标识，后期在网络中消息传递是通过物联网平台内部标识，不传递设备本身的真实标识，确保消息被截获后无法被识别。</w:t>
      </w:r>
    </w:p>
    <w:p>
      <w:pPr>
        <w:pStyle w:val="58"/>
        <w:ind w:firstLine="480"/>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设备鉴权</w:t>
      </w:r>
    </w:p>
    <w:p>
      <w:pPr>
        <w:pStyle w:val="58"/>
        <w:ind w:firstLine="480"/>
        <w:rPr>
          <w:color w:val="000000" w:themeColor="text1"/>
        </w:rPr>
      </w:pPr>
      <w:r>
        <w:rPr>
          <w:rFonts w:hint="eastAsia"/>
          <w:color w:val="000000" w:themeColor="text1"/>
        </w:rPr>
        <w:t>当设备在物联网平台侧完成注册，设备上电，设备需要携带设备标识（例如IMEI，或者其他唯一标识）到物联网平台完成设备鉴权，物联网平台需要判断设备是否已经完成注册、如果完成注册，物联网平台分配内部标识，并下发内部标识到设备，后期设备和平台之间的交互同内部标识完成。</w:t>
      </w:r>
    </w:p>
    <w:p>
      <w:pPr>
        <w:pStyle w:val="58"/>
        <w:ind w:firstLine="480"/>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数据采集</w:t>
      </w:r>
    </w:p>
    <w:p>
      <w:pPr>
        <w:pStyle w:val="58"/>
        <w:ind w:firstLine="480"/>
        <w:rPr>
          <w:color w:val="000000" w:themeColor="text1"/>
        </w:rPr>
      </w:pPr>
      <w:r>
        <w:rPr>
          <w:rFonts w:hint="eastAsia"/>
          <w:color w:val="000000" w:themeColor="text1"/>
        </w:rPr>
        <w:t>当设备完成和物联网平台对接和注册后，一旦设备上电，设备可以基于一定的规则进行数据上报，规则可以是基于周期或者事件触发。数据上报到平台后，平台通过设备提供的插件对设备数据进行解析，解析后的数据上报给上层应用同时在平台进行存储。采集的数据可以在上层应用上查看，或者通过物联网平台的政府Portal进行查看。</w:t>
      </w:r>
    </w:p>
    <w:p>
      <w:pPr>
        <w:pStyle w:val="58"/>
        <w:ind w:firstLine="480"/>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数据授权</w:t>
      </w:r>
    </w:p>
    <w:p>
      <w:pPr>
        <w:pStyle w:val="58"/>
        <w:ind w:firstLine="480"/>
        <w:rPr>
          <w:color w:val="000000" w:themeColor="text1"/>
        </w:rPr>
      </w:pPr>
      <w:r>
        <w:rPr>
          <w:rFonts w:hint="eastAsia"/>
          <w:color w:val="000000" w:themeColor="text1"/>
        </w:rPr>
        <w:t>设备数据采集后会在物联网平台进行存储，存储周期可以配置，例如可以存储90天。</w:t>
      </w:r>
    </w:p>
    <w:p>
      <w:pPr>
        <w:pStyle w:val="58"/>
        <w:ind w:firstLine="480"/>
        <w:rPr>
          <w:color w:val="000000" w:themeColor="text1"/>
        </w:rPr>
      </w:pPr>
      <w:r>
        <w:rPr>
          <w:rFonts w:hint="eastAsia"/>
          <w:color w:val="000000" w:themeColor="text1"/>
        </w:rPr>
        <w:t>在某些业务场景下，采集后的数据需要通过权限开放给其它应用使用，政府管理人员可以登录物联网平台Portal对数据进行授权管理，授权某些数据开放给特定的应用使用。</w:t>
      </w:r>
    </w:p>
    <w:p>
      <w:pPr>
        <w:pStyle w:val="58"/>
        <w:ind w:firstLine="480"/>
        <w:rPr>
          <w:color w:val="000000" w:themeColor="text1"/>
        </w:rPr>
      </w:pPr>
      <w:r>
        <w:rPr>
          <w:rFonts w:hint="eastAsia"/>
          <w:color w:val="000000" w:themeColor="text1"/>
        </w:rPr>
        <w:t>5)</w:t>
      </w:r>
      <w:r>
        <w:rPr>
          <w:rFonts w:hint="eastAsia"/>
          <w:color w:val="000000" w:themeColor="text1"/>
        </w:rPr>
        <w:tab/>
      </w:r>
      <w:r>
        <w:rPr>
          <w:rFonts w:hint="eastAsia"/>
          <w:color w:val="000000" w:themeColor="text1"/>
        </w:rPr>
        <w:t>命令控制</w:t>
      </w:r>
    </w:p>
    <w:p>
      <w:pPr>
        <w:pStyle w:val="58"/>
        <w:ind w:firstLine="480"/>
        <w:rPr>
          <w:color w:val="000000" w:themeColor="text1"/>
        </w:rPr>
      </w:pPr>
      <w:r>
        <w:rPr>
          <w:rFonts w:hint="eastAsia"/>
          <w:color w:val="000000" w:themeColor="text1"/>
        </w:rPr>
        <w:t>为能有效的对设备进行管理，上层应用通过物联网平台开放的API对设备进行控制，或者通过物联网平台可以下发对设备控制命令。具体有哪些命令可以通过平台对设备进行控制，需要在设备接入物联网平台的设备模板里定义。命令控制方式有缓存和立即下发两种方式。</w:t>
      </w:r>
    </w:p>
    <w:p>
      <w:pPr>
        <w:pStyle w:val="58"/>
        <w:ind w:firstLine="480"/>
        <w:rPr>
          <w:color w:val="000000" w:themeColor="text1"/>
        </w:rPr>
      </w:pPr>
      <w:r>
        <w:rPr>
          <w:rFonts w:hint="eastAsia"/>
          <w:color w:val="000000" w:themeColor="text1"/>
        </w:rPr>
        <w:t>6)</w:t>
      </w:r>
      <w:r>
        <w:rPr>
          <w:rFonts w:hint="eastAsia"/>
          <w:color w:val="000000" w:themeColor="text1"/>
        </w:rPr>
        <w:tab/>
      </w:r>
      <w:r>
        <w:rPr>
          <w:rFonts w:hint="eastAsia"/>
          <w:color w:val="000000" w:themeColor="text1"/>
        </w:rPr>
        <w:t>告警管理</w:t>
      </w:r>
    </w:p>
    <w:p>
      <w:pPr>
        <w:pStyle w:val="58"/>
        <w:ind w:firstLine="480"/>
        <w:rPr>
          <w:color w:val="000000" w:themeColor="text1"/>
        </w:rPr>
      </w:pPr>
      <w:r>
        <w:rPr>
          <w:rFonts w:hint="eastAsia"/>
          <w:color w:val="000000" w:themeColor="text1"/>
        </w:rPr>
        <w:t>设备自身的告警可以在物联网平台进行管理，哪些告警需要在物联网平台进行管理需要在设备模板定义，一旦有设备告警上报，物联网平台收到后会立即上报给上层应用。政府管理管理人员可以通过物联网平台政府Portal进行告警的查看管理。</w:t>
      </w:r>
    </w:p>
    <w:p>
      <w:pPr>
        <w:pStyle w:val="58"/>
        <w:ind w:firstLine="480"/>
        <w:rPr>
          <w:color w:val="000000" w:themeColor="text1"/>
        </w:rPr>
      </w:pPr>
      <w:r>
        <w:rPr>
          <w:rFonts w:hint="eastAsia"/>
          <w:color w:val="000000" w:themeColor="text1"/>
        </w:rPr>
        <w:t>7)</w:t>
      </w:r>
      <w:r>
        <w:rPr>
          <w:rFonts w:hint="eastAsia"/>
          <w:color w:val="000000" w:themeColor="text1"/>
        </w:rPr>
        <w:tab/>
      </w:r>
      <w:r>
        <w:rPr>
          <w:rFonts w:hint="eastAsia"/>
          <w:color w:val="000000" w:themeColor="text1"/>
        </w:rPr>
        <w:t>状态管理</w:t>
      </w:r>
    </w:p>
    <w:p>
      <w:pPr>
        <w:pStyle w:val="58"/>
        <w:ind w:firstLine="480"/>
        <w:rPr>
          <w:color w:val="000000" w:themeColor="text1"/>
        </w:rPr>
      </w:pPr>
      <w:r>
        <w:rPr>
          <w:rFonts w:hint="eastAsia"/>
          <w:color w:val="000000" w:themeColor="text1"/>
        </w:rPr>
        <w:t>设备状态管理包括在线、异常、离线等状态。</w:t>
      </w:r>
    </w:p>
    <w:p>
      <w:pPr>
        <w:pStyle w:val="58"/>
        <w:ind w:firstLine="480"/>
        <w:rPr>
          <w:color w:val="000000" w:themeColor="text1"/>
        </w:rPr>
      </w:pPr>
      <w:r>
        <w:rPr>
          <w:rFonts w:hint="eastAsia"/>
          <w:color w:val="000000" w:themeColor="text1"/>
        </w:rPr>
        <w:t>在线：对于长连接设备，通过心跳保持，心跳正常代表设备在线。对于无连接设备，可以通过定义一个规则来设定设备是否是在线，例如水表设备，如果可以每天上报数据，设备即为在线状态。</w:t>
      </w:r>
    </w:p>
    <w:p>
      <w:pPr>
        <w:pStyle w:val="58"/>
        <w:ind w:firstLine="480"/>
        <w:rPr>
          <w:color w:val="000000" w:themeColor="text1"/>
        </w:rPr>
      </w:pPr>
      <w:r>
        <w:rPr>
          <w:rFonts w:hint="eastAsia"/>
          <w:color w:val="000000" w:themeColor="text1"/>
        </w:rPr>
        <w:t>异常：对于长连接设备，没有这个状态。但对于无连接设备通过设定规则来设定设备是否为异常，例如水表设备，如果一天没有上报数据，设备即为异常状态。</w:t>
      </w:r>
    </w:p>
    <w:p>
      <w:pPr>
        <w:pStyle w:val="58"/>
        <w:ind w:firstLine="480"/>
        <w:rPr>
          <w:color w:val="000000" w:themeColor="text1"/>
        </w:rPr>
      </w:pPr>
      <w:r>
        <w:rPr>
          <w:rFonts w:hint="eastAsia"/>
          <w:color w:val="000000" w:themeColor="text1"/>
        </w:rPr>
        <w:t>离线：对于长连接设备，如果在指定时间内没有心跳，设备即为离线状态。对于无连接设备通过设定规则来设定设备是否为离线，例如水表设备，如果两天没有上报数据，设备即为离线状态。</w:t>
      </w:r>
    </w:p>
    <w:p>
      <w:pPr>
        <w:pStyle w:val="58"/>
        <w:ind w:firstLine="480"/>
        <w:rPr>
          <w:color w:val="000000" w:themeColor="text1"/>
        </w:rPr>
      </w:pPr>
      <w:r>
        <w:rPr>
          <w:rFonts w:hint="eastAsia"/>
          <w:color w:val="000000" w:themeColor="text1"/>
        </w:rPr>
        <w:t>8)</w:t>
      </w:r>
      <w:r>
        <w:rPr>
          <w:rFonts w:hint="eastAsia"/>
          <w:color w:val="000000" w:themeColor="text1"/>
        </w:rPr>
        <w:tab/>
      </w:r>
      <w:r>
        <w:rPr>
          <w:rFonts w:hint="eastAsia"/>
          <w:color w:val="000000" w:themeColor="text1"/>
        </w:rPr>
        <w:t>故障诊断</w:t>
      </w:r>
    </w:p>
    <w:p>
      <w:pPr>
        <w:pStyle w:val="58"/>
        <w:ind w:firstLine="480"/>
        <w:rPr>
          <w:color w:val="000000" w:themeColor="text1"/>
        </w:rPr>
      </w:pPr>
      <w:r>
        <w:rPr>
          <w:rFonts w:hint="eastAsia"/>
          <w:color w:val="000000" w:themeColor="text1"/>
        </w:rPr>
        <w:t>物联网平台可以提供多维度的设备故障诊断能力，通过对如下维度来诊断设备：</w:t>
      </w:r>
    </w:p>
    <w:p>
      <w:pPr>
        <w:pStyle w:val="58"/>
        <w:ind w:firstLine="480"/>
        <w:rPr>
          <w:color w:val="000000" w:themeColor="text1"/>
        </w:rPr>
      </w:pPr>
      <w:r>
        <w:rPr>
          <w:rFonts w:hint="eastAsia"/>
          <w:color w:val="000000" w:themeColor="text1"/>
        </w:rPr>
        <w:t>设备在平台注册情况分析</w:t>
      </w:r>
    </w:p>
    <w:p>
      <w:pPr>
        <w:pStyle w:val="58"/>
        <w:ind w:firstLine="480"/>
        <w:rPr>
          <w:color w:val="000000" w:themeColor="text1"/>
        </w:rPr>
      </w:pPr>
      <w:r>
        <w:rPr>
          <w:rFonts w:hint="eastAsia"/>
          <w:color w:val="000000" w:themeColor="text1"/>
        </w:rPr>
        <w:t>设备最近一次和平台交互时间</w:t>
      </w:r>
    </w:p>
    <w:p>
      <w:pPr>
        <w:pStyle w:val="58"/>
        <w:ind w:firstLine="480"/>
        <w:rPr>
          <w:color w:val="000000" w:themeColor="text1"/>
        </w:rPr>
      </w:pPr>
      <w:r>
        <w:rPr>
          <w:rFonts w:hint="eastAsia"/>
          <w:color w:val="000000" w:themeColor="text1"/>
        </w:rPr>
        <w:t>设备上运行软件状态分析</w:t>
      </w:r>
    </w:p>
    <w:p>
      <w:pPr>
        <w:pStyle w:val="58"/>
        <w:ind w:firstLine="480"/>
        <w:rPr>
          <w:color w:val="000000" w:themeColor="text1"/>
        </w:rPr>
      </w:pPr>
      <w:r>
        <w:rPr>
          <w:rFonts w:hint="eastAsia"/>
          <w:color w:val="000000" w:themeColor="text1"/>
        </w:rPr>
        <w:t>设备运行日志分析</w:t>
      </w:r>
    </w:p>
    <w:p>
      <w:pPr>
        <w:pStyle w:val="58"/>
        <w:ind w:firstLine="480"/>
        <w:rPr>
          <w:color w:val="000000" w:themeColor="text1"/>
        </w:rPr>
      </w:pPr>
      <w:r>
        <w:rPr>
          <w:rFonts w:hint="eastAsia"/>
          <w:color w:val="000000" w:themeColor="text1"/>
        </w:rPr>
        <w:t>设备的告警分析</w:t>
      </w:r>
    </w:p>
    <w:p>
      <w:pPr>
        <w:pStyle w:val="58"/>
        <w:ind w:firstLine="480"/>
        <w:rPr>
          <w:color w:val="000000" w:themeColor="text1"/>
        </w:rPr>
      </w:pPr>
      <w:r>
        <w:rPr>
          <w:rFonts w:hint="eastAsia"/>
          <w:color w:val="000000" w:themeColor="text1"/>
        </w:rPr>
        <w:t>远程复位</w:t>
      </w:r>
    </w:p>
    <w:p>
      <w:pPr>
        <w:pStyle w:val="58"/>
        <w:ind w:firstLine="480"/>
        <w:rPr>
          <w:color w:val="000000" w:themeColor="text1"/>
        </w:rPr>
      </w:pPr>
      <w:r>
        <w:rPr>
          <w:rFonts w:hint="eastAsia"/>
          <w:color w:val="000000" w:themeColor="text1"/>
        </w:rPr>
        <w:t>9)</w:t>
      </w:r>
      <w:r>
        <w:rPr>
          <w:rFonts w:hint="eastAsia"/>
          <w:color w:val="000000" w:themeColor="text1"/>
        </w:rPr>
        <w:tab/>
      </w:r>
      <w:r>
        <w:rPr>
          <w:rFonts w:hint="eastAsia"/>
          <w:color w:val="000000" w:themeColor="text1"/>
        </w:rPr>
        <w:t>连接管理</w:t>
      </w:r>
    </w:p>
    <w:p>
      <w:pPr>
        <w:pStyle w:val="58"/>
        <w:ind w:firstLine="480"/>
        <w:rPr>
          <w:color w:val="000000" w:themeColor="text1"/>
        </w:rPr>
      </w:pPr>
      <w:r>
        <w:rPr>
          <w:rFonts w:hint="eastAsia"/>
          <w:color w:val="000000" w:themeColor="text1"/>
        </w:rPr>
        <w:t>物联网平台针对被管理的设备连接进行管理，针对长连接设备，提供实时连接诊断、测试。对于短连接设备，定义设备连接状态可定义能力，例如设备一天没有上报数据定义为连接异常，对于设备两天没有上报数据，定义为设备离线。针对大连接，物联网平台提供分层分布式架构，基于云化弹性能力，能够根据业务情况满足大连接的业务诉求。</w:t>
      </w:r>
    </w:p>
    <w:p>
      <w:pPr>
        <w:pStyle w:val="58"/>
        <w:ind w:firstLine="480"/>
        <w:rPr>
          <w:color w:val="000000" w:themeColor="text1"/>
        </w:rPr>
      </w:pPr>
      <w:r>
        <w:rPr>
          <w:rFonts w:hint="eastAsia"/>
          <w:color w:val="000000" w:themeColor="text1"/>
        </w:rPr>
        <w:t>10)</w:t>
      </w:r>
      <w:r>
        <w:rPr>
          <w:rFonts w:hint="eastAsia"/>
          <w:color w:val="000000" w:themeColor="text1"/>
        </w:rPr>
        <w:tab/>
      </w:r>
      <w:r>
        <w:rPr>
          <w:rFonts w:hint="eastAsia"/>
          <w:color w:val="000000" w:themeColor="text1"/>
        </w:rPr>
        <w:t>安全传输</w:t>
      </w:r>
    </w:p>
    <w:p>
      <w:pPr>
        <w:pStyle w:val="58"/>
        <w:ind w:firstLine="480"/>
        <w:rPr>
          <w:color w:val="000000" w:themeColor="text1"/>
        </w:rPr>
      </w:pPr>
      <w:r>
        <w:rPr>
          <w:rFonts w:hint="eastAsia"/>
          <w:color w:val="000000" w:themeColor="text1"/>
        </w:rPr>
        <w:t>基于TCP连接的设备，物联网平台提供TLS安全传输机制，对于基于UDP连接的设备，物联网平台提供DTLS机制进行安全传输加密。</w:t>
      </w:r>
    </w:p>
    <w:p>
      <w:pPr>
        <w:pStyle w:val="58"/>
        <w:ind w:firstLine="480"/>
        <w:rPr>
          <w:color w:val="000000" w:themeColor="text1"/>
        </w:rPr>
      </w:pPr>
      <w:r>
        <w:rPr>
          <w:rFonts w:hint="eastAsia"/>
          <w:color w:val="000000" w:themeColor="text1"/>
        </w:rPr>
        <w:t>11)</w:t>
      </w:r>
      <w:r>
        <w:rPr>
          <w:rFonts w:hint="eastAsia"/>
          <w:color w:val="000000" w:themeColor="text1"/>
        </w:rPr>
        <w:tab/>
      </w:r>
      <w:r>
        <w:rPr>
          <w:rFonts w:hint="eastAsia"/>
          <w:color w:val="000000" w:themeColor="text1"/>
        </w:rPr>
        <w:t>日志管理</w:t>
      </w:r>
    </w:p>
    <w:p>
      <w:pPr>
        <w:pStyle w:val="58"/>
        <w:ind w:firstLine="480"/>
        <w:rPr>
          <w:color w:val="000000" w:themeColor="text1"/>
        </w:rPr>
      </w:pPr>
      <w:r>
        <w:rPr>
          <w:rFonts w:hint="eastAsia"/>
          <w:color w:val="000000" w:themeColor="text1"/>
        </w:rPr>
        <w:t>物联网平台对于设备各种操作日志进行记录，用以后期管理人员进行日志审计。</w:t>
      </w:r>
    </w:p>
    <w:p>
      <w:pPr>
        <w:pStyle w:val="58"/>
        <w:ind w:firstLine="480"/>
        <w:rPr>
          <w:color w:val="000000" w:themeColor="text1"/>
        </w:rPr>
      </w:pPr>
      <w:r>
        <w:rPr>
          <w:rFonts w:hint="eastAsia"/>
          <w:color w:val="000000" w:themeColor="text1"/>
        </w:rPr>
        <w:t>12)</w:t>
      </w:r>
      <w:r>
        <w:rPr>
          <w:rFonts w:hint="eastAsia"/>
          <w:color w:val="000000" w:themeColor="text1"/>
        </w:rPr>
        <w:tab/>
      </w:r>
      <w:r>
        <w:rPr>
          <w:rFonts w:hint="eastAsia"/>
          <w:color w:val="000000" w:themeColor="text1"/>
        </w:rPr>
        <w:t>设备运行日志</w:t>
      </w:r>
    </w:p>
    <w:p>
      <w:pPr>
        <w:pStyle w:val="58"/>
        <w:ind w:firstLine="480"/>
        <w:rPr>
          <w:color w:val="000000" w:themeColor="text1"/>
        </w:rPr>
      </w:pPr>
      <w:r>
        <w:rPr>
          <w:rFonts w:hint="eastAsia"/>
          <w:color w:val="000000" w:themeColor="text1"/>
        </w:rPr>
        <w:t>对于设备运行日志，物联网平台提供接口能力，可以获取设备运行日志，供对设备故障预测及故障分析。</w:t>
      </w:r>
    </w:p>
    <w:p>
      <w:pPr>
        <w:pStyle w:val="6"/>
        <w:rPr>
          <w:color w:val="000000" w:themeColor="text1"/>
        </w:rPr>
      </w:pPr>
      <w:bookmarkStart w:id="84" w:name="_Toc98181971"/>
      <w:bookmarkStart w:id="85" w:name="_Toc24399"/>
      <w:bookmarkStart w:id="86" w:name="_Toc109376877"/>
      <w:r>
        <w:rPr>
          <w:rFonts w:hint="eastAsia"/>
          <w:color w:val="000000" w:themeColor="text1"/>
        </w:rPr>
        <w:t>各应用系统集成</w:t>
      </w:r>
      <w:bookmarkEnd w:id="79"/>
      <w:r>
        <w:rPr>
          <w:rFonts w:hint="eastAsia"/>
          <w:color w:val="000000" w:themeColor="text1"/>
        </w:rPr>
        <w:t>对接</w:t>
      </w:r>
      <w:bookmarkEnd w:id="84"/>
      <w:bookmarkEnd w:id="85"/>
      <w:bookmarkEnd w:id="86"/>
    </w:p>
    <w:p>
      <w:pPr>
        <w:pStyle w:val="58"/>
        <w:ind w:firstLine="480"/>
        <w:rPr>
          <w:color w:val="000000" w:themeColor="text1"/>
        </w:rPr>
      </w:pPr>
      <w:r>
        <w:rPr>
          <w:rFonts w:hint="eastAsia"/>
          <w:color w:val="000000" w:themeColor="text1"/>
        </w:rPr>
        <w:t>通过页面集成、用户集成、数据集成等方式实现各应用系统的集成与融合形成一体化服务。集成本次所建系统，以及班主任和教职工基础数据等。其中对各应用系统的数据对接如下：</w:t>
      </w:r>
    </w:p>
    <w:p>
      <w:pPr>
        <w:pStyle w:val="7"/>
        <w:rPr>
          <w:color w:val="000000" w:themeColor="text1"/>
        </w:rPr>
      </w:pPr>
      <w:bookmarkStart w:id="87" w:name="_Toc98181972"/>
      <w:r>
        <w:rPr>
          <w:rFonts w:hint="eastAsia"/>
          <w:color w:val="000000" w:themeColor="text1"/>
        </w:rPr>
        <w:t>警员训练库数据对接</w:t>
      </w:r>
      <w:bookmarkEnd w:id="87"/>
    </w:p>
    <w:p>
      <w:pPr>
        <w:pStyle w:val="58"/>
        <w:ind w:firstLine="480"/>
        <w:rPr>
          <w:color w:val="000000" w:themeColor="text1"/>
        </w:rPr>
      </w:pPr>
      <w:r>
        <w:rPr>
          <w:rFonts w:hint="eastAsia"/>
          <w:color w:val="000000" w:themeColor="text1"/>
        </w:rPr>
        <w:t>可从市局警员数据库调取警员人脸数据、身份信息、警员信息等，自动导入管控平台。</w:t>
      </w:r>
    </w:p>
    <w:p>
      <w:pPr>
        <w:pStyle w:val="7"/>
        <w:rPr>
          <w:color w:val="000000" w:themeColor="text1"/>
        </w:rPr>
      </w:pPr>
      <w:bookmarkStart w:id="88" w:name="_Toc98181973"/>
      <w:r>
        <w:rPr>
          <w:rFonts w:hint="eastAsia"/>
          <w:color w:val="000000" w:themeColor="text1"/>
        </w:rPr>
        <w:t>公寓管理系统集成</w:t>
      </w:r>
      <w:bookmarkEnd w:id="88"/>
    </w:p>
    <w:p>
      <w:pPr>
        <w:pStyle w:val="58"/>
        <w:ind w:firstLine="480"/>
        <w:rPr>
          <w:color w:val="000000" w:themeColor="text1"/>
        </w:rPr>
      </w:pPr>
      <w:r>
        <w:rPr>
          <w:rFonts w:hint="eastAsia"/>
          <w:color w:val="000000" w:themeColor="text1"/>
        </w:rPr>
        <w:t>通过页面集成、用户集成、数据集成等方式实现与酒店客房管理的集成，提供住宿信息与学员管理的接口、一卡通与客房门禁接口等，方便学员管理。</w:t>
      </w:r>
    </w:p>
    <w:p>
      <w:pPr>
        <w:pStyle w:val="7"/>
        <w:rPr>
          <w:color w:val="000000" w:themeColor="text1"/>
        </w:rPr>
      </w:pPr>
      <w:bookmarkStart w:id="89" w:name="_Toc98181974"/>
      <w:r>
        <w:rPr>
          <w:rFonts w:hint="eastAsia"/>
          <w:color w:val="000000" w:themeColor="text1"/>
        </w:rPr>
        <w:t>一卡通、人脸系统对接</w:t>
      </w:r>
      <w:bookmarkEnd w:id="89"/>
    </w:p>
    <w:p>
      <w:pPr>
        <w:pStyle w:val="58"/>
        <w:ind w:firstLine="480"/>
        <w:rPr>
          <w:color w:val="000000" w:themeColor="text1"/>
        </w:rPr>
      </w:pPr>
      <w:r>
        <w:rPr>
          <w:rFonts w:hint="eastAsia"/>
          <w:color w:val="000000" w:themeColor="text1"/>
        </w:rPr>
        <w:t>在警校原有一卡通软硬件框架的基础上，建设中间数据库与智慧校园对接数据，以实现一卡通数据与校园业务平台系统间的互联互通。</w:t>
      </w:r>
    </w:p>
    <w:p>
      <w:pPr>
        <w:pStyle w:val="58"/>
        <w:ind w:firstLine="480"/>
        <w:rPr>
          <w:color w:val="000000" w:themeColor="text1"/>
        </w:rPr>
      </w:pPr>
      <w:r>
        <w:rPr>
          <w:rFonts w:hint="eastAsia"/>
          <w:color w:val="000000" w:themeColor="text1"/>
        </w:rPr>
        <w:t xml:space="preserve">主要内容包括消费刷卡数据、签到刷卡数据、门禁刷卡数据、客房管理刷卡数据等，通过集成数据，可以实现以下功能： </w:t>
      </w:r>
    </w:p>
    <w:p>
      <w:pPr>
        <w:pStyle w:val="58"/>
        <w:ind w:firstLine="480"/>
        <w:rPr>
          <w:color w:val="000000" w:themeColor="text1"/>
        </w:rPr>
      </w:pPr>
      <w:r>
        <w:rPr>
          <w:rFonts w:hint="eastAsia"/>
          <w:color w:val="000000" w:themeColor="text1"/>
        </w:rPr>
        <w:t>1．学员考勤：学员通过刷卡方式实现记录考勤信息。</w:t>
      </w:r>
    </w:p>
    <w:p>
      <w:pPr>
        <w:pStyle w:val="58"/>
        <w:ind w:firstLine="480"/>
        <w:rPr>
          <w:color w:val="000000" w:themeColor="text1"/>
        </w:rPr>
      </w:pPr>
      <w:r>
        <w:rPr>
          <w:rFonts w:hint="eastAsia"/>
          <w:color w:val="000000" w:themeColor="text1"/>
        </w:rPr>
        <w:t>2．刷卡吃饭：学员通过在餐厅门口刷卡方式实现正常用餐（计次用餐）</w:t>
      </w:r>
    </w:p>
    <w:p>
      <w:pPr>
        <w:pStyle w:val="58"/>
        <w:ind w:firstLine="480"/>
        <w:rPr>
          <w:color w:val="000000" w:themeColor="text1"/>
        </w:rPr>
      </w:pPr>
      <w:r>
        <w:rPr>
          <w:rFonts w:hint="eastAsia"/>
          <w:color w:val="000000" w:themeColor="text1"/>
        </w:rPr>
        <w:t>3．门禁：学员通过刷卡方式进入教室或者宿舍房门。</w:t>
      </w:r>
    </w:p>
    <w:p>
      <w:pPr>
        <w:pStyle w:val="58"/>
        <w:ind w:firstLine="480"/>
        <w:rPr>
          <w:color w:val="000000" w:themeColor="text1"/>
        </w:rPr>
      </w:pPr>
      <w:r>
        <w:rPr>
          <w:rFonts w:hint="eastAsia"/>
          <w:color w:val="000000" w:themeColor="text1"/>
        </w:rPr>
        <w:t>4．教职工就餐和考勤数据对接。</w:t>
      </w:r>
    </w:p>
    <w:p>
      <w:pPr>
        <w:pStyle w:val="58"/>
        <w:ind w:firstLine="480"/>
        <w:rPr>
          <w:color w:val="000000" w:themeColor="text1"/>
        </w:rPr>
      </w:pPr>
      <w:r>
        <w:rPr>
          <w:rFonts w:hint="eastAsia"/>
          <w:color w:val="000000" w:themeColor="text1"/>
        </w:rPr>
        <w:t>5．其他一卡通系统中的数据按实际需求进行完全或部分对接。</w:t>
      </w:r>
    </w:p>
    <w:p>
      <w:pPr>
        <w:pStyle w:val="7"/>
        <w:rPr>
          <w:color w:val="000000" w:themeColor="text1"/>
        </w:rPr>
      </w:pPr>
      <w:bookmarkStart w:id="90" w:name="_Toc98181975"/>
      <w:r>
        <w:rPr>
          <w:rFonts w:hint="eastAsia"/>
          <w:color w:val="000000" w:themeColor="text1"/>
        </w:rPr>
        <w:t>安防数据对接</w:t>
      </w:r>
      <w:bookmarkEnd w:id="90"/>
    </w:p>
    <w:p>
      <w:pPr>
        <w:pStyle w:val="58"/>
        <w:ind w:firstLine="480"/>
        <w:rPr>
          <w:color w:val="000000" w:themeColor="text1"/>
        </w:rPr>
      </w:pPr>
      <w:r>
        <w:rPr>
          <w:rFonts w:hint="eastAsia"/>
          <w:color w:val="000000" w:themeColor="text1"/>
        </w:rPr>
        <w:t>通过页面集成、用户集成、数据集成等方式实现与安防管理平台的集成，一个平台管理安防设备，如监控视频、报警信息、人脸管控信息、人员车辆进出信息等。</w:t>
      </w:r>
    </w:p>
    <w:p>
      <w:pPr>
        <w:pStyle w:val="7"/>
        <w:rPr>
          <w:color w:val="000000" w:themeColor="text1"/>
        </w:rPr>
      </w:pPr>
      <w:bookmarkStart w:id="91" w:name="_Toc98181976"/>
      <w:r>
        <w:rPr>
          <w:rFonts w:hint="eastAsia"/>
          <w:color w:val="000000" w:themeColor="text1"/>
        </w:rPr>
        <w:t>消防数据对接</w:t>
      </w:r>
      <w:bookmarkEnd w:id="91"/>
    </w:p>
    <w:p>
      <w:pPr>
        <w:pStyle w:val="58"/>
        <w:ind w:firstLine="480"/>
        <w:rPr>
          <w:color w:val="000000" w:themeColor="text1"/>
        </w:rPr>
      </w:pPr>
      <w:r>
        <w:rPr>
          <w:rFonts w:hint="eastAsia"/>
          <w:color w:val="000000" w:themeColor="text1"/>
        </w:rPr>
        <w:t>通过页面集成、用户集成、数据集成等方式实现与教学引导系统的集成，一个平台管理基地消防管理平台的信息。</w:t>
      </w:r>
    </w:p>
    <w:p>
      <w:pPr>
        <w:pStyle w:val="7"/>
        <w:rPr>
          <w:color w:val="000000" w:themeColor="text1"/>
        </w:rPr>
      </w:pPr>
      <w:bookmarkStart w:id="92" w:name="_Toc98181977"/>
      <w:r>
        <w:rPr>
          <w:rFonts w:hint="eastAsia"/>
          <w:color w:val="000000" w:themeColor="text1"/>
        </w:rPr>
        <w:t>建筑管理系统对接</w:t>
      </w:r>
      <w:bookmarkEnd w:id="92"/>
    </w:p>
    <w:p>
      <w:pPr>
        <w:pStyle w:val="58"/>
        <w:ind w:firstLine="480"/>
        <w:rPr>
          <w:color w:val="000000" w:themeColor="text1"/>
        </w:rPr>
      </w:pPr>
      <w:r>
        <w:rPr>
          <w:rFonts w:hint="eastAsia"/>
          <w:color w:val="000000" w:themeColor="text1"/>
        </w:rPr>
        <w:t>通过页面集成、用户集成、数据集成等方式实现与建筑管理系统的集成，一个平台管理基地建设设备信息、楼宇自控管理、能耗数据管理、智能灯控管理、远程抄表、远程开关灯光等。</w:t>
      </w:r>
    </w:p>
    <w:p>
      <w:pPr>
        <w:pStyle w:val="7"/>
        <w:rPr>
          <w:color w:val="000000" w:themeColor="text1"/>
        </w:rPr>
      </w:pPr>
      <w:bookmarkStart w:id="93" w:name="_Toc98181978"/>
      <w:r>
        <w:rPr>
          <w:rFonts w:hint="eastAsia"/>
          <w:color w:val="000000" w:themeColor="text1"/>
        </w:rPr>
        <w:t>广播系统对接</w:t>
      </w:r>
      <w:bookmarkEnd w:id="93"/>
    </w:p>
    <w:p>
      <w:pPr>
        <w:pStyle w:val="58"/>
        <w:ind w:firstLine="480"/>
        <w:rPr>
          <w:color w:val="000000" w:themeColor="text1"/>
        </w:rPr>
      </w:pPr>
      <w:r>
        <w:rPr>
          <w:rFonts w:hint="eastAsia"/>
          <w:color w:val="000000" w:themeColor="text1"/>
        </w:rPr>
        <w:t>通过页面集成、用户集成、数据集成等方式实现与广播系统系统的集成，一个平台管理基地广播播放内容、控制系统等。</w:t>
      </w:r>
    </w:p>
    <w:p>
      <w:pPr>
        <w:pStyle w:val="7"/>
        <w:rPr>
          <w:color w:val="000000" w:themeColor="text1"/>
        </w:rPr>
      </w:pPr>
      <w:bookmarkStart w:id="94" w:name="_Hlk16527447"/>
      <w:bookmarkStart w:id="95" w:name="_Toc98181979"/>
      <w:r>
        <w:rPr>
          <w:rFonts w:hint="eastAsia"/>
          <w:color w:val="000000" w:themeColor="text1"/>
        </w:rPr>
        <w:t>与短信服务平台</w:t>
      </w:r>
      <w:bookmarkEnd w:id="94"/>
      <w:r>
        <w:rPr>
          <w:rFonts w:hint="eastAsia"/>
          <w:color w:val="000000" w:themeColor="text1"/>
        </w:rPr>
        <w:t>数据对接</w:t>
      </w:r>
      <w:bookmarkEnd w:id="95"/>
    </w:p>
    <w:p>
      <w:pPr>
        <w:pStyle w:val="58"/>
        <w:ind w:firstLine="480"/>
        <w:rPr>
          <w:color w:val="000000" w:themeColor="text1"/>
        </w:rPr>
      </w:pPr>
      <w:r>
        <w:rPr>
          <w:rFonts w:hint="eastAsia"/>
          <w:color w:val="000000" w:themeColor="text1"/>
        </w:rPr>
        <w:t>提供短信的在线编辑、收发以及消息队列服务，要求满足三大运营商的无缝对接。</w:t>
      </w:r>
    </w:p>
    <w:p>
      <w:pPr>
        <w:pStyle w:val="7"/>
        <w:rPr>
          <w:color w:val="000000" w:themeColor="text1"/>
        </w:rPr>
      </w:pPr>
      <w:bookmarkStart w:id="96" w:name="_Toc98181980"/>
      <w:r>
        <w:rPr>
          <w:rFonts w:hint="eastAsia"/>
          <w:color w:val="000000" w:themeColor="text1"/>
        </w:rPr>
        <w:t>与信息引导发布集成</w:t>
      </w:r>
      <w:bookmarkEnd w:id="96"/>
    </w:p>
    <w:p>
      <w:pPr>
        <w:pStyle w:val="58"/>
        <w:ind w:firstLine="480"/>
        <w:rPr>
          <w:color w:val="000000" w:themeColor="text1"/>
        </w:rPr>
      </w:pPr>
      <w:r>
        <w:rPr>
          <w:rFonts w:hint="eastAsia"/>
          <w:color w:val="000000" w:themeColor="text1"/>
        </w:rPr>
        <w:t>通过页面集成、用户集成、数据集成等方式实现与大屏系统的集成，完成后将实现信息发布系统生成的各种教务、校情、人事、财务等数据进行可视化展示。</w:t>
      </w:r>
    </w:p>
    <w:p>
      <w:pPr>
        <w:pStyle w:val="7"/>
        <w:rPr>
          <w:color w:val="000000" w:themeColor="text1"/>
        </w:rPr>
      </w:pPr>
      <w:bookmarkStart w:id="97" w:name="_Toc98181981"/>
      <w:r>
        <w:rPr>
          <w:rFonts w:hint="eastAsia"/>
          <w:color w:val="000000" w:themeColor="text1"/>
        </w:rPr>
        <w:t>与后勤管理系统集成</w:t>
      </w:r>
      <w:bookmarkEnd w:id="97"/>
    </w:p>
    <w:p>
      <w:pPr>
        <w:pStyle w:val="58"/>
        <w:ind w:firstLine="480"/>
        <w:rPr>
          <w:color w:val="000000" w:themeColor="text1"/>
        </w:rPr>
      </w:pPr>
      <w:r>
        <w:rPr>
          <w:rFonts w:hint="eastAsia"/>
          <w:color w:val="000000" w:themeColor="text1"/>
        </w:rPr>
        <w:t>通过页面集成、用户集成、数据集成等方式实现与后勤系统的集成，完成后勤服务保障功能，包括车辆数据、能耗、安防等系统的接口。</w:t>
      </w:r>
    </w:p>
    <w:p>
      <w:pPr>
        <w:pStyle w:val="6"/>
        <w:rPr>
          <w:color w:val="000000" w:themeColor="text1"/>
        </w:rPr>
      </w:pPr>
      <w:bookmarkStart w:id="98" w:name="_Toc34220890"/>
      <w:bookmarkEnd w:id="98"/>
      <w:bookmarkStart w:id="99" w:name="_Toc34220889"/>
      <w:bookmarkEnd w:id="99"/>
      <w:bookmarkStart w:id="100" w:name="_Toc32871580"/>
      <w:bookmarkEnd w:id="100"/>
      <w:bookmarkStart w:id="101" w:name="_Toc34220892"/>
      <w:bookmarkEnd w:id="101"/>
      <w:bookmarkStart w:id="102" w:name="_Toc2942"/>
      <w:bookmarkStart w:id="103" w:name="_Toc98181982"/>
      <w:bookmarkStart w:id="104" w:name="_Toc109376878"/>
      <w:r>
        <w:rPr>
          <w:rFonts w:hint="eastAsia"/>
          <w:color w:val="000000" w:themeColor="text1"/>
        </w:rPr>
        <w:t>历史数据迁移</w:t>
      </w:r>
      <w:bookmarkEnd w:id="102"/>
      <w:bookmarkEnd w:id="103"/>
      <w:bookmarkEnd w:id="104"/>
    </w:p>
    <w:p>
      <w:pPr>
        <w:pStyle w:val="58"/>
        <w:ind w:firstLine="480"/>
        <w:rPr>
          <w:color w:val="000000" w:themeColor="text1"/>
        </w:rPr>
      </w:pPr>
      <w:r>
        <w:rPr>
          <w:rFonts w:hint="eastAsia"/>
          <w:color w:val="000000" w:themeColor="text1"/>
        </w:rPr>
        <w:t>根据数据建设需求，本项目将对大量历史数据资源进行采集，目前这些历史数据主要以结构化数据库形式分布在现有相关应用系统，以及以纸质或电子文档（Word、Excel等格式）方式存储在各部门。文档类历史数据的迁移工作主要需依靠人工转换、导入或录入，工作量较大；结构化历史数据可以通过一些专业工具软件或自编程序转换为符合标准的格式，快速批量导入新建的数据库，工作量相对较小。</w:t>
      </w:r>
    </w:p>
    <w:bookmarkEnd w:id="38"/>
    <w:p>
      <w:pPr>
        <w:pStyle w:val="5"/>
        <w:rPr>
          <w:color w:val="000000" w:themeColor="text1"/>
        </w:rPr>
      </w:pPr>
      <w:bookmarkStart w:id="105" w:name="_Toc10466"/>
      <w:bookmarkStart w:id="106" w:name="_Toc98181988"/>
      <w:bookmarkStart w:id="107" w:name="_Toc109376879"/>
      <w:bookmarkStart w:id="108" w:name="_Toc26315"/>
      <w:r>
        <w:rPr>
          <w:rFonts w:hint="eastAsia"/>
          <w:color w:val="000000" w:themeColor="text1"/>
        </w:rPr>
        <w:t>多媒体教学系统</w:t>
      </w:r>
      <w:bookmarkEnd w:id="105"/>
      <w:bookmarkEnd w:id="106"/>
      <w:bookmarkEnd w:id="107"/>
      <w:bookmarkEnd w:id="108"/>
    </w:p>
    <w:p>
      <w:pPr>
        <w:pStyle w:val="6"/>
        <w:rPr>
          <w:color w:val="000000" w:themeColor="text1"/>
        </w:rPr>
      </w:pPr>
      <w:bookmarkStart w:id="109" w:name="_Toc109376880"/>
      <w:r>
        <w:rPr>
          <w:rFonts w:hint="eastAsia"/>
          <w:color w:val="000000" w:themeColor="text1"/>
        </w:rPr>
        <w:t>建设目标</w:t>
      </w:r>
      <w:bookmarkEnd w:id="109"/>
    </w:p>
    <w:p>
      <w:pPr>
        <w:pStyle w:val="58"/>
        <w:ind w:firstLine="480"/>
        <w:rPr>
          <w:color w:val="000000" w:themeColor="text1"/>
        </w:rPr>
      </w:pPr>
      <w:r>
        <w:rPr>
          <w:rFonts w:hint="eastAsia"/>
          <w:color w:val="000000" w:themeColor="text1"/>
        </w:rPr>
        <w:t>金华市**训练基地项目教室根据不同的功能和要求，建设内容可分为智慧教室、电脑教室和普通教室。</w:t>
      </w:r>
    </w:p>
    <w:p>
      <w:pPr>
        <w:pStyle w:val="58"/>
        <w:ind w:firstLine="480"/>
        <w:rPr>
          <w:color w:val="000000" w:themeColor="text1"/>
        </w:rPr>
      </w:pPr>
      <w:r>
        <w:rPr>
          <w:rFonts w:hint="eastAsia"/>
          <w:color w:val="000000" w:themeColor="text1"/>
        </w:rPr>
        <w:t>智慧教室2间：</w:t>
      </w:r>
      <w:r>
        <w:rPr>
          <w:color w:val="000000" w:themeColor="text1"/>
        </w:rPr>
        <w:t>A-1#1层</w:t>
      </w:r>
      <w:r>
        <w:rPr>
          <w:rFonts w:hint="eastAsia"/>
          <w:color w:val="000000" w:themeColor="text1"/>
        </w:rPr>
        <w:t>和</w:t>
      </w:r>
      <w:r>
        <w:rPr>
          <w:color w:val="000000" w:themeColor="text1"/>
        </w:rPr>
        <w:t>A-3#2层</w:t>
      </w:r>
      <w:r>
        <w:rPr>
          <w:rFonts w:hint="eastAsia"/>
          <w:color w:val="000000" w:themeColor="text1"/>
        </w:rPr>
        <w:t>。</w:t>
      </w:r>
    </w:p>
    <w:p>
      <w:pPr>
        <w:pStyle w:val="58"/>
        <w:ind w:firstLine="480"/>
        <w:rPr>
          <w:color w:val="000000" w:themeColor="text1"/>
        </w:rPr>
      </w:pPr>
      <w:r>
        <w:rPr>
          <w:rFonts w:hint="eastAsia"/>
          <w:color w:val="000000" w:themeColor="text1"/>
        </w:rPr>
        <w:t>电脑教室共5间：集中在</w:t>
      </w:r>
      <w:r>
        <w:rPr>
          <w:color w:val="000000" w:themeColor="text1"/>
        </w:rPr>
        <w:t>A-3#3层</w:t>
      </w:r>
      <w:r>
        <w:rPr>
          <w:rFonts w:hint="eastAsia"/>
          <w:color w:val="000000" w:themeColor="text1"/>
        </w:rPr>
        <w:t>，外网电脑教室3间，内网电脑教室2间。</w:t>
      </w:r>
    </w:p>
    <w:p>
      <w:pPr>
        <w:pStyle w:val="58"/>
        <w:ind w:firstLine="480"/>
        <w:rPr>
          <w:color w:val="000000" w:themeColor="text1"/>
        </w:rPr>
      </w:pPr>
      <w:r>
        <w:rPr>
          <w:rFonts w:hint="eastAsia"/>
          <w:color w:val="000000" w:themeColor="text1"/>
        </w:rPr>
        <w:t>其余均为普通教室。</w:t>
      </w:r>
    </w:p>
    <w:p>
      <w:pPr>
        <w:pStyle w:val="58"/>
        <w:ind w:firstLine="482"/>
        <w:rPr>
          <w:b/>
          <w:color w:val="000000" w:themeColor="text1"/>
        </w:rPr>
      </w:pPr>
      <w:r>
        <w:rPr>
          <w:rFonts w:hint="eastAsia"/>
          <w:b/>
          <w:color w:val="000000" w:themeColor="text1"/>
        </w:rPr>
        <w:t>普通教室建设内容包括:</w:t>
      </w:r>
    </w:p>
    <w:p>
      <w:pPr>
        <w:pStyle w:val="58"/>
        <w:ind w:firstLine="480"/>
        <w:rPr>
          <w:color w:val="000000" w:themeColor="text1"/>
        </w:rPr>
      </w:pPr>
      <w:r>
        <w:rPr>
          <w:rFonts w:hint="eastAsia"/>
          <w:color w:val="000000" w:themeColor="text1"/>
        </w:rPr>
        <w:t>金华市**训练基地A</w:t>
      </w:r>
      <w:r>
        <w:rPr>
          <w:color w:val="000000" w:themeColor="text1"/>
        </w:rPr>
        <w:t>-1</w:t>
      </w:r>
      <w:r>
        <w:rPr>
          <w:rFonts w:hint="eastAsia"/>
          <w:color w:val="000000" w:themeColor="text1"/>
        </w:rPr>
        <w:t>#</w:t>
      </w:r>
      <w:r>
        <w:rPr>
          <w:color w:val="000000" w:themeColor="text1"/>
        </w:rPr>
        <w:t>2#3#</w:t>
      </w:r>
      <w:r>
        <w:rPr>
          <w:rFonts w:hint="eastAsia"/>
          <w:color w:val="000000" w:themeColor="text1"/>
        </w:rPr>
        <w:t>教学楼共计</w:t>
      </w:r>
      <w:r>
        <w:rPr>
          <w:color w:val="000000" w:themeColor="text1"/>
        </w:rPr>
        <w:t>35</w:t>
      </w:r>
      <w:r>
        <w:rPr>
          <w:rFonts w:hint="eastAsia"/>
          <w:color w:val="000000" w:themeColor="text1"/>
        </w:rPr>
        <w:t>间教室，C</w:t>
      </w:r>
      <w:r>
        <w:rPr>
          <w:color w:val="000000" w:themeColor="text1"/>
        </w:rPr>
        <w:t>2#</w:t>
      </w:r>
      <w:r>
        <w:rPr>
          <w:rFonts w:hint="eastAsia"/>
          <w:color w:val="000000" w:themeColor="text1"/>
        </w:rPr>
        <w:t>的1间教室要设置智慧教学系统。</w:t>
      </w:r>
    </w:p>
    <w:p>
      <w:pPr>
        <w:pStyle w:val="58"/>
        <w:ind w:firstLine="480"/>
        <w:rPr>
          <w:color w:val="000000" w:themeColor="text1"/>
        </w:rPr>
      </w:pPr>
      <w:r>
        <w:rPr>
          <w:rFonts w:hint="eastAsia"/>
          <w:color w:val="000000" w:themeColor="text1"/>
        </w:rPr>
        <w:t>在A-1#3层三间小班教室-B、A-3#1层实战模拟教室、A-3#1层阶梯教室-A、A-3#2层信息化实战教室（18人）、A-3#2层信息通讯训练室（18人）、A-3#3小班教室（12人）、A-3#4阶梯教室（120人）-A、中班教室</w:t>
      </w:r>
      <w:r>
        <w:rPr>
          <w:color w:val="000000" w:themeColor="text1"/>
        </w:rPr>
        <w:t>45人</w:t>
      </w:r>
      <w:r>
        <w:rPr>
          <w:rFonts w:hint="eastAsia"/>
          <w:color w:val="000000" w:themeColor="text1"/>
        </w:rPr>
        <w:t>共计</w:t>
      </w:r>
      <w:r>
        <w:rPr>
          <w:color w:val="000000" w:themeColor="text1"/>
        </w:rPr>
        <w:t>10</w:t>
      </w:r>
      <w:r>
        <w:rPr>
          <w:rFonts w:hint="eastAsia"/>
          <w:color w:val="000000" w:themeColor="text1"/>
        </w:rPr>
        <w:t>间教室设置电子白板；需在A-3#1层无人机训练室、A-3#3外网机房、A-3#3外网机房两间、A-3#3层辩论教室5间教室布置≥86寸智能教学屏幕。使得该部分教室既能实现教师手写板书，又能实现投屏教学内容的要求。</w:t>
      </w:r>
    </w:p>
    <w:p>
      <w:pPr>
        <w:pStyle w:val="58"/>
        <w:ind w:firstLine="482"/>
        <w:rPr>
          <w:b/>
          <w:color w:val="000000" w:themeColor="text1"/>
        </w:rPr>
      </w:pPr>
      <w:r>
        <w:rPr>
          <w:rFonts w:hint="eastAsia"/>
          <w:b/>
          <w:color w:val="000000" w:themeColor="text1"/>
        </w:rPr>
        <w:t>智慧教室建设内容：</w:t>
      </w:r>
    </w:p>
    <w:p>
      <w:pPr>
        <w:pStyle w:val="58"/>
        <w:ind w:firstLine="480"/>
        <w:rPr>
          <w:color w:val="000000" w:themeColor="text1"/>
        </w:rPr>
      </w:pPr>
      <w:r>
        <w:rPr>
          <w:rFonts w:hint="eastAsia"/>
          <w:color w:val="000000" w:themeColor="text1"/>
        </w:rPr>
        <w:t>目前规划A-1#一层多媒体教室（110人）和A-3#2F信息通讯训练室（30人）为智慧教室。智慧教室建设内容为：A-1#1F智慧教室采用一块≥86寸纳米黑板，10块≥55寸智能教学屏幕、布置一套智慧教室互动软件，一套录播系统，一套数字会议系统。A-3#2F智慧教室采用一块≥86寸纳米黑板，</w:t>
      </w:r>
      <w:r>
        <w:rPr>
          <w:color w:val="000000" w:themeColor="text1"/>
        </w:rPr>
        <w:t>4</w:t>
      </w:r>
      <w:r>
        <w:rPr>
          <w:rFonts w:hint="eastAsia"/>
          <w:color w:val="000000" w:themeColor="text1"/>
        </w:rPr>
        <w:t>块≥55寸智能教学屏幕、布置一套智慧教室互动软件，一套录播系统，搭配数字会议系统，为学员和教员提供高效便捷的教学环境。</w:t>
      </w:r>
    </w:p>
    <w:p>
      <w:pPr>
        <w:widowControl/>
        <w:jc w:val="left"/>
        <w:rPr>
          <w:rFonts w:cs="宋体"/>
          <w:color w:val="000000" w:themeColor="text1"/>
        </w:rPr>
        <w:sectPr>
          <w:headerReference r:id="rId6" w:type="first"/>
          <w:footerReference r:id="rId8" w:type="first"/>
          <w:headerReference r:id="rId5" w:type="default"/>
          <w:footerReference r:id="rId7" w:type="default"/>
          <w:pgSz w:w="11907" w:h="16840"/>
          <w:pgMar w:top="1440" w:right="1588" w:bottom="1440" w:left="1588" w:header="794" w:footer="794" w:gutter="0"/>
          <w:pgNumType w:fmt="decimal"/>
          <w:cols w:space="720" w:num="1"/>
          <w:titlePg/>
          <w:docGrid w:linePitch="326" w:charSpace="0"/>
        </w:sectPr>
      </w:pPr>
    </w:p>
    <w:p>
      <w:pPr>
        <w:pStyle w:val="6"/>
        <w:rPr>
          <w:color w:val="000000" w:themeColor="text1"/>
        </w:rPr>
      </w:pPr>
      <w:bookmarkStart w:id="110" w:name="_Toc80875223"/>
      <w:bookmarkStart w:id="111" w:name="_Toc81561444"/>
      <w:bookmarkStart w:id="112" w:name="_Toc98181989"/>
      <w:bookmarkStart w:id="113" w:name="_Toc109376881"/>
      <w:bookmarkStart w:id="114" w:name="_Toc8013"/>
      <w:r>
        <w:rPr>
          <w:rFonts w:hint="eastAsia"/>
          <w:color w:val="000000" w:themeColor="text1"/>
        </w:rPr>
        <w:t>扩声系统</w:t>
      </w:r>
      <w:bookmarkEnd w:id="110"/>
      <w:bookmarkEnd w:id="111"/>
      <w:bookmarkEnd w:id="112"/>
      <w:bookmarkEnd w:id="113"/>
      <w:bookmarkEnd w:id="114"/>
    </w:p>
    <w:p>
      <w:pPr>
        <w:pStyle w:val="58"/>
        <w:ind w:firstLine="480"/>
        <w:rPr>
          <w:color w:val="000000" w:themeColor="text1"/>
        </w:rPr>
      </w:pPr>
      <w:r>
        <w:rPr>
          <w:rFonts w:hint="eastAsia"/>
          <w:color w:val="000000" w:themeColor="text1"/>
        </w:rPr>
        <w:t>扩声系统又称专业音响系统，它最基本的设备，一般包括：功放、音箱、话筒、调音台，以及一些周边的声音处理设备等。</w:t>
      </w:r>
    </w:p>
    <w:p>
      <w:pPr>
        <w:pStyle w:val="58"/>
        <w:ind w:firstLine="480"/>
        <w:rPr>
          <w:color w:val="000000" w:themeColor="text1"/>
        </w:rPr>
      </w:pPr>
      <w:r>
        <w:rPr>
          <w:rFonts w:hint="eastAsia"/>
          <w:color w:val="000000" w:themeColor="text1"/>
        </w:rPr>
        <w:t>本项目的教室可以分为两类，阶梯教室和小中型教室。根据教室大小设计扩声系统方案。</w:t>
      </w:r>
    </w:p>
    <w:p>
      <w:pPr>
        <w:pStyle w:val="6"/>
        <w:rPr>
          <w:color w:val="000000" w:themeColor="text1"/>
        </w:rPr>
      </w:pPr>
      <w:bookmarkStart w:id="115" w:name="_Toc81561445"/>
      <w:bookmarkStart w:id="116" w:name="_Toc16804"/>
      <w:bookmarkStart w:id="117" w:name="_Toc98181990"/>
      <w:bookmarkStart w:id="118" w:name="_Toc80875224"/>
      <w:bookmarkStart w:id="119" w:name="_Toc109376882"/>
      <w:r>
        <w:rPr>
          <w:rFonts w:hint="eastAsia"/>
          <w:color w:val="000000" w:themeColor="text1"/>
        </w:rPr>
        <w:t>显示系统</w:t>
      </w:r>
      <w:bookmarkEnd w:id="115"/>
      <w:bookmarkEnd w:id="116"/>
      <w:bookmarkEnd w:id="117"/>
      <w:bookmarkEnd w:id="118"/>
      <w:bookmarkEnd w:id="119"/>
    </w:p>
    <w:p>
      <w:pPr>
        <w:pStyle w:val="58"/>
        <w:ind w:firstLine="480"/>
        <w:rPr>
          <w:color w:val="000000" w:themeColor="text1"/>
          <w:szCs w:val="28"/>
        </w:rPr>
      </w:pPr>
      <w:r>
        <w:rPr>
          <w:rFonts w:hint="eastAsia"/>
          <w:color w:val="000000" w:themeColor="text1"/>
        </w:rPr>
        <w:t>金华市**训练基地项目教室根据不同的功能和要求，显示系统主要分为电子白板、投影机、纳米黑板。</w:t>
      </w:r>
    </w:p>
    <w:p>
      <w:pPr>
        <w:pStyle w:val="58"/>
        <w:ind w:firstLine="480"/>
        <w:rPr>
          <w:color w:val="000000" w:themeColor="text1"/>
        </w:rPr>
      </w:pPr>
      <w:r>
        <w:rPr>
          <w:rFonts w:hint="eastAsia"/>
          <w:color w:val="000000" w:themeColor="text1"/>
        </w:rPr>
        <w:t>采用纳米触控技术将传统的手写黑板和多媒体设备相结合，在粉笔板书和多媒体应用之间轻松切换，同一块面积既可以像普通黑板一样，用粉笔正常书写，也可以像Pad一样，用手触控观看ppt、视频、图片、动画等各种丰富的多媒体应用，真正做到传统和现代的结合。</w:t>
      </w:r>
    </w:p>
    <w:p>
      <w:pPr>
        <w:pStyle w:val="58"/>
        <w:ind w:firstLine="480"/>
        <w:rPr>
          <w:color w:val="000000" w:themeColor="text1"/>
        </w:rPr>
      </w:pPr>
      <w:r>
        <w:rPr>
          <w:rFonts w:hint="eastAsia"/>
          <w:color w:val="000000" w:themeColor="text1"/>
        </w:rPr>
        <w:t>涵盖普通黑板、投影机、电脑电视、电子白板、音响所有功能，正面显示为一个由三块拼接而成的平面普通黑板，可以在上面用各种水笔书写，又可以根据需要采用粉笔书写。当打开电源时，中间一块显示出液晶的显示画面，可以进行触摸互动，而关掉时，显示画面隐形，又显示为一个普通黑板的表象，在上面进行书写。</w:t>
      </w:r>
    </w:p>
    <w:p>
      <w:pPr>
        <w:pStyle w:val="6"/>
        <w:rPr>
          <w:color w:val="000000" w:themeColor="text1"/>
        </w:rPr>
      </w:pPr>
      <w:bookmarkStart w:id="120" w:name="_Toc109376883"/>
      <w:bookmarkStart w:id="121" w:name="_Toc98181992"/>
      <w:bookmarkStart w:id="122" w:name="_Toc81561447"/>
      <w:bookmarkStart w:id="123" w:name="_Toc13046"/>
      <w:bookmarkStart w:id="124" w:name="_Toc80875226"/>
      <w:r>
        <w:rPr>
          <w:rFonts w:hint="eastAsia"/>
          <w:color w:val="000000" w:themeColor="text1"/>
        </w:rPr>
        <w:t>录播系统</w:t>
      </w:r>
      <w:bookmarkEnd w:id="120"/>
      <w:bookmarkEnd w:id="121"/>
      <w:bookmarkEnd w:id="122"/>
      <w:bookmarkEnd w:id="123"/>
      <w:bookmarkEnd w:id="124"/>
    </w:p>
    <w:p>
      <w:pPr>
        <w:pStyle w:val="58"/>
        <w:ind w:firstLine="480"/>
        <w:rPr>
          <w:color w:val="000000" w:themeColor="text1"/>
        </w:rPr>
      </w:pPr>
      <w:r>
        <w:rPr>
          <w:rFonts w:hint="eastAsia"/>
          <w:color w:val="000000" w:themeColor="text1"/>
        </w:rPr>
        <w:t>本项目在A-1#多媒体教室110人；A-3#信息通讯训练室、阶梯教室（216人）等教室设置常态化录播系统。</w:t>
      </w:r>
    </w:p>
    <w:p>
      <w:pPr>
        <w:pStyle w:val="58"/>
        <w:ind w:firstLine="480"/>
        <w:rPr>
          <w:color w:val="000000" w:themeColor="text1"/>
        </w:rPr>
      </w:pPr>
      <w:r>
        <w:rPr>
          <w:rFonts w:hint="eastAsia"/>
          <w:color w:val="000000" w:themeColor="text1"/>
        </w:rPr>
        <w:t>常态化录播系统采用高度集成化设计，支持教师、学生的全景和特写画面采集，支持板书特写、电脑PPT信号的同步采集，内嵌图像识别跟踪模块、导播切换模块、高清录播模块、直播、点播模块等，采用非云台摄像机即可实现画面自动跟踪、切换，融合了高清视音频处理技术、图像识别跟踪技术及网络直播技术，师生只需正常上课即可把课程过程录制下来并可实时直播、后期点播等，提高了老师课程视频的制作效率，为在线教育积累了宝贵的视频资源。</w:t>
      </w:r>
    </w:p>
    <w:p>
      <w:pPr>
        <w:pStyle w:val="58"/>
        <w:ind w:firstLine="480"/>
        <w:rPr>
          <w:color w:val="000000" w:themeColor="text1"/>
        </w:rPr>
      </w:pPr>
      <w:r>
        <w:rPr>
          <w:rFonts w:hint="eastAsia"/>
          <w:color w:val="000000" w:themeColor="text1"/>
        </w:rPr>
        <w:t>每个教室只需在教学电脑安装1套录播软件，并架设网络摄像机，通过校园网络，将教师特写、教师全景、学生特写、学生全景、教学电脑画面等多路音视频信号采集到教学电脑，即可实现自动录制、直播、导播、跟踪等功能；软件可根据需求实现电影模式、资源模式录制，录制后的文件上传至云平台服务器，通过资源平台软件对文件进行集中管理，可满足共享、发布、存储、点播、直播等需求；资源平台中还设置了个人空间等功能，可实现个人资料、文档管理，评课、巡课审阅等需求。</w:t>
      </w:r>
    </w:p>
    <w:p>
      <w:pPr>
        <w:pStyle w:val="6"/>
        <w:rPr>
          <w:color w:val="000000" w:themeColor="text1"/>
          <w:lang w:val="zh-CN"/>
        </w:rPr>
      </w:pPr>
      <w:bookmarkStart w:id="125" w:name="_Toc109376884"/>
      <w:bookmarkStart w:id="126" w:name="_Toc80875229"/>
      <w:bookmarkStart w:id="127" w:name="_Toc81561450"/>
      <w:bookmarkStart w:id="128" w:name="_Toc25137"/>
      <w:bookmarkStart w:id="129" w:name="_Toc98181993"/>
      <w:r>
        <w:rPr>
          <w:rFonts w:hint="eastAsia"/>
          <w:color w:val="000000" w:themeColor="text1"/>
          <w:lang w:val="zh-CN"/>
        </w:rPr>
        <w:t>模拟法庭</w:t>
      </w:r>
      <w:bookmarkEnd w:id="125"/>
      <w:bookmarkEnd w:id="126"/>
      <w:bookmarkEnd w:id="127"/>
      <w:bookmarkEnd w:id="128"/>
      <w:bookmarkEnd w:id="129"/>
    </w:p>
    <w:p>
      <w:pPr>
        <w:pStyle w:val="58"/>
        <w:ind w:firstLine="480"/>
        <w:rPr>
          <w:color w:val="000000" w:themeColor="text1"/>
          <w:lang w:val="zh-CN"/>
        </w:rPr>
      </w:pPr>
      <w:r>
        <w:rPr>
          <w:rFonts w:hint="eastAsia"/>
          <w:color w:val="000000" w:themeColor="text1"/>
          <w:lang w:val="zh-CN"/>
        </w:rPr>
        <w:t>金华市**训练基地A-3# 3F模拟法庭按标准的多媒体数字庭审系统进行建设，利用网络技术、先进的多媒体技术以及集中控制技术，实现了庭审过程中的实况采集、证据公开展示、笔录校对、庭审直播，并对庭审内部声、光、电等各种设备进行集中自动化控制以减少书记员的工作负荷，提供仲裁信息化的强大应用，可以实现：</w:t>
      </w:r>
    </w:p>
    <w:p>
      <w:pPr>
        <w:pStyle w:val="58"/>
        <w:ind w:firstLine="480"/>
        <w:rPr>
          <w:color w:val="000000" w:themeColor="text1"/>
          <w:lang w:val="zh-CN"/>
        </w:rPr>
      </w:pPr>
      <w:r>
        <w:rPr>
          <w:rFonts w:hint="eastAsia"/>
          <w:color w:val="000000" w:themeColor="text1"/>
          <w:lang w:val="zh-CN"/>
        </w:rPr>
        <w:t>法庭内的法官、当事人，证人得到整个庭审过程中最全面的信息，并基于这些信息更有效地辅助庭审活动的开展。</w:t>
      </w:r>
    </w:p>
    <w:p>
      <w:pPr>
        <w:pStyle w:val="58"/>
        <w:ind w:firstLine="480"/>
        <w:rPr>
          <w:color w:val="000000" w:themeColor="text1"/>
          <w:lang w:val="zh-CN"/>
        </w:rPr>
      </w:pPr>
      <w:r>
        <w:rPr>
          <w:rFonts w:hint="eastAsia"/>
          <w:color w:val="000000" w:themeColor="text1"/>
          <w:lang w:val="zh-CN"/>
        </w:rPr>
        <w:t>对于法庭外的相关人员以及相关部门，可以在通过桌面电脑、大屏幕显示等，了解庭审情况，监督庭审工作、观摩庭审过程。</w:t>
      </w:r>
    </w:p>
    <w:p>
      <w:pPr>
        <w:pStyle w:val="58"/>
        <w:ind w:firstLine="480"/>
        <w:rPr>
          <w:color w:val="000000" w:themeColor="text1"/>
          <w:lang w:val="zh-CN"/>
        </w:rPr>
      </w:pPr>
      <w:r>
        <w:rPr>
          <w:rFonts w:hint="eastAsia"/>
          <w:color w:val="000000" w:themeColor="text1"/>
          <w:lang w:val="zh-CN"/>
        </w:rPr>
        <w:t>法庭内的旁听人员通过庭内大屏幕显示设备；庭外的公告系统，对公开庭审的各类案件实现透明公开的了解和监督。</w:t>
      </w:r>
    </w:p>
    <w:p>
      <w:pPr>
        <w:pStyle w:val="58"/>
        <w:ind w:firstLine="480"/>
        <w:rPr>
          <w:color w:val="000000" w:themeColor="text1"/>
          <w:lang w:val="zh-CN"/>
        </w:rPr>
      </w:pPr>
      <w:r>
        <w:rPr>
          <w:rFonts w:hint="eastAsia"/>
          <w:color w:val="000000" w:themeColor="text1"/>
          <w:lang w:val="zh-CN"/>
        </w:rPr>
        <w:t>法庭与多功能厅、调解室可实现互联互通，可用于仿真演练教学，也可实现庭审中实时交互演示、提问、观摩等。</w:t>
      </w:r>
    </w:p>
    <w:p>
      <w:pPr>
        <w:pStyle w:val="6"/>
        <w:rPr>
          <w:color w:val="000000" w:themeColor="text1"/>
          <w:lang w:val="zh-CN"/>
        </w:rPr>
      </w:pPr>
      <w:bookmarkStart w:id="130" w:name="_Toc98181994"/>
      <w:bookmarkStart w:id="131" w:name="_Toc26206"/>
      <w:bookmarkStart w:id="132" w:name="_Toc109376885"/>
      <w:r>
        <w:rPr>
          <w:rFonts w:hint="eastAsia"/>
          <w:color w:val="000000" w:themeColor="text1"/>
          <w:lang w:val="zh-CN"/>
        </w:rPr>
        <w:t>智慧教室</w:t>
      </w:r>
      <w:bookmarkEnd w:id="130"/>
      <w:bookmarkEnd w:id="131"/>
      <w:bookmarkEnd w:id="132"/>
    </w:p>
    <w:p>
      <w:pPr>
        <w:pStyle w:val="58"/>
        <w:ind w:firstLine="480"/>
        <w:rPr>
          <w:color w:val="000000" w:themeColor="text1"/>
        </w:rPr>
      </w:pPr>
      <w:r>
        <w:rPr>
          <w:rFonts w:hint="eastAsia"/>
          <w:color w:val="000000" w:themeColor="text1"/>
        </w:rPr>
        <w:t>通过物联网技术和智能技术等构建起来的新型教室，通过各类智能装备辅助教学内容呈现、便利学习资源获取、促进课堂交互开展，实现情境感知和环境管理功能的新型教室。</w:t>
      </w:r>
    </w:p>
    <w:p>
      <w:pPr>
        <w:pStyle w:val="7"/>
        <w:rPr>
          <w:color w:val="000000" w:themeColor="text1"/>
        </w:rPr>
      </w:pPr>
      <w:bookmarkStart w:id="133" w:name="_Toc98181995"/>
      <w:r>
        <w:rPr>
          <w:rFonts w:hint="eastAsia"/>
          <w:color w:val="000000" w:themeColor="text1"/>
        </w:rPr>
        <w:t>系统设计</w:t>
      </w:r>
      <w:bookmarkEnd w:id="133"/>
    </w:p>
    <w:p>
      <w:pPr>
        <w:ind w:firstLine="480"/>
        <w:rPr>
          <w:color w:val="000000" w:themeColor="text1"/>
        </w:rPr>
      </w:pPr>
      <w:r>
        <w:rPr>
          <w:rFonts w:hint="eastAsia"/>
          <w:color w:val="000000" w:themeColor="text1"/>
        </w:rPr>
        <w:t>智慧教室由扩声系统、纳米黑板、多屏互动、一体化智慧讲台和常态录播系统组成。</w:t>
      </w:r>
    </w:p>
    <w:p>
      <w:pPr>
        <w:pStyle w:val="58"/>
        <w:ind w:firstLine="480"/>
        <w:rPr>
          <w:color w:val="000000" w:themeColor="text1"/>
        </w:rPr>
      </w:pPr>
      <w:r>
        <w:rPr>
          <w:rFonts w:hint="eastAsia"/>
          <w:color w:val="000000" w:themeColor="text1"/>
        </w:rPr>
        <w:t>拾音采用吊麦，无感收集发言声音；采用8</w:t>
      </w:r>
      <w:r>
        <w:rPr>
          <w:color w:val="000000" w:themeColor="text1"/>
        </w:rPr>
        <w:t>5</w:t>
      </w:r>
      <w:r>
        <w:rPr>
          <w:rFonts w:hint="eastAsia"/>
          <w:color w:val="000000" w:themeColor="text1"/>
        </w:rPr>
        <w:t>寸纳米黑板，可保证常规粉笔书写和多媒体板书的使用；通过一体化智慧讲台和互动触摸屏实现多屏幕的音视频互动；录播系统在教室前端设计学生人脸像机，录播同时可以做人脸点名使用，中间安装教师高清云台像机，同时收录课件视频，视频素材通过录播系统自动剪辑成基础教学视频。</w:t>
      </w:r>
    </w:p>
    <w:p>
      <w:pPr>
        <w:pStyle w:val="58"/>
        <w:ind w:firstLine="480"/>
        <w:rPr>
          <w:color w:val="000000" w:themeColor="text1"/>
        </w:rPr>
      </w:pPr>
      <w:r>
        <w:rPr>
          <w:rFonts w:hint="eastAsia"/>
          <w:color w:val="000000" w:themeColor="text1"/>
        </w:rPr>
        <w:t>通过智慧课堂互动系统，实现课堂教学的智能互动与信息采集，通过课堂互动与问答、师生多屏互动、小组投屏互动与管理，高效课堂管理、教学信息采集等各个环节，实现翻转课堂式教学、探究式教学、互动式教学等创新型教学模式，促进新型教学模式与信息化的深度结合。</w:t>
      </w:r>
    </w:p>
    <w:p>
      <w:pPr>
        <w:pStyle w:val="6"/>
        <w:rPr>
          <w:color w:val="000000" w:themeColor="text1"/>
        </w:rPr>
      </w:pPr>
      <w:bookmarkStart w:id="134" w:name="_Toc109376886"/>
      <w:bookmarkStart w:id="135" w:name="_Toc98181996"/>
      <w:bookmarkStart w:id="136" w:name="_Toc4585"/>
      <w:r>
        <w:rPr>
          <w:rFonts w:hint="eastAsia"/>
          <w:color w:val="000000" w:themeColor="text1"/>
        </w:rPr>
        <w:t>VR警情处置训练系统</w:t>
      </w:r>
      <w:bookmarkEnd w:id="134"/>
      <w:bookmarkEnd w:id="135"/>
      <w:bookmarkEnd w:id="136"/>
    </w:p>
    <w:p>
      <w:pPr>
        <w:pStyle w:val="7"/>
        <w:rPr>
          <w:color w:val="000000" w:themeColor="text1"/>
        </w:rPr>
      </w:pPr>
      <w:bookmarkStart w:id="137" w:name="_Toc98181997"/>
      <w:r>
        <w:rPr>
          <w:color w:val="000000" w:themeColor="text1"/>
        </w:rPr>
        <w:t>VR</w:t>
      </w:r>
      <w:r>
        <w:rPr>
          <w:rFonts w:hint="eastAsia"/>
          <w:color w:val="000000" w:themeColor="text1"/>
        </w:rPr>
        <w:t>设备设施设计</w:t>
      </w:r>
      <w:bookmarkEnd w:id="137"/>
    </w:p>
    <w:p>
      <w:pPr>
        <w:pStyle w:val="58"/>
        <w:ind w:firstLine="480"/>
        <w:rPr>
          <w:color w:val="000000" w:themeColor="text1"/>
        </w:rPr>
      </w:pPr>
      <w:r>
        <w:rPr>
          <w:rFonts w:hint="eastAsia"/>
          <w:color w:val="000000" w:themeColor="text1"/>
        </w:rPr>
        <w:t>金华市**训练基地科技信息化项目中设计建设2</w:t>
      </w:r>
      <w:r>
        <w:rPr>
          <w:color w:val="000000" w:themeColor="text1"/>
        </w:rPr>
        <w:t>0</w:t>
      </w:r>
      <w:r>
        <w:rPr>
          <w:rFonts w:hint="eastAsia"/>
          <w:color w:val="000000" w:themeColor="text1"/>
        </w:rPr>
        <w:t>套V</w:t>
      </w:r>
      <w:r>
        <w:rPr>
          <w:color w:val="000000" w:themeColor="text1"/>
        </w:rPr>
        <w:t>R</w:t>
      </w:r>
      <w:r>
        <w:rPr>
          <w:rFonts w:hint="eastAsia"/>
          <w:color w:val="000000" w:themeColor="text1"/>
        </w:rPr>
        <w:t>一体机和行走模拟器，满足警训基地模拟实战训练。通过</w:t>
      </w:r>
      <w:r>
        <w:rPr>
          <w:color w:val="000000" w:themeColor="text1"/>
        </w:rPr>
        <w:t>VR虚拟现实技术还原真实场景再现事故/培训现场，身临其境，印象深刻，安全无风险</w:t>
      </w:r>
      <w:r>
        <w:rPr>
          <w:rFonts w:hint="eastAsia"/>
          <w:color w:val="000000" w:themeColor="text1"/>
        </w:rPr>
        <w:t>；</w:t>
      </w:r>
      <w:r>
        <w:rPr>
          <w:color w:val="000000" w:themeColor="text1"/>
        </w:rPr>
        <w:t>3D建模，耗材无损耗，可重复利用，较小空间即可模拟复杂场景，占地面积小，培训容纳量大</w:t>
      </w:r>
      <w:r>
        <w:rPr>
          <w:rFonts w:hint="eastAsia"/>
          <w:color w:val="000000" w:themeColor="text1"/>
        </w:rPr>
        <w:t>；无需搭建场地，通过</w:t>
      </w:r>
      <w:r>
        <w:rPr>
          <w:color w:val="000000" w:themeColor="text1"/>
        </w:rPr>
        <w:t>VR技术快速模拟培训流程，高效训练，实现培训效果可追踪，可量化。</w:t>
      </w:r>
    </w:p>
    <w:p>
      <w:pPr>
        <w:pStyle w:val="58"/>
        <w:ind w:firstLine="480"/>
        <w:rPr>
          <w:color w:val="000000" w:themeColor="text1"/>
        </w:rPr>
      </w:pPr>
      <w:r>
        <w:rPr>
          <w:rFonts w:hint="eastAsia"/>
          <w:color w:val="000000" w:themeColor="text1"/>
        </w:rPr>
        <w:t>本次项目配置</w:t>
      </w:r>
      <w:r>
        <w:rPr>
          <w:color w:val="000000" w:themeColor="text1"/>
        </w:rPr>
        <w:t>设卡盘查实训</w:t>
      </w:r>
      <w:r>
        <w:rPr>
          <w:rFonts w:hint="eastAsia"/>
          <w:color w:val="000000" w:themeColor="text1"/>
        </w:rPr>
        <w:t>场景软件和</w:t>
      </w:r>
      <w:r>
        <w:rPr>
          <w:color w:val="000000" w:themeColor="text1"/>
        </w:rPr>
        <w:t>醉酒暴力实训</w:t>
      </w:r>
      <w:r>
        <w:rPr>
          <w:rFonts w:hint="eastAsia"/>
          <w:color w:val="000000" w:themeColor="text1"/>
        </w:rPr>
        <w:t>场景软件，后期可能根据需求，增加扩展训练内容。</w:t>
      </w:r>
    </w:p>
    <w:p>
      <w:pPr>
        <w:pStyle w:val="58"/>
        <w:ind w:firstLine="482"/>
        <w:rPr>
          <w:rFonts w:cs="宋体"/>
          <w:b/>
          <w:bCs/>
          <w:color w:val="000000" w:themeColor="text1"/>
        </w:rPr>
      </w:pPr>
      <w:r>
        <w:rPr>
          <w:rFonts w:hint="eastAsia" w:cs="宋体"/>
          <w:b/>
          <w:bCs/>
          <w:color w:val="000000" w:themeColor="text1"/>
        </w:rPr>
        <w:t>（1）VR一体机</w:t>
      </w:r>
    </w:p>
    <w:p>
      <w:pPr>
        <w:pStyle w:val="58"/>
        <w:ind w:firstLine="480"/>
        <w:rPr>
          <w:rFonts w:cs="宋体"/>
          <w:color w:val="000000" w:themeColor="text1"/>
        </w:rPr>
      </w:pPr>
      <w:r>
        <w:rPr>
          <w:rFonts w:hint="eastAsia" w:cs="宋体"/>
          <w:color w:val="000000" w:themeColor="text1"/>
        </w:rPr>
        <w:t>VR一体机，具有6DOF 空间定位，支持多段瞳距调节以及无线串流功能，通过多广角相机空间定位追踪加超流畅光学手柄追踪，在复杂环境下仍能实现稳定精准的6DoF追踪。</w:t>
      </w:r>
    </w:p>
    <w:p>
      <w:pPr>
        <w:pStyle w:val="58"/>
        <w:ind w:firstLine="482"/>
        <w:rPr>
          <w:rFonts w:cs="宋体"/>
          <w:b/>
          <w:bCs/>
          <w:color w:val="000000" w:themeColor="text1"/>
        </w:rPr>
      </w:pPr>
      <w:r>
        <w:rPr>
          <w:rFonts w:hint="eastAsia" w:cs="宋体"/>
          <w:b/>
          <w:bCs/>
          <w:color w:val="000000" w:themeColor="text1"/>
        </w:rPr>
        <w:t>（2）行走模拟器</w:t>
      </w:r>
    </w:p>
    <w:p>
      <w:pPr>
        <w:pStyle w:val="58"/>
        <w:ind w:firstLine="480"/>
        <w:rPr>
          <w:rFonts w:cs="宋体"/>
          <w:color w:val="000000" w:themeColor="text1"/>
        </w:rPr>
      </w:pPr>
      <w:r>
        <w:rPr>
          <w:rFonts w:hint="eastAsia" w:cs="宋体"/>
          <w:color w:val="000000" w:themeColor="text1"/>
        </w:rPr>
        <w:t>行走模拟器是一款基于脚部的虚拟现实移动系统，可以对下半身的动作进行完全的身体控制，允许用户在虚拟现实中进行自由行走、奔跑，以及任何其他动作。同时可以实现VR视角的三轴分离，眼部视觉、身体朝向、行走方向均具备独立数据，以保证优秀的沉浸体验。</w:t>
      </w:r>
    </w:p>
    <w:p>
      <w:pPr>
        <w:pStyle w:val="7"/>
        <w:rPr>
          <w:color w:val="000000" w:themeColor="text1"/>
        </w:rPr>
      </w:pPr>
      <w:bookmarkStart w:id="138" w:name="_Toc98181998"/>
      <w:r>
        <w:rPr>
          <w:color w:val="000000" w:themeColor="text1"/>
        </w:rPr>
        <w:t>VR实训系统</w:t>
      </w:r>
      <w:r>
        <w:rPr>
          <w:rFonts w:hint="eastAsia"/>
          <w:color w:val="000000" w:themeColor="text1"/>
        </w:rPr>
        <w:t>内容设计</w:t>
      </w:r>
      <w:bookmarkEnd w:id="138"/>
    </w:p>
    <w:p>
      <w:pPr>
        <w:pStyle w:val="58"/>
        <w:ind w:firstLine="480"/>
        <w:rPr>
          <w:color w:val="000000" w:themeColor="text1"/>
        </w:rPr>
      </w:pPr>
      <w:r>
        <w:rPr>
          <w:color w:val="000000" w:themeColor="text1"/>
        </w:rPr>
        <w:t>1、设卡盘查实训系统</w:t>
      </w:r>
    </w:p>
    <w:p>
      <w:pPr>
        <w:pStyle w:val="58"/>
        <w:ind w:firstLine="480"/>
        <w:rPr>
          <w:color w:val="000000" w:themeColor="text1"/>
        </w:rPr>
      </w:pPr>
      <w:r>
        <w:rPr>
          <w:rFonts w:hint="eastAsia"/>
          <w:color w:val="000000" w:themeColor="text1"/>
        </w:rPr>
        <w:t>模拟还原日常警情处置中的设卡盘查，从卡点的选择、卡点的布局到盘查过程的处置都通过</w:t>
      </w:r>
      <w:r>
        <w:rPr>
          <w:color w:val="000000" w:themeColor="text1"/>
        </w:rPr>
        <w:t>VR虚拟现实方式进行模拟演练，通过开放式的架构设计和标准化人工智能教学引导提升警员的规范执法能力和突发事件应对能力。</w:t>
      </w:r>
    </w:p>
    <w:p>
      <w:pPr>
        <w:pStyle w:val="58"/>
        <w:ind w:firstLine="480"/>
        <w:rPr>
          <w:color w:val="000000" w:themeColor="text1"/>
        </w:rPr>
      </w:pPr>
      <w:r>
        <w:rPr>
          <w:color w:val="000000" w:themeColor="text1"/>
        </w:rPr>
        <w:t>2、醉酒暴力实训系统</w:t>
      </w:r>
    </w:p>
    <w:p>
      <w:pPr>
        <w:pStyle w:val="58"/>
        <w:ind w:firstLine="480"/>
        <w:rPr>
          <w:color w:val="000000" w:themeColor="text1"/>
        </w:rPr>
      </w:pPr>
      <w:r>
        <w:rPr>
          <w:rFonts w:hint="eastAsia"/>
          <w:color w:val="000000" w:themeColor="text1"/>
        </w:rPr>
        <w:t>模拟还原日常警情处置中的醉酒暴力处置，管辖区域内</w:t>
      </w:r>
      <w:r>
        <w:rPr>
          <w:color w:val="000000" w:themeColor="text1"/>
        </w:rPr>
        <w:t>2名醉酒人员发生斗殴事件，模拟还原突发状况下警员对于警情的处置，要求警员根据警情信息选择相应的警械，在处置警情的时候嫌疑人会随机出现各种状况，从轻微暴力到极端暴力，要求警员在规范执法的前提下选择合适的警械并且正确的使用警械，并且搭配考核系统，统计汇总学院训练结果。</w:t>
      </w:r>
    </w:p>
    <w:p>
      <w:pPr>
        <w:pStyle w:val="8"/>
        <w:rPr>
          <w:color w:val="000000" w:themeColor="text1"/>
        </w:rPr>
      </w:pPr>
      <w:r>
        <w:rPr>
          <w:rFonts w:hint="eastAsia"/>
          <w:color w:val="000000" w:themeColor="text1"/>
        </w:rPr>
        <w:t>设卡盘查实训系统</w:t>
      </w:r>
    </w:p>
    <w:p>
      <w:pPr>
        <w:pStyle w:val="54"/>
        <w:snapToGrid w:val="0"/>
        <w:spacing w:line="360" w:lineRule="auto"/>
        <w:ind w:firstLine="482"/>
        <w:rPr>
          <w:rFonts w:ascii="宋体" w:hAnsi="宋体" w:cs="宋体"/>
          <w:color w:val="000000" w:themeColor="text1"/>
          <w:sz w:val="24"/>
        </w:rPr>
      </w:pPr>
      <w:r>
        <w:rPr>
          <w:rFonts w:hint="eastAsia" w:ascii="宋体" w:hAnsi="宋体" w:cs="宋体"/>
          <w:b/>
          <w:bCs/>
          <w:color w:val="000000" w:themeColor="text1"/>
          <w:sz w:val="24"/>
        </w:rPr>
        <w:t>概述：</w:t>
      </w:r>
      <w:r>
        <w:rPr>
          <w:rFonts w:hint="eastAsia" w:ascii="宋体" w:hAnsi="宋体" w:cs="宋体"/>
          <w:color w:val="000000" w:themeColor="text1"/>
          <w:sz w:val="24"/>
        </w:rPr>
        <w:t>通过VR虚拟现实技术模拟还原日常警情处置中的设卡盘查，从卡点的选择、卡点的布局到盘查过程的处置都通过VR虚拟现实方式进行模拟演练，通过开放式的架构设计和标准化人工智能教学引导提升警员的规范执法能力和突发事件应对能力。</w:t>
      </w:r>
    </w:p>
    <w:p>
      <w:pPr>
        <w:pStyle w:val="54"/>
        <w:snapToGrid w:val="0"/>
        <w:spacing w:line="360" w:lineRule="auto"/>
        <w:ind w:firstLine="482"/>
        <w:rPr>
          <w:rFonts w:ascii="宋体" w:hAnsi="宋体" w:cs="宋体"/>
          <w:b/>
          <w:bCs/>
          <w:color w:val="000000" w:themeColor="text1"/>
          <w:sz w:val="24"/>
        </w:rPr>
      </w:pPr>
      <w:r>
        <w:rPr>
          <w:rFonts w:hint="eastAsia" w:ascii="宋体" w:hAnsi="宋体" w:cs="宋体"/>
          <w:b/>
          <w:bCs/>
          <w:color w:val="000000" w:themeColor="text1"/>
          <w:sz w:val="24"/>
        </w:rPr>
        <w:t>主要考试内容</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处置战术运用：a迅速出警；b收集情报；c确定盘查现场；d请求支援；f控制现场（包括控制嫌疑人、救助伤员、现场调查取证、对现场外围控制）；</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处置时相关法言发语：a告知；b面对质疑；c查验身份证；d检查物品；e检查人身；f面对围观群众；g设置警戒带；h面对拍摄；i面对记者；j面对执法质疑；k告知违法。</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本项目整个设卡盘查分为教学版本和考核版本，教学版本通过设置AI虚拟教室，手把手一步一步的教授警员正确且规范的执法流程。</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考核版本为开放环境设计，警员在VR中没有任何提示，按照自己所掌握的知识进行模拟实操，整个系统具备随机性的特点，让警员学习规范执法的同时可以提升突发状况应对能力。</w:t>
      </w:r>
    </w:p>
    <w:p>
      <w:pPr>
        <w:pStyle w:val="54"/>
        <w:numPr>
          <w:ilvl w:val="0"/>
          <w:numId w:val="7"/>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盘查对象随机</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随机出现2-3种不同类型的车辆，不同类型的车辆会带来不同的情境</w:t>
      </w:r>
    </w:p>
    <w:p>
      <w:pPr>
        <w:pStyle w:val="54"/>
        <w:numPr>
          <w:ilvl w:val="0"/>
          <w:numId w:val="7"/>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突发事件随机</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会根据执法人员的执法流程出现不同类型的反应</w:t>
      </w:r>
    </w:p>
    <w:p>
      <w:pPr>
        <w:pStyle w:val="54"/>
        <w:numPr>
          <w:ilvl w:val="0"/>
          <w:numId w:val="7"/>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应对措施开放</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执法人员不同的应对措施也会带来不同的结果</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搭配训练管理系统，统计分析每一个警员的训练过程，让培训可追踪可量化，大大提升培训效率。</w:t>
      </w:r>
    </w:p>
    <w:p>
      <w:pPr>
        <w:snapToGrid w:val="0"/>
        <w:spacing w:line="360" w:lineRule="auto"/>
        <w:ind w:firstLine="480"/>
        <w:jc w:val="left"/>
        <w:rPr>
          <w:rFonts w:ascii="宋体" w:hAnsi="宋体" w:cs="宋体"/>
          <w:color w:val="000000" w:themeColor="text1"/>
          <w:sz w:val="24"/>
          <w:szCs w:val="24"/>
        </w:rPr>
      </w:pP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（1）警员设置</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警力配备为5人，分为拦截引导员、盘问检查人员、记录人员、警戒员。本次训练系统中主要扮演盘问人员，其余人员用AI替代。</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装备配备手枪、冲锋枪、防弹衣、防弹头盔、防弹盾牌、防暴盾牌、防暴头盔、防刺服、反光背心、爆闪肩灯、长警棍、电台、阻车器、停车示意牌、反光锥筒、警告标志、警示灯等警械武器和单警装备。</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（2）卡点选择</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通过选择题的方式让警员选择适合的点位，主要遵循的选择要求如下：</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电子监控、场地开阔、便于拦截检查和展开警力</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有物理屏障的地方或其他能使车辆自然减速的路段。</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不能再交通复杂的十字路口、交通拥堵车的主干道以及存放易燃易爆等复杂地段和场所。</w:t>
      </w:r>
    </w:p>
    <w:p>
      <w:pPr>
        <w:pStyle w:val="54"/>
        <w:numPr>
          <w:ilvl w:val="0"/>
          <w:numId w:val="8"/>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夜间设卡尽量选择光线条件较好的区域进行，也可以利用警车前照灯照明。</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（3）卡点布局</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在VR环境中让警员设置卡点布局，布局合格方可进行下一步，主要遵循要求如下：</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在距卡点约二百米处开始摆放发光或者反光的警告标志、警示灯，间隔设置减速提示标牌、反光锥筒等安全防护设备，使受检车辆减速延狭道至检查卡接受检查。并配备一辆警车，警车在卡点后方10-15米来车方向的右侧停放，车头向外，与道路成60到70度角，以便追堵闯卡车辆。</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（4）截停引导</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引导民警现场观察或通过缉查布控系统识别报警发现嫌疑车辆后，使用停车示意牌，引导嫌疑车辆进入检查区域等候盘查。</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此过程中车辆为随机不同类型的车辆，需要警员根据自己的判断进行后续的盘查准备。</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此过程中主要是通过语音识别技术考核警员的法言法语，如：</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1）告知：我们是xx***民警，现依据《人民警察法》第九条，对你进行盘查，请你配合。</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2）面对质疑：警察有盘查权力，公民有配合义务。</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3）检查物品：现依据《人民警察法》第九条，检查你的物品，全程录音录像。</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其中通过对关键词的识别来判断警员法言法语是否合规，并且被盘查人员的配合度也是随机的，需要警员针对性的进行告知。</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（5）车辆盘查</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根据可能会出现的车辆，分为一般车辆和高危车辆，需要盘查人员采用不同的盘查措施，警员不同的应对措施会带来不同的结果，基本原则如下：</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一般车辆：柔性控制，礼貌查控</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按照规范执法过程进行车辆盘查和人身检查，如果其间警员出现不规范的执法行为则有可能接到投诉等。</w:t>
      </w:r>
    </w:p>
    <w:p>
      <w:pPr>
        <w:pStyle w:val="54"/>
        <w:numPr>
          <w:ilvl w:val="0"/>
          <w:numId w:val="9"/>
        </w:numPr>
        <w:snapToGrid w:val="0"/>
        <w:spacing w:line="360" w:lineRule="auto"/>
        <w:ind w:left="0"/>
        <w:rPr>
          <w:rFonts w:ascii="宋体" w:hAnsi="宋体" w:cs="宋体"/>
          <w:color w:val="000000" w:themeColor="text1"/>
          <w:sz w:val="24"/>
        </w:rPr>
      </w:pPr>
      <w:r>
        <w:rPr>
          <w:rFonts w:hint="eastAsia" w:ascii="宋体" w:hAnsi="宋体" w:cs="宋体"/>
          <w:color w:val="000000" w:themeColor="text1"/>
          <w:sz w:val="24"/>
        </w:rPr>
        <w:t>高危车辆：武力控制，强制查控</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要求警员严格按照规范程序对车辆进行盘问，由于是高危车辆，若执法过程中警员放松警惕，出现了可能给自己人身带来安全隐患的行为，则会在VR中真实还原对应的突发状况，比如警员在盘查过程中站在了危险区域，则会发生对应的突发事件。</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徒手袭击区中会发生嫌疑人徒手袭击；</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冲撞危险区中会发生嫌疑人冲撞袭击。</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（6）事件处置</w:t>
      </w:r>
    </w:p>
    <w:p>
      <w:pPr>
        <w:pStyle w:val="54"/>
        <w:snapToGrid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发生相应事件后，警员需要根据对应情况选择处置措施，基本原则如下：</w:t>
      </w:r>
    </w:p>
    <w:p>
      <w:pPr>
        <w:pStyle w:val="54"/>
        <w:numPr>
          <w:ilvl w:val="0"/>
          <w:numId w:val="9"/>
        </w:numPr>
        <w:snapToGrid w:val="0"/>
        <w:spacing w:line="360" w:lineRule="auto"/>
        <w:ind w:left="0" w:firstLine="567"/>
        <w:rPr>
          <w:rFonts w:ascii="宋体" w:hAnsi="宋体" w:cs="宋体"/>
          <w:color w:val="000000" w:themeColor="text1"/>
          <w:sz w:val="24"/>
        </w:rPr>
      </w:pPr>
      <w:r>
        <w:rPr>
          <w:rFonts w:hint="eastAsia" w:ascii="宋体" w:hAnsi="宋体" w:cs="宋体"/>
          <w:color w:val="000000" w:themeColor="text1"/>
          <w:sz w:val="24"/>
        </w:rPr>
        <w:t>对人的处置：放行、交由***继续盘问</w:t>
      </w:r>
    </w:p>
    <w:p>
      <w:pPr>
        <w:pStyle w:val="54"/>
        <w:numPr>
          <w:ilvl w:val="0"/>
          <w:numId w:val="9"/>
        </w:numPr>
        <w:snapToGrid w:val="0"/>
        <w:spacing w:line="360" w:lineRule="auto"/>
        <w:ind w:left="0" w:firstLine="567"/>
        <w:rPr>
          <w:rFonts w:ascii="宋体" w:hAnsi="宋体" w:cs="宋体"/>
          <w:color w:val="000000" w:themeColor="text1"/>
          <w:sz w:val="24"/>
        </w:rPr>
      </w:pPr>
      <w:r>
        <w:rPr>
          <w:rFonts w:hint="eastAsia" w:ascii="宋体" w:hAnsi="宋体" w:cs="宋体"/>
          <w:color w:val="000000" w:themeColor="text1"/>
          <w:sz w:val="24"/>
        </w:rPr>
        <w:t>对事的处置：根据不同案件交分管单位</w:t>
      </w:r>
    </w:p>
    <w:p>
      <w:pPr>
        <w:pStyle w:val="54"/>
        <w:widowControl/>
        <w:numPr>
          <w:ilvl w:val="0"/>
          <w:numId w:val="9"/>
        </w:numPr>
        <w:snapToGrid w:val="0"/>
        <w:spacing w:line="360" w:lineRule="auto"/>
        <w:ind w:left="0" w:firstLine="567"/>
        <w:jc w:val="left"/>
        <w:rPr>
          <w:rFonts w:ascii="宋体" w:hAnsi="宋体" w:cs="宋体"/>
          <w:color w:val="000000" w:themeColor="text1"/>
          <w:sz w:val="24"/>
        </w:rPr>
      </w:pPr>
      <w:r>
        <w:rPr>
          <w:rFonts w:hint="eastAsia" w:ascii="宋体" w:hAnsi="宋体" w:cs="宋体"/>
          <w:color w:val="000000" w:themeColor="text1"/>
          <w:sz w:val="24"/>
        </w:rPr>
        <w:t>对物的处置：交由***处理</w:t>
      </w:r>
    </w:p>
    <w:p>
      <w:pPr>
        <w:pStyle w:val="8"/>
        <w:snapToGrid w:val="0"/>
        <w:spacing w:line="360" w:lineRule="auto"/>
        <w:rPr>
          <w:color w:val="000000" w:themeColor="text1"/>
        </w:rPr>
      </w:pPr>
      <w:r>
        <w:rPr>
          <w:rFonts w:hint="eastAsia"/>
          <w:color w:val="000000" w:themeColor="text1"/>
        </w:rPr>
        <w:t>醉酒暴力实训系统</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整个醉酒闹事系统分为教学版本和考核版本，教学版本为虚拟训练空间，在空旷的房间内以黑影为对练对象，系统性的对不同场景下警械的使用和规范用语进行使用教学。</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考核版本为具体的醉酒闹事警情，场景设置在城市内的一个大排档，警员在V</w:t>
      </w:r>
      <w:r>
        <w:rPr>
          <w:rFonts w:ascii="宋体" w:hAnsi="宋体"/>
          <w:color w:val="000000" w:themeColor="text1"/>
          <w:sz w:val="24"/>
          <w:szCs w:val="24"/>
        </w:rPr>
        <w:t>R</w:t>
      </w:r>
      <w:r>
        <w:rPr>
          <w:rFonts w:hint="eastAsia" w:ascii="宋体" w:hAnsi="宋体"/>
          <w:color w:val="000000" w:themeColor="text1"/>
          <w:sz w:val="24"/>
          <w:szCs w:val="24"/>
        </w:rPr>
        <w:t>中没有任何提示，按照自己所掌握的知识进行模拟实操，整个系统具备随机性的特点，让警员学习规范执法的同时可以提升突发状况应对能力。</w:t>
      </w:r>
    </w:p>
    <w:p>
      <w:pPr>
        <w:pStyle w:val="49"/>
        <w:numPr>
          <w:ilvl w:val="0"/>
          <w:numId w:val="10"/>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暴力等级随机</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从轻微暴力到极端暴力，在事件库中随机出现不同暴力等级的嫌疑人。</w:t>
      </w:r>
    </w:p>
    <w:p>
      <w:pPr>
        <w:pStyle w:val="49"/>
        <w:numPr>
          <w:ilvl w:val="0"/>
          <w:numId w:val="10"/>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应对措施开放</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警员选择不同的警械会带来不同的后果，在考核结束时会有对错分析。</w:t>
      </w:r>
    </w:p>
    <w:p>
      <w:pPr>
        <w:pStyle w:val="49"/>
        <w:numPr>
          <w:ilvl w:val="0"/>
          <w:numId w:val="10"/>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现场处理对应</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不同暴力等级也会带来不同的现场环境，要求有不同的善后处置。</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1、接到任务</w:t>
      </w:r>
      <w:r>
        <w:rPr>
          <w:rFonts w:ascii="宋体" w:hAnsi="宋体"/>
          <w:b/>
          <w:bCs/>
          <w:color w:val="000000" w:themeColor="text1"/>
          <w:sz w:val="24"/>
          <w:szCs w:val="24"/>
        </w:rPr>
        <w:t>&amp;</w:t>
      </w:r>
      <w:r>
        <w:rPr>
          <w:rFonts w:hint="eastAsia" w:ascii="宋体" w:hAnsi="宋体"/>
          <w:b/>
          <w:bCs/>
          <w:color w:val="000000" w:themeColor="text1"/>
          <w:sz w:val="24"/>
          <w:szCs w:val="24"/>
        </w:rPr>
        <w:t>选择警械</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接到警情处置信息，根据获取的信息选择相应的警械。</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在处置时应保证警力优势，出警人数与违法人员数量比例应达到二比一或三比一，除了体验者外的警员用A</w:t>
      </w:r>
      <w:r>
        <w:rPr>
          <w:rFonts w:ascii="宋体" w:hAnsi="宋体"/>
          <w:color w:val="000000" w:themeColor="text1"/>
          <w:sz w:val="24"/>
          <w:szCs w:val="24"/>
        </w:rPr>
        <w:t>I</w:t>
      </w:r>
      <w:r>
        <w:rPr>
          <w:rFonts w:hint="eastAsia" w:ascii="宋体" w:hAnsi="宋体"/>
          <w:color w:val="000000" w:themeColor="text1"/>
          <w:sz w:val="24"/>
          <w:szCs w:val="24"/>
        </w:rPr>
        <w:t>替代。</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装备</w:t>
      </w:r>
      <w:r>
        <w:rPr>
          <w:rFonts w:ascii="宋体" w:hAnsi="宋体"/>
          <w:color w:val="000000" w:themeColor="text1"/>
          <w:sz w:val="24"/>
          <w:szCs w:val="24"/>
        </w:rPr>
        <w:t>配备</w:t>
      </w:r>
      <w:r>
        <w:rPr>
          <w:rFonts w:hint="eastAsia" w:ascii="宋体" w:hAnsi="宋体"/>
          <w:color w:val="000000" w:themeColor="text1"/>
          <w:sz w:val="24"/>
          <w:szCs w:val="24"/>
        </w:rPr>
        <w:t>①</w:t>
      </w:r>
      <w:r>
        <w:rPr>
          <w:rFonts w:ascii="宋体" w:hAnsi="宋体"/>
          <w:color w:val="000000" w:themeColor="text1"/>
          <w:sz w:val="24"/>
          <w:szCs w:val="24"/>
        </w:rPr>
        <w:t>通讯工具；</w:t>
      </w:r>
      <w:r>
        <w:rPr>
          <w:rFonts w:hint="eastAsia" w:ascii="宋体" w:hAnsi="宋体"/>
          <w:color w:val="000000" w:themeColor="text1"/>
          <w:sz w:val="24"/>
          <w:szCs w:val="24"/>
        </w:rPr>
        <w:t>②</w:t>
      </w:r>
      <w:r>
        <w:rPr>
          <w:rFonts w:ascii="宋体" w:hAnsi="宋体"/>
          <w:color w:val="000000" w:themeColor="text1"/>
          <w:sz w:val="24"/>
          <w:szCs w:val="24"/>
        </w:rPr>
        <w:t>约束性警械，主要为警绳、约束带等；</w:t>
      </w:r>
      <w:r>
        <w:rPr>
          <w:rFonts w:hint="eastAsia" w:ascii="宋体" w:hAnsi="宋体"/>
          <w:color w:val="000000" w:themeColor="text1"/>
          <w:sz w:val="24"/>
          <w:szCs w:val="24"/>
        </w:rPr>
        <w:t>③</w:t>
      </w:r>
      <w:r>
        <w:rPr>
          <w:rFonts w:ascii="宋体" w:hAnsi="宋体"/>
          <w:color w:val="000000" w:themeColor="text1"/>
          <w:sz w:val="24"/>
          <w:szCs w:val="24"/>
        </w:rPr>
        <w:t>制服性警械，主要包括警用喷剂、警棍；</w:t>
      </w:r>
      <w:r>
        <w:rPr>
          <w:rFonts w:hint="eastAsia" w:ascii="宋体" w:hAnsi="宋体"/>
          <w:color w:val="000000" w:themeColor="text1"/>
          <w:sz w:val="24"/>
          <w:szCs w:val="24"/>
        </w:rPr>
        <w:t>④</w:t>
      </w:r>
      <w:r>
        <w:rPr>
          <w:rFonts w:ascii="宋体" w:hAnsi="宋体"/>
          <w:color w:val="000000" w:themeColor="text1"/>
          <w:sz w:val="24"/>
          <w:szCs w:val="24"/>
        </w:rPr>
        <w:t>必要的取证工具，有条件的可以携带照相机、摄像机、录音笔等。</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2疏导现场</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警员到达现场后按照规范进行现场疏导</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3</w:t>
      </w:r>
      <w:r>
        <w:rPr>
          <w:rFonts w:ascii="宋体" w:hAnsi="宋体"/>
          <w:b/>
          <w:bCs/>
          <w:color w:val="000000" w:themeColor="text1"/>
          <w:sz w:val="24"/>
          <w:szCs w:val="24"/>
        </w:rPr>
        <w:t>.</w:t>
      </w:r>
      <w:r>
        <w:rPr>
          <w:rFonts w:hint="eastAsia" w:ascii="宋体" w:hAnsi="宋体"/>
          <w:b/>
          <w:bCs/>
          <w:color w:val="000000" w:themeColor="text1"/>
          <w:sz w:val="24"/>
          <w:szCs w:val="24"/>
        </w:rPr>
        <w:t>处置嫌疑人</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此处设置有三种随机警情，按照暴力等级分为轻微暴力，中度暴力，极端暴力。</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轻微暴力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犯罪嫌疑人暴力表现为轻微，情绪比较激动，有言语辱骂，但并没有过激的动作和伤害他人的意图，在警员进行警告劝说后配合执法。</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中度暴力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犯罪嫌疑人暴力表现为中级，情绪激动，有言语辱骂，并打砸周边物品，存在一定伤害风险，要求警员根据嫌疑人情况采取相应措施，包括规范执法流程，和警械的正确选择及使用。</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极端暴力</w:t>
      </w:r>
    </w:p>
    <w:p>
      <w:pPr>
        <w:pStyle w:val="49"/>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犯罪嫌疑人暴力表现为极端，手持刀械，情绪激动，周边有受伤人员，嫌疑人在执法过程中突然袭警，要求警员根据现场情况选择正确警械进行执法。</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整个嫌疑人处置过程中除了考核警员对于不同情况下警员对于警械的正确选择和使用，也会通过语音识别技术对警员关键的法言法语进行考核，如：</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1）确定报警人：现场人员较多，难以确定报警人的，“我们是</w:t>
      </w:r>
      <w:r>
        <w:rPr>
          <w:rFonts w:ascii="宋体" w:hAnsi="宋体"/>
          <w:color w:val="000000" w:themeColor="text1"/>
          <w:sz w:val="24"/>
          <w:szCs w:val="24"/>
        </w:rPr>
        <w:t>XX（单位）民警，请问是谁报的警（谁是报警人）？</w:t>
      </w:r>
    </w:p>
    <w:p>
      <w:pPr>
        <w:snapToGrid w:val="0"/>
        <w:spacing w:line="360" w:lineRule="auto"/>
        <w:ind w:firstLine="48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）询问证人：</w:t>
      </w:r>
      <w:r>
        <w:rPr>
          <w:rFonts w:ascii="宋体" w:hAnsi="宋体"/>
          <w:color w:val="000000" w:themeColor="text1"/>
          <w:sz w:val="24"/>
          <w:szCs w:val="24"/>
        </w:rPr>
        <w:t>进行现场调查时，“我们是XX（单位）民警，这是我们的证件，因XX事情，需要向你了解情况，请你把刚才看到的经过跟我们如实讲一下。”</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3）维持现场秩序：“我们正在执行公务，请大家不要围观，无关人员退到门外”，或指定某（些）人退出门外，或指定某（些）人留下，其他人员退出门外。</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4</w:t>
      </w:r>
      <w:r>
        <w:rPr>
          <w:rFonts w:ascii="宋体" w:hAnsi="宋体"/>
          <w:b/>
          <w:bCs/>
          <w:color w:val="000000" w:themeColor="text1"/>
          <w:sz w:val="24"/>
          <w:szCs w:val="24"/>
        </w:rPr>
        <w:t>.</w:t>
      </w:r>
      <w:r>
        <w:rPr>
          <w:rFonts w:hint="eastAsia" w:ascii="宋体" w:hAnsi="宋体"/>
          <w:b/>
          <w:bCs/>
          <w:color w:val="000000" w:themeColor="text1"/>
          <w:sz w:val="24"/>
          <w:szCs w:val="24"/>
        </w:rPr>
        <w:t>现场处理</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根据随机出现的三种暴力等级的嫌疑人，会出现相应的现场环境，要求警员进行相应的善后处理。</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轻微暴力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了解情况，迅速通知当事人亲友或单位领导到场，</w:t>
      </w:r>
      <w:r>
        <w:rPr>
          <w:rFonts w:ascii="宋体" w:hAnsi="宋体"/>
          <w:color w:val="000000" w:themeColor="text1"/>
          <w:sz w:val="24"/>
          <w:szCs w:val="24"/>
        </w:rPr>
        <w:t>通过对报案人、知情人和周围群众的询问，了解当事人醉酒滋事经过，当事人的家庭住址、工作单位等，并尽快通知其亲友或单位领导到场协助处置。</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做好现场取证。对在场人员做好调查笔录，对醉酒人滋事过程在条件许可的情况下，尽可能做到全程录音录像，保管好录音录像资料，对约束后的醉酒人还可以进行酒精含量测定。</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中度暴力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除了轻微暴力所要求的基本操作外，整个场景由于嫌疑人的破坏，造成了大量公物和他人物品的损坏，</w:t>
      </w:r>
      <w:r>
        <w:rPr>
          <w:rFonts w:ascii="宋体" w:hAnsi="宋体"/>
          <w:color w:val="000000" w:themeColor="text1"/>
          <w:sz w:val="24"/>
          <w:szCs w:val="24"/>
        </w:rPr>
        <w:tab/>
      </w:r>
      <w:r>
        <w:rPr>
          <w:rFonts w:hint="eastAsia" w:ascii="宋体" w:hAnsi="宋体"/>
          <w:color w:val="000000" w:themeColor="text1"/>
          <w:sz w:val="24"/>
          <w:szCs w:val="24"/>
        </w:rPr>
        <w:t>需要做好现场损坏物品登记等相关措施。</w:t>
      </w:r>
    </w:p>
    <w:p>
      <w:pPr>
        <w:pStyle w:val="49"/>
        <w:numPr>
          <w:ilvl w:val="0"/>
          <w:numId w:val="11"/>
        </w:numPr>
        <w:snapToGrid w:val="0"/>
        <w:spacing w:line="360" w:lineRule="auto"/>
        <w:ind w:firstLineChars="0"/>
        <w:rPr>
          <w:rFonts w:ascii="宋体" w:hAnsi="宋体"/>
          <w:color w:val="000000" w:themeColor="text1"/>
          <w:sz w:val="24"/>
          <w:szCs w:val="24"/>
        </w:rPr>
      </w:pPr>
      <w:r>
        <w:rPr>
          <w:rFonts w:hint="eastAsia" w:ascii="宋体" w:hAnsi="宋体"/>
          <w:color w:val="000000" w:themeColor="text1"/>
          <w:sz w:val="24"/>
          <w:szCs w:val="24"/>
        </w:rPr>
        <w:t>极端暴力</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在轻微暴力和中度暴力的现场环境基础之上，增加了伤员，要求警员对伤员进行最基本的急救措施和相关操作。</w:t>
      </w:r>
    </w:p>
    <w:p>
      <w:pPr>
        <w:snapToGrid w:val="0"/>
        <w:spacing w:line="360" w:lineRule="auto"/>
        <w:ind w:firstLine="482"/>
        <w:rPr>
          <w:rFonts w:ascii="宋体" w:hAnsi="宋体"/>
          <w:b/>
          <w:bCs/>
          <w:color w:val="000000" w:themeColor="text1"/>
          <w:sz w:val="24"/>
          <w:szCs w:val="24"/>
        </w:rPr>
      </w:pPr>
      <w:r>
        <w:rPr>
          <w:rFonts w:hint="eastAsia" w:ascii="宋体" w:hAnsi="宋体"/>
          <w:b/>
          <w:bCs/>
          <w:color w:val="000000" w:themeColor="text1"/>
          <w:sz w:val="24"/>
          <w:szCs w:val="24"/>
        </w:rPr>
        <w:t>5</w:t>
      </w:r>
      <w:r>
        <w:rPr>
          <w:rFonts w:ascii="宋体" w:hAnsi="宋体"/>
          <w:b/>
          <w:bCs/>
          <w:color w:val="000000" w:themeColor="text1"/>
          <w:sz w:val="24"/>
          <w:szCs w:val="24"/>
        </w:rPr>
        <w:t>.</w:t>
      </w:r>
      <w:r>
        <w:rPr>
          <w:rFonts w:hint="eastAsia" w:ascii="宋体" w:hAnsi="宋体"/>
          <w:b/>
          <w:bCs/>
          <w:color w:val="000000" w:themeColor="text1"/>
          <w:sz w:val="24"/>
          <w:szCs w:val="24"/>
        </w:rPr>
        <w:t>处置记录</w:t>
      </w:r>
    </w:p>
    <w:p>
      <w:pPr>
        <w:snapToGrid w:val="0"/>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在进行一系列处置后按照规范要求记录警情。</w:t>
      </w:r>
    </w:p>
    <w:p>
      <w:pPr>
        <w:pStyle w:val="5"/>
        <w:rPr>
          <w:color w:val="000000" w:themeColor="text1"/>
        </w:rPr>
      </w:pPr>
      <w:bookmarkStart w:id="139" w:name="_Toc81561464"/>
      <w:bookmarkStart w:id="140" w:name="_Toc28128"/>
      <w:bookmarkStart w:id="141" w:name="_Toc98181999"/>
      <w:bookmarkStart w:id="142" w:name="_Toc80875246"/>
      <w:bookmarkStart w:id="143" w:name="_Toc109376887"/>
      <w:bookmarkStart w:id="144" w:name="_Toc24068"/>
      <w:r>
        <w:rPr>
          <w:rFonts w:hint="eastAsia"/>
          <w:color w:val="000000" w:themeColor="text1"/>
        </w:rPr>
        <w:t>会议系统</w:t>
      </w:r>
      <w:bookmarkEnd w:id="139"/>
      <w:bookmarkEnd w:id="140"/>
      <w:bookmarkEnd w:id="141"/>
      <w:bookmarkEnd w:id="142"/>
      <w:bookmarkEnd w:id="143"/>
      <w:bookmarkEnd w:id="144"/>
    </w:p>
    <w:p>
      <w:pPr>
        <w:pStyle w:val="6"/>
        <w:rPr>
          <w:color w:val="000000" w:themeColor="text1"/>
        </w:rPr>
      </w:pPr>
      <w:bookmarkStart w:id="145" w:name="_Toc109376888"/>
      <w:r>
        <w:rPr>
          <w:rFonts w:hint="eastAsia"/>
          <w:color w:val="000000" w:themeColor="text1"/>
        </w:rPr>
        <w:t>建设目标</w:t>
      </w:r>
      <w:bookmarkEnd w:id="145"/>
    </w:p>
    <w:p>
      <w:pPr>
        <w:pStyle w:val="58"/>
        <w:ind w:firstLine="480"/>
        <w:rPr>
          <w:color w:val="000000" w:themeColor="text1"/>
        </w:rPr>
      </w:pPr>
      <w:r>
        <w:rPr>
          <w:rFonts w:hint="eastAsia"/>
          <w:color w:val="000000" w:themeColor="text1"/>
        </w:rPr>
        <w:t>金华市**训练基地多媒体会议系统主要包括：音频扩声系统、集中控制系统、远程视频会议系统、录播系统、音视频切换等子系统。多媒体会议系统按需将上述系统集成在一起，形成一个多功能的一体化系统。可通过计算机网络，调用数据库中的各类数据和图像等信息，提供与会者声图并茂的视觉和听觉效果，提高会议效率，方便领导决策。需根据会议室的面积大小及不同使用功能配置相应音视频系统。整套系统性能稳定可靠、操作方便，充分考虑管理者及操作者的不同需求。</w:t>
      </w:r>
    </w:p>
    <w:p>
      <w:pPr>
        <w:pStyle w:val="6"/>
        <w:rPr>
          <w:color w:val="000000" w:themeColor="text1"/>
        </w:rPr>
      </w:pPr>
      <w:bookmarkStart w:id="146" w:name="_Toc80875248"/>
      <w:bookmarkStart w:id="147" w:name="_Toc81561466"/>
      <w:bookmarkStart w:id="148" w:name="_Toc98182001"/>
      <w:bookmarkStart w:id="149" w:name="_Toc10805"/>
      <w:bookmarkStart w:id="150" w:name="_Toc109376889"/>
      <w:r>
        <w:rPr>
          <w:rFonts w:hint="eastAsia"/>
          <w:color w:val="000000" w:themeColor="text1"/>
        </w:rPr>
        <w:t>系统设计</w:t>
      </w:r>
      <w:bookmarkEnd w:id="146"/>
      <w:bookmarkEnd w:id="147"/>
      <w:bookmarkEnd w:id="148"/>
      <w:bookmarkEnd w:id="149"/>
      <w:bookmarkEnd w:id="150"/>
    </w:p>
    <w:p>
      <w:pPr>
        <w:pStyle w:val="58"/>
        <w:ind w:firstLine="480"/>
        <w:rPr>
          <w:color w:val="000000" w:themeColor="text1"/>
        </w:rPr>
      </w:pPr>
      <w:r>
        <w:rPr>
          <w:rFonts w:hint="eastAsia"/>
          <w:color w:val="000000" w:themeColor="text1"/>
        </w:rPr>
        <w:t>针对不同的会议室需要有不同的用途，因此也就需要有不同的系统设备来搭建才能使得会议室具备相应的功能用途。</w:t>
      </w:r>
      <w:bookmarkStart w:id="151" w:name="_Toc98182002"/>
      <w:r>
        <w:rPr>
          <w:rFonts w:hint="eastAsia"/>
          <w:color w:val="000000" w:themeColor="text1"/>
        </w:rPr>
        <w:t>A-1# 1F 报告厅（633座）</w:t>
      </w:r>
      <w:bookmarkEnd w:id="151"/>
    </w:p>
    <w:p>
      <w:pPr>
        <w:pStyle w:val="58"/>
        <w:ind w:firstLine="480"/>
        <w:rPr>
          <w:color w:val="000000" w:themeColor="text1"/>
        </w:rPr>
      </w:pPr>
      <w:r>
        <w:rPr>
          <w:rFonts w:hint="eastAsia"/>
          <w:color w:val="000000" w:themeColor="text1"/>
        </w:rPr>
        <w:t>A1楼一层报告厅可以作为训练基地的大型会议、职工大会、文娱活动中心来设计，因此在该类型会议厅采用以下几个会议子系统来实现会议功能：专业舞台扩声系统、P2.5LED+55寸舞台返显电视、会议预约及签到系统、远程视频会议系统、集中控制系统、录播系统。</w:t>
      </w:r>
    </w:p>
    <w:p>
      <w:pPr>
        <w:pStyle w:val="7"/>
        <w:rPr>
          <w:color w:val="000000" w:themeColor="text1"/>
        </w:rPr>
      </w:pPr>
      <w:bookmarkStart w:id="152" w:name="_Toc98182003"/>
      <w:r>
        <w:rPr>
          <w:rFonts w:hint="eastAsia"/>
          <w:color w:val="000000" w:themeColor="text1"/>
        </w:rPr>
        <w:t>A-1# 1F 20人会议室</w:t>
      </w:r>
      <w:bookmarkEnd w:id="152"/>
    </w:p>
    <w:p>
      <w:pPr>
        <w:pStyle w:val="58"/>
        <w:ind w:firstLine="480"/>
        <w:rPr>
          <w:color w:val="000000" w:themeColor="text1"/>
        </w:rPr>
      </w:pPr>
      <w:r>
        <w:rPr>
          <w:rFonts w:hint="eastAsia"/>
          <w:color w:val="000000" w:themeColor="text1"/>
        </w:rPr>
        <w:t>根据项目建设要求，金华市**训练基地A-1# 1F 20人会议室建设内容主要包括：扩声系统、数字会议系统、液晶拼接屏、电子桌签系统、会议预约及签到系统。</w:t>
      </w:r>
    </w:p>
    <w:p>
      <w:pPr>
        <w:pStyle w:val="7"/>
        <w:rPr>
          <w:color w:val="000000" w:themeColor="text1"/>
        </w:rPr>
      </w:pPr>
      <w:bookmarkStart w:id="153" w:name="_Toc98182004"/>
      <w:r>
        <w:rPr>
          <w:rFonts w:hint="eastAsia"/>
          <w:color w:val="000000" w:themeColor="text1"/>
        </w:rPr>
        <w:t>A-1# 1F **实战基地指挥中心</w:t>
      </w:r>
      <w:bookmarkEnd w:id="153"/>
    </w:p>
    <w:p>
      <w:pPr>
        <w:pStyle w:val="58"/>
        <w:ind w:firstLine="480"/>
        <w:rPr>
          <w:color w:val="000000" w:themeColor="text1"/>
        </w:rPr>
      </w:pPr>
      <w:r>
        <w:rPr>
          <w:rFonts w:hint="eastAsia"/>
          <w:color w:val="000000" w:themeColor="text1"/>
        </w:rPr>
        <w:t>金华市**训练基地**实战基地指挥中心会议部分主要建设内容包括：扩声系统、数字会议系统、视频会议系统。</w:t>
      </w:r>
    </w:p>
    <w:p>
      <w:pPr>
        <w:pStyle w:val="7"/>
        <w:rPr>
          <w:color w:val="000000" w:themeColor="text1"/>
        </w:rPr>
      </w:pPr>
      <w:bookmarkStart w:id="154" w:name="_Toc98182005"/>
      <w:r>
        <w:rPr>
          <w:rFonts w:hint="eastAsia"/>
          <w:color w:val="000000" w:themeColor="text1"/>
        </w:rPr>
        <w:t>A-1# 3F 12人会议室</w:t>
      </w:r>
      <w:bookmarkEnd w:id="154"/>
    </w:p>
    <w:p>
      <w:pPr>
        <w:pStyle w:val="58"/>
        <w:ind w:firstLine="480"/>
        <w:rPr>
          <w:color w:val="000000" w:themeColor="text1"/>
        </w:rPr>
      </w:pPr>
      <w:r>
        <w:rPr>
          <w:rFonts w:hint="eastAsia"/>
          <w:color w:val="000000" w:themeColor="text1"/>
        </w:rPr>
        <w:t>根据项目建设要求，金华市**训练基地A-1# 3F 12人会议室建设内容主要包括：会议预约及签到系统、86寸会议交互一体机。</w:t>
      </w:r>
    </w:p>
    <w:p>
      <w:pPr>
        <w:pStyle w:val="7"/>
        <w:rPr>
          <w:color w:val="000000" w:themeColor="text1"/>
        </w:rPr>
      </w:pPr>
      <w:bookmarkStart w:id="155" w:name="_Toc98182006"/>
      <w:r>
        <w:rPr>
          <w:rFonts w:hint="eastAsia"/>
          <w:color w:val="000000" w:themeColor="text1"/>
        </w:rPr>
        <w:t>A-1# 4F 12人会议室</w:t>
      </w:r>
      <w:bookmarkEnd w:id="155"/>
    </w:p>
    <w:p>
      <w:pPr>
        <w:pStyle w:val="58"/>
        <w:ind w:firstLine="480"/>
        <w:rPr>
          <w:color w:val="000000" w:themeColor="text1"/>
        </w:rPr>
      </w:pPr>
      <w:r>
        <w:rPr>
          <w:rFonts w:hint="eastAsia"/>
          <w:color w:val="000000" w:themeColor="text1"/>
        </w:rPr>
        <w:t>根据项目建设要求，金华市**训练基地A-1# 4F 12人会议室建设内容主要包括：会议预约及签到系统、86寸会议交互一体机。</w:t>
      </w:r>
    </w:p>
    <w:p>
      <w:pPr>
        <w:pStyle w:val="7"/>
        <w:rPr>
          <w:color w:val="000000" w:themeColor="text1"/>
        </w:rPr>
      </w:pPr>
      <w:bookmarkStart w:id="156" w:name="_Toc98182007"/>
      <w:r>
        <w:rPr>
          <w:rFonts w:hint="eastAsia"/>
          <w:color w:val="000000" w:themeColor="text1"/>
        </w:rPr>
        <w:t xml:space="preserve">A-1# 4F </w:t>
      </w:r>
      <w:r>
        <w:rPr>
          <w:color w:val="000000" w:themeColor="text1"/>
        </w:rPr>
        <w:t>30</w:t>
      </w:r>
      <w:r>
        <w:rPr>
          <w:rFonts w:hint="eastAsia"/>
          <w:color w:val="000000" w:themeColor="text1"/>
        </w:rPr>
        <w:t>人大会议室</w:t>
      </w:r>
      <w:bookmarkEnd w:id="156"/>
    </w:p>
    <w:p>
      <w:pPr>
        <w:pStyle w:val="58"/>
        <w:ind w:firstLine="480"/>
        <w:rPr>
          <w:color w:val="000000" w:themeColor="text1"/>
        </w:rPr>
      </w:pPr>
      <w:r>
        <w:rPr>
          <w:rFonts w:hint="eastAsia"/>
          <w:color w:val="000000" w:themeColor="text1"/>
        </w:rPr>
        <w:t xml:space="preserve">根据项目建设要求，金华市**训练基地A-1# 4F </w:t>
      </w:r>
      <w:r>
        <w:rPr>
          <w:color w:val="000000" w:themeColor="text1"/>
        </w:rPr>
        <w:t>30</w:t>
      </w:r>
      <w:r>
        <w:rPr>
          <w:rFonts w:hint="eastAsia"/>
          <w:color w:val="000000" w:themeColor="text1"/>
        </w:rPr>
        <w:t>人会议室建设内容主要包括：扩声系统、数字会议系统、55寸3*2拼接屏、会议预约及签到系统。</w:t>
      </w:r>
    </w:p>
    <w:p>
      <w:pPr>
        <w:pStyle w:val="7"/>
        <w:rPr>
          <w:color w:val="000000" w:themeColor="text1"/>
        </w:rPr>
      </w:pPr>
      <w:bookmarkStart w:id="157" w:name="_Toc98182008"/>
      <w:r>
        <w:rPr>
          <w:rFonts w:hint="eastAsia"/>
          <w:color w:val="000000" w:themeColor="text1"/>
        </w:rPr>
        <w:t>A-1# 4F圆桌会议室</w:t>
      </w:r>
      <w:bookmarkEnd w:id="157"/>
    </w:p>
    <w:p>
      <w:pPr>
        <w:pStyle w:val="58"/>
        <w:ind w:firstLine="480"/>
        <w:rPr>
          <w:color w:val="000000" w:themeColor="text1"/>
        </w:rPr>
      </w:pPr>
      <w:r>
        <w:rPr>
          <w:rFonts w:hint="eastAsia"/>
          <w:color w:val="000000" w:themeColor="text1"/>
        </w:rPr>
        <w:t>根据项目建设要求，金华市**训练基地A-1# 4F 圆桌会议室建设内容主要包括：扩声系统、数字会议系统、86寸会议交互一体机、会议预约及签到系统。</w:t>
      </w:r>
    </w:p>
    <w:p>
      <w:pPr>
        <w:pStyle w:val="7"/>
        <w:rPr>
          <w:color w:val="000000" w:themeColor="text1"/>
        </w:rPr>
      </w:pPr>
      <w:bookmarkStart w:id="158" w:name="_Toc98182009"/>
      <w:r>
        <w:rPr>
          <w:rFonts w:hint="eastAsia"/>
          <w:color w:val="000000" w:themeColor="text1"/>
        </w:rPr>
        <w:t>-3# 1F 20人大型会议室</w:t>
      </w:r>
      <w:bookmarkEnd w:id="158"/>
    </w:p>
    <w:p>
      <w:pPr>
        <w:pStyle w:val="58"/>
        <w:ind w:firstLine="480"/>
        <w:rPr>
          <w:color w:val="000000" w:themeColor="text1"/>
        </w:rPr>
      </w:pPr>
      <w:r>
        <w:rPr>
          <w:rFonts w:hint="eastAsia"/>
          <w:color w:val="000000" w:themeColor="text1"/>
        </w:rPr>
        <w:t>根据项目建设要求，金华市**训练基地A-1# 1F 20人会议室建设内容主要包括：会议扩声系统、数字会议系统、55寸2*2LCD拼接屏、会议预约及签到系统、远程视频会议系统。</w:t>
      </w:r>
    </w:p>
    <w:p>
      <w:pPr>
        <w:pStyle w:val="5"/>
        <w:rPr>
          <w:color w:val="000000" w:themeColor="text1"/>
        </w:rPr>
      </w:pPr>
      <w:bookmarkStart w:id="159" w:name="_Toc81561460"/>
      <w:bookmarkStart w:id="160" w:name="_Toc98182010"/>
      <w:bookmarkStart w:id="161" w:name="_Toc30142"/>
      <w:bookmarkStart w:id="162" w:name="_Toc29195"/>
      <w:bookmarkStart w:id="163" w:name="_Toc80875242"/>
      <w:bookmarkStart w:id="164" w:name="_Toc109376890"/>
      <w:r>
        <w:rPr>
          <w:rFonts w:hint="eastAsia"/>
          <w:color w:val="000000" w:themeColor="text1"/>
        </w:rPr>
        <w:t>公共广播系统</w:t>
      </w:r>
      <w:bookmarkEnd w:id="159"/>
      <w:bookmarkEnd w:id="160"/>
      <w:bookmarkEnd w:id="161"/>
      <w:bookmarkEnd w:id="162"/>
      <w:bookmarkEnd w:id="163"/>
      <w:bookmarkEnd w:id="164"/>
    </w:p>
    <w:p>
      <w:pPr>
        <w:pStyle w:val="6"/>
        <w:rPr>
          <w:color w:val="000000" w:themeColor="text1"/>
        </w:rPr>
      </w:pPr>
      <w:bookmarkStart w:id="165" w:name="_Toc109376891"/>
      <w:r>
        <w:rPr>
          <w:rFonts w:hint="eastAsia"/>
          <w:color w:val="000000" w:themeColor="text1"/>
        </w:rPr>
        <w:t>建设目标</w:t>
      </w:r>
      <w:bookmarkEnd w:id="165"/>
    </w:p>
    <w:p>
      <w:pPr>
        <w:pStyle w:val="58"/>
        <w:ind w:firstLine="480"/>
        <w:rPr>
          <w:color w:val="000000" w:themeColor="text1"/>
        </w:rPr>
      </w:pPr>
      <w:r>
        <w:rPr>
          <w:rFonts w:hint="eastAsia"/>
          <w:color w:val="000000" w:themeColor="text1"/>
        </w:rPr>
        <w:t>广播系统能同时完成公共广播和消防紧急广播两项功能。紧急广播系统为校区整体所用，广播系统覆盖地下及以上公共区域，系统由校区消防报警系统联动切换控制，校区内各区域紧急广播扬声器与音响系统扬声器互为兼用。中心设备及户外线路设备由智能化厂家负责安装调试，室内未端线路接扬声器安装由消防施工单位完成。</w:t>
      </w:r>
    </w:p>
    <w:p>
      <w:pPr>
        <w:pStyle w:val="6"/>
        <w:rPr>
          <w:color w:val="000000" w:themeColor="text1"/>
        </w:rPr>
      </w:pPr>
      <w:bookmarkStart w:id="166" w:name="_Toc98182012"/>
      <w:bookmarkStart w:id="167" w:name="_Toc109376892"/>
      <w:bookmarkStart w:id="168" w:name="_Toc80875244"/>
      <w:bookmarkStart w:id="169" w:name="_Toc23886"/>
      <w:bookmarkStart w:id="170" w:name="_Toc81561462"/>
      <w:r>
        <w:rPr>
          <w:rFonts w:hint="eastAsia"/>
          <w:color w:val="000000" w:themeColor="text1"/>
        </w:rPr>
        <w:t>系统设计</w:t>
      </w:r>
      <w:bookmarkEnd w:id="166"/>
      <w:bookmarkEnd w:id="167"/>
      <w:bookmarkEnd w:id="168"/>
      <w:bookmarkEnd w:id="169"/>
      <w:bookmarkEnd w:id="170"/>
    </w:p>
    <w:p>
      <w:pPr>
        <w:pStyle w:val="58"/>
        <w:ind w:firstLine="480"/>
        <w:rPr>
          <w:color w:val="000000" w:themeColor="text1"/>
        </w:rPr>
      </w:pPr>
      <w:r>
        <w:rPr>
          <w:rFonts w:hint="eastAsia"/>
          <w:color w:val="000000" w:themeColor="text1"/>
        </w:rPr>
        <w:t>本项目广播系统中心安装于消防安防控制室内，实现日常的背景音乐播放、信息传播、广播通知、广播寻人等使用功能，利用背景音乐在公共区域内部起到降低环境噪音、渲染出一种轻松、愉悦的环境；在紧急情况下，公共广播系统可以配合消防广播系统，针对事故发生现场，快速播报紧急疏散语音，提示相关区域的人员迅速逃离现场。</w:t>
      </w:r>
    </w:p>
    <w:p>
      <w:pPr>
        <w:pStyle w:val="58"/>
        <w:ind w:firstLine="480"/>
        <w:rPr>
          <w:color w:val="000000" w:themeColor="text1"/>
        </w:rPr>
      </w:pPr>
      <w:r>
        <w:rPr>
          <w:rFonts w:hint="eastAsia"/>
          <w:color w:val="000000" w:themeColor="text1"/>
        </w:rPr>
        <w:t>根据《</w:t>
      </w:r>
      <w:r>
        <w:rPr>
          <w:color w:val="000000" w:themeColor="text1"/>
        </w:rPr>
        <w:fldChar w:fldCharType="begin"/>
      </w:r>
      <w:r>
        <w:rPr>
          <w:color w:val="000000" w:themeColor="text1"/>
        </w:rPr>
        <w:instrText xml:space="preserve"> HYPERLINK "http://www.jianbiaoku.com/webarbs/book/158273/4595263.shtml" \t "http://www.jianbiaoku.com/webarbs/book/158273/_self" </w:instrText>
      </w:r>
      <w:r>
        <w:rPr>
          <w:color w:val="000000" w:themeColor="text1"/>
        </w:rPr>
        <w:fldChar w:fldCharType="separate"/>
      </w:r>
      <w:r>
        <w:rPr>
          <w:rFonts w:hint="eastAsia"/>
          <w:color w:val="000000" w:themeColor="text1"/>
        </w:rPr>
        <w:t>公共广播系统工程技术标准》GB/T50526-2021</w:t>
      </w:r>
      <w:r>
        <w:rPr>
          <w:rFonts w:hint="eastAsia"/>
          <w:color w:val="000000" w:themeColor="text1"/>
        </w:rPr>
        <w:fldChar w:fldCharType="end"/>
      </w:r>
      <w:r>
        <w:rPr>
          <w:rFonts w:hint="eastAsia"/>
          <w:color w:val="000000" w:themeColor="text1"/>
        </w:rPr>
        <w:t> 3.6.2  广播扬声器布点宜符合下列规定： 1 、广播扬声器宜根据分片覆盖的原则，在广播服务区内分散配置；通过现场勘查及消防广播图纸复核，消防广播前端点位满足公共广播使用环境需求，一些特定场景如餐厅、篮球馆、室外等区域需布置前端点位。</w:t>
      </w:r>
    </w:p>
    <w:p>
      <w:pPr>
        <w:pStyle w:val="58"/>
        <w:ind w:firstLine="482"/>
        <w:rPr>
          <w:b/>
          <w:color w:val="000000" w:themeColor="text1"/>
        </w:rPr>
      </w:pPr>
      <w:r>
        <w:rPr>
          <w:rFonts w:hint="eastAsia"/>
          <w:b/>
          <w:color w:val="000000" w:themeColor="text1"/>
        </w:rPr>
        <w:t>本项目设计与消防广播共用一套广播扩声，同时教室内扩声音箱接入到公共广播系统。</w:t>
      </w:r>
    </w:p>
    <w:p>
      <w:pPr>
        <w:pStyle w:val="58"/>
        <w:ind w:firstLine="480"/>
        <w:rPr>
          <w:color w:val="000000" w:themeColor="text1"/>
        </w:rPr>
      </w:pPr>
      <w:r>
        <w:rPr>
          <w:rFonts w:hint="eastAsia"/>
          <w:color w:val="000000" w:themeColor="text1"/>
        </w:rPr>
        <w:t>公共广播系统满足消防应急广播要求，符合消防设计标准；播放业务性广播和背景音乐；能够灵活划分分区，满足不同区域音源输入的播放需求。</w:t>
      </w:r>
    </w:p>
    <w:p>
      <w:pPr>
        <w:pStyle w:val="58"/>
        <w:ind w:firstLine="480"/>
        <w:rPr>
          <w:color w:val="000000" w:themeColor="text1"/>
        </w:rPr>
      </w:pPr>
      <w:r>
        <w:rPr>
          <w:rFonts w:hint="eastAsia"/>
          <w:color w:val="000000" w:themeColor="text1"/>
        </w:rPr>
        <w:t>公共广播系统中心安装于消控中心内，实现日常的背景音乐播放、信息传播、广播通知、广播寻人等使用功能，系统主要由各类信号源设备、功率放大器、传输线路、前端扬声器组成。</w:t>
      </w:r>
    </w:p>
    <w:p>
      <w:pPr>
        <w:pStyle w:val="58"/>
        <w:ind w:firstLine="480"/>
        <w:rPr>
          <w:color w:val="000000" w:themeColor="text1"/>
        </w:rPr>
      </w:pPr>
      <w:r>
        <w:rPr>
          <w:rFonts w:hint="eastAsia"/>
          <w:color w:val="000000" w:themeColor="text1"/>
        </w:rPr>
        <w:t>公共广播主要分布在训练基地室外绿化带、道路两旁、室内公共区等位置，平时播放背景音乐为来客及参观人员营造一个幽雅的环境，系统能提供多种音源；当发布通知时，播音人员可将当前的背景音乐状态切换成语言广播状态，进行消息、通知和人流疏导的发布；当发生紧急情况时消防报警信号可通过消防强切模块强制短路接入消防报警信号，保证在紧急情况下报警信号能够以最大音量播放，报警解除后系统自动恢复报警前的状态工作。</w:t>
      </w:r>
    </w:p>
    <w:bookmarkEnd w:id="17"/>
    <w:bookmarkEnd w:id="18"/>
    <w:p>
      <w:pPr>
        <w:pStyle w:val="4"/>
        <w:rPr>
          <w:color w:val="000000" w:themeColor="text1"/>
        </w:rPr>
      </w:pPr>
      <w:bookmarkStart w:id="171" w:name="_Hlk112337163"/>
      <w:r>
        <w:rPr>
          <w:rFonts w:hint="eastAsia"/>
          <w:color w:val="000000" w:themeColor="text1"/>
        </w:rPr>
        <w:t>技术、服务、供货与集成需求说明</w:t>
      </w:r>
    </w:p>
    <w:p>
      <w:pPr>
        <w:snapToGrid w:val="0"/>
        <w:spacing w:line="500" w:lineRule="exact"/>
        <w:ind w:firstLine="481" w:firstLineChars="200"/>
        <w:rPr>
          <w:rFonts w:ascii="宋体" w:hAnsi="宋体" w:cs="宋体"/>
          <w:color w:val="000000" w:themeColor="text1"/>
          <w:sz w:val="24"/>
          <w:szCs w:val="24"/>
        </w:rPr>
      </w:pPr>
      <w:r>
        <w:rPr>
          <w:rFonts w:hint="eastAsia" w:ascii="宋体" w:hAnsi="宋体" w:cs="宋体"/>
          <w:b/>
          <w:color w:val="000000" w:themeColor="text1"/>
          <w:sz w:val="24"/>
          <w:szCs w:val="24"/>
        </w:rPr>
        <w:t>1、设备说明</w:t>
      </w:r>
      <w:r>
        <w:rPr>
          <w:rFonts w:hint="eastAsia" w:ascii="宋体" w:hAnsi="宋体" w:cs="宋体"/>
          <w:color w:val="000000" w:themeColor="text1"/>
          <w:sz w:val="24"/>
          <w:szCs w:val="24"/>
        </w:rPr>
        <w:t>：</w:t>
      </w:r>
    </w:p>
    <w:p>
      <w:pPr>
        <w:spacing w:line="500" w:lineRule="exact"/>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（1）投标人所投产品必须是全新的、未使用过的、符合有关质量检测标准的。所有设备须原包装到位，需要的</w:t>
      </w:r>
      <w:r>
        <w:rPr>
          <w:rFonts w:hint="eastAsia" w:ascii="宋体" w:hAnsi="宋体" w:cs="宋体"/>
          <w:b/>
          <w:color w:val="000000" w:themeColor="text1"/>
          <w:sz w:val="24"/>
          <w:szCs w:val="24"/>
        </w:rPr>
        <w:t>配件必须是原包装到达采购方，未经采购方允许不得私自预先安装（原厂安装的除外）</w:t>
      </w:r>
      <w:r>
        <w:rPr>
          <w:rFonts w:hint="eastAsia" w:ascii="宋体" w:hAnsi="宋体" w:cs="宋体"/>
          <w:color w:val="000000" w:themeColor="text1"/>
          <w:sz w:val="24"/>
          <w:szCs w:val="24"/>
        </w:rPr>
        <w:t>。本次采购的设备，采购方要求不低于以上主要技术指标的产品，投标人必须对其他的集成与技术差异提供说明（具体技术指标详见招标文件）</w:t>
      </w:r>
      <w:r>
        <w:rPr>
          <w:rFonts w:hint="eastAsia" w:ascii="宋体" w:hAnsi="宋体" w:cs="宋体"/>
          <w:bCs/>
          <w:color w:val="000000" w:themeColor="text1"/>
          <w:sz w:val="24"/>
          <w:szCs w:val="24"/>
        </w:rPr>
        <w:t>，并在投标文件的商务技术文件中按照清单中的要求提供投标产品的技术参数和检测报告、相关证书、官网链接、截图等证明文件。</w:t>
      </w:r>
    </w:p>
    <w:p>
      <w:pPr>
        <w:spacing w:line="500" w:lineRule="exact"/>
        <w:ind w:firstLine="480" w:firstLineChars="200"/>
        <w:rPr>
          <w:rFonts w:ascii="宋体" w:hAnsi="宋体" w:cs="宋体"/>
          <w:bCs/>
          <w:color w:val="000000" w:themeColor="text1"/>
          <w:sz w:val="24"/>
          <w:szCs w:val="24"/>
        </w:rPr>
      </w:pPr>
      <w:r>
        <w:rPr>
          <w:rFonts w:hint="eastAsia" w:ascii="宋体" w:hAnsi="宋体" w:cs="宋体"/>
          <w:color w:val="000000" w:themeColor="text1"/>
          <w:sz w:val="24"/>
          <w:szCs w:val="24"/>
        </w:rPr>
        <w:t>（2）</w:t>
      </w:r>
      <w:r>
        <w:rPr>
          <w:rFonts w:hint="eastAsia" w:ascii="宋体" w:hAnsi="宋体" w:cs="宋体"/>
          <w:bCs/>
          <w:color w:val="000000" w:themeColor="text1"/>
          <w:sz w:val="24"/>
          <w:szCs w:val="24"/>
        </w:rPr>
        <w:t>设备清单中</w:t>
      </w:r>
      <w:r>
        <w:rPr>
          <w:rFonts w:hint="eastAsia" w:ascii="宋体" w:hAnsi="宋体"/>
          <w:color w:val="000000" w:themeColor="text1"/>
          <w:sz w:val="24"/>
          <w:szCs w:val="24"/>
        </w:rPr>
        <w:t>标记“</w:t>
      </w:r>
      <w:r>
        <w:rPr>
          <w:rFonts w:hint="eastAsia" w:ascii="宋体" w:hAnsi="宋体"/>
          <w:color w:val="000000" w:themeColor="text1"/>
          <w:sz w:val="24"/>
          <w:szCs w:val="24"/>
          <w:lang w:eastAsia="zh-CN"/>
        </w:rPr>
        <w:t>●</w:t>
      </w:r>
      <w:r>
        <w:rPr>
          <w:rFonts w:hint="eastAsia" w:ascii="宋体" w:hAnsi="宋体"/>
          <w:color w:val="000000" w:themeColor="text1"/>
          <w:sz w:val="24"/>
          <w:szCs w:val="24"/>
        </w:rPr>
        <w:t>”</w:t>
      </w:r>
      <w:r>
        <w:rPr>
          <w:rFonts w:hint="eastAsia" w:ascii="宋体" w:hAnsi="宋体" w:cs="宋体"/>
          <w:bCs/>
          <w:color w:val="000000" w:themeColor="text1"/>
          <w:sz w:val="24"/>
          <w:szCs w:val="24"/>
        </w:rPr>
        <w:t>的要求为</w:t>
      </w:r>
      <w:r>
        <w:rPr>
          <w:rFonts w:hint="eastAsia" w:ascii="宋体" w:hAnsi="宋体"/>
          <w:color w:val="000000" w:themeColor="text1"/>
          <w:sz w:val="24"/>
          <w:szCs w:val="24"/>
        </w:rPr>
        <w:t>关键技术参数</w:t>
      </w:r>
      <w:r>
        <w:rPr>
          <w:rFonts w:hint="eastAsia" w:ascii="宋体" w:hAnsi="宋体" w:cs="宋体"/>
          <w:bCs/>
          <w:color w:val="000000" w:themeColor="text1"/>
          <w:sz w:val="24"/>
          <w:szCs w:val="24"/>
        </w:rPr>
        <w:t>，为达到该要求，投标人需在设备清单中详细列明所提供的品牌、型号、配置数量等具体信息，未按照清单中的要求提供或提供不全相关产品资料以及评标委员会根据投标人提供的资料认为所选品牌型号、配置信息不能达到招标文件的技术指标、功能要求及品牌档次的，则在评审时将作出对其不利的评定，并有可能导致被判定为重大偏离。</w:t>
      </w:r>
    </w:p>
    <w:p>
      <w:pPr>
        <w:spacing w:line="500" w:lineRule="exact"/>
        <w:ind w:firstLine="480" w:firstLineChars="200"/>
        <w:rPr>
          <w:rFonts w:ascii="宋体" w:hAnsi="宋体" w:cs="宋体"/>
          <w:bCs/>
          <w:color w:val="000000" w:themeColor="text1"/>
          <w:sz w:val="24"/>
          <w:szCs w:val="24"/>
        </w:rPr>
      </w:pPr>
      <w:r>
        <w:rPr>
          <w:rFonts w:hint="eastAsia" w:ascii="宋体" w:hAnsi="宋体" w:cs="宋体"/>
          <w:bCs/>
          <w:color w:val="000000" w:themeColor="text1"/>
          <w:sz w:val="24"/>
          <w:szCs w:val="24"/>
        </w:rPr>
        <w:t>（3）投标人应确保投标所选用的设备、材料之间的兼容性，如评标时发现投标人投标选用的设备、材料存在不兼容性，将对其作出不利的评定，并有可能导致被判定为重大偏离。</w:t>
      </w:r>
    </w:p>
    <w:p>
      <w:pPr>
        <w:spacing w:line="500" w:lineRule="exact"/>
        <w:ind w:firstLine="480" w:firstLineChars="200"/>
        <w:rPr>
          <w:rFonts w:ascii="宋体" w:hAnsi="宋体" w:cs="宋体"/>
          <w:color w:val="000000" w:themeColor="text1"/>
          <w:sz w:val="24"/>
          <w:szCs w:val="24"/>
        </w:rPr>
      </w:pPr>
      <w:r>
        <w:rPr>
          <w:rFonts w:hint="eastAsia" w:ascii="宋体" w:hAnsi="宋体" w:cs="宋体"/>
          <w:bCs/>
          <w:color w:val="000000" w:themeColor="text1"/>
          <w:sz w:val="24"/>
          <w:szCs w:val="24"/>
        </w:rPr>
        <w:t>（4）如中标后在工程实施中发现选用的设备、材料存在不兼容性或招标方认为有必要，投标人应无条件同意在工程实施过程中采用由采购单位组织的专家组推荐品牌中任选一品牌，根据系统功能要求及技术参数选择相应型号及其相关材料进行替换，且合同价不变，投标人不得对此提出异议</w:t>
      </w:r>
      <w:r>
        <w:rPr>
          <w:rFonts w:hint="eastAsia" w:ascii="宋体" w:hAnsi="宋体" w:cs="宋体"/>
          <w:color w:val="000000" w:themeColor="text1"/>
          <w:sz w:val="24"/>
          <w:szCs w:val="24"/>
        </w:rPr>
        <w:t>。</w:t>
      </w:r>
    </w:p>
    <w:p>
      <w:pPr>
        <w:spacing w:line="500" w:lineRule="exact"/>
        <w:ind w:firstLine="480" w:firstLineChars="200"/>
        <w:rPr>
          <w:rFonts w:ascii="宋体" w:hAnsi="宋体" w:cs="宋体"/>
          <w:color w:val="000000" w:themeColor="text1"/>
          <w:sz w:val="24"/>
          <w:szCs w:val="24"/>
        </w:rPr>
      </w:pPr>
      <w:r>
        <w:rPr>
          <w:rFonts w:hint="eastAsia" w:ascii="宋体" w:hAnsi="宋体" w:cs="宋体"/>
          <w:bCs/>
          <w:color w:val="000000" w:themeColor="text1"/>
          <w:sz w:val="24"/>
          <w:szCs w:val="24"/>
        </w:rPr>
        <w:t>（5）如采购方在所列设备清单存在不合理与不完善的，投标人能提出良好的解决方案与合理化建议的，将在评定时予以有利的评判</w:t>
      </w:r>
      <w:r>
        <w:rPr>
          <w:rFonts w:hint="eastAsia" w:ascii="宋体" w:hAnsi="宋体" w:cs="宋体"/>
          <w:color w:val="000000" w:themeColor="text1"/>
          <w:sz w:val="24"/>
          <w:szCs w:val="24"/>
        </w:rPr>
        <w:t>。</w:t>
      </w:r>
    </w:p>
    <w:p>
      <w:pPr>
        <w:spacing w:line="500" w:lineRule="exact"/>
        <w:ind w:firstLine="481" w:firstLineChars="200"/>
        <w:rPr>
          <w:rFonts w:ascii="宋体" w:hAnsi="宋体" w:cs="宋体"/>
          <w:color w:val="000000" w:themeColor="text1"/>
          <w:sz w:val="24"/>
          <w:szCs w:val="24"/>
        </w:rPr>
      </w:pPr>
      <w:r>
        <w:rPr>
          <w:rFonts w:hint="eastAsia" w:ascii="宋体" w:hAnsi="宋体" w:cs="宋体"/>
          <w:b/>
          <w:color w:val="000000" w:themeColor="text1"/>
          <w:sz w:val="24"/>
          <w:szCs w:val="24"/>
        </w:rPr>
        <w:t>2.安装说明：</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（1）供货安装地点：由采购人指定。</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（2）中标单位应主动配合采购人进行施工前的准备工作</w:t>
      </w:r>
      <w:r>
        <w:rPr>
          <w:rFonts w:hint="eastAsia" w:ascii="宋体" w:hAnsi="宋体" w:cs="宋体"/>
          <w:b/>
          <w:bCs/>
          <w:color w:val="000000" w:themeColor="text1"/>
          <w:sz w:val="24"/>
          <w:szCs w:val="24"/>
        </w:rPr>
        <w:t>，如：配合设计单位深化施工图设计，由中标单位提供相关资料，最终以设计单位提供的图纸为准</w:t>
      </w:r>
      <w:r>
        <w:rPr>
          <w:rFonts w:hint="eastAsia" w:ascii="宋体" w:hAnsi="宋体" w:cs="宋体"/>
          <w:color w:val="000000" w:themeColor="text1"/>
          <w:sz w:val="24"/>
          <w:szCs w:val="24"/>
        </w:rPr>
        <w:t>。</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（3）中标单位应提供安装计划给采购人认可。写明详细的项目时间安排，明确完成时间及质保期内的完善、维修、保养服务措施等。</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在得到采购人的认可后，中标单位应组织力量认真进行安装，并保证质量达到相关标准。在安装过程中，一经发现质量问题应及时拆除和重新安装，直到符合相关标准，由中标单位承担拆除和重新施工的费用。</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中标单位应遵守安全生产有关管理规定，严格按安全标准组织施工，遵守和实施安全文明管理制度，并随时接受行业安全检查人员依法实施的监督检查，采取必要的安全防护措施，消除事故隐患。由于中标单位安全文明措施不力造成事故的责任和因此发生的费用，由中标单位承担。</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（6）中标单位应对其在施工场地的工作人员进行安全教育，并对他们的安全负责。中标单位不得违反安全管理的规定进行施工。因中标单位原因导致的安全事故，由中标单位承担相应责任及发生的费用。</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（7）投标人需保证采购人本次采购设备、软件与原有设备、软件稳定兼容，经与采购人协商确认后，完成必需的集成工作，并承担全部工作责任。</w:t>
      </w:r>
    </w:p>
    <w:p>
      <w:pPr>
        <w:spacing w:line="500" w:lineRule="exact"/>
        <w:ind w:firstLine="481" w:firstLineChars="200"/>
        <w:rPr>
          <w:rFonts w:ascii="宋体" w:hAnsi="宋体" w:cs="宋体"/>
          <w:b/>
          <w:color w:val="000000" w:themeColor="text1"/>
          <w:sz w:val="24"/>
          <w:szCs w:val="24"/>
        </w:rPr>
      </w:pPr>
      <w:r>
        <w:rPr>
          <w:rFonts w:hint="eastAsia" w:ascii="宋体" w:hAnsi="宋体" w:cs="宋体"/>
          <w:b/>
          <w:color w:val="000000" w:themeColor="text1"/>
          <w:sz w:val="24"/>
          <w:szCs w:val="24"/>
        </w:rPr>
        <w:t>3.信用承诺：</w:t>
      </w:r>
    </w:p>
    <w:p>
      <w:pPr>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投标人必须保证在投标文件中说明的其他技术指标、产品资料、按照招标文件要求提供的案例、服务承诺、实施方案等是真实的，无条件同意一旦由专家或者使用单位或者设备到货后或者实施使用中发现技术指标、产品资料、案例、服务承诺、实施方案等与标书中说明不符或安装调试中达不到采购方集成要求，影响采购方按期正常应用的，采购</w:t>
      </w:r>
      <w:r>
        <w:rPr>
          <w:rFonts w:hint="eastAsia" w:ascii="宋体" w:hAnsi="宋体" w:cs="宋体"/>
          <w:bCs/>
          <w:color w:val="000000" w:themeColor="text1"/>
          <w:sz w:val="24"/>
          <w:szCs w:val="24"/>
        </w:rPr>
        <w:t>人有权拒绝接受，造成逾期的，按逾期交货进行处理。</w:t>
      </w:r>
      <w:r>
        <w:rPr>
          <w:rFonts w:hint="eastAsia" w:ascii="宋体" w:hAnsi="宋体" w:cs="宋体"/>
          <w:color w:val="000000" w:themeColor="text1"/>
          <w:sz w:val="24"/>
          <w:szCs w:val="24"/>
        </w:rPr>
        <w:t xml:space="preserve"> </w:t>
      </w:r>
    </w:p>
    <w:p>
      <w:pPr>
        <w:snapToGrid w:val="0"/>
        <w:spacing w:line="500" w:lineRule="exact"/>
        <w:ind w:firstLine="481" w:firstLineChars="200"/>
        <w:rPr>
          <w:rFonts w:ascii="宋体" w:hAnsi="宋体" w:cs="宋体"/>
          <w:b/>
          <w:color w:val="000000" w:themeColor="text1"/>
          <w:sz w:val="24"/>
          <w:szCs w:val="24"/>
        </w:rPr>
      </w:pPr>
      <w:r>
        <w:rPr>
          <w:rFonts w:hint="eastAsia" w:ascii="宋体" w:hAnsi="宋体" w:cs="宋体"/>
          <w:b/>
          <w:color w:val="000000" w:themeColor="text1"/>
          <w:sz w:val="24"/>
          <w:szCs w:val="24"/>
        </w:rPr>
        <w:t>4.中标后项目负责人不得随意变动。项目负责人须全程参与项目及各阶段实施情况的汇报工作，并配合采购人做好项目的验收工作。</w:t>
      </w:r>
    </w:p>
    <w:p>
      <w:pPr>
        <w:snapToGrid w:val="0"/>
        <w:spacing w:line="500" w:lineRule="exact"/>
        <w:ind w:firstLine="481" w:firstLineChars="200"/>
        <w:rPr>
          <w:rFonts w:ascii="宋体" w:hAnsi="宋体" w:cs="宋体"/>
          <w:b/>
          <w:color w:val="000000" w:themeColor="text1"/>
          <w:sz w:val="24"/>
          <w:szCs w:val="24"/>
        </w:rPr>
      </w:pPr>
      <w:r>
        <w:rPr>
          <w:rFonts w:hint="eastAsia" w:ascii="宋体" w:hAnsi="宋体" w:cs="宋体"/>
          <w:b/>
          <w:color w:val="000000" w:themeColor="text1"/>
          <w:sz w:val="24"/>
          <w:szCs w:val="24"/>
        </w:rPr>
        <w:t>5.与系统建设其他参与方的协作与配合</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金华市**训练基地科技信息化建设是一项系统工程，系统建设包括**教学信息化实施单位、**</w:t>
      </w:r>
      <w:r>
        <w:rPr>
          <w:rFonts w:hint="eastAsia" w:ascii="宋体" w:hAnsi="宋体" w:cs="宋体"/>
          <w:color w:val="000000" w:themeColor="text1"/>
          <w:sz w:val="24"/>
          <w:szCs w:val="24"/>
          <w:lang w:val="en-US" w:eastAsia="zh-CN"/>
        </w:rPr>
        <w:t>训练</w:t>
      </w:r>
      <w:r>
        <w:rPr>
          <w:rFonts w:hint="eastAsia" w:ascii="宋体" w:hAnsi="宋体" w:cs="宋体"/>
          <w:color w:val="000000" w:themeColor="text1"/>
          <w:sz w:val="24"/>
          <w:szCs w:val="24"/>
        </w:rPr>
        <w:t>信息化实施单位</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基础设施信息化实施单位、工程监理方等众多参与方。各参与方应</w:t>
      </w:r>
      <w:r>
        <w:rPr>
          <w:color w:val="000000" w:themeColor="text1"/>
        </w:rPr>
        <w:fldChar w:fldCharType="begin"/>
      </w:r>
      <w:r>
        <w:rPr>
          <w:color w:val="000000" w:themeColor="text1"/>
        </w:rPr>
        <w:instrText xml:space="preserve"> HYPERLINK "https://www.so.com/link?m=aJVhqgTSRGHzP1pXmuKwk4NBP6T7DlqkEEhgymLRBDl7UDPGYWtkmiEVRdCtrQ5IISXZbwMS1iteR%2Bi4wjR7me6NtR1mpy1%2B8rWNFAKrYkz4wEQF9LtSx0Wu0R1RGhMjKT3GC6uj7QapQ746ZEhXmt80VUYC9Z6HUROx%2B1e%2BdO0wrBIzpp%2FtXVZ%2Bclv8DRZy%2FUqOKiEHug6f%2BTieE2eNYLnNvpQUDvxtCq%2FZohxV4LE2tfEBA6A5bwys2Gz7aQ5d2x3eLvoDOg%2FxT1tR8NZqaoa9aN3xvg%2FDD" \t "_blank" </w:instrText>
      </w:r>
      <w:r>
        <w:rPr>
          <w:color w:val="000000" w:themeColor="text1"/>
        </w:rPr>
        <w:fldChar w:fldCharType="separate"/>
      </w:r>
      <w:r>
        <w:rPr>
          <w:rFonts w:hint="eastAsia" w:ascii="宋体" w:hAnsi="宋体" w:cs="宋体"/>
          <w:color w:val="000000" w:themeColor="text1"/>
          <w:sz w:val="24"/>
          <w:szCs w:val="24"/>
        </w:rPr>
        <w:t>与工程有关各单位紧密协作，并制定完善的工作协调机制与具体配合措</w:t>
      </w:r>
      <w:r>
        <w:rPr>
          <w:rFonts w:hint="eastAsia" w:ascii="宋体" w:hAnsi="宋体" w:cs="宋体"/>
          <w:color w:val="000000" w:themeColor="text1"/>
          <w:sz w:val="24"/>
          <w:szCs w:val="24"/>
        </w:rPr>
        <w:fldChar w:fldCharType="end"/>
      </w:r>
      <w:r>
        <w:rPr>
          <w:rFonts w:hint="eastAsia" w:ascii="宋体" w:hAnsi="宋体" w:cs="宋体"/>
          <w:color w:val="000000" w:themeColor="text1"/>
          <w:sz w:val="24"/>
          <w:szCs w:val="24"/>
        </w:rPr>
        <w:t>施。</w:t>
      </w:r>
    </w:p>
    <w:p>
      <w:pPr>
        <w:snapToGrid w:val="0"/>
        <w:spacing w:line="5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项目数据采集系统接口须无条件对金华市**训练基地科技信息化其他建设实施单位开放，并配合各实施单位完成各系统的数据对接。**训练基地科技信息化项目总集成由“金华市**训练基地科技信息化项目（基础设施信息化）”中标单位负责，金华市公安局**训练基地科技信息化项目（**教学信息化）、金华市公安局**训练基地科技信息化项目（**教学信息化）两个项目中标公司配合。三家单位必须通力合作，保证项目建设整体完成，</w:t>
      </w:r>
      <w:r>
        <w:rPr>
          <w:rFonts w:hint="eastAsia" w:ascii="宋体" w:hAnsi="宋体" w:cs="宋体"/>
          <w:color w:val="000000" w:themeColor="text1"/>
          <w:sz w:val="24"/>
          <w:szCs w:val="24"/>
          <w:lang w:val="en-US" w:eastAsia="zh-CN"/>
        </w:rPr>
        <w:t>项目终验将把集成配合工作情况纳入验收内容</w:t>
      </w:r>
      <w:r>
        <w:rPr>
          <w:rFonts w:hint="eastAsia" w:ascii="宋体" w:hAnsi="宋体" w:cs="宋体"/>
          <w:color w:val="000000" w:themeColor="text1"/>
          <w:sz w:val="24"/>
          <w:szCs w:val="24"/>
        </w:rPr>
        <w:t>。</w:t>
      </w:r>
    </w:p>
    <w:p>
      <w:pPr>
        <w:snapToGrid w:val="0"/>
        <w:spacing w:line="500" w:lineRule="exact"/>
        <w:ind w:firstLine="481" w:firstLineChars="200"/>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6</w:t>
      </w:r>
      <w:r>
        <w:rPr>
          <w:rFonts w:hint="eastAsia" w:ascii="宋体" w:hAnsi="宋体" w:cs="宋体"/>
          <w:b/>
          <w:color w:val="000000" w:themeColor="text1"/>
          <w:sz w:val="24"/>
          <w:szCs w:val="24"/>
        </w:rPr>
        <w:t>.其他要求：</w:t>
      </w:r>
    </w:p>
    <w:p>
      <w:pPr>
        <w:snapToGrid w:val="0"/>
        <w:spacing w:line="500" w:lineRule="exact"/>
        <w:ind w:firstLine="480" w:firstLineChars="200"/>
        <w:rPr>
          <w:rFonts w:ascii="宋体" w:hAnsi="宋体"/>
          <w:color w:val="000000" w:themeColor="text1"/>
          <w:sz w:val="24"/>
          <w:szCs w:val="24"/>
        </w:rPr>
      </w:pPr>
      <w:r>
        <w:rPr>
          <w:rFonts w:hint="eastAsia" w:ascii="宋体" w:hAnsi="宋体" w:cs="宋体"/>
          <w:color w:val="000000" w:themeColor="text1"/>
          <w:sz w:val="24"/>
          <w:szCs w:val="24"/>
        </w:rPr>
        <w:t>本项目为交钥匙工程，投标人负责整体项目的勘察、深化设计（如需）、供货与施工，应当以满足招标文件的项目实际要求为准，且不得转包。投标人需保证按期保质完成采购需求中所列的各项具体内容及相关的集成工作，所需设备配置、软件、软件许可（含清单中未说明但必需的）、各种费用及可能需要的配件、可能的第三方指导、电源线、电源接头、零地电压、网络跳线、光纤跳线等以及均由投标人自行协调完成，并承担全部费用及工作责任。本项目报价还须包含配合费用、水电费、数据迁移、迁移过程中的数据安全和完整性等其他合理费用，不再另计。</w:t>
      </w:r>
      <w:r>
        <w:rPr>
          <w:rFonts w:ascii="宋体" w:hAnsi="宋体"/>
          <w:color w:val="000000" w:themeColor="text1"/>
          <w:sz w:val="24"/>
          <w:szCs w:val="24"/>
        </w:rPr>
        <w:t>采购文件中的工作内容请实地勘察，因管线敷设造成的开槽、开孔、苗木损坏等需自行恢复，相关检测费（包括但不限于智能化综合布线系统检测）等费用需考虑在内，并由供应商组织实施。</w:t>
      </w:r>
    </w:p>
    <w:p>
      <w:pPr>
        <w:pStyle w:val="4"/>
        <w:rPr>
          <w:color w:val="000000" w:themeColor="text1"/>
        </w:rPr>
      </w:pPr>
      <w:r>
        <w:rPr>
          <w:rFonts w:hint="eastAsia"/>
          <w:color w:val="000000" w:themeColor="text1"/>
        </w:rPr>
        <w:t>采购清单及基本技术参数要求</w:t>
      </w:r>
    </w:p>
    <w:bookmarkEnd w:id="171"/>
    <w:p>
      <w:pPr>
        <w:pStyle w:val="58"/>
        <w:ind w:firstLine="0" w:firstLineChars="0"/>
        <w:outlineLvl w:val="3"/>
        <w:rPr>
          <w:b/>
          <w:bCs/>
          <w:color w:val="000000" w:themeColor="text1"/>
        </w:rPr>
      </w:pPr>
      <w:r>
        <w:rPr>
          <w:rFonts w:hint="eastAsia"/>
          <w:b/>
          <w:bCs/>
          <w:color w:val="000000" w:themeColor="text1"/>
        </w:rPr>
        <w:t>1、综合管控平台（含智慧教学系统）</w:t>
      </w:r>
    </w:p>
    <w:tbl>
      <w:tblPr>
        <w:tblStyle w:val="31"/>
        <w:tblW w:w="0" w:type="auto"/>
        <w:tblInd w:w="113" w:type="dxa"/>
        <w:tblLayout w:type="autofit"/>
        <w:tblCellMar>
          <w:top w:w="0" w:type="dxa"/>
          <w:left w:w="108" w:type="dxa"/>
          <w:bottom w:w="0" w:type="dxa"/>
          <w:right w:w="108" w:type="dxa"/>
        </w:tblCellMar>
      </w:tblPr>
      <w:tblGrid>
        <w:gridCol w:w="562"/>
        <w:gridCol w:w="1047"/>
        <w:gridCol w:w="5882"/>
        <w:gridCol w:w="459"/>
        <w:gridCol w:w="459"/>
      </w:tblGrid>
      <w:tr>
        <w:tblPrEx>
          <w:tblCellMar>
            <w:top w:w="0" w:type="dxa"/>
            <w:left w:w="108" w:type="dxa"/>
            <w:bottom w:w="0" w:type="dxa"/>
            <w:right w:w="108" w:type="dxa"/>
          </w:tblCellMar>
        </w:tblPrEx>
        <w:trPr>
          <w:trHeight w:val="702" w:hRule="atLeast"/>
          <w:tblHead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一、统一支撑平台</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统一用户管理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统一用户管理实现用户和组织结构的管理功能，能够支持分级管理，支持数据库、AD和LDAP三种存储方式。</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（为保证整体软件平台能满足**训练基地设计、使用要求和软件质量，投标时需提供软件供应商CMMI5级证书，投标时无法提供但承诺中标后提供的扣1分。）；</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（投标时需提供软件供应商ITSS信息技术服务运行维护标准符合性2级证书，投标时无法提供但承诺中标后提供的扣1分。）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统一认证管理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随着警校应用建设的逐步深入，各种应用系统之间出现诸如账号、密码不统一等身份认证方面问题会越来越多，所以本次建设需要构建统一认证服务管理。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统一授权管理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统一授权管理对各应用系统的权限进行统一管理，支持基于RBAC的授权管理机制。对各应用系统提供三种不同级别的权限管理服务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统一消息服务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统一消息服务包括即时通讯和消息中心。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统一短信服务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短信服务包括发送短信、发送记录、短信接收、接收记录、费用统计、日志管理、常用短信模板设置等，并能实现与平台所含所有业务模块的短信连通，支持短信发送设备、运行商网关、第三方短信网关等多种接入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统一工作流引擎</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统一工作流平台用于实现图形化定义流程、监控功能、前端的任务管理功能以及工作流执行服务。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统一接口管理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采用SOA架构，实现与各应用系统的统一接口管理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统一运行监测管理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统一对门禁、道闸、电梯、消控主机、能耗系统等子系统的运行参数进行实时监测和控制，并采用图形化界面进行展示，实现对各子系统的统一运行监测和控制。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统一报表管理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报表是培训业务体系中一种直观的数据呈现方式，智能报表平台提供了一个可接入培训数据，并对数据进行分析汇总、报表可视化输出的能力，为决策管理层提供数据视图，获取决策依据。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二、学员报到系统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报到确认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通过移动终端进行报道信息采集，集成自助报道系统一体机进行报到或刷身份证报到工作。</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支持与一卡通等硬件设备对接实现人脸识别、刷身份证完成报到确认。</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（投标时需提供软件供应商国产化自助报到系统软件著作证书，投标时无法提供但承诺中标后提供的扣1分。）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信息发送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于已报到的学员，发送宿舍信息、客房门禁、课程训练安排、考试成绩、个人档案和通知信息等。对于已完成报到的学员，系统自动将宿舍信息、床位信息、上课信息、日程表、通讯录、注意事项、通知通告等内容发送到个人移动终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签到查看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班主任可以查看已报到和未报到学员的人数和基本信息，并支持批量导出数据。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接、送站信息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用于显示培训学员的接站信息内容，并支持批量导出数据。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心理评估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【学员心理评估】</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通过对参训学员在入校前发送心理评估问卷的形式进行心理评估，自动统计评估数据，录入学员档案。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三、教学计划管理</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教学任务书管理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【教学计划申报】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（1）自主申报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教学计划公布后，各单位、各警种、各部门、各区域可根据本单位的训练需求进行教学计划的申报，同时支持对已申报成功的训练项目通过状态看板进行查询及预览。</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（2）任务式申报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教学计划创建过程中，管理员可根据培训需求指派某个警种、某个部门或某个区域完成一定任务量的项目申报任务。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【教学计划评审】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教学计划公布之后，各单位、各部门可选择适合本单位的项目进行申报，并由管理员对提交的训练项目申请进行评审；审核通过即为项目通过。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【教学计划公布】</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主要实现教学计划的的上报、评审、确认立项工作，能够方便、高效的公布每年的训练项目内容、年度训练计划、月度训练计划等信息；具体内容包括训练项目名称、项目类型、项目要求、项目时间等，确保项目信息更新的及时性和对全年训练项目的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【教学计划状态看板】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为各级管理员提供统一的训练计划状态看板，可通过数据图表直观的查看各个训练计划的进行状态及执行情况，包括审核状态、计划执行状态、冻结状态、计划完成状态等。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【教学计划统计】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支持通过各种未读对每一个教学计划参训的班次、警种、单位进行数据统计分析</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【教学计划报名】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需支持对教学计划进行管理员公开报名、下发报送名额、指定部门报名等报名方式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根据项目计划书中所安排的课程名称、授课人、教学方式，然后再根据学校的教室使用情况，排课老师编排课程表。</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【设置教学计划】</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被指定要参与教学计划的讲师，根据学校的教室使用情况，自主编排上课时间、上课地点等内容，并生成课程表</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（投标时需提供软件供应商智慧排课系统软件著作证书，投标时无法提供但承诺中标后提供的扣1分。）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实施计划书管理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对排课管理生成的课程表进行确认，如果可行，将通知有关部门，根据该课程表做好准备工作，并将该课程表发布到学员信息系统。</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教学质量报告管理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通过学员综合管理系统发放课程评价表，课程评价表的评价项目，可以由系统自动生成，也可以由用户自己设定，系统针对学员对课程、授课老师的反馈，形成各类统计表，供警校评价课程的优劣以及教师的授课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授课管理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系统可以对授课过程进行管理，包括对学员的作业进行管理等。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调课管理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功能包括调课申请、审批、通知、统计管理。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可通过教学计划管理系统查看调课审批的进度、状态；实时更新调课审批进程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课程共享管理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当出现2个班级课程内容较为相似的情况，班级协调人可以通过课程共享管理，进行课程共享的申请，通过审批后，进行统计功能。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要求系统根据学员的结业情况，能够批量生成学员的结业证书，在系统内进行证书的套打，并进行批量发放Email通知，以及其他相关的管理。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班次管理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班次管理系统包括计划内班级管理和计划外班级管理，主要实现班级信息、教学任务计划书等内容的管理。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四、警训教务管理系统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训练任务书管理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教学主管部门的协调人指定各班次的协调人（相关教学部门），并由协调人根据模板自动生成教学任务书，可以对自动生成的任务书进行再编辑。</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（投标时需提供软件供应商教务管理软件著作，投标时无法提供但承诺中标后提供的扣1分。）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班级信息管理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级信息管理包括计划内班级管理和计划外班级管理，主要实现班级信息、教学任务计划书等内容的管理。班级信息包括班次性质、班次名称等基本属性，班级作为一个基本对象，可以和其他信息进行关联，如各教学部门的协调人，每个教学计划，教学安排表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【教务信息管理】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支持对培训基地、每人每天费用、培训通知等教务信息进行新增、编辑、删除等管理功能</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【教学进度管理】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需支持对学员的报名、报到、学习、考核、评价、结业等教学进度进行在线监管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【免训审核】</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需支持对培训班次的学员进行免训、缓存审核；申请免训的信息包括免训时间、免训理由、免训人员等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训练质量报告管理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通过学员综合管理系统发放课程评价表，课程评价表的评价项目，可以由系统自动生成，也可以由用户自己设定，系统针对学员对课程、授课老师的反馈，形成各类统计表，供警校评价课程的优劣以及教师的授课情况。</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【结业管理】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1、需要对教学成绩达标的学员进行结业证书发放；支持通过系统进行电子证书的在线制作，包括在线制作证书模板（添加文本、设置文字样式、添加印章、添加背景、添加头像、设置参考线、横版/竖版设置）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2、支持对已完成制作的结业证书进行在线自主查询/下载；同时已下载的结业证书必须为PDF格式，需保证证书的质量不模糊、不失真、放大不产生锯齿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【评价管理】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系统需支持自动生成或手动设置培训评价表，评价内容包括课程、讲师、教官、饮食、住宿等方面；系统自动对每一项评价指标进行统计分析，集中展示每一个评价项的优劣百分比</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【训历管理】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系统需支持自动生成或手动添加学员的个人训历档案数据，包括考勤数据、学习数据、考试数据、讲师评价数据等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课表管理，新建课表，修改课表，删除课表；课表统计管理，可以按班次、教师等不同条件进行统计，查看课表管理工作状况。</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【培训手册】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教学计划完成编排后，需支持自动生成培训手册，包括培训内容信息、培训课程信息、人员入住信息、饮食信息、通讯录信息、日程表信息、讲师信息等；学员可支持对培训手册进行在线预览及下载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根据项目计划书中所安排的课程名称、授课人、教学方式，然后再根据学校的教室使用情况，排课老师编排课程表。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【日程管理】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需支持对培训班次进行培训日程的编排，包括培训日期、培训时间、培训内容、培训地点、教官、注意事项等内容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教学资源管理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实现基地教室、会议室的统一资源管理，提供教室、会议室资源维护管理，教室、会议室资源使用管理，教室、会议室资源协调管理，教室、会议室资源制度管理，教室、会议室的资源查询统计，以及对使用教室、会议室的资源的部门、人员等进行查询和各类统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【基地管理】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（1）基本信息管理：教务管理系统需支持对基地的基本信息进行管理，包括基地名称、地址、状态、类别、负责人、联系电话、简介、示意图、平面图、等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（2）基地物资管理：支持对基地的教室、会议室、训练场、枪支弹药、车辆、建筑设施、训练设备等物资进行统一管理；实时动态显示物资的状态、数量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（3）基地使用情况管理：需支持对基地的使用情况进行管理，包括使用班次、使用时间、使用时长、用途等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（4）基地反馈/维修信息管理：需支持对基地的反馈/维修信息进行查询、预览、答复等管理功能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授课管理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系统可以对授课过程进行管理，包括对学员的作业进行管理等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调课管理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功能包括调课申请、审批、通知、统计管理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【学习管理】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（1）需支持对培训班次设置在线学习内容，包括MOOC课程、视频、文档、案例等；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（2）需支持对培训班次设置线下实训课程，包括体能实训、射击实训、警种实训等；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（3）需支持对培训班次设置准入学习内容，学员完成信息采集后需要完成准入学习内容并考核通过后才能进行报到</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（4）支持对已设置的学习内容生成学习任务课表，包括学习开始时间/结束时间、达标成绩等</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【考试管理】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（1）考试内容设置：需支持对培训班次设置练习考试、正式考试</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（2）考试成绩分析：需支持对培训班次的考试成绩进行统计分析，包括参考人数、缺考人数、及格人数、错题率等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系统根据学员的结业情况，可以批量生成学员的结业证书，在系统内进行证书的套打，能够自动生成毕业证号和结业证号，并进行批量发放Email通知，以及其他相关的管理。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发起学员考核，完成党性分析以及学习总结内容，根据预设的审批、审核流程，系统自动关联学员考勤信息，以及考试信息，提交组长、支部填写评议内容，同时由教务处或学员管理处填写学员的鉴定评语，系统自动对考核结果统计（优秀、良好、合格、不合格），同时生成主体班次学员考核登记表，操作员可以选择打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课程共享管理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当出现2个班级课程内容较为相似的情况，班级协调人可以通过课程共享管理，进行课程共享的申请，通过审批后，进行统计功能。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五、学员学习管理系统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学员信息管理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学院自动获取学员的相关信息，学员对自己的任何信息可进行增加、修改、删除以及打印等操作，可以根据要求自行上传照片，可以预览上传的照片，只有等班主任审核通过后学员照片才能在系统中显示。</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（投标时需提供软件供应商学员管理软件著作证书，投标时无法提供但承诺中标后提供的扣1分。）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人员信息浏览</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学员在自助平台上可以随时查看本班的班级信息情况。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信息反馈</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当学员完成教学评估、线上作业提交等操作时，信息将反馈至培训部人员管理端，并对未完成评估和作业的学员进行提醒。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通知公告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学员可以在学员管理平台上查看校内、班内的通知公告内容。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在学习快结束时候，学员可以通过在线问答题的形式对课程和老师进行评价。评价结果能够根据模板形成教学质量报告，供院领导查阅。</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空间交流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学员可在本版交流空间针对某一专题进行留言、点赞等操作；同时在校学习的学员可以访问不同班级对应的空间。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排座位</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学员可以先上查看自己的上课的座次表，包括位置、学员信息等。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请假管理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学员可线上发起请假申请，并可查看请假审批流程。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课程查看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系统能够将最近的教学安排显示给所有学员查看，包括单班课程表；教学安排周表，现场教学点介绍等。可以查看相关课程信息，包括课程名称、授课人、教学方式等信息。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考勤管理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学员登录系统可以查看自己每节课的考勤并可以对非正常考勤信息进行说明。</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个人中心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学员可对自己的信息进行修改，班主任审核后即可生效。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六、课程管理系统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公告维护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班主任通过公告来向学员传达信息。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课程安排</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班主任对教务处发布的课程填写备注。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评价管理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班主任查看学员对课程、现场教学、单元、后勤等评价的情况，对未评价的学员进行提醒。</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作业情况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班主任设置提交作业时间和查看学员提交作业情况，也可以帮学员代交作业。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空间交流</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班主任上传关于学习的教学资料，提供给学员下载学习。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学员信息维护</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对学员信息的维护，包括班级分组、班委职务维护、未结业、示报到、班级分组设置、新增学员、学员修改、导出通讯录、移动到未结业、移动到未报到、设置班委、学员更改信息维护、优秀学员设置、导出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考情管理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班主任对学员出勤情况的统计和查看。对学员的请假申请进行审核，对到课率进行计算。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排座位</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需要对其学员进行分组，才能够进行排坐位，可以对坐位进行设置，可以导入和导出。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短信平台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班主任通过短信平台发布通知、作业提醒、其它事务联系，可以设置分组，如班委成员、班级成员、各小组学员进行短信发送；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七、教学引导系统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刷卡、人脸管理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实现与一卡通整合，刷卡考勤后数据直接保存到服务器端，实现与平台一期考勤联动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教学引导管理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刷卡、人脸考勤后与服务器端程序联动动态获取当前教室的上课信息，如班级、课程名称、教师、上课时间等，同时统计本教室有多少人，如不是本教室人员，提醒学员，在其他教室上课。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教学宣传管理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平时教室不上课，可以播放学校宣传片，提供广告宣传功能。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八、教学评估系统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授课老师评估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学员可对教员、授课老师整个培训过程、培训状态、专业能力等方面进行评价，并提供教员评价信息汇总以及评价相关结果展现。</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（投标时需提供软件供应商教学评估软件著作证书，投标时无法提供但承诺中标后提供的扣1分。）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学员在每门课程授课结束后一定时间内对课程内容、课程整体情况进行评估。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问卷调查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管理员可以自定义调查问卷，从课程、教员、培训基地等不同维度征集学员对评价和意见反馈信息等。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现场教学评估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学员对现场教学和教学点的情况进行整体评估，不同的现场教学点使用不同的评估标准。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评估管理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每个班次对所有上的课程进行汇总、分析、反馈。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九、教学资源库管理系统</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课程库基本信息管理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库管理系统要求能够实现基地内所有学员的管理，自动导入或者手工录入人员登记学员的名字，性别，国籍等信息，部分敏感信息，用户可以设置是否公开，除了实现基本的信息维护，也可以通过简单和复杂的查询对学员进行检索，并提供部分统计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教材库管理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教材库管理主要针对各类课程以及师资在上课过程中，积累下来的各类教学材料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案例库管理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案例库管理主要针对各类案例以及师资在上课过程中，积累下来的各类教学案例，通过统一的存储将这些案例有效的存储在一个安全可靠的区域内，并与各类师资、课程相关联，供今后教学使用。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班主任库管理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对班主任当前的状态（当前所带班级名称，到目前为止所带班级名称，当前带班数量，累计带班数量，目前所带班级总人数，累计总人数）进行查询。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师资库管理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师资库管理系统实现师资信息管理</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（投标时需提供软件供应商师资信息管理软件著作证书，投标时无法提供但承诺中标后提供的扣1分。）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统计查询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功能要求包括：学员信息查询、参训名册查询、调训单位查询、教材查询、课程查询、案例查询、教学工作量统计、课题统计、教学计划执行、教师上课情况、办班统计、课程优秀率统计等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十、辅助决策系统（大屏）</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及时查询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为校领导对教学、科研、管理等事宜提供时间、时间分段、时间段累计查询等功能，领导可以根据需求选择要查询的主题，通过条件、分类、排序、过滤设定查询范围，进行关键指标的查询，生成报表，并可以多种格式输出、WEB发布、转换等。系统需提供同期、同期增减、同比、同比增减、年累计、年累计增减等统计指标的快速查询，报表和图形之间可任意转换。</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（投标时需提供软件供应商大数据可视化分析展示软件著作证书，投标时无法提供但承诺中标后提供的扣1分。）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统计查询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根据用户需求定制固定报表，将所有业务系统的综合信息，按照日、周、月、季、年等周期制作成固定复杂格式的报表，以统一的数据实时供业务人员和领导查询。如教学日报、教学评估月报、科研月报、固定资产月报、统计月报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综合分析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教学、科研、管理等决策主题进行分析、挖掘，从大量教学、科研、管理等数据或选定样本中寻找预测性信息、发现教学、科研、管理等变量之间的关联、共性和差异性，实现预测、决策分析及各种指标的结构分析、趋势分析、相关性分析、离散度分析、ABC分析等，并建立预警机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可视化展现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支持通过拖拽方式的可视化界面，实现数据的统计以及分类汇总。结合图形展现方式，如仪表盘、圆饼图、直方图、曲线图等可视图形。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十一、移动办公</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通知公告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显示办公类通知公告，由管理员在后端发布显示，可供相应权限的用户进行浏览。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校园通讯录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基地教职工可以通过移动端查看校园中所有部门人员通讯录。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一周日程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为基地教职工提供一周日程安排查看功能。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待办任务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将各应用系统中的个人待办任务合并在该模块中显示。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查询统计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查看教学评议详情，方便有权限的教职工查看教学评议的进展情况。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一周课表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基地教师可查看本人本周、本月内课表信息，包括课程时间、地点、班次、学员人数。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教学通告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查看教学类通知公告，由教师或者班主任在后端发布显示，可供相应权限的用户进行浏览。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资源共享</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教师查看系统内的共享资料。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教学评议</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专题课程、其它课程、教学组长、综合表共4个模块。专题课程、其它课程、教学组长、综合表各个评议模块都展示罗列评议课程或评议活动等评议项，点击打开评议项，显示未评学员的名单，并可按学员姓名精确或模糊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请假审批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对学员发送的请假申请进行审批，班主任查看正在请假的班级学员，核查请假详情，可同意或不同意请假。班主任查看记录，在请假列表中显示班级学员请假后班主任批假的情况。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班级通讯录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查看班主任、任课老师和班级同学通讯录，及时快速地获取联系方式。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十二、移动学习</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通知公告</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显示公告信息，学员可以查看教师或班主任发布的班级通知或系统管理员发布的系统公告。</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（投标时需提供软件供应商移动学习平台软件著作证书，投标时无法提供但承诺中标后提供的扣1分。）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课表查询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在警校内培训的学员可查看每周的课程信息。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教学评议（学员端）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学员可以对专题课程、其它课程、教学组长、综合表进行教学评议；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请假申请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学员申请请假，教员批准或不同意请假申请；在班主任批准请假申请前，学员可撤回；学员可查看请假记录。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同学录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查看教员、任课老师和班级同学通讯录。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资源共享</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查看班级共享资料。</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学员须知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查看学员守则，入学须知，请加须知。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服务指南</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显示校园服务指南，包括后勤服务的地址、电话，其他相关服务的联系人和联系方式。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十三、学习中心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课程学习</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程学习支持视频观看学习课程，记录学员观看时间和频次，系统可通过后台数据统计正在学习的课程，便于学员实时查看在学课程，同时提供新增在学课程快捷按钮和继续学习按钮。课程具体信息包括课程顺序、课程名称、学时、课程时长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精品课程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精品课程管理，管理员可将平台中上传的课程录播或优秀课程选入精品课程，供学员进行学习。提供精品课程推荐功能，提供执法规范化业务、刑侦业务、经侦业务、治安业务、综合素能等相关课程的精品专题课程，可将每周或每月精品课程或点击量排行靠前的课程推荐给学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学习任务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学习任务功能利用后台数据统计，实现学习年度、必修专题班学习进度、必修课程学习进度、必修课程总学时学习进度的统计功能，展示现有的学习任务、学习进度。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历史记录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历史记录功能利用后台数据统计已学习的课程总数量，学员可利用该功能回顾最近学习记录，并依据记录选择已学课程进行复习学习。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在学专题班</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为提高在线教育学习的针对性、实效性，提供专题班教学管理，引导学员分班学习、集中学习、系统学习。可围绕中央、省委、公安厅的重点工作，设计开办党史、党建、经济发展、社会管理、法律法规等精品专题班次，并根据不同教育学习主题安排精品课程，汇聚该专题相关所有视频、文档资料，进行系统化的专题教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十四、个人中心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个人信息</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个人信息功能主要展示学员姓名、性别、学历，照片等信息，在个人信息模块用户可以维护个人信息、上传个人照片等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精品课程成绩</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学员在完成个人关注的精品课程的学习后，可在线开展对应课程内容的测试，并提供精品课程成绩的查询。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学习资料</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提供学习资料的整理上传功能，便于管理员和教员上传各类学习相关资料，提供新增、查看、发布、删除、复制等功能，资料上传成功后，学员可下载资料进行学习，并在个人中心集中展示个人历史下载记录及下载资料汇总</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培训报名管理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课程报名信息分职级推送至相关人员，各单位参训人员可在系统内完成报名，参训名单由管理员在系统内进行审核，并在系统内通知参训人员报名成功。</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我的报名</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我的报名可查看个人报名信息，展示用户报名是否成功，并支持对当前用户报名信息的统计。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缓训、免训申请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学员因特殊原因需要缓训或免训时，可在线提交缓训、免训申请，并上传相关资料提交至本级管理员及厅级管理员审批进行审核，审核通过后方可缓训或免训。</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培训测评</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提供培训测评功能，在学员培训结束后，根据学员培训内容对学员进行针对性测评，并提供学员培训进修结果的测评反馈。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训练制度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可以为学员提供训练的相关规则制度指南，以及办理借书证、学员考核、考试管理等办事向导和服务指南的展现。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问题咨询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问题咨询为教员和学员提供一个在线答疑互动的渠道，类似留言板，可给授课老师留言。</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培训记录功能记录、汇总学员参加培训的所有学习档案，包括证书、画像、学档详情，为学员在系统学习过程中的表现和成就留下完整记录。</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【学员训历档案】</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支持对学员的各种训历信息档案进行自动采集个手动录入；支持学员对训历档案进行预览及下载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精品课程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“我的精品课程”集中展示学员已经关注、收藏的所有精品课程，对学员在“学习中心”关注、收藏的精品课程进行汇总，并在个人精品课程列表中集中查看学习。</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十五、训练中心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试题测试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系统提供实体测试功能，在学员完成课程学习后（结业前）进行试题测试。</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错题集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提供错题集管理功能，系统支持自动收集试题测试中错题集。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做题记录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提供对学员在系统中所有做题情况进行记录，包括日常作业、在线自测、考试测试等过程中的做题情况，提供做题记录的汇总与统计，方便学员进行检索与查看。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十六、考试中心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考试题库</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提供题库管理，对题库进行增、删、改、查及标签化综合管理。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线上考试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线上考试提供防作弊功能，通过考试监控管理，可以对考生的操作行为进行实时监控，规范学员的考试过程操作，为单位和学员营造良好的考试氛围和公平公正的考试环境。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考试时间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系统提供考试时间查询功能，一方面可以查询考试安排和计划如考试时间、考试时长等信息，另一方面在学员进入考试作答时提供界面显示考试倒计时功能，可当前考生考题完成状态。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考试阅卷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阅卷方式分为自动阅卷和手工阅卷，考试结束后，系统会对客观题进行自动阅卷，阅卷人对主观题做手工阅卷，主观题支持批量式阅卷。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成绩查询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提供学员考试成绩查询功能，可实现学员成绩的实时显示，管理员可以查看所有学员参与考试的成绩并可以导出成绩表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认证证书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系统根据学员的学习情况，可对学员进行技能评定，能够生成学员的技能认证证书，在系统内进行，并进行批量发放消息通知，以及其他相关的管理。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证书查询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可以根据技能认证证书生成时间、类型、证书颁发单位等进行查询，同时也可以根据多维度数据对证书数据进行处理，进而得出分析数据。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十七、培训统计</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培训统计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提供培训情况统计功能，可在每次培训后对培训成果进行统计展现。同时可统计某一时间段公安厅整体培训数量、培训班次数量、培训课程、培训人数等信息，支持培训统计情况的可视化图表展现。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学员统计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提供学员数据统计，在学员每次参加完培训后将培训成绩统计后录入民警训例，提供学员培训数据的查询。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免训统计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提供免训数据统计，可对每次培训免训人员、人数进行统计与查询，并支持学员免训统计情况的可视化图表展现。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十八、教员中心</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教员信息管理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对教员信息进行维护、管理与展现，供相关人员进行查阅，包括教员基本信息、教员业务警种、教员简历、教员教历等信息。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十九、后勤管理（餐饮）</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用餐信息记录</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是指对每日的用餐信息进行记录与统计，可对来校学习各培训班的餐饮信息进行分类查询。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每周菜谱</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指对销售产品进行规划。用以指导采购与库存情况的落实，及让其他人员对与饮食计划的提前了解。主要包括有菜谱的安排（增加）、分享（查看或公告）。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统计台账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以报表形式展示各类用餐的统计信息，支持对具体时间区段内用餐情况的信息统计。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服务监管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主要包括有对餐饮相关服务信息的记录与管理。如对餐饮服务质量的抽查记录、抽查结果的记录、卫生情况的记录及复核。</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二十、后勤管理（公寓）</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入住计划管理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通过对接管控平台的入驻学员的数据名单，按照定制的逻辑自动分配学员宿舍，并根据学员的批次自动管理入驻和退房的时间。</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自助报道</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集成自助报道系统一体机进行报到或刷身份证报到、自动下发房卡、开通房间门禁。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住宿查询</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是指对当前状态下平台目前还有闲置的房间数量与房间详细信息的查看，通过与后台系统的对接以实现数据实时化、一体化。</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客房状态设置</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客房管理员可以设置房间的状态，如停用，维护等。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二十一、后勤管理（维修管理）</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维修申请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主要对已经损坏或已濒临维修边缘的设备内容申请维修，学员、教职工等用户进入报修单填写页面填写报修内容，包括房间号、故障说明、联系方式等内容。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维修任务分派</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是指对已经发起的维修申请，同意并指派或者自动分配给专人维修。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满意度评价</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用户利用此功能进行满意度评价，管理人员可以查看评价结果及统计分析信息。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二十二、运维管理模块</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公告通知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支持接收和查看由系统及管理员发出的通知公告、消息提醒等；支持公告的录入、修改、删除等功能，包括设置公告有效期、置顶显示等。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设施设备管理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对接第三方系统平台，实时同步资产信息，维护资产基础属性及调用情况；对设施设备进行专项分类，建立公共设施以及科技资产等资产组别，搭建资产全生命周期生命线，记录资产包括上线、领用、归还、报修、报废、调拨等行为的全记录流程，支持过程实时上报即时通讯或站内信信息，提供设施设备清单报表查询</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运维事件管理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人工主动发起、系统自动化及预告警信息转化发起事件工单信息，通过web端补录审核搭配移动端流程处理等方式进行处置操作，并且支持考核以及SLA服务定义；支持制定定期、临时、长期的巡检任务计划，支持对安保、运维工程师等人员进行计划的分配，执行巡更（点位巡查）巡检（设备巡查）等方式的任务信息，支持以规划说明书的形式展示路线信息，引导操作人员进行打卡行为，配合移动端完成处理流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联动管理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支持跨系统的设备联动控制功能，如人员进出门禁自动抓拍现场图像等；支持报警事件联动相关设备进行数据上报功能</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统一告警管理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通过预警概览对项目、巡检计划、组织机构等信息筛选、查询预警记录信息；支持预警日志，包括按预警类型统计、风险级别筛选、查询，以及对预警进行确认、忽略、误报等操作；支持从预警记录中发起事件工单，发起后可在该记录中查询追踪后期事件情况，支持对告警级别进行分级管理、同类告警数据信息合并、动态设置告警阈值、人工调整告警通知时间、转化告警信息为工单等，并且支持快速处理、消音、误报消除等操作，可结合移动端完成处置流程操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考核管理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对人员事件处理状态、任务执行状态、事件完成率、任务完成率等信息进行考核；支持对群组事件进行统计，当前小队任务执行状态、事件完成率、任务完成率等信息进行考核；支持对设备日常运行状态、常规事件处理、突发事件处理、全生命周期等状态进行考核；支持生成日、周、月、季、年的报表统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群组管理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创建由运维或相关从业人员为主的小队模式，支持跨组织机构，可执行现场维修、事件上报、事件处理、设备资产回收、设备资产安装、巡检任务计划执行等操作；支持排班机制，可指定固定班组，活动班组，早晚班等形式的群组模式</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标签管理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支持针对标签编目表进行手动标签标记，帮助运维人员快速筛查设备及事件设备联动调用；支持通过规则自动标记人车房等信息标签，并且针对设备进行精准标签生命周期管理，实现快速标记调用，实时取消标记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0"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二十三、系统数据对接</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警员训练库数据对接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可从市局警员数据库调取警员人脸数据、身份信息、警员信息等，自动导入管控平台。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143</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公寓管理系统集成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通过页面集成、用户集成、数据集成等方式实现与酒店客房管理的集成，提供住宿信息与学员管理的接口、一卡通与客房门禁接口等，方便学员管理。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144</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会议预约、信息引导发布集成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通过页面集成、用户集成、数据集成等方式实现与教学系统的集成，完成会议预约、教学通告、课程信息、教室信息等数据的集成。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145</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一卡通、人脸集成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在基地原有一卡通软硬件框架的基础上，建设中间数据库与智慧校园对接数据，以实现一卡通数据与校园业务平台系统间的互联互通。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146</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安防数据对接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通过页面集成、用户集成、数据集成等方式实现与教学系统的集成，一个平台管理安防设备，如监控视频、报警信息、人脸管控信息、人员车辆进出信息等。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147</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消防数据对接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通过页面集成、用户集成、数据集成等方式实现与教学引导系统的集成，一个平台管理基地消防管理平台的信息。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148</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建筑管理系统对接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通过页面集成、用户集成、数据集成等方式实现与教学引导系统的集成，一个平台管理基地建设设备信息、楼宇自控管理、能耗数据管理、智能灯控管理、远程抄表、远程开关灯光等。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149</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广播系统对接</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通过页面集成、用户集成、数据集成等方式实现与广播系统的集成，一个平台管理基地广播播放内容、控制系统等。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150</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短信平台集成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供短信的在线编辑、收发以及消息队列服务，要求满足三大运营商的无缝对接。</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大屏系统集成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通过页面集成、用户集成、数据集成等方式实现与大屏系统的集成，完成后将实现系统生成的各种教务、校情、人事、财务等数据进行可视化展示。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02"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后勤管理系统集成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通过页面集成、用户集成、数据集成等方式实现与后勤系统的集成，完成后勤服务保障功能，包括车辆数据、能耗、安防等系统的接口。</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bl>
    <w:p>
      <w:pPr>
        <w:pStyle w:val="58"/>
        <w:ind w:firstLine="480"/>
        <w:rPr>
          <w:color w:val="000000" w:themeColor="text1"/>
        </w:rPr>
      </w:pPr>
    </w:p>
    <w:p>
      <w:pPr>
        <w:pStyle w:val="2"/>
        <w:rPr>
          <w:rFonts w:hint="default"/>
          <w:color w:val="000000" w:themeColor="text1"/>
          <w:sz w:val="24"/>
          <w:szCs w:val="24"/>
        </w:rPr>
      </w:pPr>
      <w:r>
        <w:rPr>
          <w:color w:val="000000" w:themeColor="text1"/>
        </w:rPr>
        <w:br w:type="page"/>
      </w:r>
    </w:p>
    <w:p>
      <w:pPr>
        <w:pStyle w:val="58"/>
        <w:ind w:firstLine="0" w:firstLineChars="0"/>
        <w:outlineLvl w:val="3"/>
        <w:rPr>
          <w:b/>
          <w:bCs/>
          <w:color w:val="000000" w:themeColor="text1"/>
        </w:rPr>
      </w:pPr>
      <w:r>
        <w:rPr>
          <w:rFonts w:hint="eastAsia"/>
          <w:b/>
          <w:bCs/>
          <w:color w:val="000000" w:themeColor="text1"/>
        </w:rPr>
        <w:t>2、多媒体教学系统</w:t>
      </w:r>
    </w:p>
    <w:tbl>
      <w:tblPr>
        <w:tblStyle w:val="31"/>
        <w:tblW w:w="5000" w:type="pct"/>
        <w:tblInd w:w="0" w:type="dxa"/>
        <w:tblLayout w:type="autofit"/>
        <w:tblCellMar>
          <w:top w:w="0" w:type="dxa"/>
          <w:left w:w="108" w:type="dxa"/>
          <w:bottom w:w="0" w:type="dxa"/>
          <w:right w:w="108" w:type="dxa"/>
        </w:tblCellMar>
      </w:tblPr>
      <w:tblGrid>
        <w:gridCol w:w="531"/>
        <w:gridCol w:w="1320"/>
        <w:gridCol w:w="5582"/>
        <w:gridCol w:w="453"/>
        <w:gridCol w:w="636"/>
      </w:tblGrid>
      <w:tr>
        <w:tblPrEx>
          <w:tblCellMar>
            <w:top w:w="0" w:type="dxa"/>
            <w:left w:w="108" w:type="dxa"/>
            <w:bottom w:w="0" w:type="dxa"/>
            <w:right w:w="108" w:type="dxa"/>
          </w:tblCellMar>
        </w:tblPrEx>
        <w:trPr>
          <w:trHeight w:val="510" w:hRule="atLeast"/>
          <w:tblHeader/>
        </w:trPr>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8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设备名称</w:t>
            </w:r>
          </w:p>
        </w:tc>
        <w:tc>
          <w:tcPr>
            <w:tcW w:w="33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3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rPr>
          <w:trHeight w:val="357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无线AP</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1、支持标准的802.11ac协议，采用【四路】Radio设计，其中至少【两路】Radio可同时工作在802.11ac和802.11a/b/g/n模式 ；2、支持至少【8条】空间流，单路Radio最大接入速率【867Mbps】，整机最大接入速率【2334Mbps】；3、每路Radio射频发射功率≤20dBm；4、支持至少【2个】10/100/1000Base-T以太网口，其中至少1个支持PoE+供电；5、同时支持802.3at和本地电源DC12V供电；6、 两种供电模式，整机功耗小于25W；7、支持【无线模板化设置】，支持用户自定义无线设置模板，适用于不同的与用户群体，每个SSID适配不同的ACL规则；8、支持【多路Radio独立设置】不同的无线模板与Radio配置信息；9、支持多SSID划分，每个SSID套用不同的VLAN与ACL表，可实现局域网中不同用户群体用网安全性与终端隔离；10、支持独立ACL表过滤功能，在无线模板中，一个SSID可套用一个ACL规则表，并设置为黑白名单格式，实现在同一套局域网中，不同的SSID接入指定ACL表终端，实现无线局域网安全性；11、支持设置定时重启功能，可设置固定时间点重启AP；12、支持日志记录功能，能记录AP后的系统日志、内核日志、登录日志信息，13、支持网络诊断功能，提供ping、路由追踪、DNS诊断项，输出检测日志，14、支持AP页面升级功能，支持在Web页面查看当前AP版本号、机型等信息，提供升级AP功能；15、设备与无线AC控制器配合，支持iOS、安卓和Windows等主流终端操作系统自动识别，提供适应屏幕比例与尺寸的认证页面；16、 支持胖/瘦AP两种工作模式切换，在瘦AP工作模式时，AP与控制器之间采用私有协议通讯；为增强无线网络可靠性，支持当AC宕机时，不影响AP正常工作，无线用户正常使用。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升降讲台</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产品规格:1600*748*（600-1200）㎜（长*宽*高＜升降行程＞）；2、一键升降，升降行程在700-1200㎜高度随意调节；静音平稳，匀速升降无抖动，40mm/s；3、升降速度；高度记忆，舒适高度一键还原，拥有3档高度记忆键，方便使用；4、材质：桌腿采用优质钢型材材料，表面经过防腐氧化处理和纯环氧树脂塑粉高温固化处理，具有较强的耐蚀性及承重性，加入斜面圆弧设计，防止踢脚受伤，120KG安全承重，升降自如；5、桌面材质：采用25㎜T型封边三聚氰胺板；6、桌面配有专业显示器支架，可前后拉伸，调节视距；实现上下升降，舒缓颈椎；倾、仰角，随心调节；7、多功能接口盒：备有电源、HDMI、VGA、USB、网口及音频接口；8、底部配有坦克链式走线架，轻松收纳线材；</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智慧教室工作站</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CPU：主频3.0GHZ/8G/SSD:128G/1T机械硬盘/独立显卡/显示器21.5寸</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矩阵式数字话筒处理器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平衡输入4路平衡输出（包含4路话筒输入，2路带48V幻象电源）；话筒5级反馈抑制选择；矩阵混音功能；话筒输入20段、音乐输入15段PEQ可调，输出10段PEQ可调；内置电平设置、延时、噪声门、压限器、激励器；USB免驱自动连接软件，RS232中控控制；输入灵敏度：话筒25mV、音乐315mV；过载源电动势话筒：250mV、音乐3150mV；最大输出电平：4Vrms；频率响应：20Hz~20kHz ≤ ±1.0dBTHD+N:话筒＜0.02% 音乐＜0.008%;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阵列式超远程拾音麦克风</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元件：固定式充电背板，永久极性电容收音头指向性：超心形指向性频率响应：20-20000Hz高通滤波：80Hz，12dB/octave开路灵敏度：-29 dB (35.5 mV) re 1v at 1 pa阻抗：200 ohms最大输入声压级：141 dB SPL, 1 kHz at 1% T.H.D.动态范围：128 dB, 1 kHz at Max SPL信噪比：81 dB-A, 1 kHz at 1 Pa电压：48 V电流：2 mA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24U机柜，600*800*1200前玻璃后铁门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86寸智慧黑板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结构参数（含壁挂支架）外壳材料 金属背光源类型 LED背光物理分辨率 3840 × 2160亮度 350 cd/m²对比度 3500:1响应时间 6 ms色彩饱和度 92%屏幕活动域 1913.0 x 1084.0 mm屏幕材质 A规屏系统参数操作系统 Android内存 3GB内置存储 8 GB触控参数触摸方式 红外触控玻璃 4 mm全钢化玻璃，防眩光、防撞击、防划触控点 最高10点触控书写玻璃透过率 ≥92%输入方式 手指或专用笔差值分辨率 32767 × 32767最小触摸物体 直径 ≥ 3 mm非透明物体理论点击次数 无限次功能参数内部喇叭 15 W × 2个电源开关 1个</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产品尺寸：55英寸，技术液晶LED，A规屏，显示比例(16：9)。2. 亮度：≥320nits对比度：≥3200:1 ；最高可达4K分辨率。3. 防眩光功能：采用AG 钢化玻璃，防眩光，减少玻璃反射光的影响，反射率小于 1%。4. 触摸技术：红外感应技术 ，20点触控，支持安卓、windows 系统 20笔或以上同时书写。5. 触摸特性：最小触摸体：≥3mm；触摸高度：3.5mm；触摸耐久性:6000万次触摸，工作寿命≥10 万小时；抗光干扰性要求:≦80000流明下可正常工作。6. 支持粗细笔同时书写，粗笔支持最多20点同时书写，细笔支持最多5点同时书写。7. 前置按键：前面板具有安卓、音量、频道、电源、菜单等功能物理按键，支持一键开机/关机。8. 一键系统还原：具备前置一键物理还原按键，不需专业人员即可轻松解决电脑系统故障；在 PC 系统出现异常或需要清除 PC 数据时，可在嵌入式系统中对 PC 进行一键还原、恢复至出厂状态。9. 支持应用加锁，可对应用进行设置密码锁定管理。 10. 支持全通道下五指调用悬浮球。11. 支持左右调出导航栏。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r>
      <w:tr>
        <w:trPr>
          <w:trHeight w:val="255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智能录播主机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有≥2个SATA接口，每个接口支持≥8TB硬盘，可自动识别硬盘工作信息，非工作硬盘处于休眠状态。录制模式支持电影模式、资源模式、画中画模式，其中资源模式录播时至少可有2画面、3画面、4画面三种组合方式可选。对于在记录过程中出现的系统死机或意外故障，故障恢复时间≤5min。设备需支持对重要的数据进行备份。支持RTMP、RTSP直播功能。支持自动混音功能，无需外接混音器。支持课堂数据检索功能。采用高品质AAC音频编码技术，采样率≥48KHz，实现环境声音的真实还原。输出信号格式需支持：1920*1080；1280*1024；1280*720；1024*768。视音频信号的同步方式可有多种选择，但视音频信号失步时间≤1s。支持VGA和HDMI输出，输出显示内容可配置，并且两个输出都可直接通过鼠标控制，输出分辨率须≥1920×1080。支持自动导播，实现教师全景画面、教师特写画面、学生全景画面、学生特写画面、板书特写画面和HDMI/VGA多媒体信号自动切换录制，满足精品课件录制要求。支持客户端或平台软件进行手动导播、实时直播、课后点播、课表配置等功能，实现远程一站式配置、管理与维护。所有视频画面支持高清、标清两种码流实时预览。</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录播硬盘</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HDD,8TB,7200,3.5“,SATA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教师4K半球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800万及以上像素，最高分辨率须≥3840*2160。2、 支持人数异常检测，奔跑检测，走动检测，背对检测，板书检测，跌倒检测，活跃度分析。3、 内置自带智能检测系统，摄像机既可以采集视频还自带跟踪系统；自带跟踪系统采用图像识别技术，准确的定位教师的位置，并能实时的跟踪拍摄，并且能够特写模式拍摄， 跟踪过程平滑流畅，视觉体验舒适。4、 双路输出：具备双路输出功能，支持两路1080P图像同时输出。5、 3.5mm音频接口≥2个。6、 支持H.265、H.264编码。7、 支持多种音频压缩标准：G.711/G.722.1/G.726/MP2L2/AAC/PCM。8、 最低照度支持：彩色:0.009 Lux @(F1.2,AGC ON)；黑白:0.0009Lux @(F1.2,AGC ON)。9、 采用EPTZ电子跟踪技术，没有噪音。10、 支持网络接口，有效传输距离最高可达200米，充分满足各类高质量远距离传输的需求。11、 支持数字宽动态，使画面曝光均匀，层次感强。在有强烈明暗反差的环境（如逆光下），仍可确保清晰捕捉成像。12、 需支持AC24V / DC12V / PoE(802.3af)多种供电方式。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壁装支架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壁装支架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1、全景相机：1/2“ CMOS；最大支持3840 × 2160@30fps高清画面输出2、视场角：水平103°；垂直54°3、低照度：0.01Lux@F1.64、动点像机：1/2“ CMOS；最高分辨率及帧率可达3840 × 2160@60fps5、视场角：水平37.3°-15°(广角-望远)；垂直21°-8.5°(广角-望远)6、低照度：0.01Lux @ F1.67、4倍光学变倍；16倍数字变倍8、系统参数：支持人员自动检测并进行人脸快速抓拍9、支持人脸曝光功能10、支持背景大图图片字符叠加功能11、支持设备编号、抓拍时间、监测点信息12、支持120dB超宽动态、强光抑制、电子防抖、3D数字降噪、背光补偿、区域曝光、区域聚焦13、支持H.265高效压缩算法，可较大节省存储空间14、支持1路音频输入和1路音频输出15、电源DC12V，支持PoE+</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配套学生人脸抓拍机支架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抗回音拾音器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拾音面积 5~100平方米音频传输距离 3000米灵敏度 -42dB频率响应 20Hz ～ 20kHz指向特性 全指向信噪比 ＞50dB（户外） ＞60dB（室内）动态范围 50dB (1KHz at Max dB SPL)最大承受音压 120dB SPL (1KHzTHD 1%)输出阻抗 600欧姆非平衡输出信号幅度 1Vpp/-25db麦克风 高灵敏度电容咪头咪头数量 双咪头信号处理电路 ClearSpeech数字降噪防水特性 户内防潮电源电压 直流稳压DC 12V工作环境温度 -25℃ ～ 70℃外壳材质 铝合金</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3LCD显示技术、激光光源、6200流明、1920*1200分辨率、2500000：1对比度、支持四分画面投影、支持无线投影、透射比1.35-2.20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1、频率响应：80Hz-18KHz(-10dB)2、灵敏度：96dB3、声压级：118dB SPL最大124dB SPL4、额定功率：120W，阻抗：8Ω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 3D投影、0.61英寸液晶板、4K（2840*2160）分辨率、 40000：1对比度、支持HDR10+HLG、广角1.32、长焦2.15、10BIT色彩深度、蓝牙连接音响、支持插帧技术和快速模式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12"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3LCD激光光源、0.62液晶板、5000流明、2500000：1对比度、1080P分辨率、广角0.27、长焦0.37</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921"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1，板体尺寸规格≥120 寸，板体尺寸对角线大于120英寸，白板区域可感应。采用红外定位技术。2，可触摸操作，任何不透光物体都可书写，不需专用笔，可用教鞭交互式操作。3，白板板体采用轻质材料新硬件结构，各种环境条件下不变形；板面损坏、穿孔、凹陷即使白板变形也能正常书写。4，面板采用冷轧钢板，表面喷涂专业高分子纳米材料，防眩目，防反光，任何角度无亮斑，有助于保护师生视力；可用水性笔书写，擦除无残留；板体表面可用磁性材料吸附；表面耐刮伤、不脱漆，即使表面刮伤也不影响正常使用；表面光滑，书写流畅，手感舒适；书写效果非常真实，笔迹真实感很强。5，白板采用 USB 直接供电，无需外接电源（输入电流小于 100mA,消耗功率小于 1W)，环保、无电磁辐射。可扩展无线连接方式。6，光标速度为 180 点/秒以上，反应速度快，快速短笔画书写不掉笔，不连笔。7，产品结构采用模块化设计，内置 PCB可单独拆卸、更换，有利于快捷方便的售后服务，边框特防误操作功能，不响应在投影区域以外的任何操作。8，有人性化 T 型滑动凹槽设计，适用不同安装需求，可挂墙，可装移动支架，方便增加一体式电脑，外挂音响。9，独有斜插式或磁吸式智能笔架，节约空间、方便取用，提笔即写，提供 3 笔3 色智能选择及智能板擦（智能板檫也可当普通板擦使用）。笔插设计科学，在学校安装方便，尤其是在前面有黑板可以滑动的教室里安装很方便。10，突破传统的矩形定位，率先研发出梯形定位系统，梯形矫正定位系统,目前国内只有我们能做到这一点。采用四点精确定位，定位简捷方便。定位精度小于1mm。一次定位在不更换投影位置的情况下永不需再次定位。11，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3LCD显示技术、激光光源、6200流明、1920*1200分辨率、2500000：1对比度、支持四分画面投影、支持无线投影、透射比1.35-2.20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12"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壁挂录播主机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有≥2个SATA接口，每个接口支持≥8TB硬盘，可自动识别硬盘工作信息，非工作硬盘处于休眠状态。录制模式支持电影模式、资源模式、画中画模式，其中资源模式录播时至少可有2画面、3画面、4画面三种组合方式可选。为简化后续的维护，高清录播一体机应具有故障报警功能。对于在记录过程中出现的系统死机或意外故障，高清录播一体机应能在规定的时间内自动恢复其正常工作并使故障前的信息不丢失，故障恢复时间≤5min。设备需支持对重要的数据进行备份。为保障高清录播一体机的稳定性，对于以下几项需满足GB/T17799.1中的技术要求：静电放电抗扰度、射频电磁场辐射抗扰度、电快速瞬变脉冲群抗扰度、浪涌（冲击）抗扰度、射频场感应的传导骚抗扰度。设备支持导播功能，具有自动、手动两种导播模式，可设置导播策略（是否学生全景过渡、是否师生双画面等），支持课件检测。支持RTMP、RTSP直播功能。支持自动混音功能，无需外接混音器。支持课堂数据检索功能。采用高品质AAC音频编码技术，采样率≥48KHz，实现环境声音的真实还原。输出信号格式需支持：1920*1080；1280*1024；1280*720；1024*768。视音频信号的同步方式可有多种选择，但视音频信号失步时间≤1s。支持VGA和HDMI输出，输出显示内容可配置，并且两个输出都可直接通过鼠标控制，输出分辨率须≥1920×1080。支持自动导播，实现教师全景画面、教师特写画面、学生全景画面、学生特写画面、板书特写画面和HDMI/VGA多媒体信号自动切换录制，满足精品课件录制要求。支持客户端或平台软件进行手动导播、实时直播、课后点播、课表配置等功能，实现远程一站式配置、管理与维护。所有视频画面支持高清、标清两种码流实时预览。</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教师4K录播摄像机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800万及以上像素，最高分辨率须≥3840*2160。2、 支持人数异常检测，奔跑检测，走动检测，背对检测，板书检测，跌倒检测，活跃度分析。3、 内置自带智能检测系统，摄像机既可以采集视频还自带跟踪系统；自带跟踪系统采用图像识别技术，准确的定位教师的位置，并能实时的跟踪拍摄，并且能够特写模式拍摄， 跟踪过程平滑流畅，视觉体验舒适。4、 双路输出：具备双路输出功能，支持两路1080P图像同时输出。5、 3.5mm音频接口≥2个。6、 支持H.265、H.264编码。7、 支持多种音频压缩标准：G.711/G.722.1/G.726/MP2L2/AAC/PCM。8、 最低照度支持：彩色:0.009 Lux @(F1.2,AGC ON)；黑白:0.0009Lux @(F1.2,AGC ON)。9、 采用EPTZ电子跟踪技术，没有噪音。10、 支持网络接口，有效传输距离最高可达200米，充分满足各类高质量远距离传输的需求。11、 支持数字宽动态，使画面曝光均匀，层次感强。在有强烈明暗反差的环境（如逆光下），仍可确保清晰捕捉成像。12、 需支持AC24V / DC12V / PoE(802.3af)多种供电方式。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吊装支架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吊装支架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7"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学生4K录播摄像机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1、全景相机：1/2“ CMOS；最大支持3840 × 2160@30fps高清画面输出2、视场角：水平103°；垂直54°3、低照度：0.01Lux@F1.64、动点像机：1/2“ CMOS；最高分辨率及帧率可达3840 × 2160@60fps5、视场角：水平37.3°-15°(广角-望远)；垂直21°-8.5°(广角-望远)6、低照度：0.01Lux @ F1.67、4倍光学变倍；16倍数字变倍8、系统参数：支持人员自动检测并进行人脸快速抓拍9、支持人脸曝光功能10、支持背景大图图片字符叠加功能11、支持设备编号、抓拍时间、监测点信息12、支持120dB超宽动态、强光抑制、电子防抖、3D数字降噪、背光补偿、区域曝光、区域聚焦13、支持H.265高效压缩算法，可较大节省存储空间14、支持1路音频输入和1路音频输出15、电源DC12V，支持PoE+</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阵列麦</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全向宽频段强式麦克风信噪比（1 kHz/Pa）≥70dB方向特性 全向频率响应 100kHz到18kHz输出阻抗 100Ω电源 DC 11～49V</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r>
      <w:tr>
        <w:tblPrEx>
          <w:tblCellMar>
            <w:top w:w="0" w:type="dxa"/>
            <w:left w:w="108" w:type="dxa"/>
            <w:bottom w:w="0" w:type="dxa"/>
            <w:right w:w="108" w:type="dxa"/>
          </w:tblCellMar>
        </w:tblPrEx>
        <w:trPr>
          <w:trHeight w:val="207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包含1台音频处理器+1只指向吊麦+1只球形全向麦+1个接线盒；数字音频处理器存储输入通道功能 ：预设16组输出通道功能 ：前置放大、信号发生器、扩展器、压缩器、5段参量均衡具有PEQ、High-Shelf、Low-Shelf、LP、HP等类型可选 可选8段参量均衡或31段图示均衡、延时器、分频器、高低通滤波器、限幅器 回声消除尾长：256ms;内置ANC噪声消除量：18dB，MAX自适应反馈消除（AFC）：抑制点数：16点，具有手动，动态，固定三种处理方式，多种模式可选采样频率 ：48kHz输入到输出动态范围：106dB幻像供电：DC 48V输入共模抑制：75dBu @ +20dBu , 60Hz通道隔离度：106dB频率响应：20Hz～20kHz (±0.5dB)本底噪(A-计权):-90dBu等效输入噪声EIN:≤-125dBu总谐波失真(THD+N):≤0.0025% @1kHz，+4dBu最大输入增益:42dB输入阻抗:10K</w:t>
            </w:r>
            <w:r>
              <w:rPr>
                <w:rFonts w:ascii="Calibri" w:hAnsi="Calibri" w:cs="Calibri"/>
                <w:color w:val="000000" w:themeColor="text1"/>
                <w:kern w:val="0"/>
                <w:szCs w:val="21"/>
              </w:rPr>
              <w:t>Ω</w:t>
            </w:r>
            <w:r>
              <w:rPr>
                <w:rFonts w:hint="eastAsia" w:ascii="宋体" w:hAnsi="宋体" w:cs="宋体"/>
                <w:color w:val="000000" w:themeColor="text1"/>
                <w:kern w:val="0"/>
                <w:szCs w:val="21"/>
              </w:rPr>
              <w:t>balance输出阻抗:100 ohm 最大输出电平:20dBu 工作电压：220VAC/50Hz功率： 60W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阵列麦吊装支架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阵列麦伸缩支架，60cm-120cm可伸缩</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3、输出：4X350W（8Ω、1KHz），4X550W（4Ω、1KHz）4、频率响应：20Hz-20KHz（±3dB）5、总谐波失真：1%（8Ω，350W）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357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无线AP</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1、支持标准的802.11ac协议，采用【四路】Radio设计，其中至少【两路】Radio可同时工作在802.11ac和802.11a/b/g/n模式 ；2、支持至少【8条】空间流，单路Radio最大接入速率【867Mbps】，整机最大接入速率【2334Mbps】；3、每路Radio射频发射功率≤20dBm；4、支持至少【2个】10/100/1000Base-T以太网口，其中至少1个支持PoE+供电；5、同时支持802.3at和本地电源DC12V供电；6、 两种供电模式，整机功耗小于25W；7、支持【无线模板化设置】，支持用户自定义无线设置模板，适用于不同的与用户群体，每个SSID适配不同的ACL规则；8、支持【多路Radio独立设置】不同的无线模板与Radio配置信息；9、支持多SSID划分，每个SSID套用不同的VLAN与ACL表，可实现局域网中不同用户群体用网安全性与终端隔离；10、支持独立ACL表过滤功能，在无线模板中，一个SSID可套用一个ACL规则表，并设置为黑白名单格式，实现在同一套局域网中，不同的SSID接入指定ACL表终端，实现无线局域网安全性；11、支持设置定时重启功能，可设置固定时间点重启AP；12、支持日志记录功能，能记录AP后的系统日志、内核日志、登录日志信息；13、支持网络诊断功能，提供ping、路由追踪、DNS诊断项，输出检测日志；14、支持AP页面升级功能，支持在Web页面查看当前AP版本号、机型等信息，提供升级AP功能；15、设备与无线AC控制器配合，支持iOS、安卓和Windows等主流终端操作系统自动识别，提供适应屏幕比例与尺寸的认证页面；16、 支持胖/瘦AP两种工作模式切换，在瘦AP工作模式时，AP与控制器之间采用私有协议通讯；为增强无线网络可靠性，支持当AC宕机时，不影响AP正常工作，无线用户正常使用。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升降讲台</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产品规格≥1600*748*（600-1200）㎜（长*宽*高＜升降行程＞）；2、一键升降，升降行程在700-1200㎜高度随意调节；静音平稳，匀速升降无抖动，40mm/s；3、升降速度；高度记忆，舒适高度一键还原，拥有3档高度记忆键，方便使用；4、材质：桌腿采用优质钢型材材料，表面经过防腐氧化处理和纯环氧树脂塑粉高温固化处理，具有较强的耐蚀性及承重性，加入斜面圆弧设计，防止踢脚受伤，≥120KG安全承重，升降自如；5、桌面材质：采用T型封边三聚氰胺板；6、桌面配有专业显示器支架，可前后拉伸，调节视距；实现上下升降，舒缓颈椎；倾、仰角，随心调节；7、多功能接口盒：备有电源、HDMI、VGA、USB、网口及音频接口；8、底部配有坦克链式走线架，轻松收纳线材；</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智慧教室工作站</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I5/8G/SSD:128G/1T机械硬盘/独立显卡/显示器21.5寸</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矩阵式数字话筒处理器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平衡输入4路平衡输出（包含4路话筒输入，2路带48V幻象电源）；话筒5级反馈抑制选择；矩阵混音功能；话筒输入20段、音乐输入15段PEQ可调，输出10段PEQ可调；内置电平设置、延时、噪声门、压限器、激励器；USB免驱自动连接软件，RS232中控控制；输入灵敏度：话筒25mV、音乐315mV；过载源电动势话筒：250mV、音乐3150mV；最大输出电平：4Vrms；频率响应：20Hz~20kHz ≤ ±1.0dBTHD+N:话筒＜0.02% 音乐＜0.008%;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阵列式超远程拾音麦克风</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元件：固定式充电背板，永久极性电容收音头指向性：超心形指向性频率响应：20-20000Hz高通滤波：80Hz，12dB/octave开路灵敏度：-29 dB (35.5 mV) re 1v at 1 pa阻抗：200 ohms最大输入声压级：141 dB SPL, 1 kHz at 1% T.H.D.动态范围：128 dB, 1 kHz at Max SPL信噪比：81 dB-A, 1 kHz at 1 Pa电压：48 V电流：2 mA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86寸智慧黑板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结构参数（含壁挂支架）外壳材料 金属背光源类型 LED背光物理分辨率 3840 × 2160亮度 350 cd/m²对比度 3500:1响应时间 6 ms色彩饱和度 92%屏幕活动域 1913.0 x 1084.0 mm屏幕材质 A规屏系统参数操作系统 Android内存 3GB内置存储 8 GB触控参数触摸方式 红外触控玻璃 4 mm全钢化玻璃，防眩光、防撞击、防划触控点 最高10点触控书写玻璃透过率 ≥92%输入方式 手指或专用笔差值分辨率 32767 × 32767最小触摸物体 直径 ≥ 3 mm非透明物体理论点击次数 无限次功能参数内部喇叭 15 W × 2个电源开关 1个</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产品尺寸：55英寸，技术液晶LED，A规屏，显示比例(16：9)。2. 亮度：≥320nits对比度：≥3200:1 ；最高可达4K分辨率。3. 防眩光功能：采用AG 钢化玻璃，防眩光，减少玻璃反射光的影响，反射率小于 1%。4. 触摸技术：红外感应技术 ，20点触控，支持安卓、windows 系统 20笔或以上同时书写。5. 触摸特性：最小触摸体：≥3mm；触摸高度：3.5mm；触摸耐久性:6000万次触摸，工作寿命≥10 万小时；抗光干扰性要求:≦80000流明下可正常工作。6. 支持粗细笔同时书写，粗笔支持最多20点同时书写，细笔支持最多5点同时书写。7. 前置按键：前面板具有安卓、音量、频道、电源、菜单等功能物理按键，支持一键开机/关机。8. 一键系统还原：具备前置一键物理还原按键，不需专业人员即可轻松解决电脑系统故障；在 PC 系统出现异常或需要清除 PC 数据时，可在嵌入式系统中对 PC 进行一键还原、恢复至出厂状态。9. 支持应用加锁，可对应用进行设置密码锁定管理。 10. 支持全通道下五指调用悬浮球。11. 支持左右调出导航栏。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r>
      <w:tr>
        <w:tblPrEx>
          <w:tblCellMar>
            <w:top w:w="0" w:type="dxa"/>
            <w:left w:w="108" w:type="dxa"/>
            <w:bottom w:w="0" w:type="dxa"/>
            <w:right w:w="108" w:type="dxa"/>
          </w:tblCellMar>
        </w:tblPrEx>
        <w:trPr>
          <w:trHeight w:val="637"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智能录播主机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需有≥2个SATA接口，每个接口支持≥8TB硬盘，可自动识别硬盘工作信息，非工作硬盘处于休眠状态。录制模式支持电影模式、资源模式、画中画模式，其中资源模式录播时至少可有2画面、3画面、4画面三种组合方式可选。对于在记录过程中出现的系统死机或意外故障，故障恢复时间≤5min。设备需支持对重要的数据进行备份。支持RTMP、RTSP直播功能。支持自动混音功能，无需外接混音器。支持课堂数据检索功能。采用高品质AAC音频编码技术，采样率≥48KHz，实现环境声音的真实还原。输出信号格式需支持：1920*1080；1280*1024；1280*720；1024*768。视音频信号的同步方式可有多种选择，但视音频信号失步时间≤1s。支持VGA和HDMI输出，输出显示内容可配置，并且两个输出都可直接通过鼠标控制，输出分辨率须≥1920×1080。支持自动导播，实现教师全景画面、教师特写画面、学生全景画面、学生特写画面、板书特写画面和HDMI/VGA多媒体信号自动切换录制，满足精品课件录制要求。支持客户端或平台软件进行手动导播、实时直播、课后点播、课表配置等功能，实现远程一站式配置、管理与维护。所有视频画面支持高清、标清两种码流实时预览。</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录播硬盘</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HDD,8TB,7200,3.5“,SATA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教师4K录播摄像机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800万及以上像素，最高分辨率须≥3840*2160。2、 支持人数异常检测，奔跑检测，走动检测，背对检测，板书检测，跌倒检测，活跃度分析。3、 内置自带智能检测系统，摄像机既可以采集视频还自带跟踪系统；自带跟踪系统采用图像识别技术，准确的定位教师的位置，并能实时的跟踪拍摄，并且能够特写模式拍摄， 跟踪过程平滑流畅，视觉体验舒适。4、 双路输出：具备双路输出功能，支持两路1080P图像同时输出。5、 3.5mm音频接口≥2个。6、 支持H.265、H.264编码。7、 支持多种音频压缩标准：G.711/G.722.1/G.726/MP2L2/AAC/PCM。8、 最低照度支持：彩色:0.009 Lux @(F1.2,AGC ON)；黑白:0.0009Lux @(F1.2,AGC ON)。9、 采用EPTZ电子跟踪技术，没有噪音。10、 支持网络接口，有效传输距离最高可达200米，充分满足各类高质量远距离传输的需求。11、 支持数字宽动态，使画面曝光均匀，层次感强。在有强烈明暗反差的环境（如逆光下），仍可确保清晰捕捉成像。12、 需支持AC24V / DC12V / PoE(802.3af)多种供电方式。</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壁装支架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1、全景相机：1/2“ CMOS；最大支持3840 × 2160@30fps高清画面输出2、视场角：水平103°；垂直54°3、低照度：0.01Lux@F1.64、动点像机：1/2“ CMOS；最高分辨率及帧率可达3840 × 2160@60fps5、视场角：水平37.3°-15°(广角-望远)；垂直21°-8.5°(广角-望远)6、低照度：0.01Lux @ F1.67、4倍光学变倍；16倍数字变倍8、系统参数：支持人员自动检测并进行人脸快速抓拍9、支持人脸曝光功能10、支持背景大图图片字符叠加功能11、支持设备编号、抓拍时间、监测点信息12、支持120dB超宽动态、强光抑制、电子防抖、3D数字降噪、背光补偿、区域曝光、区域聚焦13、支持H.265高效压缩算法，可较大节省存储空间14、支持1路音频输入和1路音频输出15、电源DC12V，支持PoE+</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学生人脸抓拍机支架（选配）</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抗回音拾音器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拾音面积 5~100平方米音频传输距离 3000米灵敏度 -42dB频率响应 20Hz ～ 20kHz指向特性 全指向信噪比 ＞50dB（户外） ＞60dB（室内）动态范围 50dB (1KHz at Max dB SPL)最大承受音压 120dB SPL (1KHzTHD 1%)输出阻抗 600欧姆非平衡输出信号幅度 1Vpp/-25db麦克风 高灵敏度电容咪头咪头数量 双咪头信号处理电路 ClearSpeech数字降噪防水特性 户内防潮电源电压 直流稳压DC 12V工作环境温度 -25℃ ～ 70℃外壳材质 铝合金</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4K高清庭审主机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支持VGA、HDMI 信号和网络信号混合接入。支持RTSP、RTMP等多种协议，支持8路网络高清视频接入。支持Smart264、Smart265、H.264、H.265 编码，有效减少录像存储空间，降低网传压力。庭审画面最大编码支持4K（8MP）超高清编码。庭审画面支持单画面、2画面均分（上下、左右可选）、1 大2 小、1 大3 小、1 大4 小、1 大5 小、1 大7 小、4 均分等多种画面合成方式，小画面位置和大小可调。支持多码流。AAC音频编码，G711音频方式可选；支持音频混音配置和音量调节。支持音频波形实时监测显示和音频丢失报警功能。支持案件信息配置。支持庭审数据数字水印加密和哈希检验技术，防止原始音视频数据被篡改。支持远程庭审功能。支持证人隐私保护功能，遮挡画面特定区域和变音功能，保护敏感信息。支持标准DVD 光盘或蓝光光盘（选配蓝光刻录机）刻录。</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庭审录播硬盘</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3.5英寸 8TB 5400RPM 256M SATA3</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书记员工作站</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CPU：酷睿i72） 显示：GeForce GT720双输出独立显卡,2GB显存3） 内存：8G DDR34） 硬盘：1TB，7200转5） 光驱：DVD刻录机6） 网卡：1000M RJ45以太网卡7） 键鼠：浮岛式键盘，光电鼠标</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7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庭审智能摄像机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内置电动云台和一体化变焦镜头，施工便易，方便运维智能功能：人脸抓拍、混合目标抓拍（人脸、人体+车辆抓拍）、（人脸比对）、离岗检测、睡岗检测、剧烈运动检测、区域关注度传感器类型: 1/2.8” progressive scan CMOS最低照度: 彩色：0.05Lux @ (F1.6，AGC ON),黑白：0.01Lux @(F1.6，AGC ON),0 Lux with IR宽动态: 120dB超宽动态焦距: 4.8-110 mm，23倍光学变倍视场角: 55-2.7度 (广角-望远)水平范围: 水平360°垂直范围: -5°-90°水平速度: 水平键控速度：0.1°-300°/s,速度可设;水平预置点速度：350°/s垂直速度: 垂直键控速度：0.1°-160°/s,速度可设;垂直预置点速度：200°/s主码流帧率分辨率: 50Hz:25fps (2560x1440); 60Hz:30fps(2560x1440)视频压缩标准: H.265,H.264,MJPEG</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桌面液晶显示单元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21.5寸液晶显示器，分辨率1920×1080；接口：VGA、HDMI等；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显示器折叠支架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显示器桌面可折叠支架，支持三轴旋转</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55寸显示单元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55寸高清电视，分辨率108P或以上，接口：VGA、HDMI。</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大屏壁装支架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42-55寸监视器通用单屏壁挂</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VGA分配器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VGA，1进8出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HDMI分配器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HDMI，1进2出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VGA切换器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VGA，支持2路视频输入源的切换</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HDMI切换器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HDMI，支持2路视频输入源的切换</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证据展示台</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摄像头320万像素，自动对焦2.扫描幅面：A4纸3.工作模式：脱机/联机4.支持录屏、录像、录音功能5.机身底座集成便携操作按钮和遥控器6.支持VGA输出，HDMI输出，分辨率灵活切换7.接口支持USB.VGA.CVBS.DC接口，红外接收头，</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矩阵式数字话筒处理器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路平衡输入4路平衡输出（包含4路话筒输入，2路带48V幻象电源）；话筒5级反馈抑制选择；矩阵混音功能；话筒输入20段、音乐输入15段PEQ可调，输出10段PEQ可调；内置电平设置、延时、噪声门、压限器、激励器；USB免驱自动连接软件，RS232中控控制；输入灵敏度：话筒25mV、音乐315mV；过载源电动势话筒：250mV、音乐3150mV；最大输出电平：4Vrms；频率响应：20Hz~20kHz ≤ ±1.0dBTHD+N:话筒＜0.02% 音乐＜0.008%;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阵列式超远程拾音麦克风</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元件：固定式充电背板，永久极性电容收音头指向性：超心形指向性频率响应：20-20000Hz高通滤波：80Hz，12dB/octave开路灵敏度：-29 dB (35.5 mV) re 1v at 1 pa阻抗：200 ohms最大输入声压级：141 dB SPL, 1 kHz at 1% T.H.D.动态范围：128 dB, 1 kHz at Max SPL信噪比：81 dB-A, 1 kHz at 1 Pa电压：48 V电流：2 mA</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600*800*1200前玻璃后铁门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3LCD激光光源、0.62液晶板、5000流明、2500000：1对比度、1080P分辨率、广角0.27、长焦0.37</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3"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1，板体尺寸规格≥120 寸，板体尺寸对角线大于120英寸，白板区域可感应。采用红外定位技术。2，可触摸操作，任何不透光物体都可书写，不需专用笔，可用教鞭交互式操作。3，白板板体采用轻质材料新硬件结构，各种环境条件下不变形；板面损坏、穿孔、凹陷即使白板变形也能正常书写。4，面板采用冷轧钢板，表面喷涂专业高分子纳米材料，防眩目，防反光，任何角度无亮斑，有助于保护师生视力；可用水性笔书写，擦除无残留；板体表面可用磁性材料吸附；表面耐刮伤、不脱漆，即使表面刮伤也不影响正常使用；表面光滑，书写流畅，手感舒适；书写效果非常真实，笔迹真实感很强。5，白板采用 USB 直接供电，无需外接电源（输入电流小于 100mA,消耗功率小于 1W)，环保、无电磁辐射。可扩展无线连接方式。6，光标速度为 180 点/秒以上，反应速度快，快速短笔画书写不掉笔，不连笔。7，产品结构采用模块化设计，内置 PCB可单独拆卸、更换，有利于快捷方便的售后服务，边框特防误操作功能，不响应在投影区域以外的任何操作。8，有人性化 T 型滑动凹槽设计，适用不同安装需求，可挂墙，可装移动支架，方便增加一体式电脑，外挂音响。9，独有斜插式或磁吸式智能笔架，节约空间、方便取用，提笔即写，提供 3 笔3 色智能选择及智能板擦（智能板檫也可当普通板擦使用）。笔插设计科学，在学校安装方便，尤其是在前面有黑板可以滑动的教室里安装很方便。10，突破传统的矩形定位，率先研发出梯形定位系统，梯形矫正定位系统,目前国内只有我们能做到这一点。采用四点精确定位，定位简捷方便。定位精度小于1mm。一次定位在不更换投影位置的情况下永不需再次定位。11，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3、输出：4X250W（8Ω、1KHz），4X400W（4Ω、1KHz）4、频率响应：20Hz-20KHz（±3dB）5、总谐波失真：1%（8Ω、250W）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支持触控屏线控控制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音量控制面板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总音量调节，每路音量输入输出音量调节，存档调用功能。</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94寸超短距投影机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3LCD激光光源、0.59英液晶板、4000流明、2500000：1对比度、1280*800分辨率、透射比0.28-0.37、支持直接开关机、支持无线投影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04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94寸电子白板+搪瓷板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1，板体尺寸规格≥94 寸，板体尺寸对角线大于94英寸，白板区域可感应。采用红外定位技术。2，可触摸操作，任何不透光物体都可书写，不需专用笔，可用教鞭交互式操作。3，白板板体采用轻质材料新硬件结构，各种环境条件下不变形；板面损坏、穿孔、凹陷即使白板变形也能正常书写。4，光标速度为 180 点/秒以上，反应速度快，快速短笔画书写不掉笔，不连笔。5，产品结构采用模块化设计，内置 PCB可单独拆卸、更换，有利于快捷方便的售后服务，边框特防误操作功能，不响应在投影区域以外的任何操作。6，有人性化 T 型滑动凹槽设计，适用不同安装需求，可挂墙，可装移动支架，方便增加一体式电脑，外挂音响。7，采用四点精确定位，定位简捷方便。定位精度小于1mm。一次定位在不更换投影位置的情况下永不需再次定位。8，边上搭配一块普通搪瓷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0.45</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29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86寸智能教学屏幕+普通黑板</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OS/Chrome等11、无需安装驱动，无需校准，外接信号时可即插即用12、边上配套一块同尺寸的普通黑板。</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1、频率响应：180Hz-18KHz 2、灵敏度：93dB3、声压级：114dB SPL4、阻抗：8Ω5、额定功率：100W，峰值功率：180W</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3、具备红外自动对频和扫频功能。4、在配置天线情况下接收距离开阔地带大于500米，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160寸投影机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3LCD技术、0.76英寸液晶板、5000流明、15000：1对比度、1920*1200分辨率、广角1.38、长焦2.28、支持直接开关机和无线投影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160寸电动幕布</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160寸电动幕布，幕布比例16：9；幕布材质玻珠，幕布基材软幕布，采用管状电机，升降操作平稳宁静，具备热保护系统。</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音柱音箱</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 4、额定功率：220W，峰值功率：440W，阻抗：8Ω</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306</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带前置可插话筒功放</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1、功放功率：2X200W/8欧 定压300W2、多媒体播放：包括SD、USB、蓝牙 3、具有高低音调节以及话筒输入4、可同时输入四组信号用开关切换一路输出</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307</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鹅颈+头戴无线话筒</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308</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1、8路可控制插座加1路直通插座 ，100-240V宽电压2、有2.2寸触摸彩屏中文界面，显示电压、日期时间、通道开关3、有快速导航键，可对参数进行设置，操作方便快捷 4、每通道延时开启关闭（时间范围0-999秒）5、内置时钟芯片，可设置10个定时器智能自动开关机 6、可接RS232来控制。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309</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配套音箱</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28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310</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会议设备机柜</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600*800*712前玻璃后铁门 1个普通排插</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311</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VR一体机</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CPU：高通骁龙XR2内存：6GB闪存：128/256GB电池容量：5300mAh单眼分辨率：1832 X 1920屏幕类型：RGB排列LCDPPI：773PPI刷新率： 90Hz视场角（FOV）：98°</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r>
      <w:tr>
        <w:tblPrEx>
          <w:tblCellMar>
            <w:top w:w="0" w:type="dxa"/>
            <w:left w:w="108" w:type="dxa"/>
            <w:bottom w:w="0" w:type="dxa"/>
            <w:right w:w="108" w:type="dxa"/>
          </w:tblCellMar>
        </w:tblPrEx>
        <w:trPr>
          <w:trHeight w:val="1275"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312</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行走模拟器</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功能要求：可以实现VR视角的三轴分离，眼部视觉、身体朝向、行走方向均具备独立数据；支持VR中的行走、后退、横向侧移，1：1线性输入； 支持下蹲、匍匐，肢体没有任何束缚；（投标时需提供第三方检测报告，投标时无法提供但承诺中标后提供的扣1分。）</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连接方式：蓝牙4.2使用范围：3m工作温度：0~40°储存温度：-5°~50°电池容量：≥370mAh最大功率：≥0.1w使用时长：≥7h充电时长：≥1h供电方式：聚合物锂电池结构部件接收器*1腰部传感器*1脚部传感器*2短绑带*2长绑带*2多功能USB线*1数据线*1</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r>
      <w:tr>
        <w:trPr>
          <w:trHeight w:val="255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313</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VR教学</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设卡盘查实训系统：模拟还原日常警情处置中的设卡盘查，从卡点的选择、卡点的布局到盘查过程的处置都通过VR虚拟现实方式进行模拟演练，通过开放式的架构设计和标准化人工智能教学引导提升警员的规范执法能力和突发事件应对能力。Ø 盘查对象随机Ø 突发事件随机 Ø 应对措施开放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2、醉酒暴力实训系统模拟还原日常警情处置中的醉酒暴力处置，管辖区域内2名醉酒人员发生斗殴事件，模拟还原突发状况下警员对于警情的处置，要求警员根据警情信息选择相应的警械，在处置警情的时候嫌疑人会随机出现各种状况，从轻微暴力到极端暴力，要求警员在规范执法的前提下选择合适的警械并且正确的使用警械，并且搭配考核系统，统计汇总学院训练结果。•嫌疑人暴力等级随机 •语音识别法言法语 •警械使用教学•搭载考核系统，输出警情处置分析</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投标时提供设卡盘查或醉酒处置详细流程图文展示，包括但不限于服从劝告、辱骂警员、持刀伤人三种情况，每一种情况不少于10个步骤，每个步骤均包含文字和内容截图，投标时无法提供但承诺中标后提供的扣1分。）</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8190"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314</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互动课堂软件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1、支持双屏教学设备环境，要求在两个触控显示屏连接同一台教学主机环境下，通过二个屏幕配合展示教学内容。</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2、支持通过移动终端设备远程控制大屏，实现鼠标移动、单击、双击、左右键等功能；也可打开文件远端直接编辑文件。</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3、屏幕广播：需支持教师通过屏幕广播将各种形式教学内容广播给小组屏及学生端，让教室每一个角落学生都能清晰地看到教学过程。（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4、学生演示：需支持教师通过学生飞屏调用任意一个学生端屏幕，广播至其它学生终端上，方便教师及时发现学生中典型个案，开展示范教学。</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5、无线投屏：教学大屏端和小组端软件需可将移动设备包括手机/平板/电脑等实时投射教学大屏端/小组端显示，支持IOS/Android/Windows等系统环境。</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6、分组研讨：可实现各小组屏快速对教师下发讨论主题进行讨论，讨论方法支持小组投屏、动态批注、摄像头调取、屏幕录制、思维导图总结等。（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7、成果展示：教师可通过教师大屏或教师移动终端调取小组展示成果到教师大屏上进行展示和讲评，可将该小组成果广播至其他小组屏上进行同步显示；教师还可同时调取多个小组成果进行多屏展示对比。（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8、全媒体教学板：教学大屏端和小组端软件都需提供全媒体教学板，可内嵌PPT、pdf阅读器、媒体播放器、图片查看器、IP/USB网络摄像机、小组屏等影像接入同一画板。每个影像可实现双指缩放、旋转、拖动、甩屏等手势操作；每个影像内实现批注，且批注内容随单个影像缩放而同步等比例缩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9、文档支持：教学大屏端和小组端软件需支持通用Office文档格式、pdf、图片、视频等格式，打开文档同时支持全屏展示和教学板内展示二种状态；持二种状态下相互切换，保持文档原有版式、内容、动画效果不变，如PPT；支持多个文档同时开启与操作。（投标时需提供软件运行截图，投标时无法提供但承诺中标后提供的扣1分。）</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10、PPT预览与跳转：教学大屏端和小组端软件在打开PPT时，需提供PPT跳转入口，执行后在当前放映幻灯片中可浮现所有幻灯片预览图，上下滑动可预览所有幻灯片，单击某一张幻灯片预览图则跳转到对应幻灯片中播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11、PPT连动与复制：播放PPT时，需支持双屏同步显示，也可支持一屏播放PPT动画，另一屏显示PPT上一页内容，且保持PPT原有版式、内容、动画效果一致，当PPT播放到下一页/切换到上一页后，另一屏屏幕内容会自动跟随切换。</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12、动态批注：可动态在教学大屏端和小组端上对讨论内容（包含图片、视频、APP等）进行批注，可将批注书写过程同步到所有学生屏幕，使课堂讲解变得更有针对性。</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13、文件共享：教师可将课堂相关文件，如备课资料、课堂笔记、课后作业等通过共享文件快速发送给学生，节省课堂时间。</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14、课堂互动：提供抢答、抽答、弹幕等课中互动工具，提高学生课堂注意力，创造积极课堂氛围。</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15、教学工具：提供包括白板、绘笔、聚光灯、放大镜、屏幕快照、视频录制等互动教学工具，可在任何时候特别是PPT放映状态下直接调出使用这些工具。</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16、移动教学：支持教师通过移动终端实现移动教学，实现教室大屏内容投射到教师移动终端上，通过教师移动终端操控教室大屏，亦可实现教师移动终端上内容如PPT课件、视频、电子素材等投射到教学大屏端上，可动态分享到小组屏、学生端设备，真正达到教室大屏端、小组屏、教师移动屏、学生屏、观摩屏等多屏互动，使教师上课不再局限于讲台，随时随地走入学生进行授课；</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17、支持投票活动，无须课前预设教师在课堂上可随时发起，支持单选、多选、判断等题型和选项个数设置，发起后学生端自动进入答题界面，学生提交时教学大屏中实时显示学生提交进度，教师能够调出查看已提交名单和未提交人员名单，最终结果支持按扇形图统计和树状图统计二种方式呈现。教师可通过大屏端独立操作，也可通过APP端独立操作。</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18.支持画笔功能，可在屏幕或课件上批注交流；支持书写结果保存为图片或PDF格式；</w:t>
            </w:r>
          </w:p>
          <w:p>
            <w:pPr>
              <w:widowControl/>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19.支持截屏、屏幕录制功能；</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20.支持小组成员之间共享文件。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488" w:hRule="atLeast"/>
        </w:trPr>
        <w:tc>
          <w:tcPr>
            <w:tcW w:w="23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315</w:t>
            </w:r>
          </w:p>
        </w:tc>
        <w:tc>
          <w:tcPr>
            <w:tcW w:w="8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互动课堂软件</w:t>
            </w:r>
          </w:p>
        </w:tc>
        <w:tc>
          <w:tcPr>
            <w:tcW w:w="330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双屏教学设备环境，要求在两个触控显示屏连接同一台教学主机环境下，通过二个屏幕配合展示教学内容。2、支持通过移动终端设备远程控制大屏，实现鼠标移动、单击、双击、左右键等功能；也可打开文件远端直接编辑文件。3、屏幕广播：需支持教师通过屏幕广播将各种形式教学内容广播给小组屏及学生端，让教室每一个角落学生都能清晰地看到教学过程。4、学生演示：需支持教师通过学生飞屏调用任意一个学生端屏幕，广播至其它学生终端上，方便教师及时发现学生中典型个案，开展示范教学。5、无线投屏：教学大屏端和小组端软件需可将移动设备包括手机/平板/电脑等实时投射教学大屏端/小组端显示，支持IOS/Android/Windows等系统环境。6、分组研讨：可实现各小组屏快速对教师下发讨论主题进行讨论，讨论方法支持小组投屏、动态批注、摄像头调取、屏幕录制、思维导图总结等。7、成果展示：教师可通过教师大屏或教师移动终端调取小组展示成果到教师大屏上进行展示和讲评，可将该小组成果广播至其他小组屏上进行同步显示；教师还可同时调取多个小组成果进行多屏展示对比。8、全媒体教学板：教学大屏端和小组端软件都需提供全媒体教学板，可内嵌PPT、pdf阅读器、媒体播放器、图片查看器、IP/USB网络摄像机、小组屏等影像接入同一画板。每个影像可实现双指缩放、旋转、拖动、甩屏等手势操作；每个影像内实现批注，且批注内容随单个影像缩放而同步等比例缩放。9、文档支持：教学大屏端和小组端软件需支持通用Office文档格式、pdf、图片、视频等格式，打开文档同时支持全屏展示和教学板内展示二种状态；持二种状态下相互切换，保持文档原有版式、内容、动画效果不变，如PPT；支持多个文档同时开启与操作。10、PPT预览与跳转：教学大屏端和小组端软件在打开PPT时，需提供PPT跳转入口，执行后在当前放映幻灯片中可浮现所有幻灯片预览图，上下滑动可预览所有幻灯片，单击某一张幻灯片预览图则跳转到对应幻灯片中播放。11、PPT连动与复制：播放PPT时，需支持双屏同步显示，也可支持一屏播放PPT动画，另一屏显示PPT上一页内容，且保持PPT原有版式、内容、动画效果一致，当PPT播放到下一页/切换到上一页后，另一屏屏幕内容会自动跟随切换。12、动态批注：可动态在教学大屏端和小组端上对讨论内容（包含图片、视频、APP等）进行批注，可将批注书写过程同步到所有学生屏幕，使课堂讲解变得更有针对性。13、文件共享：教师可将课堂相关文件，如备课资料、课堂笔记、课后作业等通过共享文件快速发送给学生，节省课堂时间。14、课堂互动：提供抢答、抽答、弹幕等课中互动工具，提高学生课堂注意力，创造积极课堂氛围。15、教学工具：提供包括白板、绘笔、聚光灯、放大镜、屏幕快照、视频录制等互动教学工具，可在任何时候特别是PPT放映状态下直接调出使用这些工具。16、移动教学：支持教师通过移动终端实现移动教学，实现教室大屏内容投射到教师移动终端上，通过教师移动终端操控教室大屏，亦可实现教师移动终端上内容如PPT课件、视频、电子素材等投射到教学大屏端上，可动态分享到小组屏、学生端设备，真正达到教室大屏端、小组屏、教师移动屏、学生屏、观摩屏等多屏互动，使教师上课不再局限于讲台，随时随地走入学生进行授课；17、支持投票活动，无须课前预设教师在课堂上可随时发起，支持单选、多选、判断等题型和选项个数设置，发起后学生端自动进入答题界面，学生提交时教学大屏中实时显示学生提交进度，教师能够调出查看已提交名单和未提交人员名单，最终结果支持按扇形图统计和树状图统计二种方式呈现。教师可通过大屏端独立操作，也可通过APP端独立操作。18.支持画笔功能，可在屏幕或课件上批注交流；支持书写结果保存为图片或PDF格式；19.支持截屏、屏幕录制功能；20.支持小组成员之间共享文件。</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bl>
    <w:p>
      <w:pPr>
        <w:pStyle w:val="58"/>
        <w:ind w:firstLine="0" w:firstLineChars="0"/>
        <w:rPr>
          <w:color w:val="000000" w:themeColor="text1"/>
        </w:rPr>
      </w:pPr>
    </w:p>
    <w:p>
      <w:pPr>
        <w:pStyle w:val="58"/>
        <w:ind w:firstLine="0" w:firstLineChars="0"/>
        <w:outlineLvl w:val="3"/>
        <w:rPr>
          <w:b/>
          <w:bCs/>
          <w:color w:val="000000" w:themeColor="text1"/>
        </w:rPr>
      </w:pPr>
      <w:r>
        <w:rPr>
          <w:rFonts w:hint="eastAsia"/>
          <w:b/>
          <w:bCs/>
          <w:color w:val="000000" w:themeColor="text1"/>
        </w:rPr>
        <w:t>3、会议系统</w:t>
      </w:r>
    </w:p>
    <w:tbl>
      <w:tblPr>
        <w:tblStyle w:val="31"/>
        <w:tblW w:w="5000" w:type="pct"/>
        <w:tblInd w:w="0" w:type="dxa"/>
        <w:tblLayout w:type="fixed"/>
        <w:tblCellMar>
          <w:top w:w="0" w:type="dxa"/>
          <w:left w:w="108" w:type="dxa"/>
          <w:bottom w:w="0" w:type="dxa"/>
          <w:right w:w="108" w:type="dxa"/>
        </w:tblCellMar>
      </w:tblPr>
      <w:tblGrid>
        <w:gridCol w:w="543"/>
        <w:gridCol w:w="1266"/>
        <w:gridCol w:w="5669"/>
        <w:gridCol w:w="551"/>
        <w:gridCol w:w="493"/>
      </w:tblGrid>
      <w:tr>
        <w:tblPrEx>
          <w:tblCellMar>
            <w:top w:w="0" w:type="dxa"/>
            <w:left w:w="108" w:type="dxa"/>
            <w:bottom w:w="0" w:type="dxa"/>
            <w:right w:w="108" w:type="dxa"/>
          </w:tblCellMar>
        </w:tblPrEx>
        <w:trPr>
          <w:trHeight w:val="510" w:hRule="atLeast"/>
          <w:tblHeader/>
        </w:trPr>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7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设备名称</w:t>
            </w:r>
          </w:p>
        </w:tc>
        <w:tc>
          <w:tcPr>
            <w:tcW w:w="33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3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2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5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线阵全频音箱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1、双8寸低音2寸高音全频线阵音箱 2、频率响应：80Hz-20KHz（±3dB）3、灵敏度：102dB4、额定功率：400W，阻抗：16</w:t>
            </w:r>
            <w:r>
              <w:rPr>
                <w:rFonts w:ascii="Calibri" w:hAnsi="Calibri" w:cs="Calibri"/>
                <w:color w:val="000000" w:themeColor="text1"/>
                <w:kern w:val="0"/>
                <w:szCs w:val="21"/>
              </w:rPr>
              <w:t>Ω</w:t>
            </w:r>
            <w:r>
              <w:rPr>
                <w:rFonts w:hint="eastAsia" w:ascii="宋体" w:hAnsi="宋体" w:cs="宋体"/>
                <w:color w:val="000000" w:themeColor="text1"/>
                <w:kern w:val="0"/>
                <w:szCs w:val="21"/>
              </w:rPr>
              <w:t xml:space="preserve"> 5、最大声压级：126dB SPL，132dB SPL peak</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r>
      <w:tr>
        <w:tblPrEx>
          <w:tblCellMar>
            <w:top w:w="0" w:type="dxa"/>
            <w:left w:w="108" w:type="dxa"/>
            <w:bottom w:w="0" w:type="dxa"/>
            <w:right w:w="108" w:type="dxa"/>
          </w:tblCellMar>
        </w:tblPrEx>
        <w:trPr>
          <w:trHeight w:val="5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线阵超低音音箱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1、单15寸线阵超低音音箱 2、频率响应：50Hz-180Hz（±3dB）3、灵敏度：100dB 4、额定功率：600W，阻抗：8</w:t>
            </w:r>
            <w:r>
              <w:rPr>
                <w:rFonts w:ascii="Calibri" w:hAnsi="Calibri" w:cs="Calibri"/>
                <w:color w:val="000000" w:themeColor="text1"/>
                <w:kern w:val="0"/>
                <w:szCs w:val="21"/>
              </w:rPr>
              <w:t>Ω</w:t>
            </w:r>
            <w:r>
              <w:rPr>
                <w:rFonts w:hint="eastAsia" w:ascii="宋体" w:hAnsi="宋体" w:cs="宋体"/>
                <w:color w:val="000000" w:themeColor="text1"/>
                <w:kern w:val="0"/>
                <w:szCs w:val="21"/>
              </w:rPr>
              <w:t xml:space="preserve">5、最大声压级：128dB SPL，134dB SPL peak </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台唇补声音箱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1、类型：8寸低音1寸高音全频音箱2、频响：75Hz-20KHz±3dB3、功率：150W AES, 600W peak ，阻抗：8 ohms4、灵敏度：94dB，覆盖度：80Horizontal, 50vertical 5、最大声压级：118dB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超低音音箱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1、类型：双18寸低音低频音箱2、频响：38Hz-200Hz±3dB3、功率：1200W AES, 4800W peak，阻抗：4 ohms 4、灵敏度：101dB 5、最大声压级134dB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返听音箱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1、12寸返送音箱2、功率（RMS)：400W，阻抗：8Ω3、频响： 55Hz-18KHz(±3dB)4、最大声压级：130dB5、灵敏度：98dB6、投射角度:100度X60度</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辅助音箱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1、类型：10寸低音1寸高音全频音箱2、频响：70Hz-20KHz±3dB3、功率：200W AES, 800W peak，阻抗：8 ohms4、灵敏度：95dB，覆盖度：80Horizontal, 50vertical 5、最大声压级121dB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线阵全频功放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1、完善保护功能，开机缓冲，延时接通扬声器，具有限幅、过电流保护、过热保护、短路保护、输出直流保护等功能2、输出功率：2X1300W（8Ω），2X1820W（4Ω），桥接3120W/8欧 3、阻尼系统：＞900:1；4、信噪比：＞108dB；5、线路类型： Class D</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线阵超低音功放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1、完善保护功能，开机缓冲，延时接通扬声器，具有限幅、过电流保护、过热保护、短路保护、输出直流保护等功能2、输出功率：2X1300W（8Ω），2X1820W（4Ω），桥接3120W/8欧 3、阻尼系统：＞900:1；4、信噪比：＞108dB；5、线路类型： Class D</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9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台唇补声功放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1、完善保护功能，开机缓冲，延时接通扬声器，具有限幅、过电流保护、过热保护、短路保护、输出直流保护等功能2、输出功率：2X550W（8</w:t>
            </w:r>
            <w:r>
              <w:rPr>
                <w:rFonts w:ascii="Calibri" w:hAnsi="Calibri" w:cs="Calibri"/>
                <w:color w:val="000000" w:themeColor="text1"/>
                <w:kern w:val="0"/>
                <w:szCs w:val="21"/>
              </w:rPr>
              <w:t>Ω</w:t>
            </w:r>
            <w:r>
              <w:rPr>
                <w:rFonts w:hint="eastAsia" w:ascii="宋体" w:hAnsi="宋体" w:cs="宋体"/>
                <w:color w:val="000000" w:themeColor="text1"/>
                <w:kern w:val="0"/>
                <w:szCs w:val="21"/>
              </w:rPr>
              <w:t>），2X770W（4</w:t>
            </w:r>
            <w:r>
              <w:rPr>
                <w:rFonts w:ascii="Calibri" w:hAnsi="Calibri" w:cs="Calibri"/>
                <w:color w:val="000000" w:themeColor="text1"/>
                <w:kern w:val="0"/>
                <w:szCs w:val="21"/>
              </w:rPr>
              <w:t>Ω</w:t>
            </w:r>
            <w:r>
              <w:rPr>
                <w:rFonts w:hint="eastAsia" w:ascii="宋体" w:hAnsi="宋体" w:cs="宋体"/>
                <w:color w:val="000000" w:themeColor="text1"/>
                <w:kern w:val="0"/>
                <w:szCs w:val="21"/>
              </w:rPr>
              <w:t>），桥接1320W/8欧 3、阻尼系统：＞200:1；4、信噪比：＞100dB；5、线路类型： Class H</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9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超低音功放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1、完善保护功能，开机缓冲，延时接通扬声器，具有限幅、过电流保护、过热保护、短路保护、输出直流保护等功能2、输出功率：2X1300W（8</w:t>
            </w:r>
            <w:r>
              <w:rPr>
                <w:rFonts w:ascii="Calibri" w:hAnsi="Calibri" w:cs="Calibri"/>
                <w:color w:val="000000" w:themeColor="text1"/>
                <w:kern w:val="0"/>
                <w:szCs w:val="21"/>
              </w:rPr>
              <w:t>Ω</w:t>
            </w:r>
            <w:r>
              <w:rPr>
                <w:rFonts w:hint="eastAsia" w:ascii="宋体" w:hAnsi="宋体" w:cs="宋体"/>
                <w:color w:val="000000" w:themeColor="text1"/>
                <w:kern w:val="0"/>
                <w:szCs w:val="21"/>
              </w:rPr>
              <w:t>），2X1820W（4</w:t>
            </w:r>
            <w:r>
              <w:rPr>
                <w:rFonts w:ascii="Calibri" w:hAnsi="Calibri" w:cs="Calibri"/>
                <w:color w:val="000000" w:themeColor="text1"/>
                <w:kern w:val="0"/>
                <w:szCs w:val="21"/>
              </w:rPr>
              <w:t>Ω</w:t>
            </w:r>
            <w:r>
              <w:rPr>
                <w:rFonts w:hint="eastAsia" w:ascii="宋体" w:hAnsi="宋体" w:cs="宋体"/>
                <w:color w:val="000000" w:themeColor="text1"/>
                <w:kern w:val="0"/>
                <w:szCs w:val="21"/>
              </w:rPr>
              <w:t>），桥接3120W/8欧 3、阻尼系统：＞900:1；4、信噪比：＞108dB；5、线路类型： Class D</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返听功放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1、完善保护功能，开机缓冲，延时接通扬声器，具有限幅、过电流保护、过热保护、短路保护、输出直流保护等功能2、输出功率：2X550W（8Ω），2X770W（4Ω），桥接1320W/8欧 3、阻尼系统：＞200:1；4、信噪比：＞100dB；5、线路类型： Class H</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辅助功放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1、完善保护功能，开机缓冲，延时接通扬声器，具有限幅、过电流保护、过热保护、短路保护、输出直流保护等功能2、输出功率：2X550W（8Ω），2X770W（4Ω），桥接1320W/8欧 3、阻尼系统：＞200:1；4、信噪比：＞100dB；5、线路类型： Class H</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16路模拟音频输入16路模拟音频输出，支持麦克风输入和线路输入自由切换 每路麦克风输入带9级灵敏度调节每路输入带48V幻相电源开关每路输入带反馈抑制功能开关，两档调节带AUTOMIX自动混音和矩阵混音功能输入16段PEQ可调，输出10段PEQ可调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效果器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1、真正的双通道 18 位信号处理器。立体声、双声道或者串连控制。 2、自动的电平检测从而实现输入增益控制最优化，保证最佳的频段范围、频率响应和信噪比。 3、200个专业效果预置,100个用户程序库，可以存储你调好的效果，可以将三种效果组合为多效果4、MIDI输入，允许通过别的设备更换程序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音频分配器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2路音频线路输入,12路音频线路输出，12路音频输出中有2路是并机使用，10路是经过音量调节分配输出，本机频响特性宽，保持原音效果，设有单声道和双声道切换开关，面板有音频增益指示，后板有接地开关。</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27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32路单声道麦克风输入4 路线路输入66 路输入混音1 个 ViSi Connect™ 可选卡插槽，用于 64 x 64 路输入/输出扩展可自由分配的推子和跳接线每路总线的每路输入均提供前/后选择AES 输入和输出全局模式编码器Soundcraft FaderGlow™每路总线均提供 GEQ20 路子组/辅助总线4 路 FX 总线8 路矩阵总线LR 和 C 混音总线4 路立体声 Lexicon 效果引擎输入和输出均提供延时4 个静音组可自由分配的插入回路内置哈曼 HiQnet彩色触摸屏界面</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舞台接口箱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32路XLR卡侬输入，16路XLR卡侬输出网线连接数字调音台。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动圈乐器话筒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收音头：动圈式灵敏度：-56 dBV/Pa频率范围：70-15000Hz产品阻抗：310欧姆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合唱话筒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类型电容器（外偏置）频率响应20 到 20,000 赫兹指向性形状超心形指向性输出阻抗160 Ω灵敏度(1 千赫下, 开路电压, 典型)-37 分贝伏/帕[1] (14.1毫伏)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鼓用话筒套装</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PGADRUMKIT7鼓用话筒套装是专业品质话筒的全配套装，针对全套鼓乐器表演和录音应用设计，提供非凡音质。PGADRUMKIT7包含1支PGA52底鼓话筒、3支PGA56鼓用话筒、1支PGA57乐器话筒、2支PGA81乐器话筒、3个鼓用话筒支架、7条XLR-XLR线和1个便携袋。</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鹅颈会议话筒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1、组件：驻极体电容器2、指向性：单一指向性3、频率响应：50HZ-16KHZ4、灵敏度：-35dB±3dB/Pa(0dB=1V/Pa at 1KHz)5、抗手机、电磁、高频干扰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无线手持话筒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无线头戴话筒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天线分配放大器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1、频率范围：460-970MHz 2、增益：15dB3、输入输出阻抗：50欧 4、一套分八套包括供电（不含定向天线）</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定向天线</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1、频率范围：460-970MHz 2、输入输出阻抗：50欧</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53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独立继电器控制16路电源时序控制，每路延时1秒，并提供面板两路常通。2、机器配置2米3X6平方国标电缆，保证大电流通过，整机容量50A。3、MCU控制的智能化设计，具有标准RS232串口控制功能和RS485串口控制功能，可设置255个ID地址，最大可支持255台同时使用，适合于大规模集中控制。4、具有外部开关控制接口，和级联控口。5、LED屏幕电压指示和电流指示。6、具备旁通功能，防止万一内部故障时的应急使用。7、配置净化专用EMI滤波功能，有效过滤系统间特别是灯光系统的电磁干扰保证系统的工作质量，同时对音频系统音质的提高起到一定的作用。8、配置防雷以及防浪涌功能</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监听音箱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1、功率：70W有源监听音箱 2、频率响应：56Hz-22KHz3、扬声器元件：低频：5“高频：1“ 4、最大声压级：100dB 5、电源：115-230V宽电源</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监听耳机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换能原理 动圈式,封闭式驱动单元/直径 40mm大动驱单元频率响应 18Hz - 20KHz阻抗 32欧灵敏度 110dB最大功率 200mW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副</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线阵音箱安装架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LA-8整套线阵吊架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音箱插座</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包含音箱模块</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辅助音箱壁挂架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配套辅助音箱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话筒插座</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包含卡侬模块</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辅材</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音频线缆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7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P2.5室内全彩显示单元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小间距LED全彩显示屏；2）像素间距：2.5mm；3）封装品牌：国产铜线；4）箱体比例：16:9，全封闭压铸铝材质；5）像素结构：LED表贴三合一；6）像素密度：161185点/㎡；7）光学参数：显示屏亮度≥600cd/㎡，色温3000K—10000K可调，水平、垂直视角160°，亮度均匀性≥97%，色度均匀性±0.003Cx,Cy之内，最大对比度≥3000:1；刷新率：3840Hz8）电气参数：峰值功耗850W/㎡，平均功耗＜280W/㎡，供电要求110~220VAC±15%；9）工作温度范围0—40℃，存储温度范围-10—50℃，工作湿度范围（RH）无结露10-60%，带包装存储湿度范围（RH）无结露10-70%。10）功能特性：支持任意方向、任意尺寸、任意造型拼接，画面均匀一致，无黑线，实现真正无缝拼接。11）维护方式：完全前维护，灯板电源和接收卡前维护。</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LED发送卡</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1)一路DVI视频输入2)一路音频输入3)四个网口输出或四路光纤输出4)RS232接口控制，可级联多台进行统一控制5)最大带载分辨率2048×1152或1920×1200</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LED落地式支架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一般用于箱体产品2）落地安装3）屏表面离后墙70cm4）地面需考虑承重</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多功能插座</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86型</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控制室液晶显示单元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32寸液晶电视机</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主席台返看显示单元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55寸液晶电视机</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返看显示单元移动架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移动矮架，配套55寸液晶电视机</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返看显示单元接线盒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包含网络、电源等模块</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P4双基色条屏</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P4双基色LED屏，13.05m（长）*1.024m（高）像素点间距≤4mm，表贴模组，像素密度：62500点/㎡，模组尺寸：256mm×128mm，亮度≥450nits，色温3000K－15000K可调；水平视角≥160度，垂直视角≥140度；</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接收卡</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配套，要求与LED显示系统同一品牌，满足实际使用需求；</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配套，要求与LED显示系统同一品牌，满足实际使用需求；</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发送卡</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带载130万；输入：1xDVI、1xAudio；输出：2x网口，要求与LED显示系统同一品牌；</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辅材</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视频线缆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55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录播平台工作站</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录播服务器需与MCU为同一品牌。2. 采用19英寸标准机架式结构，嵌入式一体化设计，支持双电源备份，支持设备长时间稳定运行。3. 支持ITU-T H.323和IETF SIP通信标准。4. 支持H.264、H.264 High Profile、H.265视频编解码协议，具备较强的兼容性。5. 支持G.711、G.722、G.728、G.722.1AnnexC、G.719、MPEG4-AAC LC/LD、Opus等音频协议，可达到20KHz以上的宽频效果。6. 支持H.239标准双流协议，支持录制静态双流图像，最大UXGA60分辨率；支持录制动态双流图像，最大4K30fps。7. 会议速率最大支持8Mbps带宽进行录制。8. 支持4K30、1080p60、1080p30、720p60、720p30高清图像格式录制，并向下兼容4CIF、CIF标清图像格式。9. 支持多种录像方式，包括终端的单点录像、多点会议的广播录像和多点会议中的某个终端（非广播会场终端）录像。10. 支持不少于5组会议录像，会议分辨率最大支持4K30fps。11. 支持终端、MCU会控系统、WEB客户端开始、暂停、停止录像功能。12. 录播服务器内置的硬盘不小于6TB,可满足6000小时1M会议录像存储。13. 支持对当前会议进行直播，会议分辨率支持4K30fps。</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49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电视墙平台工作站</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采用19英寸标准机架式结构，嵌入式、模块化设计，可根据业务所需配置相应的解码模块，实现高密度视频解码输出。2. 支持双电源、双网口冗余备份，支持设备长时间稳定运行。支持远程网络连接MCU方式实现电视墙解码输出，即MCU和电视墙服务器之间距离不受限制。3. 支持ITU-T H.263、H.264、H.264 High Profile、H.265等视频编解码协议。4. 支持G.711、G.722、G.728、G.722.1AnnexC、G.719、MPEG4-AAC LC/LD等音频协议。5. 支持H.239标准双流协议。7. 支持4K30fps、1080p60、1080p30、720p60、720p30高清图像格式，并向下兼容4CIF、CIF标清图像格式。8. 单台电视墙服务器支持8个解码卡插槽，最大支持8路 4K30的超高清图像，或者16路1080P60fps高清图像输出；9. 电视墙解码卡支持HDBaseT/3G-SDI/DVI-I(兼容HDMI/YPbPr）/CVBS等多种视频接口可选。10. 支持在MCU中进行电视墙集群化管理、 支持解码板卡向资源池进行注册并统一管理。11. 支持通过会议管理平台对电视墙输出进行控制，包括设置单通道的输出，发言人跟随、双流跟随、会议轮询跟随、单通道的轮询、多通道的批量轮询。12、本次要求满足8路HDBaseT、6路HDMI、8路DVI输出；8路HDMI输入。</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7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高清视频会议终端</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终端需与MCU为同一品牌。2. 采用硬件分体式结构,嵌入式操作系统，非PC架构、非工控机架构。3. 会议速率支持128Kbps—8Mbps。4. 支持ITU-T H.320、H.323和IETF SIP通信标准。5. 支持H.263、H.264、H.264 High Profile、MPEG4等视频编解码协议。6. 支持G.711、G.722、G.728、G.722.1AnnexC、G.719、MPEG4-AAC LC/LD等音频协议，可达到20KHz以上的宽频效果。7. 支持H.239标准双流协议。8. 支持1080p30、720p60、720p30高清视频编解码，并向下兼容4CIF、CIF标清图像格式。9. 支持动态图像双流和PC图像双流两种功能，在保证主流视频1080p 30fps前提下，第二路视频流不低于1080p30fps。10. 支持内置视频矩阵功能，可在终端控制系统上以图形化界面灵活配置任意高清视频输入和输出接口之间的对应关系，并可以作为视频矩阵方案进行保存。</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7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高清摄像机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摄像机需与高清视频终端同一品牌。2. 支持壁装、三脚架安装或吊顶安装等多种安装方式，可按用户需求进行安装。3. 镜头图像传感器采用不小于1/1.9“ 图像传感器，支持1080p30、1080p25、720p60、720p50等高清信号输出。4. 支持不小于30倍光学变焦。5. 视频输出接口具备SDI、DVI、HDBaseT接口。支持供电、显示、控制多线合一，只连接一根超五类网线实现供电、图像显示、摄像机控制，支持信号传输100米。6. 支持RS422控制接口，支持标准VISCA协议，支持摄像机通过控制口RS422实现菊花链控制，菊花链控制摄像机不小于7个。7. 支持中文OSD菜单，可在OSD中对摄像机进行设置。8. 水平转动范围：≥ ±160°，垂直转动范围：≥ -90°～50°9. 支持自带显示屏，可方便显示视频输出分辨率。10. 支持根据安装方向自动翻转图像。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55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MCU</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MCU需与金华市公安局现有视频会议系统无缝数字对接。不得采用模拟背靠背的方式对接。2. 采用硬件分体式结构,嵌入式操作系统，非PC架构、非工控机架构。3. 采用嵌入式操作系统、ATCA架构插卡式设计。单台设备具备2个主控板插槽，业务板卡插槽数≥4。4. 采用全新的硬件平台，支持H.265全编全解技术，支持4K30、1080p60fps编解码，每个参会会场均能够独立观看不同的多画面图像。</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5. 支持同一平台同时接入会议室型终端、桌面型一体化终端、软件即时通信终端（包括windows、android、ios操作系统），可实现随时随地召开各类视频会议、即时通信功能。（投标时需提供权威机构检测报告证明，投标时无法提供但承诺中标后提供的扣1分。））6. 采用全新的硬件平台，支持H.265全编全解技术，本次配置不少于8个1080p60fps H.265全编全解端口，单台设备支持平滑扩容到30个4K30fps H.265端口或60个1080p60fps H.265端口。7. 媒体端口资源支持动态分配，支持根据不同终端的呼叫分辨率动态分配MCU资源，无需提前手动设置。1路4K30fps端口可以用于2路1080p60fps、或者4路1080p30fps、或者8路720p30fps、或者16路标清端口通信。</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集中控制系统主机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IPAD平板电脑、安卓平板电脑、射频触摸屏、windows电脑控制(笔记本、台式机、一体机等)，支持所有平台，并且IPAD平板、安卓平板、射频触屏及windows电脑的控制界面完全相同，方便用户使用。多种方式，可同时使用，互为备份。非网页式，各个平台（IPAD、安卓、windows）都有功能一致的专用操控软件，稳定易用。控制通讯：以太网(TCP/IP)，10/100M自适应，TCP SERVER方式，也可定制为UDP方式。16路可编程RS232串口，和RS-485接口互不关联，可同时使用；8路可编程RS485/422串口，和RS-232接口互不关联，可同时使用；（即最多有24个串口）8路独立可编程的红外发射接口8路弱电继电器接口2路IO口内置红外学习器支持超长码识别，能自动识别红外代码类型，不仅支持音视频设备32位普通遥控器，还具备学习超长码的空调遥控器；具备红外数据保存到电脑成为红外库文件，方便后续维护升级使用；支持互联网远程编程，远程维护，远程升级；</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无线控制单元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10.4英寸，6GB+128GB</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无线路由器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双千兆智能路由器/四核CPU/5G双频/四信号放大器/高速路由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红外发射棒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控制红外受控设备</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98寸会议屏幕（含支架）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1.屏幕分辨率3840*21602.产品尺寸98寸3.亮度：300-500尼特4.屏幕比例16:95.刷屏率:60Hz6.色域值:85%7.配套支架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37"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多媒体桌面接线盒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包含HDMI、音频、卡侬接口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一、显示屏参数：1、屏幕尺寸：86寸2、显示类型：DLED3、物理分辨率：3840 x 2160 （4K） 4、可视角度：水平178°，垂直178°5、显示颜色：1.07G （8bit）6、刷新频率：60Hz7、显示比例：16:98、色域≥72%NTSC，可显示更真实更鲜艳的色彩；9、整机使用4mm的AG防眩光钢化玻璃，提高使用效率提升使用效果。玻璃透光率≥88%，整机玻璃雾度为小于8%；表面光泽度为≥70±10。二、触控书写参数：1、触摸技术：≥10点红外感应技术2、感应方式：手指、书写笔或非透明物体3、触摸高度：≤3mm 有效防止误操作4、触控点数：20点 5、支持多人同步书写，同时支持10点书写6、可以支持2支3 mm细笔同时书写7、响应时间：7ms8、最小触摸体：2mm 9、触摸精度：±1mm10、触摸驱动：免驱，Windows 10/Windows 8/Windows 7/Windows XP/Android/Linux/Mac OS/Chrome等11、无需安装驱动，无需校准，外接信号时可即插即用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86寸智能会议屏幕安装架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配套会议平板</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无线投屏系统</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Wi-Fi频段：5GHz/2.4GHzWi-Fi带宽：867MHz投屏响应时间：≤3s支持的操作系统：Windows7/8/10 Mac OS传输分辨率：1920*1080。</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OPS</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I5-8265U 1.6GHz/8G/256G</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多媒体桌面接线盒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包含HDMI、音频、卡侬接口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153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液晶拼接单元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LCD显示单元为：55“超窄边液晶屏；LG面板;物理分辨率达到1920×1080，响应时间≤8ms。（2） LCD显示单元物理拼缝≤1.8mm，亮度达到500cd/㎡，对比度达到1400:1，图像显示清晰度≥950TVL，亮度鉴别等级为11级。（3） 液晶显示单元的风扇具备良好的散热效果，风扇散热性能≥60%。（4） 液晶显示单元连续运行24小时，液晶表面中心温度≤50℃，边缘测试点与中心温差≤10℃。（5） 液晶显示单元具有帧宽度调节技术，通过调节画面宽度，解决输入信号四周黑边问题。（6） LCD显示单元支持边缘屏蔽功能，智能去除黑边功能，可消除显示终端上存在的黑边，及因拼缝带来的图像变形。</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r>
      <w:tr>
        <w:tblPrEx>
          <w:tblCellMar>
            <w:top w:w="0" w:type="dxa"/>
            <w:left w:w="108" w:type="dxa"/>
            <w:bottom w:w="0" w:type="dxa"/>
            <w:right w:w="108" w:type="dxa"/>
          </w:tblCellMar>
        </w:tblPrEx>
        <w:trPr>
          <w:trHeight w:val="280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拼控器---主机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4U机箱（含主控板和电源），9个槽位（6个输入板槽位，3个输出板槽位）接口：支持VGA、DVI、HDMI、DP及IP源多种信号源采集；解码能力（需配置解码板DS-C10S-SIUT）解码板支持2路800W（2路600w或2路500W或8路1080P或16路720P或32路D1）网络信号解码上墙，且支持本地录像文件回放上墙；支持8640×3840、4000×3000、3840×2160、3296×2472、2592×2048、2048×1536、1920×1080、1600×1200、1280×720、704×576等解码分辨率；支持对输出分辨率进行自定义，分辨率不超过4096×2160；画面分割：单个输出口支持1/4/9/16画面分割（LED不支持9/16画面分割）；图层叠加：支持图层叠加，最大支持6个图层，其中包括一个虚拟LED图层和一个底图图层，虚拟LED字体大小及背景颜色可调，可选择LED滚动方式，底图分辨率可高达8192*8192；内置矩阵功能，可支持单个信号源开多个窗口同时显示；支持信号开窗、漫游；支持SADP自动搜索IP，重置管理员密码；支持显示墙连接调整，可以实现客户端虚拟显示墙窗口和控制器输出口任意对应；客户端提供上墙信号的预览功能，方便用户调用信号；客户端支持管理16台设备，电视墙最多可显示4个虚拟电视墙；支持ipad客户端、安卓客户端、WEB控制；机箱风扇转速根据温度自适应；整机支持3个虚拟LED支持信号源列表预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拼控器--输出板</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HDMI输出板，6个HDMI接口1024×768@60Hz,1024×768@75Hz,1360×768@60Hz,1400x1050@60Hz,1920x1200@60Hz,720P@60Hz,1080P@60Hz输出板单个口基线支持开4个窗口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拼控器--输入板</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HDMI输入板，4个HDMI接口1024×768@60Hz， 1024×768@75Hz， 1280×720@50Hz， 1280×720@60Hz，1280×1024@60Hz， 1280×1024@75Hz， 1366×768@60Hz， 1400×1050@60Hz，1600×1200@60Hz， 1920×1080@50Hz， 1920×1080@60Hz， 1920×1200@60Hz</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液晶拼接前维护支架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55寸2*2拼接支架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多媒体桌面接线盒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包含HDMI、音频、卡侬接口</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1、单机可实现下列会议功能：开放式会议、1/2/3/5限制发言。2、主控机与会议单体连接之数字控制、供电及声音讯号采用同一电缆传送（八芯）。 3、内建视讯界面，可连接影像定位跟踪中央处理器，视像功能的单元可实现视像跟踪功能。4、具有4个主缆端子可连接60组会议单体，具有负载及短路保护功能，增加扩展设备可实现250台会议单体同时使用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1、带一个发言键及一个静音键 2、高灵敏度心形电容咪3、抗手机干扰4、拆卸式可自由弯曲鹅颈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代表发言单元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 2、高灵敏度心形电容咪3、抗手机干扰 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专业延长电缆</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13米8芯延长电缆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配套数字会议</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86寸会议屏幕</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86寸屏幕支持4K分辨率支持HDR功能</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工业投屏器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1、单机可实现下列会议功能：开放式会议、1/2/3/5限制发言。2、主控机与会议单体连接之数字控制、供电及声音讯号采用同一电缆传送（八芯）。 3、内建视讯界面，可连接影像定位跟踪中央处理器，视像功能的单元可实现视像跟踪功能。4、具有4个主缆端子可连接60组会议单体，具有负载及短路保护功能，增加扩展设备可实现250台会议单体同时使用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1、带一个发言键及一个静音键 2、高灵敏度心形电容咪3、抗手机干扰4、拆卸式可自由弯曲鹅颈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代表发言单元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 2、高灵敏度心形电容咪3、抗手机干扰 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专业延长电缆</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13米8芯延长电缆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配套数字会议</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1、频率响应：100Hz-20KHz(-6dB)2、灵敏度：92dB3、声压级：120dB SPL,123dB SPL4、构成：4*4.5“加2铷磁高音音柱 5、额定功率：220W，峰值功率：440W，阻抗：8Ω</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同轴吸顶音箱</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1、6.5寸低音同轴高音音箱 2、频响：90-20kHz 3、灵敏度：88dB(1W/1m)4、额定功率：30W/8欧 5、带金属后壳形成腔体且定压定阻可调</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1、1U二通道D类数字功放2、自动限幅输出、短路、过载、过温、开机延时等保护 3、输出：2X350W（8Ω、1KHz），2X550W（4Ω、1KHz）4、频率响应：20Hz-20KHz（±3dB）5、总谐波失真：1%（8Ω、350W）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四通道数字功放</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1、1U四通道D类数字功放2、自动限幅输出、短路、过载、过温、开机延时等保护 3、输出：4X150W（8Ω、1KHz），4X250W（4Ω、1KHz） 4、频率响应：20Hz-20KHz（±3dB）5、总谐波失真：1%（8Ω、150W）</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数字音频处理器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8路模拟音频输入8路模拟音频输出，支持麦克风输入和线路输入自由切换 每路麦克风输入带9级灵敏度调节每路输入带48V幻相电源开关每路输入带反馈抑制功能开关，两档调节带AUTOMIX自动混音和矩阵混音功能输入31段PEQ可调，输出10段PEQ可调 带视像跟踪控制功能，支持绝大多数国内外摄像头控制协议USB免驱自动连接软件，另外支持RS232中控控制 支持手机APP TCON软件网络控制 支持触控屏线控控制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76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12路数字调音台</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24Bit/96KHz的数字调音台，具有2路立体声和8路单声道输入，不小于12路输入通道，1路立体声主输出，6路辅助输出2、带USB数字声卡输入，可从电脑直接USB播放音频到调音台3、支持WAV、MP3格式，支持蓝牙播放可实现播放和录音功能；4、内置DSP数字效果器 5、可储存16种场景随时调用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双手持无线话筒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1、专业真分集UHF一套两话筒四天线 2、锁相环(PLL)频率合成，100×2个信道。 3、具备红外自动对频和扫频功能。4、接收距离开阔地带大于500米。 5、可以切换600兆或者700兆频率段</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电源时序器</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3.5“彩色触摸屏可选中英文界面，可实时显示当前电压、日期、时间、通道开关状态2、设备开关场景数据保存/调用，场景管理应用简单便捷。3、配置232接口，支持外部中控设备控制，可选配WIFI连接。4、8路开关通道输出，每路延时开启和关闭时间可自由设置。5、每路带净化系统电源（净化型）。消除系统间特别灯光系统的电磁干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32U标准机柜</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126</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音箱安装架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配套音柱音箱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127</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98寸会议屏幕（含支架）</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1.屏幕分辨率3840*21602.产品尺寸98寸3.亮度：300-500尼特4.屏幕比例16:95.刷屏率:60Hz6.色域值:85%7.配套支架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2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128</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数字会议系统主机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1、单机可实现下列会议功能：开放式会议、1/2/3/5限制发言。2、主控机与会议单体连接之数字控制、供电及声音讯号采用同一电缆传送（八芯）。 3、内建视讯界面，可连接影像定位跟踪中央处理器，视像功能的单元可实现视像跟踪功能。4、具有4个主缆端子可连接60组会议单体，具有负载及短路保护功能，增加扩展设备可实现250台会议单体同时使用</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129</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主席发言单元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1、带一个发言键及一个静音键 2、高灵敏度心形电容咪3、抗手机干扰4、拆卸式可自由弯曲鹅颈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130</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代表发言单元</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1、带一个发言键 2、高灵敏度心形电容咪3、抗手机干扰 4、拆卸式可自由弯曲鹅颈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131</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专业延长电缆</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13米8芯延长电缆</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blPrEx>
          <w:tblCellMar>
            <w:top w:w="0" w:type="dxa"/>
            <w:left w:w="108" w:type="dxa"/>
            <w:bottom w:w="0" w:type="dxa"/>
            <w:right w:w="108" w:type="dxa"/>
          </w:tblCellMar>
        </w:tblPrEx>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132</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数字会议接线盒</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配套数字会议</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133</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高清视频会议终端</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终端需与MCU为同一品牌。2. 采用硬件分体式结构,嵌入式操作系统，非PC架构、非工控机架构。3. 会议速率支持128Kbps—8Mbps。4. 支持ITU-T H.320、H.323和IETF SIP通信标准。5. 支持H.263、H.264、H.264 High Profile、MPEG4等视频编解码协议。6. 支持G.711、G.722、G.728、G.722.1AnnexC、G.719、MPEG4-AAC LC/LD等音频协议，可达到20KHz以上的宽频效果。7. 支持H.239标准双流协议。8. 支持1080p30、720p60、720p30高清视频编解码，并向下兼容4CIF、CIF标清图像格式。9. 支持动态图像双流和PC图像双流两种功能，在保证主流视频1080p 30fps前提下，第二路视频流不低于1080p30fps。10. 支持内置视频矩阵功能，可在终端控制系统上以图形化界面灵活配置任意高清视频输入和输出接口之间的对应关系，并可以作为视频矩阵方案进行保存。（需提供权威机构检测报告证明）</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04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134</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高清摄像机</w:t>
            </w:r>
          </w:p>
        </w:tc>
        <w:tc>
          <w:tcPr>
            <w:tcW w:w="332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摄像机需与高清视频终端同一品牌。2. 支持壁装、三脚架安装或吊顶安装等多种安装方式，可按用户需求进行安装。3. 镜头图像传感器采用不小于1/1.9“ 图像传感器，支持1080p30、1080p25、720p60、720p50等高清信号输出。4. 支持不小于30倍光学变焦。5. 视频输出接口具备SDI、DVI、HDBaseT接口。支持供电、显示、控制多线合一，只连接一根超五类网线实现供电、图像显示、摄像机控制，支持信号传输100米。（投标人需提供权威机构检测报告证明）6. 支持RS422控制接口，支持标准VISCA协议，支持摄像机通过控制口RS422实现菊花链控制，菊花链控制摄像机不小于7个。7. 支持中文OSD菜单，可在OSD中对摄像机进行设置。8. 水平转动范围：≥ ±160°，垂直转动范围：≥ -90°～50°9. 支持自带显示屏，可方便显示视频输出分辨率。10. 支持根据安装方向自动翻转图像。</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r>
        <w:trPr>
          <w:trHeight w:val="285"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135</w:t>
            </w:r>
          </w:p>
        </w:tc>
        <w:tc>
          <w:tcPr>
            <w:tcW w:w="7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集中控制系统</w:t>
            </w:r>
          </w:p>
        </w:tc>
        <w:tc>
          <w:tcPr>
            <w:tcW w:w="3326"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配套主机实现设备控制</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2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bl>
    <w:p>
      <w:pPr>
        <w:pStyle w:val="2"/>
        <w:rPr>
          <w:rFonts w:hint="default"/>
          <w:color w:val="000000" w:themeColor="text1"/>
          <w:sz w:val="24"/>
          <w:szCs w:val="24"/>
        </w:rPr>
      </w:pPr>
      <w:r>
        <w:rPr>
          <w:color w:val="000000" w:themeColor="text1"/>
        </w:rPr>
        <w:br w:type="page"/>
      </w:r>
    </w:p>
    <w:p>
      <w:pPr>
        <w:pStyle w:val="58"/>
        <w:ind w:firstLine="0" w:firstLineChars="0"/>
        <w:outlineLvl w:val="3"/>
        <w:rPr>
          <w:b/>
          <w:bCs/>
          <w:color w:val="000000" w:themeColor="text1"/>
        </w:rPr>
      </w:pPr>
      <w:r>
        <w:rPr>
          <w:rFonts w:hint="eastAsia"/>
          <w:b/>
          <w:bCs/>
          <w:color w:val="000000" w:themeColor="text1"/>
        </w:rPr>
        <w:t>4、公共广播系统</w:t>
      </w:r>
    </w:p>
    <w:tbl>
      <w:tblPr>
        <w:tblStyle w:val="31"/>
        <w:tblW w:w="5000" w:type="pct"/>
        <w:tblInd w:w="0" w:type="dxa"/>
        <w:tblLayout w:type="autofit"/>
        <w:tblCellMar>
          <w:top w:w="0" w:type="dxa"/>
          <w:left w:w="108" w:type="dxa"/>
          <w:bottom w:w="0" w:type="dxa"/>
          <w:right w:w="108" w:type="dxa"/>
        </w:tblCellMar>
      </w:tblPr>
      <w:tblGrid>
        <w:gridCol w:w="505"/>
        <w:gridCol w:w="1275"/>
        <w:gridCol w:w="5585"/>
        <w:gridCol w:w="579"/>
        <w:gridCol w:w="578"/>
      </w:tblGrid>
      <w:tr>
        <w:tblPrEx>
          <w:tblCellMar>
            <w:top w:w="0" w:type="dxa"/>
            <w:left w:w="108" w:type="dxa"/>
            <w:bottom w:w="0" w:type="dxa"/>
            <w:right w:w="108" w:type="dxa"/>
          </w:tblCellMar>
        </w:tblPrEx>
        <w:trPr>
          <w:trHeight w:val="510" w:hRule="atLeast"/>
          <w:tblHead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设备名称</w:t>
            </w:r>
          </w:p>
        </w:tc>
        <w:tc>
          <w:tcPr>
            <w:tcW w:w="32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主要技术参数</w:t>
            </w:r>
          </w:p>
        </w:tc>
        <w:tc>
          <w:tcPr>
            <w:tcW w:w="3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单位</w:t>
            </w:r>
          </w:p>
        </w:tc>
        <w:tc>
          <w:tcPr>
            <w:tcW w:w="3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数量</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CD／MP3播放器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标准机箱设计，1U铝合金面板；人性化的抽手设计，美观实用。2.兼容CD/VCD/MP3/DVD碟片。3.可读USB和SD卡；4.微处理集成芯片控制；轻触式按键操作。5.高亮度动态VFD荧光显示，清晰醒目。6.采用进口数码机芯，系统+ESS解码方案，超强纠错功能；7.配置遥控功能，遥控器控制操作简单。8.1路音频信号左右声道(L/R)输出。9.电源：～220V/50Hz10.功耗：≥30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3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数字调谐器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标准机箱设计，1U铝合金面板；人性化的抽手设计，美观实用。2.微电脑控制，轻触式按键操作。3.高亮度动态VFD荧光显示，清晰醒目。4.调频、调幅(AM/FM)立体声二波段接收可选，电台频率记忆存储可达99个。5.电台频率自动搜索存储功能，且有断电记忆功能。6.石英锁相环路频率合成器式调谐回路，接收频率精确稳定。7.两组接收天线输入：AM接收天线输入；FM接收天线75</w:t>
            </w:r>
            <w:r>
              <w:rPr>
                <w:rFonts w:ascii="Calibri" w:hAnsi="Calibri" w:cs="Calibri"/>
                <w:color w:val="000000" w:themeColor="text1"/>
                <w:kern w:val="0"/>
                <w:szCs w:val="21"/>
              </w:rPr>
              <w:t>Ω</w:t>
            </w:r>
            <w:r>
              <w:rPr>
                <w:rFonts w:hint="eastAsia" w:ascii="宋体" w:hAnsi="宋体" w:cs="宋体"/>
                <w:color w:val="000000" w:themeColor="text1"/>
                <w:kern w:val="0"/>
                <w:szCs w:val="21"/>
              </w:rPr>
              <w:t>输入。8.一路音频左右声道(L/R)输出。9.遥控器控制操作简单。10.电源：～220V/50Hz11.功耗：≥20W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钟声话筒</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1.具有钟声提示功能(台座)，带变压器供电2.频率响应 ：50Hz-12000Hz3.输出阻抗(欧姆)：600Ω4.灵敏度：-63dB5.带前凑音(开启时，有前奏音乐放出),灯环提示6.接口： 6.35单声道插嘴7.输出、指示：不平衡、座灯、管灯8.抗手机、电磁、高频干扰9.电源：~220V/50Hz DC9V10.咪管长度：455MM11.灵敏度：-62dB</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62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前置放大器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2、标准机箱设计，2U铝合金面板；人性化的抽手设计，美观实用3、有10个输入通道：包括5路话筒(MIC)输入；3路标准信号线路(AUX)输入；2路紧急线路输入4、第5个话筒(MIC5)具有最高优先、强行切入优先功能5、MIC 1、2、3、4、5和2路紧急输入通道均附设有线路辅助输入接口功能6、话筒(MIC)输入通道和线路(AUX)输入通道均可独立调校音量7、 MIC 1、2、3、4和线路AUX1、2、3可交叉混合输出8、设有高音(TREBLE)和低音(BASS)独立调节9、 4路紧急输入线路具有二级优先，强行切入优先功能10、电源：～220V/50Hz11、功耗：40W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432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网络广播播控中心</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可实现同时对每台终端传输2套节目2.支持两种操控方式，方式：机箱底部抽拉式键盘和触摸板鼠标；3.强大的打印导出功能，可按星期或者任务类型打印导出方案列表，方便时间安排以及管理；4.双网卡配置，一个专用于音频传输，一个用于远程管理；5.界面清晰、操作简单、实用，功能更强大，可以设置大容量音乐库，实现编程自动播放；6.外接1路节目，可以采集1路音频进行传输，内置19路节目，32级音量可调；7.可任意对终端或分区进行20路网络节目切换、关闭控制；8.网络终端检测；9.内置19路网络节目手动/自动播放切换；10.强大的设计模块，添加事件、修改事件，操作简单，立即生效；11.功能强大的定时播放引擎，根据设置可以执行日、周、月循环；12.权限控制，增加了用户的安全系数，可以防止非法用户操作系统；13.工作系统：WINDOWS 2003 Server，BS-9000R；14.屏幕尺寸：15英寸15.屏幕颜色：TFT16位真彩色16.操控方式：操控方式A：4096*4096分辨率液晶电阻式(四线)触摸屏；操控方式B：机箱底部抽拉式键盘和触摸板鼠标；17.工作环境：环境温度：5℃～40℃；相对湿度：≧75%；气压：86-106Kpa18.主板：Intel NM22芯片组19.标准接口：2×PS/2接口；1×PCI-E；6×串口；1×并口；1×VGA (因产品不断升级，容量会不断提高)20.内存：工业DDR3内存 2G(因产品不断升级，容量会不断增加)21.网卡：主板集成1000Mbps以太网口22.CPU：Intel ATOM D525，双核四线程，1.8GHz23.硬盘：500G硬盘(可选SSD固态硬盘)24.音频信号信噪比：LINE：70dB；MIC：60dB25.音频信号失真度：1KHz＜0.5% 音频信号输入电平：LINE:300mV；MIC:5mV音频信号输出电平：0dBV26.自身耗电量：AC~220V/50Hz/300W27.软件操作平台：WINDOWS 2003 Server</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62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音频控制软件(IP广播控制)</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手机WIFI点播，支持任意选择播放终端；支持手机WIFI寻呼，支持任意选择终端寻呼；支持手机WIFI远程传输文件到服务器；2.支持后台录音，支持远程存储；3.支持PSTN广播，内置人性化中文语音，支持手机、座机、小灵通、远洋电话广播，兼容全球电信系统接入；4.支持节目定时离线播放任务，支持远程手动、智能控制终端电源；5.支持全天无人值守工作，支持断电数据保护，支持自动发现已绑定终端；6.支持短信语音广播，支持指定号码或公用号码信息发送；7.支持授权范围管理、10级优先级管理；8.支持全区、分区消防联动，支持消防N±N模式，支持人工报警与数字报警混音；9.支持数字音频智能识别，支持自动重编码，支持破损文件识别，专业播音室管理软件，支持临时任务保存与编辑再调用；10.支持任意单体、分组的呼叫、音乐播放、定时、打铃功能，支持远程无线遥控器，并支持智能组合按键，支持远程音量调节、播放、选曲功能；11.支持统一管理终端登陆密码，并支持授权范围管理、10级优先级管理，并支持轻松自动授权；12.采用标准的选配安装模块，软件包带有系统服务器软件、中继服务器软件、远程客户端软件、广播客户端软件、消防报警软件、无线遥控控制软件和电话广播软件等组成；支持客户自定义选择安装，实现最大程度的降低系统资源占用，提高系统运行效率，是行业内安装最灵活的广播软件；13.采用标准的选配安装模块，软件包带有系统服务器软件、中继服务器软件、远程客户端软件、广播客户端软件、无线遥控控制软件和电话广播软件等组成；支持客户自定义选择安装，实现最大程度的降低系统资源占用，提高系统运行效率，是行业内安装最灵活的广播软件； 14.软件支持第三方平台嵌入式开发，提供标准的MFC动态链接库，实现与其他系统平台整合（例如楼宇访客系统、监控视频系统等）；15.可实现同时对每台终端传输2套节目，例如：在领导说话时，可播放背景音乐进行衬托，避免人耳听到沙哑的声音以及营造会场气氛；16.强大的打印功能，可按星期或者任务类型打印方案列表，方便时间安排以及管理；17.双网卡配置，一个专用于音频传输，一个用于远程管理；18.具有紧急方案预启、任务列表、支持单点播放、支持自动音乐打铃、远程分控讲话、音频实时采播、分区自由点播、定时节目播放、网上电台转播、寻呼对讲录音功能、会话心跳、服务看门狗、广播监听、本地扩音及备份广播、报警联动、运动场无线远程控制、电话接入控制、紧急备份广播、节目源和数据不受限制、站点无限，扩容简便、支持文件播放、支持大比特率播放等功能：</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7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IP软件加密狗</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IP网络软件加密设备，软件注册使用加密狗方式，注册时可有效设定授权终端数量及使用时间期限。</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网络广播音箱（监听）</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1.15W室内网络广播音箱，具IP地址，网络音频流的接收及音频解压2.木质外壳结构，高低音防磁喇叭单元，数字解码终端与音箱一体功能；3.采用固定静态的IP地址，当网络发生改变时地址不会丢失，工作稳定；4.音质达到CD级(音频文件位速为8-320kbps 自适应)；5.可网络接收音频节目内容；6.自带功率输出，可接15W定阻4Ω无源副音箱；7.通过软件操作可对所有终端监听播出的内容；8.硬件音频解码。9.网络接口：标准RJ45×1,1个输出10.电源：AC220V/50Hz11.功率输出：15W12.待机功率：1W13.支持协议：ARP、UDP、TCP/IP、ICMP、IGMP(组播)14.音频位率：8Kbps～320Kbps自适应15.频率响应：50Hz～15KHz16.音频格式：MP317.传输速率：10/100Mbps18.音频模式：16位立体声CD音质19.输出频率：20Hz～16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十六位电源时序器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1.16路电源输出，每路输出AC220V(10A)2.设有电子锁开关，手动和自动两种模式3.16路电源插座依次接通或断开。每一路接通或断开时间相差1S4.电源插口总容量达10KVA5.1路24V消防信号输入接口；1路消防短路报警触发信号输出6.1路短路触发信号输入；1路短路触发信号扩展输出；可与定时器，7.智能控制器相连接，实现自动控制8.简明的LED工作状态指示灯显示</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354"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网络广播播控中心</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可实现同时对每台终端传输2套节目2.支持两种操控方式，方式：机箱底部抽拉式键盘和触摸板鼠标；3.强大的打印导出功能，可按星期或者任务类型打印导出方案列表，方便时间安排以及管理；4.双网卡配置，一个专用于音频传输，一个用于远程管理；5.界面清晰、操作简单、实用，功能更强大，可以设置大容量音乐库，实现编程自动播放；6.外接1路节目，可以采集1路音频进行传输，内置19路节目，32级音量可调；7.可任意对终端或分区进行20路网络节目切换、关闭控制；8.网络终端检测；9.内置19路网络节目手动/自动播放切换；10.强大的设计模块，添加事件、修改事件，操作简单，立即生效；11.功能强大的定时播放引擎，根据设置可以执行日、周、月循环；12.权限控制，增加了用户的安全系数，可以防止非法用户操作系统；13.工作系统：WINDOWS 2003 Server，BS-9000R；14.屏幕尺寸：15英寸15.屏幕颜色：TFT16位真彩色16.操控方式：操控方式A：4096*4096分辨率液晶电阻式(四线)触摸屏；操控方式B：机箱底部抽拉式键盘和触摸板鼠标；17.工作环境：环境温度：5℃～40℃；相对湿度：≧75%；气压：86-106Kpa18.主板：Intel NM22芯片组19.标准接口：2×PS/2接口；1×PCI-E；6×串口；1×并口；1×VGA (因产品不断升级，容量会不断提高)20.内存：工业DDR3内存 2G(因产品不断升级，容量会不断增加)21.网卡：主板集成1000Mbps以太网口22.CPU：Intel ATOM D525，双核四线程，1.8GHz23.硬盘：500G硬盘(可选SSD固态硬盘)24.音频信号信噪比：LINE：70dB；MIC：60dB25.音频信号失真度：1KHz＜0.5% 音频信号输入电平：LINE:300mV；MIC:5mV音频信号输出电平：0dBV26.自身耗电量：AC~220V/50Hz/300W27.软件操作平台：WINDOWS 2003 Server</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7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分控软件</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网络广播系统及音频流媒体分控软件</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网络广播音箱（监听）</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1.15W室内网络广播音箱，具IP地址，网络音频流的接收及音频解压2.木质外壳结构，高低音防磁喇叭单元，数字解码终端与音箱一体功能；3.采用固定静态的IP地址，当网络发生改变时地址不会丢失，工作稳定；4.音质达到CD级(音频文件位速为8-320kbps 自适应)；5.可网络接收音频节目内容；6.自带功率输出，可接15W定阻4Ω无源副音箱；7.通过软件操作可对所有终端监听播出的内容；8.硬件音频解码。9.网络接口：标准RJ45×1,1个输出10.电源：AC220V/50Hz11.功率输出：15W12.待机功率：1W13.支持协议：ARP、UDP、TCP/IP、ICMP、IGMP(组播)14.音频位率：8Kbps～320Kbps自适应15.频率响应：50Hz～15KHz16.音频格式：MP317.传输速率：10/100Mbps18.音频模式：16位立体声CD音质19.输出频率：20Hz～16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十六位电源时序器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1.16路电源输出，每路输出AC220V(10A)2.设有电子锁开关，手动和自动两种模式3.16路电源插座依次接通或断开。每一路接通或断开时间相差1S4.电源插口总容量达10KVA5.1路24V消防信号输入接口；1路消防短路报警触发信号输出6.1路短路触发信号输入；1路短路触发信号扩展输出；可与定时器，7.智能控制器相连接，实现自动控制8.简明的LED工作状态指示灯显示</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488"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支持PSTN电话广播，支持短信语音广播；支持手机WIFI点播。2.网络功放，具IP地址，网络音频流的接收及音频解压，带350W定压功放，2U机箱3.二路话筒输入、二路辅助信号输入、一路网络与辅助信号输入、一路辅助输出； 4.100V、70V定压输出和4-16Ω定阻输出； 5.有默音强插功能，便于插入优先广播； 6.可自动控制功放开关，各路信号有独立音量控制和总量控制，高音和低音音调控制，自动温控风机强制冷却散热； 7.MIC1输入插口具有最高优先权，由该插口输入信号将抑制其他插口输入信号。8.电源：～220V/50Hz，输出端子：70V，100V、4～16Ω9.输入灵敏度、阻抗：MIC1、2输入：5mV/600Ω，不平衡6.3连接端子；AUX1、2 、NET输入：350mV/10KΩ，不平衡RCA连接端子10.输出灵敏度、源阻抗：OUTPUT：1000mV/470Ω，不平衡RCA连接端子11.音调：低音 ±10dB at 100Hz；高音：±10dB at 10KHz12.频率响应：50Hz～16KHz(+1dB，-3dB)13.信噪比：MIC1、2：66dB；AUX1、AUX2、NET：80dB14.失真：小于0.5%(在1KHz，1/3额定功率)，传输速率：10/100Mbps15.支持协议：ARP、UDP、TCP/IP、ICMP、IGMP(组播)16.网络延时：小于等于50ms 音频位率：8Kbps～320Kbps自适应 音频格式：MP3采样率：8K～48KHz17.散热：侧入后出强制风扇冷却,内部功率模块达到55度时启动风扇18.保护：过热保护、过流保护、短路保护19.工作温度：-20℃～+60℃工作湿度：10%～90%输出功率：350W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 支持PSTN电话广播，支持短信语音广播；支持手机WIFI点播。2.网络功放，具IP地址，网络音频流的接收及音频解压，带240W定压功放，2U机箱3.二路话筒输入、二路辅助信号输入、一路网络与辅助信号输入、一路辅助输出； 4.有默音强插功能，便于插入优先广播； 5.保护：过热保护、过流保护、短路保护6.工作温度：-20℃～+60℃工作湿度：10%～90%输出功率：240W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六类非屏蔽RJ45网络跳线（2米）</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水晶头塑料材质：聚碳酸酯（PC） 跳线接头类型：注塑RJ45端子-注塑RJ45端子 跳线线缆类型：4*2*7/0.18mm对绞芯线 跳线线缆护套材质：PVC 跳线线缆外径：6.2±0.2mm 跳线线缆阻抗类型：100±15Ω 连接方式：RJ45端插接RJ45配线架跳线弯曲半径：≥2D(D：跳线外径) 适用信号：六类非屏蔽信道 使用温度： -20～70℃ 湿度：85%（温度85℃±3℃）</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打铃网络广播音箱</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1.15W室内网络广播音箱，具IP地址，网络音频流的接收及音频解压2.木质外壳结构，高低音防磁喇叭单元，数字解码终端与音箱一体功能；3.采用固定静态的IP地址，当网络发生改变时地址不会丢失，工作稳定；4.音质达到CD级(音频文件位速为8-320kbps 自适应)；5.可网络接收音频节目内容；6.自带功率输出，可接15W定阻4Ω无源副音箱；7.通过软件操作可对所有终端监听播出的内容；8.硬件音频解码。9.网络接口：标准RJ45×1,1个输出10.电源：AC220V/50Hz11.功率输出：15W12.待机功率：1W13.支持协议：ARP、UDP、TCP/IP、ICMP、IGMP(组播)14.音频位率：8Kbps～320Kbps自适应15.频率响应：50Hz～15KHz16.音频格式：MP317.传输速率：10/100Mbps18.音频模式：16位立体声CD音质19.输出频率：20Hz～16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r>
      <w:tr>
        <w:tblPrEx>
          <w:tblCellMar>
            <w:top w:w="0" w:type="dxa"/>
            <w:left w:w="108" w:type="dxa"/>
            <w:bottom w:w="0" w:type="dxa"/>
            <w:right w:w="108" w:type="dxa"/>
          </w:tblCellMar>
        </w:tblPrEx>
        <w:trPr>
          <w:trHeight w:val="216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网络广播室外音柱（60W）</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2.60W室外网络广播音箱，具IP地址，网络音频流的接收及音频解压，数字解码终端与音柱一体功能，铝合金防水防锈外壳结构； 3.采用固定静态的IP地址，当网络发生改变时地址不会丢失，工作稳定；4.音质达到CD级(音频文件位速为8-320kbps 自适应)；5.可网络接收音频节目内容；硬件音频解码；6.支持PSTN电话广播，支持短信语音广播；支持手机WIFI点播。 通过软件操作可对所有终端监听播出内容。7.输入电压：AC220V/50Hz8.功率输出：60W 待机功率：1W9.音频位率：8Kbps～320Kbps自适应10.频率响应：50Hz～15KHz11.信噪比：≥70dB12.采样率：8K～48KHz13.音频格式：MP314.总谐波失真：≤1%15.传输速率：10/100Mbps16.喇叭单元：3×6.5”+3”17.支持协议：TCP/IP、ICMP、IGMP(组播)18.网络延时：≤50ms19.工作温度：-20℃～+60℃20.工作湿度：10%～90%</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r>
      <w:tr>
        <w:tblPrEx>
          <w:tblCellMar>
            <w:top w:w="0" w:type="dxa"/>
            <w:left w:w="108" w:type="dxa"/>
            <w:bottom w:w="0" w:type="dxa"/>
            <w:right w:w="108" w:type="dxa"/>
          </w:tblCellMar>
        </w:tblPrEx>
        <w:trPr>
          <w:trHeight w:val="35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PSTN电话广播，支持短信语音广播；支持手机WIFI点播。网络功放，具IP地址，网络音频流的接收及音频解压，带650W定压功放，2U机箱二路话筒输入、二路辅助信号输入、一路网络与辅助信号输入、一路辅助输出； 100V、70V定压输出和4-16Ω定阻输出； 有默音强插功能，便于插入优先广播； 可自动控制功放开关； 各路信号有独立音量控制和总量控制； 高音和低音音调控制；自动温控风机强制冷却散热； MIC1输入插口具有最高优先权，由该插口输入信号将抑制其他插口输入信号。电源：～220V/50Hz输出端子：70V，100V、4～16Ω输入灵敏度、阻抗：MIC1、2输入：5mV/600Ω，不平衡6.3连接端子；AUX1、2 、NET输入：350mV/10KΩ，不平衡RCA连接端子输出灵敏度、源阻抗：OUTPUT：1000mV/470Ω，不平衡RCA连接端子音调：低音 ±10dB at 100Hz；高音：±10dB at 10KHz频率响应：50Hz～16KHz(+1dB，-3dB)信噪比：MIC1、2：66dB；AUX1、AUX2、NET：80dB失真：＜0.5%(在1KHz，1/3额定功率)传输速率：10/100Mbps支持协议：ARP、UDP、TCP/IP、ICMP、IGMP(组播)网络延时：小于等于50ms音频位率：8Kbps～320Kbps自适应音频格式：MP3采样率：8K～48KHz散热：侧入后出强制风扇冷却,内部功率模块达到55度时启动风扇保护：过热保护、过流保护、短路保护工作温度：-20℃～+60℃工作湿度：10%～90%输出功率：650W电源消耗：800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8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石头型草地音箱</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由有机树脂制造而成，外表美观，类似于石头，环保，灵敏度高。适合用于草地或者绿化带广场，摆设美观宜人额定功率(100V)：7.5W、15W额定功率(70V)：3.8W、7.5W峰值功率：30W输入电压：70V/100V频率响应：120-15KHz灵敏度：95dB喇叭单元：6.5“+1.5“</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r>
      <w:tr>
        <w:tblPrEx>
          <w:tblCellMar>
            <w:top w:w="0" w:type="dxa"/>
            <w:left w:w="108" w:type="dxa"/>
            <w:bottom w:w="0" w:type="dxa"/>
            <w:right w:w="108" w:type="dxa"/>
          </w:tblCellMar>
        </w:tblPrEx>
        <w:trPr>
          <w:trHeight w:val="54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21</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室外广播防雷器</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适用电源：110V最大持续工作电压：140V最大工作电流：10A最大通流容量：10kA（8/20us）电压保护水平：＜响应时间：＜25nS遥信：带遥信接口（常闭接点）</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27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广播线</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ZR-RVS2*2.5</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百米</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r>
      <w:tr>
        <w:tblPrEx>
          <w:tblCellMar>
            <w:top w:w="0" w:type="dxa"/>
            <w:left w:w="108" w:type="dxa"/>
            <w:bottom w:w="0" w:type="dxa"/>
            <w:right w:w="108" w:type="dxa"/>
          </w:tblCellMar>
        </w:tblPrEx>
        <w:trPr>
          <w:trHeight w:val="108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六类非屏蔽RJ45网络跳线（2米）</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水晶头塑料材质：聚碳酸酯（PC） 跳线接头类型：注塑RJ45端子-注塑RJ45端子 跳线线缆类型：4*2*7/0.18mm对绞芯线 跳线线缆护套材质：PVC 跳线线缆外径：6.2±0.2mm 跳线线缆阻抗类型：100±15Ω 连接方式：RJ45端插接RJ45配线架跳线弯曲半径：≥2D(D：跳线外径) 适用信号：六类非屏蔽信道 使用温度： -20～70℃ 湿度：85%（温度85℃±3℃）</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根</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r>
      <w:tr>
        <w:tblPrEx>
          <w:tblCellMar>
            <w:top w:w="0" w:type="dxa"/>
            <w:left w:w="108" w:type="dxa"/>
            <w:bottom w:w="0" w:type="dxa"/>
            <w:right w:w="108" w:type="dxa"/>
          </w:tblCellMar>
        </w:tblPrEx>
        <w:trPr>
          <w:trHeight w:val="35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240W网络功放</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支持PSTN电话广播，支持短信语音广播；支持手机WIFI点播。网络功放，具IP地址，网络音频流的接收及音频解压，带650W定压功放，2U机箱二路话筒输入、二路辅助信号输入、一路网络与辅助信号输入、一路辅助输出； 100V、70V定压输出和4-16Ω定阻输出； 有默音强插功能，便于插入优先广播； 可自动控制功放开关； 各路信号有独立音量控制和总量控制； 高音和低音音调控制；自动温控风机强制冷却散热； MIC1输入插口具有最高优先权，由该插口输入信号将抑制其他插口输入信号。电源：～220V/50Hz输出端子：70V，100V、4～16Ω输入灵敏度、阻抗：MIC1、2输入：5mV/600Ω，不平衡6.3连接端子；AUX1、2 、NET输入：350mV/10KΩ，不平衡RCA连接端子输出灵敏度、源阻抗：OUTPUT：1000mV/470Ω，不平衡RCA连接端子音调：低音 ±10dB at 100Hz；高音：±10dB at 10KHz频率响应：50Hz～16KHz(+1dB，-3dB)信噪比：MIC1、2：66dB；AUX1、AUX2、NET：80dB失真：＜0.5%(在1KHz，1/3额定功率)传输速率：10/100Mbps支持协议：ARP、UDP、TCP/IP、ICMP、IGMP(组播)网络延时：小于等于50ms音频位率：8Kbps～320Kbps自适应音频格式：MP3采样率：8K～48KHz散热：侧入后出强制风扇冷却,内部功率模块达到55度时启动风扇保护：过热保护、过流保护、短路保护工作温度：-20℃～+60℃工作湿度：10%～90%输出功率：650W电源消耗：800W</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r>
      <w:tr>
        <w:tblPrEx>
          <w:tblCellMar>
            <w:top w:w="0" w:type="dxa"/>
            <w:left w:w="108" w:type="dxa"/>
            <w:bottom w:w="0" w:type="dxa"/>
            <w:right w:w="108" w:type="dxa"/>
          </w:tblCellMar>
        </w:tblPrEx>
        <w:trPr>
          <w:trHeight w:val="81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吸顶音箱</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1.额定功率(100V)：1.5W, 3W, 6W2.额定功率(70V)：0.75W, 1.5W, 3W3.峰值功率：12W4.阻抗：Com/1.7KΩ/3.3KΩ/6.7KΩ5.灵敏度(1W/1M)：94dB6.最大灵敏度(W/1M)：102dB7.频率响应(-10dB)：110-14.5KHz</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r>
      <w:tr>
        <w:tblPrEx>
          <w:tblCellMar>
            <w:top w:w="0" w:type="dxa"/>
            <w:left w:w="108" w:type="dxa"/>
            <w:bottom w:w="0" w:type="dxa"/>
            <w:right w:w="108" w:type="dxa"/>
          </w:tblCellMar>
        </w:tblPrEx>
        <w:trPr>
          <w:trHeight w:val="540" w:hRule="atLeast"/>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26</w:t>
            </w:r>
          </w:p>
        </w:tc>
        <w:tc>
          <w:tcPr>
            <w:tcW w:w="7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话筒</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1.频率响应 ：50Hz-12000Hz2.输出阻抗(欧姆)：600Ω3.灵敏度：-63dB4.接口： 6.35单声道插嘴5.输出、指示：不平衡、座灯、管灯6.抗手机、电磁、高频干扰7.电源：~220V/50Hz DC9V</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3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r>
    </w:tbl>
    <w:p>
      <w:pPr>
        <w:pStyle w:val="2"/>
        <w:rPr>
          <w:color w:val="000000" w:themeColor="text1"/>
        </w:rPr>
      </w:pPr>
    </w:p>
    <w:p>
      <w:pPr>
        <w:snapToGrid w:val="0"/>
        <w:spacing w:line="500" w:lineRule="exact"/>
        <w:rPr>
          <w:rFonts w:hint="eastAsia"/>
          <w:b/>
          <w:bCs/>
          <w:color w:val="000000" w:themeColor="text1"/>
        </w:rPr>
      </w:pPr>
    </w:p>
    <w:p>
      <w:pPr>
        <w:snapToGrid w:val="0"/>
        <w:spacing w:line="500" w:lineRule="exact"/>
        <w:rPr>
          <w:rFonts w:hint="eastAsia"/>
          <w:b/>
          <w:bCs/>
          <w:color w:val="000000" w:themeColor="text1"/>
        </w:rPr>
      </w:pPr>
    </w:p>
    <w:p>
      <w:pPr>
        <w:pStyle w:val="30"/>
        <w:rPr>
          <w:color w:val="000000" w:themeColor="text1"/>
        </w:rPr>
      </w:pPr>
    </w:p>
    <w:p>
      <w:pPr>
        <w:pStyle w:val="30"/>
        <w:rPr>
          <w:color w:val="000000" w:themeColor="text1"/>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16"/>
        <w:spacing w:before="156" w:after="156" w:line="360" w:lineRule="auto"/>
        <w:jc w:val="center"/>
        <w:outlineLvl w:val="0"/>
        <w:rPr>
          <w:color w:val="000000" w:themeColor="text1"/>
        </w:rPr>
      </w:pPr>
      <w:r>
        <w:rPr>
          <w:rFonts w:hint="eastAsia" w:hAnsi="宋体"/>
          <w:b/>
          <w:color w:val="000000" w:themeColor="text1"/>
          <w:sz w:val="36"/>
          <w:szCs w:val="36"/>
        </w:rPr>
        <w:t xml:space="preserve">第三章  投标人须知 </w:t>
      </w:r>
    </w:p>
    <w:p>
      <w:pPr>
        <w:pStyle w:val="30"/>
        <w:ind w:firstLine="600"/>
        <w:jc w:val="center"/>
        <w:rPr>
          <w:rFonts w:ascii="仿宋" w:hAnsi="仿宋" w:eastAsia="仿宋_GB2312"/>
          <w:color w:val="000000" w:themeColor="text1"/>
          <w:sz w:val="30"/>
          <w:szCs w:val="30"/>
        </w:rPr>
      </w:pPr>
      <w:r>
        <w:rPr>
          <w:rFonts w:hint="eastAsia" w:ascii="仿宋" w:hAnsi="仿宋" w:eastAsia="仿宋_GB2312"/>
          <w:color w:val="000000" w:themeColor="text1"/>
          <w:sz w:val="30"/>
          <w:szCs w:val="30"/>
        </w:rPr>
        <w:t>前附表</w:t>
      </w:r>
    </w:p>
    <w:tbl>
      <w:tblPr>
        <w:tblStyle w:val="31"/>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hAnsi="宋体" w:cs="宋体"/>
                <w:color w:val="000000" w:themeColor="text1"/>
                <w:sz w:val="22"/>
              </w:rPr>
            </w:pPr>
            <w:r>
              <w:rPr>
                <w:rFonts w:hint="eastAsia" w:ascii="宋体" w:hAnsi="宋体" w:cs="宋体"/>
                <w:color w:val="000000" w:themeColor="text1"/>
                <w:sz w:val="22"/>
              </w:rPr>
              <w:t>序号</w:t>
            </w:r>
          </w:p>
        </w:tc>
        <w:tc>
          <w:tcPr>
            <w:tcW w:w="1814" w:type="dxa"/>
            <w:vAlign w:val="center"/>
          </w:tcPr>
          <w:p>
            <w:pPr>
              <w:spacing w:line="400" w:lineRule="atLeast"/>
              <w:jc w:val="center"/>
              <w:rPr>
                <w:rFonts w:ascii="宋体" w:hAnsi="宋体" w:cs="宋体"/>
                <w:color w:val="000000" w:themeColor="text1"/>
                <w:sz w:val="22"/>
              </w:rPr>
            </w:pPr>
            <w:r>
              <w:rPr>
                <w:rFonts w:hint="eastAsia" w:ascii="宋体" w:hAnsi="宋体" w:cs="宋体"/>
                <w:color w:val="000000" w:themeColor="text1"/>
                <w:sz w:val="22"/>
              </w:rPr>
              <w:t>内容</w:t>
            </w:r>
          </w:p>
        </w:tc>
        <w:tc>
          <w:tcPr>
            <w:tcW w:w="7776" w:type="dxa"/>
            <w:vAlign w:val="center"/>
          </w:tcPr>
          <w:p>
            <w:pPr>
              <w:spacing w:line="400" w:lineRule="atLeast"/>
              <w:jc w:val="center"/>
              <w:rPr>
                <w:rFonts w:ascii="宋体" w:hAnsi="宋体" w:cs="宋体"/>
                <w:color w:val="000000" w:themeColor="text1"/>
                <w:sz w:val="22"/>
              </w:rPr>
            </w:pPr>
            <w:r>
              <w:rPr>
                <w:rFonts w:hint="eastAsia" w:ascii="宋体" w:hAnsi="宋体" w:cs="宋体"/>
                <w:color w:val="000000" w:themeColor="text1"/>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lang w:val="zh-CN"/>
              </w:rPr>
            </w:pPr>
            <w:r>
              <w:rPr>
                <w:rFonts w:hint="eastAsia" w:ascii="宋体" w:hAnsi="宋体" w:cs="宋体"/>
                <w:color w:val="000000" w:themeColor="text1"/>
                <w:sz w:val="22"/>
                <w:lang w:val="zh-CN"/>
              </w:rPr>
              <w:t>1</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项目名称</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金华市公安局**训练基地科技信息化项目（**教学信息化）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2</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采购数量及单位</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3</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资金来源</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4</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采购方式</w:t>
            </w:r>
          </w:p>
        </w:tc>
        <w:tc>
          <w:tcPr>
            <w:tcW w:w="7776" w:type="dxa"/>
            <w:vAlign w:val="center"/>
          </w:tcPr>
          <w:p>
            <w:pPr>
              <w:rPr>
                <w:rFonts w:ascii="宋体" w:hAnsi="宋体" w:cs="宋体"/>
                <w:color w:val="000000" w:themeColor="text1"/>
                <w:sz w:val="22"/>
              </w:rPr>
            </w:pPr>
            <w:r>
              <w:rPr>
                <w:rFonts w:hint="eastAsia" w:ascii="宋体" w:hAnsi="宋体" w:cs="宋体"/>
                <w:color w:val="000000" w:themeColor="text1"/>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5</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采购人</w:t>
            </w:r>
          </w:p>
        </w:tc>
        <w:tc>
          <w:tcPr>
            <w:tcW w:w="7776" w:type="dxa"/>
            <w:vAlign w:val="center"/>
          </w:tcPr>
          <w:p>
            <w:pPr>
              <w:adjustRightInd w:val="0"/>
              <w:rPr>
                <w:rFonts w:ascii="宋体" w:hAnsi="宋体"/>
                <w:color w:val="000000" w:themeColor="text1"/>
                <w:sz w:val="22"/>
              </w:rPr>
            </w:pPr>
            <w:r>
              <w:rPr>
                <w:rFonts w:hint="eastAsia" w:ascii="宋体" w:hAnsi="宋体"/>
                <w:color w:val="000000" w:themeColor="text1"/>
                <w:sz w:val="22"/>
              </w:rPr>
              <w:t>名称：</w:t>
            </w:r>
            <w:r>
              <w:rPr>
                <w:rFonts w:hint="eastAsia" w:ascii="宋体" w:hAnsi="宋体" w:cstheme="minorEastAsia"/>
                <w:color w:val="000000" w:themeColor="text1"/>
                <w:sz w:val="22"/>
              </w:rPr>
              <w:t>金华市公安局</w:t>
            </w:r>
          </w:p>
          <w:p>
            <w:pPr>
              <w:adjustRightInd w:val="0"/>
              <w:rPr>
                <w:rFonts w:ascii="宋体" w:hAnsi="宋体"/>
                <w:color w:val="000000" w:themeColor="text1"/>
                <w:sz w:val="22"/>
              </w:rPr>
            </w:pPr>
            <w:r>
              <w:rPr>
                <w:rFonts w:hint="eastAsia" w:ascii="宋体" w:hAnsi="宋体"/>
                <w:color w:val="000000" w:themeColor="text1"/>
                <w:sz w:val="22"/>
              </w:rPr>
              <w:t>联系人：</w:t>
            </w:r>
            <w:r>
              <w:rPr>
                <w:rFonts w:hint="eastAsia" w:ascii="宋体" w:hAnsi="宋体" w:cstheme="minorEastAsia"/>
                <w:color w:val="000000" w:themeColor="text1"/>
                <w:kern w:val="0"/>
                <w:sz w:val="22"/>
              </w:rPr>
              <w:t>陈旻</w:t>
            </w:r>
          </w:p>
          <w:p>
            <w:pPr>
              <w:adjustRightInd w:val="0"/>
              <w:rPr>
                <w:rFonts w:ascii="宋体" w:hAnsi="宋体"/>
                <w:color w:val="000000" w:themeColor="text1"/>
                <w:sz w:val="22"/>
              </w:rPr>
            </w:pPr>
            <w:r>
              <w:rPr>
                <w:rFonts w:hint="eastAsia" w:ascii="宋体" w:hAnsi="宋体"/>
                <w:color w:val="000000" w:themeColor="text1"/>
                <w:sz w:val="22"/>
              </w:rPr>
              <w:t>电话：</w:t>
            </w:r>
            <w:r>
              <w:rPr>
                <w:rFonts w:hint="eastAsia" w:ascii="宋体" w:hAnsi="宋体" w:cstheme="minorEastAsia"/>
                <w:color w:val="000000" w:themeColor="text1"/>
                <w:kern w:val="0"/>
                <w:sz w:val="22"/>
              </w:rPr>
              <w:t>13957988088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6</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采购机构</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名称：金华市政府采购中心</w:t>
            </w:r>
          </w:p>
          <w:p>
            <w:pPr>
              <w:adjustRightInd w:val="0"/>
              <w:rPr>
                <w:rFonts w:ascii="宋体" w:hAnsi="宋体" w:cs="宋体"/>
                <w:color w:val="000000" w:themeColor="text1"/>
                <w:sz w:val="22"/>
              </w:rPr>
            </w:pPr>
            <w:r>
              <w:rPr>
                <w:rFonts w:hint="eastAsia" w:ascii="宋体" w:hAnsi="宋体" w:cs="宋体"/>
                <w:color w:val="000000" w:themeColor="text1"/>
                <w:sz w:val="22"/>
              </w:rPr>
              <w:t>项目负责人：</w:t>
            </w:r>
            <w:r>
              <w:rPr>
                <w:rFonts w:hint="eastAsia" w:ascii="宋体" w:hAnsi="宋体" w:cstheme="minorEastAsia"/>
                <w:color w:val="000000" w:themeColor="text1"/>
                <w:sz w:val="22"/>
              </w:rPr>
              <w:t>张老师</w:t>
            </w:r>
            <w:r>
              <w:rPr>
                <w:rFonts w:ascii="宋体" w:hAnsi="宋体" w:cs="宋体"/>
                <w:color w:val="000000" w:themeColor="text1"/>
                <w:sz w:val="22"/>
              </w:rPr>
              <w:t xml:space="preserve"> </w:t>
            </w:r>
          </w:p>
          <w:p>
            <w:pPr>
              <w:adjustRightInd w:val="0"/>
              <w:rPr>
                <w:rFonts w:ascii="宋体" w:hAnsi="宋体" w:cs="宋体"/>
                <w:color w:val="000000" w:themeColor="text1"/>
                <w:sz w:val="22"/>
              </w:rPr>
            </w:pPr>
            <w:r>
              <w:rPr>
                <w:rFonts w:hint="eastAsia" w:ascii="宋体" w:hAnsi="宋体" w:cs="宋体"/>
                <w:color w:val="000000" w:themeColor="text1"/>
                <w:sz w:val="22"/>
              </w:rPr>
              <w:t>联系电话：</w:t>
            </w:r>
            <w:r>
              <w:rPr>
                <w:rFonts w:hint="eastAsia" w:ascii="宋体" w:hAnsi="宋体" w:cstheme="minorEastAsia"/>
                <w:color w:val="000000" w:themeColor="text1"/>
                <w:sz w:val="22"/>
              </w:rPr>
              <w:t>83186120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7</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招标内容</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8</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评标办法</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9</w:t>
            </w:r>
          </w:p>
        </w:tc>
        <w:tc>
          <w:tcPr>
            <w:tcW w:w="1814" w:type="dxa"/>
            <w:vAlign w:val="center"/>
          </w:tcPr>
          <w:p>
            <w:pPr>
              <w:rPr>
                <w:rFonts w:ascii="宋体" w:hAnsi="宋体" w:cs="宋体"/>
                <w:color w:val="000000" w:themeColor="text1"/>
                <w:sz w:val="22"/>
              </w:rPr>
            </w:pPr>
            <w:r>
              <w:rPr>
                <w:rFonts w:hint="eastAsia" w:ascii="宋体" w:hAnsi="宋体" w:cs="宋体"/>
                <w:color w:val="000000" w:themeColor="text1"/>
                <w:sz w:val="22"/>
              </w:rPr>
              <w:t>投标供应商</w:t>
            </w:r>
          </w:p>
          <w:p>
            <w:pPr>
              <w:rPr>
                <w:rFonts w:ascii="宋体" w:hAnsi="宋体" w:cs="宋体"/>
                <w:color w:val="000000" w:themeColor="text1"/>
                <w:sz w:val="22"/>
              </w:rPr>
            </w:pPr>
            <w:r>
              <w:rPr>
                <w:rFonts w:hint="eastAsia" w:ascii="宋体" w:hAnsi="宋体" w:cs="宋体"/>
                <w:color w:val="000000" w:themeColor="text1"/>
                <w:sz w:val="22"/>
              </w:rPr>
              <w:t>资格要求</w:t>
            </w:r>
          </w:p>
        </w:tc>
        <w:tc>
          <w:tcPr>
            <w:tcW w:w="7776" w:type="dxa"/>
            <w:vAlign w:val="center"/>
          </w:tcPr>
          <w:p>
            <w:pPr>
              <w:adjustRightInd w:val="0"/>
              <w:rPr>
                <w:rFonts w:ascii="宋体" w:hAnsi="宋体" w:cs="宋体"/>
                <w:color w:val="000000" w:themeColor="text1"/>
                <w:kern w:val="28"/>
                <w:sz w:val="22"/>
              </w:rPr>
            </w:pPr>
            <w:r>
              <w:rPr>
                <w:rFonts w:hint="eastAsia" w:ascii="宋体" w:hAnsi="宋体" w:cs="宋体"/>
                <w:color w:val="000000" w:themeColor="text1"/>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10</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是否接受联合体投标</w:t>
            </w:r>
          </w:p>
        </w:tc>
        <w:tc>
          <w:tcPr>
            <w:tcW w:w="7776" w:type="dxa"/>
            <w:vAlign w:val="center"/>
          </w:tcPr>
          <w:p>
            <w:pPr>
              <w:adjustRightInd w:val="0"/>
              <w:spacing w:line="300" w:lineRule="exact"/>
              <w:rPr>
                <w:rFonts w:ascii="宋体" w:hAnsi="宋体" w:cs="宋体"/>
                <w:color w:val="000000" w:themeColor="text1"/>
                <w:sz w:val="22"/>
              </w:rPr>
            </w:pPr>
            <w:r>
              <w:rPr>
                <w:rFonts w:ascii="宋体" w:hAnsi="宋体" w:cs="Arial"/>
                <w:color w:val="000000" w:themeColor="text1"/>
                <w:kern w:val="0"/>
                <w:sz w:val="22"/>
              </w:rPr>
              <w:sym w:font="Wingdings" w:char="F0FE"/>
            </w:r>
            <w:r>
              <w:rPr>
                <w:rFonts w:hint="eastAsia" w:ascii="宋体" w:hAnsi="宋体" w:cs="宋体"/>
                <w:color w:val="000000" w:themeColor="text1"/>
                <w:sz w:val="22"/>
              </w:rPr>
              <w:t>不接受</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11</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踏勘现场</w:t>
            </w:r>
          </w:p>
        </w:tc>
        <w:tc>
          <w:tcPr>
            <w:tcW w:w="7776" w:type="dxa"/>
            <w:vAlign w:val="center"/>
          </w:tcPr>
          <w:p>
            <w:pPr>
              <w:adjustRightInd w:val="0"/>
              <w:spacing w:line="300" w:lineRule="exact"/>
              <w:rPr>
                <w:rFonts w:ascii="宋体" w:hAnsi="宋体" w:cs="宋体"/>
                <w:color w:val="000000" w:themeColor="text1"/>
                <w:sz w:val="22"/>
              </w:rPr>
            </w:pPr>
            <w:r>
              <w:rPr>
                <w:rFonts w:ascii="宋体" w:hAnsi="宋体" w:cs="Arial"/>
                <w:color w:val="000000" w:themeColor="text1"/>
                <w:kern w:val="0"/>
                <w:sz w:val="22"/>
              </w:rPr>
              <w:t>þ</w:t>
            </w:r>
            <w:r>
              <w:rPr>
                <w:rFonts w:hint="eastAsia" w:ascii="宋体" w:hAnsi="宋体" w:cs="宋体"/>
                <w:color w:val="000000" w:themeColor="text1"/>
                <w:sz w:val="22"/>
              </w:rPr>
              <w:t>不组织</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12</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是否允许递交备选投标方案</w:t>
            </w:r>
          </w:p>
        </w:tc>
        <w:tc>
          <w:tcPr>
            <w:tcW w:w="7776" w:type="dxa"/>
            <w:vAlign w:val="center"/>
          </w:tcPr>
          <w:p>
            <w:pPr>
              <w:adjustRightInd w:val="0"/>
              <w:spacing w:line="300" w:lineRule="exact"/>
              <w:rPr>
                <w:rFonts w:ascii="宋体" w:hAnsi="宋体" w:cs="宋体"/>
                <w:color w:val="000000" w:themeColor="text1"/>
                <w:sz w:val="22"/>
              </w:rPr>
            </w:pPr>
            <w:r>
              <w:rPr>
                <w:rFonts w:ascii="宋体" w:hAnsi="宋体" w:cs="Arial"/>
                <w:color w:val="000000" w:themeColor="text1"/>
                <w:kern w:val="0"/>
                <w:sz w:val="22"/>
              </w:rPr>
              <w:t>þ</w:t>
            </w:r>
            <w:r>
              <w:rPr>
                <w:rFonts w:hint="eastAsia" w:ascii="宋体" w:hAnsi="宋体" w:cs="宋体"/>
                <w:color w:val="000000" w:themeColor="text1"/>
                <w:sz w:val="22"/>
              </w:rPr>
              <w:t>不允许</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13</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是否允许采购进口产品</w:t>
            </w:r>
          </w:p>
        </w:tc>
        <w:tc>
          <w:tcPr>
            <w:tcW w:w="7776" w:type="dxa"/>
            <w:vAlign w:val="center"/>
          </w:tcPr>
          <w:p>
            <w:pPr>
              <w:spacing w:line="300" w:lineRule="exact"/>
              <w:rPr>
                <w:rFonts w:ascii="宋体" w:hAnsi="宋体" w:cs="Arial"/>
                <w:color w:val="000000" w:themeColor="text1"/>
                <w:kern w:val="0"/>
                <w:sz w:val="22"/>
              </w:rPr>
            </w:pPr>
            <w:r>
              <w:rPr>
                <w:rFonts w:ascii="宋体" w:hAnsi="宋体" w:cs="Arial"/>
                <w:color w:val="000000" w:themeColor="text1"/>
                <w:kern w:val="0"/>
                <w:sz w:val="22"/>
              </w:rPr>
              <w:sym w:font="Wingdings" w:char="F0FE"/>
            </w:r>
            <w:r>
              <w:rPr>
                <w:rFonts w:hint="eastAsia" w:ascii="宋体" w:hAnsi="宋体" w:cs="宋体"/>
                <w:color w:val="000000" w:themeColor="text1"/>
                <w:sz w:val="22"/>
              </w:rPr>
              <w:t>本项目不允许采购进口产品。</w:t>
            </w:r>
          </w:p>
          <w:p>
            <w:pPr>
              <w:adjustRightInd w:val="0"/>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theme="minorEastAsia"/>
                <w:color w:val="000000" w:themeColor="text1"/>
                <w:kern w:val="0"/>
                <w:sz w:val="22"/>
              </w:rPr>
              <w:t>可</w:t>
            </w:r>
            <w:r>
              <w:rPr>
                <w:rFonts w:hint="eastAsia" w:ascii="宋体" w:hAnsi="宋体" w:cs="宋体"/>
                <w:color w:val="000000" w:themeColor="text1"/>
                <w:sz w:val="22"/>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ascii="宋体" w:hAnsi="宋体" w:cs="Arial"/>
                <w:color w:val="000000" w:themeColor="text1"/>
                <w:kern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hAnsi="宋体" w:cs="宋体"/>
                <w:color w:val="000000" w:themeColor="text1"/>
                <w:sz w:val="22"/>
              </w:rPr>
            </w:pPr>
            <w:r>
              <w:rPr>
                <w:rFonts w:hint="eastAsia" w:ascii="宋体" w:hAnsi="宋体" w:cs="宋体"/>
                <w:color w:val="000000" w:themeColor="text1"/>
                <w:sz w:val="22"/>
              </w:rPr>
              <w:t>14</w:t>
            </w:r>
          </w:p>
        </w:tc>
        <w:tc>
          <w:tcPr>
            <w:tcW w:w="1814"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投标货币</w:t>
            </w:r>
          </w:p>
        </w:tc>
        <w:tc>
          <w:tcPr>
            <w:tcW w:w="7776" w:type="dxa"/>
            <w:vAlign w:val="center"/>
          </w:tcPr>
          <w:p>
            <w:pPr>
              <w:adjustRightInd w:val="0"/>
              <w:rPr>
                <w:rFonts w:ascii="宋体" w:hAnsi="宋体" w:cs="宋体"/>
                <w:color w:val="000000" w:themeColor="text1"/>
                <w:sz w:val="22"/>
              </w:rPr>
            </w:pPr>
            <w:r>
              <w:rPr>
                <w:rFonts w:hint="eastAsia" w:ascii="宋体" w:hAnsi="宋体" w:cs="宋体"/>
                <w:color w:val="000000" w:themeColor="text1"/>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15</w:t>
            </w:r>
          </w:p>
        </w:tc>
        <w:tc>
          <w:tcPr>
            <w:tcW w:w="1814" w:type="dxa"/>
            <w:vAlign w:val="center"/>
          </w:tcPr>
          <w:p>
            <w:pPr>
              <w:adjustRightInd w:val="0"/>
              <w:spacing w:line="300" w:lineRule="exact"/>
              <w:rPr>
                <w:rFonts w:ascii="宋体" w:hAnsi="宋体" w:cs="宋体"/>
                <w:color w:val="000000" w:themeColor="text1"/>
                <w:sz w:val="22"/>
              </w:rPr>
            </w:pPr>
            <w:r>
              <w:rPr>
                <w:rFonts w:hint="eastAsia" w:ascii="宋体" w:hAnsi="宋体" w:cs="宋体"/>
                <w:color w:val="000000" w:themeColor="text1"/>
                <w:sz w:val="22"/>
              </w:rPr>
              <w:t>投标语言</w:t>
            </w:r>
          </w:p>
        </w:tc>
        <w:tc>
          <w:tcPr>
            <w:tcW w:w="7776" w:type="dxa"/>
            <w:vAlign w:val="center"/>
          </w:tcPr>
          <w:p>
            <w:pPr>
              <w:adjustRightInd w:val="0"/>
              <w:spacing w:line="300" w:lineRule="exact"/>
              <w:rPr>
                <w:rFonts w:ascii="宋体" w:hAnsi="宋体" w:cs="宋体"/>
                <w:color w:val="000000" w:themeColor="text1"/>
                <w:sz w:val="22"/>
              </w:rPr>
            </w:pPr>
            <w:r>
              <w:rPr>
                <w:rFonts w:hint="eastAsia" w:ascii="宋体" w:hAnsi="宋体" w:cs="宋体"/>
                <w:color w:val="000000" w:themeColor="text1"/>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16</w:t>
            </w:r>
          </w:p>
        </w:tc>
        <w:tc>
          <w:tcPr>
            <w:tcW w:w="1814"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投标有效期</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hAnsi="宋体" w:cs="宋体"/>
                <w:color w:val="000000" w:themeColor="text1"/>
                <w:sz w:val="22"/>
                <w:lang w:val="zh-CN"/>
              </w:rPr>
            </w:pPr>
            <w:r>
              <w:rPr>
                <w:rFonts w:hint="eastAsia" w:ascii="宋体" w:hAnsi="宋体" w:cs="宋体"/>
                <w:color w:val="000000" w:themeColor="text1"/>
                <w:sz w:val="22"/>
                <w:lang w:val="zh-CN"/>
              </w:rPr>
              <w:t>1</w:t>
            </w:r>
            <w:r>
              <w:rPr>
                <w:rFonts w:hint="eastAsia" w:ascii="宋体" w:hAnsi="宋体" w:cs="宋体"/>
                <w:color w:val="000000" w:themeColor="text1"/>
                <w:sz w:val="22"/>
              </w:rPr>
              <w:t>7</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投标文件的形式</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投标供应商应准备电子投标文件。</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18</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投标文件的编制</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19</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投标文件组成</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bCs/>
                <w:snapToGrid w:val="0"/>
                <w:color w:val="000000" w:themeColor="text1"/>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20</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投标文件的盖章</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21</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法定代表人或其授权代表签字或盖章</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22</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投标文件份数</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23</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投标文件的上传和递交</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本项目通过“政府采购云平台（</w:t>
            </w:r>
            <w:r>
              <w:rPr>
                <w:rFonts w:ascii="宋体" w:hAnsi="宋体"/>
                <w:snapToGrid w:val="0"/>
                <w:color w:val="000000" w:themeColor="text1"/>
                <w:sz w:val="22"/>
              </w:rPr>
              <w:t>www.zcygov.cn）”实行在线投标响应（电子投标），投标供应商应当在投标截止时间前，将生成的“电子加密投标文件”上传递交至“政府采购云平台”。</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“电子加密投标文件”的上传、递交：</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a.投标供应商应在投标截止时间前将“电子加密投标文件”成功上传递交至“政府采购云平台”，否则投标无效。</w:t>
            </w:r>
          </w:p>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24</w:t>
            </w:r>
          </w:p>
        </w:tc>
        <w:tc>
          <w:tcPr>
            <w:tcW w:w="1814" w:type="dxa"/>
            <w:vAlign w:val="center"/>
          </w:tcPr>
          <w:p>
            <w:pPr>
              <w:adjustRightInd w:val="0"/>
              <w:snapToGrid w:val="0"/>
              <w:spacing w:line="300" w:lineRule="exact"/>
              <w:rPr>
                <w:rFonts w:ascii="宋体" w:hAnsi="宋体"/>
                <w:snapToGrid w:val="0"/>
                <w:color w:val="000000" w:themeColor="text1"/>
                <w:sz w:val="22"/>
              </w:rPr>
            </w:pPr>
            <w:r>
              <w:rPr>
                <w:rFonts w:hint="eastAsia" w:ascii="宋体" w:hAnsi="宋体"/>
                <w:snapToGrid w:val="0"/>
                <w:color w:val="000000" w:themeColor="text1"/>
                <w:sz w:val="22"/>
              </w:rPr>
              <w:t>投标文件加密解密</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hAnsi="宋体"/>
                <w:snapToGrid w:val="0"/>
                <w:color w:val="000000" w:themeColor="text1"/>
                <w:sz w:val="22"/>
              </w:rPr>
            </w:pPr>
            <w:r>
              <w:rPr>
                <w:rFonts w:ascii="宋体" w:hAnsi="宋体"/>
                <w:snapToGrid w:val="0"/>
                <w:color w:val="000000" w:themeColor="text1"/>
                <w:sz w:val="22"/>
              </w:rPr>
              <w:t>2、通过“政府采购云平台”成功上传递交的“电子加密投标文件”无法按时解密的，</w:t>
            </w:r>
            <w:r>
              <w:rPr>
                <w:rFonts w:hint="eastAsia" w:ascii="宋体" w:hAnsi="宋体"/>
                <w:snapToGrid w:val="0"/>
                <w:color w:val="000000" w:themeColor="text1"/>
                <w:sz w:val="22"/>
              </w:rPr>
              <w:t>其投标文件按拒收处理</w:t>
            </w:r>
            <w:r>
              <w:rPr>
                <w:rFonts w:ascii="宋体" w:hAnsi="宋体"/>
                <w:snapToGrid w:val="0"/>
                <w:color w:val="000000" w:themeColor="text1"/>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25</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投标样品</w:t>
            </w:r>
          </w:p>
        </w:tc>
        <w:tc>
          <w:tcPr>
            <w:tcW w:w="7776" w:type="dxa"/>
            <w:vAlign w:val="center"/>
          </w:tcPr>
          <w:p>
            <w:pPr>
              <w:spacing w:line="300" w:lineRule="exact"/>
              <w:rPr>
                <w:rFonts w:ascii="宋体" w:hAnsi="宋体" w:cs="宋体"/>
                <w:color w:val="000000" w:themeColor="text1"/>
                <w:sz w:val="22"/>
              </w:rPr>
            </w:pPr>
            <w:r>
              <w:rPr>
                <w:rFonts w:ascii="宋体" w:hAnsi="宋体" w:cs="Arial"/>
                <w:color w:val="000000" w:themeColor="text1"/>
                <w:kern w:val="0"/>
                <w:sz w:val="22"/>
              </w:rPr>
              <w:t>þ</w:t>
            </w:r>
            <w:r>
              <w:rPr>
                <w:rFonts w:hint="eastAsia" w:ascii="宋体" w:hAnsi="宋体" w:cs="宋体"/>
                <w:color w:val="000000" w:themeColor="text1"/>
                <w:sz w:val="22"/>
              </w:rPr>
              <w:t>不需要</w:t>
            </w:r>
          </w:p>
          <w:p>
            <w:pPr>
              <w:spacing w:line="300" w:lineRule="exact"/>
              <w:rPr>
                <w:rFonts w:ascii="宋体" w:hAnsi="宋体" w:cs="宋体"/>
                <w:color w:val="000000" w:themeColor="text1"/>
                <w:sz w:val="22"/>
              </w:rPr>
            </w:pPr>
            <w:r>
              <w:rPr>
                <w:rFonts w:ascii="Segoe UI Symbol" w:hAnsi="Segoe UI Symbol" w:cs="Segoe UI Symbol"/>
                <w:color w:val="000000" w:themeColor="text1"/>
                <w:kern w:val="0"/>
                <w:sz w:val="22"/>
              </w:rPr>
              <w:t>☐</w:t>
            </w:r>
            <w:r>
              <w:rPr>
                <w:rFonts w:hint="eastAsia" w:ascii="宋体" w:hAnsi="宋体" w:cs="宋体"/>
                <w:color w:val="000000" w:themeColor="text1"/>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26</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投标保证金</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bCs/>
                <w:color w:val="000000" w:themeColor="text1"/>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27</w:t>
            </w:r>
          </w:p>
        </w:tc>
        <w:tc>
          <w:tcPr>
            <w:tcW w:w="1814" w:type="dxa"/>
            <w:vAlign w:val="center"/>
          </w:tcPr>
          <w:p>
            <w:pPr>
              <w:adjustRightIn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履约担保</w:t>
            </w:r>
          </w:p>
        </w:tc>
        <w:tc>
          <w:tcPr>
            <w:tcW w:w="7776" w:type="dxa"/>
            <w:vAlign w:val="center"/>
          </w:tcPr>
          <w:p>
            <w:pPr>
              <w:spacing w:line="300" w:lineRule="exact"/>
              <w:rPr>
                <w:rFonts w:ascii="宋体" w:hAnsi="宋体"/>
                <w:snapToGrid w:val="0"/>
                <w:color w:val="000000" w:themeColor="text1"/>
                <w:sz w:val="22"/>
              </w:rPr>
            </w:pPr>
            <w:r>
              <w:rPr>
                <w:rFonts w:hint="eastAsia" w:ascii="宋体" w:hAnsi="宋体"/>
                <w:snapToGrid w:val="0"/>
                <w:color w:val="000000" w:themeColor="text1"/>
                <w:sz w:val="22"/>
              </w:rPr>
              <w:t>履约保证金的收取详见第二章招标需求。</w:t>
            </w:r>
          </w:p>
          <w:p>
            <w:pPr>
              <w:spacing w:line="300" w:lineRule="exact"/>
              <w:rPr>
                <w:rFonts w:ascii="宋体" w:hAnsi="宋体"/>
                <w:snapToGrid w:val="0"/>
                <w:color w:val="000000" w:themeColor="text1"/>
                <w:sz w:val="22"/>
              </w:rPr>
            </w:pPr>
            <w:r>
              <w:rPr>
                <w:rFonts w:ascii="宋体" w:hAnsi="宋体"/>
                <w:snapToGrid w:val="0"/>
                <w:color w:val="000000" w:themeColor="text1"/>
                <w:sz w:val="22"/>
              </w:rPr>
              <w:t>拟签订的合同文本要求成交人提交履约保证金的，供应商应当以支票、汇票、本票或者金融机构、担保机构出具的保函等非现金形式提交。鼓励和支持供应商以履约保函形式提供履约保证金。采购人不得拒收履约保函。</w:t>
            </w:r>
          </w:p>
          <w:p>
            <w:pPr>
              <w:spacing w:line="300" w:lineRule="exact"/>
              <w:rPr>
                <w:rFonts w:ascii="宋体" w:hAnsi="宋体"/>
                <w:snapToGrid w:val="0"/>
                <w:color w:val="000000" w:themeColor="text1"/>
                <w:sz w:val="22"/>
              </w:rPr>
            </w:pPr>
            <w:r>
              <w:rPr>
                <w:rFonts w:ascii="宋体" w:hAnsi="宋体"/>
                <w:snapToGrid w:val="0"/>
                <w:color w:val="000000" w:themeColor="text1"/>
                <w:sz w:val="22"/>
              </w:rPr>
              <w:t>供应商可登录政采云平台-【金融服务】—【我的项目】—【已备案合同】以保函形式提供：</w:t>
            </w:r>
          </w:p>
          <w:p>
            <w:pPr>
              <w:spacing w:line="300" w:lineRule="exact"/>
              <w:rPr>
                <w:rFonts w:ascii="宋体" w:hAnsi="宋体"/>
                <w:snapToGrid w:val="0"/>
                <w:color w:val="000000" w:themeColor="text1"/>
                <w:sz w:val="22"/>
              </w:rPr>
            </w:pPr>
            <w:r>
              <w:rPr>
                <w:rFonts w:ascii="宋体" w:hAnsi="宋体"/>
                <w:snapToGrid w:val="0"/>
                <w:color w:val="000000" w:themeColor="text1"/>
                <w:sz w:val="22"/>
              </w:rPr>
              <w:t>1、供应商在合同列表选择需要投保的合同，点击[保函推荐]。</w:t>
            </w:r>
          </w:p>
          <w:p>
            <w:pPr>
              <w:spacing w:line="300" w:lineRule="exact"/>
              <w:rPr>
                <w:rFonts w:ascii="宋体" w:hAnsi="宋体"/>
                <w:color w:val="000000" w:themeColor="text1"/>
                <w:sz w:val="22"/>
              </w:rPr>
            </w:pPr>
            <w:r>
              <w:rPr>
                <w:rFonts w:ascii="宋体" w:hAnsi="宋体"/>
                <w:snapToGrid w:val="0"/>
                <w:color w:val="000000" w:themeColor="text1"/>
                <w:sz w:val="22"/>
              </w:rPr>
              <w:t>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28</w:t>
            </w:r>
          </w:p>
        </w:tc>
        <w:tc>
          <w:tcPr>
            <w:tcW w:w="1814" w:type="dxa"/>
            <w:vAlign w:val="center"/>
          </w:tcPr>
          <w:p>
            <w:pPr>
              <w:spacing w:line="300" w:lineRule="exact"/>
              <w:jc w:val="center"/>
              <w:rPr>
                <w:rFonts w:ascii="宋体" w:hAnsi="宋体" w:cs="Courier New"/>
                <w:color w:val="000000" w:themeColor="text1"/>
                <w:sz w:val="22"/>
              </w:rPr>
            </w:pPr>
            <w:r>
              <w:rPr>
                <w:rFonts w:hint="eastAsia" w:ascii="宋体" w:hAnsi="宋体" w:cs="Courier New"/>
                <w:color w:val="000000" w:themeColor="text1"/>
                <w:sz w:val="22"/>
              </w:rPr>
              <w:t>投标截止时间</w:t>
            </w:r>
          </w:p>
          <w:p>
            <w:pPr>
              <w:spacing w:line="300" w:lineRule="exact"/>
              <w:jc w:val="center"/>
              <w:rPr>
                <w:rFonts w:ascii="宋体" w:hAnsi="宋体"/>
                <w:color w:val="000000" w:themeColor="text1"/>
                <w:sz w:val="22"/>
              </w:rPr>
            </w:pPr>
            <w:r>
              <w:rPr>
                <w:rFonts w:hint="eastAsia" w:ascii="宋体" w:hAnsi="宋体" w:cs="Courier New"/>
                <w:color w:val="000000" w:themeColor="text1"/>
                <w:sz w:val="22"/>
              </w:rPr>
              <w:t>投标地点</w:t>
            </w:r>
          </w:p>
        </w:tc>
        <w:tc>
          <w:tcPr>
            <w:tcW w:w="7776" w:type="dxa"/>
            <w:vAlign w:val="center"/>
          </w:tcPr>
          <w:p>
            <w:pPr>
              <w:numPr>
                <w:ilvl w:val="0"/>
                <w:numId w:val="12"/>
              </w:numPr>
              <w:spacing w:line="300" w:lineRule="exact"/>
              <w:rPr>
                <w:rFonts w:ascii="宋体" w:hAnsi="宋体" w:cs="Courier New"/>
                <w:color w:val="000000" w:themeColor="text1"/>
                <w:sz w:val="22"/>
              </w:rPr>
            </w:pPr>
            <w:r>
              <w:rPr>
                <w:rFonts w:hint="eastAsia" w:ascii="宋体" w:hAnsi="宋体" w:cs="Courier New"/>
                <w:color w:val="000000" w:themeColor="text1"/>
                <w:sz w:val="22"/>
                <w:lang w:val="en-US" w:eastAsia="zh-CN"/>
              </w:rPr>
              <w:t>09</w:t>
            </w:r>
            <w:r>
              <w:rPr>
                <w:rFonts w:hint="eastAsia" w:ascii="宋体" w:hAnsi="宋体" w:cs="Courier New"/>
                <w:color w:val="000000" w:themeColor="text1"/>
                <w:sz w:val="22"/>
              </w:rPr>
              <w:t>-</w:t>
            </w:r>
            <w:r>
              <w:rPr>
                <w:rFonts w:hint="eastAsia" w:ascii="宋体" w:hAnsi="宋体" w:cs="Courier New"/>
                <w:color w:val="000000" w:themeColor="text1"/>
                <w:sz w:val="22"/>
                <w:lang w:val="en-US" w:eastAsia="zh-CN"/>
              </w:rPr>
              <w:t>22</w:t>
            </w:r>
            <w:r>
              <w:rPr>
                <w:rFonts w:hint="eastAsia" w:ascii="宋体" w:hAnsi="宋体" w:cs="Courier New"/>
                <w:color w:val="000000" w:themeColor="text1"/>
                <w:sz w:val="22"/>
              </w:rPr>
              <w:t xml:space="preserve"> 上午09:30截止(北京时间)。</w:t>
            </w:r>
          </w:p>
          <w:p>
            <w:pPr>
              <w:spacing w:line="300" w:lineRule="exact"/>
              <w:rPr>
                <w:rFonts w:ascii="宋体" w:hAnsi="宋体"/>
                <w:color w:val="000000" w:themeColor="text1"/>
                <w:sz w:val="22"/>
              </w:rPr>
            </w:pPr>
            <w:r>
              <w:rPr>
                <w:rFonts w:hint="eastAsia" w:ascii="宋体" w:hAnsi="宋体" w:cs="Courier New"/>
                <w:color w:val="000000" w:themeColor="text1"/>
                <w:sz w:val="22"/>
              </w:rPr>
              <w:t>投标地点：金华市双龙南街858号财富大厦4楼开标2室</w:t>
            </w:r>
            <w:r>
              <w:rPr>
                <w:rFonts w:hint="eastAsia" w:ascii="宋体" w:hAnsi="宋体"/>
                <w:color w:val="000000" w:themeColor="text1"/>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29</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开标时间</w:t>
            </w:r>
          </w:p>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开标地点</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开标时间：2022-</w:t>
            </w:r>
            <w:r>
              <w:rPr>
                <w:rFonts w:hint="eastAsia" w:ascii="宋体" w:hAnsi="宋体" w:cs="宋体"/>
                <w:color w:val="000000" w:themeColor="text1"/>
                <w:sz w:val="22"/>
                <w:lang w:val="en-US" w:eastAsia="zh-CN"/>
              </w:rPr>
              <w:t>09</w:t>
            </w:r>
            <w:r>
              <w:rPr>
                <w:rFonts w:hint="eastAsia" w:ascii="宋体" w:hAnsi="宋体" w:cs="宋体"/>
                <w:color w:val="000000" w:themeColor="text1"/>
                <w:sz w:val="22"/>
              </w:rPr>
              <w:t>-</w:t>
            </w:r>
            <w:r>
              <w:rPr>
                <w:rFonts w:hint="eastAsia" w:ascii="宋体" w:hAnsi="宋体" w:cs="宋体"/>
                <w:color w:val="000000" w:themeColor="text1"/>
                <w:sz w:val="22"/>
                <w:lang w:val="en-US" w:eastAsia="zh-CN"/>
              </w:rPr>
              <w:t>22</w:t>
            </w:r>
            <w:r>
              <w:rPr>
                <w:rFonts w:hint="eastAsia" w:ascii="宋体" w:hAnsi="宋体" w:cs="宋体"/>
                <w:color w:val="000000" w:themeColor="text1"/>
                <w:sz w:val="22"/>
              </w:rPr>
              <w:t xml:space="preserve"> 上午9:30  (北京时间)</w:t>
            </w:r>
          </w:p>
          <w:p>
            <w:pPr>
              <w:spacing w:line="300" w:lineRule="exact"/>
              <w:rPr>
                <w:rFonts w:ascii="宋体" w:hAnsi="宋体" w:cs="宋体"/>
                <w:color w:val="000000" w:themeColor="text1"/>
                <w:sz w:val="22"/>
              </w:rPr>
            </w:pPr>
            <w:r>
              <w:rPr>
                <w:rFonts w:hint="eastAsia" w:ascii="宋体" w:hAnsi="宋体" w:cs="宋体"/>
                <w:color w:val="000000" w:themeColor="text1"/>
                <w:sz w:val="22"/>
              </w:rPr>
              <w:t>开标地点：</w:t>
            </w:r>
            <w:r>
              <w:rPr>
                <w:rFonts w:hint="eastAsia" w:ascii="宋体" w:hAnsi="宋体"/>
                <w:color w:val="000000" w:themeColor="text1"/>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30</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评审委员会的</w:t>
            </w:r>
          </w:p>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组建</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31</w:t>
            </w:r>
          </w:p>
        </w:tc>
        <w:tc>
          <w:tcPr>
            <w:tcW w:w="1814" w:type="dxa"/>
            <w:vAlign w:val="center"/>
          </w:tcPr>
          <w:p>
            <w:pPr>
              <w:adjustRightIn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政府采购</w:t>
            </w:r>
          </w:p>
          <w:p>
            <w:pPr>
              <w:adjustRightInd w:val="0"/>
              <w:spacing w:line="300" w:lineRule="exact"/>
              <w:jc w:val="center"/>
              <w:rPr>
                <w:rFonts w:ascii="宋体" w:hAnsi="宋体" w:cs="宋体"/>
                <w:color w:val="000000" w:themeColor="text1"/>
                <w:sz w:val="22"/>
              </w:rPr>
            </w:pPr>
            <w:r>
              <w:rPr>
                <w:rFonts w:hint="eastAsia" w:ascii="宋体" w:hAnsi="宋体" w:cs="宋体"/>
                <w:color w:val="000000" w:themeColor="text1"/>
                <w:sz w:val="22"/>
              </w:rPr>
              <w:t>扶持政策</w:t>
            </w:r>
          </w:p>
        </w:tc>
        <w:tc>
          <w:tcPr>
            <w:tcW w:w="7776" w:type="dxa"/>
            <w:vAlign w:val="center"/>
          </w:tcPr>
          <w:p>
            <w:pPr>
              <w:spacing w:line="300" w:lineRule="exact"/>
              <w:rPr>
                <w:rFonts w:ascii="宋体" w:hAnsi="宋体" w:cs="宋体"/>
                <w:color w:val="000000" w:themeColor="text1"/>
                <w:sz w:val="22"/>
              </w:rPr>
            </w:pPr>
            <w:r>
              <w:rPr>
                <w:rFonts w:ascii="宋体" w:hAnsi="宋体" w:cs="宋体"/>
                <w:color w:val="000000" w:themeColor="text1"/>
                <w:sz w:val="22"/>
              </w:rPr>
              <w:t>1、扶持中小企业（监狱企业、残疾人福利性单位）：</w:t>
            </w:r>
          </w:p>
          <w:p>
            <w:pPr>
              <w:spacing w:line="300" w:lineRule="exact"/>
              <w:rPr>
                <w:rFonts w:ascii="宋体" w:hAnsi="宋体" w:cs="宋体"/>
                <w:color w:val="000000" w:themeColor="text1"/>
                <w:sz w:val="22"/>
              </w:rPr>
            </w:pPr>
            <w:r>
              <w:rPr>
                <w:rFonts w:ascii="宋体" w:hAnsi="宋体" w:cs="宋体"/>
                <w:color w:val="000000" w:themeColor="text1"/>
                <w:sz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pacing w:line="300" w:lineRule="exact"/>
              <w:rPr>
                <w:rFonts w:ascii="宋体" w:hAnsi="宋体" w:cs="宋体"/>
                <w:color w:val="000000" w:themeColor="text1"/>
                <w:sz w:val="22"/>
                <w:highlight w:val="none"/>
              </w:rPr>
            </w:pPr>
            <w:r>
              <w:rPr>
                <w:rFonts w:ascii="宋体" w:hAnsi="宋体" w:cs="宋体"/>
                <w:color w:val="000000" w:themeColor="text1"/>
                <w:sz w:val="22"/>
              </w:rPr>
              <w:t>（1）项目预算：</w:t>
            </w:r>
            <w:r>
              <w:rPr>
                <w:rFonts w:hint="eastAsia" w:ascii="宋体" w:hAnsi="宋体" w:cs="宋体"/>
                <w:color w:val="000000" w:themeColor="text1"/>
                <w:sz w:val="22"/>
                <w:highlight w:val="none"/>
                <w:u w:val="single"/>
              </w:rPr>
              <w:t xml:space="preserve">  686.9695    </w:t>
            </w:r>
            <w:r>
              <w:rPr>
                <w:rFonts w:ascii="宋体" w:hAnsi="宋体" w:cs="宋体"/>
                <w:color w:val="000000" w:themeColor="text1"/>
                <w:sz w:val="22"/>
                <w:highlight w:val="none"/>
              </w:rPr>
              <w:t>万元</w:t>
            </w:r>
          </w:p>
          <w:p>
            <w:pPr>
              <w:spacing w:line="300" w:lineRule="exact"/>
              <w:rPr>
                <w:rFonts w:ascii="宋体" w:hAnsi="宋体" w:cs="宋体"/>
                <w:color w:val="000000" w:themeColor="text1"/>
                <w:sz w:val="22"/>
                <w:highlight w:val="none"/>
              </w:rPr>
            </w:pPr>
            <w:r>
              <w:rPr>
                <w:rFonts w:ascii="宋体" w:hAnsi="宋体" w:cs="宋体"/>
                <w:color w:val="000000" w:themeColor="text1"/>
                <w:sz w:val="22"/>
                <w:highlight w:val="none"/>
              </w:rPr>
              <w:t>（2）项目属性：</w:t>
            </w:r>
            <w:r>
              <w:rPr>
                <w:rFonts w:hint="eastAsia" w:ascii="宋体" w:hAnsi="宋体" w:cs="宋体"/>
                <w:color w:val="000000" w:themeColor="text1"/>
                <w:sz w:val="22"/>
                <w:highlight w:val="none"/>
                <w:u w:val="single"/>
              </w:rPr>
              <w:t xml:space="preserve"> </w:t>
            </w:r>
            <w:r>
              <w:rPr>
                <w:rFonts w:ascii="宋体" w:hAnsi="宋体" w:cs="宋体"/>
                <w:color w:val="000000" w:themeColor="text1"/>
                <w:sz w:val="22"/>
                <w:highlight w:val="none"/>
              </w:rPr>
              <w:t>③</w:t>
            </w:r>
            <w:r>
              <w:rPr>
                <w:rFonts w:hint="eastAsia" w:ascii="宋体" w:hAnsi="宋体" w:cs="宋体"/>
                <w:color w:val="000000" w:themeColor="text1"/>
                <w:sz w:val="22"/>
                <w:highlight w:val="none"/>
                <w:u w:val="single"/>
              </w:rPr>
              <w:t xml:space="preserve">工程类      </w:t>
            </w:r>
            <w:r>
              <w:rPr>
                <w:rFonts w:ascii="宋体" w:hAnsi="宋体" w:cs="宋体"/>
                <w:color w:val="000000" w:themeColor="text1"/>
                <w:sz w:val="22"/>
                <w:highlight w:val="none"/>
              </w:rPr>
              <w:t>（①货物类/②服务类/③工程类）</w:t>
            </w:r>
          </w:p>
          <w:p>
            <w:pPr>
              <w:spacing w:line="300" w:lineRule="exact"/>
              <w:rPr>
                <w:rFonts w:ascii="宋体" w:hAnsi="宋体" w:cs="宋体"/>
                <w:color w:val="000000" w:themeColor="text1"/>
                <w:sz w:val="22"/>
                <w:highlight w:val="none"/>
              </w:rPr>
            </w:pPr>
            <w:r>
              <w:rPr>
                <w:rFonts w:ascii="宋体" w:hAnsi="宋体" w:cs="宋体"/>
                <w:color w:val="000000" w:themeColor="text1"/>
                <w:sz w:val="22"/>
                <w:highlight w:val="none"/>
              </w:rPr>
              <w:t>（3）项目对应的中小企业划分标准所属行业：</w:t>
            </w:r>
            <w:r>
              <w:rPr>
                <w:rFonts w:ascii="宋体" w:hAnsi="宋体" w:cs="宋体"/>
                <w:color w:val="000000" w:themeColor="text1"/>
                <w:sz w:val="22"/>
                <w:highlight w:val="none"/>
                <w:u w:val="single"/>
              </w:rPr>
              <w:t xml:space="preserve">  </w:t>
            </w:r>
            <w:r>
              <w:rPr>
                <w:rFonts w:hint="eastAsia" w:ascii="宋体" w:hAnsi="宋体" w:cs="宋体"/>
                <w:color w:val="000000" w:themeColor="text1"/>
                <w:sz w:val="22"/>
                <w:highlight w:val="none"/>
                <w:u w:val="single"/>
              </w:rPr>
              <w:t>软件和信息技术服务业</w:t>
            </w:r>
            <w:r>
              <w:rPr>
                <w:rFonts w:ascii="宋体" w:hAnsi="宋体" w:cs="宋体"/>
                <w:color w:val="000000" w:themeColor="text1"/>
                <w:sz w:val="22"/>
                <w:highlight w:val="none"/>
                <w:u w:val="single"/>
              </w:rPr>
              <w:t xml:space="preserve">    </w:t>
            </w:r>
            <w:r>
              <w:rPr>
                <w:rFonts w:ascii="宋体" w:hAnsi="宋体" w:cs="宋体"/>
                <w:color w:val="000000" w:themeColor="text1"/>
                <w:sz w:val="22"/>
                <w:highlight w:val="none"/>
              </w:rPr>
              <w:t>（具体根据《中小企业划型标准规定》执行）</w:t>
            </w:r>
          </w:p>
          <w:p>
            <w:pPr>
              <w:spacing w:line="300" w:lineRule="exact"/>
              <w:rPr>
                <w:rFonts w:ascii="宋体" w:hAnsi="宋体" w:cs="宋体"/>
                <w:color w:val="000000" w:themeColor="text1"/>
                <w:sz w:val="22"/>
              </w:rPr>
            </w:pPr>
            <w:r>
              <w:rPr>
                <w:rFonts w:ascii="宋体" w:hAnsi="宋体" w:cs="宋体"/>
                <w:color w:val="000000" w:themeColor="text1"/>
                <w:sz w:val="22"/>
                <w:highlight w:val="none"/>
              </w:rPr>
              <w:t xml:space="preserve">（4）本项目 </w:t>
            </w:r>
            <w:r>
              <w:rPr>
                <w:rFonts w:ascii="宋体" w:hAnsi="宋体" w:cs="宋体"/>
                <w:color w:val="000000" w:themeColor="text1"/>
                <w:sz w:val="22"/>
                <w:highlight w:val="none"/>
                <w:u w:val="single"/>
              </w:rPr>
              <w:t xml:space="preserve"> </w:t>
            </w:r>
            <w:r>
              <w:rPr>
                <w:rFonts w:hint="eastAsia" w:ascii="宋体" w:hAnsi="宋体" w:cs="宋体"/>
                <w:color w:val="000000" w:themeColor="text1"/>
                <w:sz w:val="22"/>
                <w:highlight w:val="none"/>
                <w:u w:val="single"/>
              </w:rPr>
              <w:t>否</w:t>
            </w:r>
            <w:r>
              <w:rPr>
                <w:rFonts w:ascii="宋体" w:hAnsi="宋体" w:cs="宋体"/>
                <w:color w:val="000000" w:themeColor="text1"/>
                <w:sz w:val="22"/>
                <w:highlight w:val="none"/>
                <w:u w:val="single"/>
              </w:rPr>
              <w:t xml:space="preserve"> </w:t>
            </w:r>
            <w:r>
              <w:rPr>
                <w:rFonts w:ascii="宋体" w:hAnsi="宋体" w:cs="宋体"/>
                <w:color w:val="000000" w:themeColor="text1"/>
                <w:sz w:val="22"/>
                <w:highlight w:val="none"/>
              </w:rPr>
              <w:t>（是/否）属</w:t>
            </w:r>
            <w:r>
              <w:rPr>
                <w:rFonts w:ascii="宋体" w:hAnsi="宋体" w:cs="宋体"/>
                <w:color w:val="000000" w:themeColor="text1"/>
                <w:sz w:val="22"/>
              </w:rPr>
              <w:t>于预留份额专门面向中小企业采购的项目。</w:t>
            </w:r>
          </w:p>
          <w:p>
            <w:pPr>
              <w:spacing w:line="300" w:lineRule="exact"/>
              <w:rPr>
                <w:rFonts w:ascii="宋体" w:hAnsi="宋体" w:cs="宋体"/>
                <w:color w:val="000000" w:themeColor="text1"/>
                <w:sz w:val="22"/>
              </w:rPr>
            </w:pPr>
            <w:r>
              <w:rPr>
                <w:rFonts w:ascii="宋体" w:hAnsi="宋体" w:cs="宋体"/>
                <w:color w:val="000000" w:themeColor="text1"/>
                <w:sz w:val="22"/>
              </w:rPr>
              <w:t>2、节能产品、环境标志产品的强制采购政策</w:t>
            </w:r>
          </w:p>
          <w:p>
            <w:pPr>
              <w:spacing w:line="300" w:lineRule="exact"/>
              <w:rPr>
                <w:rFonts w:ascii="宋体" w:hAnsi="宋体" w:cs="宋体"/>
                <w:color w:val="000000" w:themeColor="text1"/>
                <w:sz w:val="22"/>
              </w:rPr>
            </w:pPr>
            <w:r>
              <w:rPr>
                <w:rFonts w:ascii="宋体" w:hAnsi="宋体" w:cs="宋体"/>
                <w:color w:val="000000" w:themeColor="text1"/>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300" w:lineRule="exact"/>
              <w:rPr>
                <w:rFonts w:ascii="宋体" w:hAnsi="宋体" w:cs="宋体"/>
                <w:color w:val="000000" w:themeColor="text1"/>
                <w:sz w:val="22"/>
              </w:rPr>
            </w:pPr>
            <w:r>
              <w:rPr>
                <w:rFonts w:ascii="宋体" w:hAnsi="宋体" w:cs="宋体"/>
                <w:color w:val="000000" w:themeColor="text1"/>
                <w:sz w:val="22"/>
              </w:rPr>
              <w:t>3、节能产品、环境标志产品的优先采购政策</w:t>
            </w:r>
          </w:p>
          <w:p>
            <w:pPr>
              <w:spacing w:line="300" w:lineRule="exact"/>
              <w:rPr>
                <w:rFonts w:ascii="宋体" w:hAnsi="宋体"/>
                <w:color w:val="000000" w:themeColor="text1"/>
                <w:sz w:val="22"/>
              </w:rPr>
            </w:pPr>
            <w:r>
              <w:rPr>
                <w:rFonts w:ascii="宋体" w:hAnsi="宋体" w:cs="宋体"/>
                <w:color w:val="000000" w:themeColor="text1"/>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32</w:t>
            </w:r>
          </w:p>
        </w:tc>
        <w:tc>
          <w:tcPr>
            <w:tcW w:w="1814" w:type="dxa"/>
            <w:vAlign w:val="center"/>
          </w:tcPr>
          <w:p>
            <w:pPr>
              <w:pStyle w:val="52"/>
              <w:ind w:firstLine="0" w:firstLineChars="0"/>
              <w:rPr>
                <w:rFonts w:hAnsi="宋体" w:cs="宋体"/>
                <w:color w:val="000000" w:themeColor="text1"/>
                <w:sz w:val="22"/>
                <w:szCs w:val="22"/>
              </w:rPr>
            </w:pPr>
            <w:r>
              <w:rPr>
                <w:rFonts w:hint="eastAsia" w:hAnsi="宋体" w:cs="仿宋_GB2312"/>
                <w:snapToGrid w:val="0"/>
                <w:color w:val="000000" w:themeColor="text1"/>
                <w:sz w:val="22"/>
                <w:szCs w:val="22"/>
              </w:rPr>
              <w:t>节能产品</w:t>
            </w:r>
          </w:p>
        </w:tc>
        <w:tc>
          <w:tcPr>
            <w:tcW w:w="7776" w:type="dxa"/>
            <w:vAlign w:val="center"/>
          </w:tcPr>
          <w:p>
            <w:pPr>
              <w:snapToGrid w:val="0"/>
              <w:spacing w:line="360" w:lineRule="auto"/>
              <w:rPr>
                <w:rFonts w:ascii="宋体" w:hAnsi="宋体" w:cs="仿宋"/>
                <w:color w:val="000000" w:themeColor="text1"/>
                <w:sz w:val="22"/>
              </w:rPr>
            </w:pPr>
            <w:r>
              <w:rPr>
                <w:rFonts w:hint="eastAsia" w:ascii="宋体" w:hAnsi="宋体" w:cs="仿宋"/>
                <w:color w:val="000000" w:themeColor="text1"/>
                <w:sz w:val="22"/>
              </w:rPr>
              <w:t>□ 强制采购节能产品</w:t>
            </w:r>
          </w:p>
          <w:p>
            <w:pPr>
              <w:pStyle w:val="52"/>
              <w:ind w:firstLine="0" w:firstLineChars="0"/>
              <w:rPr>
                <w:rFonts w:hAnsi="宋体" w:cs="仿宋"/>
                <w:color w:val="000000" w:themeColor="text1"/>
                <w:kern w:val="2"/>
                <w:sz w:val="22"/>
                <w:szCs w:val="22"/>
              </w:rPr>
            </w:pPr>
            <w:r>
              <w:rPr>
                <w:rFonts w:hint="eastAsia" w:hAnsi="宋体" w:cs="仿宋"/>
                <w:color w:val="000000" w:themeColor="text1"/>
                <w:kern w:val="2"/>
                <w:sz w:val="22"/>
                <w:szCs w:val="22"/>
              </w:rPr>
              <w:sym w:font="Wingdings 2" w:char="0052"/>
            </w:r>
            <w:r>
              <w:rPr>
                <w:rFonts w:hint="eastAsia" w:hAnsi="宋体" w:cs="仿宋"/>
                <w:color w:val="000000" w:themeColor="text1"/>
                <w:kern w:val="2"/>
                <w:sz w:val="22"/>
                <w:szCs w:val="22"/>
              </w:rPr>
              <w:t xml:space="preserve"> 优先采购节能产品</w:t>
            </w:r>
          </w:p>
          <w:p>
            <w:pPr>
              <w:pStyle w:val="52"/>
              <w:ind w:firstLine="0" w:firstLineChars="0"/>
              <w:rPr>
                <w:rFonts w:hAnsi="宋体" w:cs="宋体"/>
                <w:color w:val="000000" w:themeColor="text1"/>
                <w:sz w:val="22"/>
                <w:szCs w:val="22"/>
              </w:rPr>
            </w:pPr>
            <w:r>
              <w:rPr>
                <w:rFonts w:hint="eastAsia" w:hAnsi="宋体" w:cs="仿宋"/>
                <w:color w:val="000000" w:themeColor="text1"/>
                <w:kern w:val="2"/>
                <w:sz w:val="22"/>
                <w:szCs w:val="22"/>
              </w:rPr>
              <w:sym w:font="Wingdings" w:char="00A8"/>
            </w:r>
            <w:r>
              <w:rPr>
                <w:rFonts w:hint="eastAsia" w:hAnsi="宋体" w:cs="仿宋"/>
                <w:color w:val="000000" w:themeColor="text1"/>
                <w:kern w:val="2"/>
                <w:sz w:val="22"/>
                <w:szCs w:val="22"/>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33</w:t>
            </w:r>
          </w:p>
        </w:tc>
        <w:tc>
          <w:tcPr>
            <w:tcW w:w="1814" w:type="dxa"/>
            <w:vAlign w:val="center"/>
          </w:tcPr>
          <w:p>
            <w:pPr>
              <w:pStyle w:val="52"/>
              <w:ind w:firstLine="0" w:firstLineChars="0"/>
              <w:rPr>
                <w:rFonts w:hAnsi="宋体" w:cs="宋体"/>
                <w:color w:val="000000" w:themeColor="text1"/>
                <w:sz w:val="22"/>
                <w:szCs w:val="22"/>
              </w:rPr>
            </w:pPr>
            <w:r>
              <w:rPr>
                <w:rFonts w:hint="eastAsia" w:hAnsi="宋体" w:cs="仿宋_GB2312"/>
                <w:snapToGrid w:val="0"/>
                <w:color w:val="000000" w:themeColor="text1"/>
                <w:sz w:val="22"/>
                <w:szCs w:val="22"/>
              </w:rPr>
              <w:t>环境标志产品</w:t>
            </w:r>
          </w:p>
        </w:tc>
        <w:tc>
          <w:tcPr>
            <w:tcW w:w="7776" w:type="dxa"/>
            <w:vAlign w:val="center"/>
          </w:tcPr>
          <w:p>
            <w:pPr>
              <w:pStyle w:val="52"/>
              <w:ind w:firstLine="0" w:firstLineChars="0"/>
              <w:rPr>
                <w:rFonts w:hAnsi="宋体" w:cs="仿宋"/>
                <w:color w:val="000000" w:themeColor="text1"/>
                <w:kern w:val="2"/>
                <w:sz w:val="22"/>
                <w:szCs w:val="22"/>
              </w:rPr>
            </w:pPr>
            <w:r>
              <w:rPr>
                <w:rFonts w:hint="eastAsia" w:hAnsi="宋体" w:cs="仿宋"/>
                <w:color w:val="000000" w:themeColor="text1"/>
                <w:kern w:val="2"/>
                <w:sz w:val="22"/>
                <w:szCs w:val="22"/>
              </w:rPr>
              <w:sym w:font="Wingdings 2" w:char="0052"/>
            </w:r>
            <w:r>
              <w:rPr>
                <w:rFonts w:hint="eastAsia" w:hAnsi="宋体" w:cs="仿宋"/>
                <w:color w:val="000000" w:themeColor="text1"/>
                <w:kern w:val="2"/>
                <w:sz w:val="22"/>
                <w:szCs w:val="22"/>
              </w:rPr>
              <w:t xml:space="preserve"> 优先采购环境标志产品</w:t>
            </w:r>
          </w:p>
          <w:p>
            <w:pPr>
              <w:snapToGrid w:val="0"/>
              <w:spacing w:line="360" w:lineRule="auto"/>
              <w:rPr>
                <w:rFonts w:ascii="宋体" w:hAnsi="宋体" w:cs="宋体"/>
                <w:color w:val="000000" w:themeColor="text1"/>
                <w:sz w:val="22"/>
              </w:rPr>
            </w:pPr>
            <w:r>
              <w:rPr>
                <w:rFonts w:hint="eastAsia" w:ascii="宋体" w:hAnsi="宋体" w:cs="仿宋"/>
                <w:color w:val="000000" w:themeColor="text1"/>
                <w:sz w:val="22"/>
              </w:rPr>
              <w:sym w:font="Wingdings" w:char="00A8"/>
            </w:r>
            <w:r>
              <w:rPr>
                <w:rFonts w:hint="eastAsia" w:ascii="宋体" w:hAnsi="宋体" w:cs="仿宋"/>
                <w:color w:val="000000" w:themeColor="text1"/>
                <w:sz w:val="22"/>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34</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投标供应商</w:t>
            </w:r>
          </w:p>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信用查询</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根据《关于在政府采购活动中查询及使用信用记录有关问题的通知》财库[2016]125号的规定：</w:t>
            </w:r>
          </w:p>
          <w:p>
            <w:pPr>
              <w:spacing w:line="300" w:lineRule="exact"/>
              <w:rPr>
                <w:rFonts w:ascii="宋体" w:hAnsi="宋体" w:cs="宋体"/>
                <w:color w:val="000000" w:themeColor="text1"/>
                <w:sz w:val="22"/>
              </w:rPr>
            </w:pPr>
            <w:r>
              <w:rPr>
                <w:rFonts w:hint="eastAsia" w:ascii="宋体" w:hAnsi="宋体" w:cs="宋体"/>
                <w:color w:val="000000" w:themeColor="text1"/>
                <w:sz w:val="22"/>
              </w:rPr>
              <w:t>（1）招标人或采购代理机构将对本项目供应商的信用记录进行查询。查询渠道为信用中国网站（www.creditchina.gov.cn）、中国政府采购网（www.ccgp.gov.cn）；</w:t>
            </w:r>
          </w:p>
          <w:p>
            <w:pPr>
              <w:spacing w:line="300" w:lineRule="exact"/>
              <w:rPr>
                <w:rFonts w:ascii="宋体" w:hAnsi="宋体" w:cs="宋体"/>
                <w:color w:val="000000" w:themeColor="text1"/>
                <w:sz w:val="22"/>
              </w:rPr>
            </w:pPr>
            <w:r>
              <w:rPr>
                <w:rFonts w:hint="eastAsia" w:ascii="宋体" w:hAnsi="宋体" w:cs="宋体"/>
                <w:color w:val="000000" w:themeColor="text1"/>
                <w:sz w:val="22"/>
              </w:rPr>
              <w:t>（2）截止时点：提交投标文件（响应文件）截止时间前3年内；</w:t>
            </w:r>
          </w:p>
          <w:p>
            <w:pPr>
              <w:spacing w:line="300" w:lineRule="exact"/>
              <w:rPr>
                <w:rFonts w:ascii="宋体" w:hAnsi="宋体" w:cs="宋体"/>
                <w:color w:val="000000" w:themeColor="text1"/>
                <w:sz w:val="22"/>
              </w:rPr>
            </w:pPr>
            <w:r>
              <w:rPr>
                <w:rFonts w:hint="eastAsia" w:ascii="宋体" w:hAnsi="宋体" w:cs="宋体"/>
                <w:color w:val="000000" w:themeColor="text1"/>
                <w:sz w:val="22"/>
              </w:rPr>
              <w:t>（3）查询记录和证据的留存：信用信息查询记录和证据以网页截图等方式留存。</w:t>
            </w:r>
          </w:p>
          <w:p>
            <w:pPr>
              <w:spacing w:line="300" w:lineRule="exact"/>
              <w:rPr>
                <w:rFonts w:ascii="宋体" w:hAnsi="宋体" w:cs="宋体"/>
                <w:color w:val="000000" w:themeColor="text1"/>
                <w:sz w:val="22"/>
              </w:rPr>
            </w:pPr>
            <w:r>
              <w:rPr>
                <w:rFonts w:hint="eastAsia" w:ascii="宋体" w:hAnsi="宋体" w:cs="宋体"/>
                <w:color w:val="000000" w:themeColor="text1"/>
                <w:sz w:val="22"/>
              </w:rPr>
              <w:t>（4）使用规则：被列入失信被执行人、重大税收违法案件当事人名单、政府采购严重违法失信行为记录名单及其它不符合《中华人民共和国政府采购法》第二十二条规定条件的，其投标将被拒绝。</w:t>
            </w:r>
          </w:p>
          <w:p>
            <w:pPr>
              <w:spacing w:line="300" w:lineRule="exact"/>
              <w:rPr>
                <w:rFonts w:ascii="宋体" w:hAnsi="宋体" w:cs="宋体"/>
                <w:color w:val="000000" w:themeColor="text1"/>
                <w:sz w:val="22"/>
              </w:rPr>
            </w:pPr>
            <w:r>
              <w:rPr>
                <w:rFonts w:hint="eastAsia" w:ascii="宋体" w:hAnsi="宋体" w:cs="宋体"/>
                <w:color w:val="000000" w:themeColor="text1"/>
                <w:sz w:val="2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35</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合同备案</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1.除不可抗力等特殊情况外，采购人原则上应当在中标通知书发出之日起20日内，与成交人按照采购文件确定的事项签订政府采购合同，中标供应商与采购人签订合同后，2天内将</w:t>
            </w:r>
            <w:r>
              <w:rPr>
                <w:rFonts w:hint="eastAsia" w:ascii="宋体" w:hAnsi="宋体" w:cs="宋体"/>
                <w:b/>
                <w:bCs/>
                <w:color w:val="000000" w:themeColor="text1"/>
                <w:sz w:val="22"/>
              </w:rPr>
              <w:t>合同原件</w:t>
            </w:r>
            <w:r>
              <w:rPr>
                <w:rFonts w:hint="eastAsia" w:ascii="宋体" w:hAnsi="宋体" w:cs="宋体"/>
                <w:color w:val="000000" w:themeColor="text1"/>
                <w:sz w:val="22"/>
              </w:rPr>
              <w:t>送至采购人及采购机构处，并在签订之日起2个工作日内将政府采购合同在浙江政府采购网上公告。</w:t>
            </w:r>
          </w:p>
          <w:p>
            <w:pPr>
              <w:spacing w:line="300" w:lineRule="exact"/>
              <w:rPr>
                <w:rFonts w:ascii="宋体" w:hAnsi="宋体" w:cs="宋体"/>
                <w:color w:val="000000" w:themeColor="text1"/>
                <w:sz w:val="22"/>
              </w:rPr>
            </w:pPr>
            <w:r>
              <w:rPr>
                <w:rFonts w:hint="eastAsia" w:ascii="宋体" w:hAnsi="宋体" w:cs="宋体"/>
                <w:color w:val="000000" w:themeColor="text1"/>
                <w:sz w:val="22"/>
              </w:rPr>
              <w:t>2.成交人按规定的日期、时间、地点，由法定代表人或其授权代表与采购人代表签订合同。如成交人为联合体的，由联合体成员各方法定代表人或其授权代表与采购人代表签订合同。</w:t>
            </w:r>
          </w:p>
          <w:p>
            <w:pPr>
              <w:spacing w:line="300" w:lineRule="exact"/>
              <w:rPr>
                <w:rFonts w:ascii="宋体" w:hAnsi="宋体" w:cs="宋体"/>
                <w:color w:val="000000" w:themeColor="text1"/>
                <w:sz w:val="22"/>
              </w:rPr>
            </w:pPr>
            <w:r>
              <w:rPr>
                <w:rFonts w:hint="eastAsia" w:ascii="宋体" w:hAnsi="宋体" w:cs="宋体"/>
                <w:color w:val="000000" w:themeColor="text1"/>
                <w:sz w:val="22"/>
              </w:rPr>
              <w:t>3.如签订合同并生效后，供应商无故拒绝或延期，除按照合同条款处理外，列入不良行为记录一次，并给予通报。</w:t>
            </w:r>
          </w:p>
          <w:p>
            <w:pPr>
              <w:spacing w:line="300" w:lineRule="exact"/>
              <w:rPr>
                <w:rFonts w:ascii="宋体" w:hAnsi="宋体" w:cs="宋体"/>
                <w:color w:val="000000" w:themeColor="text1"/>
                <w:sz w:val="22"/>
              </w:rPr>
            </w:pPr>
            <w:r>
              <w:rPr>
                <w:rFonts w:hint="eastAsia" w:ascii="宋体" w:hAnsi="宋体" w:cs="宋体"/>
                <w:color w:val="000000" w:themeColor="text1"/>
                <w:sz w:val="22"/>
              </w:rPr>
              <w:t>4.成交人拒绝与采购人签订合同的，采购人可以按照评审报告推荐的中标或者成交候选人名单排序，确定下一候选人为成交人，也可以重新开展政府采购活动。</w:t>
            </w:r>
          </w:p>
          <w:p>
            <w:pPr>
              <w:spacing w:line="300" w:lineRule="exact"/>
              <w:rPr>
                <w:rFonts w:ascii="宋体" w:hAnsi="宋体" w:cs="宋体"/>
                <w:color w:val="000000" w:themeColor="text1"/>
                <w:sz w:val="22"/>
              </w:rPr>
            </w:pPr>
            <w:r>
              <w:rPr>
                <w:rFonts w:hint="eastAsia" w:ascii="宋体" w:hAnsi="宋体" w:cs="宋体"/>
                <w:color w:val="000000" w:themeColor="text1"/>
                <w:sz w:val="22"/>
              </w:rPr>
              <w:t>5.采购合同由采购人与成交人根据采购文件、磋商响应文件等内容通过政府采购电子交易平台在线签订，自动备案。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36</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合同履约管理</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37</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免责声明</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hAnsi="宋体" w:cs="宋体"/>
                <w:color w:val="000000" w:themeColor="text1"/>
                <w:sz w:val="22"/>
              </w:rPr>
            </w:pPr>
            <w:r>
              <w:rPr>
                <w:rFonts w:hint="eastAsia" w:ascii="宋体" w:hAnsi="宋体" w:cs="宋体"/>
                <w:color w:val="000000" w:themeColor="text1"/>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38</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招标文件质疑截止时间</w:t>
            </w:r>
          </w:p>
        </w:tc>
        <w:tc>
          <w:tcPr>
            <w:tcW w:w="7776" w:type="dxa"/>
            <w:vAlign w:val="center"/>
          </w:tcPr>
          <w:p>
            <w:pPr>
              <w:spacing w:line="300" w:lineRule="exact"/>
              <w:rPr>
                <w:rFonts w:ascii="宋体" w:hAnsi="宋体"/>
                <w:color w:val="000000" w:themeColor="text1"/>
                <w:sz w:val="22"/>
              </w:rPr>
            </w:pPr>
            <w:r>
              <w:rPr>
                <w:rFonts w:hint="eastAsia" w:ascii="宋体" w:hAnsi="宋体" w:cs="宋体"/>
                <w:color w:val="000000" w:themeColor="text1"/>
                <w:sz w:val="22"/>
              </w:rPr>
              <w:t>招标公告期限届满之日七个工作日，逾期不予受理及答复。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39</w:t>
            </w:r>
          </w:p>
        </w:tc>
        <w:tc>
          <w:tcPr>
            <w:tcW w:w="1814" w:type="dxa"/>
            <w:vAlign w:val="center"/>
          </w:tcPr>
          <w:p>
            <w:pPr>
              <w:spacing w:line="300" w:lineRule="exact"/>
              <w:jc w:val="center"/>
              <w:rPr>
                <w:rFonts w:ascii="宋体" w:hAnsi="宋体" w:cs="宋体"/>
                <w:color w:val="000000" w:themeColor="text1"/>
                <w:sz w:val="22"/>
              </w:rPr>
            </w:pPr>
            <w:r>
              <w:rPr>
                <w:rFonts w:hint="eastAsia" w:ascii="宋体" w:hAnsi="宋体" w:cs="宋体"/>
                <w:color w:val="000000" w:themeColor="text1"/>
                <w:sz w:val="22"/>
              </w:rPr>
              <w:t>解释权</w:t>
            </w:r>
          </w:p>
        </w:tc>
        <w:tc>
          <w:tcPr>
            <w:tcW w:w="7776" w:type="dxa"/>
            <w:vAlign w:val="center"/>
          </w:tcPr>
          <w:p>
            <w:pPr>
              <w:spacing w:line="300" w:lineRule="exact"/>
              <w:rPr>
                <w:rFonts w:ascii="宋体" w:hAnsi="宋体" w:cs="宋体"/>
                <w:color w:val="000000" w:themeColor="text1"/>
                <w:sz w:val="22"/>
              </w:rPr>
            </w:pPr>
            <w:r>
              <w:rPr>
                <w:rFonts w:hint="eastAsia" w:ascii="宋体" w:hAnsi="宋体" w:cs="宋体"/>
                <w:color w:val="000000" w:themeColor="text1"/>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40</w:t>
            </w:r>
          </w:p>
        </w:tc>
        <w:tc>
          <w:tcPr>
            <w:tcW w:w="1814" w:type="dxa"/>
            <w:vAlign w:val="center"/>
          </w:tcPr>
          <w:p>
            <w:pPr>
              <w:spacing w:line="300" w:lineRule="exact"/>
              <w:jc w:val="center"/>
              <w:rPr>
                <w:rFonts w:ascii="宋体" w:hAnsi="宋体" w:cs="Courier New"/>
                <w:color w:val="000000" w:themeColor="text1"/>
                <w:sz w:val="22"/>
              </w:rPr>
            </w:pPr>
            <w:r>
              <w:rPr>
                <w:rFonts w:hint="eastAsia" w:ascii="宋体" w:hAnsi="宋体"/>
                <w:color w:val="000000" w:themeColor="text1"/>
                <w:sz w:val="22"/>
              </w:rPr>
              <w:t>注意事项</w:t>
            </w:r>
          </w:p>
        </w:tc>
        <w:tc>
          <w:tcPr>
            <w:tcW w:w="7776" w:type="dxa"/>
            <w:vAlign w:val="center"/>
          </w:tcPr>
          <w:p>
            <w:pPr>
              <w:spacing w:line="300" w:lineRule="exact"/>
              <w:rPr>
                <w:rFonts w:ascii="宋体" w:hAnsi="宋体" w:cs="Courier New"/>
                <w:color w:val="000000" w:themeColor="text1"/>
                <w:sz w:val="22"/>
              </w:rPr>
            </w:pPr>
            <w:r>
              <w:rPr>
                <w:rFonts w:hint="eastAsia" w:ascii="宋体" w:hAnsi="宋体" w:cs="Courier New"/>
                <w:color w:val="000000" w:themeColor="text1"/>
                <w:sz w:val="22"/>
              </w:rPr>
              <w:t>1.请务必确保投标文件制作客户端为最新版本，旧版本可能导致投标文件解密失败。</w:t>
            </w:r>
          </w:p>
          <w:p>
            <w:pPr>
              <w:spacing w:line="300" w:lineRule="exact"/>
              <w:rPr>
                <w:rFonts w:ascii="宋体" w:hAnsi="宋体"/>
                <w:color w:val="000000" w:themeColor="text1"/>
                <w:sz w:val="22"/>
              </w:rPr>
            </w:pPr>
            <w:r>
              <w:rPr>
                <w:rFonts w:hint="eastAsia" w:ascii="宋体" w:hAnsi="宋体" w:cs="Courier New"/>
                <w:color w:val="000000" w:themeColor="text1"/>
                <w:sz w:val="22"/>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bookmarkStart w:id="172" w:name="_Hlk112337493"/>
            <w:r>
              <w:rPr>
                <w:rFonts w:hint="eastAsia" w:ascii="宋体" w:hAnsi="宋体" w:cs="宋体"/>
                <w:color w:val="000000" w:themeColor="text1"/>
                <w:sz w:val="22"/>
              </w:rPr>
              <w:t>4</w:t>
            </w:r>
            <w:r>
              <w:rPr>
                <w:rFonts w:ascii="宋体" w:hAnsi="宋体" w:cs="宋体"/>
                <w:color w:val="000000" w:themeColor="text1"/>
                <w:sz w:val="22"/>
              </w:rPr>
              <w:t>1</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质保期</w:t>
            </w:r>
          </w:p>
        </w:tc>
        <w:tc>
          <w:tcPr>
            <w:tcW w:w="7776" w:type="dxa"/>
            <w:vAlign w:val="center"/>
          </w:tcPr>
          <w:p>
            <w:pPr>
              <w:spacing w:line="300" w:lineRule="exact"/>
              <w:rPr>
                <w:rFonts w:ascii="宋体" w:hAnsi="宋体" w:cs="Courier New"/>
                <w:color w:val="000000" w:themeColor="text1"/>
                <w:sz w:val="22"/>
              </w:rPr>
            </w:pPr>
            <w:r>
              <w:rPr>
                <w:rFonts w:hint="eastAsia" w:ascii="宋体" w:hAnsi="宋体"/>
                <w:color w:val="000000" w:themeColor="text1"/>
                <w:highlight w:val="none"/>
              </w:rPr>
              <w:t>本项目要求</w:t>
            </w:r>
            <w:r>
              <w:rPr>
                <w:rFonts w:ascii="宋体" w:hAnsi="宋体"/>
                <w:color w:val="000000" w:themeColor="text1"/>
                <w:highlight w:val="none"/>
              </w:rPr>
              <w:t>为</w:t>
            </w:r>
            <w:r>
              <w:rPr>
                <w:rFonts w:hint="eastAsia" w:ascii="宋体" w:hAnsi="宋体"/>
                <w:b/>
                <w:bCs/>
                <w:color w:val="000000" w:themeColor="text1"/>
                <w:highlight w:val="none"/>
                <w:lang w:val="en-US" w:eastAsia="zh-CN"/>
              </w:rPr>
              <w:t>3</w:t>
            </w:r>
            <w:r>
              <w:rPr>
                <w:rFonts w:hint="eastAsia" w:ascii="宋体" w:hAnsi="宋体"/>
                <w:b/>
                <w:bCs/>
                <w:color w:val="000000" w:themeColor="text1"/>
                <w:highlight w:val="none"/>
              </w:rPr>
              <w:t>年质保</w:t>
            </w:r>
            <w:r>
              <w:rPr>
                <w:rFonts w:hint="eastAsia" w:ascii="宋体" w:hAnsi="宋体"/>
                <w:color w:val="000000" w:themeColor="text1"/>
                <w:highlight w:val="none"/>
              </w:rPr>
              <w:t>。质保期从安装调试完毕，验收合格之日开始计算。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2</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售后技术服务要求</w:t>
            </w:r>
          </w:p>
        </w:tc>
        <w:tc>
          <w:tcPr>
            <w:tcW w:w="7776" w:type="dxa"/>
            <w:vAlign w:val="center"/>
          </w:tcPr>
          <w:p>
            <w:pPr>
              <w:spacing w:line="360" w:lineRule="auto"/>
              <w:rPr>
                <w:rFonts w:ascii="宋体" w:hAnsi="宋体"/>
                <w:color w:val="000000" w:themeColor="text1"/>
                <w:szCs w:val="21"/>
              </w:rPr>
            </w:pPr>
            <w:r>
              <w:rPr>
                <w:rFonts w:hint="eastAsia" w:ascii="宋体" w:hAnsi="宋体"/>
                <w:color w:val="000000" w:themeColor="text1"/>
                <w:szCs w:val="21"/>
              </w:rPr>
              <w:t>1、在质保期内，采购人有故障申报，中标人必须在半小时内响应，5小时内解决。若不能在5小时内解决，须提供同等性能、同等配置的产品替换。 免费质保期内，与保修和维修相关的所有费用由中标人负责。</w:t>
            </w:r>
          </w:p>
          <w:p>
            <w:pPr>
              <w:spacing w:line="360" w:lineRule="auto"/>
              <w:rPr>
                <w:rFonts w:ascii="宋体" w:hAnsi="宋体"/>
                <w:color w:val="000000" w:themeColor="text1"/>
                <w:szCs w:val="21"/>
              </w:rPr>
            </w:pPr>
            <w:r>
              <w:rPr>
                <w:rFonts w:hint="eastAsia" w:ascii="Arial" w:hAnsi="Arial" w:cs="Arial"/>
                <w:b/>
                <w:color w:val="000000" w:themeColor="text1"/>
                <w:kern w:val="0"/>
                <w:lang w:eastAsia="zh-CN"/>
              </w:rPr>
              <w:t>★</w:t>
            </w:r>
            <w:r>
              <w:rPr>
                <w:rFonts w:hint="eastAsia" w:ascii="宋体" w:hAnsi="宋体"/>
                <w:color w:val="000000" w:themeColor="text1"/>
                <w:szCs w:val="21"/>
              </w:rPr>
              <w:t>2、</w:t>
            </w:r>
            <w:r>
              <w:rPr>
                <w:rFonts w:hint="eastAsia" w:ascii="宋体" w:hAnsi="宋体" w:eastAsia="宋体"/>
                <w:color w:val="000000" w:themeColor="text1"/>
                <w:szCs w:val="21"/>
              </w:rPr>
              <w:t>在质保期内，**教学信息化项目</w:t>
            </w:r>
            <w:bookmarkStart w:id="222" w:name="_GoBack"/>
            <w:bookmarkEnd w:id="222"/>
            <w:r>
              <w:rPr>
                <w:rFonts w:hint="eastAsia" w:ascii="宋体" w:hAnsi="宋体" w:eastAsia="宋体"/>
                <w:color w:val="000000" w:themeColor="text1"/>
                <w:szCs w:val="21"/>
              </w:rPr>
              <w:t>需派驻</w:t>
            </w:r>
            <w:r>
              <w:rPr>
                <w:rFonts w:hint="eastAsia" w:ascii="宋体" w:hAnsi="宋体"/>
                <w:color w:val="000000" w:themeColor="text1"/>
                <w:szCs w:val="21"/>
                <w:lang w:val="en-US" w:eastAsia="zh-CN"/>
              </w:rPr>
              <w:t>一</w:t>
            </w:r>
            <w:r>
              <w:rPr>
                <w:rFonts w:ascii="宋体" w:hAnsi="宋体" w:eastAsia="宋体"/>
                <w:color w:val="000000" w:themeColor="text1"/>
                <w:szCs w:val="21"/>
              </w:rPr>
              <w:t>名技术人员</w:t>
            </w:r>
            <w:r>
              <w:rPr>
                <w:rFonts w:hint="eastAsia" w:ascii="宋体" w:hAnsi="宋体" w:eastAsia="宋体"/>
                <w:color w:val="000000" w:themeColor="text1"/>
                <w:szCs w:val="21"/>
              </w:rPr>
              <w:t>（从事</w:t>
            </w:r>
            <w:r>
              <w:rPr>
                <w:rFonts w:ascii="宋体" w:hAnsi="宋体" w:eastAsia="宋体"/>
                <w:color w:val="000000" w:themeColor="text1"/>
                <w:szCs w:val="21"/>
              </w:rPr>
              <w:t>相关专业</w:t>
            </w:r>
            <w:r>
              <w:rPr>
                <w:rFonts w:hint="eastAsia" w:ascii="宋体" w:hAnsi="宋体" w:eastAsia="宋体"/>
                <w:color w:val="000000" w:themeColor="text1"/>
                <w:szCs w:val="21"/>
              </w:rPr>
              <w:t>3年</w:t>
            </w:r>
            <w:r>
              <w:rPr>
                <w:rFonts w:ascii="宋体" w:hAnsi="宋体" w:eastAsia="宋体"/>
                <w:color w:val="000000" w:themeColor="text1"/>
                <w:szCs w:val="21"/>
              </w:rPr>
              <w:t>以上，年龄</w:t>
            </w:r>
            <w:r>
              <w:rPr>
                <w:rFonts w:hint="eastAsia" w:ascii="宋体" w:hAnsi="宋体" w:eastAsia="宋体"/>
                <w:color w:val="000000" w:themeColor="text1"/>
                <w:szCs w:val="21"/>
              </w:rPr>
              <w:t>35岁</w:t>
            </w:r>
            <w:r>
              <w:rPr>
                <w:rFonts w:ascii="宋体" w:hAnsi="宋体" w:eastAsia="宋体"/>
                <w:color w:val="000000" w:themeColor="text1"/>
                <w:szCs w:val="21"/>
              </w:rPr>
              <w:t>以下</w:t>
            </w:r>
            <w:r>
              <w:rPr>
                <w:rFonts w:hint="eastAsia" w:ascii="宋体" w:hAnsi="宋体" w:eastAsia="宋体"/>
                <w:color w:val="000000" w:themeColor="text1"/>
                <w:szCs w:val="21"/>
              </w:rPr>
              <w:t>，</w:t>
            </w:r>
            <w:r>
              <w:rPr>
                <w:rFonts w:ascii="宋体" w:hAnsi="宋体" w:eastAsia="宋体"/>
                <w:color w:val="000000" w:themeColor="text1"/>
                <w:szCs w:val="21"/>
              </w:rPr>
              <w:t>提供</w:t>
            </w:r>
            <w:r>
              <w:rPr>
                <w:rFonts w:hint="eastAsia" w:ascii="宋体" w:hAnsi="宋体" w:eastAsia="宋体"/>
                <w:color w:val="000000" w:themeColor="text1"/>
                <w:szCs w:val="21"/>
              </w:rPr>
              <w:t>本单位</w:t>
            </w:r>
            <w:r>
              <w:rPr>
                <w:rFonts w:ascii="宋体" w:hAnsi="宋体" w:eastAsia="宋体"/>
                <w:color w:val="000000" w:themeColor="text1"/>
                <w:szCs w:val="21"/>
              </w:rPr>
              <w:t>三个月社保证明</w:t>
            </w:r>
            <w:r>
              <w:rPr>
                <w:rFonts w:hint="eastAsia" w:ascii="宋体" w:hAnsi="宋体" w:eastAsia="宋体"/>
                <w:color w:val="000000" w:themeColor="text1"/>
                <w:szCs w:val="21"/>
              </w:rPr>
              <w:t>）</w:t>
            </w:r>
            <w:r>
              <w:rPr>
                <w:rFonts w:ascii="宋体" w:hAnsi="宋体" w:eastAsia="宋体"/>
                <w:color w:val="000000" w:themeColor="text1"/>
                <w:szCs w:val="21"/>
              </w:rPr>
              <w:t>到**基地</w:t>
            </w:r>
            <w:r>
              <w:rPr>
                <w:rFonts w:hint="eastAsia" w:ascii="宋体" w:hAnsi="宋体" w:eastAsia="宋体"/>
                <w:color w:val="000000" w:themeColor="text1"/>
                <w:szCs w:val="21"/>
              </w:rPr>
              <w:t>驻场</w:t>
            </w:r>
            <w:r>
              <w:rPr>
                <w:rFonts w:ascii="宋体" w:hAnsi="宋体" w:eastAsia="宋体"/>
                <w:color w:val="000000" w:themeColor="text1"/>
                <w:szCs w:val="21"/>
              </w:rPr>
              <w:t>服务，</w:t>
            </w:r>
            <w:r>
              <w:rPr>
                <w:rFonts w:hint="eastAsia" w:ascii="宋体" w:hAnsi="宋体" w:eastAsia="宋体"/>
                <w:color w:val="000000" w:themeColor="text1"/>
                <w:szCs w:val="21"/>
              </w:rPr>
              <w:t>并</w:t>
            </w:r>
            <w:r>
              <w:rPr>
                <w:rFonts w:ascii="宋体" w:hAnsi="宋体" w:eastAsia="宋体"/>
                <w:color w:val="000000" w:themeColor="text1"/>
                <w:szCs w:val="21"/>
              </w:rPr>
              <w:t>提供备品备件在甲方指定</w:t>
            </w:r>
            <w:r>
              <w:rPr>
                <w:rFonts w:hint="eastAsia" w:ascii="宋体" w:hAnsi="宋体" w:eastAsia="宋体"/>
                <w:color w:val="000000" w:themeColor="text1"/>
                <w:szCs w:val="21"/>
              </w:rPr>
              <w:t>地点</w:t>
            </w:r>
            <w:r>
              <w:rPr>
                <w:rFonts w:ascii="宋体" w:hAnsi="宋体" w:eastAsia="宋体"/>
                <w:color w:val="000000" w:themeColor="text1"/>
                <w:szCs w:val="21"/>
              </w:rPr>
              <w:t>，</w:t>
            </w:r>
            <w:r>
              <w:rPr>
                <w:rFonts w:hint="eastAsia" w:ascii="宋体" w:hAnsi="宋体" w:eastAsia="宋体"/>
                <w:color w:val="000000" w:themeColor="text1"/>
                <w:szCs w:val="21"/>
                <w:lang w:val="en-US" w:eastAsia="zh-CN"/>
              </w:rPr>
              <w:t>三个项目要求</w:t>
            </w:r>
            <w:r>
              <w:rPr>
                <w:rFonts w:hint="eastAsia" w:ascii="宋体" w:hAnsi="宋体" w:eastAsia="宋体"/>
                <w:color w:val="000000" w:themeColor="text1"/>
                <w:szCs w:val="21"/>
              </w:rPr>
              <w:t>7</w:t>
            </w:r>
            <w:r>
              <w:rPr>
                <w:rFonts w:ascii="宋体" w:hAnsi="宋体" w:eastAsia="宋体"/>
                <w:color w:val="000000" w:themeColor="text1"/>
                <w:szCs w:val="21"/>
              </w:rPr>
              <w:t>*24</w:t>
            </w:r>
            <w:r>
              <w:rPr>
                <w:rFonts w:hint="eastAsia" w:ascii="宋体" w:hAnsi="宋体" w:eastAsia="宋体"/>
                <w:color w:val="000000" w:themeColor="text1"/>
                <w:szCs w:val="21"/>
              </w:rPr>
              <w:t>小时</w:t>
            </w:r>
            <w:r>
              <w:rPr>
                <w:rFonts w:ascii="宋体" w:hAnsi="宋体" w:eastAsia="宋体"/>
                <w:color w:val="000000" w:themeColor="text1"/>
                <w:szCs w:val="21"/>
              </w:rPr>
              <w:t>响应。</w:t>
            </w:r>
            <w:r>
              <w:rPr>
                <w:rFonts w:hint="eastAsia" w:ascii="宋体" w:hAnsi="宋体" w:eastAsia="宋体"/>
                <w:color w:val="000000" w:themeColor="text1"/>
                <w:szCs w:val="21"/>
              </w:rPr>
              <w:t>指派技术人员专门负责保障硬件和相关平台的稳定运行。乙方负责设备及系统的所有维护、维修、设备更换、平台软件更新和系统优化等工作，保证甲方能正常使用系统，获得高质量满意的服务。</w:t>
            </w:r>
          </w:p>
          <w:p>
            <w:pPr>
              <w:spacing w:line="360" w:lineRule="auto"/>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、中标人</w:t>
            </w:r>
            <w:r>
              <w:rPr>
                <w:rFonts w:ascii="宋体" w:hAnsi="宋体"/>
                <w:color w:val="000000" w:themeColor="text1"/>
                <w:szCs w:val="21"/>
              </w:rPr>
              <w:t>须提供每季度一次的定期系统现场巡检服务，巡检服务的内容包括系统运行状况检查与评估、日常维护与优化、故障预防与解决、可用性切换与测试等。保障采购单位业务服务质量和业务连续性相关的所有问题，无</w:t>
            </w:r>
            <w:r>
              <w:rPr>
                <w:rFonts w:hint="eastAsia" w:ascii="宋体" w:hAnsi="宋体"/>
                <w:color w:val="000000" w:themeColor="text1"/>
                <w:szCs w:val="21"/>
              </w:rPr>
              <w:t>论</w:t>
            </w:r>
            <w:r>
              <w:rPr>
                <w:rFonts w:ascii="宋体" w:hAnsi="宋体"/>
                <w:color w:val="000000" w:themeColor="text1"/>
                <w:szCs w:val="21"/>
              </w:rPr>
              <w:t>是否与供应商有关，在接到采购单位通知后，</w:t>
            </w:r>
            <w:r>
              <w:rPr>
                <w:rFonts w:hint="eastAsia" w:ascii="宋体" w:hAnsi="宋体"/>
                <w:color w:val="000000" w:themeColor="text1"/>
                <w:szCs w:val="21"/>
              </w:rPr>
              <w:t>中标人</w:t>
            </w:r>
            <w:r>
              <w:rPr>
                <w:rFonts w:ascii="宋体" w:hAnsi="宋体"/>
                <w:color w:val="000000" w:themeColor="text1"/>
                <w:szCs w:val="21"/>
              </w:rPr>
              <w:t>应及时响应并根据采购单位要求免费提供远程、现场支持或协助。</w:t>
            </w:r>
          </w:p>
          <w:p>
            <w:pPr>
              <w:spacing w:line="300" w:lineRule="exact"/>
              <w:rPr>
                <w:rFonts w:ascii="宋体" w:hAnsi="宋体" w:cs="Courier New"/>
                <w:color w:val="000000" w:themeColor="text1"/>
                <w:sz w:val="22"/>
              </w:rPr>
            </w:pPr>
            <w:r>
              <w:rPr>
                <w:rFonts w:hint="eastAsia" w:ascii="宋体" w:hAnsi="宋体"/>
                <w:color w:val="000000" w:themeColor="text1"/>
                <w:szCs w:val="21"/>
              </w:rPr>
              <w:t>4、本项目需接受监理单位管理。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3</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进度安排</w:t>
            </w:r>
          </w:p>
        </w:tc>
        <w:tc>
          <w:tcPr>
            <w:tcW w:w="7776" w:type="dxa"/>
            <w:vAlign w:val="center"/>
          </w:tcPr>
          <w:p>
            <w:pPr>
              <w:spacing w:line="300" w:lineRule="exact"/>
              <w:rPr>
                <w:rFonts w:ascii="宋体" w:hAnsi="宋体" w:cs="Courier New"/>
                <w:color w:val="000000" w:themeColor="text1"/>
                <w:sz w:val="22"/>
              </w:rPr>
            </w:pPr>
            <w:r>
              <w:rPr>
                <w:rFonts w:hint="eastAsia" w:hAnsi="宋体"/>
                <w:color w:val="000000" w:themeColor="text1"/>
                <w:szCs w:val="21"/>
              </w:rPr>
              <w:t>中标方应提供详细的项目实施进度安排。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4</w:t>
            </w:r>
          </w:p>
        </w:tc>
        <w:tc>
          <w:tcPr>
            <w:tcW w:w="1814" w:type="dxa"/>
            <w:vAlign w:val="center"/>
          </w:tcPr>
          <w:p>
            <w:pPr>
              <w:spacing w:line="300" w:lineRule="exact"/>
              <w:jc w:val="center"/>
              <w:rPr>
                <w:rFonts w:ascii="宋体" w:hAnsi="宋体"/>
                <w:color w:val="000000" w:themeColor="text1"/>
                <w:sz w:val="22"/>
                <w:highlight w:val="none"/>
              </w:rPr>
            </w:pPr>
            <w:r>
              <w:rPr>
                <w:rFonts w:hint="eastAsia" w:hAnsi="宋体"/>
                <w:color w:val="000000" w:themeColor="text1"/>
                <w:szCs w:val="21"/>
                <w:highlight w:val="none"/>
              </w:rPr>
              <w:t>项目完成时间及地点</w:t>
            </w:r>
          </w:p>
        </w:tc>
        <w:tc>
          <w:tcPr>
            <w:tcW w:w="7776" w:type="dxa"/>
            <w:vAlign w:val="center"/>
          </w:tcPr>
          <w:p>
            <w:pPr>
              <w:spacing w:line="460" w:lineRule="exact"/>
              <w:rPr>
                <w:rFonts w:hAnsi="宋体"/>
                <w:color w:val="000000" w:themeColor="text1"/>
                <w:szCs w:val="21"/>
                <w:highlight w:val="none"/>
              </w:rPr>
            </w:pPr>
            <w:r>
              <w:rPr>
                <w:rFonts w:hint="eastAsia" w:hAnsi="宋体"/>
                <w:color w:val="000000" w:themeColor="text1"/>
                <w:szCs w:val="21"/>
                <w:highlight w:val="none"/>
              </w:rPr>
              <w:t>项目完成时间：合同签订后90个工作日内根据业主方需求安装调试完毕。</w:t>
            </w:r>
          </w:p>
          <w:p>
            <w:pPr>
              <w:spacing w:line="300" w:lineRule="exact"/>
              <w:rPr>
                <w:rFonts w:ascii="宋体" w:hAnsi="宋体" w:cs="Courier New"/>
                <w:color w:val="000000" w:themeColor="text1"/>
                <w:sz w:val="22"/>
                <w:highlight w:val="none"/>
              </w:rPr>
            </w:pPr>
            <w:r>
              <w:rPr>
                <w:rFonts w:hint="eastAsia" w:hAnsi="宋体"/>
                <w:color w:val="000000" w:themeColor="text1"/>
                <w:szCs w:val="21"/>
                <w:highlight w:val="none"/>
              </w:rPr>
              <w:t>地点：金华市**训练基地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ascii="宋体" w:hAnsi="宋体" w:cs="宋体"/>
                <w:color w:val="000000" w:themeColor="text1"/>
                <w:sz w:val="22"/>
              </w:rPr>
              <w:t>45</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履约保证金</w:t>
            </w:r>
          </w:p>
        </w:tc>
        <w:tc>
          <w:tcPr>
            <w:tcW w:w="7776" w:type="dxa"/>
            <w:vAlign w:val="center"/>
          </w:tcPr>
          <w:p>
            <w:pPr>
              <w:spacing w:line="460" w:lineRule="exact"/>
              <w:rPr>
                <w:rFonts w:hAnsi="宋体"/>
                <w:bCs/>
                <w:color w:val="000000" w:themeColor="text1"/>
                <w:szCs w:val="21"/>
              </w:rPr>
            </w:pPr>
            <w:r>
              <w:rPr>
                <w:rFonts w:hAnsi="宋体"/>
                <w:bCs/>
                <w:color w:val="000000" w:themeColor="text1"/>
                <w:szCs w:val="21"/>
              </w:rPr>
              <w:t>中标人在</w:t>
            </w:r>
            <w:r>
              <w:rPr>
                <w:rFonts w:hint="eastAsia" w:hAnsi="宋体"/>
                <w:bCs/>
                <w:color w:val="000000" w:themeColor="text1"/>
                <w:szCs w:val="21"/>
              </w:rPr>
              <w:t>签订合同</w:t>
            </w:r>
            <w:r>
              <w:rPr>
                <w:rFonts w:hAnsi="宋体"/>
                <w:bCs/>
                <w:color w:val="000000" w:themeColor="text1"/>
                <w:szCs w:val="21"/>
              </w:rPr>
              <w:t>后，需向采购人提供合同总价</w:t>
            </w:r>
            <w:r>
              <w:rPr>
                <w:rFonts w:hint="eastAsia" w:hAnsi="宋体"/>
                <w:bCs/>
                <w:color w:val="000000" w:themeColor="text1"/>
                <w:szCs w:val="21"/>
              </w:rPr>
              <w:t>1</w:t>
            </w:r>
            <w:r>
              <w:rPr>
                <w:rFonts w:hAnsi="宋体"/>
                <w:bCs/>
                <w:color w:val="000000" w:themeColor="text1"/>
                <w:szCs w:val="21"/>
              </w:rPr>
              <w:t>%的履约保证金，在中标人与采购人签订合同前递交，投标人需以支票、汇票、本票或者金融机构、保险公司、担保机构出具的保函/保险</w:t>
            </w:r>
            <w:r>
              <w:rPr>
                <w:rFonts w:hint="eastAsia" w:hAnsi="宋体"/>
                <w:bCs/>
                <w:color w:val="000000" w:themeColor="text1"/>
                <w:szCs w:val="21"/>
              </w:rPr>
              <w:t>（可在政采云平台购买，咨询热线4</w:t>
            </w:r>
            <w:r>
              <w:rPr>
                <w:rFonts w:hAnsi="宋体"/>
                <w:bCs/>
                <w:color w:val="000000" w:themeColor="text1"/>
                <w:szCs w:val="21"/>
              </w:rPr>
              <w:t>009039583</w:t>
            </w:r>
            <w:r>
              <w:rPr>
                <w:rFonts w:hint="eastAsia" w:hAnsi="宋体"/>
                <w:bCs/>
                <w:color w:val="000000" w:themeColor="text1"/>
                <w:szCs w:val="21"/>
              </w:rPr>
              <w:t>）等</w:t>
            </w:r>
            <w:r>
              <w:rPr>
                <w:rFonts w:hAnsi="宋体"/>
                <w:bCs/>
                <w:color w:val="000000" w:themeColor="text1"/>
                <w:szCs w:val="21"/>
              </w:rPr>
              <w:t>非现金形式提交。</w:t>
            </w:r>
            <w:r>
              <w:rPr>
                <w:rFonts w:hint="eastAsia" w:hAnsi="宋体"/>
                <w:bCs/>
                <w:color w:val="000000" w:themeColor="text1"/>
                <w:szCs w:val="21"/>
              </w:rPr>
              <w:t>履约保证金（或履约保函）在验收合格后无息退还。</w:t>
            </w:r>
          </w:p>
          <w:p>
            <w:pPr>
              <w:spacing w:line="300" w:lineRule="exact"/>
              <w:rPr>
                <w:rFonts w:ascii="宋体" w:hAnsi="宋体" w:cs="Courier New"/>
                <w:bCs/>
                <w:color w:val="000000" w:themeColor="text1"/>
                <w:sz w:val="22"/>
              </w:rPr>
            </w:pPr>
            <w:r>
              <w:rPr>
                <w:rFonts w:hAnsi="宋体"/>
                <w:bCs/>
                <w:color w:val="000000" w:themeColor="text1"/>
                <w:szCs w:val="21"/>
              </w:rPr>
              <w:t>为支持和促进中小企业发展，进一步发挥政府采购政策功能，浙江省财政厅出台浙财采监〔2020〕3 号文件，企业若有</w:t>
            </w:r>
            <w:r>
              <w:rPr>
                <w:rFonts w:hint="eastAsia" w:hAnsi="宋体"/>
                <w:bCs/>
                <w:color w:val="000000" w:themeColor="text1"/>
                <w:szCs w:val="21"/>
              </w:rPr>
              <w:t>购买保险/保函或者</w:t>
            </w:r>
            <w:r>
              <w:rPr>
                <w:rFonts w:hAnsi="宋体"/>
                <w:bCs/>
                <w:color w:val="000000" w:themeColor="text1"/>
                <w:szCs w:val="21"/>
              </w:rPr>
              <w:t>融资意向，可登陆政采云平台融资服务（https://jinrong.zcygov.cn/），查看相应融资政策文件及各相关服务方案</w:t>
            </w:r>
            <w:r>
              <w:rPr>
                <w:rFonts w:hint="eastAsia" w:hAnsi="宋体"/>
                <w:bCs/>
                <w:color w:val="000000" w:themeColor="text1"/>
                <w:szCs w:val="21"/>
              </w:rPr>
              <w:t>，咨询热线4</w:t>
            </w:r>
            <w:r>
              <w:rPr>
                <w:rFonts w:hAnsi="宋体"/>
                <w:bCs/>
                <w:color w:val="000000" w:themeColor="text1"/>
                <w:szCs w:val="21"/>
              </w:rPr>
              <w:t>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6</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付款方式</w:t>
            </w:r>
          </w:p>
        </w:tc>
        <w:tc>
          <w:tcPr>
            <w:tcW w:w="7776" w:type="dxa"/>
            <w:vAlign w:val="center"/>
          </w:tcPr>
          <w:p>
            <w:pPr>
              <w:snapToGrid w:val="0"/>
              <w:spacing w:line="460" w:lineRule="exact"/>
              <w:rPr>
                <w:bCs/>
                <w:color w:val="000000" w:themeColor="text1"/>
              </w:rPr>
            </w:pPr>
            <w:r>
              <w:rPr>
                <w:rFonts w:hint="eastAsia"/>
                <w:bCs/>
                <w:color w:val="000000" w:themeColor="text1"/>
              </w:rPr>
              <w:t>1.合同签订后七日内，供应商出具履约保证金保函及预付款保函后（可在政采云平台购买），采购人向中标人支付40%合同款。</w:t>
            </w:r>
          </w:p>
          <w:p>
            <w:pPr>
              <w:snapToGrid w:val="0"/>
              <w:spacing w:line="460" w:lineRule="exact"/>
              <w:rPr>
                <w:rFonts w:hint="eastAsia"/>
                <w:bCs/>
                <w:color w:val="000000" w:themeColor="text1"/>
              </w:rPr>
            </w:pPr>
            <w:r>
              <w:rPr>
                <w:rFonts w:hint="eastAsia"/>
                <w:bCs/>
                <w:color w:val="000000" w:themeColor="text1"/>
              </w:rPr>
              <w:t>2.全部设备进场并确认签收，支付至合同总价的70%，项目初验合格，支付至合同总价的90%，终验合格，支付至合同总价的100%。（上限以财政拨款为准）。</w:t>
            </w:r>
          </w:p>
          <w:p>
            <w:pPr>
              <w:snapToGrid w:val="0"/>
              <w:spacing w:line="460" w:lineRule="exact"/>
              <w:rPr>
                <w:rFonts w:hint="eastAsia"/>
                <w:bCs/>
                <w:color w:val="000000" w:themeColor="text1"/>
              </w:rPr>
            </w:pPr>
            <w:r>
              <w:rPr>
                <w:rFonts w:hint="eastAsia"/>
                <w:bCs/>
                <w:color w:val="000000" w:themeColor="text1"/>
              </w:rPr>
              <w:t>3.中标人在结算合同价款时需提供正式的税务发票。</w:t>
            </w:r>
          </w:p>
          <w:p>
            <w:pPr>
              <w:snapToGrid w:val="0"/>
              <w:spacing w:line="460" w:lineRule="exact"/>
              <w:rPr>
                <w:bCs/>
                <w:color w:val="000000" w:themeColor="text1"/>
              </w:rPr>
            </w:pPr>
            <w:r>
              <w:rPr>
                <w:rFonts w:hint="eastAsia"/>
                <w:bCs/>
                <w:color w:val="000000" w:themeColor="text1"/>
              </w:rPr>
              <w:t>3.中标人在结算合同价款时需提供正式的税务发票。</w:t>
            </w:r>
          </w:p>
          <w:p>
            <w:pPr>
              <w:spacing w:line="300" w:lineRule="exact"/>
              <w:rPr>
                <w:rFonts w:ascii="宋体" w:hAnsi="宋体" w:cs="Courier New"/>
                <w:bCs/>
                <w:color w:val="000000" w:themeColor="text1"/>
                <w:sz w:val="22"/>
              </w:rPr>
            </w:pPr>
            <w:r>
              <w:rPr>
                <w:rFonts w:hint="eastAsia"/>
                <w:bCs/>
                <w:color w:val="000000" w:themeColor="text1"/>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hAnsi="宋体" w:cs="宋体"/>
                <w:color w:val="000000" w:themeColor="text1"/>
                <w:sz w:val="22"/>
              </w:rPr>
            </w:pPr>
            <w:r>
              <w:rPr>
                <w:rFonts w:hint="eastAsia" w:ascii="宋体" w:hAnsi="宋体" w:cs="宋体"/>
                <w:color w:val="000000" w:themeColor="text1"/>
                <w:sz w:val="22"/>
              </w:rPr>
              <w:t>4</w:t>
            </w:r>
            <w:r>
              <w:rPr>
                <w:rFonts w:ascii="宋体" w:hAnsi="宋体" w:cs="宋体"/>
                <w:color w:val="000000" w:themeColor="text1"/>
                <w:sz w:val="22"/>
              </w:rPr>
              <w:t>7</w:t>
            </w:r>
          </w:p>
        </w:tc>
        <w:tc>
          <w:tcPr>
            <w:tcW w:w="1814" w:type="dxa"/>
            <w:vAlign w:val="center"/>
          </w:tcPr>
          <w:p>
            <w:pPr>
              <w:spacing w:line="300" w:lineRule="exact"/>
              <w:jc w:val="center"/>
              <w:rPr>
                <w:rFonts w:ascii="宋体" w:hAnsi="宋体"/>
                <w:color w:val="000000" w:themeColor="text1"/>
                <w:sz w:val="22"/>
              </w:rPr>
            </w:pPr>
            <w:r>
              <w:rPr>
                <w:rFonts w:hint="eastAsia" w:hAnsi="宋体"/>
                <w:color w:val="000000" w:themeColor="text1"/>
                <w:szCs w:val="21"/>
              </w:rPr>
              <w:t>验收</w:t>
            </w:r>
            <w:r>
              <w:rPr>
                <w:rFonts w:hAnsi="宋体"/>
                <w:color w:val="000000" w:themeColor="text1"/>
                <w:szCs w:val="21"/>
              </w:rPr>
              <w:t>办法及标准</w:t>
            </w:r>
          </w:p>
        </w:tc>
        <w:tc>
          <w:tcPr>
            <w:tcW w:w="7776" w:type="dxa"/>
            <w:vAlign w:val="center"/>
          </w:tcPr>
          <w:p>
            <w:pPr>
              <w:snapToGrid w:val="0"/>
              <w:spacing w:line="460" w:lineRule="exact"/>
              <w:rPr>
                <w:rFonts w:hAnsi="宋体"/>
                <w:color w:val="000000" w:themeColor="text1"/>
                <w:szCs w:val="21"/>
              </w:rPr>
            </w:pPr>
            <w:r>
              <w:rPr>
                <w:rFonts w:hint="eastAsia" w:hAnsi="宋体"/>
                <w:color w:val="000000" w:themeColor="text1"/>
                <w:szCs w:val="21"/>
              </w:rPr>
              <w:t>1、项目设备安装调试，采购人将按规定对货物的品牌、外观、规格、参数配置、数量、配件及安装调试后的使用性能、运行状况、技术资料及其他进行验收，中标人必须在验收现场提供必要的技术支持，验收费用由中标人承担。</w:t>
            </w:r>
          </w:p>
          <w:p>
            <w:pPr>
              <w:snapToGrid w:val="0"/>
              <w:spacing w:line="460" w:lineRule="exact"/>
              <w:rPr>
                <w:rFonts w:hAnsi="宋体"/>
                <w:color w:val="000000" w:themeColor="text1"/>
                <w:szCs w:val="21"/>
              </w:rPr>
            </w:pPr>
            <w:r>
              <w:rPr>
                <w:rFonts w:hint="eastAsia" w:hAnsi="宋体"/>
                <w:color w:val="000000" w:themeColor="text1"/>
                <w:szCs w:val="21"/>
              </w:rPr>
              <w:t>2、如发生所供设备与投标文件或中标人的投标文件中规定（或响应）的设备不符，由此产生的一切责任和后果由中标人承担。</w:t>
            </w:r>
          </w:p>
          <w:p>
            <w:pPr>
              <w:spacing w:line="500" w:lineRule="exact"/>
              <w:rPr>
                <w:rFonts w:hAnsi="宋体"/>
                <w:color w:val="000000" w:themeColor="text1"/>
                <w:szCs w:val="21"/>
              </w:rPr>
            </w:pPr>
            <w:r>
              <w:rPr>
                <w:rFonts w:hint="eastAsia" w:hAnsi="宋体"/>
                <w:color w:val="000000" w:themeColor="text1"/>
                <w:szCs w:val="21"/>
              </w:rPr>
              <w:t>3、质量符合国际或国家通用标准，满足招标文件技术标准部分所规定的全部功能，如出现质量问题或系假冒伪劣产品，供方负责包退、包换，因此而涉及的全部违约责任和费用由供应方承担。</w:t>
            </w:r>
          </w:p>
          <w:p>
            <w:pPr>
              <w:spacing w:line="500" w:lineRule="exact"/>
              <w:rPr>
                <w:rFonts w:hAnsi="宋体"/>
                <w:color w:val="000000" w:themeColor="text1"/>
                <w:szCs w:val="21"/>
              </w:rPr>
            </w:pPr>
            <w:r>
              <w:rPr>
                <w:rFonts w:hint="eastAsia" w:hAnsi="宋体"/>
                <w:color w:val="000000" w:themeColor="text1"/>
                <w:szCs w:val="21"/>
              </w:rPr>
              <w:t>4、根据业主方需求暂列储备的门锁在需要安装或更换，中标单位应无条件上门服务安装或更换，安装期间，中标人应妥善保管货物、产品、各种材料和器材，如有被盗和其他损失的，采购人不承担任何责任。</w:t>
            </w:r>
          </w:p>
          <w:p>
            <w:pPr>
              <w:snapToGrid w:val="0"/>
              <w:spacing w:line="460" w:lineRule="exact"/>
              <w:rPr>
                <w:rFonts w:hint="eastAsia" w:hAnsi="宋体"/>
                <w:color w:val="000000" w:themeColor="text1"/>
                <w:szCs w:val="21"/>
              </w:rPr>
            </w:pPr>
            <w:r>
              <w:rPr>
                <w:rFonts w:hint="eastAsia" w:hAnsi="宋体"/>
                <w:color w:val="000000" w:themeColor="text1"/>
                <w:szCs w:val="21"/>
              </w:rPr>
              <w:t>5、中标人需文明安装，保证安全，如在安装过程中发生事故，一切责任由中标人承担。</w:t>
            </w:r>
          </w:p>
          <w:p>
            <w:pPr>
              <w:snapToGrid w:val="0"/>
              <w:spacing w:line="460" w:lineRule="exact"/>
              <w:rPr>
                <w:rFonts w:hint="eastAsia" w:hAnsi="宋体"/>
                <w:color w:val="000000" w:themeColor="text1"/>
                <w:szCs w:val="21"/>
              </w:rPr>
            </w:pPr>
            <w:r>
              <w:rPr>
                <w:rFonts w:hint="eastAsia" w:hAnsi="宋体"/>
                <w:color w:val="000000" w:themeColor="text1"/>
                <w:szCs w:val="21"/>
              </w:rPr>
              <w:t>6、中标人需提供产品说明书，并根据采购人需求制作并提供归档材料。</w:t>
            </w:r>
          </w:p>
          <w:p>
            <w:pPr>
              <w:snapToGrid w:val="0"/>
              <w:spacing w:line="460" w:lineRule="exact"/>
              <w:rPr>
                <w:rFonts w:ascii="宋体" w:hAnsi="宋体" w:cs="Courier New"/>
                <w:color w:val="000000" w:themeColor="text1"/>
                <w:sz w:val="22"/>
              </w:rPr>
            </w:pPr>
            <w:r>
              <w:rPr>
                <w:rFonts w:hint="eastAsia" w:hAnsi="宋体"/>
                <w:color w:val="000000" w:themeColor="text1"/>
                <w:szCs w:val="21"/>
                <w:lang w:val="en-US" w:eastAsia="zh-CN"/>
              </w:rPr>
              <w:t>7、项目终验将把集成配合工作情况纳入验收内容</w:t>
            </w:r>
            <w:r>
              <w:rPr>
                <w:rFonts w:hint="eastAsia" w:hAnsi="宋体"/>
                <w:color w:val="000000" w:themeColor="text1"/>
                <w:szCs w:val="21"/>
              </w:rPr>
              <w:t>。</w:t>
            </w:r>
          </w:p>
        </w:tc>
      </w:tr>
      <w:bookmarkEnd w:id="172"/>
    </w:tbl>
    <w:p>
      <w:pPr>
        <w:pStyle w:val="30"/>
        <w:ind w:firstLine="600"/>
        <w:rPr>
          <w:rFonts w:ascii="仿宋" w:hAnsi="仿宋" w:eastAsia="仿宋_GB2312"/>
          <w:color w:val="000000" w:themeColor="text1"/>
          <w:sz w:val="30"/>
          <w:szCs w:val="30"/>
        </w:rPr>
        <w:sectPr>
          <w:pgSz w:w="11906" w:h="16838"/>
          <w:pgMar w:top="1440" w:right="1800" w:bottom="1440" w:left="1800" w:header="851" w:footer="992" w:gutter="0"/>
          <w:pgNumType w:fmt="decimal"/>
          <w:cols w:space="425" w:num="1"/>
          <w:docGrid w:type="lines" w:linePitch="312" w:charSpace="0"/>
        </w:sectPr>
      </w:pPr>
    </w:p>
    <w:p>
      <w:pPr>
        <w:pStyle w:val="58"/>
        <w:ind w:firstLine="482"/>
        <w:rPr>
          <w:b/>
          <w:bCs/>
          <w:color w:val="000000" w:themeColor="text1"/>
        </w:rPr>
      </w:pPr>
      <w:bookmarkStart w:id="173" w:name="_Hlk112337569"/>
      <w:r>
        <w:rPr>
          <w:rFonts w:hint="eastAsia"/>
          <w:b/>
          <w:bCs/>
          <w:color w:val="000000" w:themeColor="text1"/>
        </w:rPr>
        <w:t>一、说明</w:t>
      </w:r>
    </w:p>
    <w:p>
      <w:pPr>
        <w:pStyle w:val="58"/>
        <w:ind w:firstLine="480"/>
        <w:rPr>
          <w:color w:val="000000" w:themeColor="text1"/>
        </w:rPr>
      </w:pPr>
      <w:r>
        <w:rPr>
          <w:rFonts w:hint="eastAsia"/>
          <w:color w:val="000000" w:themeColor="text1"/>
        </w:rPr>
        <w:t>1、本次采购工作是按照《中华人民共和国政府采购法》及相关法律规章组织和实施。</w:t>
      </w:r>
    </w:p>
    <w:p>
      <w:pPr>
        <w:pStyle w:val="58"/>
        <w:ind w:firstLine="480"/>
        <w:rPr>
          <w:color w:val="000000" w:themeColor="text1"/>
        </w:rPr>
      </w:pPr>
      <w:r>
        <w:rPr>
          <w:rFonts w:hint="eastAsia"/>
          <w:color w:val="000000" w:themeColor="text1"/>
        </w:rPr>
        <w:t>2、</w:t>
      </w:r>
      <w:r>
        <w:rPr>
          <w:rFonts w:hint="eastAsia"/>
          <w:bCs/>
          <w:color w:val="000000" w:themeColor="text1"/>
        </w:rPr>
        <w:t>投标供应商必须针对本项目全部内容进行投标，否则按无效投标处理。</w:t>
      </w:r>
    </w:p>
    <w:p>
      <w:pPr>
        <w:pStyle w:val="58"/>
        <w:ind w:firstLine="480"/>
        <w:rPr>
          <w:color w:val="000000" w:themeColor="text1"/>
          <w:u w:val="single"/>
        </w:rPr>
      </w:pPr>
      <w:r>
        <w:rPr>
          <w:rFonts w:hint="eastAsia"/>
          <w:color w:val="000000" w:themeColor="text1"/>
        </w:rPr>
        <w:t>3、无论投标过程中的作法和结果如何，投标供应商自行承担投标活动中所发生的全部费用。</w:t>
      </w:r>
    </w:p>
    <w:p>
      <w:pPr>
        <w:pStyle w:val="58"/>
        <w:ind w:firstLine="482"/>
        <w:rPr>
          <w:color w:val="000000" w:themeColor="text1"/>
        </w:rPr>
      </w:pPr>
      <w:bookmarkStart w:id="174" w:name="_Hlk112337521"/>
      <w:r>
        <w:rPr>
          <w:rFonts w:hint="eastAsia" w:ascii="Arial" w:hAnsi="Arial" w:cs="Arial"/>
          <w:b/>
          <w:color w:val="000000" w:themeColor="text1"/>
          <w:kern w:val="0"/>
          <w:lang w:eastAsia="zh-CN"/>
        </w:rPr>
        <w:t>★</w:t>
      </w:r>
      <w:r>
        <w:rPr>
          <w:rFonts w:hint="eastAsia"/>
          <w:color w:val="000000" w:themeColor="text1"/>
          <w:lang w:val="zh-CN"/>
        </w:rPr>
        <w:t>4、</w:t>
      </w:r>
      <w:r>
        <w:rPr>
          <w:rFonts w:hint="eastAsia"/>
          <w:color w:val="000000" w:themeColor="text1"/>
        </w:rPr>
        <w:t>本次采购如果某个（些）投标供应商投标报价超出采购预算的，则拒绝接受其投标报价，按无效标处理。</w:t>
      </w:r>
    </w:p>
    <w:bookmarkEnd w:id="174"/>
    <w:p>
      <w:pPr>
        <w:pStyle w:val="58"/>
        <w:ind w:firstLine="480"/>
        <w:rPr>
          <w:color w:val="000000" w:themeColor="text1"/>
        </w:rPr>
      </w:pPr>
      <w:r>
        <w:rPr>
          <w:rFonts w:hint="eastAsia"/>
          <w:color w:val="000000" w:themeColor="text1"/>
        </w:rPr>
        <w:t>5、投标供应商须自行勘察现场，确认采购人的实际需求，取得准确的报价依据。投标供应商中标后不得以各种理由提出增价要求，否则做投标违约处理，采购人有权终止合同。</w:t>
      </w:r>
    </w:p>
    <w:p>
      <w:pPr>
        <w:pStyle w:val="58"/>
        <w:ind w:firstLine="480"/>
        <w:rPr>
          <w:color w:val="000000" w:themeColor="text1"/>
        </w:rPr>
      </w:pPr>
      <w:r>
        <w:rPr>
          <w:rFonts w:hint="eastAsia"/>
          <w:color w:val="000000" w:themeColor="text1"/>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pStyle w:val="58"/>
        <w:ind w:firstLine="480"/>
        <w:rPr>
          <w:color w:val="000000" w:themeColor="text1"/>
        </w:rPr>
      </w:pPr>
      <w:r>
        <w:rPr>
          <w:rFonts w:hint="eastAsia"/>
          <w:color w:val="000000" w:themeColor="text1"/>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color w:val="000000" w:themeColor="text1"/>
        </w:rPr>
        <w:t>中标供应商的工作人员出现意外事故导致人员伤亡的情况，均由中标供应商自负责任</w:t>
      </w:r>
      <w:r>
        <w:rPr>
          <w:rFonts w:hint="eastAsia"/>
          <w:color w:val="000000" w:themeColor="text1"/>
        </w:rPr>
        <w:t>，</w:t>
      </w:r>
      <w:r>
        <w:rPr>
          <w:color w:val="000000" w:themeColor="text1"/>
        </w:rPr>
        <w:t>各投标供应商须在报价中考虑风险。</w:t>
      </w:r>
    </w:p>
    <w:p>
      <w:pPr>
        <w:pStyle w:val="58"/>
        <w:ind w:firstLine="480"/>
        <w:rPr>
          <w:color w:val="000000" w:themeColor="text1"/>
        </w:rPr>
      </w:pPr>
      <w:r>
        <w:rPr>
          <w:rFonts w:hint="eastAsia"/>
          <w:color w:val="000000" w:themeColor="text1"/>
        </w:rPr>
        <w:t>8、本次采购所涉及的人员食、宿、交通均由投标供应商自行解决，相关费用包含在总价中。</w:t>
      </w:r>
    </w:p>
    <w:p>
      <w:pPr>
        <w:pStyle w:val="58"/>
        <w:ind w:firstLine="480"/>
        <w:rPr>
          <w:bCs/>
          <w:color w:val="000000" w:themeColor="text1"/>
        </w:rPr>
      </w:pPr>
      <w:r>
        <w:rPr>
          <w:rFonts w:hint="eastAsia"/>
          <w:color w:val="000000" w:themeColor="text1"/>
        </w:rPr>
        <w:t xml:space="preserve">9、 </w:t>
      </w:r>
      <w:r>
        <w:rPr>
          <w:rFonts w:hint="eastAsia"/>
          <w:bCs/>
          <w:color w:val="000000" w:themeColor="text1"/>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8"/>
        <w:ind w:firstLine="480"/>
        <w:rPr>
          <w:bCs/>
          <w:color w:val="000000" w:themeColor="text1"/>
        </w:rPr>
      </w:pPr>
      <w:r>
        <w:rPr>
          <w:rFonts w:hint="eastAsia"/>
          <w:bCs/>
          <w:color w:val="000000" w:themeColor="text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8"/>
        <w:ind w:firstLine="480"/>
        <w:rPr>
          <w:rFonts w:hint="eastAsia"/>
          <w:bCs/>
          <w:color w:val="000000" w:themeColor="text1"/>
        </w:rPr>
      </w:pPr>
      <w:r>
        <w:rPr>
          <w:rFonts w:hint="eastAsia"/>
          <w:bCs/>
          <w:color w:val="000000" w:themeColor="text1"/>
        </w:rPr>
        <w:t>非单一产品采购项目，采购人应当根据采购项目技术构成、产品价格比重等合理确定核心产品，并在招标文件中载明。多家投标人提供的核心产品品牌相同的，按前两款规定处理。</w:t>
      </w:r>
    </w:p>
    <w:p>
      <w:pPr>
        <w:pStyle w:val="58"/>
        <w:ind w:firstLine="480"/>
        <w:rPr>
          <w:color w:val="000000" w:themeColor="text1"/>
        </w:rPr>
      </w:pPr>
      <w:r>
        <w:rPr>
          <w:rFonts w:hint="eastAsia"/>
          <w:color w:val="000000" w:themeColor="text1"/>
        </w:rPr>
        <w:t>10、</w:t>
      </w:r>
      <w:r>
        <w:rPr>
          <w:color w:val="000000" w:themeColor="text1"/>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58"/>
        <w:ind w:firstLine="480"/>
        <w:rPr>
          <w:color w:val="000000" w:themeColor="text1"/>
        </w:rPr>
      </w:pPr>
      <w:r>
        <w:rPr>
          <w:rFonts w:hint="eastAsia"/>
          <w:color w:val="000000" w:themeColor="text1"/>
        </w:rPr>
        <w:t>除单一来源采购项目外，为采购项目提供整体设计、规范编制或者项目管理、监理、检测等服务的供应商，不得再参加该采购项目的其他采购活动。</w:t>
      </w:r>
    </w:p>
    <w:p>
      <w:pPr>
        <w:pStyle w:val="58"/>
        <w:ind w:firstLine="480"/>
        <w:rPr>
          <w:rFonts w:cs="Verdana"/>
          <w:color w:val="000000" w:themeColor="text1"/>
        </w:rPr>
      </w:pPr>
      <w:r>
        <w:rPr>
          <w:rFonts w:hint="eastAsia" w:cs="Verdana"/>
          <w:color w:val="000000" w:themeColor="text1"/>
        </w:rPr>
        <w:t>11、本项目采用在线投标响应方式，执行《浙江省财政厅关于印发浙江省政府采购项目电子交易管理暂行办法的通知》（浙财采监〔</w:t>
      </w:r>
      <w:r>
        <w:rPr>
          <w:rFonts w:cs="Verdana"/>
          <w:color w:val="000000" w:themeColor="text1"/>
        </w:rPr>
        <w:t>2019〕10号）等相关规定。</w:t>
      </w:r>
    </w:p>
    <w:p>
      <w:pPr>
        <w:pStyle w:val="58"/>
        <w:ind w:firstLine="480"/>
        <w:rPr>
          <w:rFonts w:cs="Verdana"/>
          <w:bCs/>
          <w:color w:val="000000" w:themeColor="text1"/>
          <w:szCs w:val="22"/>
        </w:rPr>
      </w:pPr>
      <w:r>
        <w:rPr>
          <w:rFonts w:hint="eastAsia" w:cs="Verdana"/>
          <w:bCs/>
          <w:color w:val="000000" w:themeColor="text1"/>
          <w:szCs w:val="22"/>
        </w:rPr>
        <w:t>12、</w:t>
      </w:r>
      <w:r>
        <w:rPr>
          <w:rFonts w:hint="eastAsia" w:cs="Verdana"/>
          <w:color w:val="000000" w:themeColor="text1"/>
          <w:szCs w:val="22"/>
        </w:rPr>
        <w:t>本项目在线开评标进行时，供应商法定代表人或其授权代表需自行关注平台提示信息，期间如有发出“询标</w:t>
      </w:r>
      <w:r>
        <w:rPr>
          <w:rFonts w:cs="Verdana"/>
          <w:color w:val="000000" w:themeColor="text1"/>
          <w:szCs w:val="22"/>
        </w:rPr>
        <w:t>/澄清函”等相关线上函件时，因供应商自身原因逾期/错过回复时间，由此造成的后果由供应商自行承担</w:t>
      </w:r>
      <w:r>
        <w:rPr>
          <w:rFonts w:cs="Verdana"/>
          <w:bCs/>
          <w:color w:val="000000" w:themeColor="text1"/>
          <w:szCs w:val="22"/>
        </w:rPr>
        <w:t>。</w:t>
      </w:r>
    </w:p>
    <w:p>
      <w:pPr>
        <w:pStyle w:val="58"/>
        <w:ind w:firstLine="480"/>
        <w:rPr>
          <w:color w:val="000000" w:themeColor="text1"/>
        </w:rPr>
      </w:pPr>
      <w:r>
        <w:rPr>
          <w:color w:val="000000" w:themeColor="text1"/>
        </w:rPr>
        <w:t>13</w:t>
      </w:r>
      <w:r>
        <w:rPr>
          <w:rFonts w:hint="eastAsia"/>
          <w:color w:val="000000" w:themeColor="text1"/>
        </w:rPr>
        <w:t>、“</w:t>
      </w:r>
      <w:r>
        <w:rPr>
          <w:rFonts w:hint="eastAsia"/>
          <w:color w:val="000000" w:themeColor="text1"/>
          <w:lang w:eastAsia="zh-CN"/>
        </w:rPr>
        <w:t>★</w:t>
      </w:r>
      <w:r>
        <w:rPr>
          <w:rFonts w:hint="eastAsia"/>
          <w:color w:val="000000" w:themeColor="text1"/>
        </w:rPr>
        <w:t>”系指实质性要求条款，投标人必须响应；“</w:t>
      </w:r>
      <w:r>
        <w:rPr>
          <w:rFonts w:hint="eastAsia"/>
          <w:color w:val="000000" w:themeColor="text1"/>
          <w:lang w:eastAsia="zh-CN"/>
        </w:rPr>
        <w:t>●</w:t>
      </w:r>
      <w:r>
        <w:rPr>
          <w:rFonts w:hint="eastAsia"/>
          <w:color w:val="000000" w:themeColor="text1"/>
        </w:rPr>
        <w:t>”系指重要性指标。</w:t>
      </w:r>
    </w:p>
    <w:p>
      <w:pPr>
        <w:pStyle w:val="58"/>
        <w:ind w:firstLine="482"/>
        <w:rPr>
          <w:b/>
          <w:bCs/>
          <w:color w:val="000000" w:themeColor="text1"/>
        </w:rPr>
      </w:pPr>
      <w:r>
        <w:rPr>
          <w:rFonts w:hint="eastAsia"/>
          <w:b/>
          <w:bCs/>
          <w:color w:val="000000" w:themeColor="text1"/>
        </w:rPr>
        <w:t>二、招标文件</w:t>
      </w:r>
    </w:p>
    <w:p>
      <w:pPr>
        <w:pStyle w:val="58"/>
        <w:ind w:firstLine="480"/>
        <w:rPr>
          <w:color w:val="000000" w:themeColor="text1"/>
          <w:lang w:val="zh-CN"/>
        </w:rPr>
      </w:pPr>
      <w:r>
        <w:rPr>
          <w:rFonts w:hint="eastAsia"/>
          <w:color w:val="000000" w:themeColor="text1"/>
          <w:lang w:val="zh-CN"/>
        </w:rPr>
        <w:t>1、招标文件</w:t>
      </w:r>
    </w:p>
    <w:p>
      <w:pPr>
        <w:pStyle w:val="58"/>
        <w:ind w:firstLine="480"/>
        <w:rPr>
          <w:color w:val="000000" w:themeColor="text1"/>
          <w:lang w:val="zh-CN"/>
        </w:rPr>
      </w:pPr>
      <w:r>
        <w:rPr>
          <w:rFonts w:hint="eastAsia"/>
          <w:color w:val="000000" w:themeColor="text1"/>
          <w:lang w:val="zh-CN"/>
        </w:rPr>
        <w:t>1.1、招标文件获取</w:t>
      </w:r>
    </w:p>
    <w:p>
      <w:pPr>
        <w:pStyle w:val="58"/>
        <w:ind w:firstLine="480"/>
        <w:rPr>
          <w:color w:val="000000" w:themeColor="text1"/>
          <w:lang w:val="zh-CN"/>
        </w:rPr>
      </w:pPr>
      <w:r>
        <w:rPr>
          <w:rFonts w:hint="eastAsia" w:cs="宋体"/>
          <w:color w:val="000000" w:themeColor="text1"/>
        </w:rPr>
        <w:t>本项目招标文件实行“政府采购云平台”在线获取，不提供招标文件纸质版。</w:t>
      </w:r>
    </w:p>
    <w:p>
      <w:pPr>
        <w:pStyle w:val="58"/>
        <w:ind w:firstLine="480"/>
        <w:rPr>
          <w:color w:val="000000" w:themeColor="text1"/>
          <w:lang w:val="zh-CN"/>
        </w:rPr>
      </w:pPr>
      <w:r>
        <w:rPr>
          <w:rFonts w:hint="eastAsia"/>
          <w:color w:val="000000" w:themeColor="text1"/>
          <w:lang w:val="zh-CN"/>
        </w:rPr>
        <w:t>1.2、招标文件约束力</w:t>
      </w:r>
    </w:p>
    <w:p>
      <w:pPr>
        <w:pStyle w:val="58"/>
        <w:ind w:firstLine="480"/>
        <w:rPr>
          <w:color w:val="000000" w:themeColor="text1"/>
          <w:lang w:val="zh-CN"/>
        </w:rPr>
      </w:pPr>
      <w:r>
        <w:rPr>
          <w:rFonts w:hint="eastAsia"/>
          <w:color w:val="000000" w:themeColor="text1"/>
          <w:lang w:val="zh-CN"/>
        </w:rPr>
        <w:t>投标供应商</w:t>
      </w:r>
      <w:r>
        <w:rPr>
          <w:rFonts w:hint="eastAsia"/>
          <w:color w:val="000000" w:themeColor="text1"/>
        </w:rPr>
        <w:t>参加投标，即被认为接受了本招标文件中所有条款和规定。</w:t>
      </w:r>
    </w:p>
    <w:p>
      <w:pPr>
        <w:pStyle w:val="58"/>
        <w:ind w:firstLine="480"/>
        <w:rPr>
          <w:color w:val="000000" w:themeColor="text1"/>
          <w:lang w:val="zh-CN"/>
        </w:rPr>
      </w:pPr>
      <w:r>
        <w:rPr>
          <w:rFonts w:hint="eastAsia"/>
          <w:color w:val="000000" w:themeColor="text1"/>
          <w:lang w:val="zh-CN"/>
        </w:rPr>
        <w:t>2、招标文件的澄清</w:t>
      </w:r>
    </w:p>
    <w:p>
      <w:pPr>
        <w:pStyle w:val="58"/>
        <w:ind w:firstLine="480"/>
        <w:rPr>
          <w:color w:val="000000" w:themeColor="text1"/>
          <w:lang w:val="zh-CN"/>
        </w:rPr>
      </w:pPr>
      <w:r>
        <w:rPr>
          <w:rFonts w:hint="eastAsia"/>
          <w:color w:val="000000" w:themeColor="text1"/>
          <w:lang w:val="zh-CN"/>
        </w:rPr>
        <w:t>投标供应商对招标文件如有疑点要求澄清，或认为有必要与采购人进行技术交流，可用书面形式通知采购人。</w:t>
      </w:r>
    </w:p>
    <w:p>
      <w:pPr>
        <w:pStyle w:val="58"/>
        <w:ind w:firstLine="480"/>
        <w:rPr>
          <w:color w:val="000000" w:themeColor="text1"/>
          <w:lang w:val="zh-CN"/>
        </w:rPr>
      </w:pPr>
      <w:r>
        <w:rPr>
          <w:rFonts w:hint="eastAsia"/>
          <w:color w:val="000000" w:themeColor="text1"/>
          <w:lang w:val="zh-CN"/>
        </w:rPr>
        <w:t>3、招标文件的修改</w:t>
      </w:r>
    </w:p>
    <w:p>
      <w:pPr>
        <w:pStyle w:val="58"/>
        <w:ind w:firstLine="480"/>
        <w:rPr>
          <w:color w:val="000000" w:themeColor="text1"/>
          <w:lang w:val="zh-CN"/>
        </w:rPr>
      </w:pPr>
      <w:r>
        <w:rPr>
          <w:rFonts w:hint="eastAsia"/>
          <w:color w:val="000000" w:themeColor="text1"/>
          <w:lang w:val="zh-CN"/>
        </w:rPr>
        <w:t>3.1、在投标截止时间前，采购人或采购机构有权修改招标文件，并通知投标供应商。补充文件作为招标文件的补充和组成部分，对所有投标供应商均有约束力。</w:t>
      </w:r>
    </w:p>
    <w:p>
      <w:pPr>
        <w:pStyle w:val="58"/>
        <w:ind w:firstLine="480"/>
        <w:rPr>
          <w:color w:val="000000" w:themeColor="text1"/>
          <w:lang w:val="zh-CN"/>
        </w:rPr>
      </w:pPr>
      <w:r>
        <w:rPr>
          <w:rFonts w:hint="eastAsia"/>
          <w:color w:val="000000" w:themeColor="text1"/>
          <w:lang w:val="zh-CN"/>
        </w:rPr>
        <w:t>3.2、为使投标供应商有足够的时间按招标文件要求修正投标文件，采购人可酌情推迟投标截止时间和开标时间，并将此变更通知投标供应商。</w:t>
      </w:r>
    </w:p>
    <w:p>
      <w:pPr>
        <w:pStyle w:val="58"/>
        <w:ind w:firstLine="480"/>
        <w:rPr>
          <w:color w:val="000000" w:themeColor="text1"/>
          <w:lang w:val="zh-CN"/>
        </w:rPr>
      </w:pPr>
      <w:r>
        <w:rPr>
          <w:rFonts w:hint="eastAsia"/>
          <w:color w:val="000000" w:themeColor="text1"/>
          <w:lang w:val="zh-CN"/>
        </w:rPr>
        <w:t>3.3、</w:t>
      </w:r>
      <w:r>
        <w:rPr>
          <w:rFonts w:hint="eastAsia" w:cs="仿宋_GB2312"/>
          <w:color w:val="000000" w:themeColor="text1"/>
          <w:lang w:val="zh-CN"/>
        </w:rPr>
        <w:t>本项目招标文件如有补充、更正、澄清均见浙江政府采购网。投标供应商须在投标截止前自行查看是否有补充、更正、澄清文件，并按补充、更正、澄清文件要求投标，否则责任自负。</w:t>
      </w:r>
    </w:p>
    <w:p>
      <w:pPr>
        <w:pStyle w:val="58"/>
        <w:ind w:firstLine="482"/>
        <w:rPr>
          <w:b/>
          <w:bCs/>
          <w:color w:val="000000" w:themeColor="text1"/>
        </w:rPr>
      </w:pPr>
      <w:r>
        <w:rPr>
          <w:rFonts w:hint="eastAsia"/>
          <w:b/>
          <w:bCs/>
          <w:color w:val="000000" w:themeColor="text1"/>
        </w:rPr>
        <w:t>三、投标文件</w:t>
      </w:r>
    </w:p>
    <w:p>
      <w:pPr>
        <w:pStyle w:val="58"/>
        <w:ind w:firstLine="480"/>
        <w:rPr>
          <w:color w:val="000000" w:themeColor="text1"/>
        </w:rPr>
      </w:pPr>
      <w:r>
        <w:rPr>
          <w:rFonts w:hint="eastAsia"/>
          <w:color w:val="000000" w:themeColor="text1"/>
        </w:rPr>
        <w:t>1、投标文件</w:t>
      </w:r>
    </w:p>
    <w:p>
      <w:pPr>
        <w:pStyle w:val="58"/>
        <w:ind w:firstLine="480"/>
        <w:rPr>
          <w:color w:val="000000" w:themeColor="text1"/>
          <w:lang w:val="zh-CN"/>
        </w:rPr>
      </w:pPr>
      <w:r>
        <w:rPr>
          <w:color w:val="000000" w:themeColor="text1"/>
          <w:lang w:val="zh-CN"/>
        </w:rPr>
        <w:t>1.1</w:t>
      </w:r>
      <w:r>
        <w:rPr>
          <w:rFonts w:hint="eastAsia"/>
          <w:color w:val="000000" w:themeColor="text1"/>
          <w:lang w:val="zh-CN"/>
        </w:rPr>
        <w:t>、</w:t>
      </w:r>
      <w:r>
        <w:rPr>
          <w:color w:val="000000" w:themeColor="text1"/>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pStyle w:val="58"/>
        <w:ind w:firstLine="480"/>
        <w:rPr>
          <w:color w:val="000000" w:themeColor="text1"/>
          <w:lang w:val="zh-CN"/>
        </w:rPr>
      </w:pPr>
      <w:r>
        <w:rPr>
          <w:color w:val="000000" w:themeColor="text1"/>
          <w:lang w:val="zh-CN"/>
        </w:rPr>
        <w:t>1.2</w:t>
      </w:r>
      <w:r>
        <w:rPr>
          <w:rFonts w:hint="eastAsia"/>
          <w:color w:val="000000" w:themeColor="text1"/>
          <w:lang w:val="zh-CN"/>
        </w:rPr>
        <w:t>、</w:t>
      </w:r>
      <w:r>
        <w:rPr>
          <w:color w:val="000000" w:themeColor="text1"/>
          <w:lang w:val="zh-CN"/>
        </w:rPr>
        <w:t>投标供应商提交的投标文件报价均采用人民币报价。</w:t>
      </w:r>
    </w:p>
    <w:p>
      <w:pPr>
        <w:pStyle w:val="58"/>
        <w:ind w:firstLine="480"/>
        <w:rPr>
          <w:color w:val="000000" w:themeColor="text1"/>
          <w:lang w:val="zh-CN"/>
        </w:rPr>
      </w:pPr>
      <w:r>
        <w:rPr>
          <w:color w:val="000000" w:themeColor="text1"/>
          <w:lang w:val="zh-CN"/>
        </w:rPr>
        <w:t>1.3</w:t>
      </w:r>
      <w:r>
        <w:rPr>
          <w:rFonts w:hint="eastAsia"/>
          <w:color w:val="000000" w:themeColor="text1"/>
          <w:lang w:val="zh-CN"/>
        </w:rPr>
        <w:t>、</w:t>
      </w:r>
      <w:r>
        <w:rPr>
          <w:color w:val="000000" w:themeColor="text1"/>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pStyle w:val="58"/>
        <w:ind w:firstLine="480"/>
        <w:rPr>
          <w:color w:val="000000" w:themeColor="text1"/>
          <w:lang w:val="zh-CN"/>
        </w:rPr>
      </w:pPr>
      <w:r>
        <w:rPr>
          <w:color w:val="000000" w:themeColor="text1"/>
          <w:lang w:val="zh-CN"/>
        </w:rPr>
        <w:t>1.4</w:t>
      </w:r>
      <w:r>
        <w:rPr>
          <w:rFonts w:hint="eastAsia"/>
          <w:color w:val="000000" w:themeColor="text1"/>
          <w:lang w:val="zh-CN"/>
        </w:rPr>
        <w:t>、</w:t>
      </w:r>
      <w:r>
        <w:rPr>
          <w:color w:val="000000" w:themeColor="text1"/>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pStyle w:val="58"/>
        <w:ind w:firstLine="480"/>
        <w:rPr>
          <w:color w:val="000000" w:themeColor="text1"/>
          <w:lang w:val="zh-CN"/>
        </w:rPr>
      </w:pPr>
      <w:r>
        <w:rPr>
          <w:color w:val="000000" w:themeColor="text1"/>
          <w:lang w:val="zh-CN"/>
        </w:rPr>
        <w:t>1.5</w:t>
      </w:r>
      <w:r>
        <w:rPr>
          <w:rFonts w:hint="eastAsia"/>
          <w:color w:val="000000" w:themeColor="text1"/>
          <w:lang w:val="zh-CN"/>
        </w:rPr>
        <w:t>、</w:t>
      </w:r>
      <w:r>
        <w:rPr>
          <w:color w:val="000000" w:themeColor="text1"/>
          <w:lang w:val="zh-CN"/>
        </w:rPr>
        <w:t>投标供应商应仔细阅读招标文件中的所有内容，按照招标文件要求，详细编制投标文件，所有文件资料必须是针对本次投标。不按招标文件的要求提供的投标文件可能导致被拒绝。</w:t>
      </w:r>
    </w:p>
    <w:p>
      <w:pPr>
        <w:pStyle w:val="58"/>
        <w:ind w:firstLine="480"/>
        <w:rPr>
          <w:color w:val="000000" w:themeColor="text1"/>
          <w:lang w:val="zh-CN"/>
        </w:rPr>
      </w:pPr>
    </w:p>
    <w:p>
      <w:pPr>
        <w:pStyle w:val="58"/>
        <w:ind w:firstLine="480"/>
        <w:rPr>
          <w:color w:val="000000" w:themeColor="text1"/>
          <w:lang w:val="zh-CN"/>
        </w:rPr>
      </w:pPr>
      <w:r>
        <w:rPr>
          <w:rFonts w:hint="eastAsia"/>
          <w:color w:val="000000" w:themeColor="text1"/>
          <w:lang w:val="zh-CN"/>
        </w:rPr>
        <w:t>2、投标文件的组成</w:t>
      </w:r>
    </w:p>
    <w:p>
      <w:pPr>
        <w:pStyle w:val="58"/>
        <w:ind w:firstLine="480"/>
        <w:rPr>
          <w:color w:val="000000" w:themeColor="text1"/>
          <w:u w:val="single"/>
        </w:rPr>
      </w:pPr>
      <w:r>
        <w:rPr>
          <w:rFonts w:hint="eastAsia"/>
          <w:color w:val="000000" w:themeColor="text1"/>
          <w:u w:val="single"/>
        </w:rPr>
        <w:t>投标文件由“资格文件”、“报价文件”和“商务技术文件”组成。资格文件、商务技术文件不得含报价，否则投标将被拒绝。</w:t>
      </w:r>
    </w:p>
    <w:bookmarkEnd w:id="173"/>
    <w:p>
      <w:pPr>
        <w:pStyle w:val="30"/>
        <w:rPr>
          <w:color w:val="000000" w:themeColor="text1"/>
        </w:rPr>
      </w:pPr>
    </w:p>
    <w:p>
      <w:pPr>
        <w:autoSpaceDE w:val="0"/>
        <w:autoSpaceDN w:val="0"/>
        <w:adjustRightInd w:val="0"/>
        <w:snapToGrid w:val="0"/>
        <w:spacing w:line="460" w:lineRule="atLeast"/>
        <w:ind w:firstLine="441" w:firstLineChars="200"/>
        <w:rPr>
          <w:rFonts w:ascii="宋体" w:hAnsi="宋体"/>
          <w:b/>
          <w:color w:val="000000" w:themeColor="text1"/>
          <w:kern w:val="0"/>
          <w:sz w:val="22"/>
        </w:rPr>
      </w:pPr>
      <w:r>
        <w:rPr>
          <w:rFonts w:hint="eastAsia" w:ascii="宋体" w:hAnsi="宋体"/>
          <w:b/>
          <w:color w:val="000000" w:themeColor="text1"/>
          <w:kern w:val="0"/>
          <w:sz w:val="22"/>
        </w:rPr>
        <w:t>2.1、资格文件组成</w:t>
      </w:r>
    </w:p>
    <w:tbl>
      <w:tblPr>
        <w:tblStyle w:val="31"/>
        <w:tblW w:w="9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Courier New"/>
                <w:color w:val="000000" w:themeColor="text1"/>
                <w:kern w:val="0"/>
                <w:sz w:val="22"/>
                <w:lang w:val="zh-CN"/>
              </w:rPr>
              <w:t>序号</w:t>
            </w:r>
          </w:p>
        </w:tc>
        <w:tc>
          <w:tcPr>
            <w:tcW w:w="8320" w:type="dxa"/>
          </w:tcPr>
          <w:p>
            <w:pPr>
              <w:autoSpaceDE w:val="0"/>
              <w:autoSpaceDN w:val="0"/>
              <w:adjustRightInd w:val="0"/>
              <w:snapToGrid w:val="0"/>
              <w:spacing w:line="430" w:lineRule="atLeast"/>
              <w:rPr>
                <w:rFonts w:ascii="宋体" w:hAnsi="宋体" w:cs="Courier New"/>
                <w:color w:val="000000" w:themeColor="text1"/>
                <w:kern w:val="0"/>
                <w:sz w:val="22"/>
                <w:lang w:val="zh-CN"/>
              </w:rPr>
            </w:pPr>
            <w:r>
              <w:rPr>
                <w:rFonts w:hint="eastAsia" w:ascii="宋体" w:hAnsi="宋体" w:cs="Courier New"/>
                <w:color w:val="000000" w:themeColor="text1"/>
                <w:kern w:val="0"/>
                <w:sz w:val="22"/>
                <w:lang w:val="zh-CN"/>
              </w:rPr>
              <w:t>内容（</w:t>
            </w:r>
            <w:r>
              <w:rPr>
                <w:rFonts w:hint="eastAsia" w:ascii="宋体" w:hAnsi="宋体" w:cs="Courier New"/>
                <w:b/>
                <w:color w:val="000000" w:themeColor="text1"/>
                <w:kern w:val="0"/>
                <w:sz w:val="22"/>
                <w:lang w:val="zh-CN"/>
              </w:rPr>
              <w:t>以下1-</w:t>
            </w:r>
            <w:r>
              <w:rPr>
                <w:rFonts w:hint="eastAsia" w:ascii="宋体" w:hAnsi="宋体" w:cs="Courier New"/>
                <w:b/>
                <w:color w:val="000000" w:themeColor="text1"/>
                <w:kern w:val="0"/>
                <w:sz w:val="22"/>
              </w:rPr>
              <w:t>8</w:t>
            </w:r>
            <w:r>
              <w:rPr>
                <w:rFonts w:hint="eastAsia" w:ascii="宋体" w:hAnsi="宋体" w:cs="Courier New"/>
                <w:b/>
                <w:color w:val="000000" w:themeColor="text1"/>
                <w:kern w:val="0"/>
                <w:sz w:val="22"/>
                <w:lang w:val="zh-CN"/>
              </w:rPr>
              <w:t>项内容投标供应商必须提供，否则不能通过资格审查。</w:t>
            </w:r>
            <w:r>
              <w:rPr>
                <w:rFonts w:hint="eastAsia" w:ascii="宋体" w:hAnsi="宋体" w:cs="Courier New"/>
                <w:color w:val="000000" w:themeColor="text1"/>
                <w:kern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1</w:t>
            </w:r>
          </w:p>
        </w:tc>
        <w:tc>
          <w:tcPr>
            <w:tcW w:w="8320" w:type="dxa"/>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Courier New"/>
                <w:color w:val="000000" w:themeColor="text1"/>
                <w:kern w:val="0"/>
                <w:sz w:val="22"/>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宋体"/>
                <w:color w:val="000000" w:themeColor="text1"/>
                <w:kern w:val="0"/>
                <w:sz w:val="22"/>
              </w:rPr>
              <w:t>2</w:t>
            </w:r>
          </w:p>
        </w:tc>
        <w:tc>
          <w:tcPr>
            <w:tcW w:w="8320" w:type="dxa"/>
            <w:vAlign w:val="center"/>
          </w:tcPr>
          <w:p>
            <w:pPr>
              <w:autoSpaceDE w:val="0"/>
              <w:autoSpaceDN w:val="0"/>
              <w:adjustRightInd w:val="0"/>
              <w:snapToGrid w:val="0"/>
              <w:spacing w:line="360" w:lineRule="exact"/>
              <w:rPr>
                <w:rFonts w:ascii="宋体" w:hAnsi="宋体" w:cs="Courier New"/>
                <w:color w:val="000000" w:themeColor="text1"/>
                <w:kern w:val="0"/>
                <w:sz w:val="22"/>
              </w:rPr>
            </w:pPr>
            <w:r>
              <w:rPr>
                <w:rFonts w:hint="eastAsia" w:ascii="宋体" w:hAnsi="宋体" w:cs="宋体"/>
                <w:color w:val="000000" w:themeColor="text1"/>
                <w:kern w:val="0"/>
                <w:sz w:val="22"/>
              </w:rPr>
              <w:t>供应商参加政府采购活动应当具备的一般条件的承诺函（附件一）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3</w:t>
            </w:r>
          </w:p>
        </w:tc>
        <w:tc>
          <w:tcPr>
            <w:tcW w:w="8320" w:type="dxa"/>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宋体"/>
                <w:color w:val="000000" w:themeColor="text1"/>
                <w:kern w:val="0"/>
                <w:sz w:val="22"/>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宋体"/>
                <w:color w:val="000000" w:themeColor="text1"/>
                <w:kern w:val="0"/>
                <w:sz w:val="22"/>
              </w:rPr>
              <w:t>4</w:t>
            </w:r>
          </w:p>
        </w:tc>
        <w:tc>
          <w:tcPr>
            <w:tcW w:w="8320" w:type="dxa"/>
            <w:vAlign w:val="center"/>
          </w:tcPr>
          <w:p>
            <w:pPr>
              <w:autoSpaceDE w:val="0"/>
              <w:autoSpaceDN w:val="0"/>
              <w:adjustRightInd w:val="0"/>
              <w:snapToGrid w:val="0"/>
              <w:spacing w:line="360" w:lineRule="exact"/>
              <w:rPr>
                <w:rFonts w:ascii="宋体" w:hAnsi="宋体" w:cs="Courier New"/>
                <w:color w:val="000000" w:themeColor="text1"/>
                <w:kern w:val="0"/>
                <w:sz w:val="22"/>
              </w:rPr>
            </w:pPr>
            <w:r>
              <w:rPr>
                <w:rFonts w:hint="eastAsia" w:ascii="宋体" w:hAnsi="宋体" w:cs="宋体"/>
                <w:color w:val="000000" w:themeColor="text1"/>
                <w:kern w:val="0"/>
                <w:sz w:val="22"/>
              </w:rPr>
              <w:t>法定代表人授权书（附件五），法定代表人参与投标的仅需提供法定代表人的身份证扫描件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宋体"/>
                <w:color w:val="000000" w:themeColor="text1"/>
                <w:kern w:val="0"/>
                <w:sz w:val="22"/>
              </w:rPr>
              <w:t>5</w:t>
            </w:r>
          </w:p>
        </w:tc>
        <w:tc>
          <w:tcPr>
            <w:tcW w:w="8320" w:type="dxa"/>
            <w:vAlign w:val="center"/>
          </w:tcPr>
          <w:p>
            <w:pPr>
              <w:autoSpaceDE w:val="0"/>
              <w:autoSpaceDN w:val="0"/>
              <w:adjustRightInd w:val="0"/>
              <w:snapToGrid w:val="0"/>
              <w:spacing w:line="360" w:lineRule="exact"/>
              <w:rPr>
                <w:rFonts w:ascii="宋体" w:hAnsi="宋体" w:cs="Courier New"/>
                <w:color w:val="000000" w:themeColor="text1"/>
                <w:kern w:val="0"/>
                <w:sz w:val="22"/>
              </w:rPr>
            </w:pPr>
            <w:r>
              <w:rPr>
                <w:rFonts w:hint="eastAsia" w:ascii="宋体" w:hAnsi="宋体" w:cs="宋体"/>
                <w:color w:val="000000" w:themeColor="text1"/>
                <w:kern w:val="0"/>
                <w:sz w:val="22"/>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lang w:val="zh-CN"/>
              </w:rPr>
            </w:pPr>
            <w:r>
              <w:rPr>
                <w:rFonts w:hint="eastAsia" w:ascii="宋体" w:hAnsi="宋体" w:cs="Courier New"/>
                <w:color w:val="000000" w:themeColor="text1"/>
                <w:kern w:val="0"/>
                <w:sz w:val="22"/>
              </w:rPr>
              <w:t>6</w:t>
            </w:r>
          </w:p>
        </w:tc>
        <w:tc>
          <w:tcPr>
            <w:tcW w:w="8320" w:type="dxa"/>
          </w:tcPr>
          <w:p>
            <w:pPr>
              <w:autoSpaceDE w:val="0"/>
              <w:autoSpaceDN w:val="0"/>
              <w:adjustRightInd w:val="0"/>
              <w:snapToGrid w:val="0"/>
              <w:spacing w:line="430" w:lineRule="atLeast"/>
              <w:rPr>
                <w:rFonts w:ascii="宋体" w:hAnsi="宋体" w:cs="Courier New"/>
                <w:color w:val="000000" w:themeColor="text1"/>
                <w:kern w:val="0"/>
                <w:sz w:val="22"/>
              </w:rPr>
            </w:pPr>
            <w:r>
              <w:rPr>
                <w:rFonts w:hint="eastAsia" w:ascii="宋体" w:hAnsi="宋体" w:cs="Courier New"/>
                <w:color w:val="000000" w:themeColor="text1"/>
                <w:kern w:val="0"/>
                <w:sz w:val="22"/>
              </w:rPr>
              <w:t>投标供应商特定资格条件证明：</w:t>
            </w:r>
            <w:r>
              <w:rPr>
                <w:rFonts w:hint="eastAsia" w:ascii="宋体" w:hAnsi="宋体" w:cs="宋体"/>
                <w:color w:val="000000" w:themeColor="text1"/>
                <w:kern w:val="0"/>
                <w:sz w:val="22"/>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hAnsi="宋体" w:cs="Courier New"/>
                <w:color w:val="000000" w:themeColor="text1"/>
                <w:kern w:val="0"/>
                <w:sz w:val="22"/>
              </w:rPr>
            </w:pPr>
            <w:r>
              <w:rPr>
                <w:rFonts w:hint="eastAsia" w:ascii="宋体" w:hAnsi="宋体" w:cs="Courier New"/>
                <w:color w:val="000000" w:themeColor="text1"/>
                <w:kern w:val="0"/>
                <w:sz w:val="22"/>
              </w:rPr>
              <w:t>7</w:t>
            </w:r>
          </w:p>
        </w:tc>
        <w:tc>
          <w:tcPr>
            <w:tcW w:w="8320" w:type="dxa"/>
          </w:tcPr>
          <w:p>
            <w:pPr>
              <w:autoSpaceDE w:val="0"/>
              <w:autoSpaceDN w:val="0"/>
              <w:adjustRightInd w:val="0"/>
              <w:snapToGrid w:val="0"/>
              <w:spacing w:line="430" w:lineRule="atLeast"/>
              <w:rPr>
                <w:rFonts w:ascii="宋体" w:hAnsi="宋体" w:cs="Courier New"/>
                <w:color w:val="000000" w:themeColor="text1"/>
                <w:kern w:val="0"/>
                <w:sz w:val="22"/>
              </w:rPr>
            </w:pPr>
            <w:r>
              <w:rPr>
                <w:rFonts w:hint="eastAsia" w:ascii="宋体" w:hAnsi="宋体" w:cs="Courier New"/>
                <w:color w:val="000000" w:themeColor="text1"/>
                <w:kern w:val="0"/>
                <w:sz w:val="22"/>
              </w:rPr>
              <w:t>投标供应商“信用中国”(www.creditchina.gov.cn)；“中国政府采购网”（www.ccgp.gov.cn）信用记录查询网页截图（招标公告发布之日至投标截止时间前）</w:t>
            </w:r>
          </w:p>
        </w:tc>
      </w:tr>
    </w:tbl>
    <w:p>
      <w:pPr>
        <w:autoSpaceDE w:val="0"/>
        <w:autoSpaceDN w:val="0"/>
        <w:adjustRightInd w:val="0"/>
        <w:snapToGrid w:val="0"/>
        <w:spacing w:line="460" w:lineRule="atLeast"/>
        <w:ind w:firstLine="440" w:firstLineChars="200"/>
        <w:rPr>
          <w:rFonts w:ascii="宋体" w:hAnsi="宋体"/>
          <w:color w:val="000000" w:themeColor="text1"/>
          <w:kern w:val="0"/>
          <w:sz w:val="22"/>
          <w:lang w:val="zh-CN"/>
        </w:rPr>
      </w:pPr>
      <w:r>
        <w:rPr>
          <w:rFonts w:hint="eastAsia" w:ascii="宋体" w:hAnsi="宋体"/>
          <w:color w:val="000000" w:themeColor="text1"/>
          <w:kern w:val="0"/>
          <w:sz w:val="22"/>
          <w:lang w:val="zh-CN"/>
        </w:rPr>
        <w:t>2.2、</w:t>
      </w:r>
      <w:r>
        <w:rPr>
          <w:rFonts w:hint="eastAsia" w:ascii="宋体" w:hAnsi="宋体"/>
          <w:b/>
          <w:color w:val="000000" w:themeColor="text1"/>
          <w:kern w:val="0"/>
          <w:sz w:val="22"/>
        </w:rPr>
        <w:t>报价文件</w:t>
      </w:r>
      <w:r>
        <w:rPr>
          <w:rFonts w:hint="eastAsia" w:ascii="宋体" w:hAnsi="宋体"/>
          <w:b/>
          <w:color w:val="000000" w:themeColor="text1"/>
          <w:kern w:val="0"/>
          <w:sz w:val="22"/>
          <w:lang w:val="zh-CN"/>
        </w:rPr>
        <w:t>组成</w:t>
      </w:r>
    </w:p>
    <w:tbl>
      <w:tblPr>
        <w:tblStyle w:val="31"/>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序号</w:t>
            </w:r>
          </w:p>
        </w:tc>
        <w:tc>
          <w:tcPr>
            <w:tcW w:w="8404"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内容（</w:t>
            </w:r>
            <w:r>
              <w:rPr>
                <w:rFonts w:hint="eastAsia" w:ascii="宋体" w:hAnsi="宋体" w:cs="宋体"/>
                <w:b/>
                <w:color w:val="000000" w:themeColor="text1"/>
                <w:kern w:val="0"/>
                <w:sz w:val="22"/>
                <w:lang w:val="zh-CN"/>
              </w:rPr>
              <w:t>序号2-3项投标供应商必须提供，否则不能通过符合性审查。</w:t>
            </w:r>
            <w:r>
              <w:rPr>
                <w:rFonts w:hint="eastAsia" w:ascii="宋体" w:hAnsi="宋体" w:cs="宋体"/>
                <w:color w:val="000000" w:themeColor="text1"/>
                <w:kern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1</w:t>
            </w:r>
          </w:p>
        </w:tc>
        <w:tc>
          <w:tcPr>
            <w:tcW w:w="8404"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olor w:val="000000" w:themeColor="text1"/>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2</w:t>
            </w:r>
          </w:p>
        </w:tc>
        <w:tc>
          <w:tcPr>
            <w:tcW w:w="8404" w:type="dxa"/>
            <w:shd w:val="clear" w:color="auto" w:fill="auto"/>
          </w:tcPr>
          <w:p>
            <w:pPr>
              <w:autoSpaceDE w:val="0"/>
              <w:autoSpaceDN w:val="0"/>
              <w:adjustRightInd w:val="0"/>
              <w:spacing w:line="430" w:lineRule="atLeast"/>
              <w:textAlignment w:val="bottom"/>
              <w:rPr>
                <w:rFonts w:ascii="宋体" w:hAnsi="宋体" w:cs="宋体"/>
                <w:color w:val="000000" w:themeColor="text1"/>
                <w:kern w:val="0"/>
                <w:sz w:val="22"/>
              </w:rPr>
            </w:pPr>
            <w:r>
              <w:rPr>
                <w:rFonts w:hint="eastAsia" w:ascii="宋体" w:hAnsi="宋体" w:cs="宋体"/>
                <w:color w:val="000000" w:themeColor="text1"/>
                <w:kern w:val="0"/>
                <w:sz w:val="22"/>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3</w:t>
            </w:r>
          </w:p>
        </w:tc>
        <w:tc>
          <w:tcPr>
            <w:tcW w:w="8404" w:type="dxa"/>
            <w:shd w:val="clear" w:color="auto" w:fill="auto"/>
          </w:tcPr>
          <w:p>
            <w:pPr>
              <w:autoSpaceDE w:val="0"/>
              <w:autoSpaceDN w:val="0"/>
              <w:adjustRightInd w:val="0"/>
              <w:spacing w:line="430" w:lineRule="atLeast"/>
              <w:textAlignment w:val="bottom"/>
              <w:rPr>
                <w:rFonts w:ascii="宋体" w:hAnsi="宋体" w:cs="宋体"/>
                <w:color w:val="000000" w:themeColor="text1"/>
                <w:kern w:val="0"/>
                <w:sz w:val="22"/>
                <w:lang w:val="zh-CN"/>
              </w:rPr>
            </w:pPr>
            <w:r>
              <w:rPr>
                <w:rFonts w:hint="eastAsia" w:ascii="宋体" w:hAnsi="宋体" w:cs="宋体"/>
                <w:color w:val="000000" w:themeColor="text1"/>
                <w:kern w:val="0"/>
                <w:sz w:val="22"/>
              </w:rPr>
              <w:t>投标费用明细表（附件三）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color w:val="000000" w:themeColor="text1"/>
                <w:kern w:val="0"/>
                <w:sz w:val="22"/>
                <w:lang w:val="en-US" w:eastAsia="zh-CN"/>
              </w:rPr>
            </w:pPr>
            <w:r>
              <w:rPr>
                <w:rFonts w:hint="eastAsia" w:ascii="宋体" w:hAnsi="宋体" w:cs="宋体"/>
                <w:color w:val="000000" w:themeColor="text1"/>
                <w:kern w:val="0"/>
                <w:sz w:val="22"/>
                <w:lang w:val="en-US" w:eastAsia="zh-CN"/>
              </w:rPr>
              <w:t>4</w:t>
            </w:r>
          </w:p>
        </w:tc>
        <w:tc>
          <w:tcPr>
            <w:tcW w:w="8404" w:type="dxa"/>
            <w:shd w:val="clear" w:color="auto" w:fill="auto"/>
          </w:tcPr>
          <w:p>
            <w:pPr>
              <w:autoSpaceDE w:val="0"/>
              <w:autoSpaceDN w:val="0"/>
              <w:adjustRightInd w:val="0"/>
              <w:spacing w:line="430" w:lineRule="atLeast"/>
              <w:textAlignment w:val="bottom"/>
              <w:rPr>
                <w:rFonts w:hint="eastAsia" w:ascii="宋体" w:hAnsi="宋体" w:cs="宋体"/>
                <w:color w:val="000000" w:themeColor="text1"/>
                <w:kern w:val="0"/>
                <w:sz w:val="22"/>
              </w:rPr>
            </w:pPr>
            <w:r>
              <w:rPr>
                <w:rFonts w:hint="eastAsia" w:ascii="宋体" w:hAnsi="宋体" w:cs="宋体"/>
                <w:color w:val="000000" w:themeColor="text1"/>
                <w:kern w:val="0"/>
                <w:sz w:val="22"/>
                <w:szCs w:val="20"/>
                <w:lang w:val="en-US" w:eastAsia="zh-CN"/>
              </w:rPr>
              <w:t>小微企业享受价格折扣证明材料（见第四章及附件）如有则提供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color w:val="000000" w:themeColor="text1"/>
                <w:kern w:val="0"/>
                <w:sz w:val="22"/>
                <w:lang w:val="zh-CN" w:eastAsia="zh-CN"/>
              </w:rPr>
            </w:pPr>
            <w:r>
              <w:rPr>
                <w:rFonts w:hint="eastAsia" w:ascii="宋体" w:hAnsi="宋体" w:cs="宋体"/>
                <w:color w:val="000000" w:themeColor="text1"/>
                <w:kern w:val="0"/>
                <w:sz w:val="22"/>
                <w:lang w:val="en-US" w:eastAsia="zh-CN"/>
              </w:rPr>
              <w:t>5</w:t>
            </w:r>
          </w:p>
        </w:tc>
        <w:tc>
          <w:tcPr>
            <w:tcW w:w="8404" w:type="dxa"/>
            <w:shd w:val="clear" w:color="auto" w:fill="auto"/>
          </w:tcPr>
          <w:p>
            <w:pPr>
              <w:autoSpaceDE w:val="0"/>
              <w:autoSpaceDN w:val="0"/>
              <w:adjustRightInd w:val="0"/>
              <w:spacing w:line="430" w:lineRule="atLeast"/>
              <w:textAlignment w:val="bottom"/>
              <w:rPr>
                <w:rFonts w:ascii="宋体" w:hAnsi="宋体" w:cs="宋体"/>
                <w:color w:val="000000" w:themeColor="text1"/>
                <w:kern w:val="0"/>
                <w:sz w:val="22"/>
              </w:rPr>
            </w:pPr>
            <w:r>
              <w:rPr>
                <w:rFonts w:hint="eastAsia" w:ascii="宋体" w:hAnsi="宋体" w:cs="宋体"/>
                <w:color w:val="000000" w:themeColor="text1"/>
                <w:kern w:val="0"/>
                <w:sz w:val="22"/>
              </w:rPr>
              <w:t>其他须说明的资料（如有则提供）</w:t>
            </w:r>
          </w:p>
        </w:tc>
      </w:tr>
    </w:tbl>
    <w:p>
      <w:pPr>
        <w:autoSpaceDE w:val="0"/>
        <w:autoSpaceDN w:val="0"/>
        <w:adjustRightInd w:val="0"/>
        <w:snapToGrid w:val="0"/>
        <w:spacing w:line="460" w:lineRule="atLeast"/>
        <w:ind w:firstLine="440" w:firstLineChars="200"/>
        <w:textAlignment w:val="bottom"/>
        <w:rPr>
          <w:rFonts w:ascii="宋体" w:hAnsi="宋体"/>
          <w:color w:val="000000" w:themeColor="text1"/>
          <w:kern w:val="0"/>
          <w:sz w:val="22"/>
        </w:rPr>
      </w:pPr>
      <w:r>
        <w:rPr>
          <w:rFonts w:hint="eastAsia" w:ascii="宋体" w:hAnsi="宋体"/>
          <w:color w:val="000000" w:themeColor="text1"/>
          <w:kern w:val="0"/>
          <w:sz w:val="22"/>
        </w:rPr>
        <w:t>2.3、</w:t>
      </w:r>
      <w:r>
        <w:rPr>
          <w:rFonts w:hint="eastAsia" w:ascii="宋体" w:hAnsi="宋体"/>
          <w:b/>
          <w:color w:val="000000" w:themeColor="text1"/>
          <w:kern w:val="0"/>
          <w:sz w:val="22"/>
        </w:rPr>
        <w:t>商务技术文件组成</w:t>
      </w:r>
    </w:p>
    <w:tbl>
      <w:tblPr>
        <w:tblStyle w:val="31"/>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序号</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lang w:val="zh-CN"/>
              </w:rPr>
            </w:pPr>
            <w:r>
              <w:rPr>
                <w:rFonts w:hint="eastAsia" w:ascii="宋体" w:hAnsi="宋体" w:cs="宋体"/>
                <w:color w:val="000000" w:themeColor="text1"/>
                <w:kern w:val="0"/>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lang w:val="zh-CN"/>
              </w:rPr>
              <w:t>1</w:t>
            </w:r>
          </w:p>
        </w:tc>
        <w:tc>
          <w:tcPr>
            <w:tcW w:w="8350" w:type="dxa"/>
            <w:shd w:val="clear" w:color="auto" w:fill="auto"/>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olor w:val="000000" w:themeColor="text1"/>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rPr>
              <w:t>2</w:t>
            </w:r>
          </w:p>
        </w:tc>
        <w:tc>
          <w:tcPr>
            <w:tcW w:w="8350" w:type="dxa"/>
            <w:shd w:val="clear" w:color="auto" w:fill="auto"/>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宋体"/>
                <w:color w:val="000000" w:themeColor="text1"/>
                <w:kern w:val="0"/>
                <w:sz w:val="22"/>
              </w:rPr>
              <w:t>偏离表（附件九）（如不填写，采购人有权视为完全响应招标文件的技术及商务要求）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3</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rPr>
            </w:pPr>
            <w:r>
              <w:rPr>
                <w:rFonts w:hint="eastAsia" w:ascii="宋体" w:hAnsi="宋体" w:cs="宋体"/>
                <w:color w:val="000000" w:themeColor="text1"/>
                <w:kern w:val="0"/>
                <w:sz w:val="22"/>
              </w:rPr>
              <w:t>投标供应商业绩（附件</w:t>
            </w:r>
            <w:r>
              <w:rPr>
                <w:rFonts w:hint="eastAsia" w:ascii="宋体" w:hAnsi="宋体" w:cs="Arial"/>
                <w:color w:val="000000" w:themeColor="text1"/>
                <w:sz w:val="22"/>
              </w:rPr>
              <w:t>七</w:t>
            </w:r>
            <w:r>
              <w:rPr>
                <w:rFonts w:hint="eastAsia" w:ascii="宋体" w:hAnsi="宋体" w:cs="宋体"/>
                <w:color w:val="000000" w:themeColor="text1"/>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rPr>
            </w:pPr>
            <w:r>
              <w:rPr>
                <w:rFonts w:hint="eastAsia" w:ascii="宋体" w:hAnsi="宋体" w:cs="宋体"/>
                <w:color w:val="000000" w:themeColor="text1"/>
                <w:kern w:val="0"/>
                <w:sz w:val="22"/>
              </w:rPr>
              <w:t>4</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rPr>
            </w:pPr>
            <w:r>
              <w:rPr>
                <w:rFonts w:hint="eastAsia" w:ascii="宋体" w:hAnsi="宋体"/>
                <w:color w:val="000000" w:themeColor="text1"/>
                <w:kern w:val="0"/>
                <w:sz w:val="22"/>
              </w:rPr>
              <w:t>拟派本项目成员组成表（附件八）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rPr>
              <w:t>5</w:t>
            </w:r>
          </w:p>
        </w:tc>
        <w:tc>
          <w:tcPr>
            <w:tcW w:w="8350" w:type="dxa"/>
            <w:shd w:val="clear" w:color="auto" w:fill="auto"/>
            <w:vAlign w:val="center"/>
          </w:tcPr>
          <w:p>
            <w:pPr>
              <w:autoSpaceDE w:val="0"/>
              <w:autoSpaceDN w:val="0"/>
              <w:adjustRightInd w:val="0"/>
              <w:snapToGrid w:val="0"/>
              <w:spacing w:line="360" w:lineRule="exact"/>
              <w:rPr>
                <w:rFonts w:ascii="宋体" w:hAnsi="宋体" w:cs="宋体"/>
                <w:color w:val="000000" w:themeColor="text1"/>
                <w:kern w:val="0"/>
                <w:sz w:val="22"/>
              </w:rPr>
            </w:pPr>
            <w:r>
              <w:rPr>
                <w:rFonts w:hint="eastAsia" w:ascii="宋体" w:hAnsi="宋体" w:cs="宋体"/>
                <w:color w:val="000000" w:themeColor="text1"/>
                <w:kern w:val="0"/>
                <w:sz w:val="22"/>
              </w:rPr>
              <w:t>所投货物的品牌型号[货物类]（附件十）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ascii="宋体" w:hAnsi="宋体" w:cs="宋体"/>
                <w:color w:val="000000" w:themeColor="text1"/>
                <w:kern w:val="0"/>
                <w:sz w:val="22"/>
                <w:lang w:val="zh-CN"/>
              </w:rPr>
            </w:pPr>
            <w:r>
              <w:rPr>
                <w:rFonts w:hint="eastAsia" w:ascii="宋体" w:hAnsi="宋体" w:cs="宋体"/>
                <w:color w:val="000000" w:themeColor="text1"/>
                <w:kern w:val="0"/>
                <w:sz w:val="22"/>
              </w:rPr>
              <w:t>6</w:t>
            </w:r>
          </w:p>
        </w:tc>
        <w:tc>
          <w:tcPr>
            <w:tcW w:w="8350" w:type="dxa"/>
            <w:shd w:val="clear" w:color="auto" w:fill="auto"/>
          </w:tcPr>
          <w:p>
            <w:pPr>
              <w:autoSpaceDE w:val="0"/>
              <w:autoSpaceDN w:val="0"/>
              <w:adjustRightInd w:val="0"/>
              <w:snapToGrid w:val="0"/>
              <w:spacing w:line="430" w:lineRule="atLeast"/>
              <w:rPr>
                <w:rFonts w:ascii="宋体" w:hAnsi="宋体" w:cs="宋体"/>
                <w:color w:val="000000" w:themeColor="text1"/>
                <w:kern w:val="0"/>
                <w:sz w:val="22"/>
              </w:rPr>
            </w:pPr>
            <w:r>
              <w:rPr>
                <w:rFonts w:hint="eastAsia" w:ascii="宋体" w:hAnsi="宋体" w:cs="宋体"/>
                <w:color w:val="000000" w:themeColor="text1"/>
                <w:kern w:val="0"/>
                <w:sz w:val="22"/>
              </w:rPr>
              <w:t>根据招标文件需要提供的其它文件和资料（如有则提供）</w:t>
            </w:r>
          </w:p>
        </w:tc>
      </w:tr>
    </w:tbl>
    <w:p>
      <w:pPr>
        <w:pStyle w:val="30"/>
        <w:ind w:left="0" w:leftChars="0" w:firstLine="0" w:firstLineChars="0"/>
        <w:rPr>
          <w:rFonts w:asciiTheme="minorEastAsia" w:hAnsiTheme="minorEastAsia" w:eastAsiaTheme="minorEastAsia" w:cstheme="minorEastAsia"/>
          <w:color w:val="000000" w:themeColor="text1"/>
          <w:sz w:val="22"/>
          <w:szCs w:val="22"/>
        </w:rPr>
      </w:pPr>
    </w:p>
    <w:p>
      <w:pPr>
        <w:pStyle w:val="58"/>
        <w:ind w:firstLine="480"/>
        <w:rPr>
          <w:color w:val="000000" w:themeColor="text1"/>
        </w:rPr>
      </w:pPr>
      <w:r>
        <w:rPr>
          <w:rFonts w:hint="eastAsia"/>
          <w:color w:val="000000" w:themeColor="text1"/>
        </w:rPr>
        <w:t>3、投标报价</w:t>
      </w:r>
    </w:p>
    <w:p>
      <w:pPr>
        <w:pStyle w:val="58"/>
        <w:ind w:firstLine="480"/>
        <w:rPr>
          <w:color w:val="000000" w:themeColor="text1"/>
          <w:lang w:val="zh-CN"/>
        </w:rPr>
      </w:pPr>
      <w:r>
        <w:rPr>
          <w:rFonts w:hint="eastAsia"/>
          <w:color w:val="000000" w:themeColor="text1"/>
        </w:rPr>
        <w:t>3.1、投标供应商应按招标文件中《开标一览表》填写投标总价。</w:t>
      </w:r>
    </w:p>
    <w:p>
      <w:pPr>
        <w:pStyle w:val="58"/>
        <w:ind w:firstLine="480"/>
        <w:rPr>
          <w:color w:val="000000" w:themeColor="text1"/>
        </w:rPr>
      </w:pPr>
      <w:r>
        <w:rPr>
          <w:rFonts w:hint="eastAsia"/>
          <w:color w:val="000000" w:themeColor="text1"/>
        </w:rPr>
        <w:t>3.2、本次招标只允许有一个报价，有选择的报价将不予接受。</w:t>
      </w:r>
    </w:p>
    <w:p>
      <w:pPr>
        <w:pStyle w:val="58"/>
        <w:ind w:firstLine="480"/>
        <w:rPr>
          <w:color w:val="000000" w:themeColor="text1"/>
        </w:rPr>
      </w:pPr>
      <w:r>
        <w:rPr>
          <w:rFonts w:hint="eastAsia"/>
          <w:color w:val="000000" w:themeColor="text1"/>
        </w:rPr>
        <w:t>3.3、投标供应商应考虑企业自身实力、经验及项目实施过程中的各种因素，自主确定报价。投标供应商应在各自技术和商务占优势的基础上并充分考虑本项目的重要性，提供对采购人最优惠的报价。</w:t>
      </w:r>
    </w:p>
    <w:p>
      <w:pPr>
        <w:pStyle w:val="58"/>
        <w:ind w:firstLine="480"/>
        <w:rPr>
          <w:color w:val="000000" w:themeColor="text1"/>
        </w:rPr>
      </w:pPr>
      <w:r>
        <w:rPr>
          <w:rFonts w:hint="eastAsia"/>
          <w:color w:val="000000" w:themeColor="text1"/>
        </w:rPr>
        <w:t>投标供应商在投标报价中应充分考虑所有可能发生的费用，否则采购人将视投标总价中已包括所有费用。</w:t>
      </w:r>
    </w:p>
    <w:p>
      <w:pPr>
        <w:pStyle w:val="58"/>
        <w:ind w:firstLine="480"/>
        <w:rPr>
          <w:color w:val="000000" w:themeColor="text1"/>
        </w:rPr>
      </w:pPr>
      <w:r>
        <w:rPr>
          <w:rFonts w:hint="eastAsia"/>
          <w:color w:val="000000" w:themeColor="text1"/>
        </w:rPr>
        <w:t>投标供应商对在合同执行中，除上述费用及招标文件规定的由中标供应商负责的工作范围以外需要采购人协调或提供便利的工作应当在投标文件中说明。</w:t>
      </w:r>
    </w:p>
    <w:p>
      <w:pPr>
        <w:pStyle w:val="58"/>
        <w:ind w:firstLine="480"/>
        <w:rPr>
          <w:color w:val="000000" w:themeColor="text1"/>
        </w:rPr>
      </w:pPr>
      <w:r>
        <w:rPr>
          <w:rFonts w:hint="eastAsia"/>
          <w:color w:val="000000" w:themeColor="text1"/>
        </w:rPr>
        <w:t>4、采购人要求分类报价是为了方便评标，但在任何情况下不限制采购人以其认为最合适的条款签订合同的权利。</w:t>
      </w:r>
    </w:p>
    <w:p>
      <w:pPr>
        <w:pStyle w:val="58"/>
        <w:ind w:firstLine="480"/>
        <w:rPr>
          <w:color w:val="000000" w:themeColor="text1"/>
          <w:szCs w:val="22"/>
        </w:rPr>
      </w:pPr>
      <w:bookmarkStart w:id="175" w:name="_Toc132122117"/>
      <w:bookmarkStart w:id="176" w:name="_Toc132122414"/>
      <w:r>
        <w:rPr>
          <w:rFonts w:hint="eastAsia"/>
          <w:color w:val="000000" w:themeColor="text1"/>
          <w:szCs w:val="22"/>
        </w:rPr>
        <w:t>5、投标文件的有效期</w:t>
      </w:r>
      <w:bookmarkEnd w:id="175"/>
      <w:bookmarkEnd w:id="176"/>
    </w:p>
    <w:p>
      <w:pPr>
        <w:pStyle w:val="58"/>
        <w:ind w:firstLine="480"/>
        <w:rPr>
          <w:color w:val="000000" w:themeColor="text1"/>
          <w:szCs w:val="22"/>
        </w:rPr>
      </w:pPr>
      <w:r>
        <w:rPr>
          <w:rFonts w:hint="eastAsia"/>
          <w:color w:val="000000" w:themeColor="text1"/>
          <w:szCs w:val="22"/>
        </w:rPr>
        <w:t>5.1、自</w:t>
      </w:r>
      <w:r>
        <w:rPr>
          <w:rFonts w:hint="eastAsia" w:cs="宋体"/>
          <w:color w:val="000000" w:themeColor="text1"/>
        </w:rPr>
        <w:t>提交投标文件截止时间起90天</w:t>
      </w:r>
      <w:r>
        <w:rPr>
          <w:rFonts w:hint="eastAsia"/>
          <w:color w:val="000000" w:themeColor="text1"/>
          <w:szCs w:val="22"/>
        </w:rPr>
        <w:t>，投标文件应保持有效。有效期短于这个规定期限的投标将被拒绝。</w:t>
      </w:r>
    </w:p>
    <w:p>
      <w:pPr>
        <w:pStyle w:val="58"/>
        <w:ind w:firstLine="480"/>
        <w:rPr>
          <w:color w:val="000000" w:themeColor="text1"/>
          <w:szCs w:val="22"/>
        </w:rPr>
      </w:pPr>
      <w:r>
        <w:rPr>
          <w:rFonts w:hint="eastAsia"/>
          <w:color w:val="000000" w:themeColor="text1"/>
          <w:szCs w:val="22"/>
        </w:rPr>
        <w:t>5.2、在特殊情况下，采购人可与投标供应商协商延长投标文件的有效期，这种要求和答复均应以书面形式进行。</w:t>
      </w:r>
    </w:p>
    <w:p>
      <w:pPr>
        <w:pStyle w:val="58"/>
        <w:ind w:firstLine="480"/>
        <w:rPr>
          <w:color w:val="000000" w:themeColor="text1"/>
          <w:szCs w:val="22"/>
        </w:rPr>
      </w:pPr>
      <w:r>
        <w:rPr>
          <w:rFonts w:hint="eastAsia"/>
          <w:color w:val="000000" w:themeColor="text1"/>
          <w:szCs w:val="22"/>
        </w:rPr>
        <w:t>5.3、投标供应商可拒绝接受延期要求，同意延长有效期的投标供应商不能修改投标文件。</w:t>
      </w:r>
    </w:p>
    <w:p>
      <w:pPr>
        <w:pStyle w:val="58"/>
        <w:ind w:firstLine="480"/>
        <w:rPr>
          <w:rFonts w:cs="仿宋_GB2312"/>
          <w:color w:val="000000" w:themeColor="text1"/>
          <w:kern w:val="0"/>
        </w:rPr>
      </w:pPr>
      <w:r>
        <w:rPr>
          <w:rFonts w:hint="eastAsia"/>
          <w:color w:val="000000" w:themeColor="text1"/>
        </w:rPr>
        <w:t>6、</w:t>
      </w:r>
      <w:r>
        <w:rPr>
          <w:rFonts w:hint="eastAsia" w:cs="仿宋_GB2312"/>
          <w:color w:val="000000" w:themeColor="text1"/>
          <w:kern w:val="0"/>
          <w:lang w:val="zh-CN"/>
        </w:rPr>
        <w:t>投标文件编制</w:t>
      </w:r>
    </w:p>
    <w:p>
      <w:pPr>
        <w:pStyle w:val="58"/>
        <w:ind w:firstLine="480"/>
        <w:rPr>
          <w:rFonts w:cs="仿宋_GB2312"/>
          <w:color w:val="000000" w:themeColor="text1"/>
          <w:kern w:val="0"/>
          <w:lang w:val="zh-CN"/>
        </w:rPr>
      </w:pPr>
      <w:r>
        <w:rPr>
          <w:rFonts w:hint="eastAsia" w:cs="仿宋_GB2312"/>
          <w:color w:val="000000" w:themeColor="text1"/>
          <w:kern w:val="0"/>
        </w:rPr>
        <w:t>6.1、</w:t>
      </w:r>
      <w:r>
        <w:rPr>
          <w:rFonts w:hint="eastAsia" w:cs="仿宋_GB2312"/>
          <w:color w:val="000000" w:themeColor="text1"/>
          <w:kern w:val="0"/>
          <w:lang w:val="zh-CN"/>
        </w:rPr>
        <w:t>本项目通过</w:t>
      </w:r>
      <w:r>
        <w:rPr>
          <w:rFonts w:hint="eastAsia" w:cs="仿宋_GB2312"/>
          <w:color w:val="000000" w:themeColor="text1"/>
          <w:kern w:val="0"/>
        </w:rPr>
        <w:t>“</w:t>
      </w:r>
      <w:r>
        <w:rPr>
          <w:rFonts w:hint="eastAsia" w:cs="仿宋_GB2312"/>
          <w:color w:val="000000" w:themeColor="text1"/>
          <w:kern w:val="0"/>
          <w:lang w:val="zh-CN"/>
        </w:rPr>
        <w:t>政府采购云平台</w:t>
      </w:r>
      <w:r>
        <w:rPr>
          <w:rFonts w:hint="eastAsia" w:cs="仿宋_GB2312"/>
          <w:color w:val="000000" w:themeColor="text1"/>
          <w:kern w:val="0"/>
        </w:rPr>
        <w:t>（www.zcygov.cn）”</w:t>
      </w:r>
      <w:r>
        <w:rPr>
          <w:rFonts w:hint="eastAsia" w:cs="仿宋_GB2312"/>
          <w:color w:val="000000" w:themeColor="text1"/>
          <w:kern w:val="0"/>
          <w:lang w:val="zh-CN"/>
        </w:rPr>
        <w:t>实行在线投标响应</w:t>
      </w:r>
      <w:r>
        <w:rPr>
          <w:rFonts w:hint="eastAsia" w:cs="仿宋_GB2312"/>
          <w:color w:val="000000" w:themeColor="text1"/>
          <w:kern w:val="0"/>
        </w:rPr>
        <w:t>（</w:t>
      </w:r>
      <w:r>
        <w:rPr>
          <w:rFonts w:hint="eastAsia" w:cs="仿宋_GB2312"/>
          <w:color w:val="000000" w:themeColor="text1"/>
          <w:kern w:val="0"/>
          <w:lang w:val="zh-CN"/>
        </w:rPr>
        <w:t>电子投标</w:t>
      </w:r>
      <w:r>
        <w:rPr>
          <w:rFonts w:hint="eastAsia" w:cs="仿宋_GB2312"/>
          <w:color w:val="000000" w:themeColor="text1"/>
          <w:kern w:val="0"/>
        </w:rPr>
        <w:t>）</w:t>
      </w:r>
      <w:r>
        <w:rPr>
          <w:rFonts w:hint="eastAsia" w:cs="仿宋_GB2312"/>
          <w:color w:val="000000" w:themeColor="text1"/>
          <w:kern w:val="0"/>
          <w:lang w:val="zh-CN"/>
        </w:rPr>
        <w:t>。供应商应通过“政采云电子交易客户端”，并按照本招标文件和“政府采购云平台”的要求编制并加密投标文件。</w:t>
      </w:r>
    </w:p>
    <w:p>
      <w:pPr>
        <w:pStyle w:val="58"/>
        <w:ind w:firstLine="480"/>
        <w:rPr>
          <w:rFonts w:cs="仿宋_GB2312"/>
          <w:color w:val="000000" w:themeColor="text1"/>
          <w:kern w:val="0"/>
          <w:lang w:val="zh-CN"/>
        </w:rPr>
      </w:pPr>
      <w:r>
        <w:rPr>
          <w:rFonts w:hint="eastAsia" w:cs="仿宋_GB2312"/>
          <w:color w:val="000000" w:themeColor="text1"/>
          <w:kern w:val="0"/>
        </w:rPr>
        <w:t>6</w:t>
      </w:r>
      <w:r>
        <w:rPr>
          <w:rFonts w:hint="eastAsia" w:cs="仿宋_GB2312"/>
          <w:color w:val="000000" w:themeColor="text1"/>
          <w:kern w:val="0"/>
          <w:lang w:val="zh-CN"/>
        </w:rPr>
        <w:t>.2、投标人应根据“政采云供应商项目采购-电子招投标操作指南”及本招标文件规定的</w:t>
      </w:r>
      <w:r>
        <w:rPr>
          <w:rFonts w:hint="eastAsia" w:cs="仿宋_GB2312"/>
          <w:color w:val="000000" w:themeColor="text1"/>
          <w:kern w:val="0"/>
        </w:rPr>
        <w:t>内容</w:t>
      </w:r>
      <w:r>
        <w:rPr>
          <w:rFonts w:hint="eastAsia" w:cs="仿宋_GB2312"/>
          <w:color w:val="000000" w:themeColor="text1"/>
          <w:kern w:val="0"/>
          <w:lang w:val="zh-CN"/>
        </w:rPr>
        <w:t>和顺序编制电子投标文件并进行关联定位。</w:t>
      </w:r>
    </w:p>
    <w:p>
      <w:pPr>
        <w:pStyle w:val="58"/>
        <w:ind w:firstLine="480"/>
        <w:rPr>
          <w:rFonts w:cs="仿宋_GB2312"/>
          <w:color w:val="000000" w:themeColor="text1"/>
          <w:kern w:val="0"/>
          <w:lang w:val="zh-CN"/>
        </w:rPr>
      </w:pPr>
      <w:r>
        <w:rPr>
          <w:rFonts w:hint="eastAsia" w:cs="仿宋_GB2312"/>
          <w:color w:val="000000" w:themeColor="text1"/>
          <w:kern w:val="0"/>
        </w:rPr>
        <w:t>6</w:t>
      </w:r>
      <w:r>
        <w:rPr>
          <w:rFonts w:hint="eastAsia" w:cs="仿宋_GB2312"/>
          <w:color w:val="000000" w:themeColor="text1"/>
          <w:kern w:val="0"/>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177" w:name="_Hlt68403820"/>
      <w:bookmarkEnd w:id="177"/>
      <w:bookmarkStart w:id="178" w:name="_Hlt68072998"/>
      <w:bookmarkEnd w:id="178"/>
      <w:bookmarkStart w:id="179" w:name="_Hlt68073093"/>
      <w:bookmarkEnd w:id="179"/>
    </w:p>
    <w:p>
      <w:pPr>
        <w:pStyle w:val="58"/>
        <w:ind w:firstLine="480"/>
        <w:rPr>
          <w:rFonts w:cs="仿宋_GB2312"/>
          <w:color w:val="000000" w:themeColor="text1"/>
          <w:kern w:val="0"/>
          <w:lang w:val="zh-CN"/>
        </w:rPr>
      </w:pPr>
    </w:p>
    <w:p>
      <w:pPr>
        <w:pStyle w:val="58"/>
        <w:ind w:firstLine="480"/>
        <w:rPr>
          <w:rFonts w:cs="仿宋_GB2312"/>
          <w:color w:val="000000" w:themeColor="text1"/>
          <w:kern w:val="0"/>
          <w:lang w:val="zh-CN"/>
        </w:rPr>
      </w:pPr>
      <w:r>
        <w:rPr>
          <w:rFonts w:hint="eastAsia" w:cs="仿宋_GB2312"/>
          <w:color w:val="000000" w:themeColor="text1"/>
          <w:kern w:val="0"/>
        </w:rPr>
        <w:t>7</w:t>
      </w:r>
      <w:r>
        <w:rPr>
          <w:rFonts w:hint="eastAsia" w:cs="仿宋_GB2312"/>
          <w:color w:val="000000" w:themeColor="text1"/>
          <w:kern w:val="0"/>
          <w:lang w:val="zh-CN"/>
        </w:rPr>
        <w:t>、</w:t>
      </w:r>
      <w:r>
        <w:rPr>
          <w:rFonts w:hint="eastAsia"/>
          <w:color w:val="000000" w:themeColor="text1"/>
        </w:rPr>
        <w:t xml:space="preserve"> </w:t>
      </w:r>
      <w:r>
        <w:rPr>
          <w:rFonts w:hint="eastAsia" w:cs="仿宋_GB2312"/>
          <w:color w:val="000000" w:themeColor="text1"/>
          <w:kern w:val="0"/>
          <w:lang w:val="zh-CN"/>
        </w:rPr>
        <w:t>投标文件的签章</w:t>
      </w:r>
    </w:p>
    <w:p>
      <w:pPr>
        <w:pStyle w:val="58"/>
        <w:ind w:firstLine="480"/>
        <w:rPr>
          <w:rFonts w:cs="仿宋_GB2312"/>
          <w:color w:val="000000" w:themeColor="text1"/>
          <w:kern w:val="0"/>
          <w:lang w:val="zh-CN"/>
        </w:rPr>
      </w:pPr>
      <w:r>
        <w:rPr>
          <w:rFonts w:hint="eastAsia" w:cs="仿宋_GB2312"/>
          <w:color w:val="000000" w:themeColor="text1"/>
          <w:kern w:val="0"/>
        </w:rPr>
        <w:t>7</w:t>
      </w:r>
      <w:r>
        <w:rPr>
          <w:rFonts w:hint="eastAsia" w:cs="仿宋_GB2312"/>
          <w:color w:val="000000" w:themeColor="text1"/>
          <w:kern w:val="0"/>
          <w:lang w:val="zh-CN"/>
        </w:rPr>
        <w:t>.1、投标文件的签章：见《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color w:val="000000" w:themeColor="text1"/>
        </w:rPr>
      </w:pPr>
      <w:r>
        <w:rPr>
          <w:rFonts w:hint="eastAsia" w:cs="仿宋_GB2312"/>
          <w:color w:val="000000" w:themeColor="text1"/>
          <w:kern w:val="0"/>
        </w:rPr>
        <w:t>7</w:t>
      </w:r>
      <w:r>
        <w:rPr>
          <w:rFonts w:hint="eastAsia" w:cs="仿宋_GB2312"/>
          <w:color w:val="000000" w:themeColor="text1"/>
          <w:kern w:val="0"/>
          <w:lang w:val="zh-CN"/>
        </w:rPr>
        <w:t>.2、</w:t>
      </w:r>
      <w:r>
        <w:rPr>
          <w:rFonts w:hint="eastAsia"/>
          <w:color w:val="000000" w:themeColor="text1"/>
        </w:rPr>
        <w:t>CA</w:t>
      </w:r>
      <w:r>
        <w:rPr>
          <w:color w:val="000000" w:themeColor="text1"/>
        </w:rPr>
        <w:t>电子签章操作指南详见《</w:t>
      </w:r>
      <w:r>
        <w:rPr>
          <w:rFonts w:hint="eastAsia"/>
          <w:color w:val="000000" w:themeColor="text1"/>
        </w:rPr>
        <w:t>供应商</w:t>
      </w:r>
      <w:r>
        <w:rPr>
          <w:color w:val="000000" w:themeColor="text1"/>
        </w:rPr>
        <w:t>-政府采购项目电子交易操作指南》（</w:t>
      </w:r>
      <w:r>
        <w:rPr>
          <w:color w:val="000000" w:themeColor="text1"/>
        </w:rPr>
        <w:fldChar w:fldCharType="begin"/>
      </w:r>
      <w:r>
        <w:rPr>
          <w:color w:val="000000" w:themeColor="text1"/>
        </w:rPr>
        <w:instrText xml:space="preserve"> HYPERLINK "https://help.zcygov.cn/web/site_2/2018/12-28/2573.html" </w:instrText>
      </w:r>
      <w:r>
        <w:rPr>
          <w:color w:val="000000" w:themeColor="text1"/>
        </w:rPr>
        <w:fldChar w:fldCharType="separate"/>
      </w:r>
      <w:r>
        <w:rPr>
          <w:rStyle w:val="35"/>
          <w:color w:val="000000" w:themeColor="text1"/>
          <w:sz w:val="22"/>
          <w:u w:val="none"/>
        </w:rPr>
        <w:t>https://help.zcygov.cn/web/site_2/2018/12-28/2573.html</w:t>
      </w:r>
      <w:r>
        <w:rPr>
          <w:rStyle w:val="35"/>
          <w:color w:val="000000" w:themeColor="text1"/>
          <w:sz w:val="22"/>
          <w:u w:val="none"/>
        </w:rPr>
        <w:fldChar w:fldCharType="end"/>
      </w:r>
      <w:r>
        <w:rPr>
          <w:color w:val="000000" w:themeColor="text1"/>
        </w:rPr>
        <w:t>）</w:t>
      </w:r>
      <w:r>
        <w:rPr>
          <w:rFonts w:hint="eastAsia"/>
          <w:color w:val="000000" w:themeColor="text1"/>
        </w:rPr>
        <w:t>。</w:t>
      </w:r>
    </w:p>
    <w:p>
      <w:pPr>
        <w:pStyle w:val="58"/>
        <w:ind w:firstLine="480"/>
        <w:rPr>
          <w:color w:val="000000" w:themeColor="text1"/>
          <w:lang w:val="zh-CN"/>
        </w:rPr>
      </w:pP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、投标文件的形式</w:t>
      </w: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.1、投标文件的形式：见《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.2、“电子加密投标文件”：“电子加密投标文件”是指通过“政采云电子交易客户端”完成投标文件编制后生成并加密的数据电文形式的投标文件。</w:t>
      </w:r>
    </w:p>
    <w:p>
      <w:pPr>
        <w:pStyle w:val="58"/>
        <w:ind w:firstLine="480"/>
        <w:rPr>
          <w:rFonts w:cs="仿宋_GB2312"/>
          <w:color w:val="000000" w:themeColor="text1"/>
          <w:kern w:val="0"/>
          <w:lang w:val="zh-CN"/>
        </w:rPr>
      </w:pPr>
      <w:r>
        <w:rPr>
          <w:rFonts w:hint="eastAsia" w:cs="仿宋_GB2312"/>
          <w:color w:val="000000" w:themeColor="text1"/>
          <w:kern w:val="0"/>
        </w:rPr>
        <w:t>8</w:t>
      </w:r>
      <w:r>
        <w:rPr>
          <w:rFonts w:hint="eastAsia" w:cs="仿宋_GB2312"/>
          <w:color w:val="000000" w:themeColor="text1"/>
          <w:kern w:val="0"/>
          <w:lang w:val="zh-CN"/>
        </w:rPr>
        <w:t>.3、</w:t>
      </w:r>
      <w:r>
        <w:rPr>
          <w:rFonts w:cs="仿宋_GB2312"/>
          <w:color w:val="000000" w:themeColor="text1"/>
          <w:kern w:val="0"/>
          <w:lang w:val="zh-CN"/>
        </w:rPr>
        <w:t>投标文件的份数</w:t>
      </w:r>
    </w:p>
    <w:p>
      <w:pPr>
        <w:pStyle w:val="58"/>
        <w:ind w:firstLine="480"/>
        <w:rPr>
          <w:color w:val="000000" w:themeColor="text1"/>
        </w:rPr>
      </w:pPr>
      <w:r>
        <w:rPr>
          <w:color w:val="000000" w:themeColor="text1"/>
        </w:rPr>
        <w:t>投标文件的份数：见《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color w:val="000000" w:themeColor="text1"/>
        </w:rPr>
        <w:t>》。</w:t>
      </w:r>
    </w:p>
    <w:p>
      <w:pPr>
        <w:pStyle w:val="58"/>
        <w:ind w:firstLine="480"/>
        <w:rPr>
          <w:rFonts w:cs="仿宋_GB2312"/>
          <w:color w:val="000000" w:themeColor="text1"/>
          <w:kern w:val="0"/>
          <w:lang w:val="zh-CN"/>
        </w:rPr>
      </w:pPr>
      <w:r>
        <w:rPr>
          <w:rFonts w:hint="eastAsia" w:cs="仿宋_GB2312"/>
          <w:color w:val="000000" w:themeColor="text1"/>
          <w:kern w:val="0"/>
          <w:lang w:val="zh-CN"/>
        </w:rPr>
        <w:t>四、投标</w:t>
      </w:r>
    </w:p>
    <w:p>
      <w:pPr>
        <w:pStyle w:val="58"/>
        <w:ind w:firstLine="480"/>
        <w:rPr>
          <w:rFonts w:cs="仿宋_GB2312"/>
          <w:color w:val="000000" w:themeColor="text1"/>
          <w:kern w:val="0"/>
          <w:lang w:val="zh-CN"/>
        </w:rPr>
      </w:pPr>
      <w:r>
        <w:rPr>
          <w:rFonts w:hint="eastAsia" w:cs="仿宋_GB2312"/>
          <w:color w:val="000000" w:themeColor="text1"/>
          <w:kern w:val="0"/>
          <w:lang w:val="zh-CN"/>
        </w:rPr>
        <w:t>1、投标文件的上传和递交</w:t>
      </w:r>
    </w:p>
    <w:p>
      <w:pPr>
        <w:pStyle w:val="58"/>
        <w:ind w:firstLine="480"/>
        <w:rPr>
          <w:rFonts w:cs="仿宋_GB2312"/>
          <w:color w:val="000000" w:themeColor="text1"/>
          <w:kern w:val="0"/>
          <w:lang w:val="zh-CN"/>
        </w:rPr>
      </w:pPr>
      <w:r>
        <w:rPr>
          <w:rFonts w:hint="eastAsia" w:cs="仿宋_GB2312"/>
          <w:color w:val="000000" w:themeColor="text1"/>
          <w:kern w:val="0"/>
          <w:lang w:val="zh-CN"/>
        </w:rPr>
        <w:t>“投标文件”的上传、递交：见《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rFonts w:cs="仿宋_GB2312"/>
          <w:color w:val="000000" w:themeColor="text1"/>
          <w:kern w:val="0"/>
          <w:lang w:val="zh-CN"/>
        </w:rPr>
      </w:pPr>
      <w:r>
        <w:rPr>
          <w:rFonts w:hint="eastAsia" w:cs="仿宋_GB2312"/>
          <w:color w:val="000000" w:themeColor="text1"/>
          <w:kern w:val="0"/>
          <w:lang w:val="zh-CN"/>
        </w:rPr>
        <w:t>2、“电子加密投标文件”解密</w:t>
      </w:r>
    </w:p>
    <w:p>
      <w:pPr>
        <w:pStyle w:val="58"/>
        <w:ind w:firstLine="480"/>
        <w:rPr>
          <w:rFonts w:cs="仿宋_GB2312"/>
          <w:color w:val="000000" w:themeColor="text1"/>
          <w:kern w:val="0"/>
          <w:lang w:val="zh-CN"/>
        </w:rPr>
      </w:pPr>
      <w:r>
        <w:rPr>
          <w:rFonts w:hint="eastAsia" w:cs="仿宋_GB2312"/>
          <w:color w:val="000000" w:themeColor="text1"/>
          <w:kern w:val="0"/>
          <w:lang w:val="zh-CN"/>
        </w:rPr>
        <w:t>“电子加密投标文件”解密：见《</w:t>
      </w:r>
      <w:r>
        <w:rPr>
          <w:rFonts w:cs="仿宋_GB2312"/>
          <w:color w:val="000000" w:themeColor="text1"/>
          <w:kern w:val="0"/>
          <w:lang w:val="zh-CN"/>
        </w:rPr>
        <w:t>投标</w:t>
      </w:r>
      <w:r>
        <w:rPr>
          <w:rFonts w:hint="eastAsia" w:cs="仿宋_GB2312"/>
          <w:color w:val="000000" w:themeColor="text1"/>
          <w:kern w:val="0"/>
        </w:rPr>
        <w:t>人</w:t>
      </w:r>
      <w:r>
        <w:rPr>
          <w:rFonts w:cs="仿宋_GB2312"/>
          <w:color w:val="000000" w:themeColor="text1"/>
          <w:kern w:val="0"/>
          <w:lang w:val="zh-CN"/>
        </w:rPr>
        <w:t>须知前附表</w:t>
      </w:r>
      <w:r>
        <w:rPr>
          <w:rFonts w:hint="eastAsia" w:cs="仿宋_GB2312"/>
          <w:color w:val="000000" w:themeColor="text1"/>
          <w:kern w:val="0"/>
          <w:lang w:val="zh-CN"/>
        </w:rPr>
        <w:t>》。</w:t>
      </w:r>
    </w:p>
    <w:p>
      <w:pPr>
        <w:pStyle w:val="58"/>
        <w:ind w:firstLine="480"/>
        <w:rPr>
          <w:rFonts w:cs="仿宋_GB2312"/>
          <w:color w:val="000000" w:themeColor="text1"/>
          <w:kern w:val="0"/>
          <w:lang w:val="zh-CN"/>
        </w:rPr>
      </w:pPr>
      <w:r>
        <w:rPr>
          <w:rFonts w:hint="eastAsia" w:cs="仿宋_GB2312"/>
          <w:color w:val="000000" w:themeColor="text1"/>
          <w:kern w:val="0"/>
          <w:lang w:val="zh-CN"/>
        </w:rPr>
        <w:t>3、投标文件的补充、修改或撤回</w:t>
      </w:r>
    </w:p>
    <w:p>
      <w:pPr>
        <w:pStyle w:val="58"/>
        <w:ind w:firstLine="480"/>
        <w:rPr>
          <w:rFonts w:cs="仿宋_GB2312"/>
          <w:color w:val="000000" w:themeColor="text1"/>
          <w:kern w:val="0"/>
          <w:lang w:val="zh-CN"/>
        </w:rPr>
      </w:pPr>
      <w:r>
        <w:rPr>
          <w:rFonts w:hint="eastAsia" w:cs="仿宋_GB2312"/>
          <w:color w:val="000000" w:themeColor="text1"/>
          <w:kern w:val="0"/>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58"/>
        <w:ind w:firstLine="480"/>
        <w:rPr>
          <w:rFonts w:cs="仿宋_GB2312"/>
          <w:color w:val="000000" w:themeColor="text1"/>
          <w:kern w:val="0"/>
          <w:lang w:val="zh-CN"/>
        </w:rPr>
      </w:pPr>
      <w:r>
        <w:rPr>
          <w:rFonts w:hint="eastAsia" w:cs="仿宋_GB2312"/>
          <w:color w:val="000000" w:themeColor="text1"/>
          <w:kern w:val="0"/>
          <w:lang w:val="zh-CN"/>
        </w:rPr>
        <w:t>3.2、投标截止时间后，投标供应商不得撤回、修改投标文件。</w:t>
      </w:r>
    </w:p>
    <w:p>
      <w:pPr>
        <w:pStyle w:val="58"/>
        <w:ind w:firstLine="480"/>
        <w:rPr>
          <w:rFonts w:cs="仿宋_GB2312"/>
          <w:color w:val="000000" w:themeColor="text1"/>
          <w:kern w:val="0"/>
          <w:lang w:val="zh-CN"/>
        </w:rPr>
      </w:pPr>
      <w:r>
        <w:rPr>
          <w:rFonts w:hint="eastAsia" w:cs="仿宋_GB2312"/>
          <w:color w:val="000000" w:themeColor="text1"/>
          <w:kern w:val="0"/>
          <w:lang w:val="zh-CN"/>
        </w:rPr>
        <w:t>4、投标文件的备选方案</w:t>
      </w:r>
    </w:p>
    <w:p>
      <w:pPr>
        <w:pStyle w:val="58"/>
        <w:ind w:firstLine="480"/>
        <w:rPr>
          <w:rFonts w:cs="仿宋_GB2312"/>
          <w:color w:val="000000" w:themeColor="text1"/>
          <w:kern w:val="0"/>
          <w:lang w:val="zh-CN"/>
        </w:rPr>
      </w:pPr>
      <w:r>
        <w:rPr>
          <w:rFonts w:cs="仿宋_GB2312"/>
          <w:color w:val="000000" w:themeColor="text1"/>
          <w:kern w:val="0"/>
          <w:lang w:val="zh-CN"/>
        </w:rPr>
        <w:t>投标供应商不得递交任何的投标备选（替代）方案，否则其投标文件将作无效标处理。</w:t>
      </w:r>
    </w:p>
    <w:p>
      <w:pPr>
        <w:pStyle w:val="58"/>
        <w:ind w:firstLine="482"/>
        <w:rPr>
          <w:b/>
          <w:bCs/>
          <w:color w:val="000000" w:themeColor="text1"/>
        </w:rPr>
      </w:pPr>
      <w:bookmarkStart w:id="180" w:name="_Toc132122120"/>
      <w:bookmarkStart w:id="181" w:name="_Toc132126155"/>
      <w:bookmarkStart w:id="182" w:name="_Toc132125984"/>
      <w:bookmarkStart w:id="183" w:name="_Toc132125038"/>
      <w:bookmarkStart w:id="184" w:name="_Toc132125096"/>
      <w:bookmarkStart w:id="185" w:name="_Toc132123635"/>
      <w:bookmarkStart w:id="186" w:name="_Toc132655777"/>
      <w:bookmarkStart w:id="187" w:name="_Toc132123839"/>
      <w:bookmarkStart w:id="188" w:name="_Toc132123548"/>
      <w:bookmarkStart w:id="189" w:name="_Toc132123882"/>
      <w:bookmarkStart w:id="190" w:name="_Toc132125575"/>
      <w:bookmarkStart w:id="191" w:name="_Toc132125152"/>
      <w:bookmarkStart w:id="192" w:name="_Toc132123440"/>
      <w:bookmarkStart w:id="193" w:name="_Toc132124595"/>
      <w:bookmarkStart w:id="194" w:name="_Toc132122417"/>
      <w:r>
        <w:rPr>
          <w:rFonts w:hint="eastAsia"/>
          <w:b/>
          <w:bCs/>
          <w:color w:val="000000" w:themeColor="text1"/>
        </w:rPr>
        <w:t>五、开标和评标</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58"/>
        <w:ind w:firstLine="482"/>
        <w:rPr>
          <w:rFonts w:cs="仿宋_GB2312"/>
          <w:b/>
          <w:bCs/>
          <w:color w:val="000000" w:themeColor="text1"/>
          <w:kern w:val="0"/>
          <w:lang w:val="zh-CN"/>
        </w:rPr>
      </w:pPr>
      <w:r>
        <w:rPr>
          <w:rFonts w:hint="eastAsia" w:cs="仿宋_GB2312"/>
          <w:b/>
          <w:bCs/>
          <w:color w:val="000000" w:themeColor="text1"/>
          <w:kern w:val="0"/>
          <w:lang w:val="zh-CN"/>
        </w:rPr>
        <w:t>1、开标</w:t>
      </w:r>
    </w:p>
    <w:p>
      <w:pPr>
        <w:pStyle w:val="58"/>
        <w:ind w:firstLine="480"/>
        <w:rPr>
          <w:color w:val="000000" w:themeColor="text1"/>
        </w:rPr>
      </w:pPr>
      <w:r>
        <w:rPr>
          <w:rFonts w:hint="eastAsia"/>
          <w:color w:val="000000" w:themeColor="text1"/>
        </w:rPr>
        <w:t>1.1、采购代理机构按招标文件规定的时间、地点通过“政府采购云平台”组织开标、开启投标文件，所有供应商均应当准时在线参加。投</w:t>
      </w:r>
      <w:r>
        <w:rPr>
          <w:color w:val="000000" w:themeColor="text1"/>
        </w:rPr>
        <w:t>标供应商因未在线参加开标而导致投标文件无法按时解密等一切后果由供应商自</w:t>
      </w:r>
      <w:r>
        <w:rPr>
          <w:rFonts w:hint="eastAsia"/>
          <w:color w:val="000000" w:themeColor="text1"/>
        </w:rPr>
        <w:t>行</w:t>
      </w:r>
      <w:r>
        <w:rPr>
          <w:color w:val="000000" w:themeColor="text1"/>
        </w:rPr>
        <w:t>承担。</w:t>
      </w:r>
    </w:p>
    <w:p>
      <w:pPr>
        <w:pStyle w:val="58"/>
        <w:ind w:firstLine="480"/>
        <w:rPr>
          <w:color w:val="000000" w:themeColor="text1"/>
        </w:rPr>
      </w:pPr>
      <w:r>
        <w:rPr>
          <w:rFonts w:hint="eastAsia"/>
          <w:color w:val="000000" w:themeColor="text1"/>
        </w:rPr>
        <w:t>1.2、开标流程</w:t>
      </w:r>
    </w:p>
    <w:p>
      <w:pPr>
        <w:pStyle w:val="58"/>
        <w:ind w:firstLine="480"/>
        <w:rPr>
          <w:color w:val="000000" w:themeColor="text1"/>
        </w:rPr>
      </w:pPr>
      <w:r>
        <w:rPr>
          <w:rFonts w:hint="eastAsia"/>
          <w:color w:val="000000" w:themeColor="text1"/>
        </w:rPr>
        <w:t>（1）向各投标供应商发出电子加密投标文件【开始解密】通知，</w:t>
      </w:r>
      <w:r>
        <w:rPr>
          <w:rFonts w:hint="eastAsia"/>
          <w:color w:val="000000" w:themeColor="text1"/>
          <w:u w:val="single"/>
        </w:rPr>
        <w:t>由供应商按招标文件规定的时间内自行进行投标文件解密</w:t>
      </w:r>
      <w:r>
        <w:rPr>
          <w:rFonts w:hint="eastAsia"/>
          <w:color w:val="000000" w:themeColor="text1"/>
        </w:rPr>
        <w:t>。</w:t>
      </w:r>
      <w:r>
        <w:rPr>
          <w:rFonts w:hint="eastAsia"/>
          <w:b/>
          <w:bCs/>
          <w:color w:val="000000" w:themeColor="text1"/>
        </w:rPr>
        <w:t>投标供应商在规定的时间内无法完成已递交的“电子加密投标文件”解密的，</w:t>
      </w:r>
      <w:r>
        <w:rPr>
          <w:b/>
          <w:bCs/>
          <w:color w:val="000000" w:themeColor="text1"/>
        </w:rPr>
        <w:t>其投标文件按拒收处理。</w:t>
      </w:r>
    </w:p>
    <w:p>
      <w:pPr>
        <w:pStyle w:val="58"/>
        <w:ind w:firstLine="480"/>
        <w:rPr>
          <w:color w:val="000000" w:themeColor="text1"/>
          <w:szCs w:val="22"/>
        </w:rPr>
      </w:pPr>
      <w:r>
        <w:rPr>
          <w:color w:val="000000" w:themeColor="text1"/>
          <w:szCs w:val="22"/>
        </w:rPr>
        <w:t>（2）投标文件解密结束，开启资格文件，进入资格审查环节，采购代理机构</w:t>
      </w:r>
      <w:r>
        <w:rPr>
          <w:rFonts w:hint="eastAsia"/>
          <w:color w:val="000000" w:themeColor="text1"/>
          <w:szCs w:val="22"/>
        </w:rPr>
        <w:t>或者招标采购单位委托的公证机构</w:t>
      </w:r>
      <w:r>
        <w:rPr>
          <w:color w:val="000000" w:themeColor="text1"/>
          <w:szCs w:val="22"/>
        </w:rPr>
        <w:t>将依法对投标供应商的资格进行审查，具体见本章节“投标供应商资格审查”相关规定。</w:t>
      </w:r>
    </w:p>
    <w:p>
      <w:pPr>
        <w:pStyle w:val="58"/>
        <w:ind w:firstLine="480"/>
        <w:rPr>
          <w:color w:val="000000" w:themeColor="text1"/>
          <w:szCs w:val="22"/>
        </w:rPr>
      </w:pPr>
      <w:r>
        <w:rPr>
          <w:color w:val="000000" w:themeColor="text1"/>
          <w:szCs w:val="22"/>
        </w:rPr>
        <w:t>（3）开启资格审查通过的投标供应商的商务技术文件进入符合性审查及商务技术评审；</w:t>
      </w:r>
    </w:p>
    <w:p>
      <w:pPr>
        <w:pStyle w:val="58"/>
        <w:ind w:firstLine="480"/>
        <w:rPr>
          <w:color w:val="000000" w:themeColor="text1"/>
          <w:szCs w:val="22"/>
        </w:rPr>
      </w:pPr>
      <w:r>
        <w:rPr>
          <w:color w:val="000000" w:themeColor="text1"/>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58"/>
        <w:ind w:firstLine="480"/>
        <w:rPr>
          <w:color w:val="000000" w:themeColor="text1"/>
          <w:szCs w:val="22"/>
        </w:rPr>
      </w:pPr>
      <w:r>
        <w:rPr>
          <w:color w:val="000000" w:themeColor="text1"/>
          <w:szCs w:val="22"/>
        </w:rPr>
        <w:t>开标时，报价文件中投标报价出现前后不一致的，按照下列规定修正：</w:t>
      </w:r>
    </w:p>
    <w:p>
      <w:pPr>
        <w:pStyle w:val="58"/>
        <w:ind w:firstLine="480"/>
        <w:rPr>
          <w:color w:val="000000" w:themeColor="text1"/>
          <w:szCs w:val="22"/>
        </w:rPr>
      </w:pPr>
      <w:r>
        <w:rPr>
          <w:color w:val="000000" w:themeColor="text1"/>
          <w:szCs w:val="22"/>
        </w:rPr>
        <w:t>（一）投标文件中开标一览表内容与投标文件中相应内容不一致的，以开标一览表为准；</w:t>
      </w:r>
    </w:p>
    <w:p>
      <w:pPr>
        <w:pStyle w:val="58"/>
        <w:ind w:firstLine="480"/>
        <w:rPr>
          <w:color w:val="000000" w:themeColor="text1"/>
          <w:szCs w:val="22"/>
        </w:rPr>
      </w:pPr>
      <w:r>
        <w:rPr>
          <w:color w:val="000000" w:themeColor="text1"/>
          <w:szCs w:val="22"/>
        </w:rPr>
        <w:t>（二）大写金额和小写金额不一致的，以大写金额为准；</w:t>
      </w:r>
    </w:p>
    <w:p>
      <w:pPr>
        <w:pStyle w:val="58"/>
        <w:ind w:firstLine="480"/>
        <w:rPr>
          <w:color w:val="000000" w:themeColor="text1"/>
          <w:szCs w:val="22"/>
        </w:rPr>
      </w:pPr>
      <w:r>
        <w:rPr>
          <w:color w:val="000000" w:themeColor="text1"/>
          <w:szCs w:val="22"/>
        </w:rPr>
        <w:t>（三）单价金额小数点或者百分比有明显错位的，以开标一览表的总价为准，并修改单价；</w:t>
      </w:r>
    </w:p>
    <w:p>
      <w:pPr>
        <w:pStyle w:val="58"/>
        <w:ind w:firstLine="480"/>
        <w:rPr>
          <w:color w:val="000000" w:themeColor="text1"/>
          <w:szCs w:val="22"/>
        </w:rPr>
      </w:pPr>
      <w:r>
        <w:rPr>
          <w:color w:val="000000" w:themeColor="text1"/>
          <w:szCs w:val="22"/>
        </w:rPr>
        <w:t>（四）总价金额与按单价汇总金额不一致的，以单价金额计算结果为准。</w:t>
      </w:r>
    </w:p>
    <w:p>
      <w:pPr>
        <w:pStyle w:val="58"/>
        <w:ind w:firstLine="480"/>
        <w:rPr>
          <w:color w:val="000000" w:themeColor="text1"/>
          <w:szCs w:val="22"/>
        </w:rPr>
      </w:pPr>
      <w:r>
        <w:rPr>
          <w:color w:val="000000" w:themeColor="text1"/>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58"/>
        <w:ind w:firstLine="480"/>
        <w:rPr>
          <w:color w:val="000000" w:themeColor="text1"/>
          <w:szCs w:val="22"/>
        </w:rPr>
      </w:pPr>
      <w:r>
        <w:rPr>
          <w:color w:val="000000" w:themeColor="text1"/>
          <w:szCs w:val="22"/>
        </w:rPr>
        <w:t>（5）评审结束后，公布采购结果。</w:t>
      </w:r>
    </w:p>
    <w:p>
      <w:pPr>
        <w:pStyle w:val="58"/>
        <w:ind w:firstLine="482"/>
        <w:rPr>
          <w:b/>
          <w:bCs/>
          <w:color w:val="000000" w:themeColor="text1"/>
          <w:szCs w:val="22"/>
        </w:rPr>
      </w:pPr>
      <w:r>
        <w:rPr>
          <w:b/>
          <w:bCs/>
          <w:color w:val="000000" w:themeColor="text1"/>
          <w:szCs w:val="22"/>
        </w:rPr>
        <w:t>特别说明：如遇“政府采购云平台”电子化开标或评审程序调整的，按调整后程序执行。</w:t>
      </w:r>
    </w:p>
    <w:p>
      <w:pPr>
        <w:pStyle w:val="58"/>
        <w:ind w:firstLine="480"/>
        <w:rPr>
          <w:color w:val="000000" w:themeColor="text1"/>
          <w:szCs w:val="22"/>
        </w:rPr>
      </w:pPr>
      <w:r>
        <w:rPr>
          <w:color w:val="000000" w:themeColor="text1"/>
          <w:szCs w:val="22"/>
        </w:rPr>
        <w:t>2、投标供应商资格审查</w:t>
      </w:r>
    </w:p>
    <w:p>
      <w:pPr>
        <w:pStyle w:val="58"/>
        <w:ind w:firstLine="482"/>
        <w:rPr>
          <w:b/>
          <w:bCs/>
          <w:color w:val="000000" w:themeColor="text1"/>
          <w:szCs w:val="22"/>
        </w:rPr>
      </w:pPr>
      <w:r>
        <w:rPr>
          <w:b/>
          <w:bCs/>
          <w:color w:val="000000" w:themeColor="text1"/>
          <w:szCs w:val="22"/>
        </w:rPr>
        <w:t>2.1、开标后，采购人或者采购代理机构</w:t>
      </w:r>
      <w:r>
        <w:rPr>
          <w:rFonts w:hint="eastAsia"/>
          <w:b/>
          <w:bCs/>
          <w:color w:val="000000" w:themeColor="text1"/>
          <w:szCs w:val="22"/>
        </w:rPr>
        <w:t>或评标委员会</w:t>
      </w:r>
      <w:r>
        <w:rPr>
          <w:b/>
          <w:bCs/>
          <w:color w:val="000000" w:themeColor="text1"/>
          <w:szCs w:val="22"/>
        </w:rPr>
        <w:t>应当依法对投标供应商的资格进行审查，审查各投标供应商的资格是否满足招标文件的要求。采购人或采购代理机构</w:t>
      </w:r>
      <w:r>
        <w:rPr>
          <w:rFonts w:hint="eastAsia"/>
          <w:b/>
          <w:bCs/>
          <w:color w:val="000000" w:themeColor="text1"/>
          <w:szCs w:val="22"/>
        </w:rPr>
        <w:t>或评标委员会</w:t>
      </w:r>
      <w:r>
        <w:rPr>
          <w:b/>
          <w:bCs/>
          <w:color w:val="000000" w:themeColor="text1"/>
          <w:szCs w:val="22"/>
        </w:rPr>
        <w:t>对投标供应商所提交的资格证明材料仅负审核的责任。如发现投标供应商所提交的资格证明材料不合法或与事实不符，采购人可取消其中标资格并追究投标供应商的法律责任。</w:t>
      </w:r>
    </w:p>
    <w:p>
      <w:pPr>
        <w:pStyle w:val="58"/>
        <w:ind w:firstLine="482"/>
        <w:rPr>
          <w:b/>
          <w:bCs/>
          <w:color w:val="000000" w:themeColor="text1"/>
          <w:szCs w:val="22"/>
        </w:rPr>
      </w:pPr>
      <w:r>
        <w:rPr>
          <w:b/>
          <w:bCs/>
          <w:color w:val="000000" w:themeColor="text1"/>
          <w:szCs w:val="22"/>
        </w:rPr>
        <w:t>2.2、投标供应商提交的资格证明材料无法证明其符合招标文件规定的“投标供应商资格要求”的，采购人或采购代理机构</w:t>
      </w:r>
      <w:r>
        <w:rPr>
          <w:rFonts w:hint="eastAsia"/>
          <w:b/>
          <w:bCs/>
          <w:color w:val="000000" w:themeColor="text1"/>
          <w:szCs w:val="22"/>
        </w:rPr>
        <w:t>或</w:t>
      </w:r>
      <w:r>
        <w:rPr>
          <w:b/>
          <w:bCs/>
          <w:color w:val="000000" w:themeColor="text1"/>
          <w:szCs w:val="22"/>
        </w:rPr>
        <w:t>评标委员会将对其作资格审查不通过处理（无效投标），并不再将其投标进行后续评审。</w:t>
      </w:r>
    </w:p>
    <w:p>
      <w:pPr>
        <w:pStyle w:val="58"/>
        <w:ind w:firstLine="482"/>
        <w:rPr>
          <w:b/>
          <w:bCs/>
          <w:color w:val="000000" w:themeColor="text1"/>
          <w:szCs w:val="22"/>
        </w:rPr>
      </w:pPr>
      <w:r>
        <w:rPr>
          <w:b/>
          <w:bCs/>
          <w:color w:val="000000" w:themeColor="text1"/>
          <w:szCs w:val="22"/>
        </w:rPr>
        <w:t>2.3、单位负责人为同一人或者存在直接控股、管理关系的不同供应商参加同一合同项下的政府采购活动的，相关投标供应商均作资格无效处理。</w:t>
      </w:r>
    </w:p>
    <w:p>
      <w:pPr>
        <w:pStyle w:val="58"/>
        <w:ind w:firstLine="480"/>
        <w:rPr>
          <w:color w:val="000000" w:themeColor="text1"/>
          <w:szCs w:val="22"/>
        </w:rPr>
      </w:pPr>
      <w:r>
        <w:rPr>
          <w:rFonts w:hint="eastAsia"/>
          <w:color w:val="000000" w:themeColor="text1"/>
          <w:szCs w:val="22"/>
        </w:rPr>
        <w:t>3、评标</w:t>
      </w:r>
    </w:p>
    <w:p>
      <w:pPr>
        <w:pStyle w:val="58"/>
        <w:ind w:firstLine="480"/>
        <w:rPr>
          <w:color w:val="000000" w:themeColor="text1"/>
          <w:szCs w:val="22"/>
        </w:rPr>
      </w:pPr>
      <w:r>
        <w:rPr>
          <w:rFonts w:hint="eastAsia"/>
          <w:color w:val="000000" w:themeColor="text1"/>
          <w:szCs w:val="22"/>
        </w:rPr>
        <w:t>3.1、评标由依法组建的评标委员会负责，并独立履行下列职责：</w:t>
      </w:r>
    </w:p>
    <w:p>
      <w:pPr>
        <w:pStyle w:val="58"/>
        <w:ind w:firstLine="480"/>
        <w:rPr>
          <w:color w:val="000000" w:themeColor="text1"/>
          <w:szCs w:val="22"/>
        </w:rPr>
      </w:pPr>
      <w:r>
        <w:rPr>
          <w:rFonts w:hint="eastAsia"/>
          <w:color w:val="000000" w:themeColor="text1"/>
          <w:szCs w:val="22"/>
        </w:rPr>
        <w:t>1）审查投标文件是否符合招标文件要求，并作出评价；</w:t>
      </w:r>
    </w:p>
    <w:p>
      <w:pPr>
        <w:pStyle w:val="58"/>
        <w:ind w:firstLine="480"/>
        <w:rPr>
          <w:color w:val="000000" w:themeColor="text1"/>
          <w:szCs w:val="22"/>
        </w:rPr>
      </w:pPr>
      <w:r>
        <w:rPr>
          <w:rFonts w:hint="eastAsia"/>
          <w:color w:val="000000" w:themeColor="text1"/>
          <w:szCs w:val="22"/>
        </w:rPr>
        <w:t>2）要求投标供应商对投标文件有关事项作出解释或者澄清；</w:t>
      </w:r>
    </w:p>
    <w:p>
      <w:pPr>
        <w:pStyle w:val="58"/>
        <w:ind w:firstLine="480"/>
        <w:rPr>
          <w:color w:val="000000" w:themeColor="text1"/>
          <w:szCs w:val="22"/>
        </w:rPr>
      </w:pPr>
      <w:r>
        <w:rPr>
          <w:color w:val="000000" w:themeColor="text1"/>
          <w:szCs w:val="22"/>
        </w:rPr>
        <w:t>3）按照招标文件确定的评标办法对各投标供应商进行排序，推荐中标候选供应商（不超过3个）；综合得分最高的供应商推荐为中标供应商；</w:t>
      </w:r>
    </w:p>
    <w:p>
      <w:pPr>
        <w:pStyle w:val="58"/>
        <w:ind w:firstLine="480"/>
        <w:rPr>
          <w:color w:val="000000" w:themeColor="text1"/>
          <w:szCs w:val="22"/>
        </w:rPr>
      </w:pPr>
      <w:r>
        <w:rPr>
          <w:color w:val="000000" w:themeColor="text1"/>
          <w:szCs w:val="22"/>
        </w:rPr>
        <w:t>4）向采购人推荐综合得分第一名的供应商为中标供应商，并提交评审报告。如果第一名得分相同，以投标报价低的优先；投标报价也相同，</w:t>
      </w:r>
      <w:r>
        <w:rPr>
          <w:rFonts w:hint="eastAsia"/>
          <w:color w:val="000000" w:themeColor="text1"/>
          <w:szCs w:val="22"/>
        </w:rPr>
        <w:t>则以政采云系统记录的投标文件解密时间排序在前面的优先</w:t>
      </w:r>
      <w:r>
        <w:rPr>
          <w:color w:val="000000" w:themeColor="text1"/>
          <w:szCs w:val="22"/>
        </w:rPr>
        <w:t>。</w:t>
      </w:r>
    </w:p>
    <w:p>
      <w:pPr>
        <w:pStyle w:val="58"/>
        <w:ind w:firstLine="480"/>
        <w:rPr>
          <w:color w:val="000000" w:themeColor="text1"/>
          <w:szCs w:val="22"/>
        </w:rPr>
      </w:pPr>
      <w:r>
        <w:rPr>
          <w:color w:val="000000" w:themeColor="text1"/>
          <w:szCs w:val="22"/>
        </w:rPr>
        <w:t>5）向采购代理机构或者有关部门报告非法干预评标工作的行为。</w:t>
      </w:r>
    </w:p>
    <w:p>
      <w:pPr>
        <w:pStyle w:val="58"/>
        <w:ind w:firstLine="480"/>
        <w:rPr>
          <w:color w:val="000000" w:themeColor="text1"/>
          <w:szCs w:val="22"/>
        </w:rPr>
      </w:pPr>
      <w:r>
        <w:rPr>
          <w:rFonts w:hint="eastAsia"/>
          <w:color w:val="000000" w:themeColor="text1"/>
          <w:szCs w:val="22"/>
        </w:rPr>
        <w:t>3.2、评标应当遵循下列工作程序：</w:t>
      </w:r>
    </w:p>
    <w:p>
      <w:pPr>
        <w:pStyle w:val="58"/>
        <w:ind w:firstLine="480"/>
        <w:rPr>
          <w:color w:val="000000" w:themeColor="text1"/>
          <w:szCs w:val="22"/>
        </w:rPr>
      </w:pPr>
      <w:r>
        <w:rPr>
          <w:rFonts w:hint="eastAsia"/>
          <w:color w:val="000000" w:themeColor="text1"/>
          <w:szCs w:val="22"/>
        </w:rPr>
        <w:t>1）投标文件符合性审查。依据招标文件的规定，从投标文件的有效性、完整性和对招标文件的响应程度进行审查，以确定是否对招标文件的实质性要求作出响应。</w:t>
      </w:r>
    </w:p>
    <w:p>
      <w:pPr>
        <w:pStyle w:val="58"/>
        <w:ind w:firstLine="480"/>
        <w:rPr>
          <w:color w:val="000000" w:themeColor="text1"/>
          <w:szCs w:val="22"/>
        </w:rPr>
      </w:pPr>
      <w:r>
        <w:rPr>
          <w:rFonts w:hint="eastAsia"/>
          <w:color w:val="000000" w:themeColor="text1"/>
          <w:szCs w:val="22"/>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58"/>
        <w:ind w:firstLine="480"/>
        <w:rPr>
          <w:color w:val="000000" w:themeColor="text1"/>
          <w:szCs w:val="22"/>
        </w:rPr>
      </w:pPr>
      <w:r>
        <w:rPr>
          <w:rFonts w:hint="eastAsia"/>
          <w:color w:val="000000" w:themeColor="text1"/>
          <w:szCs w:val="22"/>
        </w:rPr>
        <w:t>3）比较与评价。按招标文件中规定的评标方法和标准，对资格审查和符合性审查合格的投标文件进行商务和技术评估，综合比较与评价。</w:t>
      </w:r>
    </w:p>
    <w:p>
      <w:pPr>
        <w:pStyle w:val="58"/>
        <w:ind w:firstLine="482"/>
        <w:rPr>
          <w:b/>
          <w:bCs/>
          <w:color w:val="000000" w:themeColor="text1"/>
          <w:szCs w:val="22"/>
        </w:rPr>
      </w:pPr>
      <w:r>
        <w:rPr>
          <w:rFonts w:hint="eastAsia"/>
          <w:b/>
          <w:bCs/>
          <w:color w:val="000000" w:themeColor="text1"/>
          <w:szCs w:val="22"/>
        </w:rPr>
        <w:t>3.3、投标供应商存在下列情况之一的，投标无效：</w:t>
      </w:r>
    </w:p>
    <w:p>
      <w:pPr>
        <w:pStyle w:val="58"/>
        <w:ind w:firstLine="482"/>
        <w:rPr>
          <w:b/>
          <w:bCs/>
          <w:color w:val="000000" w:themeColor="text1"/>
          <w:szCs w:val="22"/>
        </w:rPr>
      </w:pPr>
      <w:r>
        <w:rPr>
          <w:rFonts w:hint="eastAsia"/>
          <w:b/>
          <w:bCs/>
          <w:color w:val="000000" w:themeColor="text1"/>
          <w:szCs w:val="22"/>
        </w:rPr>
        <w:t>1</w:t>
      </w:r>
      <w:r>
        <w:rPr>
          <w:b/>
          <w:bCs/>
          <w:color w:val="000000" w:themeColor="text1"/>
          <w:szCs w:val="22"/>
        </w:rPr>
        <w:t>）投标文件未按招标文件要求签署</w:t>
      </w:r>
      <w:r>
        <w:rPr>
          <w:rFonts w:hint="eastAsia"/>
          <w:b/>
          <w:bCs/>
          <w:color w:val="000000" w:themeColor="text1"/>
          <w:szCs w:val="22"/>
        </w:rPr>
        <w:t>或</w:t>
      </w:r>
      <w:r>
        <w:rPr>
          <w:b/>
          <w:bCs/>
          <w:color w:val="000000" w:themeColor="text1"/>
          <w:szCs w:val="22"/>
        </w:rPr>
        <w:t>CA电子签章的；</w:t>
      </w:r>
    </w:p>
    <w:p>
      <w:pPr>
        <w:pStyle w:val="58"/>
        <w:ind w:firstLine="482"/>
        <w:rPr>
          <w:b/>
          <w:bCs/>
          <w:color w:val="000000" w:themeColor="text1"/>
          <w:szCs w:val="22"/>
        </w:rPr>
      </w:pPr>
      <w:r>
        <w:rPr>
          <w:rFonts w:hint="eastAsia"/>
          <w:b/>
          <w:bCs/>
          <w:color w:val="000000" w:themeColor="text1"/>
          <w:szCs w:val="22"/>
        </w:rPr>
        <w:t>2</w:t>
      </w:r>
      <w:r>
        <w:rPr>
          <w:b/>
          <w:bCs/>
          <w:color w:val="000000" w:themeColor="text1"/>
          <w:szCs w:val="22"/>
        </w:rPr>
        <w:t>）不具备招标文件中规定的资格要求的；</w:t>
      </w:r>
    </w:p>
    <w:p>
      <w:pPr>
        <w:pStyle w:val="58"/>
        <w:ind w:firstLine="482"/>
        <w:rPr>
          <w:b/>
          <w:bCs/>
          <w:color w:val="000000" w:themeColor="text1"/>
          <w:szCs w:val="22"/>
        </w:rPr>
      </w:pPr>
      <w:r>
        <w:rPr>
          <w:rFonts w:hint="eastAsia"/>
          <w:b/>
          <w:bCs/>
          <w:color w:val="000000" w:themeColor="text1"/>
          <w:szCs w:val="22"/>
        </w:rPr>
        <w:t>3</w:t>
      </w:r>
      <w:r>
        <w:rPr>
          <w:b/>
          <w:bCs/>
          <w:color w:val="000000" w:themeColor="text1"/>
          <w:szCs w:val="22"/>
        </w:rPr>
        <w:t>）报价超过招标文件中规定的预算金额或者最高限价的；</w:t>
      </w:r>
    </w:p>
    <w:p>
      <w:pPr>
        <w:pStyle w:val="58"/>
        <w:ind w:firstLine="482"/>
        <w:rPr>
          <w:b/>
          <w:bCs/>
          <w:color w:val="000000" w:themeColor="text1"/>
          <w:szCs w:val="22"/>
        </w:rPr>
      </w:pPr>
      <w:r>
        <w:rPr>
          <w:rFonts w:hint="eastAsia"/>
          <w:b/>
          <w:bCs/>
          <w:color w:val="000000" w:themeColor="text1"/>
          <w:szCs w:val="22"/>
        </w:rPr>
        <w:t>4）未按招标文件要求提供投入人员数量的；</w:t>
      </w:r>
    </w:p>
    <w:p>
      <w:pPr>
        <w:pStyle w:val="58"/>
        <w:ind w:firstLine="482"/>
        <w:rPr>
          <w:b/>
          <w:bCs/>
          <w:color w:val="000000" w:themeColor="text1"/>
          <w:szCs w:val="22"/>
        </w:rPr>
      </w:pPr>
      <w:r>
        <w:rPr>
          <w:rFonts w:hint="eastAsia"/>
          <w:b/>
          <w:bCs/>
          <w:color w:val="000000" w:themeColor="text1"/>
          <w:szCs w:val="22"/>
        </w:rPr>
        <w:t>5</w:t>
      </w:r>
      <w:r>
        <w:rPr>
          <w:b/>
          <w:bCs/>
          <w:color w:val="000000" w:themeColor="text1"/>
          <w:szCs w:val="22"/>
        </w:rPr>
        <w:t>）供应商递交两份或两份以上内容不同的投标文件，未声明哪一份有效的；</w:t>
      </w:r>
    </w:p>
    <w:p>
      <w:pPr>
        <w:pStyle w:val="58"/>
        <w:ind w:firstLine="482"/>
        <w:rPr>
          <w:b/>
          <w:bCs/>
          <w:color w:val="000000" w:themeColor="text1"/>
          <w:szCs w:val="22"/>
        </w:rPr>
      </w:pPr>
      <w:r>
        <w:rPr>
          <w:rFonts w:hint="eastAsia"/>
          <w:b/>
          <w:bCs/>
          <w:color w:val="000000" w:themeColor="text1"/>
          <w:szCs w:val="22"/>
        </w:rPr>
        <w:t>6）</w:t>
      </w:r>
      <w:r>
        <w:rPr>
          <w:b/>
          <w:bCs/>
          <w:color w:val="000000" w:themeColor="text1"/>
          <w:szCs w:val="22"/>
        </w:rPr>
        <w:t>对关键条文的偏离、保留或反对，例如关于付款方式、</w:t>
      </w:r>
      <w:r>
        <w:rPr>
          <w:rFonts w:hint="eastAsia"/>
          <w:b/>
          <w:bCs/>
          <w:color w:val="000000" w:themeColor="text1"/>
          <w:szCs w:val="22"/>
        </w:rPr>
        <w:t>服务期、</w:t>
      </w:r>
      <w:r>
        <w:rPr>
          <w:b/>
          <w:bCs/>
          <w:color w:val="000000" w:themeColor="text1"/>
          <w:szCs w:val="22"/>
        </w:rPr>
        <w:t>适用法律法规、标准、税费等其他内容；</w:t>
      </w:r>
    </w:p>
    <w:p>
      <w:pPr>
        <w:pStyle w:val="58"/>
        <w:ind w:firstLine="482"/>
        <w:rPr>
          <w:b/>
          <w:bCs/>
          <w:color w:val="000000" w:themeColor="text1"/>
          <w:szCs w:val="22"/>
        </w:rPr>
      </w:pPr>
      <w:r>
        <w:rPr>
          <w:rFonts w:hint="eastAsia"/>
          <w:b/>
          <w:bCs/>
          <w:color w:val="000000" w:themeColor="text1"/>
          <w:szCs w:val="22"/>
        </w:rPr>
        <w:t>7</w:t>
      </w:r>
      <w:r>
        <w:rPr>
          <w:b/>
          <w:bCs/>
          <w:color w:val="000000" w:themeColor="text1"/>
          <w:szCs w:val="22"/>
        </w:rPr>
        <w:t>）存在串标、抬标或弄虚作假情况的</w:t>
      </w:r>
      <w:r>
        <w:rPr>
          <w:rFonts w:hint="eastAsia"/>
          <w:b/>
          <w:bCs/>
          <w:color w:val="000000" w:themeColor="text1"/>
          <w:szCs w:val="22"/>
        </w:rPr>
        <w:t>；</w:t>
      </w:r>
    </w:p>
    <w:p>
      <w:pPr>
        <w:pStyle w:val="58"/>
        <w:ind w:firstLine="482"/>
        <w:rPr>
          <w:b/>
          <w:bCs/>
          <w:color w:val="000000" w:themeColor="text1"/>
          <w:szCs w:val="22"/>
        </w:rPr>
      </w:pPr>
      <w:r>
        <w:rPr>
          <w:rFonts w:hint="eastAsia"/>
          <w:b/>
          <w:bCs/>
          <w:color w:val="000000" w:themeColor="text1"/>
          <w:szCs w:val="22"/>
        </w:rPr>
        <w:t>8</w:t>
      </w:r>
      <w:r>
        <w:rPr>
          <w:b/>
          <w:bCs/>
          <w:color w:val="000000" w:themeColor="text1"/>
          <w:szCs w:val="22"/>
        </w:rPr>
        <w:t>）参与本项目的不同供应商单位负责人为同一人或者存在直接控股、管理关系的；</w:t>
      </w:r>
    </w:p>
    <w:p>
      <w:pPr>
        <w:pStyle w:val="58"/>
        <w:ind w:firstLine="482"/>
        <w:rPr>
          <w:b/>
          <w:bCs/>
          <w:color w:val="000000" w:themeColor="text1"/>
          <w:szCs w:val="22"/>
        </w:rPr>
      </w:pPr>
      <w:r>
        <w:rPr>
          <w:rFonts w:hint="eastAsia"/>
          <w:b/>
          <w:bCs/>
          <w:color w:val="000000" w:themeColor="text1"/>
          <w:szCs w:val="22"/>
        </w:rPr>
        <w:t>9</w:t>
      </w:r>
      <w:r>
        <w:rPr>
          <w:b/>
          <w:bCs/>
          <w:color w:val="000000" w:themeColor="text1"/>
          <w:szCs w:val="22"/>
        </w:rPr>
        <w:t>）供应商的资格文件或者商务技术文件中出现投标报价的；</w:t>
      </w:r>
    </w:p>
    <w:p>
      <w:pPr>
        <w:pStyle w:val="58"/>
        <w:ind w:firstLine="482"/>
        <w:rPr>
          <w:b/>
          <w:bCs/>
          <w:color w:val="000000" w:themeColor="text1"/>
          <w:szCs w:val="22"/>
        </w:rPr>
      </w:pPr>
      <w:r>
        <w:rPr>
          <w:rFonts w:hint="eastAsia"/>
          <w:b/>
          <w:bCs/>
          <w:color w:val="000000" w:themeColor="text1"/>
          <w:szCs w:val="22"/>
        </w:rPr>
        <w:t>10</w:t>
      </w:r>
      <w:r>
        <w:rPr>
          <w:b/>
          <w:bCs/>
          <w:color w:val="000000" w:themeColor="text1"/>
          <w:szCs w:val="22"/>
        </w:rPr>
        <w:t>）投标供应商在线制作投标文件时《开标一览表》中填写的金额与解密后“电子加密投标文件”中《开标一览表》填写的金额不一致并拒绝按招标文件要求接受此调整的；</w:t>
      </w:r>
    </w:p>
    <w:p>
      <w:pPr>
        <w:pStyle w:val="58"/>
        <w:ind w:firstLine="482"/>
        <w:rPr>
          <w:b/>
          <w:bCs/>
          <w:color w:val="000000" w:themeColor="text1"/>
          <w:szCs w:val="22"/>
        </w:rPr>
      </w:pPr>
      <w:r>
        <w:rPr>
          <w:rFonts w:hint="eastAsia"/>
          <w:b/>
          <w:bCs/>
          <w:color w:val="000000" w:themeColor="text1"/>
          <w:szCs w:val="22"/>
        </w:rPr>
        <w:t>11</w:t>
      </w:r>
      <w:r>
        <w:rPr>
          <w:b/>
          <w:bCs/>
          <w:color w:val="000000" w:themeColor="text1"/>
          <w:szCs w:val="22"/>
        </w:rPr>
        <w:t>）法律、法规和招标文件规定的其他无效情形（或出现重大偏差）。</w:t>
      </w:r>
    </w:p>
    <w:p>
      <w:pPr>
        <w:pStyle w:val="58"/>
        <w:ind w:firstLine="482"/>
        <w:rPr>
          <w:b/>
          <w:bCs/>
          <w:color w:val="000000" w:themeColor="text1"/>
          <w:szCs w:val="22"/>
        </w:rPr>
      </w:pPr>
      <w:r>
        <w:rPr>
          <w:rFonts w:hint="eastAsia"/>
          <w:b/>
          <w:bCs/>
          <w:color w:val="000000" w:themeColor="text1"/>
          <w:szCs w:val="22"/>
        </w:rPr>
        <w:t>3</w:t>
      </w:r>
      <w:r>
        <w:rPr>
          <w:b/>
          <w:bCs/>
          <w:color w:val="000000" w:themeColor="text1"/>
          <w:szCs w:val="22"/>
        </w:rPr>
        <w:t>.4 评标委员会发现投标文件有下列情形之一的属于重大偏差(评标委员会按少数服从多数原则认定),按照无效投标处理：</w:t>
      </w:r>
    </w:p>
    <w:p>
      <w:pPr>
        <w:pStyle w:val="58"/>
        <w:ind w:firstLine="480"/>
        <w:rPr>
          <w:color w:val="000000" w:themeColor="text1"/>
          <w:szCs w:val="22"/>
        </w:rPr>
      </w:pPr>
      <w:r>
        <w:rPr>
          <w:color w:val="000000" w:themeColor="text1"/>
          <w:szCs w:val="22"/>
        </w:rPr>
        <w:t>1）未按招标文件要求编制或字迹模糊、辨认不清的投标文件；</w:t>
      </w:r>
    </w:p>
    <w:p>
      <w:pPr>
        <w:pStyle w:val="58"/>
        <w:ind w:firstLine="480"/>
        <w:rPr>
          <w:color w:val="000000" w:themeColor="text1"/>
          <w:szCs w:val="22"/>
        </w:rPr>
      </w:pPr>
      <w:bookmarkStart w:id="195" w:name="_Hlk112337796"/>
      <w:bookmarkStart w:id="196" w:name="_Hlk112401917"/>
      <w:r>
        <w:rPr>
          <w:color w:val="000000" w:themeColor="text1"/>
          <w:szCs w:val="22"/>
        </w:rPr>
        <w:t>2）除3.3条款以外，明显不符合招标文件</w:t>
      </w:r>
      <w:r>
        <w:rPr>
          <w:rFonts w:hint="eastAsia"/>
          <w:color w:val="000000" w:themeColor="text1"/>
          <w:szCs w:val="22"/>
        </w:rPr>
        <w:t>要求</w:t>
      </w:r>
      <w:r>
        <w:rPr>
          <w:color w:val="000000" w:themeColor="text1"/>
          <w:szCs w:val="22"/>
        </w:rPr>
        <w:t>的规格型号、质量标准，或者</w:t>
      </w:r>
      <w:r>
        <w:rPr>
          <w:rFonts w:hint="eastAsia"/>
          <w:color w:val="000000" w:themeColor="text1"/>
          <w:szCs w:val="22"/>
        </w:rPr>
        <w:t>与</w:t>
      </w:r>
      <w:r>
        <w:rPr>
          <w:color w:val="000000" w:themeColor="text1"/>
          <w:szCs w:val="22"/>
        </w:rPr>
        <w:t>招标文件中标“</w:t>
      </w:r>
      <w:r>
        <w:rPr>
          <w:rFonts w:hint="eastAsia"/>
          <w:color w:val="000000" w:themeColor="text1"/>
          <w:lang w:eastAsia="zh-CN"/>
        </w:rPr>
        <w:t>★</w:t>
      </w:r>
      <w:r>
        <w:rPr>
          <w:color w:val="000000" w:themeColor="text1"/>
          <w:szCs w:val="22"/>
        </w:rPr>
        <w:t>”的技术指标、主要功能项目发生实质性偏离的；</w:t>
      </w:r>
      <w:bookmarkEnd w:id="195"/>
      <w:r>
        <w:rPr>
          <w:color w:val="000000" w:themeColor="text1"/>
          <w:szCs w:val="22"/>
        </w:rPr>
        <w:t xml:space="preserve"> </w:t>
      </w:r>
    </w:p>
    <w:bookmarkEnd w:id="196"/>
    <w:p>
      <w:pPr>
        <w:pStyle w:val="58"/>
        <w:ind w:firstLine="480"/>
        <w:rPr>
          <w:color w:val="000000" w:themeColor="text1"/>
          <w:szCs w:val="22"/>
        </w:rPr>
      </w:pPr>
      <w:r>
        <w:rPr>
          <w:rFonts w:hint="eastAsia"/>
          <w:color w:val="000000" w:themeColor="text1"/>
          <w:szCs w:val="22"/>
        </w:rPr>
        <w:t>3</w:t>
      </w:r>
      <w:r>
        <w:rPr>
          <w:color w:val="000000" w:themeColor="text1"/>
          <w:szCs w:val="22"/>
        </w:rPr>
        <w:t>）除3.3条款以外，未提供或未如实提供投标货物的技术参数，或者投标文件标明的响应或偏离与事实不符或虚假投标的；</w:t>
      </w:r>
    </w:p>
    <w:p>
      <w:pPr>
        <w:pStyle w:val="58"/>
        <w:ind w:firstLine="480"/>
        <w:rPr>
          <w:color w:val="000000" w:themeColor="text1"/>
          <w:szCs w:val="22"/>
        </w:rPr>
      </w:pPr>
      <w:r>
        <w:rPr>
          <w:rFonts w:hint="eastAsia"/>
          <w:color w:val="000000" w:themeColor="text1"/>
          <w:szCs w:val="22"/>
        </w:rPr>
        <w:t>4</w:t>
      </w:r>
      <w:r>
        <w:rPr>
          <w:color w:val="000000" w:themeColor="text1"/>
          <w:szCs w:val="22"/>
        </w:rPr>
        <w:t>）</w:t>
      </w:r>
      <w:r>
        <w:rPr>
          <w:rFonts w:hint="eastAsia"/>
          <w:color w:val="000000" w:themeColor="text1"/>
          <w:szCs w:val="22"/>
        </w:rPr>
        <w:t>与其他参加本次投标供应商的投标文件（技术文件）的文字表述内容相同连续20行以上或者差错相同2处以上的（招标文件中复制粘贴而来的除外）。</w:t>
      </w:r>
    </w:p>
    <w:p>
      <w:pPr>
        <w:pStyle w:val="58"/>
        <w:ind w:firstLine="480"/>
        <w:rPr>
          <w:b/>
          <w:bCs/>
          <w:color w:val="000000" w:themeColor="text1"/>
          <w:szCs w:val="22"/>
        </w:rPr>
      </w:pPr>
      <w:r>
        <w:rPr>
          <w:rFonts w:hint="eastAsia"/>
          <w:color w:val="000000" w:themeColor="text1"/>
          <w:szCs w:val="22"/>
        </w:rPr>
        <w:t>3.5、</w:t>
      </w:r>
      <w:r>
        <w:rPr>
          <w:rFonts w:hint="eastAsia"/>
          <w:b/>
          <w:bCs/>
          <w:color w:val="000000" w:themeColor="text1"/>
          <w:szCs w:val="22"/>
        </w:rPr>
        <w:t>本次采购，如果投标供应商的投标报价均超出采购预算，本次招标做流标处理。</w:t>
      </w:r>
    </w:p>
    <w:p>
      <w:pPr>
        <w:pStyle w:val="58"/>
        <w:ind w:firstLine="480"/>
        <w:rPr>
          <w:color w:val="000000" w:themeColor="text1"/>
          <w:szCs w:val="22"/>
        </w:rPr>
      </w:pPr>
      <w:r>
        <w:rPr>
          <w:rFonts w:hint="eastAsia"/>
          <w:color w:val="000000" w:themeColor="text1"/>
          <w:szCs w:val="22"/>
        </w:rPr>
        <w:t>3.6、开启投标供应商报价文件后发现价格、数量有误，其投标价将按下述原则处理：</w:t>
      </w:r>
    </w:p>
    <w:p>
      <w:pPr>
        <w:pStyle w:val="58"/>
        <w:ind w:firstLine="480"/>
        <w:rPr>
          <w:color w:val="000000" w:themeColor="text1"/>
        </w:rPr>
      </w:pPr>
      <w:r>
        <w:rPr>
          <w:color w:val="000000" w:themeColor="text1"/>
        </w:rPr>
        <w:t>1) 任何有漏去一些小项货物或服务的投标将被视为其费用已包含在投标总价中，投标价格不予调整。</w:t>
      </w:r>
    </w:p>
    <w:p>
      <w:pPr>
        <w:pStyle w:val="58"/>
        <w:ind w:firstLine="480"/>
        <w:rPr>
          <w:color w:val="000000" w:themeColor="text1"/>
        </w:rPr>
      </w:pPr>
      <w:r>
        <w:rPr>
          <w:color w:val="000000" w:themeColor="text1"/>
        </w:rPr>
        <w:t>2) 任何有多报一些小项工程或货物的投标其投标价不予调整，如果该投标供应商中标，则合同价格必须为核减掉多报的一些小项工程或货物后的价格。</w:t>
      </w:r>
    </w:p>
    <w:p>
      <w:pPr>
        <w:pStyle w:val="58"/>
        <w:ind w:firstLine="480"/>
        <w:rPr>
          <w:color w:val="000000" w:themeColor="text1"/>
        </w:rPr>
      </w:pPr>
      <w:r>
        <w:rPr>
          <w:color w:val="000000" w:themeColor="text1"/>
        </w:rPr>
        <w:t>3）</w:t>
      </w:r>
      <w:r>
        <w:rPr>
          <w:rFonts w:hint="eastAsia"/>
          <w:color w:val="000000" w:themeColor="text1"/>
        </w:rPr>
        <w:t>对于计算错误的其投标价不予调整，如果该投标供应商中标，如其投标价格计算错误导致多报者合同价格予以据实核减，少报者合同价格不予调整。</w:t>
      </w:r>
    </w:p>
    <w:p>
      <w:pPr>
        <w:pStyle w:val="58"/>
        <w:ind w:firstLine="480"/>
        <w:rPr>
          <w:color w:val="000000" w:themeColor="text1"/>
        </w:rPr>
      </w:pPr>
      <w:r>
        <w:rPr>
          <w:color w:val="000000" w:themeColor="text1"/>
        </w:rPr>
        <w:t>4）对于计算错误，多报或漏报的一些小项工程或货物、服务的仅仅为非实质性重大偏差范围内的偏离，并经过评标委员会按少数服从多数原则认定为细微偏差，评审时其投标价不予调整。</w:t>
      </w:r>
    </w:p>
    <w:p>
      <w:pPr>
        <w:pStyle w:val="58"/>
        <w:ind w:firstLine="482"/>
        <w:rPr>
          <w:b/>
          <w:bCs/>
          <w:color w:val="000000" w:themeColor="text1"/>
          <w:szCs w:val="22"/>
        </w:rPr>
      </w:pPr>
      <w:r>
        <w:rPr>
          <w:rFonts w:hint="eastAsia"/>
          <w:b/>
          <w:bCs/>
          <w:color w:val="000000" w:themeColor="text1"/>
        </w:rPr>
        <w:t>5）供应商不接受上述处理方式，将按无效投标处理</w:t>
      </w:r>
      <w:r>
        <w:rPr>
          <w:b/>
          <w:bCs/>
          <w:color w:val="000000" w:themeColor="text1"/>
        </w:rPr>
        <w:t>。</w:t>
      </w:r>
    </w:p>
    <w:p>
      <w:pPr>
        <w:pStyle w:val="58"/>
        <w:ind w:firstLine="482"/>
        <w:rPr>
          <w:b/>
          <w:bCs/>
          <w:color w:val="000000" w:themeColor="text1"/>
        </w:rPr>
      </w:pPr>
      <w:r>
        <w:rPr>
          <w:rFonts w:hint="eastAsia"/>
          <w:b/>
          <w:bCs/>
          <w:color w:val="000000" w:themeColor="text1"/>
        </w:rPr>
        <w:t>3</w:t>
      </w:r>
      <w:r>
        <w:rPr>
          <w:b/>
          <w:bCs/>
          <w:color w:val="000000" w:themeColor="text1"/>
        </w:rPr>
        <w:t>.</w:t>
      </w:r>
      <w:r>
        <w:rPr>
          <w:rFonts w:hint="eastAsia"/>
          <w:b/>
          <w:bCs/>
          <w:color w:val="000000" w:themeColor="text1"/>
        </w:rPr>
        <w:t>7、</w:t>
      </w:r>
      <w:r>
        <w:rPr>
          <w:b/>
          <w:bCs/>
          <w:color w:val="000000" w:themeColor="text1"/>
        </w:rPr>
        <w:t>评标委员会认为投标</w:t>
      </w:r>
      <w:r>
        <w:rPr>
          <w:rFonts w:hint="eastAsia"/>
          <w:b/>
          <w:bCs/>
          <w:color w:val="000000" w:themeColor="text1"/>
        </w:rPr>
        <w:t>供应商</w:t>
      </w:r>
      <w:r>
        <w:rPr>
          <w:b/>
          <w:bCs/>
          <w:color w:val="000000" w:themeColor="text1"/>
        </w:rPr>
        <w:t>的报价明显低于其他通过符合性审查投标</w:t>
      </w:r>
      <w:r>
        <w:rPr>
          <w:rFonts w:hint="eastAsia"/>
          <w:b/>
          <w:bCs/>
          <w:color w:val="000000" w:themeColor="text1"/>
        </w:rPr>
        <w:t>供应商</w:t>
      </w:r>
      <w:r>
        <w:rPr>
          <w:b/>
          <w:bCs/>
          <w:color w:val="000000" w:themeColor="text1"/>
        </w:rPr>
        <w:t>的报价，有可能影响产品质量或者不能诚信履约的，应当要求其在合理的时间内提供说明，必要时提交相关证明材料；投标</w:t>
      </w:r>
      <w:r>
        <w:rPr>
          <w:rFonts w:hint="eastAsia"/>
          <w:b/>
          <w:bCs/>
          <w:color w:val="000000" w:themeColor="text1"/>
        </w:rPr>
        <w:t>供应商</w:t>
      </w:r>
      <w:r>
        <w:rPr>
          <w:b/>
          <w:bCs/>
          <w:color w:val="000000" w:themeColor="text1"/>
        </w:rPr>
        <w:t>不能证明其报价合理性的，评标委员会应当将其作为无效投标处理。</w:t>
      </w:r>
    </w:p>
    <w:p>
      <w:pPr>
        <w:pStyle w:val="58"/>
        <w:ind w:firstLine="482"/>
        <w:rPr>
          <w:rFonts w:cs="Arial"/>
          <w:b/>
          <w:bCs/>
          <w:color w:val="000000" w:themeColor="text1"/>
        </w:rPr>
      </w:pPr>
      <w:r>
        <w:rPr>
          <w:rFonts w:hint="eastAsia"/>
          <w:b/>
          <w:bCs/>
          <w:color w:val="000000" w:themeColor="text1"/>
        </w:rPr>
        <w:t>3.8、</w:t>
      </w:r>
      <w:r>
        <w:rPr>
          <w:rFonts w:hint="eastAsia" w:cs="Arial"/>
          <w:b/>
          <w:bCs/>
          <w:color w:val="000000" w:themeColor="text1"/>
        </w:rPr>
        <w:t>评标过程中遇到特殊情况，由评标委员会遵循公开、公正原则，采取投票方式按照少数服从多数原则决定。</w:t>
      </w:r>
    </w:p>
    <w:p>
      <w:pPr>
        <w:pStyle w:val="58"/>
        <w:ind w:firstLine="480"/>
        <w:rPr>
          <w:color w:val="000000" w:themeColor="text1"/>
        </w:rPr>
      </w:pPr>
      <w:r>
        <w:rPr>
          <w:rFonts w:hint="eastAsia"/>
          <w:color w:val="000000" w:themeColor="text1"/>
        </w:rPr>
        <w:t>3.9、实质上没有响应招标文件要求的投标将被拒绝。评标委员会不得通过询标使投标供应商修正或撤消不合要求的偏离从而使其投标成为实质上响应的投标。</w:t>
      </w:r>
    </w:p>
    <w:p>
      <w:pPr>
        <w:pStyle w:val="58"/>
        <w:ind w:firstLine="480"/>
        <w:rPr>
          <w:color w:val="000000" w:themeColor="text1"/>
        </w:rPr>
      </w:pPr>
      <w:r>
        <w:rPr>
          <w:rFonts w:hint="eastAsia"/>
          <w:color w:val="000000" w:themeColor="text1"/>
        </w:rPr>
        <w:t>3.10、评标委员会对投标文件的判定，只依据投标内容本身，不依靠开标后的任何外来证明。</w:t>
      </w:r>
    </w:p>
    <w:p>
      <w:pPr>
        <w:pStyle w:val="58"/>
        <w:ind w:firstLine="480"/>
        <w:rPr>
          <w:color w:val="000000" w:themeColor="text1"/>
        </w:rPr>
      </w:pPr>
      <w:r>
        <w:rPr>
          <w:rFonts w:hint="eastAsia"/>
          <w:color w:val="000000" w:themeColor="text1"/>
        </w:rPr>
        <w:t>3.11、评标委员会在评标中，不得改变招标文件中规定的评标标准、方法和中标条件。</w:t>
      </w:r>
    </w:p>
    <w:p>
      <w:pPr>
        <w:pStyle w:val="58"/>
        <w:ind w:firstLine="480"/>
        <w:rPr>
          <w:color w:val="000000" w:themeColor="text1"/>
        </w:rPr>
      </w:pPr>
      <w:r>
        <w:rPr>
          <w:rFonts w:hint="eastAsia"/>
          <w:color w:val="000000" w:themeColor="text1"/>
        </w:rPr>
        <w:t>3</w:t>
      </w:r>
      <w:r>
        <w:rPr>
          <w:color w:val="000000" w:themeColor="text1"/>
        </w:rPr>
        <w:t>.</w:t>
      </w:r>
      <w:r>
        <w:rPr>
          <w:rFonts w:hint="eastAsia"/>
          <w:color w:val="000000" w:themeColor="text1"/>
        </w:rPr>
        <w:t>12、</w:t>
      </w:r>
      <w:r>
        <w:rPr>
          <w:color w:val="000000" w:themeColor="text1"/>
        </w:rPr>
        <w:t>评标委员会对未中标的供应商不作解释。</w:t>
      </w:r>
    </w:p>
    <w:p>
      <w:pPr>
        <w:pStyle w:val="58"/>
        <w:ind w:firstLine="480"/>
        <w:rPr>
          <w:color w:val="000000" w:themeColor="text1"/>
          <w:szCs w:val="22"/>
        </w:rPr>
      </w:pPr>
      <w:r>
        <w:rPr>
          <w:rFonts w:hint="eastAsia"/>
          <w:color w:val="000000" w:themeColor="text1"/>
          <w:szCs w:val="22"/>
        </w:rPr>
        <w:t xml:space="preserve">  </w:t>
      </w:r>
      <w:r>
        <w:rPr>
          <w:color w:val="000000" w:themeColor="text1"/>
          <w:szCs w:val="22"/>
        </w:rPr>
        <w:t>4、投标文件的澄清</w:t>
      </w:r>
    </w:p>
    <w:p>
      <w:pPr>
        <w:pStyle w:val="58"/>
        <w:ind w:firstLine="480"/>
        <w:rPr>
          <w:color w:val="000000" w:themeColor="text1"/>
        </w:rPr>
      </w:pPr>
      <w:r>
        <w:rPr>
          <w:rFonts w:hint="eastAsia"/>
          <w:color w:val="000000" w:themeColor="text1"/>
        </w:rPr>
        <w:t>4.1、为有利于对投标文件的评审，必要时评标委员会可要求投标供应商对投标文件相关事宜进行澄清。评标委员会将通过“政府采购云平台”在线询标的形式要求</w:t>
      </w:r>
      <w:r>
        <w:rPr>
          <w:color w:val="000000" w:themeColor="text1"/>
        </w:rPr>
        <w:t>投标供应商</w:t>
      </w:r>
      <w:r>
        <w:rPr>
          <w:rFonts w:hint="eastAsia"/>
          <w:color w:val="000000" w:themeColor="text1"/>
        </w:rPr>
        <w:t>在规定的时间内作出必要的澄清、说明，供投标供应商澄清、说明时间不多于30分钟，投标供应商未在规定的时间内作出必要的澄清、说明可能导致对其不利的评定。</w:t>
      </w:r>
    </w:p>
    <w:p>
      <w:pPr>
        <w:pStyle w:val="58"/>
        <w:ind w:firstLine="480"/>
        <w:rPr>
          <w:color w:val="000000" w:themeColor="text1"/>
        </w:rPr>
      </w:pPr>
      <w:r>
        <w:rPr>
          <w:rFonts w:hint="eastAsia"/>
          <w:color w:val="000000" w:themeColor="text1"/>
        </w:rPr>
        <w:t>4.2、</w:t>
      </w:r>
      <w:r>
        <w:rPr>
          <w:color w:val="000000" w:themeColor="text1"/>
        </w:rPr>
        <w:t>投标供应商</w:t>
      </w:r>
      <w:r>
        <w:rPr>
          <w:rFonts w:hint="eastAsia"/>
          <w:color w:val="000000" w:themeColor="text1"/>
        </w:rPr>
        <w:t>的澄清、说明应当通过“政府采购云平台”在线答复形式提交。</w:t>
      </w:r>
      <w:r>
        <w:rPr>
          <w:color w:val="000000" w:themeColor="text1"/>
        </w:rPr>
        <w:t>投标供应商</w:t>
      </w:r>
      <w:r>
        <w:rPr>
          <w:rFonts w:hint="eastAsia"/>
          <w:color w:val="000000" w:themeColor="text1"/>
        </w:rPr>
        <w:t xml:space="preserve">的澄清、说明不得超出投标文件的范围或者改变投标文件的实质性内容。 </w:t>
      </w:r>
    </w:p>
    <w:p>
      <w:pPr>
        <w:pStyle w:val="58"/>
        <w:ind w:firstLine="480"/>
        <w:rPr>
          <w:color w:val="000000" w:themeColor="text1"/>
        </w:rPr>
      </w:pPr>
      <w:r>
        <w:rPr>
          <w:rFonts w:hint="eastAsia"/>
          <w:color w:val="000000" w:themeColor="text1"/>
        </w:rPr>
        <w:t>5</w:t>
      </w:r>
      <w:r>
        <w:rPr>
          <w:color w:val="000000" w:themeColor="text1"/>
        </w:rPr>
        <w:t>、有下列情形之一的，视为投标供应商相互串通投标：</w:t>
      </w:r>
    </w:p>
    <w:p>
      <w:pPr>
        <w:pStyle w:val="58"/>
        <w:ind w:firstLine="480"/>
        <w:rPr>
          <w:color w:val="000000" w:themeColor="text1"/>
        </w:rPr>
      </w:pPr>
      <w:r>
        <w:rPr>
          <w:rFonts w:hint="eastAsia"/>
          <w:color w:val="000000" w:themeColor="text1"/>
        </w:rPr>
        <w:t>5</w:t>
      </w:r>
      <w:r>
        <w:rPr>
          <w:color w:val="000000" w:themeColor="text1"/>
        </w:rPr>
        <w:t>.1</w:t>
      </w:r>
      <w:r>
        <w:rPr>
          <w:rFonts w:hint="eastAsia"/>
          <w:color w:val="000000" w:themeColor="text1"/>
        </w:rPr>
        <w:t>、</w:t>
      </w:r>
      <w:r>
        <w:rPr>
          <w:color w:val="000000" w:themeColor="text1"/>
        </w:rPr>
        <w:t>不同投标供应商的投标文件由同一单位或者个人编制；</w:t>
      </w:r>
    </w:p>
    <w:p>
      <w:pPr>
        <w:pStyle w:val="58"/>
        <w:ind w:firstLine="480"/>
        <w:rPr>
          <w:color w:val="000000" w:themeColor="text1"/>
        </w:rPr>
      </w:pPr>
      <w:r>
        <w:rPr>
          <w:rFonts w:hint="eastAsia"/>
          <w:color w:val="000000" w:themeColor="text1"/>
        </w:rPr>
        <w:t>5</w:t>
      </w:r>
      <w:r>
        <w:rPr>
          <w:color w:val="000000" w:themeColor="text1"/>
        </w:rPr>
        <w:t>.2</w:t>
      </w:r>
      <w:r>
        <w:rPr>
          <w:rFonts w:hint="eastAsia"/>
          <w:color w:val="000000" w:themeColor="text1"/>
        </w:rPr>
        <w:t>、</w:t>
      </w:r>
      <w:r>
        <w:rPr>
          <w:color w:val="000000" w:themeColor="text1"/>
        </w:rPr>
        <w:t>不同投标供应商委托同一单位或者个人办理投标事宜；</w:t>
      </w:r>
    </w:p>
    <w:p>
      <w:pPr>
        <w:pStyle w:val="58"/>
        <w:ind w:firstLine="480"/>
        <w:rPr>
          <w:color w:val="000000" w:themeColor="text1"/>
        </w:rPr>
      </w:pPr>
      <w:r>
        <w:rPr>
          <w:rFonts w:hint="eastAsia"/>
          <w:color w:val="000000" w:themeColor="text1"/>
        </w:rPr>
        <w:t>5</w:t>
      </w:r>
      <w:r>
        <w:rPr>
          <w:color w:val="000000" w:themeColor="text1"/>
        </w:rPr>
        <w:t>.3</w:t>
      </w:r>
      <w:r>
        <w:rPr>
          <w:rFonts w:hint="eastAsia"/>
          <w:color w:val="000000" w:themeColor="text1"/>
        </w:rPr>
        <w:t>、</w:t>
      </w:r>
      <w:r>
        <w:rPr>
          <w:color w:val="000000" w:themeColor="text1"/>
        </w:rPr>
        <w:t>不同投标供应商的投标文件载明的项目管理成员为同一人；</w:t>
      </w:r>
    </w:p>
    <w:p>
      <w:pPr>
        <w:pStyle w:val="58"/>
        <w:ind w:firstLine="480"/>
        <w:rPr>
          <w:color w:val="000000" w:themeColor="text1"/>
        </w:rPr>
      </w:pPr>
      <w:r>
        <w:rPr>
          <w:rFonts w:hint="eastAsia"/>
          <w:color w:val="000000" w:themeColor="text1"/>
        </w:rPr>
        <w:t>5</w:t>
      </w:r>
      <w:r>
        <w:rPr>
          <w:color w:val="000000" w:themeColor="text1"/>
        </w:rPr>
        <w:t>.4</w:t>
      </w:r>
      <w:r>
        <w:rPr>
          <w:rFonts w:hint="eastAsia"/>
          <w:color w:val="000000" w:themeColor="text1"/>
        </w:rPr>
        <w:t>、</w:t>
      </w:r>
      <w:r>
        <w:rPr>
          <w:color w:val="000000" w:themeColor="text1"/>
        </w:rPr>
        <w:t>不同投标供应商的投标文件异常一致或者投标报价呈规律性差异。</w:t>
      </w:r>
    </w:p>
    <w:p>
      <w:pPr>
        <w:pStyle w:val="58"/>
        <w:ind w:firstLine="480"/>
        <w:rPr>
          <w:color w:val="000000" w:themeColor="text1"/>
        </w:rPr>
      </w:pPr>
      <w:r>
        <w:rPr>
          <w:rFonts w:hint="eastAsia"/>
          <w:color w:val="000000" w:themeColor="text1"/>
        </w:rPr>
        <w:t>6、</w:t>
      </w:r>
      <w:r>
        <w:rPr>
          <w:color w:val="000000" w:themeColor="text1"/>
        </w:rPr>
        <w:t>经评标委员会认定投标供应商进行串通投标的，评标委员会可以对相关投标供应商做出无效投标处理，并上报政府采购管理部门进行进一步处理。</w:t>
      </w:r>
    </w:p>
    <w:p>
      <w:pPr>
        <w:pStyle w:val="58"/>
        <w:ind w:firstLine="480"/>
        <w:rPr>
          <w:color w:val="000000" w:themeColor="text1"/>
          <w:szCs w:val="22"/>
        </w:rPr>
      </w:pPr>
      <w:r>
        <w:rPr>
          <w:rFonts w:hint="eastAsia"/>
          <w:color w:val="000000" w:themeColor="text1"/>
          <w:szCs w:val="22"/>
        </w:rPr>
        <w:t>7、评标原则</w:t>
      </w:r>
    </w:p>
    <w:p>
      <w:pPr>
        <w:pStyle w:val="58"/>
        <w:ind w:firstLine="482"/>
        <w:rPr>
          <w:b/>
          <w:bCs/>
          <w:color w:val="000000" w:themeColor="text1"/>
          <w:szCs w:val="22"/>
        </w:rPr>
      </w:pPr>
      <w:r>
        <w:rPr>
          <w:rFonts w:hint="eastAsia"/>
          <w:b/>
          <w:bCs/>
          <w:color w:val="000000" w:themeColor="text1"/>
          <w:szCs w:val="22"/>
        </w:rPr>
        <w:t>投标截止时或评审过程中有效投标供应商不足三家的，不予开标或评标。</w:t>
      </w:r>
    </w:p>
    <w:p>
      <w:pPr>
        <w:pStyle w:val="58"/>
        <w:ind w:firstLine="480"/>
        <w:rPr>
          <w:rFonts w:cs="Arial"/>
          <w:color w:val="000000" w:themeColor="text1"/>
        </w:rPr>
      </w:pPr>
      <w:r>
        <w:rPr>
          <w:rFonts w:hint="eastAsia"/>
          <w:color w:val="000000" w:themeColor="text1"/>
          <w:szCs w:val="22"/>
        </w:rPr>
        <w:t>评标委员会按照招标文件的要求和条件对投标文件进行商务和技术评估，综合比较与评价。</w:t>
      </w:r>
      <w:r>
        <w:rPr>
          <w:rFonts w:hint="eastAsia" w:cs="Arial"/>
          <w:color w:val="000000" w:themeColor="text1"/>
        </w:rPr>
        <w:t>评标办法具体见本招标文件第五部分。</w:t>
      </w:r>
    </w:p>
    <w:p>
      <w:pPr>
        <w:pStyle w:val="58"/>
        <w:ind w:firstLine="480"/>
        <w:rPr>
          <w:snapToGrid w:val="0"/>
          <w:color w:val="000000" w:themeColor="text1"/>
        </w:rPr>
      </w:pPr>
      <w:r>
        <w:rPr>
          <w:rFonts w:hint="eastAsia"/>
          <w:snapToGrid w:val="0"/>
          <w:color w:val="000000" w:themeColor="text1"/>
        </w:rPr>
        <w:t xml:space="preserve"> 8、可中止电子交易活动的情形</w:t>
      </w:r>
    </w:p>
    <w:p>
      <w:pPr>
        <w:pStyle w:val="58"/>
        <w:ind w:firstLine="480"/>
        <w:rPr>
          <w:snapToGrid w:val="0"/>
          <w:color w:val="000000" w:themeColor="text1"/>
        </w:rPr>
      </w:pPr>
      <w:r>
        <w:rPr>
          <w:rFonts w:hint="eastAsia"/>
          <w:snapToGrid w:val="0"/>
          <w:color w:val="000000" w:themeColor="text1"/>
        </w:rPr>
        <w:t>采购过程中出现以下情形，导致电子交易平台无法正常运行，或者无法保证电子交易的公平、公正和安全时，采购组织机构可中止电子交易活动：</w:t>
      </w:r>
    </w:p>
    <w:p>
      <w:pPr>
        <w:pStyle w:val="58"/>
        <w:ind w:firstLine="480"/>
        <w:rPr>
          <w:snapToGrid w:val="0"/>
          <w:color w:val="000000" w:themeColor="text1"/>
        </w:rPr>
      </w:pPr>
      <w:r>
        <w:rPr>
          <w:rFonts w:hint="eastAsia"/>
          <w:snapToGrid w:val="0"/>
          <w:color w:val="000000" w:themeColor="text1"/>
        </w:rPr>
        <w:t>8.1、电子交易平台发生故障而无法登录访问的；</w:t>
      </w:r>
    </w:p>
    <w:p>
      <w:pPr>
        <w:pStyle w:val="58"/>
        <w:ind w:firstLine="480"/>
        <w:rPr>
          <w:snapToGrid w:val="0"/>
          <w:color w:val="000000" w:themeColor="text1"/>
        </w:rPr>
      </w:pPr>
      <w:r>
        <w:rPr>
          <w:rFonts w:hint="eastAsia"/>
          <w:snapToGrid w:val="0"/>
          <w:color w:val="000000" w:themeColor="text1"/>
        </w:rPr>
        <w:t>8.2、电子交易平台应用或数据库出现错误，不能进行正常操作的；</w:t>
      </w:r>
    </w:p>
    <w:p>
      <w:pPr>
        <w:pStyle w:val="58"/>
        <w:ind w:firstLine="480"/>
        <w:rPr>
          <w:snapToGrid w:val="0"/>
          <w:color w:val="000000" w:themeColor="text1"/>
        </w:rPr>
      </w:pPr>
      <w:r>
        <w:rPr>
          <w:rFonts w:hint="eastAsia"/>
          <w:snapToGrid w:val="0"/>
          <w:color w:val="000000" w:themeColor="text1"/>
        </w:rPr>
        <w:t>8.3、电子交易平台发现严重安全漏洞，有潜在泄密危险的；</w:t>
      </w:r>
    </w:p>
    <w:p>
      <w:pPr>
        <w:pStyle w:val="58"/>
        <w:ind w:firstLine="480"/>
        <w:rPr>
          <w:snapToGrid w:val="0"/>
          <w:color w:val="000000" w:themeColor="text1"/>
        </w:rPr>
      </w:pPr>
      <w:r>
        <w:rPr>
          <w:rFonts w:hint="eastAsia"/>
          <w:snapToGrid w:val="0"/>
          <w:color w:val="000000" w:themeColor="text1"/>
        </w:rPr>
        <w:t>8.4、病毒发作导致不能进行正常操作的；</w:t>
      </w:r>
    </w:p>
    <w:p>
      <w:pPr>
        <w:pStyle w:val="58"/>
        <w:ind w:firstLine="480"/>
        <w:rPr>
          <w:snapToGrid w:val="0"/>
          <w:color w:val="000000" w:themeColor="text1"/>
        </w:rPr>
      </w:pPr>
      <w:r>
        <w:rPr>
          <w:rFonts w:hint="eastAsia"/>
          <w:snapToGrid w:val="0"/>
          <w:color w:val="000000" w:themeColor="text1"/>
        </w:rPr>
        <w:t>8.5、其他无法保证电子交易的公平、公正和安全的情况。</w:t>
      </w:r>
    </w:p>
    <w:p>
      <w:pPr>
        <w:pStyle w:val="58"/>
        <w:ind w:firstLine="480"/>
        <w:rPr>
          <w:color w:val="000000" w:themeColor="text1"/>
        </w:rPr>
      </w:pPr>
      <w:r>
        <w:rPr>
          <w:rFonts w:hint="eastAsia"/>
          <w:snapToGrid w:val="0"/>
          <w:color w:val="000000" w:themeColor="text1"/>
          <w:kern w:val="0"/>
        </w:rPr>
        <w:t>出现前款规定情形，不影响采购公平、公正性的，采购组织机构可以待上述情形消除后继续组织电子交易活动；影响或可能影响采购公平、公正性的，应当重新采购。</w:t>
      </w:r>
    </w:p>
    <w:p>
      <w:pPr>
        <w:pStyle w:val="58"/>
        <w:ind w:firstLine="480"/>
        <w:rPr>
          <w:color w:val="000000" w:themeColor="text1"/>
        </w:rPr>
      </w:pPr>
      <w:bookmarkStart w:id="197" w:name="_Toc132655778"/>
      <w:bookmarkStart w:id="198" w:name="_Toc132125097"/>
      <w:bookmarkStart w:id="199" w:name="_Toc132125153"/>
      <w:bookmarkStart w:id="200" w:name="_Toc132125576"/>
      <w:bookmarkStart w:id="201" w:name="_Toc132125039"/>
      <w:bookmarkStart w:id="202" w:name="_Toc132122121"/>
      <w:bookmarkStart w:id="203" w:name="_Toc132123636"/>
      <w:bookmarkStart w:id="204" w:name="_Toc132123549"/>
      <w:bookmarkStart w:id="205" w:name="_Toc132125985"/>
      <w:bookmarkStart w:id="206" w:name="_Toc132123883"/>
      <w:bookmarkStart w:id="207" w:name="_Toc132124596"/>
      <w:bookmarkStart w:id="208" w:name="_Toc132122418"/>
      <w:bookmarkStart w:id="209" w:name="_Toc132123441"/>
      <w:bookmarkStart w:id="210" w:name="_Toc132126156"/>
      <w:bookmarkStart w:id="211" w:name="_Toc132123840"/>
      <w:r>
        <w:rPr>
          <w:rFonts w:hint="eastAsia"/>
          <w:color w:val="000000" w:themeColor="text1"/>
        </w:rPr>
        <w:t>六、授予合同</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58"/>
        <w:ind w:firstLine="480"/>
        <w:rPr>
          <w:color w:val="000000" w:themeColor="text1"/>
          <w:szCs w:val="22"/>
        </w:rPr>
      </w:pPr>
      <w:r>
        <w:rPr>
          <w:rFonts w:hint="eastAsia"/>
          <w:color w:val="000000" w:themeColor="text1"/>
          <w:szCs w:val="22"/>
        </w:rPr>
        <w:t>1、中标条件</w:t>
      </w:r>
    </w:p>
    <w:p>
      <w:pPr>
        <w:pStyle w:val="58"/>
        <w:ind w:firstLine="480"/>
        <w:rPr>
          <w:color w:val="000000" w:themeColor="text1"/>
        </w:rPr>
      </w:pPr>
      <w:r>
        <w:rPr>
          <w:rFonts w:hint="eastAsia"/>
          <w:color w:val="000000" w:themeColor="text1"/>
        </w:rPr>
        <w:t xml:space="preserve">    1) 投标文件基本符合招标文件要求，能够最大限度满足招标文件中规定的各项综合评价标准；</w:t>
      </w:r>
    </w:p>
    <w:p>
      <w:pPr>
        <w:pStyle w:val="58"/>
        <w:ind w:firstLine="480"/>
        <w:rPr>
          <w:color w:val="000000" w:themeColor="text1"/>
          <w:szCs w:val="22"/>
        </w:rPr>
      </w:pPr>
      <w:r>
        <w:rPr>
          <w:rFonts w:hint="eastAsia"/>
          <w:color w:val="000000" w:themeColor="text1"/>
          <w:szCs w:val="22"/>
        </w:rPr>
        <w:t>2) 投标供应商有很好的执行合同的能力；</w:t>
      </w:r>
    </w:p>
    <w:p>
      <w:pPr>
        <w:pStyle w:val="58"/>
        <w:ind w:firstLine="480"/>
        <w:rPr>
          <w:color w:val="000000" w:themeColor="text1"/>
          <w:szCs w:val="22"/>
        </w:rPr>
      </w:pPr>
      <w:bookmarkStart w:id="212" w:name="_Toc132122419"/>
      <w:bookmarkStart w:id="213" w:name="_Toc132122122"/>
      <w:r>
        <w:rPr>
          <w:rFonts w:hint="eastAsia"/>
          <w:color w:val="000000" w:themeColor="text1"/>
          <w:szCs w:val="22"/>
        </w:rPr>
        <w:t>3) 投标供应商能够提供质量技术、商务经济占综合优势的产品及服务；</w:t>
      </w:r>
      <w:bookmarkEnd w:id="212"/>
      <w:bookmarkEnd w:id="213"/>
    </w:p>
    <w:p>
      <w:pPr>
        <w:pStyle w:val="58"/>
        <w:ind w:firstLine="480"/>
        <w:rPr>
          <w:color w:val="000000" w:themeColor="text1"/>
          <w:szCs w:val="22"/>
        </w:rPr>
      </w:pPr>
      <w:r>
        <w:rPr>
          <w:color w:val="000000" w:themeColor="text1"/>
          <w:szCs w:val="22"/>
        </w:rPr>
        <w:t>4）中标供应商</w:t>
      </w:r>
      <w:r>
        <w:rPr>
          <w:rFonts w:hint="eastAsia"/>
          <w:color w:val="000000" w:themeColor="text1"/>
          <w:szCs w:val="22"/>
        </w:rPr>
        <w:t>投标</w:t>
      </w:r>
      <w:r>
        <w:rPr>
          <w:color w:val="000000" w:themeColor="text1"/>
          <w:szCs w:val="22"/>
        </w:rPr>
        <w:t>报价为中标价，作为中标供应商与</w:t>
      </w:r>
      <w:r>
        <w:rPr>
          <w:rFonts w:hint="eastAsia"/>
          <w:color w:val="000000" w:themeColor="text1"/>
          <w:szCs w:val="22"/>
        </w:rPr>
        <w:t>采购人</w:t>
      </w:r>
      <w:r>
        <w:rPr>
          <w:color w:val="000000" w:themeColor="text1"/>
          <w:szCs w:val="22"/>
        </w:rPr>
        <w:t>签订合同的合同价。</w:t>
      </w:r>
    </w:p>
    <w:p>
      <w:pPr>
        <w:pStyle w:val="58"/>
        <w:ind w:firstLine="480"/>
        <w:rPr>
          <w:color w:val="000000" w:themeColor="text1"/>
          <w:szCs w:val="22"/>
          <w:u w:val="single"/>
        </w:rPr>
      </w:pPr>
      <w:bookmarkStart w:id="214" w:name="_Toc132122420"/>
      <w:bookmarkStart w:id="215" w:name="_Toc132122123"/>
      <w:r>
        <w:rPr>
          <w:rFonts w:hint="eastAsia"/>
          <w:color w:val="000000" w:themeColor="text1"/>
          <w:szCs w:val="22"/>
        </w:rPr>
        <w:t>2、中标通知</w:t>
      </w:r>
      <w:bookmarkEnd w:id="214"/>
      <w:bookmarkEnd w:id="215"/>
    </w:p>
    <w:p>
      <w:pPr>
        <w:pStyle w:val="58"/>
        <w:ind w:firstLine="480"/>
        <w:rPr>
          <w:color w:val="000000" w:themeColor="text1"/>
        </w:rPr>
      </w:pPr>
      <w:r>
        <w:rPr>
          <w:rFonts w:hint="eastAsia"/>
          <w:color w:val="000000" w:themeColor="text1"/>
        </w:rPr>
        <w:t>2.1、采购人依法确认中标供应商后</w:t>
      </w:r>
      <w:r>
        <w:rPr>
          <w:color w:val="000000" w:themeColor="text1"/>
        </w:rPr>
        <w:t>，采购代理机构在浙江政府采购网公告中标结果，同时发出中标通知书，中标公告期限为1个工作日</w:t>
      </w:r>
      <w:r>
        <w:rPr>
          <w:rFonts w:hint="eastAsia"/>
          <w:color w:val="000000" w:themeColor="text1"/>
        </w:rPr>
        <w:t>。</w:t>
      </w:r>
    </w:p>
    <w:p>
      <w:pPr>
        <w:pStyle w:val="58"/>
        <w:ind w:firstLine="480"/>
        <w:rPr>
          <w:color w:val="000000" w:themeColor="text1"/>
        </w:rPr>
      </w:pPr>
      <w:r>
        <w:rPr>
          <w:rFonts w:hint="eastAsia"/>
          <w:color w:val="000000" w:themeColor="text1"/>
        </w:rPr>
        <w:t>2.2、中标通知书对采购单位和中标供应商具有法律约束力。中标通知书发出后，采购人改变中标结果或者中标供应商放弃中标的，应当承担法律责任。</w:t>
      </w:r>
    </w:p>
    <w:p>
      <w:pPr>
        <w:pStyle w:val="58"/>
        <w:ind w:firstLine="480"/>
        <w:rPr>
          <w:color w:val="000000" w:themeColor="text1"/>
        </w:rPr>
      </w:pPr>
      <w:r>
        <w:rPr>
          <w:color w:val="000000" w:themeColor="text1"/>
        </w:rPr>
        <w:t>2.3、中标无效</w:t>
      </w:r>
    </w:p>
    <w:p>
      <w:pPr>
        <w:pStyle w:val="58"/>
        <w:ind w:firstLine="480"/>
        <w:rPr>
          <w:color w:val="000000" w:themeColor="text1"/>
        </w:rPr>
      </w:pPr>
      <w:r>
        <w:rPr>
          <w:color w:val="000000" w:themeColor="text1"/>
        </w:rPr>
        <w:t>1）</w:t>
      </w:r>
      <w:r>
        <w:rPr>
          <w:rFonts w:hint="eastAsia"/>
          <w:color w:val="000000" w:themeColor="text1"/>
        </w:rPr>
        <w:t>发现中标供应商资格无效或中标供应商放弃中标或拒绝与采购人签订合同的,按相关规定执行</w:t>
      </w:r>
      <w:r>
        <w:rPr>
          <w:color w:val="000000" w:themeColor="text1"/>
        </w:rPr>
        <w:t>。</w:t>
      </w:r>
    </w:p>
    <w:p>
      <w:pPr>
        <w:pStyle w:val="58"/>
        <w:ind w:firstLine="480"/>
        <w:rPr>
          <w:color w:val="000000" w:themeColor="text1"/>
        </w:rPr>
      </w:pPr>
      <w:r>
        <w:rPr>
          <w:color w:val="000000" w:themeColor="text1"/>
        </w:rPr>
        <w:t>2）</w:t>
      </w:r>
      <w:r>
        <w:rPr>
          <w:rFonts w:hint="eastAsia"/>
          <w:color w:val="000000" w:themeColor="text1"/>
        </w:rPr>
        <w:t>有《中华人民共和国政府采购法实施条例》第七十一条、第七十二条、第七十三条、第七十四条规定的违法行为之一</w:t>
      </w:r>
      <w:r>
        <w:rPr>
          <w:color w:val="000000" w:themeColor="text1"/>
        </w:rPr>
        <w:t>，由政府采购监管部门依法处理。</w:t>
      </w:r>
    </w:p>
    <w:p>
      <w:pPr>
        <w:pStyle w:val="58"/>
        <w:ind w:firstLine="480"/>
        <w:rPr>
          <w:color w:val="000000" w:themeColor="text1"/>
          <w:szCs w:val="22"/>
        </w:rPr>
      </w:pPr>
      <w:bookmarkStart w:id="216" w:name="_Toc132122421"/>
      <w:bookmarkStart w:id="217" w:name="_Toc132122124"/>
      <w:r>
        <w:rPr>
          <w:rFonts w:hint="eastAsia"/>
          <w:color w:val="000000" w:themeColor="text1"/>
          <w:szCs w:val="22"/>
        </w:rPr>
        <w:t>3、签订合同</w:t>
      </w:r>
      <w:bookmarkEnd w:id="216"/>
      <w:bookmarkEnd w:id="217"/>
    </w:p>
    <w:p>
      <w:pPr>
        <w:pStyle w:val="58"/>
        <w:ind w:firstLine="480"/>
        <w:rPr>
          <w:color w:val="000000" w:themeColor="text1"/>
          <w:szCs w:val="22"/>
        </w:rPr>
      </w:pPr>
      <w:r>
        <w:rPr>
          <w:rFonts w:hint="eastAsia"/>
          <w:color w:val="000000" w:themeColor="text1"/>
          <w:szCs w:val="22"/>
        </w:rPr>
        <w:t>3.1、中标供应商须主动联系采购人或采购代理机构领取中标通知书。中标供应商应当在中标通知书发出之日起</w:t>
      </w:r>
      <w:r>
        <w:rPr>
          <w:rFonts w:hint="eastAsia" w:cs="宋体"/>
          <w:color w:val="000000" w:themeColor="text1"/>
          <w:szCs w:val="22"/>
        </w:rPr>
        <w:t>20日历天内</w:t>
      </w:r>
      <w:r>
        <w:rPr>
          <w:rFonts w:hint="eastAsia"/>
          <w:color w:val="000000" w:themeColor="text1"/>
          <w:szCs w:val="22"/>
        </w:rPr>
        <w:t>与采购人签订合同。中标供应商未经采购人许可，在规定时间内未与采购人签订合同，则视为拒签合同。</w:t>
      </w:r>
    </w:p>
    <w:p>
      <w:pPr>
        <w:pStyle w:val="58"/>
        <w:ind w:firstLine="480"/>
        <w:rPr>
          <w:color w:val="000000" w:themeColor="text1"/>
          <w:szCs w:val="22"/>
        </w:rPr>
      </w:pPr>
      <w:r>
        <w:rPr>
          <w:rFonts w:hint="eastAsia"/>
          <w:color w:val="000000" w:themeColor="text1"/>
          <w:szCs w:val="22"/>
        </w:rPr>
        <w:t xml:space="preserve"> 3.2、招标文件、中标供应商的投标文件及投标修改文件、评标过程中有关澄清文件及询标纪要和中标通知书均作为合同附件。</w:t>
      </w:r>
    </w:p>
    <w:p>
      <w:pPr>
        <w:pStyle w:val="58"/>
        <w:ind w:firstLine="480"/>
        <w:rPr>
          <w:color w:val="000000" w:themeColor="text1"/>
          <w:szCs w:val="22"/>
        </w:rPr>
      </w:pPr>
      <w:r>
        <w:rPr>
          <w:rFonts w:hint="eastAsia"/>
          <w:color w:val="000000" w:themeColor="text1"/>
          <w:szCs w:val="22"/>
        </w:rPr>
        <w:t>3.3、拒签合同的责任</w:t>
      </w:r>
    </w:p>
    <w:p>
      <w:pPr>
        <w:pStyle w:val="58"/>
        <w:ind w:firstLine="480"/>
        <w:rPr>
          <w:color w:val="000000" w:themeColor="text1"/>
          <w:szCs w:val="22"/>
        </w:rPr>
      </w:pPr>
      <w:r>
        <w:rPr>
          <w:rFonts w:hint="eastAsia"/>
          <w:color w:val="000000" w:themeColor="text1"/>
          <w:szCs w:val="22"/>
        </w:rPr>
        <w:t>中标供应商在规定时间内借故否认已经承诺的条件、拒签合同者，以投标违约处理，并赔偿采购人由此造成的直接经济损失；采购人重新组织招标的，所需费用由原中标供应商承担。</w:t>
      </w:r>
    </w:p>
    <w:p>
      <w:pPr>
        <w:pStyle w:val="58"/>
        <w:ind w:firstLine="480"/>
        <w:rPr>
          <w:color w:val="000000" w:themeColor="text1"/>
          <w:szCs w:val="22"/>
        </w:rPr>
      </w:pPr>
      <w:r>
        <w:rPr>
          <w:rFonts w:hint="eastAsia"/>
          <w:color w:val="000000" w:themeColor="text1"/>
          <w:szCs w:val="22"/>
        </w:rPr>
        <w:t>验收</w:t>
      </w:r>
    </w:p>
    <w:p>
      <w:pPr>
        <w:pStyle w:val="58"/>
        <w:ind w:firstLine="480"/>
        <w:rPr>
          <w:color w:val="000000" w:themeColor="text1"/>
          <w:lang w:val="zh-CN"/>
        </w:rPr>
      </w:pPr>
      <w:r>
        <w:rPr>
          <w:rFonts w:hint="eastAsia"/>
          <w:color w:val="000000" w:themeColor="text1"/>
        </w:rPr>
        <w:t>4.</w:t>
      </w:r>
      <w:r>
        <w:rPr>
          <w:rFonts w:hint="eastAsia"/>
          <w:color w:val="000000" w:themeColor="text1"/>
          <w:lang w:val="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58"/>
        <w:ind w:firstLine="480"/>
        <w:rPr>
          <w:color w:val="000000" w:themeColor="text1"/>
          <w:lang w:val="zh-CN"/>
        </w:rPr>
      </w:pPr>
      <w:r>
        <w:rPr>
          <w:rFonts w:hint="eastAsia"/>
          <w:color w:val="000000" w:themeColor="text1"/>
        </w:rPr>
        <w:t>4.2、</w:t>
      </w:r>
      <w:r>
        <w:rPr>
          <w:rFonts w:hint="eastAsia"/>
          <w:color w:val="000000" w:themeColor="text1"/>
          <w:lang w:val="zh-CN"/>
        </w:rPr>
        <w:t>采购人可以邀请参加本项目的其他供应商或者第三方机构参与验收。参与验收的供应商或者第三方机构的意见作为验收书的参考资料一并存档。</w:t>
      </w:r>
    </w:p>
    <w:p>
      <w:pPr>
        <w:pStyle w:val="58"/>
        <w:ind w:firstLine="480"/>
        <w:rPr>
          <w:color w:val="000000" w:themeColor="text1"/>
          <w:lang w:val="zh-CN"/>
        </w:rPr>
      </w:pPr>
      <w:r>
        <w:rPr>
          <w:rFonts w:hint="eastAsia"/>
          <w:color w:val="000000" w:themeColor="text1"/>
        </w:rPr>
        <w:t>4.3、</w:t>
      </w:r>
      <w:r>
        <w:rPr>
          <w:rFonts w:hint="eastAsia"/>
          <w:color w:val="000000" w:themeColor="text1"/>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58"/>
        <w:ind w:firstLine="480"/>
        <w:rPr>
          <w:color w:val="000000" w:themeColor="text1"/>
          <w:lang w:val="zh-CN"/>
        </w:rPr>
      </w:pPr>
      <w:r>
        <w:rPr>
          <w:rFonts w:hint="eastAsia"/>
          <w:color w:val="000000" w:themeColor="text1"/>
        </w:rPr>
        <w:t>4.4、</w:t>
      </w:r>
      <w:r>
        <w:rPr>
          <w:rFonts w:hint="eastAsia"/>
          <w:color w:val="000000" w:themeColor="text1"/>
          <w:lang w:val="zh-CN"/>
        </w:rPr>
        <w:t>采购人原则上应当在履约验收之日起2个工作日内，将履约验收结果在浙江政府采购网上公告。</w:t>
      </w:r>
    </w:p>
    <w:p>
      <w:pPr>
        <w:pStyle w:val="58"/>
        <w:ind w:firstLine="480"/>
        <w:rPr>
          <w:color w:val="000000" w:themeColor="text1"/>
          <w:lang w:val="zh-CN"/>
        </w:rPr>
      </w:pPr>
      <w:r>
        <w:rPr>
          <w:rFonts w:hint="eastAsia"/>
          <w:color w:val="000000" w:themeColor="text1"/>
        </w:rPr>
        <w:t>4.5、</w:t>
      </w:r>
      <w:r>
        <w:rPr>
          <w:rFonts w:hint="eastAsia"/>
          <w:color w:val="000000" w:themeColor="text1"/>
          <w:lang w:val="zh-CN"/>
        </w:rPr>
        <w:t>验收合格的项目，采购人将根据采购合同的约定及时向供应商支付采购资金、退还履约保证金。</w:t>
      </w:r>
    </w:p>
    <w:p>
      <w:pPr>
        <w:pStyle w:val="58"/>
        <w:ind w:firstLine="480"/>
        <w:rPr>
          <w:color w:val="000000" w:themeColor="text1"/>
          <w:szCs w:val="22"/>
        </w:rPr>
      </w:pPr>
      <w:r>
        <w:rPr>
          <w:rFonts w:hint="eastAsia"/>
          <w:color w:val="000000" w:themeColor="text1"/>
        </w:rPr>
        <w:t>4.6、</w:t>
      </w:r>
      <w:r>
        <w:rPr>
          <w:rFonts w:hint="eastAsia"/>
          <w:color w:val="000000" w:themeColor="text1"/>
          <w:lang w:val="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color w:val="000000" w:themeColor="text1"/>
          <w:lang w:val="zh-CN"/>
        </w:rPr>
        <w:br w:type="page"/>
      </w:r>
    </w:p>
    <w:p>
      <w:pPr>
        <w:pStyle w:val="16"/>
        <w:spacing w:before="156" w:after="156" w:line="360" w:lineRule="auto"/>
        <w:jc w:val="center"/>
        <w:outlineLvl w:val="0"/>
        <w:rPr>
          <w:color w:val="000000" w:themeColor="text1"/>
          <w:sz w:val="36"/>
        </w:rPr>
      </w:pPr>
      <w:r>
        <w:rPr>
          <w:rFonts w:hint="eastAsia" w:hAnsi="宋体"/>
          <w:b/>
          <w:color w:val="000000" w:themeColor="text1"/>
          <w:sz w:val="36"/>
          <w:szCs w:val="36"/>
        </w:rPr>
        <w:t>第四章   政府采购政策功能相关说明</w:t>
      </w:r>
    </w:p>
    <w:p>
      <w:pPr>
        <w:pStyle w:val="58"/>
        <w:ind w:firstLine="480"/>
        <w:rPr>
          <w:color w:val="000000" w:themeColor="text1"/>
        </w:rPr>
      </w:pPr>
      <w:r>
        <w:rPr>
          <w:rFonts w:hint="eastAsia"/>
          <w:color w:val="000000" w:themeColor="text1"/>
        </w:rPr>
        <w:t>一、小、微企业（含监狱企业、残疾人福利性单位）扶持政策说明</w:t>
      </w:r>
    </w:p>
    <w:p>
      <w:pPr>
        <w:pStyle w:val="58"/>
        <w:ind w:firstLine="480"/>
        <w:rPr>
          <w:color w:val="000000" w:themeColor="text1"/>
        </w:rPr>
      </w:pPr>
      <w:r>
        <w:rPr>
          <w:color w:val="000000" w:themeColor="text1"/>
        </w:rPr>
        <w:t>1、文件依据</w:t>
      </w:r>
    </w:p>
    <w:p>
      <w:pPr>
        <w:pStyle w:val="58"/>
        <w:ind w:firstLine="480"/>
        <w:rPr>
          <w:color w:val="000000" w:themeColor="text1"/>
        </w:rPr>
      </w:pPr>
      <w:r>
        <w:rPr>
          <w:rFonts w:hint="eastAsia"/>
          <w:color w:val="000000" w:themeColor="text1"/>
        </w:rPr>
        <w:t>（</w:t>
      </w:r>
      <w:r>
        <w:rPr>
          <w:color w:val="000000" w:themeColor="text1"/>
        </w:rPr>
        <w:t>1）</w:t>
      </w:r>
      <w:r>
        <w:rPr>
          <w:rFonts w:hint="eastAsia"/>
          <w:color w:val="000000" w:themeColor="text1"/>
        </w:rPr>
        <w:t>关于印发《浙江省财政厅关于进一步加大政府采购支持中小企业力度 助力扎实稳住经济的通知》（浙财采监〔2022〕8号）</w:t>
      </w:r>
    </w:p>
    <w:p>
      <w:pPr>
        <w:pStyle w:val="58"/>
        <w:ind w:firstLine="480"/>
        <w:rPr>
          <w:color w:val="000000" w:themeColor="text1"/>
        </w:rPr>
      </w:pPr>
      <w:r>
        <w:rPr>
          <w:rFonts w:hint="eastAsia"/>
          <w:color w:val="000000" w:themeColor="text1"/>
        </w:rPr>
        <w:t>（</w:t>
      </w:r>
      <w:r>
        <w:rPr>
          <w:color w:val="000000" w:themeColor="text1"/>
        </w:rPr>
        <w:t>2）</w:t>
      </w:r>
      <w:r>
        <w:rPr>
          <w:rFonts w:hint="eastAsia"/>
          <w:color w:val="000000" w:themeColor="text1"/>
        </w:rPr>
        <w:t>财政部《政府采购促进中小企业发展政策问答》</w:t>
      </w:r>
    </w:p>
    <w:p>
      <w:pPr>
        <w:pStyle w:val="58"/>
        <w:ind w:firstLine="480"/>
        <w:rPr>
          <w:color w:val="000000" w:themeColor="text1"/>
        </w:rPr>
      </w:pPr>
      <w:r>
        <w:rPr>
          <w:rFonts w:hint="eastAsia"/>
          <w:color w:val="000000" w:themeColor="text1"/>
        </w:rPr>
        <w:t>（</w:t>
      </w:r>
      <w:r>
        <w:rPr>
          <w:color w:val="000000" w:themeColor="text1"/>
        </w:rPr>
        <w:t>3）浙江省省财政厅《关于开展政府采购供应商网上注册登记和诚信管理工作的通知》（浙财采监〔2010〕8号)</w:t>
      </w:r>
    </w:p>
    <w:p>
      <w:pPr>
        <w:pStyle w:val="58"/>
        <w:ind w:firstLine="480"/>
        <w:rPr>
          <w:color w:val="000000" w:themeColor="text1"/>
        </w:rPr>
      </w:pPr>
      <w:r>
        <w:rPr>
          <w:rFonts w:hint="eastAsia"/>
          <w:color w:val="000000" w:themeColor="text1"/>
        </w:rPr>
        <w:t>（</w:t>
      </w:r>
      <w:r>
        <w:rPr>
          <w:color w:val="000000" w:themeColor="text1"/>
        </w:rPr>
        <w:t>4）《工业和信息化部、国家统计局、国家发展和改革委员会、财政部关于印发中小企业划型标准规定的通知》（工信部联企业[2011]300号）</w:t>
      </w:r>
    </w:p>
    <w:p>
      <w:pPr>
        <w:pStyle w:val="58"/>
        <w:ind w:firstLine="480"/>
        <w:rPr>
          <w:color w:val="000000" w:themeColor="text1"/>
        </w:rPr>
      </w:pPr>
      <w:r>
        <w:rPr>
          <w:rFonts w:hint="eastAsia"/>
          <w:color w:val="000000" w:themeColor="text1"/>
        </w:rPr>
        <w:t>（</w:t>
      </w:r>
      <w:r>
        <w:rPr>
          <w:color w:val="000000" w:themeColor="text1"/>
        </w:rPr>
        <w:t>5）财政部、司法部《关于政府采购支持监狱企业发展有关问题的通知》（财库〔2014〕68号）</w:t>
      </w:r>
    </w:p>
    <w:p>
      <w:pPr>
        <w:pStyle w:val="58"/>
        <w:ind w:firstLine="480"/>
        <w:rPr>
          <w:color w:val="000000" w:themeColor="text1"/>
        </w:rPr>
      </w:pPr>
      <w:r>
        <w:rPr>
          <w:rFonts w:hint="eastAsia"/>
          <w:color w:val="000000" w:themeColor="text1"/>
        </w:rPr>
        <w:t>（</w:t>
      </w:r>
      <w:r>
        <w:rPr>
          <w:color w:val="000000" w:themeColor="text1"/>
        </w:rPr>
        <w:t>6）《财政部 民政部 中国残疾人联合会关于促进残疾人就业政府采购政策的通知》（财库〔2017〕 141号）</w:t>
      </w:r>
    </w:p>
    <w:p>
      <w:pPr>
        <w:pStyle w:val="58"/>
        <w:ind w:firstLine="480"/>
        <w:rPr>
          <w:color w:val="000000" w:themeColor="text1"/>
        </w:rPr>
      </w:pPr>
      <w:r>
        <w:rPr>
          <w:rFonts w:hint="eastAsia"/>
          <w:color w:val="000000" w:themeColor="text1"/>
        </w:rPr>
        <w:t>（</w:t>
      </w:r>
      <w:r>
        <w:rPr>
          <w:color w:val="000000" w:themeColor="text1"/>
        </w:rPr>
        <w:t>7）《浙江省财政厅  浙江省经济和信息化委员会关于简化中小企业类别确认流程有关事项的通知》（浙财采监〔2018〕2号</w:t>
      </w:r>
      <w:r>
        <w:rPr>
          <w:rFonts w:hint="eastAsia"/>
          <w:color w:val="000000" w:themeColor="text1"/>
        </w:rPr>
        <w:t>）</w:t>
      </w:r>
    </w:p>
    <w:p>
      <w:pPr>
        <w:pStyle w:val="58"/>
        <w:ind w:firstLine="480"/>
        <w:rPr>
          <w:color w:val="000000" w:themeColor="text1"/>
        </w:rPr>
      </w:pPr>
      <w:r>
        <w:rPr>
          <w:rFonts w:hint="eastAsia"/>
          <w:color w:val="000000" w:themeColor="text1"/>
        </w:rPr>
        <w:t>2、享受小微企业价格折扣应具备的条件</w:t>
      </w:r>
    </w:p>
    <w:p>
      <w:pPr>
        <w:pStyle w:val="58"/>
        <w:ind w:firstLine="480"/>
        <w:rPr>
          <w:color w:val="000000" w:themeColor="text1"/>
        </w:rPr>
      </w:pPr>
      <w:r>
        <w:rPr>
          <w:rFonts w:hint="eastAsia"/>
          <w:color w:val="000000" w:themeColor="text1"/>
        </w:rPr>
        <w:t>《政府采购促进中小企业发展管理办法》</w:t>
      </w:r>
      <w:r>
        <w:rPr>
          <w:rFonts w:hint="eastAsia" w:hAnsi="Times New Roman"/>
          <w:color w:val="000000" w:themeColor="text1"/>
          <w:szCs w:val="22"/>
        </w:rPr>
        <w:t>第四条　在政府采购活动中，供应商提供的货物、工程或者服务符合下列情形的，享受本办法规定的中小企业扶持政策：</w:t>
      </w:r>
    </w:p>
    <w:p>
      <w:pPr>
        <w:pStyle w:val="58"/>
        <w:ind w:firstLine="480"/>
        <w:rPr>
          <w:rFonts w:hAnsi="Times New Roman"/>
          <w:color w:val="000000" w:themeColor="text1"/>
          <w:szCs w:val="22"/>
        </w:rPr>
      </w:pPr>
      <w:r>
        <w:rPr>
          <w:rFonts w:hint="eastAsia" w:hAnsi="Times New Roman"/>
          <w:color w:val="000000" w:themeColor="text1"/>
          <w:szCs w:val="22"/>
        </w:rPr>
        <w:t>（一）在货物采购项目中，货物由中小企业制造，即货物由中小企业生产且使用该中小企业商号或者注册商标；</w:t>
      </w:r>
    </w:p>
    <w:p>
      <w:pPr>
        <w:pStyle w:val="58"/>
        <w:ind w:firstLine="480"/>
        <w:rPr>
          <w:rFonts w:hAnsi="Times New Roman"/>
          <w:color w:val="000000" w:themeColor="text1"/>
          <w:szCs w:val="22"/>
        </w:rPr>
      </w:pPr>
      <w:r>
        <w:rPr>
          <w:rFonts w:hint="eastAsia" w:hAnsi="Times New Roman"/>
          <w:color w:val="000000" w:themeColor="text1"/>
          <w:szCs w:val="22"/>
        </w:rPr>
        <w:t>（二）在工程采购项目中，工程由中小企业承建，即工程施工单位为中小企业；</w:t>
      </w:r>
    </w:p>
    <w:p>
      <w:pPr>
        <w:pStyle w:val="58"/>
        <w:ind w:firstLine="480"/>
        <w:rPr>
          <w:rFonts w:hAnsi="Times New Roman"/>
          <w:color w:val="000000" w:themeColor="text1"/>
          <w:szCs w:val="22"/>
        </w:rPr>
      </w:pPr>
      <w:r>
        <w:rPr>
          <w:rFonts w:hint="eastAsia" w:hAnsi="Times New Roman"/>
          <w:color w:val="000000" w:themeColor="text1"/>
          <w:szCs w:val="22"/>
        </w:rPr>
        <w:t>（三）在服务采购项目中，服务由中小企业承接，即提供服务的人员为中小企业依照《中华人民共和国劳动合同法》订立劳动合同的从业人员。</w:t>
      </w:r>
    </w:p>
    <w:p>
      <w:pPr>
        <w:pStyle w:val="58"/>
        <w:ind w:firstLine="482"/>
        <w:rPr>
          <w:rFonts w:hAnsi="Times New Roman"/>
          <w:color w:val="000000" w:themeColor="text1"/>
          <w:szCs w:val="22"/>
        </w:rPr>
      </w:pPr>
      <w:r>
        <w:rPr>
          <w:rFonts w:hint="eastAsia" w:hAnsi="Times New Roman"/>
          <w:b/>
          <w:bCs/>
          <w:color w:val="000000" w:themeColor="text1"/>
          <w:szCs w:val="22"/>
        </w:rPr>
        <w:t>在货物采购项目中，供应商提供的货物既有中小企业制造货物，也有大型企业制造货物的，不享受本办法规定的中小企业扶持政策。</w:t>
      </w:r>
    </w:p>
    <w:p>
      <w:pPr>
        <w:pStyle w:val="58"/>
        <w:ind w:firstLine="480"/>
        <w:rPr>
          <w:rFonts w:hAnsi="Times New Roman"/>
          <w:color w:val="000000" w:themeColor="text1"/>
          <w:szCs w:val="22"/>
        </w:rPr>
      </w:pPr>
      <w:r>
        <w:rPr>
          <w:rFonts w:hint="eastAsia" w:hAnsi="Times New Roman"/>
          <w:color w:val="000000" w:themeColor="text1"/>
          <w:szCs w:val="22"/>
        </w:rPr>
        <w:t>以联合体形式参加政府采购活动，联合体各方均为中小企业的，联合体视同中小企业。其中，联合体各方均为小微企业的，联合体视同小微企业。</w:t>
      </w:r>
    </w:p>
    <w:p>
      <w:pPr>
        <w:pStyle w:val="58"/>
        <w:ind w:firstLine="480"/>
        <w:rPr>
          <w:color w:val="000000" w:themeColor="text1"/>
          <w:szCs w:val="22"/>
        </w:rPr>
      </w:pPr>
      <w:r>
        <w:rPr>
          <w:rFonts w:hint="eastAsia"/>
          <w:color w:val="000000" w:themeColor="text1"/>
        </w:rPr>
        <w:t>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pPr>
        <w:pStyle w:val="58"/>
        <w:ind w:firstLine="480"/>
        <w:rPr>
          <w:color w:val="000000" w:themeColor="text1"/>
        </w:rPr>
      </w:pPr>
      <w:r>
        <w:rPr>
          <w:rFonts w:hint="eastAsia"/>
          <w:color w:val="000000" w:themeColor="text1"/>
        </w:rPr>
        <w:t>3.采购项目涉及中小企业采购的部分内容</w:t>
      </w:r>
    </w:p>
    <w:p>
      <w:pPr>
        <w:pStyle w:val="58"/>
        <w:ind w:firstLine="480"/>
        <w:rPr>
          <w:color w:val="000000" w:themeColor="text1"/>
        </w:rPr>
      </w:pPr>
      <w:r>
        <w:rPr>
          <w:rFonts w:hint="eastAsia"/>
          <w:color w:val="000000" w:themeColor="text1"/>
        </w:rPr>
        <w:t>《政府采购促进中小企业发展管理办法》</w:t>
      </w:r>
      <w:r>
        <w:rPr>
          <w:rFonts w:hint="eastAsia" w:hAnsi="Times New Roman"/>
          <w:color w:val="000000" w:themeColor="text1"/>
          <w:szCs w:val="22"/>
        </w:rPr>
        <w:t>第</w:t>
      </w:r>
      <w:r>
        <w:rPr>
          <w:rFonts w:hint="eastAsia"/>
          <w:color w:val="000000" w:themeColor="text1"/>
          <w:szCs w:val="22"/>
        </w:rPr>
        <w:t>十二</w:t>
      </w:r>
      <w:r>
        <w:rPr>
          <w:rFonts w:hint="eastAsia" w:hAnsi="Times New Roman"/>
          <w:color w:val="000000" w:themeColor="text1"/>
          <w:szCs w:val="22"/>
        </w:rPr>
        <w:t>条</w:t>
      </w:r>
      <w:r>
        <w:rPr>
          <w:rFonts w:hint="eastAsia"/>
          <w:color w:val="000000" w:themeColor="text1"/>
          <w:szCs w:val="22"/>
        </w:rPr>
        <w:t xml:space="preserve">  </w:t>
      </w:r>
      <w:r>
        <w:rPr>
          <w:rFonts w:hint="eastAsia"/>
          <w:color w:val="000000" w:themeColor="text1"/>
        </w:rPr>
        <w:t>采购项目涉及中小企业采购的，采购文件应当明确以下内容：</w:t>
      </w:r>
    </w:p>
    <w:p>
      <w:pPr>
        <w:pStyle w:val="58"/>
        <w:ind w:firstLine="480"/>
        <w:rPr>
          <w:color w:val="000000" w:themeColor="text1"/>
          <w:szCs w:val="22"/>
        </w:rPr>
      </w:pPr>
      <w:r>
        <w:rPr>
          <w:rFonts w:hAnsi="Times New Roman"/>
          <w:color w:val="000000" w:themeColor="text1"/>
          <w:szCs w:val="22"/>
        </w:rPr>
        <w:t>预留份额的采购项目或者采购包，明确该项目或相关采购包专门面向中小企业采购，以及相关标的及预算金额；</w:t>
      </w:r>
    </w:p>
    <w:p>
      <w:pPr>
        <w:pStyle w:val="58"/>
        <w:ind w:firstLine="480"/>
        <w:rPr>
          <w:color w:val="000000" w:themeColor="text1"/>
          <w:szCs w:val="22"/>
        </w:rPr>
      </w:pPr>
      <w:r>
        <w:rPr>
          <w:rFonts w:hAnsi="Times New Roman"/>
          <w:color w:val="000000" w:themeColor="text1"/>
          <w:szCs w:val="22"/>
        </w:rPr>
        <w:t>要求以联合体形式参加或者合同分包的，明确联合协议或者分包意向协议中中小企业合同金额应当达到的比例，并作为供应商资格条件；</w:t>
      </w:r>
    </w:p>
    <w:p>
      <w:pPr>
        <w:pStyle w:val="58"/>
        <w:ind w:firstLine="480"/>
        <w:rPr>
          <w:color w:val="000000" w:themeColor="text1"/>
          <w:szCs w:val="22"/>
        </w:rPr>
      </w:pPr>
      <w:r>
        <w:rPr>
          <w:rFonts w:hAnsi="Times New Roman"/>
          <w:color w:val="000000" w:themeColor="text1"/>
          <w:szCs w:val="22"/>
        </w:rPr>
        <w:t>非预留份额的采购项目或者采购包，明确有关价格扣除比例或者价格分加分比例；</w:t>
      </w:r>
      <w:r>
        <w:rPr>
          <w:rFonts w:hint="eastAsia"/>
          <w:color w:val="000000" w:themeColor="text1"/>
          <w:szCs w:val="22"/>
        </w:rPr>
        <w:t xml:space="preserve"> </w:t>
      </w:r>
    </w:p>
    <w:p>
      <w:pPr>
        <w:pStyle w:val="58"/>
        <w:ind w:firstLine="480"/>
        <w:rPr>
          <w:color w:val="000000" w:themeColor="text1"/>
          <w:szCs w:val="22"/>
        </w:rPr>
      </w:pPr>
      <w:r>
        <w:rPr>
          <w:rFonts w:hAnsi="Times New Roman"/>
          <w:color w:val="000000" w:themeColor="text1"/>
          <w:szCs w:val="22"/>
        </w:rPr>
        <w:t>规定依据本办法规定享受扶持政策获得政府采购合同的，小微企业不得将合同分包给大中型企业，中型企业不得将合同分包给大型企业；</w:t>
      </w:r>
    </w:p>
    <w:p>
      <w:pPr>
        <w:pStyle w:val="58"/>
        <w:ind w:firstLine="480"/>
        <w:rPr>
          <w:color w:val="000000" w:themeColor="text1"/>
          <w:szCs w:val="22"/>
        </w:rPr>
      </w:pPr>
      <w:r>
        <w:rPr>
          <w:rFonts w:hAnsi="Times New Roman"/>
          <w:color w:val="000000" w:themeColor="text1"/>
          <w:szCs w:val="22"/>
        </w:rPr>
        <w:t>采购人认为具备相关条件的，明确对中小企业在资金支付期限、预付款比例等方面的优惠措施；</w:t>
      </w:r>
    </w:p>
    <w:p>
      <w:pPr>
        <w:pStyle w:val="58"/>
        <w:ind w:firstLine="480"/>
        <w:rPr>
          <w:color w:val="000000" w:themeColor="text1"/>
          <w:szCs w:val="22"/>
        </w:rPr>
      </w:pPr>
      <w:r>
        <w:rPr>
          <w:rFonts w:hAnsi="Times New Roman"/>
          <w:color w:val="000000" w:themeColor="text1"/>
          <w:szCs w:val="22"/>
        </w:rPr>
        <w:t>明确采购标的对应的中小企业划分标准所属行业；</w:t>
      </w:r>
    </w:p>
    <w:p>
      <w:pPr>
        <w:pStyle w:val="58"/>
        <w:ind w:firstLine="480"/>
        <w:rPr>
          <w:color w:val="000000" w:themeColor="text1"/>
          <w:szCs w:val="22"/>
        </w:rPr>
      </w:pPr>
      <w:r>
        <w:rPr>
          <w:rFonts w:hAnsi="Times New Roman"/>
          <w:color w:val="000000" w:themeColor="text1"/>
          <w:szCs w:val="22"/>
        </w:rPr>
        <w:t>法律法规和省级以上人民政府财政部门规定的其他事项。</w:t>
      </w:r>
    </w:p>
    <w:p>
      <w:pPr>
        <w:pStyle w:val="58"/>
        <w:ind w:firstLine="480"/>
        <w:rPr>
          <w:color w:val="000000" w:themeColor="text1"/>
        </w:rPr>
      </w:pPr>
      <w:r>
        <w:rPr>
          <w:rFonts w:hint="eastAsia"/>
          <w:color w:val="000000" w:themeColor="text1"/>
        </w:rPr>
        <w:t>4.投标供应商享受小微企业价格折扣应提供以下证明材料（放在报价文件中，不提供的不享受价格折扣）：</w:t>
      </w:r>
    </w:p>
    <w:p>
      <w:pPr>
        <w:pStyle w:val="58"/>
        <w:ind w:firstLine="480"/>
        <w:rPr>
          <w:color w:val="000000" w:themeColor="text1"/>
        </w:rPr>
      </w:pPr>
      <w:r>
        <w:rPr>
          <w:rFonts w:hint="eastAsia"/>
          <w:color w:val="000000" w:themeColor="text1"/>
        </w:rPr>
        <w:t>（1</w:t>
      </w:r>
      <w:r>
        <w:rPr>
          <w:color w:val="000000" w:themeColor="text1"/>
        </w:rPr>
        <w:t>）《中小企业声明函》（加盖投标供应商公章，格式见附件）</w:t>
      </w:r>
    </w:p>
    <w:p>
      <w:pPr>
        <w:pStyle w:val="58"/>
        <w:ind w:firstLine="480"/>
        <w:rPr>
          <w:color w:val="000000" w:themeColor="text1"/>
        </w:rPr>
      </w:pPr>
      <w:r>
        <w:rPr>
          <w:rFonts w:hint="eastAsia"/>
          <w:color w:val="000000" w:themeColor="text1"/>
        </w:rPr>
        <w:t>5.</w:t>
      </w:r>
      <w:r>
        <w:rPr>
          <w:color w:val="000000" w:themeColor="text1"/>
        </w:rPr>
        <w:t>享受监狱企业价格折扣应提供以下证明材料（</w:t>
      </w:r>
      <w:r>
        <w:rPr>
          <w:rFonts w:hint="eastAsia"/>
          <w:color w:val="000000" w:themeColor="text1"/>
        </w:rPr>
        <w:t>放在报价文件中，</w:t>
      </w:r>
      <w:r>
        <w:rPr>
          <w:color w:val="000000" w:themeColor="text1"/>
        </w:rPr>
        <w:t>不提供的不享受价格折扣）：</w:t>
      </w:r>
    </w:p>
    <w:p>
      <w:pPr>
        <w:pStyle w:val="58"/>
        <w:ind w:firstLine="480"/>
        <w:rPr>
          <w:color w:val="000000" w:themeColor="text1"/>
        </w:rPr>
      </w:pPr>
      <w:r>
        <w:rPr>
          <w:rFonts w:hint="eastAsia"/>
          <w:color w:val="000000" w:themeColor="text1"/>
        </w:rPr>
        <w:t>（</w:t>
      </w:r>
      <w:r>
        <w:rPr>
          <w:color w:val="000000" w:themeColor="text1"/>
        </w:rPr>
        <w:t>1）监狱企业参加政府采购活动时，应当提供由省级及以上监狱管理局、戒毒管理局(含新疆生产建设兵团)出具的属于监狱企业的证明文件（</w:t>
      </w:r>
      <w:r>
        <w:rPr>
          <w:rFonts w:hint="eastAsia"/>
          <w:color w:val="000000" w:themeColor="text1"/>
        </w:rPr>
        <w:t>扫描件</w:t>
      </w:r>
      <w:r>
        <w:rPr>
          <w:color w:val="000000" w:themeColor="text1"/>
        </w:rPr>
        <w:t>加盖投标供应商公章）。在政府采购活动中，监狱企业视同小型、微型企业，享受评审中价格扣除政策。</w:t>
      </w:r>
    </w:p>
    <w:p>
      <w:pPr>
        <w:pStyle w:val="58"/>
        <w:ind w:firstLine="480"/>
        <w:rPr>
          <w:color w:val="000000" w:themeColor="text1"/>
        </w:rPr>
      </w:pPr>
      <w:r>
        <w:rPr>
          <w:rFonts w:hint="eastAsia"/>
          <w:color w:val="000000" w:themeColor="text1"/>
        </w:rPr>
        <w:t>6.</w:t>
      </w:r>
      <w:r>
        <w:rPr>
          <w:color w:val="000000" w:themeColor="text1"/>
        </w:rPr>
        <w:t>享受残疾人福利性单位价格折扣应提供以下证明材料（</w:t>
      </w:r>
      <w:r>
        <w:rPr>
          <w:rFonts w:hint="eastAsia"/>
          <w:color w:val="000000" w:themeColor="text1"/>
        </w:rPr>
        <w:t>放在报价文件中</w:t>
      </w:r>
      <w:r>
        <w:rPr>
          <w:color w:val="000000" w:themeColor="text1"/>
        </w:rPr>
        <w:t>，不提供的不享受价格折扣）：</w:t>
      </w:r>
    </w:p>
    <w:p>
      <w:pPr>
        <w:pStyle w:val="58"/>
        <w:ind w:firstLine="480"/>
        <w:rPr>
          <w:color w:val="000000" w:themeColor="text1"/>
        </w:rPr>
      </w:pPr>
      <w:r>
        <w:rPr>
          <w:rFonts w:hint="eastAsia"/>
          <w:color w:val="000000" w:themeColor="text1"/>
        </w:rPr>
        <w:t>（</w:t>
      </w:r>
      <w:r>
        <w:rPr>
          <w:color w:val="000000" w:themeColor="text1"/>
        </w:rPr>
        <w:t>1）残疾人福利性单位声明函（加盖投标供应商公章，格式见附件）</w:t>
      </w:r>
      <w:r>
        <w:rPr>
          <w:rFonts w:hint="eastAsia"/>
          <w:color w:val="000000" w:themeColor="text1"/>
        </w:rPr>
        <w:t>。在政府采购活动中，残疾人福利性单位视同小型、微型企业，享受评审中价格扣除政策。</w:t>
      </w:r>
    </w:p>
    <w:p>
      <w:pPr>
        <w:pStyle w:val="58"/>
        <w:ind w:firstLine="480"/>
        <w:rPr>
          <w:color w:val="000000" w:themeColor="text1"/>
        </w:rPr>
      </w:pPr>
      <w:r>
        <w:rPr>
          <w:rFonts w:hint="eastAsia"/>
          <w:color w:val="000000" w:themeColor="text1"/>
        </w:rPr>
        <w:t>二、 支持绿色发展</w:t>
      </w:r>
    </w:p>
    <w:p>
      <w:pPr>
        <w:pStyle w:val="58"/>
        <w:ind w:firstLine="480"/>
        <w:rPr>
          <w:color w:val="000000" w:themeColor="text1"/>
        </w:rPr>
      </w:pPr>
      <w:r>
        <w:rPr>
          <w:rFonts w:hint="eastAsia"/>
          <w:color w:val="000000" w:themeColor="text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58"/>
        <w:ind w:firstLine="480"/>
        <w:rPr>
          <w:color w:val="000000" w:themeColor="text1"/>
        </w:rPr>
      </w:pPr>
      <w:r>
        <w:rPr>
          <w:rFonts w:hint="eastAsia"/>
          <w:color w:val="000000" w:themeColor="text1"/>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58"/>
        <w:ind w:firstLine="480"/>
        <w:rPr>
          <w:rFonts w:cs="宋体"/>
          <w:color w:val="000000" w:themeColor="text1"/>
        </w:rPr>
      </w:pPr>
      <w:r>
        <w:rPr>
          <w:rFonts w:hint="eastAsia" w:cs="宋体"/>
          <w:color w:val="000000" w:themeColor="text1"/>
        </w:rPr>
        <w:t>三、支持创新发展</w:t>
      </w:r>
    </w:p>
    <w:p>
      <w:pPr>
        <w:pStyle w:val="58"/>
        <w:ind w:firstLine="480"/>
        <w:rPr>
          <w:rFonts w:cs="宋体"/>
          <w:color w:val="000000" w:themeColor="text1"/>
        </w:rPr>
      </w:pPr>
      <w:r>
        <w:rPr>
          <w:rFonts w:hint="eastAsia" w:cs="宋体"/>
          <w:color w:val="000000" w:themeColor="text1"/>
        </w:rPr>
        <w:t>1.采购人优先采购被认定为首台套产品和“制造精品”的自主创新产品。</w:t>
      </w:r>
    </w:p>
    <w:p>
      <w:pPr>
        <w:pStyle w:val="58"/>
        <w:ind w:firstLine="480"/>
        <w:rPr>
          <w:rFonts w:cs="宋体"/>
          <w:color w:val="000000" w:themeColor="text1"/>
        </w:rPr>
        <w:sectPr>
          <w:pgSz w:w="11906" w:h="16838"/>
          <w:pgMar w:top="1440" w:right="1800" w:bottom="1440" w:left="1800" w:header="851" w:footer="992" w:gutter="0"/>
          <w:pgNumType w:fmt="decimal"/>
          <w:cols w:space="425" w:num="1"/>
          <w:docGrid w:type="lines" w:linePitch="312" w:charSpace="0"/>
        </w:sectPr>
      </w:pPr>
      <w:r>
        <w:rPr>
          <w:rFonts w:hint="eastAsia" w:cs="宋体"/>
          <w:color w:val="000000" w:themeColor="text1"/>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16"/>
        <w:spacing w:before="156" w:after="156" w:line="360" w:lineRule="auto"/>
        <w:jc w:val="center"/>
        <w:outlineLvl w:val="0"/>
        <w:rPr>
          <w:color w:val="000000" w:themeColor="text1"/>
          <w:sz w:val="32"/>
          <w:szCs w:val="32"/>
        </w:rPr>
      </w:pPr>
      <w:r>
        <w:rPr>
          <w:rFonts w:hint="eastAsia" w:hAnsi="宋体"/>
          <w:b/>
          <w:color w:val="000000" w:themeColor="text1"/>
          <w:sz w:val="36"/>
          <w:szCs w:val="36"/>
        </w:rPr>
        <w:t>第五章 评标定标办法</w:t>
      </w:r>
    </w:p>
    <w:p>
      <w:pPr>
        <w:pStyle w:val="58"/>
        <w:ind w:firstLine="480"/>
        <w:rPr>
          <w:color w:val="000000" w:themeColor="text1"/>
        </w:rPr>
      </w:pPr>
      <w:r>
        <w:rPr>
          <w:rFonts w:hint="eastAsia"/>
          <w:color w:val="000000" w:themeColor="text1"/>
        </w:rPr>
        <w:t>根据《中华人民共和国政府采购法》等有关政府采购法规，结合本次采购实际，按照公平、公正、科学、择优的原则选择中标单位，特制定本评审办法。</w:t>
      </w:r>
    </w:p>
    <w:p>
      <w:pPr>
        <w:pStyle w:val="58"/>
        <w:ind w:firstLine="482"/>
        <w:rPr>
          <w:b/>
          <w:bCs/>
          <w:color w:val="000000" w:themeColor="text1"/>
        </w:rPr>
      </w:pPr>
      <w:r>
        <w:rPr>
          <w:rFonts w:hint="eastAsia"/>
          <w:b/>
          <w:bCs/>
          <w:color w:val="000000" w:themeColor="text1"/>
        </w:rPr>
        <w:t>一、总则</w:t>
      </w:r>
    </w:p>
    <w:p>
      <w:pPr>
        <w:pStyle w:val="58"/>
        <w:ind w:firstLine="480"/>
        <w:rPr>
          <w:b/>
          <w:color w:val="000000" w:themeColor="text1"/>
          <w:szCs w:val="22"/>
        </w:rPr>
      </w:pPr>
      <w:r>
        <w:rPr>
          <w:rFonts w:hint="eastAsia"/>
          <w:color w:val="000000" w:themeColor="text1"/>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评标委员会必须严格遵守保密规定，不得泄漏评审的有关情况，不得索贿受贿，不得参加影响公正评审的有关活动。对落标单位，评标委员会不作任何落标解释。投标供应商不得以任何方式干扰招投标工作的进行，一经发现其投标文件将被拒绝。</w:t>
      </w:r>
    </w:p>
    <w:p>
      <w:pPr>
        <w:pStyle w:val="58"/>
        <w:ind w:firstLine="482"/>
        <w:rPr>
          <w:bCs/>
          <w:color w:val="000000" w:themeColor="text1"/>
          <w:szCs w:val="22"/>
        </w:rPr>
      </w:pPr>
      <w:r>
        <w:rPr>
          <w:rFonts w:hint="eastAsia"/>
          <w:b/>
          <w:bCs/>
          <w:color w:val="000000" w:themeColor="text1"/>
          <w:szCs w:val="22"/>
        </w:rPr>
        <w:t>二、评审纪律和要求</w:t>
      </w:r>
    </w:p>
    <w:p>
      <w:pPr>
        <w:pStyle w:val="58"/>
        <w:ind w:firstLine="480"/>
        <w:rPr>
          <w:b/>
          <w:color w:val="000000" w:themeColor="text1"/>
          <w:szCs w:val="22"/>
        </w:rPr>
      </w:pPr>
      <w:r>
        <w:rPr>
          <w:rFonts w:hint="eastAsia"/>
          <w:color w:val="000000" w:themeColor="text1"/>
          <w:szCs w:val="22"/>
        </w:rPr>
        <w:t>1.评审专家必须公平、公正评审，遵纪守法，客观、廉洁地履行职责。</w:t>
      </w:r>
    </w:p>
    <w:p>
      <w:pPr>
        <w:pStyle w:val="58"/>
        <w:ind w:firstLine="480"/>
        <w:rPr>
          <w:b/>
          <w:color w:val="000000" w:themeColor="text1"/>
          <w:szCs w:val="22"/>
        </w:rPr>
      </w:pPr>
      <w:r>
        <w:rPr>
          <w:rFonts w:hint="eastAsia"/>
          <w:color w:val="000000" w:themeColor="text1"/>
          <w:szCs w:val="22"/>
        </w:rPr>
        <w:t>2.评审专家在评审开始前，应关闭并上交随身携带的各种通信工具。</w:t>
      </w:r>
    </w:p>
    <w:p>
      <w:pPr>
        <w:pStyle w:val="58"/>
        <w:ind w:firstLine="480"/>
        <w:rPr>
          <w:b/>
          <w:color w:val="000000" w:themeColor="text1"/>
          <w:szCs w:val="22"/>
        </w:rPr>
      </w:pPr>
      <w:r>
        <w:rPr>
          <w:rFonts w:hint="eastAsia"/>
          <w:color w:val="000000" w:themeColor="text1"/>
          <w:szCs w:val="22"/>
        </w:rPr>
        <w:t>3.评审专家在评审过程中，未经许可不得中途离开评审现场，不得迟到早退。</w:t>
      </w:r>
    </w:p>
    <w:p>
      <w:pPr>
        <w:pStyle w:val="58"/>
        <w:ind w:firstLine="480"/>
        <w:rPr>
          <w:b/>
          <w:color w:val="000000" w:themeColor="text1"/>
          <w:szCs w:val="22"/>
        </w:rPr>
      </w:pPr>
      <w:r>
        <w:rPr>
          <w:rFonts w:hint="eastAsia"/>
          <w:color w:val="000000" w:themeColor="text1"/>
          <w:szCs w:val="22"/>
        </w:rPr>
        <w:t>4.评审专家和工作人员不得透露评审过程中的讨论情况和评审结果。</w:t>
      </w:r>
    </w:p>
    <w:p>
      <w:pPr>
        <w:pStyle w:val="58"/>
        <w:ind w:firstLine="480"/>
        <w:rPr>
          <w:b/>
          <w:color w:val="000000" w:themeColor="text1"/>
          <w:szCs w:val="22"/>
        </w:rPr>
      </w:pPr>
      <w:r>
        <w:rPr>
          <w:rFonts w:hint="eastAsia"/>
          <w:color w:val="000000" w:themeColor="text1"/>
          <w:szCs w:val="22"/>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58"/>
        <w:ind w:firstLine="480"/>
        <w:rPr>
          <w:b/>
          <w:color w:val="000000" w:themeColor="text1"/>
          <w:szCs w:val="22"/>
        </w:rPr>
      </w:pPr>
      <w:r>
        <w:rPr>
          <w:rFonts w:hint="eastAsia"/>
          <w:color w:val="000000" w:themeColor="text1"/>
          <w:szCs w:val="22"/>
        </w:rPr>
        <w:t>6.采购人、采购代理机构不得向评审委员会的评审专家作倾向性、误导性的解释或者说明。</w:t>
      </w:r>
    </w:p>
    <w:p>
      <w:pPr>
        <w:pStyle w:val="58"/>
        <w:ind w:firstLine="480"/>
        <w:rPr>
          <w:b/>
          <w:color w:val="000000" w:themeColor="text1"/>
          <w:szCs w:val="22"/>
        </w:rPr>
      </w:pPr>
      <w:r>
        <w:rPr>
          <w:rFonts w:hint="eastAsia"/>
          <w:color w:val="000000" w:themeColor="text1"/>
          <w:szCs w:val="22"/>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58"/>
        <w:ind w:firstLine="480"/>
        <w:rPr>
          <w:b/>
          <w:color w:val="000000" w:themeColor="text1"/>
          <w:szCs w:val="22"/>
        </w:rPr>
      </w:pPr>
      <w:r>
        <w:rPr>
          <w:rFonts w:hint="eastAsia"/>
          <w:color w:val="000000" w:themeColor="text1"/>
          <w:szCs w:val="22"/>
        </w:rPr>
        <w:t>8.评审专家在评审过程中不得将自己的观点强加给其他评审专家，评审专家应自主发表见解，对评审意见承担个人责任。</w:t>
      </w:r>
    </w:p>
    <w:p>
      <w:pPr>
        <w:pStyle w:val="58"/>
        <w:ind w:firstLine="480"/>
        <w:rPr>
          <w:b/>
          <w:color w:val="000000" w:themeColor="text1"/>
          <w:szCs w:val="22"/>
        </w:rPr>
      </w:pPr>
      <w:r>
        <w:rPr>
          <w:rFonts w:hint="eastAsia"/>
          <w:color w:val="000000" w:themeColor="text1"/>
          <w:szCs w:val="22"/>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58"/>
        <w:ind w:firstLine="480"/>
        <w:rPr>
          <w:b/>
          <w:color w:val="000000" w:themeColor="text1"/>
          <w:szCs w:val="22"/>
        </w:rPr>
      </w:pPr>
      <w:r>
        <w:rPr>
          <w:rFonts w:hint="eastAsia"/>
          <w:color w:val="000000" w:themeColor="text1"/>
          <w:szCs w:val="22"/>
        </w:rPr>
        <w:t>10.评审专家应当独立、客观、公正地提出评审意见，不得带有倾向性，不得影响其他评审专家评审，并在评审报告上签字；如对评审报告有异议的，可在报告上签署不同意见，并说明理由，否则将视为同意。</w:t>
      </w:r>
    </w:p>
    <w:p>
      <w:pPr>
        <w:pStyle w:val="58"/>
        <w:ind w:firstLine="480"/>
        <w:rPr>
          <w:b/>
          <w:color w:val="000000" w:themeColor="text1"/>
          <w:szCs w:val="22"/>
        </w:rPr>
      </w:pPr>
      <w:r>
        <w:rPr>
          <w:rFonts w:hint="eastAsia"/>
          <w:color w:val="000000" w:themeColor="text1"/>
          <w:szCs w:val="22"/>
        </w:rPr>
        <w:t>11.评审专家应当遵守评审工作纪律，不得泄露评审文件、评审情况和评审中获悉的商业秘密。</w:t>
      </w:r>
    </w:p>
    <w:p>
      <w:pPr>
        <w:pStyle w:val="58"/>
        <w:ind w:firstLine="480"/>
        <w:rPr>
          <w:b/>
          <w:color w:val="000000" w:themeColor="text1"/>
          <w:szCs w:val="22"/>
        </w:rPr>
      </w:pPr>
      <w:r>
        <w:rPr>
          <w:rFonts w:hint="eastAsia"/>
          <w:color w:val="000000" w:themeColor="text1"/>
          <w:szCs w:val="22"/>
        </w:rPr>
        <w:t>评审委员会在评审过程中发现投标人有行贿、提供虚假材料或者串通等违法行为的，应当及时向财政部门报告。</w:t>
      </w:r>
    </w:p>
    <w:p>
      <w:pPr>
        <w:pStyle w:val="58"/>
        <w:ind w:firstLine="480"/>
        <w:rPr>
          <w:b/>
          <w:color w:val="000000" w:themeColor="text1"/>
          <w:szCs w:val="22"/>
        </w:rPr>
      </w:pPr>
      <w:r>
        <w:rPr>
          <w:rFonts w:hint="eastAsia"/>
          <w:color w:val="000000" w:themeColor="text1"/>
          <w:szCs w:val="22"/>
        </w:rPr>
        <w:t>12.招标文件内容违反国家有关强制性规定的，评审委员会应当停止评审并向采购代理机构说明情况。</w:t>
      </w:r>
    </w:p>
    <w:p>
      <w:pPr>
        <w:pStyle w:val="58"/>
        <w:ind w:firstLine="480"/>
        <w:rPr>
          <w:b/>
          <w:color w:val="000000" w:themeColor="text1"/>
          <w:szCs w:val="22"/>
        </w:rPr>
      </w:pPr>
      <w:r>
        <w:rPr>
          <w:rFonts w:hint="eastAsia"/>
          <w:color w:val="000000" w:themeColor="text1"/>
          <w:szCs w:val="22"/>
        </w:rPr>
        <w:t>13.评审专家应当配合采购代理机构答复投标人提出的质疑。</w:t>
      </w:r>
    </w:p>
    <w:p>
      <w:pPr>
        <w:pStyle w:val="58"/>
        <w:ind w:firstLine="480"/>
        <w:rPr>
          <w:b/>
          <w:color w:val="000000" w:themeColor="text1"/>
          <w:szCs w:val="22"/>
        </w:rPr>
      </w:pPr>
      <w:r>
        <w:rPr>
          <w:rFonts w:hint="eastAsia"/>
          <w:color w:val="000000" w:themeColor="text1"/>
          <w:szCs w:val="22"/>
        </w:rPr>
        <w:t>14.评审专家应当配合财政部门的投诉处理工作。</w:t>
      </w:r>
    </w:p>
    <w:p>
      <w:pPr>
        <w:pStyle w:val="58"/>
        <w:ind w:firstLine="480"/>
        <w:rPr>
          <w:b/>
          <w:color w:val="000000" w:themeColor="text1"/>
          <w:szCs w:val="22"/>
        </w:rPr>
      </w:pPr>
      <w:r>
        <w:rPr>
          <w:rFonts w:hint="eastAsia"/>
          <w:color w:val="000000" w:themeColor="text1"/>
          <w:szCs w:val="22"/>
        </w:rPr>
        <w:t>15.评审专家有如下行为之一的，责令改正，给予警告，可以并处一千元以下的罚款：</w:t>
      </w:r>
    </w:p>
    <w:p>
      <w:pPr>
        <w:pStyle w:val="58"/>
        <w:ind w:firstLine="480"/>
        <w:rPr>
          <w:b/>
          <w:color w:val="000000" w:themeColor="text1"/>
          <w:szCs w:val="22"/>
        </w:rPr>
      </w:pPr>
      <w:r>
        <w:rPr>
          <w:rFonts w:hint="eastAsia"/>
          <w:color w:val="000000" w:themeColor="text1"/>
          <w:szCs w:val="22"/>
        </w:rPr>
        <w:t>①明知应当回避而未主动回避的；</w:t>
      </w:r>
    </w:p>
    <w:p>
      <w:pPr>
        <w:pStyle w:val="58"/>
        <w:ind w:firstLine="480"/>
        <w:rPr>
          <w:b/>
          <w:color w:val="000000" w:themeColor="text1"/>
          <w:szCs w:val="22"/>
        </w:rPr>
      </w:pPr>
      <w:r>
        <w:rPr>
          <w:rFonts w:hint="eastAsia"/>
          <w:color w:val="000000" w:themeColor="text1"/>
          <w:szCs w:val="22"/>
        </w:rPr>
        <w:t>②在得知自己为评审专家身份后至评审结束前时段内私下接触投标人的；</w:t>
      </w:r>
    </w:p>
    <w:p>
      <w:pPr>
        <w:pStyle w:val="58"/>
        <w:ind w:firstLine="480"/>
        <w:rPr>
          <w:b/>
          <w:color w:val="000000" w:themeColor="text1"/>
          <w:szCs w:val="22"/>
        </w:rPr>
      </w:pPr>
      <w:r>
        <w:rPr>
          <w:rFonts w:hint="eastAsia"/>
          <w:color w:val="000000" w:themeColor="text1"/>
          <w:szCs w:val="22"/>
        </w:rPr>
        <w:t>③在评审过程中擅离职守，影响评审程序正常进行的；</w:t>
      </w:r>
    </w:p>
    <w:p>
      <w:pPr>
        <w:pStyle w:val="58"/>
        <w:ind w:firstLine="480"/>
        <w:rPr>
          <w:b/>
          <w:color w:val="000000" w:themeColor="text1"/>
          <w:szCs w:val="22"/>
        </w:rPr>
      </w:pPr>
      <w:r>
        <w:rPr>
          <w:rFonts w:hint="eastAsia"/>
          <w:color w:val="000000" w:themeColor="text1"/>
          <w:szCs w:val="22"/>
        </w:rPr>
        <w:t>④在评审过程有明显不合理或者不正当倾向性的；</w:t>
      </w:r>
    </w:p>
    <w:p>
      <w:pPr>
        <w:pStyle w:val="58"/>
        <w:ind w:firstLine="480"/>
        <w:rPr>
          <w:b/>
          <w:color w:val="000000" w:themeColor="text1"/>
          <w:szCs w:val="22"/>
        </w:rPr>
      </w:pPr>
      <w:r>
        <w:rPr>
          <w:rFonts w:hint="eastAsia"/>
          <w:color w:val="000000" w:themeColor="text1"/>
          <w:szCs w:val="22"/>
        </w:rPr>
        <w:t>⑤未按招标文件规定的评审方法和标准进行评审的。</w:t>
      </w:r>
    </w:p>
    <w:p>
      <w:pPr>
        <w:pStyle w:val="58"/>
        <w:ind w:firstLine="480"/>
        <w:rPr>
          <w:b/>
          <w:color w:val="000000" w:themeColor="text1"/>
          <w:szCs w:val="22"/>
        </w:rPr>
      </w:pPr>
      <w:r>
        <w:rPr>
          <w:rFonts w:hint="eastAsia"/>
          <w:color w:val="000000" w:themeColor="text1"/>
          <w:szCs w:val="22"/>
        </w:rPr>
        <w:t>⑥上述①至⑤行为影响中标结果的，中标结果无效。</w:t>
      </w:r>
    </w:p>
    <w:p>
      <w:pPr>
        <w:pStyle w:val="58"/>
        <w:ind w:firstLine="480"/>
        <w:rPr>
          <w:b/>
          <w:color w:val="000000" w:themeColor="text1"/>
          <w:szCs w:val="22"/>
        </w:rPr>
      </w:pPr>
      <w:r>
        <w:rPr>
          <w:rFonts w:hint="eastAsia"/>
          <w:color w:val="000000" w:themeColor="text1"/>
          <w:szCs w:val="22"/>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58"/>
        <w:ind w:firstLine="480"/>
        <w:rPr>
          <w:b/>
          <w:color w:val="000000" w:themeColor="text1"/>
          <w:szCs w:val="22"/>
        </w:rPr>
      </w:pPr>
      <w:r>
        <w:rPr>
          <w:rFonts w:hint="eastAsia"/>
          <w:color w:val="000000" w:themeColor="text1"/>
          <w:szCs w:val="22"/>
        </w:rPr>
        <w:t>政府采购评审专家与投标人存在利害关系未回避的，处2万元以上5万元以下的罚款，禁止其参加政府采购评审活动。</w:t>
      </w:r>
    </w:p>
    <w:p>
      <w:pPr>
        <w:pStyle w:val="58"/>
        <w:ind w:firstLine="480"/>
        <w:rPr>
          <w:b/>
          <w:color w:val="000000" w:themeColor="text1"/>
          <w:szCs w:val="22"/>
        </w:rPr>
      </w:pPr>
      <w:r>
        <w:rPr>
          <w:rFonts w:hint="eastAsia"/>
          <w:color w:val="000000" w:themeColor="text1"/>
          <w:szCs w:val="22"/>
        </w:rPr>
        <w:t>政府采购评审专家收受采购人、采购代理机构、投标人贿赂或者获取其他不正当利益，构成犯罪的，依法追究刑事责任；尚不构成犯罪的，处2万元以上5万元以下的罚款，禁止其参加政府采购评审活动。</w:t>
      </w:r>
    </w:p>
    <w:p>
      <w:pPr>
        <w:pStyle w:val="58"/>
        <w:ind w:firstLine="480"/>
        <w:rPr>
          <w:b/>
          <w:color w:val="000000" w:themeColor="text1"/>
          <w:szCs w:val="22"/>
        </w:rPr>
      </w:pPr>
      <w:r>
        <w:rPr>
          <w:rFonts w:hint="eastAsia"/>
          <w:color w:val="000000" w:themeColor="text1"/>
          <w:szCs w:val="22"/>
        </w:rPr>
        <w:t>政府采购评审专家有上述违法行为的，其评审意见无效，不得获取评审费；有违法所得的，没收违法所得；给他人造成损失的，依法承担民事责任。</w:t>
      </w:r>
    </w:p>
    <w:p>
      <w:pPr>
        <w:pStyle w:val="58"/>
        <w:ind w:firstLine="482"/>
        <w:rPr>
          <w:bCs/>
          <w:color w:val="000000" w:themeColor="text1"/>
          <w:szCs w:val="22"/>
        </w:rPr>
      </w:pPr>
      <w:r>
        <w:rPr>
          <w:rFonts w:hint="eastAsia"/>
          <w:b/>
          <w:bCs/>
          <w:color w:val="000000" w:themeColor="text1"/>
          <w:szCs w:val="22"/>
        </w:rPr>
        <w:t>三、评标程序及评审办法</w:t>
      </w:r>
    </w:p>
    <w:p>
      <w:pPr>
        <w:pStyle w:val="58"/>
        <w:ind w:firstLine="480"/>
        <w:rPr>
          <w:color w:val="000000" w:themeColor="text1"/>
        </w:rPr>
      </w:pPr>
      <w:r>
        <w:rPr>
          <w:rFonts w:hint="eastAsia"/>
          <w:color w:val="000000" w:themeColor="text1"/>
        </w:rPr>
        <w:t>本次开标程序如下：</w:t>
      </w:r>
    </w:p>
    <w:p>
      <w:pPr>
        <w:pStyle w:val="58"/>
        <w:ind w:firstLine="480"/>
        <w:rPr>
          <w:color w:val="000000" w:themeColor="text1"/>
        </w:rPr>
      </w:pPr>
      <w:r>
        <w:rPr>
          <w:rFonts w:hint="eastAsia"/>
          <w:color w:val="000000" w:themeColor="text1"/>
        </w:rPr>
        <w:t>1、向各投标供应商发出电子加密投标文件【开始解密】通知，由供应商按招标文件规定的时间内自行进行投标文件解密。</w:t>
      </w:r>
      <w:r>
        <w:rPr>
          <w:rFonts w:hint="eastAsia"/>
          <w:b/>
          <w:color w:val="000000" w:themeColor="text1"/>
        </w:rPr>
        <w:t>投标供应商在规定的时间内无法完成已递交的“电子加密投标文件”解密的，</w:t>
      </w:r>
      <w:r>
        <w:rPr>
          <w:b/>
          <w:color w:val="000000" w:themeColor="text1"/>
        </w:rPr>
        <w:t>其投标文件按拒收处理。</w:t>
      </w:r>
    </w:p>
    <w:p>
      <w:pPr>
        <w:pStyle w:val="58"/>
        <w:ind w:firstLine="480"/>
        <w:rPr>
          <w:color w:val="000000" w:themeColor="text1"/>
        </w:rPr>
      </w:pPr>
      <w:r>
        <w:rPr>
          <w:color w:val="000000" w:themeColor="text1"/>
        </w:rPr>
        <w:t>2</w:t>
      </w:r>
      <w:r>
        <w:rPr>
          <w:rFonts w:hint="eastAsia"/>
          <w:color w:val="000000" w:themeColor="text1"/>
        </w:rPr>
        <w:t>、</w:t>
      </w:r>
      <w:r>
        <w:rPr>
          <w:color w:val="000000" w:themeColor="text1"/>
        </w:rPr>
        <w:t>投标文件解密结束，开启资格文件，进入资格审查环节，采购人或采购代理机构将依法对投标供应商的资格进行审查。</w:t>
      </w:r>
    </w:p>
    <w:p>
      <w:pPr>
        <w:pStyle w:val="58"/>
        <w:ind w:firstLine="480"/>
        <w:rPr>
          <w:color w:val="000000" w:themeColor="text1"/>
        </w:rPr>
      </w:pPr>
      <w:r>
        <w:rPr>
          <w:color w:val="000000" w:themeColor="text1"/>
        </w:rPr>
        <w:t>3</w:t>
      </w:r>
      <w:r>
        <w:rPr>
          <w:rFonts w:hint="eastAsia"/>
          <w:color w:val="000000" w:themeColor="text1"/>
        </w:rPr>
        <w:t>、</w:t>
      </w:r>
      <w:r>
        <w:rPr>
          <w:color w:val="000000" w:themeColor="text1"/>
        </w:rPr>
        <w:t>开启资格审查通过的投标供应商的商务技术文件进入符合性审查及商务技术评审</w:t>
      </w:r>
      <w:r>
        <w:rPr>
          <w:rFonts w:hint="eastAsia"/>
          <w:color w:val="000000" w:themeColor="text1"/>
        </w:rPr>
        <w:t>。</w:t>
      </w:r>
    </w:p>
    <w:p>
      <w:pPr>
        <w:pStyle w:val="58"/>
        <w:ind w:firstLine="480"/>
        <w:rPr>
          <w:color w:val="000000" w:themeColor="text1"/>
        </w:rPr>
      </w:pPr>
      <w:r>
        <w:rPr>
          <w:color w:val="000000" w:themeColor="text1"/>
        </w:rPr>
        <w:t>4</w:t>
      </w:r>
      <w:r>
        <w:rPr>
          <w:rFonts w:hint="eastAsia"/>
          <w:color w:val="000000" w:themeColor="text1"/>
        </w:rPr>
        <w:t>、</w:t>
      </w:r>
      <w:r>
        <w:rPr>
          <w:color w:val="000000" w:themeColor="text1"/>
        </w:rPr>
        <w:t>符合性审查、商务技术评审结束后，开启符合性审查、商务技术评审有效投标供应商的报价文件。由评标委员会对报价文件的符合性等进行审查核实</w:t>
      </w:r>
      <w:r>
        <w:rPr>
          <w:rFonts w:hint="eastAsia"/>
          <w:color w:val="000000" w:themeColor="text1"/>
        </w:rPr>
        <w:t>，对报价进行得分计算。</w:t>
      </w:r>
    </w:p>
    <w:p>
      <w:pPr>
        <w:pStyle w:val="58"/>
        <w:ind w:firstLine="480"/>
        <w:rPr>
          <w:color w:val="000000" w:themeColor="text1"/>
        </w:rPr>
      </w:pPr>
      <w:r>
        <w:rPr>
          <w:rFonts w:hint="eastAsia"/>
          <w:color w:val="000000" w:themeColor="text1"/>
        </w:rPr>
        <w:t>5、根据</w:t>
      </w:r>
      <w:r>
        <w:rPr>
          <w:color w:val="000000" w:themeColor="text1"/>
        </w:rPr>
        <w:t>各投标供应商</w:t>
      </w:r>
      <w:r>
        <w:rPr>
          <w:rFonts w:hint="eastAsia"/>
          <w:color w:val="000000" w:themeColor="text1"/>
        </w:rPr>
        <w:t>综合得分从高到低</w:t>
      </w:r>
      <w:r>
        <w:rPr>
          <w:color w:val="000000" w:themeColor="text1"/>
        </w:rPr>
        <w:t>进行排序，推荐中标候选供应商；综合得分最高的供应商推荐为中标供应商</w:t>
      </w:r>
      <w:r>
        <w:rPr>
          <w:rFonts w:hint="eastAsia"/>
          <w:color w:val="000000" w:themeColor="text1"/>
        </w:rPr>
        <w:t>。</w:t>
      </w:r>
    </w:p>
    <w:p>
      <w:pPr>
        <w:pStyle w:val="58"/>
        <w:ind w:firstLine="480"/>
        <w:rPr>
          <w:color w:val="000000" w:themeColor="text1"/>
        </w:rPr>
      </w:pPr>
      <w:r>
        <w:rPr>
          <w:rFonts w:hint="eastAsia"/>
          <w:color w:val="000000" w:themeColor="text1"/>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pStyle w:val="58"/>
        <w:ind w:firstLine="480"/>
        <w:rPr>
          <w:color w:val="000000" w:themeColor="text1"/>
        </w:rPr>
      </w:pPr>
      <w:r>
        <w:rPr>
          <w:rFonts w:hint="eastAsia"/>
          <w:color w:val="000000" w:themeColor="text1"/>
        </w:rPr>
        <w:t>7、</w:t>
      </w:r>
      <w:r>
        <w:rPr>
          <w:color w:val="000000" w:themeColor="text1"/>
        </w:rPr>
        <w:t>评审结束后，公布采购结果。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41" w:firstLineChars="200"/>
        <w:jc w:val="left"/>
        <w:textAlignment w:val="auto"/>
        <w:rPr>
          <w:rFonts w:hint="eastAsia" w:ascii="宋体" w:hAnsi="宋体"/>
          <w:color w:val="000000" w:themeColor="text1"/>
          <w:sz w:val="22"/>
        </w:rPr>
      </w:pPr>
      <w:r>
        <w:rPr>
          <w:rFonts w:hint="eastAsia" w:ascii="宋体" w:hAnsi="宋体"/>
          <w:b/>
          <w:bCs/>
          <w:color w:val="000000" w:themeColor="text1"/>
          <w:sz w:val="22"/>
        </w:rPr>
        <w:t>四、评标内容及标准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rPr>
        <w:t>本次评标采用综合评分法，总分为100分。合格投标人的评标得分为各项目汇总得分，评分过程中采用四舍五入法，并保留小数2位。</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rPr>
        <w:t>投标人评标综合得分=价格分+(技术分+商务资信及其他分)</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rPr>
        <w:t>价格分（30分）</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lang w:val="en-US" w:eastAsia="zh-CN"/>
        </w:rPr>
        <w:t>1.</w:t>
      </w:r>
      <w:r>
        <w:rPr>
          <w:rFonts w:hint="eastAsia" w:ascii="宋体" w:hAnsi="宋体"/>
          <w:color w:val="000000" w:themeColor="text1"/>
          <w:sz w:val="22"/>
        </w:rPr>
        <w:t>价格分采用低价优先法计算，即满足招标文件要求且投标价格最低的投标报价为评标基准价，其他投标人的价格分按照下列公式计算：投标报价得分=（评标基准价/投标报价）×30%×100</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left"/>
        <w:textAlignment w:val="auto"/>
        <w:rPr>
          <w:rFonts w:hint="eastAsia" w:ascii="宋体" w:hAnsi="宋体"/>
          <w:color w:val="000000" w:themeColor="text1"/>
          <w:sz w:val="22"/>
        </w:rPr>
      </w:pPr>
      <w:r>
        <w:rPr>
          <w:rFonts w:hint="eastAsia" w:ascii="宋体" w:hAnsi="宋体"/>
          <w:color w:val="000000" w:themeColor="text1"/>
          <w:sz w:val="22"/>
          <w:lang w:val="en-US" w:eastAsia="zh-CN"/>
        </w:rPr>
        <w:t>2.</w:t>
      </w:r>
      <w:r>
        <w:rPr>
          <w:rFonts w:hint="eastAsia" w:ascii="宋体" w:hAnsi="宋体"/>
          <w:color w:val="000000" w:themeColor="text1"/>
          <w:sz w:val="22"/>
        </w:rPr>
        <w:t>依照《浙江省财政厅关于进一步加大政府采购支持中小企业力度 助力扎实稳住经济的通知》（浙财采监〔2022〕8号）、《政府采购促进中小企业发展政策问答》</w:t>
      </w:r>
      <w:r>
        <w:rPr>
          <w:rFonts w:hint="eastAsia" w:ascii="宋体" w:hAnsi="宋体"/>
          <w:color w:val="000000" w:themeColor="text1"/>
          <w:sz w:val="22"/>
          <w:lang w:eastAsia="zh-CN"/>
        </w:rPr>
        <w:t>、</w:t>
      </w:r>
      <w:r>
        <w:rPr>
          <w:rFonts w:hint="eastAsia" w:ascii="宋体" w:hAnsi="宋体"/>
          <w:color w:val="000000" w:themeColor="text1"/>
          <w:sz w:val="22"/>
        </w:rPr>
        <w:t>《财政部 民政部 中国残疾人联合会关于促进残疾人就业政府采购政策的通知》（财库</w:t>
      </w:r>
      <w:r>
        <w:rPr>
          <w:rFonts w:hint="eastAsia" w:ascii="宋体" w:hAnsi="宋体"/>
          <w:color w:val="000000" w:themeColor="text1"/>
          <w:sz w:val="22"/>
          <w:lang w:eastAsia="zh-CN"/>
        </w:rPr>
        <w:t>〔</w:t>
      </w:r>
      <w:r>
        <w:rPr>
          <w:rFonts w:hint="eastAsia" w:ascii="宋体" w:hAnsi="宋体"/>
          <w:color w:val="000000" w:themeColor="text1"/>
          <w:sz w:val="22"/>
        </w:rPr>
        <w:t>2017</w:t>
      </w:r>
      <w:r>
        <w:rPr>
          <w:rFonts w:hint="eastAsia" w:ascii="宋体" w:hAnsi="宋体"/>
          <w:color w:val="000000" w:themeColor="text1"/>
          <w:sz w:val="22"/>
          <w:lang w:eastAsia="zh-CN"/>
        </w:rPr>
        <w:t>〕</w:t>
      </w:r>
      <w:r>
        <w:rPr>
          <w:rFonts w:hint="eastAsia" w:ascii="宋体" w:hAnsi="宋体"/>
          <w:color w:val="000000" w:themeColor="text1"/>
          <w:sz w:val="22"/>
        </w:rPr>
        <w:t>141号）、《财政部、司法部关于政府采购支持监狱企业发展有关问题的通知》（财库〔2014〕68号）的规定，对符合相关要求的有效投标人，按照以下比例给予相应的价格扣除，以确定该投标人的报价评审价格：</w:t>
      </w:r>
    </w:p>
    <w:tbl>
      <w:tblPr>
        <w:tblStyle w:val="31"/>
        <w:tblW w:w="0" w:type="auto"/>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序号</w:t>
            </w:r>
          </w:p>
        </w:tc>
        <w:tc>
          <w:tcPr>
            <w:tcW w:w="2997"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情形</w:t>
            </w:r>
          </w:p>
        </w:tc>
        <w:tc>
          <w:tcPr>
            <w:tcW w:w="2081"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价格扣除比例</w:t>
            </w:r>
          </w:p>
        </w:tc>
        <w:tc>
          <w:tcPr>
            <w:tcW w:w="3359"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jc w:val="center"/>
              <w:textAlignment w:val="auto"/>
              <w:rPr>
                <w:rFonts w:hint="eastAsia" w:ascii="楷体" w:hAnsi="楷体" w:eastAsia="楷体" w:cs="楷体"/>
                <w:smallCaps/>
                <w:color w:val="000000" w:themeColor="text1"/>
                <w:sz w:val="24"/>
                <w:szCs w:val="24"/>
                <w:lang w:eastAsia="zh-CN"/>
              </w:rPr>
            </w:pPr>
            <w:r>
              <w:rPr>
                <w:rFonts w:hint="eastAsia" w:ascii="楷体" w:hAnsi="楷体" w:eastAsia="楷体" w:cs="楷体"/>
                <w:smallCaps/>
                <w:color w:val="000000" w:themeColor="text1"/>
                <w:sz w:val="24"/>
                <w:szCs w:val="24"/>
              </w:rPr>
              <w:t>非联合体供应商</w:t>
            </w:r>
            <w:r>
              <w:rPr>
                <w:rFonts w:hint="eastAsia" w:ascii="楷体" w:hAnsi="楷体" w:eastAsia="楷体" w:cs="楷体"/>
                <w:smallCaps/>
                <w:color w:val="000000" w:themeColor="text1"/>
                <w:sz w:val="24"/>
                <w:szCs w:val="24"/>
                <w:lang w:eastAsia="zh-CN"/>
              </w:rPr>
              <w:t>（</w:t>
            </w:r>
            <w:r>
              <w:rPr>
                <w:rFonts w:hint="eastAsia" w:ascii="楷体" w:hAnsi="楷体" w:eastAsia="楷体" w:cs="楷体"/>
                <w:smallCaps/>
                <w:color w:val="000000" w:themeColor="text1"/>
                <w:sz w:val="24"/>
                <w:szCs w:val="24"/>
              </w:rPr>
              <w:t>服务与</w:t>
            </w:r>
            <w:r>
              <w:rPr>
                <w:rFonts w:hint="eastAsia" w:ascii="楷体" w:hAnsi="楷体" w:eastAsia="楷体" w:cs="楷体"/>
                <w:smallCaps/>
                <w:color w:val="000000" w:themeColor="text1"/>
                <w:sz w:val="24"/>
                <w:szCs w:val="24"/>
                <w:lang w:val="en-US" w:eastAsia="zh-CN"/>
              </w:rPr>
              <w:t>货物类</w:t>
            </w:r>
            <w:r>
              <w:rPr>
                <w:rFonts w:hint="eastAsia" w:ascii="楷体" w:hAnsi="楷体" w:eastAsia="楷体" w:cs="楷体"/>
                <w:smallCaps/>
                <w:color w:val="000000" w:themeColor="text1"/>
                <w:sz w:val="24"/>
                <w:szCs w:val="24"/>
                <w:lang w:eastAsia="zh-CN"/>
              </w:rPr>
              <w:t>）</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对小型和微型企业所提供服务与</w:t>
            </w:r>
            <w:r>
              <w:rPr>
                <w:rFonts w:hint="eastAsia" w:ascii="楷体" w:hAnsi="楷体" w:eastAsia="楷体" w:cs="楷体"/>
                <w:smallCaps/>
                <w:color w:val="000000" w:themeColor="text1"/>
                <w:sz w:val="24"/>
                <w:szCs w:val="24"/>
                <w:lang w:val="en-US" w:eastAsia="zh-CN"/>
              </w:rPr>
              <w:t>货物</w:t>
            </w:r>
            <w:r>
              <w:rPr>
                <w:rFonts w:hint="eastAsia" w:ascii="楷体" w:hAnsi="楷体" w:eastAsia="楷体" w:cs="楷体"/>
                <w:smallCaps/>
                <w:color w:val="000000" w:themeColor="text1"/>
                <w:sz w:val="24"/>
                <w:szCs w:val="24"/>
              </w:rPr>
              <w:t>的价格扣除</w:t>
            </w:r>
            <w:r>
              <w:rPr>
                <w:rFonts w:hint="eastAsia" w:ascii="楷体" w:hAnsi="楷体" w:eastAsia="楷体" w:cs="楷体"/>
                <w:smallCaps/>
                <w:color w:val="000000" w:themeColor="text1"/>
                <w:sz w:val="24"/>
                <w:szCs w:val="24"/>
                <w:lang w:val="en-US" w:eastAsia="zh-CN"/>
              </w:rPr>
              <w:t>20</w:t>
            </w:r>
            <w:r>
              <w:rPr>
                <w:rFonts w:hint="eastAsia" w:ascii="楷体" w:hAnsi="楷体" w:eastAsia="楷体" w:cs="楷体"/>
                <w:smallCaps/>
                <w:color w:val="000000" w:themeColor="text1"/>
                <w:sz w:val="24"/>
                <w:szCs w:val="24"/>
              </w:rPr>
              <w:t>%</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评审价格＝总投标报价×(1-</w:t>
            </w:r>
            <w:r>
              <w:rPr>
                <w:rFonts w:hint="eastAsia" w:ascii="楷体" w:hAnsi="楷体" w:eastAsia="楷体" w:cs="楷体"/>
                <w:smallCaps/>
                <w:color w:val="000000" w:themeColor="text1"/>
                <w:sz w:val="24"/>
                <w:szCs w:val="24"/>
                <w:lang w:val="en-US" w:eastAsia="zh-CN"/>
              </w:rPr>
              <w:t>20</w:t>
            </w:r>
            <w:r>
              <w:rPr>
                <w:rFonts w:hint="eastAsia" w:ascii="楷体" w:hAnsi="楷体" w:eastAsia="楷体" w:cs="楷体"/>
                <w:smallCaps/>
                <w:color w:val="000000" w:themeColor="text1"/>
                <w:sz w:val="24"/>
                <w:szCs w:val="24"/>
              </w:rPr>
              <w:t>%)</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leftChars="0"/>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非联合体供应商</w:t>
            </w:r>
            <w:r>
              <w:rPr>
                <w:rFonts w:hint="eastAsia" w:ascii="楷体" w:hAnsi="楷体" w:eastAsia="楷体" w:cs="楷体"/>
                <w:smallCaps/>
                <w:color w:val="000000" w:themeColor="text1"/>
                <w:sz w:val="24"/>
                <w:szCs w:val="24"/>
                <w:lang w:eastAsia="zh-CN"/>
              </w:rPr>
              <w:t>（</w:t>
            </w:r>
            <w:r>
              <w:rPr>
                <w:rFonts w:hint="eastAsia" w:ascii="楷体" w:hAnsi="楷体" w:eastAsia="楷体" w:cs="楷体"/>
                <w:smallCaps/>
                <w:color w:val="000000" w:themeColor="text1"/>
                <w:sz w:val="24"/>
                <w:szCs w:val="24"/>
              </w:rPr>
              <w:t>工程</w:t>
            </w:r>
            <w:r>
              <w:rPr>
                <w:rFonts w:hint="eastAsia" w:ascii="楷体" w:hAnsi="楷体" w:eastAsia="楷体" w:cs="楷体"/>
                <w:smallCaps/>
                <w:color w:val="000000" w:themeColor="text1"/>
                <w:sz w:val="24"/>
                <w:szCs w:val="24"/>
                <w:lang w:val="en-US" w:eastAsia="zh-CN"/>
              </w:rPr>
              <w:t>类</w:t>
            </w:r>
            <w:r>
              <w:rPr>
                <w:rFonts w:hint="eastAsia" w:ascii="楷体" w:hAnsi="楷体" w:eastAsia="楷体" w:cs="楷体"/>
                <w:smallCaps/>
                <w:color w:val="000000" w:themeColor="text1"/>
                <w:sz w:val="24"/>
                <w:szCs w:val="24"/>
                <w:lang w:eastAsia="zh-CN"/>
              </w:rPr>
              <w:t>）</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leftChars="0"/>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对小型和微型企业所提供工程的价格扣除</w:t>
            </w:r>
            <w:r>
              <w:rPr>
                <w:rFonts w:hint="eastAsia" w:ascii="楷体" w:hAnsi="楷体" w:eastAsia="楷体" w:cs="楷体"/>
                <w:smallCaps/>
                <w:color w:val="000000" w:themeColor="text1"/>
                <w:sz w:val="24"/>
                <w:szCs w:val="24"/>
                <w:lang w:val="en-US" w:eastAsia="zh-CN"/>
              </w:rPr>
              <w:t>5</w:t>
            </w:r>
            <w:r>
              <w:rPr>
                <w:rFonts w:hint="eastAsia" w:ascii="楷体" w:hAnsi="楷体" w:eastAsia="楷体" w:cs="楷体"/>
                <w:smallCaps/>
                <w:color w:val="000000" w:themeColor="text1"/>
                <w:sz w:val="24"/>
                <w:szCs w:val="24"/>
              </w:rPr>
              <w:t>%</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07" w:leftChars="0"/>
              <w:jc w:val="center"/>
              <w:textAlignment w:val="auto"/>
              <w:rPr>
                <w:rFonts w:hint="eastAsia" w:ascii="楷体" w:hAnsi="楷体" w:eastAsia="楷体" w:cs="楷体"/>
                <w:smallCaps/>
                <w:color w:val="000000" w:themeColor="text1"/>
                <w:sz w:val="24"/>
                <w:szCs w:val="24"/>
              </w:rPr>
            </w:pPr>
            <w:r>
              <w:rPr>
                <w:rFonts w:hint="eastAsia" w:ascii="楷体" w:hAnsi="楷体" w:eastAsia="楷体" w:cs="楷体"/>
                <w:smallCaps/>
                <w:color w:val="000000" w:themeColor="text1"/>
                <w:sz w:val="24"/>
                <w:szCs w:val="24"/>
              </w:rPr>
              <w:t>评审价格＝总投标报价×(1-</w:t>
            </w:r>
            <w:r>
              <w:rPr>
                <w:rFonts w:hint="eastAsia" w:ascii="楷体" w:hAnsi="楷体" w:eastAsia="楷体" w:cs="楷体"/>
                <w:smallCaps/>
                <w:color w:val="000000" w:themeColor="text1"/>
                <w:sz w:val="24"/>
                <w:szCs w:val="24"/>
                <w:lang w:val="en-US" w:eastAsia="zh-CN"/>
              </w:rPr>
              <w:t>5</w:t>
            </w:r>
            <w:r>
              <w:rPr>
                <w:rFonts w:hint="eastAsia" w:ascii="楷体" w:hAnsi="楷体" w:eastAsia="楷体" w:cs="楷体"/>
                <w:smallCaps/>
                <w:color w:val="000000" w:themeColor="text1"/>
                <w:sz w:val="24"/>
                <w:szCs w:val="24"/>
              </w:rPr>
              <w:t>%)</w:t>
            </w:r>
          </w:p>
        </w:tc>
      </w:tr>
    </w:tbl>
    <w:p>
      <w:pPr>
        <w:pStyle w:val="58"/>
        <w:ind w:firstLine="480"/>
        <w:rPr>
          <w:color w:val="000000" w:themeColor="text1"/>
        </w:rPr>
      </w:pPr>
      <w:r>
        <w:rPr>
          <w:rFonts w:hint="eastAsia"/>
          <w:color w:val="000000" w:themeColor="text1"/>
          <w:lang w:val="en-US" w:eastAsia="zh-CN"/>
        </w:rPr>
        <w:t>3</w:t>
      </w:r>
      <w:r>
        <w:rPr>
          <w:rFonts w:hint="eastAsia"/>
          <w:color w:val="000000" w:themeColor="text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58"/>
        <w:ind w:firstLine="480"/>
        <w:rPr>
          <w:color w:val="000000" w:themeColor="text1"/>
        </w:rPr>
      </w:pPr>
      <w:r>
        <w:rPr>
          <w:rFonts w:hint="eastAsia"/>
          <w:color w:val="000000" w:themeColor="text1"/>
        </w:rPr>
        <w:t>技术</w:t>
      </w:r>
      <w:r>
        <w:rPr>
          <w:color w:val="000000" w:themeColor="text1"/>
        </w:rPr>
        <w:t>、资信及商务分（</w:t>
      </w:r>
      <w:r>
        <w:rPr>
          <w:rFonts w:hint="eastAsia"/>
          <w:color w:val="000000" w:themeColor="text1"/>
        </w:rPr>
        <w:t>70分</w:t>
      </w:r>
      <w:r>
        <w:rPr>
          <w:color w:val="000000" w:themeColor="text1"/>
        </w:rPr>
        <w:t>）</w:t>
      </w:r>
    </w:p>
    <w:tbl>
      <w:tblPr>
        <w:tblStyle w:val="31"/>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8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序号</w:t>
            </w:r>
          </w:p>
        </w:tc>
        <w:tc>
          <w:tcPr>
            <w:tcW w:w="1269"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项目名称</w:t>
            </w:r>
          </w:p>
        </w:tc>
        <w:tc>
          <w:tcPr>
            <w:tcW w:w="5879"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评分细则</w:t>
            </w:r>
          </w:p>
        </w:tc>
        <w:tc>
          <w:tcPr>
            <w:tcW w:w="765" w:type="dxa"/>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1</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指标参数</w:t>
            </w:r>
          </w:p>
        </w:tc>
        <w:tc>
          <w:tcPr>
            <w:tcW w:w="5879" w:type="dxa"/>
          </w:tcPr>
          <w:p>
            <w:pPr>
              <w:pStyle w:val="90"/>
              <w:ind w:firstLine="420"/>
              <w:rPr>
                <w:color w:val="000000" w:themeColor="text1"/>
              </w:rPr>
            </w:pPr>
            <w:r>
              <w:rPr>
                <w:rFonts w:hint="eastAsia"/>
                <w:color w:val="000000" w:themeColor="text1"/>
              </w:rPr>
              <w:t>响应所有明确指标参数得20分。对标记“</w:t>
            </w:r>
            <w:r>
              <w:rPr>
                <w:rFonts w:hint="eastAsia"/>
                <w:color w:val="000000" w:themeColor="text1"/>
                <w:lang w:eastAsia="zh-CN"/>
              </w:rPr>
              <w:t>●</w:t>
            </w:r>
            <w:r>
              <w:rPr>
                <w:rFonts w:hint="eastAsia"/>
                <w:color w:val="000000" w:themeColor="text1"/>
              </w:rPr>
              <w:t>”的关键技术参数的偏离，按照要求投标时提供检测报告、相关证书、官网链接、截图等证明文件的，视为响应要求，不扣分；承诺中标后提供检测报告、相关证书、官网链接、截图等证明文件的，每一条性能要求的扣</w:t>
            </w:r>
            <w:r>
              <w:rPr>
                <w:color w:val="000000" w:themeColor="text1"/>
              </w:rPr>
              <w:t>1</w:t>
            </w:r>
            <w:r>
              <w:rPr>
                <w:rFonts w:hint="eastAsia"/>
                <w:color w:val="000000" w:themeColor="text1"/>
              </w:rPr>
              <w:t>分；无法提供证明文件的，每一条性能要求的扣2分。扣完该项得分为止。</w:t>
            </w:r>
          </w:p>
          <w:p>
            <w:pPr>
              <w:pStyle w:val="90"/>
              <w:ind w:firstLine="420"/>
              <w:rPr>
                <w:color w:val="000000" w:themeColor="text1"/>
              </w:rPr>
            </w:pPr>
            <w:r>
              <w:rPr>
                <w:rFonts w:hint="eastAsia"/>
                <w:color w:val="000000" w:themeColor="text1"/>
              </w:rPr>
              <w:t>非量化类的，若功能一样，表述方式不一样则为符合，量化类的由评标委员会视情况讨论决定。</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2</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偏离程度</w:t>
            </w:r>
          </w:p>
        </w:tc>
        <w:tc>
          <w:tcPr>
            <w:tcW w:w="5879" w:type="dxa"/>
          </w:tcPr>
          <w:p>
            <w:pPr>
              <w:pStyle w:val="90"/>
              <w:ind w:firstLine="420"/>
              <w:rPr>
                <w:color w:val="000000" w:themeColor="text1"/>
              </w:rPr>
            </w:pPr>
            <w:r>
              <w:rPr>
                <w:rFonts w:hint="eastAsia"/>
                <w:color w:val="000000" w:themeColor="text1"/>
              </w:rPr>
              <w:t>对性能指标、技术参数有实质性意义的正偏离或有先进程度的每项加1分（需提供检测报告、相关证书、官网链接、截图等证明文件，不提供不得分）；是否属正偏离或有先进程度由评审专家认定（最高得3分）。</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3</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项目理解</w:t>
            </w:r>
          </w:p>
        </w:tc>
        <w:tc>
          <w:tcPr>
            <w:tcW w:w="5879" w:type="dxa"/>
          </w:tcPr>
          <w:p>
            <w:pPr>
              <w:pStyle w:val="90"/>
              <w:ind w:firstLine="420"/>
              <w:rPr>
                <w:color w:val="000000" w:themeColor="text1"/>
              </w:rPr>
            </w:pPr>
            <w:r>
              <w:rPr>
                <w:rFonts w:hint="eastAsia" w:cstheme="minorBidi"/>
                <w:color w:val="000000" w:themeColor="text1"/>
              </w:rPr>
              <w:t>根据投标人提供对项目整体解决方案，对需求的理解程度以及总体设计全面性、整体技术和架构的先进性、开放性，是否充分考虑业主单位实际使用需求及个性化的优势。整体方案是否可行并具备可落地性、可扩展性，根据提供的内容进行综合评分：</w:t>
            </w:r>
            <w:r>
              <w:rPr>
                <w:rFonts w:hint="eastAsia"/>
                <w:color w:val="000000" w:themeColor="text1"/>
              </w:rPr>
              <w:t>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4</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s="Arial"/>
                <w:color w:val="000000" w:themeColor="text1"/>
                <w:szCs w:val="21"/>
              </w:rPr>
              <w:t>技术方案</w:t>
            </w:r>
          </w:p>
        </w:tc>
        <w:tc>
          <w:tcPr>
            <w:tcW w:w="5879" w:type="dxa"/>
          </w:tcPr>
          <w:p>
            <w:pPr>
              <w:pStyle w:val="90"/>
              <w:ind w:firstLine="420"/>
              <w:rPr>
                <w:rFonts w:cstheme="minorBidi"/>
                <w:color w:val="000000" w:themeColor="text1"/>
              </w:rPr>
            </w:pPr>
            <w:r>
              <w:rPr>
                <w:rFonts w:hint="eastAsia" w:cstheme="minorBidi"/>
                <w:color w:val="000000" w:themeColor="text1"/>
              </w:rPr>
              <w:t>根据投标方案总体设计、各系统功能设计、实现思路和关键技术等方面完全符合业主单位业务需求并与上级要求相匹配等进行综合评分：</w:t>
            </w:r>
            <w:r>
              <w:rPr>
                <w:rFonts w:hint="eastAsia"/>
                <w:color w:val="000000" w:themeColor="text1"/>
              </w:rPr>
              <w:t>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5</w:t>
            </w:r>
          </w:p>
        </w:tc>
        <w:tc>
          <w:tcPr>
            <w:tcW w:w="1269" w:type="dxa"/>
            <w:vAlign w:val="center"/>
          </w:tcPr>
          <w:p>
            <w:pPr>
              <w:tabs>
                <w:tab w:val="left" w:pos="1418"/>
              </w:tabs>
              <w:snapToGrid w:val="0"/>
              <w:jc w:val="left"/>
              <w:rPr>
                <w:rFonts w:ascii="宋体" w:hAnsi="宋体" w:cs="Arial"/>
                <w:color w:val="000000" w:themeColor="text1"/>
                <w:szCs w:val="21"/>
              </w:rPr>
            </w:pPr>
            <w:r>
              <w:rPr>
                <w:rFonts w:hint="eastAsia" w:ascii="宋体" w:hAnsi="宋体" w:cs="Arial"/>
                <w:color w:val="000000" w:themeColor="text1"/>
                <w:szCs w:val="21"/>
              </w:rPr>
              <w:t>深化设计</w:t>
            </w:r>
          </w:p>
        </w:tc>
        <w:tc>
          <w:tcPr>
            <w:tcW w:w="5879" w:type="dxa"/>
          </w:tcPr>
          <w:p>
            <w:pPr>
              <w:pStyle w:val="90"/>
              <w:ind w:firstLine="420"/>
              <w:rPr>
                <w:color w:val="000000" w:themeColor="text1"/>
              </w:rPr>
            </w:pPr>
            <w:r>
              <w:rPr>
                <w:rFonts w:hint="eastAsia" w:cstheme="minorBidi"/>
                <w:color w:val="000000" w:themeColor="text1"/>
              </w:rPr>
              <w:t>根据投标人对项目的理解和深化设计，递交的投标深化设计方案、图纸的质量、数量、准确性、完整性且与业主单位实际需求相符合，进行综合评分：</w:t>
            </w:r>
            <w:r>
              <w:rPr>
                <w:rFonts w:hint="eastAsia"/>
                <w:color w:val="000000" w:themeColor="text1"/>
              </w:rPr>
              <w:t>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6</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质量保证措施和建设工期情况</w:t>
            </w:r>
          </w:p>
        </w:tc>
        <w:tc>
          <w:tcPr>
            <w:tcW w:w="5879" w:type="dxa"/>
          </w:tcPr>
          <w:p>
            <w:pPr>
              <w:pStyle w:val="90"/>
              <w:ind w:firstLine="420"/>
              <w:rPr>
                <w:color w:val="000000" w:themeColor="text1"/>
              </w:rPr>
            </w:pPr>
            <w:r>
              <w:rPr>
                <w:rFonts w:hint="eastAsia"/>
                <w:color w:val="000000" w:themeColor="text1"/>
              </w:rPr>
              <w:t>投标人按采购人要求①是否明确的建设质量目标，②是否有质量保证措施，③是否具有详细可行的实施内容，④实施过程遇到重点、难点问题保证工期措施等。根据提供的内容进行综合评分：对投标文件进行横向对比，本项最高得</w:t>
            </w:r>
            <w:r>
              <w:rPr>
                <w:rFonts w:hint="eastAsia"/>
                <w:color w:val="000000" w:themeColor="text1"/>
                <w:lang w:val="en-US" w:eastAsia="zh-CN"/>
              </w:rPr>
              <w:t>5</w:t>
            </w:r>
            <w:r>
              <w:rPr>
                <w:rFonts w:hint="eastAsia"/>
                <w:color w:val="000000" w:themeColor="text1"/>
              </w:rPr>
              <w:t>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ascii="宋体" w:hAnsi="宋体"/>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7</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人力安排</w:t>
            </w:r>
          </w:p>
        </w:tc>
        <w:tc>
          <w:tcPr>
            <w:tcW w:w="5879" w:type="dxa"/>
          </w:tcPr>
          <w:p>
            <w:pPr>
              <w:pStyle w:val="90"/>
              <w:ind w:firstLine="420"/>
              <w:rPr>
                <w:color w:val="000000" w:themeColor="text1"/>
              </w:rPr>
            </w:pPr>
            <w:r>
              <w:rPr>
                <w:rFonts w:hint="eastAsia" w:cs="宋体"/>
                <w:color w:val="000000" w:themeColor="text1"/>
              </w:rPr>
              <w:t>投标人拟派项目负责人具备建筑电气或者电子与智能化相关专业高级工程师职称或一级建造师（机电工程）的，得2分；拟派项目团队成员具有建筑电气或者电子与智能化相关专业高级职称、高级信息系统项目管理师证书的，每个得1分，最高2分。（以上拟派人员需是投标单位员工，提供近三个月社保证明）</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8</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业绩</w:t>
            </w:r>
          </w:p>
        </w:tc>
        <w:tc>
          <w:tcPr>
            <w:tcW w:w="5879" w:type="dxa"/>
          </w:tcPr>
          <w:p>
            <w:pPr>
              <w:pStyle w:val="90"/>
              <w:ind w:firstLine="420"/>
              <w:rPr>
                <w:color w:val="000000" w:themeColor="text1"/>
              </w:rPr>
            </w:pPr>
            <w:r>
              <w:rPr>
                <w:rFonts w:hint="eastAsia"/>
                <w:color w:val="000000" w:themeColor="text1"/>
              </w:rPr>
              <w:t>投标人提供从2019年以来获得的同类项目合同：单个合同每个得1分，最高得3分。单个合同不重复计分，以内容清楚、盖章齐全的合同为依据。是否属于同类项目由评标委员会认定。</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9</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培训方案</w:t>
            </w:r>
          </w:p>
        </w:tc>
        <w:tc>
          <w:tcPr>
            <w:tcW w:w="5879" w:type="dxa"/>
          </w:tcPr>
          <w:p>
            <w:pPr>
              <w:pStyle w:val="90"/>
              <w:ind w:firstLine="420"/>
              <w:rPr>
                <w:bCs/>
                <w:color w:val="000000" w:themeColor="text1"/>
              </w:rPr>
            </w:pPr>
            <w:r>
              <w:rPr>
                <w:rFonts w:hint="eastAsia"/>
                <w:bCs/>
                <w:color w:val="000000" w:themeColor="text1"/>
              </w:rPr>
              <w:t>根据投标人培训计划的科学性、合理性和可操作性，包括对采购人的管理人员、操作人员及维护人员进行培训等承诺情况进行综合评分：</w:t>
            </w:r>
            <w:r>
              <w:rPr>
                <w:rFonts w:hint="eastAsia"/>
                <w:color w:val="000000" w:themeColor="text1"/>
              </w:rPr>
              <w:t>本项最高得4分。有欠缺或不合理的，每处扣1分，扣完为止。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27" w:type="dxa"/>
            <w:vAlign w:val="center"/>
          </w:tcPr>
          <w:p>
            <w:pPr>
              <w:tabs>
                <w:tab w:val="left" w:pos="1418"/>
              </w:tabs>
              <w:snapToGrid w:val="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10</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售后服务</w:t>
            </w:r>
          </w:p>
        </w:tc>
        <w:tc>
          <w:tcPr>
            <w:tcW w:w="5879" w:type="dxa"/>
          </w:tcPr>
          <w:p>
            <w:pPr>
              <w:tabs>
                <w:tab w:val="left" w:pos="1418"/>
              </w:tabs>
              <w:snapToGrid w:val="0"/>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1.投标人针对本项目提供的服务承诺和保障措施，严密、针对性强、具有可行性等综合打分。严密、针对性强、具有可行性得</w:t>
            </w:r>
            <w:r>
              <w:rPr>
                <w:rFonts w:ascii="宋体" w:hAnsi="宋体" w:eastAsia="宋体" w:cs="宋体"/>
                <w:color w:val="000000" w:themeColor="text1"/>
                <w:szCs w:val="21"/>
              </w:rPr>
              <w:t>2</w:t>
            </w:r>
            <w:r>
              <w:rPr>
                <w:rFonts w:hint="eastAsia" w:ascii="宋体" w:hAnsi="宋体" w:eastAsia="宋体" w:cs="宋体"/>
                <w:color w:val="000000" w:themeColor="text1"/>
                <w:szCs w:val="21"/>
              </w:rPr>
              <w:t>分，严密、针对性一般，可行性一般的得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分，严密、针对性较差，可行性差的不得分。</w:t>
            </w:r>
          </w:p>
          <w:p>
            <w:pPr>
              <w:pStyle w:val="90"/>
              <w:ind w:firstLine="420"/>
              <w:rPr>
                <w:color w:val="000000" w:themeColor="text1"/>
              </w:rPr>
            </w:pPr>
            <w:r>
              <w:rPr>
                <w:rFonts w:hint="eastAsia" w:ascii="宋体" w:hAnsi="宋体"/>
                <w:color w:val="000000" w:themeColor="text1"/>
                <w:sz w:val="21"/>
                <w:szCs w:val="21"/>
              </w:rPr>
              <w:t>2.驻点人员在</w:t>
            </w:r>
            <w:r>
              <w:rPr>
                <w:rFonts w:ascii="宋体" w:hAnsi="宋体"/>
                <w:color w:val="000000" w:themeColor="text1"/>
                <w:sz w:val="21"/>
                <w:szCs w:val="21"/>
              </w:rPr>
              <w:t>满足招标要求基础上</w:t>
            </w:r>
            <w:r>
              <w:rPr>
                <w:rFonts w:hint="eastAsia" w:ascii="宋体" w:hAnsi="宋体"/>
                <w:color w:val="000000" w:themeColor="text1"/>
                <w:sz w:val="21"/>
                <w:szCs w:val="21"/>
              </w:rPr>
              <w:t>每</w:t>
            </w:r>
            <w:r>
              <w:rPr>
                <w:rFonts w:ascii="宋体" w:hAnsi="宋体"/>
                <w:color w:val="000000" w:themeColor="text1"/>
                <w:sz w:val="21"/>
                <w:szCs w:val="21"/>
              </w:rPr>
              <w:t>增加</w:t>
            </w:r>
            <w:r>
              <w:rPr>
                <w:rFonts w:hint="eastAsia" w:ascii="宋体" w:hAnsi="宋体"/>
                <w:color w:val="000000" w:themeColor="text1"/>
                <w:sz w:val="21"/>
                <w:szCs w:val="21"/>
              </w:rPr>
              <w:t>一人得</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分</w:t>
            </w:r>
            <w:r>
              <w:rPr>
                <w:rFonts w:ascii="宋体" w:hAnsi="宋体"/>
                <w:color w:val="000000" w:themeColor="text1"/>
                <w:sz w:val="21"/>
                <w:szCs w:val="21"/>
              </w:rPr>
              <w:t>，最</w:t>
            </w:r>
            <w:r>
              <w:rPr>
                <w:rFonts w:hint="eastAsia" w:ascii="宋体" w:hAnsi="宋体"/>
                <w:color w:val="000000" w:themeColor="text1"/>
                <w:sz w:val="21"/>
                <w:szCs w:val="21"/>
              </w:rPr>
              <w:t>高</w:t>
            </w:r>
            <w:r>
              <w:rPr>
                <w:rFonts w:ascii="宋体" w:hAnsi="宋体"/>
                <w:color w:val="000000" w:themeColor="text1"/>
                <w:sz w:val="21"/>
                <w:szCs w:val="21"/>
              </w:rPr>
              <w:t>得</w:t>
            </w:r>
            <w:r>
              <w:rPr>
                <w:rFonts w:hint="eastAsia" w:ascii="宋体" w:hAnsi="宋体"/>
                <w:color w:val="000000" w:themeColor="text1"/>
                <w:sz w:val="21"/>
                <w:szCs w:val="21"/>
                <w:lang w:val="en-US" w:eastAsia="zh-CN"/>
              </w:rPr>
              <w:t>4</w:t>
            </w:r>
            <w:r>
              <w:rPr>
                <w:rFonts w:ascii="宋体" w:hAnsi="宋体"/>
                <w:color w:val="000000" w:themeColor="text1"/>
                <w:sz w:val="21"/>
                <w:szCs w:val="21"/>
              </w:rPr>
              <w:t>分</w:t>
            </w:r>
            <w:r>
              <w:rPr>
                <w:rFonts w:hint="eastAsia" w:ascii="宋体" w:hAnsi="宋体"/>
                <w:color w:val="000000" w:themeColor="text1"/>
                <w:sz w:val="21"/>
                <w:szCs w:val="21"/>
              </w:rPr>
              <w:t>。（不重复计分）</w:t>
            </w:r>
          </w:p>
        </w:tc>
        <w:tc>
          <w:tcPr>
            <w:tcW w:w="765" w:type="dxa"/>
            <w:vAlign w:val="center"/>
          </w:tcPr>
          <w:p>
            <w:pPr>
              <w:tabs>
                <w:tab w:val="left" w:pos="1418"/>
              </w:tabs>
              <w:snapToGrid w:val="0"/>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7" w:type="dxa"/>
            <w:vAlign w:val="center"/>
          </w:tcPr>
          <w:p>
            <w:pPr>
              <w:tabs>
                <w:tab w:val="left" w:pos="1418"/>
              </w:tabs>
              <w:snapToGrid w:val="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11</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应急预案</w:t>
            </w:r>
          </w:p>
        </w:tc>
        <w:tc>
          <w:tcPr>
            <w:tcW w:w="5879" w:type="dxa"/>
          </w:tcPr>
          <w:p>
            <w:pPr>
              <w:pStyle w:val="90"/>
              <w:ind w:firstLine="420"/>
              <w:rPr>
                <w:color w:val="000000" w:themeColor="text1"/>
              </w:rPr>
            </w:pPr>
            <w:r>
              <w:rPr>
                <w:rFonts w:hint="eastAsia"/>
                <w:color w:val="000000" w:themeColor="text1"/>
              </w:rPr>
              <w:t>投标人针对本项目的突发应急事件（突然停电情况处理、设备故障应急处理、恶劣天气影响、自然灾害、疫情防控措施等）的处理预案是案否合理、及时有效，本项最高得4分。有欠缺或不合理的，每处扣1分，扣完为止。</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rPr>
              <w:t>1</w:t>
            </w:r>
            <w:r>
              <w:rPr>
                <w:rFonts w:hint="eastAsia" w:ascii="宋体" w:hAnsi="宋体"/>
                <w:color w:val="000000" w:themeColor="text1"/>
                <w:szCs w:val="21"/>
                <w:lang w:val="en-US" w:eastAsia="zh-CN"/>
              </w:rPr>
              <w:t>2</w:t>
            </w:r>
          </w:p>
        </w:tc>
        <w:tc>
          <w:tcPr>
            <w:tcW w:w="1269" w:type="dxa"/>
            <w:vAlign w:val="center"/>
          </w:tcPr>
          <w:p>
            <w:pPr>
              <w:tabs>
                <w:tab w:val="left" w:pos="1418"/>
              </w:tabs>
              <w:snapToGrid w:val="0"/>
              <w:jc w:val="left"/>
              <w:rPr>
                <w:rFonts w:ascii="宋体" w:hAnsi="宋体"/>
                <w:color w:val="000000" w:themeColor="text1"/>
                <w:szCs w:val="21"/>
              </w:rPr>
            </w:pPr>
            <w:r>
              <w:rPr>
                <w:rFonts w:hint="eastAsia" w:ascii="宋体" w:hAnsi="宋体"/>
                <w:color w:val="000000" w:themeColor="text1"/>
                <w:szCs w:val="21"/>
              </w:rPr>
              <w:t>投标人资质</w:t>
            </w:r>
          </w:p>
        </w:tc>
        <w:tc>
          <w:tcPr>
            <w:tcW w:w="5879" w:type="dxa"/>
          </w:tcPr>
          <w:p>
            <w:pPr>
              <w:pStyle w:val="30"/>
              <w:numPr>
                <w:ilvl w:val="0"/>
                <w:numId w:val="0"/>
              </w:numPr>
              <w:snapToGrid w:val="0"/>
              <w:ind w:leftChars="0" w:firstLine="420" w:firstLineChars="200"/>
              <w:rPr>
                <w:rFonts w:hint="eastAsia" w:ascii="宋体" w:hAnsi="宋体"/>
                <w:color w:val="000000" w:themeColor="text1"/>
                <w:sz w:val="21"/>
                <w:szCs w:val="21"/>
              </w:rPr>
            </w:pP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投标人具有电子与智能化工程专业承包壹级证书的，得1分，贰级得0</w:t>
            </w:r>
            <w:r>
              <w:rPr>
                <w:rFonts w:ascii="宋体" w:hAnsi="宋体"/>
                <w:color w:val="000000" w:themeColor="text1"/>
                <w:sz w:val="21"/>
                <w:szCs w:val="21"/>
              </w:rPr>
              <w:t>.5</w:t>
            </w:r>
            <w:r>
              <w:rPr>
                <w:rFonts w:hint="eastAsia" w:ascii="宋体" w:hAnsi="宋体"/>
                <w:color w:val="000000" w:themeColor="text1"/>
                <w:sz w:val="21"/>
                <w:szCs w:val="21"/>
              </w:rPr>
              <w:t>分；投标人具有ISO9001质量管理体系（含系统集成设备的销售及技术服务或计算机系统集成软件开发及销售或移动通信产品和服务的开发、设计、运营与管理或信息业务相关的系统集成）认证证书的得1分；</w:t>
            </w:r>
          </w:p>
          <w:p>
            <w:pPr>
              <w:pStyle w:val="90"/>
              <w:ind w:firstLine="420"/>
              <w:rPr>
                <w:color w:val="000000" w:themeColor="text1"/>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投标人具有安全防范工程施工与维护壹级证书的，得1分，贰级得0</w:t>
            </w:r>
            <w:r>
              <w:rPr>
                <w:rFonts w:ascii="宋体" w:hAnsi="宋体"/>
                <w:color w:val="000000" w:themeColor="text1"/>
                <w:sz w:val="21"/>
                <w:szCs w:val="21"/>
              </w:rPr>
              <w:t>.5</w:t>
            </w:r>
            <w:r>
              <w:rPr>
                <w:rFonts w:hint="eastAsia" w:ascii="宋体" w:hAnsi="宋体"/>
                <w:color w:val="000000" w:themeColor="text1"/>
                <w:sz w:val="21"/>
                <w:szCs w:val="21"/>
              </w:rPr>
              <w:t>分；投标人具有ISO27001信息安全管理体系（含系统集成设备的销售和服务相关的信息安全管理活动或与计算机应用软件开发及信息系统集成、ICT设备销售相关的信息安全管理活动或主机托管或云计算服务）认证证书的得1分。</w:t>
            </w:r>
          </w:p>
        </w:tc>
        <w:tc>
          <w:tcPr>
            <w:tcW w:w="765" w:type="dxa"/>
            <w:vAlign w:val="center"/>
          </w:tcPr>
          <w:p>
            <w:pPr>
              <w:tabs>
                <w:tab w:val="left" w:pos="1418"/>
              </w:tabs>
              <w:snapToGrid w:val="0"/>
              <w:jc w:val="center"/>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napToGrid w:val="0"/>
              <w:jc w:val="left"/>
              <w:rPr>
                <w:rFonts w:hint="eastAsia" w:ascii="宋体" w:hAnsi="宋体" w:eastAsia="宋体"/>
                <w:color w:val="000000" w:themeColor="text1"/>
                <w:szCs w:val="21"/>
                <w:lang w:eastAsia="zh-CN"/>
              </w:rPr>
            </w:pPr>
            <w:r>
              <w:rPr>
                <w:rFonts w:hint="eastAsia" w:ascii="宋体" w:hAnsi="宋体"/>
                <w:color w:val="000000" w:themeColor="text1"/>
                <w:szCs w:val="21"/>
              </w:rPr>
              <w:t>1</w:t>
            </w:r>
            <w:r>
              <w:rPr>
                <w:rFonts w:hint="eastAsia" w:ascii="宋体" w:hAnsi="宋体"/>
                <w:color w:val="000000" w:themeColor="text1"/>
                <w:szCs w:val="21"/>
                <w:lang w:val="en-US" w:eastAsia="zh-CN"/>
              </w:rPr>
              <w:t>3</w:t>
            </w:r>
          </w:p>
        </w:tc>
        <w:tc>
          <w:tcPr>
            <w:tcW w:w="1269"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政策分</w:t>
            </w:r>
          </w:p>
        </w:tc>
        <w:tc>
          <w:tcPr>
            <w:tcW w:w="5879" w:type="dxa"/>
          </w:tcPr>
          <w:p>
            <w:pPr>
              <w:pStyle w:val="90"/>
              <w:ind w:firstLine="420"/>
              <w:rPr>
                <w:color w:val="000000" w:themeColor="text1"/>
              </w:rPr>
            </w:pPr>
            <w:r>
              <w:rPr>
                <w:rFonts w:hint="eastAsia"/>
                <w:color w:val="000000" w:themeColor="text1"/>
              </w:rPr>
              <w:t>1.投标人或所投产品按规定享受国家政策支持（扶持）的，每项得0.5分，最高得1分；</w:t>
            </w:r>
          </w:p>
          <w:p>
            <w:pPr>
              <w:pStyle w:val="90"/>
              <w:ind w:firstLine="420"/>
              <w:rPr>
                <w:color w:val="000000" w:themeColor="text1"/>
              </w:rPr>
            </w:pPr>
            <w:r>
              <w:rPr>
                <w:rFonts w:hint="eastAsia"/>
                <w:color w:val="000000" w:themeColor="text1"/>
              </w:rPr>
              <w:t>2.所投产品或其主要（核心）设备列入国家节能或环保产品目录的，每项得0.5分，最高得1分。</w:t>
            </w:r>
          </w:p>
        </w:tc>
        <w:tc>
          <w:tcPr>
            <w:tcW w:w="765" w:type="dxa"/>
            <w:vAlign w:val="center"/>
          </w:tcPr>
          <w:p>
            <w:pPr>
              <w:tabs>
                <w:tab w:val="left" w:pos="1418"/>
              </w:tabs>
              <w:snapToGrid w:val="0"/>
              <w:jc w:val="center"/>
              <w:rPr>
                <w:rFonts w:ascii="宋体" w:hAnsi="宋体"/>
                <w:color w:val="000000" w:themeColor="text1"/>
                <w:szCs w:val="21"/>
              </w:rPr>
            </w:pPr>
            <w:r>
              <w:rPr>
                <w:rFonts w:hint="eastAsia" w:ascii="宋体" w:hAnsi="宋体"/>
                <w:color w:val="000000" w:themeColor="text1"/>
                <w:szCs w:val="21"/>
              </w:rPr>
              <w:t>2</w:t>
            </w:r>
          </w:p>
        </w:tc>
      </w:tr>
    </w:tbl>
    <w:p>
      <w:pPr>
        <w:pStyle w:val="27"/>
        <w:widowControl w:val="0"/>
        <w:adjustRightInd w:val="0"/>
        <w:snapToGrid w:val="0"/>
        <w:spacing w:before="0" w:beforeAutospacing="0" w:after="0" w:afterAutospacing="0"/>
        <w:rPr>
          <w:rFonts w:ascii="Times New Roman" w:hAnsi="Times New Roman" w:eastAsia="黑体"/>
          <w:b/>
          <w:color w:val="000000" w:themeColor="text1"/>
          <w:sz w:val="36"/>
          <w:szCs w:val="36"/>
        </w:rPr>
      </w:pPr>
    </w:p>
    <w:p>
      <w:pPr>
        <w:pStyle w:val="49"/>
        <w:numPr>
          <w:ilvl w:val="0"/>
          <w:numId w:val="13"/>
        </w:numPr>
        <w:tabs>
          <w:tab w:val="left" w:pos="430"/>
        </w:tabs>
        <w:spacing w:before="156" w:beforeLines="50" w:after="156" w:afterLines="50" w:line="240" w:lineRule="exact"/>
        <w:ind w:firstLineChars="0"/>
        <w:rPr>
          <w:rFonts w:ascii="宋体" w:hAnsi="宋体"/>
          <w:b/>
          <w:color w:val="000000" w:themeColor="text1"/>
          <w:sz w:val="28"/>
          <w:szCs w:val="28"/>
        </w:rPr>
      </w:pPr>
      <w:r>
        <w:rPr>
          <w:rFonts w:hint="eastAsia" w:ascii="宋体" w:hAnsi="宋体"/>
          <w:b/>
          <w:color w:val="000000" w:themeColor="text1"/>
          <w:sz w:val="28"/>
          <w:szCs w:val="28"/>
        </w:rPr>
        <w:tab/>
      </w:r>
      <w:r>
        <w:rPr>
          <w:rFonts w:hint="eastAsia" w:ascii="宋体" w:hAnsi="宋体"/>
          <w:b/>
          <w:color w:val="000000" w:themeColor="text1"/>
          <w:sz w:val="28"/>
          <w:szCs w:val="28"/>
        </w:rPr>
        <w:t>技术、资信及商务分的计算</w:t>
      </w:r>
    </w:p>
    <w:p>
      <w:pPr>
        <w:spacing w:before="156" w:beforeLines="50" w:after="156" w:afterLines="50" w:line="400" w:lineRule="exact"/>
        <w:ind w:firstLine="480" w:firstLineChars="200"/>
        <w:rPr>
          <w:rFonts w:ascii="楷体" w:hAnsi="楷体" w:eastAsia="楷体" w:cs="楷体"/>
          <w:smallCaps/>
          <w:color w:val="000000" w:themeColor="text1"/>
          <w:sz w:val="24"/>
          <w:szCs w:val="24"/>
        </w:rPr>
      </w:pPr>
      <w:r>
        <w:rPr>
          <w:rFonts w:hint="eastAsia" w:ascii="宋体" w:hAnsi="宋体"/>
          <w:color w:val="000000" w:themeColor="text1"/>
          <w:sz w:val="24"/>
        </w:rPr>
        <w:t>技术、资信及商务分按照评标委员会成员的独立评分结果汇总数、算术平均分计算，计算公式为：技术、资信及商务得分=（评标委员会所有成员评分合计数）/（评标委员会组成人员数）</w:t>
      </w:r>
    </w:p>
    <w:p>
      <w:pPr>
        <w:pStyle w:val="30"/>
        <w:rPr>
          <w:color w:val="000000" w:themeColor="text1"/>
        </w:rPr>
        <w:sectPr>
          <w:pgSz w:w="11906" w:h="16838"/>
          <w:pgMar w:top="1440" w:right="1800" w:bottom="1440" w:left="1800" w:header="851" w:footer="992" w:gutter="0"/>
          <w:pgNumType w:fmt="decimal"/>
          <w:cols w:space="425" w:num="1"/>
          <w:docGrid w:type="lines" w:linePitch="312" w:charSpace="0"/>
        </w:sectPr>
      </w:pPr>
    </w:p>
    <w:p>
      <w:pPr>
        <w:pStyle w:val="16"/>
        <w:spacing w:before="156" w:after="156" w:line="360" w:lineRule="auto"/>
        <w:jc w:val="center"/>
        <w:outlineLvl w:val="0"/>
        <w:rPr>
          <w:rFonts w:hAnsi="宋体" w:eastAsia="仿宋_GB2312"/>
          <w:color w:val="000000" w:themeColor="text1"/>
          <w:sz w:val="32"/>
          <w:szCs w:val="32"/>
        </w:rPr>
      </w:pPr>
      <w:r>
        <w:rPr>
          <w:rFonts w:hint="eastAsia" w:hAnsi="宋体"/>
          <w:b/>
          <w:color w:val="000000" w:themeColor="text1"/>
          <w:sz w:val="36"/>
          <w:szCs w:val="36"/>
        </w:rPr>
        <w:t>第六章 政府</w:t>
      </w:r>
      <w:r>
        <w:rPr>
          <w:rFonts w:hAnsi="宋体"/>
          <w:b/>
          <w:color w:val="000000" w:themeColor="text1"/>
          <w:sz w:val="36"/>
          <w:szCs w:val="36"/>
        </w:rPr>
        <w:t>采购合同主要条款</w:t>
      </w:r>
    </w:p>
    <w:p>
      <w:pPr>
        <w:snapToGrid w:val="0"/>
        <w:spacing w:line="360" w:lineRule="auto"/>
        <w:ind w:firstLine="600" w:firstLineChars="200"/>
        <w:rPr>
          <w:rFonts w:ascii="仿宋" w:hAnsi="仿宋" w:eastAsia="仿宋" w:cs="Arial"/>
          <w:color w:val="000000" w:themeColor="text1"/>
          <w:szCs w:val="21"/>
        </w:rPr>
      </w:pPr>
      <w:r>
        <w:rPr>
          <w:rFonts w:hint="eastAsia" w:ascii="仿宋_GB2312" w:eastAsia="仿宋_GB2312"/>
          <w:color w:val="000000" w:themeColor="text1"/>
          <w:sz w:val="30"/>
          <w:szCs w:val="30"/>
        </w:rPr>
        <w:t xml:space="preserve">  </w:t>
      </w:r>
    </w:p>
    <w:p>
      <w:pPr>
        <w:snapToGrid w:val="0"/>
        <w:spacing w:line="360" w:lineRule="auto"/>
        <w:ind w:firstLine="421" w:firstLineChars="200"/>
        <w:jc w:val="center"/>
        <w:rPr>
          <w:rFonts w:ascii="仿宋" w:hAnsi="仿宋" w:eastAsia="仿宋" w:cs="Arial"/>
          <w:b/>
          <w:color w:val="000000" w:themeColor="text1"/>
          <w:szCs w:val="21"/>
        </w:rPr>
      </w:pPr>
      <w:r>
        <w:rPr>
          <w:rFonts w:hint="eastAsia" w:ascii="仿宋" w:hAnsi="仿宋" w:eastAsia="仿宋" w:cs="Arial"/>
          <w:b/>
          <w:color w:val="000000" w:themeColor="text1"/>
          <w:szCs w:val="21"/>
        </w:rPr>
        <w:t>浙江省政府采购合同指引</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项目名称：                 项目编号：</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甲方：（买方）</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乙方：（卖方）</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    甲、乙双方根据 </w:t>
      </w:r>
      <w:r>
        <w:rPr>
          <w:rFonts w:ascii="仿宋" w:hAnsi="仿宋" w:eastAsia="仿宋" w:cs="Arial"/>
          <w:color w:val="000000" w:themeColor="text1"/>
          <w:szCs w:val="21"/>
          <w:u w:val="single"/>
        </w:rPr>
        <w:t>金华市政府采购中心关于</w:t>
      </w:r>
      <w:r>
        <w:rPr>
          <w:rFonts w:hint="eastAsia" w:ascii="仿宋" w:hAnsi="仿宋" w:eastAsia="仿宋" w:cs="Arial"/>
          <w:color w:val="000000" w:themeColor="text1"/>
          <w:szCs w:val="21"/>
          <w:u w:val="single"/>
        </w:rPr>
        <w:t xml:space="preserve"> </w:t>
      </w:r>
      <w:r>
        <w:rPr>
          <w:rFonts w:ascii="仿宋" w:hAnsi="仿宋" w:eastAsia="仿宋" w:cs="Arial"/>
          <w:color w:val="000000" w:themeColor="text1"/>
          <w:szCs w:val="21"/>
          <w:u w:val="single"/>
        </w:rPr>
        <w:t xml:space="preserve">  单位    项目公开招标</w:t>
      </w:r>
      <w:r>
        <w:rPr>
          <w:rFonts w:ascii="仿宋" w:hAnsi="仿宋" w:eastAsia="仿宋" w:cs="Arial"/>
          <w:color w:val="000000" w:themeColor="text1"/>
          <w:szCs w:val="21"/>
        </w:rPr>
        <w:t>的结果，签署本合同。</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一、服务内容</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二、合同金额</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本合同金额为（大写）：_________元（￥______元）人民币。</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三、技术资料</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四、知识产权</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乙方应保证提供服务过程中不会侵犯任何第三方的知识产权。</w:t>
      </w:r>
    </w:p>
    <w:p>
      <w:pPr>
        <w:snapToGrid w:val="0"/>
        <w:spacing w:line="360" w:lineRule="auto"/>
        <w:ind w:firstLine="421"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五</w:t>
      </w:r>
      <w:r>
        <w:rPr>
          <w:rFonts w:ascii="仿宋" w:hAnsi="仿宋" w:eastAsia="仿宋" w:cs="Arial"/>
          <w:b/>
          <w:color w:val="000000" w:themeColor="text1"/>
          <w:szCs w:val="21"/>
        </w:rPr>
        <w:t>、履约保证金</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乙方交纳人民币△元作为本合同的履约保证金。</w:t>
      </w:r>
    </w:p>
    <w:p>
      <w:pPr>
        <w:snapToGrid w:val="0"/>
        <w:spacing w:line="360" w:lineRule="auto"/>
        <w:ind w:firstLine="421"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六、转包或分包</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.本合同范围的服务，应由</w:t>
      </w:r>
      <w:r>
        <w:rPr>
          <w:rFonts w:ascii="仿宋" w:hAnsi="仿宋" w:eastAsia="仿宋" w:cs="Arial"/>
          <w:color w:val="000000" w:themeColor="text1"/>
          <w:szCs w:val="21"/>
        </w:rPr>
        <w:t>乙</w:t>
      </w:r>
      <w:r>
        <w:rPr>
          <w:rFonts w:hint="eastAsia" w:ascii="仿宋" w:hAnsi="仿宋" w:eastAsia="仿宋" w:cs="Arial"/>
          <w:color w:val="000000" w:themeColor="text1"/>
          <w:szCs w:val="21"/>
        </w:rPr>
        <w:t>方直接供应，不得转让他人供应；</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除非得到甲方的书面同意，</w:t>
      </w:r>
      <w:r>
        <w:rPr>
          <w:rFonts w:ascii="仿宋" w:hAnsi="仿宋" w:eastAsia="仿宋" w:cs="Arial"/>
          <w:color w:val="000000" w:themeColor="text1"/>
          <w:szCs w:val="21"/>
        </w:rPr>
        <w:t>乙</w:t>
      </w:r>
      <w:r>
        <w:rPr>
          <w:rFonts w:hint="eastAsia" w:ascii="仿宋" w:hAnsi="仿宋" w:eastAsia="仿宋" w:cs="Arial"/>
          <w:color w:val="000000" w:themeColor="text1"/>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.如有转让和未经甲方同意的分包行为，甲方有权解除合同，没收履约保证金并追究乙方的违约责任。</w:t>
      </w:r>
    </w:p>
    <w:p>
      <w:pPr>
        <w:snapToGrid w:val="0"/>
        <w:spacing w:line="360" w:lineRule="auto"/>
        <w:ind w:firstLine="421"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七</w:t>
      </w:r>
      <w:r>
        <w:rPr>
          <w:rFonts w:ascii="仿宋" w:hAnsi="仿宋" w:eastAsia="仿宋" w:cs="Arial"/>
          <w:b/>
          <w:color w:val="000000" w:themeColor="text1"/>
          <w:szCs w:val="21"/>
        </w:rPr>
        <w:t>、服务质量保证期和服务质量保证金(选用)</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服务质量保证期</w:t>
      </w:r>
      <w:r>
        <w:rPr>
          <w:rFonts w:ascii="仿宋" w:hAnsi="仿宋" w:eastAsia="仿宋" w:cs="Arial"/>
          <w:color w:val="000000" w:themeColor="text1"/>
          <w:szCs w:val="21"/>
          <w:u w:val="single"/>
        </w:rPr>
        <w:t xml:space="preserve">      </w:t>
      </w:r>
      <w:r>
        <w:rPr>
          <w:rFonts w:ascii="仿宋" w:hAnsi="仿宋" w:eastAsia="仿宋" w:cs="Arial"/>
          <w:color w:val="000000" w:themeColor="text1"/>
          <w:szCs w:val="21"/>
        </w:rPr>
        <w:t>年。（自验收合格之日起计）</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服务质量保证金</w:t>
      </w:r>
      <w:r>
        <w:rPr>
          <w:rFonts w:ascii="仿宋" w:hAnsi="仿宋" w:eastAsia="仿宋" w:cs="Arial"/>
          <w:color w:val="000000" w:themeColor="text1"/>
          <w:szCs w:val="21"/>
          <w:u w:val="single"/>
        </w:rPr>
        <w:t xml:space="preserve">            </w:t>
      </w:r>
      <w:r>
        <w:rPr>
          <w:rFonts w:ascii="仿宋" w:hAnsi="仿宋" w:eastAsia="仿宋" w:cs="Arial"/>
          <w:color w:val="000000" w:themeColor="text1"/>
          <w:szCs w:val="21"/>
        </w:rPr>
        <w:t>元。（履约保证金在中标投标人按合同约定验收合格后自行转为质保金）</w:t>
      </w:r>
    </w:p>
    <w:p>
      <w:pPr>
        <w:snapToGrid w:val="0"/>
        <w:spacing w:line="360" w:lineRule="auto"/>
        <w:ind w:firstLine="421"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八</w:t>
      </w:r>
      <w:r>
        <w:rPr>
          <w:rFonts w:ascii="仿宋" w:hAnsi="仿宋" w:eastAsia="仿宋" w:cs="Arial"/>
          <w:b/>
          <w:color w:val="000000" w:themeColor="text1"/>
          <w:szCs w:val="21"/>
        </w:rPr>
        <w:t>、合同履行时间、履行方式及履行地点</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履行时间：</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履行方式：</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履行地点：</w:t>
      </w:r>
    </w:p>
    <w:p>
      <w:pPr>
        <w:snapToGrid w:val="0"/>
        <w:spacing w:line="360" w:lineRule="auto"/>
        <w:ind w:firstLine="421"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九</w:t>
      </w:r>
      <w:r>
        <w:rPr>
          <w:rFonts w:ascii="仿宋" w:hAnsi="仿宋" w:eastAsia="仿宋" w:cs="Arial"/>
          <w:b/>
          <w:color w:val="000000" w:themeColor="text1"/>
          <w:szCs w:val="21"/>
        </w:rPr>
        <w:t>、款项支付</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 付款方式：</w:t>
      </w:r>
    </w:p>
    <w:p>
      <w:pPr>
        <w:snapToGrid w:val="0"/>
        <w:spacing w:line="360" w:lineRule="auto"/>
        <w:ind w:firstLine="421" w:firstLineChars="200"/>
        <w:rPr>
          <w:rFonts w:ascii="仿宋" w:hAnsi="仿宋" w:eastAsia="仿宋" w:cs="Arial"/>
          <w:b/>
          <w:color w:val="000000" w:themeColor="text1"/>
          <w:szCs w:val="21"/>
        </w:rPr>
      </w:pPr>
      <w:r>
        <w:rPr>
          <w:rFonts w:hint="eastAsia" w:ascii="仿宋" w:hAnsi="仿宋" w:eastAsia="仿宋" w:cs="Arial"/>
          <w:b/>
          <w:color w:val="000000" w:themeColor="text1"/>
          <w:szCs w:val="21"/>
        </w:rPr>
        <w:t>十、税费</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本合同执行中相关的一切税费均由</w:t>
      </w:r>
      <w:r>
        <w:rPr>
          <w:rFonts w:ascii="仿宋" w:hAnsi="仿宋" w:eastAsia="仿宋" w:cs="Arial"/>
          <w:color w:val="000000" w:themeColor="text1"/>
          <w:szCs w:val="21"/>
        </w:rPr>
        <w:t>乙</w:t>
      </w:r>
      <w:r>
        <w:rPr>
          <w:rFonts w:hint="eastAsia" w:ascii="仿宋" w:hAnsi="仿宋" w:eastAsia="仿宋" w:cs="Arial"/>
          <w:color w:val="000000" w:themeColor="text1"/>
          <w:szCs w:val="21"/>
        </w:rPr>
        <w:t>方负担。</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一</w:t>
      </w:r>
      <w:r>
        <w:rPr>
          <w:rFonts w:ascii="仿宋" w:hAnsi="仿宋" w:eastAsia="仿宋" w:cs="Arial"/>
          <w:b/>
          <w:color w:val="000000" w:themeColor="text1"/>
          <w:szCs w:val="21"/>
        </w:rPr>
        <w:t>、质量保证及后续服务</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乙方应按招标文件规定向甲方提供服务。</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⑴重做：由乙方承担所发生的全部费用。</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⑵贬值处理：由甲乙双方合议定价。</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⑶解除合同。</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4</w:t>
      </w:r>
      <w:r>
        <w:rPr>
          <w:rFonts w:hint="eastAsia" w:ascii="仿宋" w:hAnsi="仿宋" w:eastAsia="仿宋" w:cs="Arial"/>
          <w:color w:val="000000" w:themeColor="text1"/>
          <w:szCs w:val="21"/>
        </w:rPr>
        <w:t>．</w:t>
      </w:r>
      <w:r>
        <w:rPr>
          <w:rFonts w:ascii="仿宋" w:hAnsi="仿宋" w:eastAsia="仿宋" w:cs="Arial"/>
          <w:color w:val="000000" w:themeColor="text1"/>
          <w:szCs w:val="21"/>
        </w:rPr>
        <w:t>在服务质量保证期内，乙方应对出现的质量及安全问题负责处理解决并承担一切费用。</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二</w:t>
      </w:r>
      <w:r>
        <w:rPr>
          <w:rFonts w:ascii="仿宋" w:hAnsi="仿宋" w:eastAsia="仿宋" w:cs="Arial"/>
          <w:b/>
          <w:color w:val="000000" w:themeColor="text1"/>
          <w:szCs w:val="21"/>
        </w:rPr>
        <w:t>、违约责任</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 xml:space="preserve"> 乙方</w:t>
      </w:r>
      <w:r>
        <w:rPr>
          <w:rFonts w:hint="eastAsia" w:ascii="仿宋" w:hAnsi="仿宋" w:eastAsia="仿宋" w:cs="Arial"/>
          <w:color w:val="000000" w:themeColor="text1"/>
          <w:szCs w:val="21"/>
        </w:rPr>
        <w:t>未能如</w:t>
      </w:r>
      <w:r>
        <w:rPr>
          <w:rFonts w:ascii="仿宋" w:hAnsi="仿宋" w:eastAsia="仿宋" w:cs="Arial"/>
          <w:color w:val="000000" w:themeColor="text1"/>
          <w:szCs w:val="21"/>
        </w:rPr>
        <w:t>期提供服务的，每日向甲方支付</w:t>
      </w:r>
      <w:r>
        <w:rPr>
          <w:rFonts w:hint="eastAsia" w:ascii="仿宋" w:hAnsi="仿宋" w:eastAsia="仿宋" w:cs="Arial"/>
          <w:color w:val="000000" w:themeColor="text1"/>
          <w:szCs w:val="21"/>
        </w:rPr>
        <w:t>合同款项的</w:t>
      </w:r>
      <w:r>
        <w:rPr>
          <w:rFonts w:ascii="仿宋" w:hAnsi="仿宋" w:eastAsia="仿宋" w:cs="Arial"/>
          <w:color w:val="000000" w:themeColor="text1"/>
          <w:szCs w:val="21"/>
        </w:rPr>
        <w:t>千分之六</w:t>
      </w:r>
      <w:r>
        <w:rPr>
          <w:rFonts w:hint="eastAsia" w:ascii="仿宋" w:hAnsi="仿宋" w:eastAsia="仿宋" w:cs="Arial"/>
          <w:color w:val="000000" w:themeColor="text1"/>
          <w:szCs w:val="21"/>
        </w:rPr>
        <w:t>作为</w:t>
      </w:r>
      <w:r>
        <w:rPr>
          <w:rFonts w:ascii="仿宋" w:hAnsi="仿宋" w:eastAsia="仿宋" w:cs="Arial"/>
          <w:color w:val="000000" w:themeColor="text1"/>
          <w:szCs w:val="21"/>
        </w:rPr>
        <w:t>违约金。乙方超过约定日期10个工作日</w:t>
      </w:r>
      <w:r>
        <w:rPr>
          <w:rFonts w:hint="eastAsia" w:ascii="仿宋" w:hAnsi="仿宋" w:eastAsia="仿宋" w:cs="Arial"/>
          <w:color w:val="000000" w:themeColor="text1"/>
          <w:szCs w:val="21"/>
        </w:rPr>
        <w:t>仍</w:t>
      </w:r>
      <w:r>
        <w:rPr>
          <w:rFonts w:ascii="仿宋" w:hAnsi="仿宋" w:eastAsia="仿宋" w:cs="Arial"/>
          <w:color w:val="000000" w:themeColor="text1"/>
          <w:szCs w:val="21"/>
        </w:rPr>
        <w:t>不能</w:t>
      </w:r>
      <w:r>
        <w:rPr>
          <w:rFonts w:hint="eastAsia" w:ascii="仿宋" w:hAnsi="仿宋" w:eastAsia="仿宋" w:cs="Arial"/>
          <w:color w:val="000000" w:themeColor="text1"/>
          <w:szCs w:val="21"/>
        </w:rPr>
        <w:t>提供服务</w:t>
      </w:r>
      <w:r>
        <w:rPr>
          <w:rFonts w:ascii="仿宋" w:hAnsi="仿宋" w:eastAsia="仿宋" w:cs="Arial"/>
          <w:color w:val="000000" w:themeColor="text1"/>
          <w:szCs w:val="21"/>
        </w:rPr>
        <w:t>的，甲方可解除本合同。乙方因</w:t>
      </w:r>
      <w:r>
        <w:rPr>
          <w:rFonts w:hint="eastAsia" w:ascii="仿宋" w:hAnsi="仿宋" w:eastAsia="仿宋" w:cs="Arial"/>
          <w:color w:val="000000" w:themeColor="text1"/>
          <w:szCs w:val="21"/>
        </w:rPr>
        <w:t>未能如</w:t>
      </w:r>
      <w:r>
        <w:rPr>
          <w:rFonts w:ascii="仿宋" w:hAnsi="仿宋" w:eastAsia="仿宋" w:cs="Arial"/>
          <w:color w:val="000000" w:themeColor="text1"/>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三</w:t>
      </w:r>
      <w:r>
        <w:rPr>
          <w:rFonts w:ascii="仿宋" w:hAnsi="仿宋" w:eastAsia="仿宋" w:cs="Arial"/>
          <w:b/>
          <w:color w:val="000000" w:themeColor="text1"/>
          <w:szCs w:val="21"/>
        </w:rPr>
        <w:t>、不可抗力事件处理</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不可抗力事件延续120天以上，双方应通过友好协商，确定是否继续履行合同。</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四</w:t>
      </w:r>
      <w:r>
        <w:rPr>
          <w:rFonts w:ascii="仿宋" w:hAnsi="仿宋" w:eastAsia="仿宋" w:cs="Arial"/>
          <w:b/>
          <w:color w:val="000000" w:themeColor="text1"/>
          <w:szCs w:val="21"/>
        </w:rPr>
        <w:t>、诉讼</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 双方在执行合同中所发生的一切争议，应通过协商解决。如协商不成，可向</w:t>
      </w:r>
      <w:r>
        <w:rPr>
          <w:rFonts w:hint="eastAsia" w:ascii="仿宋" w:hAnsi="仿宋" w:eastAsia="仿宋" w:cs="Arial"/>
          <w:color w:val="000000" w:themeColor="text1"/>
          <w:szCs w:val="21"/>
        </w:rPr>
        <w:t>甲方所在</w:t>
      </w:r>
      <w:r>
        <w:rPr>
          <w:rFonts w:ascii="仿宋" w:hAnsi="仿宋" w:eastAsia="仿宋" w:cs="Arial"/>
          <w:color w:val="000000" w:themeColor="text1"/>
          <w:szCs w:val="21"/>
        </w:rPr>
        <w:t>地法院起诉。</w:t>
      </w:r>
    </w:p>
    <w:p>
      <w:pPr>
        <w:snapToGrid w:val="0"/>
        <w:spacing w:line="360" w:lineRule="auto"/>
        <w:ind w:firstLine="421" w:firstLineChars="200"/>
        <w:rPr>
          <w:rFonts w:ascii="仿宋" w:hAnsi="仿宋" w:eastAsia="仿宋" w:cs="Arial"/>
          <w:b/>
          <w:color w:val="000000" w:themeColor="text1"/>
          <w:szCs w:val="21"/>
        </w:rPr>
      </w:pPr>
      <w:r>
        <w:rPr>
          <w:rFonts w:ascii="仿宋" w:hAnsi="仿宋" w:eastAsia="仿宋" w:cs="Arial"/>
          <w:b/>
          <w:color w:val="000000" w:themeColor="text1"/>
          <w:szCs w:val="21"/>
        </w:rPr>
        <w:t>十</w:t>
      </w:r>
      <w:r>
        <w:rPr>
          <w:rFonts w:hint="eastAsia" w:ascii="仿宋" w:hAnsi="仿宋" w:eastAsia="仿宋" w:cs="Arial"/>
          <w:b/>
          <w:color w:val="000000" w:themeColor="text1"/>
          <w:szCs w:val="21"/>
        </w:rPr>
        <w:t>五</w:t>
      </w:r>
      <w:r>
        <w:rPr>
          <w:rFonts w:ascii="仿宋" w:hAnsi="仿宋" w:eastAsia="仿宋" w:cs="Arial"/>
          <w:b/>
          <w:color w:val="000000" w:themeColor="text1"/>
          <w:szCs w:val="21"/>
        </w:rPr>
        <w:t>、合同生效及其它</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1</w:t>
      </w:r>
      <w:r>
        <w:rPr>
          <w:rFonts w:hint="eastAsia" w:ascii="仿宋" w:hAnsi="仿宋" w:eastAsia="仿宋" w:cs="Arial"/>
          <w:color w:val="000000" w:themeColor="text1"/>
          <w:szCs w:val="21"/>
        </w:rPr>
        <w:t>．</w:t>
      </w:r>
      <w:r>
        <w:rPr>
          <w:rFonts w:ascii="仿宋" w:hAnsi="仿宋" w:eastAsia="仿宋" w:cs="Arial"/>
          <w:color w:val="000000" w:themeColor="text1"/>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w:t>
      </w:r>
      <w:r>
        <w:rPr>
          <w:rFonts w:ascii="仿宋" w:hAnsi="仿宋" w:eastAsia="仿宋" w:cs="Arial"/>
          <w:color w:val="000000" w:themeColor="text1"/>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w:t>
      </w:r>
      <w:r>
        <w:rPr>
          <w:rFonts w:ascii="仿宋" w:hAnsi="仿宋" w:eastAsia="仿宋" w:cs="Arial"/>
          <w:color w:val="000000" w:themeColor="text1"/>
          <w:szCs w:val="21"/>
        </w:rPr>
        <w:t>本合同未尽事宜，遵照《</w:t>
      </w:r>
      <w:r>
        <w:rPr>
          <w:rFonts w:hint="eastAsia" w:ascii="仿宋" w:hAnsi="仿宋" w:eastAsia="仿宋" w:cs="Arial"/>
          <w:color w:val="000000" w:themeColor="text1"/>
          <w:szCs w:val="21"/>
        </w:rPr>
        <w:t>民法典</w:t>
      </w:r>
      <w:r>
        <w:rPr>
          <w:rFonts w:ascii="仿宋" w:hAnsi="仿宋" w:eastAsia="仿宋" w:cs="Arial"/>
          <w:color w:val="000000" w:themeColor="text1"/>
          <w:szCs w:val="21"/>
        </w:rPr>
        <w:t>》有关条文执行。</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4</w:t>
      </w:r>
      <w:r>
        <w:rPr>
          <w:rFonts w:hint="eastAsia" w:ascii="仿宋" w:hAnsi="仿宋" w:eastAsia="仿宋" w:cs="Arial"/>
          <w:color w:val="000000" w:themeColor="text1"/>
          <w:szCs w:val="21"/>
        </w:rPr>
        <w:t>．</w:t>
      </w:r>
      <w:r>
        <w:rPr>
          <w:rFonts w:ascii="仿宋" w:hAnsi="仿宋" w:eastAsia="仿宋" w:cs="Arial"/>
          <w:color w:val="000000" w:themeColor="text1"/>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甲方：                       乙方： </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 xml:space="preserve">地址：                       地址： </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法定</w:t>
      </w:r>
      <w:r>
        <w:rPr>
          <w:rFonts w:hint="eastAsia" w:ascii="仿宋" w:hAnsi="仿宋" w:eastAsia="仿宋" w:cs="Arial"/>
          <w:color w:val="000000" w:themeColor="text1"/>
          <w:szCs w:val="21"/>
        </w:rPr>
        <w:t>（授权）</w:t>
      </w:r>
      <w:r>
        <w:rPr>
          <w:rFonts w:ascii="仿宋" w:hAnsi="仿宋" w:eastAsia="仿宋" w:cs="Arial"/>
          <w:color w:val="000000" w:themeColor="text1"/>
          <w:szCs w:val="21"/>
        </w:rPr>
        <w:t>代表人：         法定</w:t>
      </w:r>
      <w:r>
        <w:rPr>
          <w:rFonts w:hint="eastAsia" w:ascii="仿宋" w:hAnsi="仿宋" w:eastAsia="仿宋" w:cs="Arial"/>
          <w:color w:val="000000" w:themeColor="text1"/>
          <w:szCs w:val="21"/>
        </w:rPr>
        <w:t>（授权）</w:t>
      </w:r>
      <w:r>
        <w:rPr>
          <w:rFonts w:ascii="仿宋" w:hAnsi="仿宋" w:eastAsia="仿宋" w:cs="Arial"/>
          <w:color w:val="000000" w:themeColor="text1"/>
          <w:szCs w:val="21"/>
        </w:rPr>
        <w:t>代表人：</w:t>
      </w:r>
    </w:p>
    <w:p>
      <w:pPr>
        <w:snapToGrid w:val="0"/>
        <w:spacing w:line="360" w:lineRule="auto"/>
        <w:ind w:firstLine="315" w:firstLineChars="150"/>
        <w:rPr>
          <w:rFonts w:ascii="仿宋" w:hAnsi="仿宋" w:eastAsia="仿宋" w:cs="Arial"/>
          <w:color w:val="000000" w:themeColor="text1"/>
          <w:szCs w:val="21"/>
        </w:rPr>
      </w:pPr>
      <w:r>
        <w:rPr>
          <w:rFonts w:ascii="仿宋" w:hAnsi="仿宋" w:eastAsia="仿宋" w:cs="Arial"/>
          <w:color w:val="000000" w:themeColor="text1"/>
          <w:szCs w:val="21"/>
        </w:rPr>
        <w:t xml:space="preserve"> 签</w:t>
      </w:r>
      <w:r>
        <w:rPr>
          <w:rFonts w:hint="eastAsia" w:ascii="仿宋" w:hAnsi="仿宋" w:eastAsia="仿宋" w:cs="Arial"/>
          <w:color w:val="000000" w:themeColor="text1"/>
          <w:szCs w:val="21"/>
        </w:rPr>
        <w:t>字日期</w:t>
      </w:r>
      <w:r>
        <w:rPr>
          <w:rFonts w:ascii="仿宋" w:hAnsi="仿宋" w:eastAsia="仿宋" w:cs="Arial"/>
          <w:color w:val="000000" w:themeColor="text1"/>
          <w:szCs w:val="21"/>
        </w:rPr>
        <w:t xml:space="preserve">：    年  月  日  </w:t>
      </w:r>
      <w:r>
        <w:rPr>
          <w:rFonts w:hint="eastAsia" w:ascii="仿宋" w:hAnsi="仿宋" w:eastAsia="仿宋" w:cs="Arial"/>
          <w:color w:val="000000" w:themeColor="text1"/>
          <w:szCs w:val="21"/>
        </w:rPr>
        <w:t xml:space="preserve"> </w:t>
      </w:r>
      <w:r>
        <w:rPr>
          <w:rFonts w:ascii="仿宋" w:hAnsi="仿宋" w:eastAsia="仿宋" w:cs="Arial"/>
          <w:color w:val="000000" w:themeColor="text1"/>
          <w:szCs w:val="21"/>
        </w:rPr>
        <w:t xml:space="preserve">    签</w:t>
      </w:r>
      <w:r>
        <w:rPr>
          <w:rFonts w:hint="eastAsia" w:ascii="仿宋" w:hAnsi="仿宋" w:eastAsia="仿宋" w:cs="Arial"/>
          <w:color w:val="000000" w:themeColor="text1"/>
          <w:szCs w:val="21"/>
        </w:rPr>
        <w:t>字</w:t>
      </w:r>
      <w:r>
        <w:rPr>
          <w:rFonts w:ascii="仿宋" w:hAnsi="仿宋" w:eastAsia="仿宋" w:cs="Arial"/>
          <w:color w:val="000000" w:themeColor="text1"/>
          <w:szCs w:val="21"/>
        </w:rPr>
        <w:t>日期：   年  月  日</w:t>
      </w:r>
    </w:p>
    <w:p>
      <w:pPr>
        <w:snapToGrid w:val="0"/>
        <w:spacing w:line="360" w:lineRule="auto"/>
        <w:ind w:firstLine="420" w:firstLineChars="200"/>
        <w:rPr>
          <w:rFonts w:ascii="仿宋" w:hAnsi="仿宋" w:eastAsia="仿宋" w:cs="Arial"/>
          <w:color w:val="000000" w:themeColor="text1"/>
          <w:szCs w:val="21"/>
        </w:rPr>
      </w:pPr>
    </w:p>
    <w:p>
      <w:pPr>
        <w:snapToGrid w:val="0"/>
        <w:spacing w:line="360" w:lineRule="auto"/>
        <w:ind w:firstLine="525" w:firstLineChars="250"/>
        <w:rPr>
          <w:rFonts w:ascii="仿宋" w:hAnsi="仿宋" w:eastAsia="仿宋" w:cs="Arial"/>
          <w:color w:val="000000" w:themeColor="text1"/>
          <w:szCs w:val="21"/>
        </w:rPr>
      </w:pPr>
      <w:r>
        <w:rPr>
          <w:rFonts w:hint="eastAsia" w:ascii="仿宋" w:hAnsi="仿宋" w:eastAsia="仿宋" w:cs="Arial"/>
          <w:color w:val="000000" w:themeColor="text1"/>
          <w:szCs w:val="21"/>
        </w:rPr>
        <w:t xml:space="preserve"> 合同鉴证方:</w:t>
      </w:r>
    </w:p>
    <w:p>
      <w:pPr>
        <w:snapToGrid w:val="0"/>
        <w:spacing w:line="360" w:lineRule="auto"/>
        <w:ind w:firstLine="630" w:firstLineChars="300"/>
        <w:rPr>
          <w:rFonts w:ascii="仿宋" w:hAnsi="仿宋" w:eastAsia="仿宋" w:cs="Arial"/>
          <w:color w:val="000000" w:themeColor="text1"/>
          <w:szCs w:val="21"/>
        </w:rPr>
      </w:pPr>
      <w:r>
        <w:rPr>
          <w:rFonts w:hint="eastAsia" w:ascii="仿宋" w:hAnsi="仿宋" w:eastAsia="仿宋" w:cs="Arial"/>
          <w:color w:val="000000" w:themeColor="text1"/>
          <w:szCs w:val="21"/>
        </w:rPr>
        <w:t>鉴证人:</w:t>
      </w:r>
    </w:p>
    <w:p>
      <w:pPr>
        <w:snapToGrid w:val="0"/>
        <w:spacing w:line="360" w:lineRule="auto"/>
        <w:ind w:firstLine="630" w:firstLineChars="300"/>
        <w:rPr>
          <w:rFonts w:ascii="仿宋" w:hAnsi="仿宋" w:eastAsia="仿宋" w:cs="Arial"/>
          <w:color w:val="000000" w:themeColor="text1"/>
          <w:szCs w:val="21"/>
        </w:rPr>
      </w:pPr>
      <w:r>
        <w:rPr>
          <w:rFonts w:hint="eastAsia" w:ascii="仿宋" w:hAnsi="仿宋" w:eastAsia="仿宋" w:cs="Arial"/>
          <w:color w:val="000000" w:themeColor="text1"/>
          <w:szCs w:val="21"/>
        </w:rPr>
        <w:t>鉴证日期:</w:t>
      </w:r>
    </w:p>
    <w:p>
      <w:pPr>
        <w:pStyle w:val="30"/>
        <w:rPr>
          <w:rFonts w:ascii="仿宋" w:hAnsi="仿宋" w:eastAsia="仿宋" w:cs="Arial"/>
          <w:color w:val="000000" w:themeColor="text1"/>
          <w:szCs w:val="21"/>
        </w:rPr>
      </w:pPr>
    </w:p>
    <w:p>
      <w:pPr>
        <w:pStyle w:val="30"/>
        <w:rPr>
          <w:rFonts w:ascii="仿宋" w:hAnsi="仿宋" w:eastAsia="仿宋" w:cs="Arial"/>
          <w:color w:val="000000" w:themeColor="text1"/>
          <w:szCs w:val="21"/>
        </w:rPr>
      </w:pPr>
    </w:p>
    <w:p>
      <w:pPr>
        <w:autoSpaceDE w:val="0"/>
        <w:autoSpaceDN w:val="0"/>
        <w:adjustRightInd w:val="0"/>
        <w:spacing w:line="400" w:lineRule="atLeast"/>
        <w:jc w:val="center"/>
        <w:rPr>
          <w:rFonts w:ascii="宋体"/>
          <w:color w:val="000000" w:themeColor="text1"/>
          <w:sz w:val="22"/>
        </w:rPr>
        <w:sectPr>
          <w:pgSz w:w="11906" w:h="16838"/>
          <w:pgMar w:top="1440" w:right="1800" w:bottom="1440" w:left="1800" w:header="851" w:footer="992" w:gutter="0"/>
          <w:pgNumType w:fmt="decimal"/>
          <w:cols w:space="425" w:num="1"/>
          <w:docGrid w:type="lines" w:linePitch="312" w:charSpace="0"/>
        </w:sectPr>
      </w:pPr>
      <w:r>
        <w:rPr>
          <w:rFonts w:hint="eastAsia" w:ascii="宋体"/>
          <w:color w:val="000000" w:themeColor="text1"/>
          <w:sz w:val="22"/>
        </w:rPr>
        <w:t>（合同签订后采购人或供应商须将合同副本送达金华市公共资源交易中心采购科（地址：金华市双龙南街858号财富大厦4楼405室）鉴证）</w:t>
      </w:r>
    </w:p>
    <w:p>
      <w:pPr>
        <w:pStyle w:val="16"/>
        <w:spacing w:before="156" w:after="156" w:line="360" w:lineRule="auto"/>
        <w:jc w:val="center"/>
        <w:outlineLvl w:val="0"/>
        <w:rPr>
          <w:color w:val="000000" w:themeColor="text1"/>
          <w:sz w:val="36"/>
          <w:lang w:val="zh-CN"/>
        </w:rPr>
      </w:pPr>
      <w:r>
        <w:rPr>
          <w:rFonts w:hint="eastAsia" w:hAnsi="宋体"/>
          <w:b/>
          <w:color w:val="000000" w:themeColor="text1"/>
          <w:sz w:val="36"/>
          <w:szCs w:val="36"/>
        </w:rPr>
        <w:t>第七章</w:t>
      </w:r>
      <w:r>
        <w:rPr>
          <w:rFonts w:hAnsi="宋体"/>
          <w:b/>
          <w:color w:val="000000" w:themeColor="text1"/>
          <w:sz w:val="36"/>
          <w:szCs w:val="36"/>
        </w:rPr>
        <w:t xml:space="preserve"> </w:t>
      </w:r>
      <w:r>
        <w:rPr>
          <w:rFonts w:hint="eastAsia" w:hAnsi="宋体"/>
          <w:b/>
          <w:color w:val="000000" w:themeColor="text1"/>
          <w:sz w:val="36"/>
          <w:szCs w:val="36"/>
        </w:rPr>
        <w:t>投标文件格式</w:t>
      </w:r>
    </w:p>
    <w:p>
      <w:pPr>
        <w:autoSpaceDE w:val="0"/>
        <w:autoSpaceDN w:val="0"/>
        <w:adjustRightInd w:val="0"/>
        <w:spacing w:after="312" w:afterLines="100" w:line="460" w:lineRule="atLeast"/>
        <w:rPr>
          <w:rFonts w:ascii="宋体" w:hAnsi="Courier New" w:cs="Arial"/>
          <w:color w:val="000000" w:themeColor="text1"/>
          <w:sz w:val="22"/>
        </w:rPr>
      </w:pPr>
      <w:r>
        <w:rPr>
          <w:rFonts w:hint="eastAsia" w:ascii="宋体" w:hAnsi="Courier New" w:cs="Arial"/>
          <w:color w:val="000000" w:themeColor="text1"/>
          <w:sz w:val="22"/>
        </w:rPr>
        <w:t>附件一</w:t>
      </w:r>
    </w:p>
    <w:p>
      <w:pPr>
        <w:pStyle w:val="58"/>
        <w:ind w:firstLine="0" w:firstLineChars="0"/>
        <w:jc w:val="center"/>
        <w:rPr>
          <w:b/>
          <w:bCs/>
          <w:color w:val="000000" w:themeColor="text1"/>
        </w:rPr>
      </w:pPr>
      <w:r>
        <w:rPr>
          <w:b/>
          <w:bCs/>
          <w:color w:val="000000" w:themeColor="text1"/>
        </w:rPr>
        <w:t>供应商参加政府采购活动应当具备的一般条件的承诺函</w:t>
      </w:r>
    </w:p>
    <w:p>
      <w:pPr>
        <w:tabs>
          <w:tab w:val="left" w:pos="0"/>
        </w:tabs>
        <w:snapToGrid w:val="0"/>
        <w:spacing w:line="360" w:lineRule="auto"/>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（采购人）、（采购代理机构）：</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我方参与XXX项目【项目编号：XXX】政府采购活动，郑重承诺：</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（一）具备《中华人民共和国政府采购法》第二十二条第一款规定的条件：</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1、具有独立承担民事责任的能力；</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 xml:space="preserve">2、具有良好的商业信誉和健全的财务会计制度； </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3、具有履行合同所必需的设备和专业技术能力；</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4、有依法缴纳税收和社会保障资金的良好记录；</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5、参加政府采购活动前三年内，在经营活动中没有重大违法记录；</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6、具有法律、行政法规规定的其他条件。</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（三）不存在以下情况：</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ascii="仿宋" w:hAnsi="仿宋" w:eastAsia="仿宋" w:cs="Helvetica"/>
          <w:color w:val="000000" w:themeColor="text1"/>
          <w:kern w:val="0"/>
          <w:sz w:val="24"/>
          <w:szCs w:val="24"/>
        </w:rPr>
      </w:pPr>
    </w:p>
    <w:p>
      <w:pPr>
        <w:tabs>
          <w:tab w:val="left" w:pos="0"/>
        </w:tabs>
        <w:snapToGrid w:val="0"/>
        <w:spacing w:line="360" w:lineRule="auto"/>
        <w:ind w:firstLine="480"/>
        <w:rPr>
          <w:rFonts w:ascii="仿宋" w:hAnsi="仿宋" w:eastAsia="仿宋" w:cs="Helvetica"/>
          <w:color w:val="000000" w:themeColor="text1"/>
          <w:kern w:val="0"/>
          <w:sz w:val="24"/>
          <w:szCs w:val="24"/>
        </w:rPr>
      </w:pPr>
    </w:p>
    <w:p>
      <w:pPr>
        <w:tabs>
          <w:tab w:val="left" w:pos="0"/>
        </w:tabs>
        <w:snapToGrid w:val="0"/>
        <w:spacing w:line="360" w:lineRule="auto"/>
        <w:ind w:firstLine="480"/>
        <w:rPr>
          <w:rFonts w:ascii="仿宋" w:hAnsi="仿宋" w:eastAsia="仿宋" w:cs="Helvetica"/>
          <w:color w:val="000000" w:themeColor="text1"/>
          <w:kern w:val="0"/>
          <w:sz w:val="24"/>
          <w:szCs w:val="24"/>
        </w:rPr>
      </w:pPr>
    </w:p>
    <w:p>
      <w:pPr>
        <w:tabs>
          <w:tab w:val="left" w:pos="0"/>
        </w:tabs>
        <w:snapToGrid w:val="0"/>
        <w:spacing w:line="360" w:lineRule="auto"/>
        <w:ind w:firstLine="5040" w:firstLineChars="210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投标人名称(电子签名)：</w:t>
      </w:r>
    </w:p>
    <w:p>
      <w:pPr>
        <w:tabs>
          <w:tab w:val="left" w:pos="0"/>
        </w:tabs>
        <w:snapToGrid w:val="0"/>
        <w:spacing w:line="360" w:lineRule="auto"/>
        <w:ind w:firstLine="480"/>
        <w:rPr>
          <w:rFonts w:ascii="仿宋" w:hAnsi="仿宋" w:eastAsia="仿宋" w:cs="Helvetica"/>
          <w:color w:val="000000" w:themeColor="text1"/>
          <w:kern w:val="0"/>
          <w:sz w:val="24"/>
          <w:szCs w:val="24"/>
        </w:rPr>
      </w:pPr>
      <w:r>
        <w:rPr>
          <w:rFonts w:hint="eastAsia" w:ascii="仿宋" w:hAnsi="仿宋" w:eastAsia="仿宋" w:cs="Helvetica"/>
          <w:color w:val="000000" w:themeColor="text1"/>
          <w:kern w:val="0"/>
          <w:sz w:val="24"/>
          <w:szCs w:val="24"/>
        </w:rPr>
        <w:t xml:space="preserve">                                       日期：  年  月   日</w:t>
      </w:r>
    </w:p>
    <w:p>
      <w:pPr>
        <w:pStyle w:val="2"/>
        <w:rPr>
          <w:rFonts w:hint="default"/>
          <w:color w:val="000000" w:themeColor="text1"/>
        </w:rPr>
        <w:sectPr>
          <w:pgSz w:w="11906" w:h="16838"/>
          <w:pgMar w:top="1440" w:right="1800" w:bottom="1440" w:left="1800" w:header="851" w:footer="992" w:gutter="0"/>
          <w:pgNumType w:fmt="decimal"/>
          <w:cols w:space="425" w:num="1"/>
          <w:docGrid w:type="lines" w:linePitch="312" w:charSpace="0"/>
        </w:sectPr>
      </w:pPr>
    </w:p>
    <w:p>
      <w:pPr>
        <w:rPr>
          <w:color w:val="000000" w:themeColor="text1"/>
        </w:rPr>
      </w:pPr>
    </w:p>
    <w:p>
      <w:pPr>
        <w:pStyle w:val="58"/>
        <w:ind w:firstLine="480"/>
        <w:rPr>
          <w:color w:val="000000" w:themeColor="text1"/>
        </w:rPr>
      </w:pPr>
    </w:p>
    <w:p>
      <w:pPr>
        <w:snapToGrid w:val="0"/>
        <w:spacing w:line="360" w:lineRule="auto"/>
        <w:ind w:firstLine="600" w:firstLineChars="200"/>
        <w:jc w:val="center"/>
        <w:rPr>
          <w:rFonts w:ascii="仿宋" w:hAnsi="仿宋" w:eastAsia="仿宋" w:cs="Arial"/>
          <w:b/>
          <w:color w:val="000000" w:themeColor="text1"/>
          <w:sz w:val="30"/>
          <w:szCs w:val="30"/>
        </w:rPr>
      </w:pPr>
      <w:bookmarkStart w:id="218" w:name="_Toc25524"/>
      <w:r>
        <w:rPr>
          <w:color w:val="000000" w:themeColor="text1"/>
          <w:sz w:val="30"/>
        </w:rPr>
        <w:pict>
          <v:shape id="_x0000_s1026" o:spid="_x0000_s1026" o:spt="202" type="#_x0000_t202" style="position:absolute;left:0pt;margin-left:19.5pt;margin-top:-10.95pt;height:25pt;width:60pt;z-index:251660288;mso-width-relative:page;mso-height-relative:page;" stroked="f" coordsize="21600,21600" o:gfxdata="UEsDBAoAAAAAAIdO4kAAAAAAAAAAAAAAAAAEAAAAZHJzL1BLAwQUAAAACACHTuJABPMCF9QAAAAJ AQAADwAAAGRycy9kb3ducmV2LnhtbE2PS0/DMBCE70j8B2uRuLWOw0NtyKYHJK5I9HV24yWOsNdR 7D5/Pc4JjrMzmv2mXl28EycaYx8YQc0LEMRtMD13CNvNx2wBIibNRrvAhHClCKvm/q7WlQln/qLT OnUil3CsNIJNaaikjK0lr+M8DMTZ+w6j1ynLsZNm1Odc7p0si+JVet1z/mD1QO+W2p/10SPsO3/b 79QwWuPdM3/erptt6BEfH1TxBiLRJf2FYcLP6NBkpkM4sonCITwt85SEMCvVEsQUeJkuB4RyoUA2 tfy/oPkFUEsDBBQAAAAIAIdO4kDhPLRYOQIAAEwEAAAOAAAAZHJzL2Uyb0RvYy54bWytVEuOEzEQ 3SNxB8t70p0/idIZhYyCkCJmpIBYO253uiXbZWwn3eEAcANWbNhzrjkHZXdnJnxWiCycsuvlVb36 ZHHTKElOwroKdEb7vZQSoTnklT5k9P27zYuXlDjPdM4kaJHRs3D0Zvn82aI2czGAEmQuLEES7ea1 yWjpvZknieOlUMz1wAiNzgKsYh6v9pDkltXIrmQySNNJUoPNjQUunMPX29ZJl5G/KAT3d0XhhCcy o5ibj6eN5z6cyXLB5gfLTFnxLg32D1koVmkM+kh1yzwjR1v9QaUqbsFB4XscVAJFUXERNaCafvqb ml3JjIhasDjOPJbJ/T9a/vZ0b0mVY+8o0Uxhix6+fnn49uPh+2fSD+WpjZsjamcQ55tX0ARo9+7w MahuCqvCN+ohwZ8OZ6PZmJJzsNNBOuwKLRpPOAKmE+wdtoMjYNifjtFGxuSJyFjnXwtQJBgZtdjH WF522jrfQi+QENeBrPJNJWW82MN+LS05Mez5Jn469l9gUpM6o5PhOI3MGsLvW2qpMZmgu9UXLN/s m070HvIz1sJCO0zO8E2FWW6Z8/fM4vSgMNwIf4dHIQGDQGdRUoL99Lf3gMemopeSGqcxo+7jkVlB iXyjsd2z/mgUxjdeRuPpAC/22rO/9uijWgOKx5ZidtEMeC8vZmFBfcDFWYWo6GKaY+yM+ou59u2O 4OJxsVpFEA6sYX6rd4YH6lBqDaujh6KKLQllamvTVQ9HNja1W6+wE9f3iHr6E1j+B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KYEAABbQ29udGVu dF9UeXBlc10ueG1sUEsBAhQACgAAAAAAh07iQAAAAAAAAAAAAAAAAAYAAAAAAAAAAAAQAAAAiAMA AF9yZWxzL1BLAQIUABQAAAAIAIdO4kCKFGY80QAAAJQBAAALAAAAAAAAAAEAIAAAAKwDAABfcmVs cy8ucmVsc1BLAQIUAAoAAAAAAIdO4kAAAAAAAAAAAAAAAAAEAAAAAAAAAAAAEAAAAAAAAABkcnMv UEsBAhQAFAAAAAgAh07iQATzAhfUAAAACQEAAA8AAAAAAAAAAQAgAAAAIgAAAGRycy9kb3ducmV2 LnhtbFBLAQIUABQAAAAIAIdO4kDhPLRYOQIAAEwEAAAOAAAAAAAAAAEAIAAAACMBAABkcnMvZTJv RG9jLnhtbFBLBQYAAAAABgAGAFkBAADOBQAAAAA= ">
            <v:path/>
            <v:fill focussize="0,0"/>
            <v:stroke on="f" weight="0.5pt" joinstyle="miter"/>
            <v:imagedata o:title=""/>
            <o:lock v:ext="edit"/>
            <v:textbox>
              <w:txbxContent>
                <w:p>
                  <w:r>
                    <w:rPr>
                      <w:rFonts w:hint="eastAsia"/>
                    </w:rPr>
                    <w:t>附件二</w:t>
                  </w:r>
                </w:p>
              </w:txbxContent>
            </v:textbox>
          </v:shape>
        </w:pict>
      </w:r>
      <w:r>
        <w:rPr>
          <w:rFonts w:hint="eastAsia" w:ascii="仿宋" w:hAnsi="仿宋" w:eastAsia="仿宋" w:cs="Arial"/>
          <w:b/>
          <w:color w:val="000000" w:themeColor="text1"/>
          <w:sz w:val="30"/>
          <w:szCs w:val="30"/>
        </w:rPr>
        <w:t>开标一览表（货物类）</w:t>
      </w:r>
    </w:p>
    <w:p>
      <w:pPr>
        <w:snapToGrid w:val="0"/>
        <w:spacing w:line="360" w:lineRule="auto"/>
        <w:ind w:firstLine="480" w:firstLineChars="200"/>
        <w:rPr>
          <w:rFonts w:ascii="仿宋" w:hAnsi="仿宋" w:eastAsia="仿宋" w:cs="Arial"/>
          <w:color w:val="000000" w:themeColor="text1"/>
          <w:sz w:val="24"/>
          <w:szCs w:val="24"/>
        </w:rPr>
      </w:pPr>
      <w:r>
        <w:rPr>
          <w:rFonts w:hint="eastAsia" w:ascii="仿宋" w:hAnsi="仿宋" w:eastAsia="仿宋" w:cs="Arial"/>
          <w:color w:val="000000" w:themeColor="text1"/>
          <w:sz w:val="24"/>
          <w:szCs w:val="24"/>
        </w:rPr>
        <w:t>招标编号：</w:t>
      </w:r>
      <w:r>
        <w:rPr>
          <w:rFonts w:ascii="仿宋" w:hAnsi="仿宋" w:eastAsia="仿宋" w:cs="Arial"/>
          <w:color w:val="000000" w:themeColor="text1"/>
          <w:sz w:val="24"/>
          <w:szCs w:val="24"/>
          <w:u w:val="single"/>
        </w:rPr>
        <w:t xml:space="preserve">                     </w:t>
      </w:r>
      <w:r>
        <w:rPr>
          <w:rFonts w:hint="eastAsia" w:ascii="仿宋" w:hAnsi="仿宋" w:eastAsia="仿宋" w:cs="Arial"/>
          <w:color w:val="000000" w:themeColor="text1"/>
          <w:sz w:val="24"/>
          <w:szCs w:val="24"/>
        </w:rPr>
        <w:t>标项：</w:t>
      </w:r>
      <w:r>
        <w:rPr>
          <w:rFonts w:ascii="仿宋" w:hAnsi="仿宋" w:eastAsia="仿宋" w:cs="Arial"/>
          <w:color w:val="000000" w:themeColor="text1"/>
          <w:sz w:val="24"/>
          <w:szCs w:val="24"/>
          <w:u w:val="single"/>
        </w:rPr>
        <w:t xml:space="preserve">             </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投标人名称：</w:t>
      </w:r>
      <w:r>
        <w:rPr>
          <w:rFonts w:ascii="仿宋" w:hAnsi="仿宋" w:eastAsia="仿宋" w:cs="Arial"/>
          <w:color w:val="000000" w:themeColor="text1"/>
          <w:sz w:val="24"/>
          <w:szCs w:val="24"/>
          <w:u w:val="single"/>
        </w:rPr>
        <w:t xml:space="preserve">                           </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单位：元</w:t>
      </w:r>
    </w:p>
    <w:tbl>
      <w:tblPr>
        <w:tblStyle w:val="3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序号</w:t>
            </w:r>
          </w:p>
        </w:tc>
        <w:tc>
          <w:tcPr>
            <w:tcW w:w="1417"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名称</w:t>
            </w:r>
          </w:p>
        </w:tc>
        <w:tc>
          <w:tcPr>
            <w:tcW w:w="1843" w:type="dxa"/>
          </w:tcPr>
          <w:p>
            <w:pPr>
              <w:spacing w:line="360" w:lineRule="auto"/>
              <w:jc w:val="center"/>
              <w:rPr>
                <w:rFonts w:ascii="仿宋_GB2312" w:hAnsi="仿宋" w:eastAsia="仿宋_GB2312"/>
                <w:b/>
                <w:color w:val="000000" w:themeColor="text1"/>
                <w:sz w:val="24"/>
              </w:rPr>
            </w:pPr>
          </w:p>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品牌（如果有）</w:t>
            </w:r>
          </w:p>
        </w:tc>
        <w:tc>
          <w:tcPr>
            <w:tcW w:w="3118"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规格型号（或具体服务）</w:t>
            </w:r>
          </w:p>
        </w:tc>
        <w:tc>
          <w:tcPr>
            <w:tcW w:w="993"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数量</w:t>
            </w:r>
          </w:p>
        </w:tc>
        <w:tc>
          <w:tcPr>
            <w:tcW w:w="1559"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单价</w:t>
            </w:r>
          </w:p>
        </w:tc>
        <w:tc>
          <w:tcPr>
            <w:tcW w:w="1984" w:type="dxa"/>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总价</w:t>
            </w:r>
          </w:p>
        </w:tc>
        <w:tc>
          <w:tcPr>
            <w:tcW w:w="3119" w:type="dxa"/>
            <w:vAlign w:val="center"/>
          </w:tcPr>
          <w:p>
            <w:pPr>
              <w:spacing w:line="360" w:lineRule="auto"/>
              <w:jc w:val="center"/>
              <w:rPr>
                <w:rFonts w:ascii="仿宋_GB2312" w:hAnsi="仿宋" w:eastAsia="仿宋_GB2312"/>
                <w:b/>
                <w:color w:val="000000" w:themeColor="text1"/>
                <w:sz w:val="24"/>
              </w:rPr>
            </w:pPr>
          </w:p>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b/>
                <w:color w:val="000000" w:themeColor="text1"/>
                <w:sz w:val="24"/>
              </w:rPr>
              <w:t>服务要求（年限）</w:t>
            </w:r>
          </w:p>
          <w:p>
            <w:pPr>
              <w:spacing w:line="360" w:lineRule="auto"/>
              <w:jc w:val="center"/>
              <w:rPr>
                <w:rFonts w:ascii="仿宋_GB2312" w:hAnsi="仿宋" w:eastAsia="仿宋_GB2312"/>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000000" w:themeColor="text1"/>
                <w:sz w:val="24"/>
              </w:rPr>
            </w:pPr>
            <w:r>
              <w:rPr>
                <w:rFonts w:ascii="仿宋_GB2312" w:hAnsi="仿宋" w:eastAsia="仿宋_GB2312" w:cs="仿宋_GB2312"/>
                <w:color w:val="000000" w:themeColor="text1"/>
                <w:sz w:val="24"/>
              </w:rPr>
              <w:t>1</w:t>
            </w: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r>
              <w:rPr>
                <w:rFonts w:ascii="仿宋_GB2312" w:hAnsi="仿宋" w:eastAsia="仿宋_GB2312" w:cs="仿宋_GB2312"/>
                <w:color w:val="000000" w:themeColor="text1"/>
                <w:sz w:val="24"/>
              </w:rPr>
              <w:t>2</w:t>
            </w: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w:t>
            </w: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rPr>
            </w:pPr>
          </w:p>
        </w:tc>
        <w:tc>
          <w:tcPr>
            <w:tcW w:w="993" w:type="dxa"/>
            <w:vAlign w:val="center"/>
          </w:tcPr>
          <w:p>
            <w:pPr>
              <w:snapToGrid w:val="0"/>
              <w:spacing w:line="360" w:lineRule="auto"/>
              <w:jc w:val="center"/>
              <w:rPr>
                <w:rFonts w:ascii="仿宋_GB2312" w:hAnsi="仿宋" w:eastAsia="仿宋_GB2312" w:cs="仿宋_GB2312"/>
                <w:color w:val="000000" w:themeColor="text1"/>
                <w:sz w:val="24"/>
              </w:rPr>
            </w:pPr>
          </w:p>
        </w:tc>
        <w:tc>
          <w:tcPr>
            <w:tcW w:w="1559" w:type="dxa"/>
            <w:vAlign w:val="center"/>
          </w:tcPr>
          <w:p>
            <w:pPr>
              <w:spacing w:line="360" w:lineRule="auto"/>
              <w:jc w:val="center"/>
              <w:rPr>
                <w:rFonts w:ascii="仿宋_GB2312" w:hAnsi="仿宋" w:eastAsia="仿宋_GB2312" w:cs="仿宋_GB2312"/>
                <w:color w:val="000000" w:themeColor="text1"/>
                <w:sz w:val="24"/>
              </w:rPr>
            </w:pPr>
          </w:p>
        </w:tc>
        <w:tc>
          <w:tcPr>
            <w:tcW w:w="1984" w:type="dxa"/>
            <w:vAlign w:val="center"/>
          </w:tcPr>
          <w:p>
            <w:pPr>
              <w:spacing w:line="360" w:lineRule="auto"/>
              <w:jc w:val="center"/>
              <w:rPr>
                <w:rFonts w:ascii="仿宋_GB2312" w:hAnsi="仿宋" w:eastAsia="仿宋_GB2312" w:cs="仿宋_GB2312"/>
                <w:color w:val="000000" w:themeColor="text1"/>
                <w:sz w:val="24"/>
              </w:rPr>
            </w:pPr>
          </w:p>
        </w:tc>
        <w:tc>
          <w:tcPr>
            <w:tcW w:w="3119" w:type="dxa"/>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投标报价（小写）</w:t>
            </w:r>
          </w:p>
        </w:tc>
        <w:tc>
          <w:tcPr>
            <w:tcW w:w="7655" w:type="dxa"/>
            <w:gridSpan w:val="4"/>
            <w:vAlign w:val="center"/>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投标报价（大写）</w:t>
            </w:r>
          </w:p>
        </w:tc>
        <w:tc>
          <w:tcPr>
            <w:tcW w:w="7655" w:type="dxa"/>
            <w:gridSpan w:val="4"/>
            <w:vAlign w:val="center"/>
          </w:tcPr>
          <w:p>
            <w:pPr>
              <w:spacing w:line="360" w:lineRule="auto"/>
              <w:jc w:val="center"/>
              <w:rPr>
                <w:rFonts w:ascii="仿宋_GB2312" w:hAnsi="仿宋" w:eastAsia="仿宋_GB2312" w:cs="仿宋_GB2312"/>
                <w:color w:val="000000" w:themeColor="text1"/>
                <w:sz w:val="24"/>
              </w:rPr>
            </w:pPr>
          </w:p>
        </w:tc>
      </w:tr>
    </w:tbl>
    <w:p>
      <w:pPr>
        <w:snapToGrid w:val="0"/>
        <w:spacing w:line="360" w:lineRule="auto"/>
        <w:ind w:firstLine="420" w:firstLineChars="200"/>
        <w:rPr>
          <w:rFonts w:ascii="仿宋" w:hAnsi="仿宋" w:eastAsia="仿宋" w:cs="Arial"/>
          <w:color w:val="000000" w:themeColor="text1"/>
          <w:szCs w:val="21"/>
        </w:rPr>
      </w:pP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注</w:t>
      </w:r>
      <w:r>
        <w:rPr>
          <w:rFonts w:ascii="仿宋" w:hAnsi="仿宋" w:eastAsia="仿宋" w:cs="Arial"/>
          <w:color w:val="000000" w:themeColor="text1"/>
          <w:szCs w:val="21"/>
        </w:rPr>
        <w:t>: 1</w:t>
      </w:r>
      <w:r>
        <w:rPr>
          <w:rFonts w:hint="eastAsia" w:ascii="仿宋" w:hAnsi="仿宋" w:eastAsia="仿宋" w:cs="Arial"/>
          <w:color w:val="000000" w:themeColor="text1"/>
          <w:szCs w:val="21"/>
        </w:rPr>
        <w:t>、不提供此表格的将视为没有实质性响应招标文件。</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rPr>
          <w:rFonts w:ascii="仿宋" w:hAnsi="仿宋" w:eastAsia="仿宋" w:cs="Arial"/>
          <w:color w:val="000000" w:themeColor="text1"/>
          <w:szCs w:val="21"/>
        </w:rPr>
      </w:pPr>
      <w:r>
        <w:rPr>
          <w:rFonts w:ascii="仿宋" w:hAnsi="仿宋" w:eastAsia="仿宋" w:cs="Arial"/>
          <w:color w:val="000000" w:themeColor="text1"/>
          <w:szCs w:val="21"/>
        </w:rPr>
        <w:t>4</w:t>
      </w:r>
      <w:r>
        <w:rPr>
          <w:rFonts w:hint="eastAsia" w:ascii="仿宋" w:hAnsi="仿宋" w:eastAsia="仿宋" w:cs="Arial"/>
          <w:color w:val="000000" w:themeColor="text1"/>
          <w:szCs w:val="21"/>
        </w:rPr>
        <w:t>、以上报价应与“投标设备报价明细表”中的“投标总价”相一致。</w:t>
      </w:r>
    </w:p>
    <w:p>
      <w:pPr>
        <w:pStyle w:val="30"/>
        <w:ind w:left="0" w:leftChars="0"/>
        <w:rPr>
          <w:rFonts w:eastAsia="仿宋"/>
          <w:color w:val="000000" w:themeColor="text1"/>
        </w:rPr>
      </w:pPr>
      <w:r>
        <w:rPr>
          <w:rFonts w:hint="eastAsia" w:ascii="仿宋" w:hAnsi="仿宋" w:eastAsia="仿宋" w:cs="Arial"/>
          <w:color w:val="000000" w:themeColor="text1"/>
          <w:szCs w:val="21"/>
        </w:rPr>
        <w:t>5、可根据项目特点自行制定表格，但不可缺合计金额大小写。</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法定代表人或授权代表（签字或盖章）：</w:t>
      </w:r>
      <w:r>
        <w:rPr>
          <w:rFonts w:ascii="仿宋" w:hAnsi="仿宋" w:eastAsia="仿宋" w:cs="Arial"/>
          <w:color w:val="000000" w:themeColor="text1"/>
          <w:szCs w:val="21"/>
        </w:rPr>
        <w:t xml:space="preserve">                    </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投标人名称（盖章）：</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 xml:space="preserve">              </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日期：</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年</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月</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w:t>
      </w:r>
    </w:p>
    <w:p>
      <w:pPr>
        <w:snapToGrid w:val="0"/>
        <w:spacing w:line="360" w:lineRule="auto"/>
        <w:ind w:firstLine="420" w:firstLineChars="200"/>
        <w:rPr>
          <w:rFonts w:ascii="仿宋" w:hAnsi="仿宋" w:eastAsia="仿宋" w:cs="Arial"/>
          <w:color w:val="000000" w:themeColor="text1"/>
          <w:szCs w:val="21"/>
        </w:rPr>
        <w:sectPr>
          <w:pgSz w:w="16838" w:h="11906" w:orient="landscape"/>
          <w:pgMar w:top="1797" w:right="1474" w:bottom="1797" w:left="1247" w:header="851" w:footer="851" w:gutter="0"/>
          <w:pgNumType w:fmt="decimal"/>
          <w:cols w:space="720" w:num="1"/>
          <w:titlePg/>
          <w:docGrid w:linePitch="312" w:charSpace="0"/>
        </w:sectPr>
      </w:pPr>
    </w:p>
    <w:p>
      <w:pPr>
        <w:snapToGrid w:val="0"/>
        <w:spacing w:line="360" w:lineRule="auto"/>
        <w:ind w:firstLine="602" w:firstLineChars="200"/>
        <w:jc w:val="center"/>
        <w:rPr>
          <w:rFonts w:ascii="仿宋" w:hAnsi="仿宋" w:eastAsia="仿宋" w:cs="Arial"/>
          <w:b/>
          <w:color w:val="000000" w:themeColor="text1"/>
          <w:sz w:val="30"/>
          <w:szCs w:val="30"/>
        </w:rPr>
      </w:pPr>
      <w:r>
        <w:rPr>
          <w:rFonts w:hint="eastAsia" w:ascii="仿宋" w:hAnsi="仿宋" w:eastAsia="仿宋" w:cs="Arial"/>
          <w:b/>
          <w:color w:val="000000" w:themeColor="text1"/>
          <w:sz w:val="30"/>
          <w:szCs w:val="30"/>
        </w:rPr>
        <w:t>开标一览表（服务类）</w:t>
      </w:r>
    </w:p>
    <w:p>
      <w:pPr>
        <w:snapToGrid w:val="0"/>
        <w:spacing w:line="360" w:lineRule="auto"/>
        <w:ind w:firstLine="480" w:firstLineChars="200"/>
        <w:rPr>
          <w:rFonts w:ascii="仿宋" w:hAnsi="仿宋" w:eastAsia="仿宋" w:cs="Arial"/>
          <w:color w:val="000000" w:themeColor="text1"/>
          <w:sz w:val="24"/>
          <w:szCs w:val="24"/>
        </w:rPr>
      </w:pPr>
      <w:r>
        <w:rPr>
          <w:rFonts w:hint="eastAsia" w:ascii="仿宋" w:hAnsi="仿宋" w:eastAsia="仿宋" w:cs="Arial"/>
          <w:color w:val="000000" w:themeColor="text1"/>
          <w:sz w:val="24"/>
          <w:szCs w:val="24"/>
        </w:rPr>
        <w:t>招标编号：</w:t>
      </w:r>
      <w:r>
        <w:rPr>
          <w:rFonts w:ascii="仿宋" w:hAnsi="仿宋" w:eastAsia="仿宋" w:cs="Arial"/>
          <w:color w:val="000000" w:themeColor="text1"/>
          <w:sz w:val="24"/>
          <w:szCs w:val="24"/>
          <w:u w:val="single"/>
        </w:rPr>
        <w:t xml:space="preserve">              </w:t>
      </w:r>
      <w:r>
        <w:rPr>
          <w:rFonts w:hint="eastAsia" w:ascii="仿宋" w:hAnsi="仿宋" w:eastAsia="仿宋" w:cs="Arial"/>
          <w:color w:val="000000" w:themeColor="text1"/>
          <w:sz w:val="24"/>
          <w:szCs w:val="24"/>
        </w:rPr>
        <w:t>标</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项：</w:t>
      </w:r>
      <w:r>
        <w:rPr>
          <w:rFonts w:ascii="仿宋" w:hAnsi="仿宋" w:eastAsia="仿宋" w:cs="Arial"/>
          <w:color w:val="000000" w:themeColor="text1"/>
          <w:sz w:val="24"/>
          <w:szCs w:val="24"/>
          <w:u w:val="single"/>
        </w:rPr>
        <w:t xml:space="preserve">             </w:t>
      </w:r>
      <w:r>
        <w:rPr>
          <w:rFonts w:hint="eastAsia" w:ascii="仿宋" w:hAnsi="仿宋" w:eastAsia="仿宋" w:cs="Arial"/>
          <w:color w:val="000000" w:themeColor="text1"/>
          <w:sz w:val="24"/>
          <w:szCs w:val="24"/>
        </w:rPr>
        <w:t>投标人名称：</w:t>
      </w:r>
      <w:r>
        <w:rPr>
          <w:rFonts w:ascii="仿宋" w:hAnsi="仿宋" w:eastAsia="仿宋" w:cs="Arial"/>
          <w:color w:val="000000" w:themeColor="text1"/>
          <w:sz w:val="24"/>
          <w:szCs w:val="24"/>
          <w:u w:val="single"/>
        </w:rPr>
        <w:t xml:space="preserve">                                 </w:t>
      </w:r>
      <w:r>
        <w:rPr>
          <w:rFonts w:ascii="仿宋" w:hAnsi="仿宋" w:eastAsia="仿宋" w:cs="Arial"/>
          <w:color w:val="000000" w:themeColor="text1"/>
          <w:sz w:val="24"/>
          <w:szCs w:val="24"/>
        </w:rPr>
        <w:t xml:space="preserve">  </w:t>
      </w:r>
      <w:r>
        <w:rPr>
          <w:rFonts w:hint="eastAsia" w:ascii="仿宋" w:hAnsi="仿宋" w:eastAsia="仿宋" w:cs="Arial"/>
          <w:color w:val="000000" w:themeColor="text1"/>
          <w:sz w:val="24"/>
          <w:szCs w:val="24"/>
        </w:rPr>
        <w:t>单位：元</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2130"/>
        <w:gridCol w:w="1071"/>
        <w:gridCol w:w="901"/>
        <w:gridCol w:w="2519"/>
        <w:gridCol w:w="2048"/>
        <w:gridCol w:w="1013"/>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项目</w:t>
            </w: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货物名称</w:t>
            </w: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产地</w:t>
            </w: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品牌及厂家</w:t>
            </w: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单价</w:t>
            </w: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设备费</w:t>
            </w: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材料费</w:t>
            </w:r>
          </w:p>
        </w:tc>
        <w:tc>
          <w:tcPr>
            <w:tcW w:w="2130"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项目费用及利润</w:t>
            </w: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工程费</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工时费</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投标费用及利润</w:t>
            </w:r>
          </w:p>
        </w:tc>
        <w:tc>
          <w:tcPr>
            <w:tcW w:w="10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22" w:type="dxa"/>
            <w:gridSpan w:val="8"/>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合计金额大写：</w:t>
            </w: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w:t>
            </w:r>
          </w:p>
        </w:tc>
      </w:tr>
    </w:tbl>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注</w:t>
      </w:r>
      <w:r>
        <w:rPr>
          <w:rFonts w:ascii="仿宋" w:hAnsi="仿宋" w:eastAsia="仿宋" w:cs="Arial"/>
          <w:color w:val="000000" w:themeColor="text1"/>
          <w:szCs w:val="21"/>
        </w:rPr>
        <w:t>: 1</w:t>
      </w:r>
      <w:r>
        <w:rPr>
          <w:rFonts w:hint="eastAsia" w:ascii="仿宋" w:hAnsi="仿宋" w:eastAsia="仿宋" w:cs="Arial"/>
          <w:color w:val="000000" w:themeColor="text1"/>
          <w:szCs w:val="21"/>
        </w:rPr>
        <w:t>、不提供此表格的将视为没有实质性响应招标文件。</w:t>
      </w:r>
    </w:p>
    <w:p>
      <w:pPr>
        <w:snapToGrid w:val="0"/>
        <w:spacing w:line="360" w:lineRule="auto"/>
        <w:ind w:firstLine="840" w:firstLineChars="400"/>
        <w:rPr>
          <w:rFonts w:ascii="仿宋" w:hAnsi="仿宋" w:eastAsia="仿宋" w:cs="Arial"/>
          <w:color w:val="000000" w:themeColor="text1"/>
          <w:szCs w:val="21"/>
        </w:rPr>
      </w:pPr>
      <w:r>
        <w:rPr>
          <w:rFonts w:ascii="仿宋" w:hAnsi="仿宋" w:eastAsia="仿宋" w:cs="Arial"/>
          <w:color w:val="000000" w:themeColor="text1"/>
          <w:szCs w:val="21"/>
        </w:rPr>
        <w:t>2</w:t>
      </w:r>
      <w:r>
        <w:rPr>
          <w:rFonts w:hint="eastAsia" w:ascii="仿宋" w:hAnsi="仿宋" w:eastAsia="仿宋" w:cs="Arial"/>
          <w:color w:val="000000" w:themeColor="text1"/>
          <w:szCs w:val="21"/>
        </w:rPr>
        <w:t>、以上报价应与“投标费用明细表”中的“合计”数相一致。</w:t>
      </w:r>
    </w:p>
    <w:p>
      <w:pPr>
        <w:snapToGrid w:val="0"/>
        <w:spacing w:line="360" w:lineRule="auto"/>
        <w:ind w:firstLine="840" w:firstLineChars="400"/>
        <w:rPr>
          <w:rFonts w:ascii="仿宋" w:hAnsi="仿宋" w:eastAsia="仿宋" w:cs="Arial"/>
          <w:color w:val="000000" w:themeColor="text1"/>
          <w:szCs w:val="21"/>
        </w:rPr>
      </w:pPr>
      <w:r>
        <w:rPr>
          <w:rFonts w:ascii="仿宋" w:hAnsi="仿宋" w:eastAsia="仿宋" w:cs="Arial"/>
          <w:color w:val="000000" w:themeColor="text1"/>
          <w:szCs w:val="21"/>
        </w:rPr>
        <w:t>3</w:t>
      </w:r>
      <w:r>
        <w:rPr>
          <w:rFonts w:hint="eastAsia" w:ascii="仿宋" w:hAnsi="仿宋" w:eastAsia="仿宋" w:cs="Arial"/>
          <w:color w:val="000000" w:themeColor="text1"/>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840" w:firstLineChars="400"/>
        <w:rPr>
          <w:rFonts w:eastAsia="仿宋"/>
          <w:color w:val="000000" w:themeColor="text1"/>
        </w:rPr>
      </w:pPr>
      <w:r>
        <w:rPr>
          <w:rFonts w:hint="eastAsia" w:ascii="仿宋" w:hAnsi="仿宋" w:eastAsia="仿宋" w:cs="Arial"/>
          <w:color w:val="000000" w:themeColor="text1"/>
          <w:szCs w:val="21"/>
        </w:rPr>
        <w:t>4、可根据项目特点自行制定表格，但不可缺合计金额大小写。</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法定代表人或授权代表（签字或盖章）：</w:t>
      </w:r>
      <w:r>
        <w:rPr>
          <w:rFonts w:ascii="仿宋" w:hAnsi="仿宋" w:eastAsia="仿宋" w:cs="Arial"/>
          <w:color w:val="000000" w:themeColor="text1"/>
          <w:szCs w:val="21"/>
        </w:rPr>
        <w:t xml:space="preserve"> </w:t>
      </w:r>
    </w:p>
    <w:p>
      <w:pPr>
        <w:snapToGrid w:val="0"/>
        <w:spacing w:line="360" w:lineRule="auto"/>
        <w:ind w:firstLine="420" w:firstLineChars="200"/>
        <w:rPr>
          <w:rFonts w:ascii="仿宋" w:hAnsi="仿宋" w:eastAsia="仿宋" w:cs="Arial"/>
          <w:color w:val="000000" w:themeColor="text1"/>
          <w:szCs w:val="21"/>
        </w:rPr>
      </w:pPr>
      <w:r>
        <w:rPr>
          <w:rFonts w:hint="eastAsia" w:ascii="仿宋" w:hAnsi="仿宋" w:eastAsia="仿宋" w:cs="Arial"/>
          <w:color w:val="000000" w:themeColor="text1"/>
          <w:szCs w:val="21"/>
        </w:rPr>
        <w:t>投标人名称（盖章）：</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日期：</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年</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月</w:t>
      </w:r>
      <w:r>
        <w:rPr>
          <w:rFonts w:ascii="仿宋" w:hAnsi="仿宋" w:eastAsia="仿宋" w:cs="Arial"/>
          <w:color w:val="000000" w:themeColor="text1"/>
          <w:szCs w:val="21"/>
        </w:rPr>
        <w:t xml:space="preserve">   </w:t>
      </w:r>
      <w:r>
        <w:rPr>
          <w:rFonts w:hint="eastAsia" w:ascii="仿宋" w:hAnsi="仿宋" w:eastAsia="仿宋" w:cs="Arial"/>
          <w:color w:val="000000" w:themeColor="text1"/>
          <w:szCs w:val="21"/>
        </w:rPr>
        <w:t>日</w:t>
      </w:r>
    </w:p>
    <w:p>
      <w:pPr>
        <w:snapToGrid w:val="0"/>
        <w:spacing w:line="360" w:lineRule="auto"/>
        <w:ind w:firstLine="420" w:firstLineChars="200"/>
        <w:rPr>
          <w:rFonts w:ascii="仿宋" w:hAnsi="仿宋" w:eastAsia="仿宋" w:cs="Arial"/>
          <w:color w:val="000000" w:themeColor="text1"/>
          <w:szCs w:val="21"/>
        </w:rPr>
        <w:sectPr>
          <w:pgSz w:w="16838" w:h="11906" w:orient="landscape"/>
          <w:pgMar w:top="1797" w:right="1474" w:bottom="1797" w:left="1247" w:header="851" w:footer="851" w:gutter="0"/>
          <w:pgNumType w:fmt="decimal"/>
          <w:cols w:space="720" w:num="1"/>
          <w:titlePg/>
          <w:docGrid w:linePitch="312" w:charSpace="0"/>
        </w:sectPr>
      </w:pPr>
    </w:p>
    <w:bookmarkEnd w:id="218"/>
    <w:p>
      <w:pPr>
        <w:autoSpaceDE w:val="0"/>
        <w:autoSpaceDN w:val="0"/>
        <w:adjustRightInd w:val="0"/>
        <w:spacing w:line="460" w:lineRule="atLeast"/>
        <w:jc w:val="left"/>
        <w:rPr>
          <w:rFonts w:ascii="宋体" w:hAnsi="Courier New" w:cs="Arial"/>
          <w:color w:val="000000" w:themeColor="text1"/>
          <w:sz w:val="22"/>
        </w:rPr>
      </w:pPr>
      <w:bookmarkStart w:id="219" w:name="_Toc157410896"/>
      <w:r>
        <w:rPr>
          <w:rFonts w:hint="eastAsia" w:ascii="宋体" w:hAnsi="Courier New" w:cs="Arial"/>
          <w:color w:val="000000" w:themeColor="text1"/>
          <w:sz w:val="22"/>
        </w:rPr>
        <w:t>附件三</w:t>
      </w:r>
    </w:p>
    <w:bookmarkEnd w:id="219"/>
    <w:p>
      <w:pPr>
        <w:snapToGrid w:val="0"/>
        <w:spacing w:line="360" w:lineRule="auto"/>
        <w:ind w:firstLine="720" w:firstLineChars="200"/>
        <w:jc w:val="center"/>
        <w:rPr>
          <w:rFonts w:ascii="宋体"/>
          <w:color w:val="000000" w:themeColor="text1"/>
          <w:sz w:val="36"/>
          <w:szCs w:val="36"/>
          <w:lang w:val="zh-CN"/>
        </w:rPr>
      </w:pPr>
      <w:r>
        <w:rPr>
          <w:rFonts w:hint="eastAsia" w:ascii="宋体"/>
          <w:color w:val="000000" w:themeColor="text1"/>
          <w:sz w:val="36"/>
          <w:szCs w:val="36"/>
          <w:lang w:val="zh-CN"/>
        </w:rPr>
        <w:t>投标费用明细表</w:t>
      </w:r>
    </w:p>
    <w:p>
      <w:pPr>
        <w:snapToGrid w:val="0"/>
        <w:spacing w:line="360" w:lineRule="auto"/>
        <w:ind w:firstLine="560" w:firstLineChars="200"/>
        <w:rPr>
          <w:rFonts w:ascii="仿宋" w:hAnsi="仿宋" w:eastAsia="仿宋" w:cs="Arial"/>
          <w:color w:val="000000" w:themeColor="text1"/>
          <w:sz w:val="28"/>
          <w:szCs w:val="28"/>
        </w:rPr>
      </w:pPr>
      <w:r>
        <w:rPr>
          <w:rFonts w:ascii="仿宋" w:hAnsi="仿宋" w:eastAsia="仿宋" w:cs="Arial"/>
          <w:color w:val="000000" w:themeColor="text1"/>
          <w:sz w:val="28"/>
          <w:szCs w:val="28"/>
        </w:rPr>
        <w:t>标项：                       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color w:val="000000" w:themeColor="text1"/>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szCs w:val="24"/>
              </w:rPr>
            </w:pPr>
            <w:r>
              <w:rPr>
                <w:rFonts w:hint="eastAsia"/>
                <w:color w:val="000000" w:themeColor="text1"/>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color w:val="000000" w:themeColor="text1"/>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专用耗材</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r>
              <w:rPr>
                <w:rFonts w:hint="eastAsia"/>
                <w:color w:val="000000" w:themeColor="text1"/>
                <w:sz w:val="24"/>
                <w:szCs w:val="24"/>
              </w:rPr>
              <w:t>投 标 总</w:t>
            </w:r>
            <w:r>
              <w:rPr>
                <w:color w:val="000000" w:themeColor="text1"/>
                <w:sz w:val="24"/>
                <w:szCs w:val="24"/>
              </w:rPr>
              <w:t xml:space="preserve">  </w:t>
            </w:r>
            <w:r>
              <w:rPr>
                <w:rFonts w:hint="eastAsia"/>
                <w:color w:val="000000" w:themeColor="text1"/>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szCs w:val="24"/>
              </w:rPr>
            </w:pPr>
          </w:p>
        </w:tc>
      </w:tr>
    </w:tbl>
    <w:p>
      <w:pPr>
        <w:snapToGrid w:val="0"/>
        <w:spacing w:line="360" w:lineRule="auto"/>
        <w:ind w:firstLine="280" w:firstLineChars="10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法定代表人或授权代表（签字或盖章）：</w:t>
      </w:r>
      <w:r>
        <w:rPr>
          <w:rFonts w:ascii="仿宋" w:hAnsi="仿宋" w:eastAsia="仿宋" w:cs="Arial"/>
          <w:color w:val="000000" w:themeColor="text1"/>
          <w:sz w:val="28"/>
          <w:szCs w:val="28"/>
        </w:rPr>
        <w:t xml:space="preserve">          </w:t>
      </w:r>
    </w:p>
    <w:p>
      <w:pPr>
        <w:snapToGrid w:val="0"/>
        <w:spacing w:line="500" w:lineRule="atLeast"/>
        <w:ind w:firstLine="280" w:firstLineChars="100"/>
        <w:rPr>
          <w:rFonts w:ascii="宋体"/>
          <w:color w:val="000000" w:themeColor="text1"/>
          <w:sz w:val="22"/>
        </w:rPr>
      </w:pPr>
      <w:r>
        <w:rPr>
          <w:rFonts w:hint="eastAsia" w:ascii="仿宋" w:hAnsi="仿宋" w:eastAsia="仿宋" w:cs="Arial"/>
          <w:color w:val="000000" w:themeColor="text1"/>
          <w:sz w:val="28"/>
          <w:szCs w:val="28"/>
        </w:rPr>
        <w:t>投标人盖章：</w:t>
      </w:r>
      <w:r>
        <w:rPr>
          <w:rFonts w:ascii="仿宋" w:hAnsi="仿宋" w:eastAsia="仿宋" w:cs="Arial"/>
          <w:color w:val="000000" w:themeColor="text1"/>
          <w:sz w:val="28"/>
          <w:szCs w:val="28"/>
        </w:rPr>
        <w:t xml:space="preserve">                          </w:t>
      </w:r>
      <w:r>
        <w:rPr>
          <w:rFonts w:hint="eastAsia" w:ascii="仿宋" w:hAnsi="仿宋" w:eastAsia="仿宋" w:cs="Arial"/>
          <w:color w:val="000000" w:themeColor="text1"/>
          <w:sz w:val="28"/>
          <w:szCs w:val="28"/>
        </w:rPr>
        <w:t>日</w:t>
      </w:r>
      <w:r>
        <w:rPr>
          <w:rFonts w:ascii="仿宋" w:hAnsi="仿宋" w:eastAsia="仿宋" w:cs="Arial"/>
          <w:color w:val="000000" w:themeColor="text1"/>
          <w:sz w:val="28"/>
          <w:szCs w:val="28"/>
        </w:rPr>
        <w:t xml:space="preserve">  </w:t>
      </w:r>
      <w:r>
        <w:rPr>
          <w:rFonts w:hint="eastAsia" w:ascii="仿宋" w:hAnsi="仿宋" w:eastAsia="仿宋" w:cs="Arial"/>
          <w:color w:val="000000" w:themeColor="text1"/>
          <w:sz w:val="28"/>
          <w:szCs w:val="28"/>
        </w:rPr>
        <w:t>期：</w:t>
      </w:r>
    </w:p>
    <w:p>
      <w:pPr>
        <w:snapToGrid w:val="0"/>
        <w:spacing w:line="500" w:lineRule="atLeast"/>
        <w:ind w:firstLine="220" w:firstLineChars="100"/>
        <w:rPr>
          <w:rFonts w:ascii="宋体"/>
          <w:color w:val="000000" w:themeColor="text1"/>
          <w:sz w:val="22"/>
        </w:rPr>
      </w:pPr>
      <w:r>
        <w:rPr>
          <w:rFonts w:hint="eastAsia" w:ascii="宋体"/>
          <w:color w:val="000000" w:themeColor="text1"/>
          <w:sz w:val="22"/>
        </w:rPr>
        <w:t>注：</w:t>
      </w:r>
      <w:r>
        <w:rPr>
          <w:rFonts w:ascii="宋体"/>
          <w:color w:val="000000" w:themeColor="text1"/>
          <w:sz w:val="22"/>
        </w:rPr>
        <w:t>1、</w:t>
      </w:r>
      <w:r>
        <w:rPr>
          <w:rFonts w:hint="eastAsia" w:ascii="宋体"/>
          <w:color w:val="000000" w:themeColor="text1"/>
          <w:sz w:val="22"/>
        </w:rPr>
        <w:t>上表中的总计</w:t>
      </w:r>
      <w:r>
        <w:rPr>
          <w:rFonts w:ascii="宋体"/>
          <w:color w:val="000000" w:themeColor="text1"/>
          <w:sz w:val="22"/>
        </w:rPr>
        <w:t>报价应与开标一览表中投标</w:t>
      </w:r>
      <w:r>
        <w:rPr>
          <w:rFonts w:hint="eastAsia" w:ascii="宋体"/>
          <w:color w:val="000000" w:themeColor="text1"/>
          <w:sz w:val="22"/>
        </w:rPr>
        <w:t>报</w:t>
      </w:r>
      <w:r>
        <w:rPr>
          <w:rFonts w:ascii="宋体"/>
          <w:color w:val="000000" w:themeColor="text1"/>
          <w:sz w:val="22"/>
        </w:rPr>
        <w:t>价相一致。</w:t>
      </w:r>
    </w:p>
    <w:p>
      <w:pPr>
        <w:snapToGrid w:val="0"/>
        <w:spacing w:line="500" w:lineRule="atLeast"/>
        <w:ind w:firstLine="660" w:firstLineChars="300"/>
        <w:rPr>
          <w:rFonts w:ascii="宋体"/>
          <w:color w:val="000000" w:themeColor="text1"/>
          <w:sz w:val="22"/>
        </w:rPr>
      </w:pPr>
      <w:r>
        <w:rPr>
          <w:rFonts w:hint="eastAsia" w:ascii="宋体"/>
          <w:color w:val="000000" w:themeColor="text1"/>
          <w:sz w:val="22"/>
        </w:rPr>
        <w:t>2</w:t>
      </w:r>
      <w:r>
        <w:rPr>
          <w:rFonts w:ascii="宋体"/>
          <w:color w:val="000000" w:themeColor="text1"/>
          <w:sz w:val="22"/>
        </w:rPr>
        <w:t>、本表所列费用为本项目的全部费用，未列费用均为综合考虑。</w:t>
      </w:r>
    </w:p>
    <w:p>
      <w:pPr>
        <w:snapToGrid w:val="0"/>
        <w:spacing w:line="500" w:lineRule="atLeast"/>
        <w:ind w:firstLine="660" w:firstLineChars="300"/>
        <w:rPr>
          <w:rFonts w:ascii="宋体"/>
          <w:color w:val="000000" w:themeColor="text1"/>
          <w:sz w:val="22"/>
        </w:rPr>
      </w:pPr>
      <w:r>
        <w:rPr>
          <w:rFonts w:hint="eastAsia" w:ascii="宋体"/>
          <w:color w:val="000000" w:themeColor="text1"/>
          <w:sz w:val="22"/>
        </w:rPr>
        <w:t>3、以上格式可改动，投标供应商可根据本表结合实际自行扩充。</w:t>
      </w:r>
    </w:p>
    <w:p>
      <w:pPr>
        <w:snapToGrid w:val="0"/>
        <w:spacing w:line="500" w:lineRule="atLeast"/>
        <w:ind w:firstLine="660" w:firstLineChars="300"/>
        <w:rPr>
          <w:rFonts w:ascii="宋体"/>
          <w:color w:val="000000" w:themeColor="text1"/>
          <w:sz w:val="22"/>
        </w:rPr>
      </w:pPr>
      <w:r>
        <w:rPr>
          <w:rFonts w:hint="eastAsia" w:ascii="宋体"/>
          <w:color w:val="000000" w:themeColor="text1"/>
          <w:sz w:val="22"/>
        </w:rPr>
        <w:t>4、根据《中华人民共和国政府采购法实施条例》第四十三条规定，在中标或者成交公告的内容中增加本表，请各供应商认真填写，确保相关数据的真实性、完整性和合理性。</w:t>
      </w:r>
    </w:p>
    <w:p>
      <w:pPr>
        <w:rPr>
          <w:rFonts w:ascii="宋体"/>
          <w:color w:val="000000" w:themeColor="text1"/>
          <w:sz w:val="36"/>
          <w:szCs w:val="36"/>
          <w:lang w:val="zh-CN"/>
        </w:rPr>
      </w:pPr>
      <w:r>
        <w:rPr>
          <w:rFonts w:hint="eastAsia" w:ascii="宋体"/>
          <w:color w:val="000000" w:themeColor="text1"/>
          <w:sz w:val="36"/>
          <w:szCs w:val="36"/>
          <w:lang w:val="zh-CN"/>
        </w:rPr>
        <w:br w:type="page"/>
      </w:r>
    </w:p>
    <w:p>
      <w:pPr>
        <w:snapToGrid w:val="0"/>
        <w:spacing w:line="500" w:lineRule="atLeast"/>
        <w:rPr>
          <w:rFonts w:ascii="宋体"/>
          <w:color w:val="000000" w:themeColor="text1"/>
          <w:sz w:val="30"/>
          <w:szCs w:val="30"/>
        </w:rPr>
      </w:pPr>
      <w:r>
        <w:rPr>
          <w:rFonts w:hint="eastAsia" w:ascii="宋体" w:hAnsi="Courier New" w:cs="Arial"/>
          <w:color w:val="000000" w:themeColor="text1"/>
          <w:sz w:val="22"/>
        </w:rPr>
        <w:t>附件四</w:t>
      </w:r>
    </w:p>
    <w:p>
      <w:pPr>
        <w:autoSpaceDE w:val="0"/>
        <w:autoSpaceDN w:val="0"/>
        <w:adjustRightInd w:val="0"/>
        <w:spacing w:line="460" w:lineRule="atLeast"/>
        <w:jc w:val="center"/>
        <w:rPr>
          <w:rFonts w:ascii="宋体"/>
          <w:color w:val="000000" w:themeColor="text1"/>
          <w:sz w:val="36"/>
          <w:lang w:val="zh-CN"/>
        </w:rPr>
      </w:pPr>
      <w:r>
        <w:rPr>
          <w:rFonts w:hint="eastAsia" w:ascii="宋体"/>
          <w:color w:val="000000" w:themeColor="text1"/>
          <w:sz w:val="36"/>
          <w:lang w:val="zh-CN"/>
        </w:rPr>
        <w:t>投</w:t>
      </w:r>
      <w:r>
        <w:rPr>
          <w:rFonts w:ascii="宋体"/>
          <w:color w:val="000000" w:themeColor="text1"/>
          <w:sz w:val="36"/>
          <w:lang w:val="zh-CN"/>
        </w:rPr>
        <w:t xml:space="preserve">  </w:t>
      </w:r>
      <w:r>
        <w:rPr>
          <w:rFonts w:hint="eastAsia" w:ascii="宋体"/>
          <w:color w:val="000000" w:themeColor="text1"/>
          <w:sz w:val="36"/>
          <w:lang w:val="zh-CN"/>
        </w:rPr>
        <w:t>标</w:t>
      </w:r>
      <w:r>
        <w:rPr>
          <w:rFonts w:ascii="宋体"/>
          <w:color w:val="000000" w:themeColor="text1"/>
          <w:sz w:val="36"/>
          <w:lang w:val="zh-CN"/>
        </w:rPr>
        <w:t xml:space="preserve">  </w:t>
      </w:r>
      <w:r>
        <w:rPr>
          <w:rFonts w:hint="eastAsia" w:ascii="宋体"/>
          <w:color w:val="000000" w:themeColor="text1"/>
          <w:sz w:val="36"/>
          <w:lang w:val="zh-CN"/>
        </w:rPr>
        <w:t>函</w:t>
      </w:r>
    </w:p>
    <w:p>
      <w:pPr>
        <w:pStyle w:val="30"/>
        <w:rPr>
          <w:color w:val="000000" w:themeColor="text1"/>
          <w:lang w:val="zh-CN"/>
        </w:rPr>
      </w:pPr>
    </w:p>
    <w:p>
      <w:pPr>
        <w:snapToGrid w:val="0"/>
        <w:spacing w:line="360" w:lineRule="auto"/>
        <w:rPr>
          <w:rFonts w:ascii="宋体"/>
          <w:color w:val="000000" w:themeColor="text1"/>
          <w:sz w:val="22"/>
        </w:rPr>
      </w:pPr>
      <w:r>
        <w:rPr>
          <w:rFonts w:hint="eastAsia" w:ascii="宋体"/>
          <w:color w:val="000000" w:themeColor="text1"/>
          <w:sz w:val="22"/>
        </w:rPr>
        <w:t>致：</w:t>
      </w:r>
      <w:r>
        <w:rPr>
          <w:rFonts w:ascii="宋体"/>
          <w:color w:val="000000" w:themeColor="text1"/>
          <w:sz w:val="22"/>
        </w:rPr>
        <w:t>____</w:t>
      </w:r>
      <w:r>
        <w:rPr>
          <w:rFonts w:ascii="宋体"/>
          <w:color w:val="000000" w:themeColor="text1"/>
          <w:sz w:val="22"/>
          <w:u w:val="single"/>
        </w:rPr>
        <w:t>___     _</w:t>
      </w:r>
      <w:r>
        <w:rPr>
          <w:rFonts w:ascii="宋体"/>
          <w:color w:val="000000" w:themeColor="text1"/>
          <w:sz w:val="22"/>
        </w:rPr>
        <w:t>_</w:t>
      </w:r>
      <w:r>
        <w:rPr>
          <w:rFonts w:hint="eastAsia" w:ascii="宋体"/>
          <w:color w:val="000000" w:themeColor="text1"/>
          <w:sz w:val="22"/>
        </w:rPr>
        <w:t>（招标采购单位名称）：</w:t>
      </w:r>
    </w:p>
    <w:p>
      <w:pPr>
        <w:snapToGrid w:val="0"/>
        <w:spacing w:line="360" w:lineRule="auto"/>
        <w:ind w:firstLine="480"/>
        <w:rPr>
          <w:rFonts w:ascii="宋体"/>
          <w:color w:val="000000" w:themeColor="text1"/>
          <w:sz w:val="22"/>
        </w:rPr>
      </w:pPr>
      <w:r>
        <w:rPr>
          <w:rFonts w:hint="eastAsia" w:ascii="宋体"/>
          <w:color w:val="000000" w:themeColor="text1"/>
          <w:sz w:val="22"/>
        </w:rPr>
        <w:t>根据贵方为</w:t>
      </w:r>
      <w:r>
        <w:rPr>
          <w:rFonts w:ascii="宋体"/>
          <w:color w:val="000000" w:themeColor="text1"/>
          <w:sz w:val="22"/>
        </w:rPr>
        <w:t xml:space="preserve">                             </w:t>
      </w:r>
      <w:r>
        <w:rPr>
          <w:rFonts w:hint="eastAsia" w:ascii="宋体"/>
          <w:color w:val="000000" w:themeColor="text1"/>
          <w:sz w:val="22"/>
        </w:rPr>
        <w:t>项目的招标公告</w:t>
      </w:r>
      <w:r>
        <w:rPr>
          <w:rFonts w:ascii="宋体"/>
          <w:color w:val="000000" w:themeColor="text1"/>
          <w:sz w:val="22"/>
        </w:rPr>
        <w:t>/</w:t>
      </w:r>
      <w:r>
        <w:rPr>
          <w:rFonts w:hint="eastAsia" w:ascii="宋体"/>
          <w:color w:val="000000" w:themeColor="text1"/>
          <w:sz w:val="22"/>
        </w:rPr>
        <w:t>投标邀请书</w:t>
      </w:r>
    </w:p>
    <w:p>
      <w:pPr>
        <w:snapToGrid w:val="0"/>
        <w:spacing w:line="360" w:lineRule="auto"/>
        <w:rPr>
          <w:rFonts w:ascii="宋体"/>
          <w:color w:val="000000" w:themeColor="text1"/>
          <w:sz w:val="22"/>
        </w:rPr>
      </w:pPr>
      <w:r>
        <w:rPr>
          <w:rFonts w:hint="eastAsia" w:ascii="宋体"/>
          <w:color w:val="000000" w:themeColor="text1"/>
          <w:sz w:val="22"/>
        </w:rPr>
        <w:t>（项目编号：</w:t>
      </w:r>
      <w:r>
        <w:rPr>
          <w:rFonts w:ascii="宋体"/>
          <w:color w:val="000000" w:themeColor="text1"/>
          <w:sz w:val="22"/>
        </w:rPr>
        <w:t>___</w:t>
      </w:r>
      <w:r>
        <w:rPr>
          <w:rFonts w:ascii="宋体"/>
          <w:color w:val="000000" w:themeColor="text1"/>
          <w:sz w:val="22"/>
          <w:u w:val="single"/>
        </w:rPr>
        <w:t>__     _</w:t>
      </w:r>
      <w:r>
        <w:rPr>
          <w:rFonts w:ascii="宋体"/>
          <w:color w:val="000000" w:themeColor="text1"/>
          <w:sz w:val="22"/>
        </w:rPr>
        <w:t>_</w:t>
      </w:r>
      <w:r>
        <w:rPr>
          <w:rFonts w:hint="eastAsia" w:ascii="宋体"/>
          <w:color w:val="000000" w:themeColor="text1"/>
          <w:sz w:val="22"/>
        </w:rPr>
        <w:t>），签字代表</w:t>
      </w:r>
      <w:r>
        <w:rPr>
          <w:rFonts w:ascii="宋体"/>
          <w:color w:val="000000" w:themeColor="text1"/>
          <w:sz w:val="22"/>
        </w:rPr>
        <w:t xml:space="preserve">_______     </w:t>
      </w:r>
      <w:r>
        <w:rPr>
          <w:rFonts w:hint="eastAsia" w:ascii="宋体"/>
          <w:color w:val="000000" w:themeColor="text1"/>
          <w:sz w:val="22"/>
        </w:rPr>
        <w:t>（全名）经正式授权并代表投标人</w:t>
      </w:r>
      <w:r>
        <w:rPr>
          <w:rFonts w:ascii="宋体"/>
          <w:color w:val="000000" w:themeColor="text1"/>
          <w:sz w:val="22"/>
        </w:rPr>
        <w:t>_______                    __</w:t>
      </w:r>
      <w:r>
        <w:rPr>
          <w:rFonts w:hint="eastAsia" w:ascii="宋体"/>
          <w:color w:val="000000" w:themeColor="text1"/>
          <w:sz w:val="22"/>
        </w:rPr>
        <w:t>（投标人名称）提交资信</w:t>
      </w:r>
      <w:r>
        <w:rPr>
          <w:rFonts w:ascii="宋体"/>
          <w:color w:val="000000" w:themeColor="text1"/>
          <w:sz w:val="22"/>
        </w:rPr>
        <w:t>/</w:t>
      </w:r>
      <w:r>
        <w:rPr>
          <w:rFonts w:hint="eastAsia" w:ascii="宋体"/>
          <w:color w:val="000000" w:themeColor="text1"/>
          <w:sz w:val="22"/>
        </w:rPr>
        <w:t>商务文件、技术文件、报价文件电子投标文件。</w:t>
      </w:r>
    </w:p>
    <w:p>
      <w:pPr>
        <w:snapToGrid w:val="0"/>
        <w:spacing w:line="360" w:lineRule="auto"/>
        <w:ind w:firstLine="440" w:firstLineChars="200"/>
        <w:rPr>
          <w:rFonts w:ascii="宋体"/>
          <w:color w:val="000000" w:themeColor="text1"/>
          <w:sz w:val="22"/>
        </w:rPr>
      </w:pPr>
      <w:r>
        <w:rPr>
          <w:rFonts w:hint="eastAsia" w:ascii="宋体"/>
          <w:color w:val="000000" w:themeColor="text1"/>
          <w:sz w:val="22"/>
        </w:rPr>
        <w:t>据此函，签字代表宣布同意如下：</w:t>
      </w:r>
    </w:p>
    <w:p>
      <w:pPr>
        <w:snapToGrid w:val="0"/>
        <w:spacing w:line="360" w:lineRule="auto"/>
        <w:ind w:firstLine="440" w:firstLineChars="200"/>
        <w:rPr>
          <w:rFonts w:ascii="宋体"/>
          <w:color w:val="000000" w:themeColor="text1"/>
          <w:sz w:val="22"/>
        </w:rPr>
      </w:pPr>
      <w:r>
        <w:rPr>
          <w:rFonts w:ascii="宋体"/>
          <w:color w:val="000000" w:themeColor="text1"/>
          <w:sz w:val="22"/>
        </w:rPr>
        <w:t>1</w:t>
      </w:r>
      <w:r>
        <w:rPr>
          <w:rFonts w:hint="eastAsia" w:ascii="宋体"/>
          <w:color w:val="000000" w:themeColor="text1"/>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color w:val="000000" w:themeColor="text1"/>
          <w:sz w:val="22"/>
        </w:rPr>
      </w:pPr>
      <w:r>
        <w:rPr>
          <w:rFonts w:ascii="宋体"/>
          <w:color w:val="000000" w:themeColor="text1"/>
          <w:sz w:val="22"/>
        </w:rPr>
        <w:t>2</w:t>
      </w:r>
      <w:r>
        <w:rPr>
          <w:rFonts w:hint="eastAsia" w:ascii="宋体"/>
          <w:color w:val="000000" w:themeColor="text1"/>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color w:val="000000" w:themeColor="text1"/>
          <w:sz w:val="22"/>
        </w:rPr>
      </w:pPr>
      <w:r>
        <w:rPr>
          <w:rFonts w:ascii="宋体"/>
          <w:color w:val="000000" w:themeColor="text1"/>
          <w:sz w:val="22"/>
        </w:rPr>
        <w:t>3</w:t>
      </w:r>
      <w:r>
        <w:rPr>
          <w:rFonts w:hint="eastAsia" w:ascii="宋体"/>
          <w:color w:val="000000" w:themeColor="text1"/>
          <w:sz w:val="22"/>
        </w:rPr>
        <w:t>.本投标有效期自开标日起</w:t>
      </w:r>
      <w:r>
        <w:rPr>
          <w:rFonts w:ascii="宋体"/>
          <w:color w:val="000000" w:themeColor="text1"/>
          <w:sz w:val="22"/>
        </w:rPr>
        <w:t xml:space="preserve"> __</w:t>
      </w:r>
      <w:r>
        <w:rPr>
          <w:rFonts w:hint="eastAsia" w:ascii="宋体"/>
          <w:color w:val="000000" w:themeColor="text1"/>
          <w:sz w:val="22"/>
        </w:rPr>
        <w:t>90</w:t>
      </w:r>
      <w:r>
        <w:rPr>
          <w:rFonts w:ascii="宋体"/>
          <w:color w:val="000000" w:themeColor="text1"/>
          <w:sz w:val="22"/>
        </w:rPr>
        <w:t>___</w:t>
      </w:r>
      <w:r>
        <w:rPr>
          <w:rFonts w:hint="eastAsia" w:ascii="宋体"/>
          <w:color w:val="000000" w:themeColor="text1"/>
          <w:sz w:val="22"/>
        </w:rPr>
        <w:t>天。</w:t>
      </w:r>
    </w:p>
    <w:p>
      <w:pPr>
        <w:snapToGrid w:val="0"/>
        <w:spacing w:line="360" w:lineRule="auto"/>
        <w:ind w:firstLine="440" w:firstLineChars="200"/>
        <w:rPr>
          <w:rFonts w:ascii="宋体"/>
          <w:color w:val="000000" w:themeColor="text1"/>
          <w:sz w:val="22"/>
        </w:rPr>
      </w:pPr>
      <w:r>
        <w:rPr>
          <w:rFonts w:ascii="宋体"/>
          <w:color w:val="000000" w:themeColor="text1"/>
          <w:sz w:val="22"/>
        </w:rPr>
        <w:t>4</w:t>
      </w:r>
      <w:r>
        <w:rPr>
          <w:rFonts w:hint="eastAsia" w:ascii="宋体"/>
          <w:color w:val="000000" w:themeColor="text1"/>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color w:val="000000" w:themeColor="text1"/>
          <w:sz w:val="22"/>
        </w:rPr>
      </w:pPr>
      <w:r>
        <w:rPr>
          <w:rFonts w:ascii="宋体"/>
          <w:color w:val="000000" w:themeColor="text1"/>
          <w:sz w:val="22"/>
        </w:rPr>
        <w:t>5</w:t>
      </w:r>
      <w:r>
        <w:rPr>
          <w:rFonts w:hint="eastAsia" w:ascii="宋体"/>
          <w:color w:val="000000" w:themeColor="text1"/>
          <w:sz w:val="22"/>
        </w:rPr>
        <w:t>.投标人同意按照贵方要求提供与投标有关的一切数据或资料。</w:t>
      </w:r>
    </w:p>
    <w:p>
      <w:pPr>
        <w:snapToGrid w:val="0"/>
        <w:spacing w:line="360" w:lineRule="auto"/>
        <w:ind w:firstLine="440" w:firstLineChars="200"/>
        <w:rPr>
          <w:rFonts w:ascii="宋体"/>
          <w:color w:val="000000" w:themeColor="text1"/>
          <w:sz w:val="22"/>
        </w:rPr>
      </w:pPr>
      <w:r>
        <w:rPr>
          <w:rFonts w:ascii="宋体"/>
          <w:color w:val="000000" w:themeColor="text1"/>
          <w:sz w:val="22"/>
        </w:rPr>
        <w:t>6</w:t>
      </w:r>
      <w:r>
        <w:rPr>
          <w:rFonts w:hint="eastAsia" w:ascii="宋体"/>
          <w:color w:val="000000" w:themeColor="text1"/>
          <w:sz w:val="22"/>
        </w:rPr>
        <w:t>.与本投标有关的一切正式往来信函请寄：</w:t>
      </w:r>
    </w:p>
    <w:p>
      <w:pPr>
        <w:snapToGrid w:val="0"/>
        <w:spacing w:line="360" w:lineRule="auto"/>
        <w:rPr>
          <w:rFonts w:ascii="宋体"/>
          <w:color w:val="000000" w:themeColor="text1"/>
          <w:sz w:val="22"/>
        </w:rPr>
      </w:pPr>
      <w:r>
        <w:rPr>
          <w:rFonts w:hint="eastAsia" w:ascii="宋体"/>
          <w:color w:val="000000" w:themeColor="text1"/>
          <w:sz w:val="22"/>
        </w:rPr>
        <w:t>地址：</w:t>
      </w:r>
      <w:r>
        <w:rPr>
          <w:rFonts w:ascii="宋体"/>
          <w:color w:val="000000" w:themeColor="text1"/>
          <w:sz w:val="22"/>
        </w:rPr>
        <w:t>__________        _____</w:t>
      </w:r>
      <w:r>
        <w:rPr>
          <w:rFonts w:hint="eastAsia" w:ascii="宋体"/>
          <w:color w:val="000000" w:themeColor="text1"/>
          <w:sz w:val="22"/>
        </w:rPr>
        <w:t>邮编：</w:t>
      </w:r>
      <w:r>
        <w:rPr>
          <w:rFonts w:ascii="宋体"/>
          <w:color w:val="000000" w:themeColor="text1"/>
          <w:sz w:val="22"/>
        </w:rPr>
        <w:t xml:space="preserve">__________   </w:t>
      </w:r>
      <w:r>
        <w:rPr>
          <w:rFonts w:hint="eastAsia" w:ascii="宋体"/>
          <w:color w:val="000000" w:themeColor="text1"/>
          <w:sz w:val="22"/>
        </w:rPr>
        <w:t>电话：</w:t>
      </w:r>
      <w:r>
        <w:rPr>
          <w:rFonts w:ascii="宋体"/>
          <w:color w:val="000000" w:themeColor="text1"/>
          <w:sz w:val="22"/>
        </w:rPr>
        <w:t>______________</w:t>
      </w:r>
    </w:p>
    <w:p>
      <w:pPr>
        <w:snapToGrid w:val="0"/>
        <w:spacing w:line="360" w:lineRule="auto"/>
        <w:rPr>
          <w:rFonts w:ascii="宋体"/>
          <w:color w:val="000000" w:themeColor="text1"/>
          <w:sz w:val="22"/>
        </w:rPr>
      </w:pPr>
      <w:r>
        <w:rPr>
          <w:rFonts w:hint="eastAsia" w:ascii="宋体"/>
          <w:color w:val="000000" w:themeColor="text1"/>
          <w:sz w:val="22"/>
        </w:rPr>
        <w:t>传真：</w:t>
      </w:r>
      <w:r>
        <w:rPr>
          <w:rFonts w:ascii="宋体"/>
          <w:color w:val="000000" w:themeColor="text1"/>
          <w:sz w:val="22"/>
        </w:rPr>
        <w:t>______________</w:t>
      </w:r>
      <w:r>
        <w:rPr>
          <w:rFonts w:hint="eastAsia" w:ascii="宋体"/>
          <w:color w:val="000000" w:themeColor="text1"/>
          <w:sz w:val="22"/>
        </w:rPr>
        <w:t>投标人代表姓名</w:t>
      </w:r>
      <w:r>
        <w:rPr>
          <w:rFonts w:ascii="宋体"/>
          <w:color w:val="000000" w:themeColor="text1"/>
          <w:sz w:val="22"/>
        </w:rPr>
        <w:t xml:space="preserve"> ___________  </w:t>
      </w:r>
      <w:r>
        <w:rPr>
          <w:rFonts w:hint="eastAsia" w:ascii="宋体"/>
          <w:color w:val="000000" w:themeColor="text1"/>
          <w:sz w:val="22"/>
        </w:rPr>
        <w:t>职务：</w:t>
      </w:r>
      <w:r>
        <w:rPr>
          <w:rFonts w:ascii="宋体"/>
          <w:color w:val="000000" w:themeColor="text1"/>
          <w:sz w:val="22"/>
        </w:rPr>
        <w:t>______ _______</w:t>
      </w:r>
    </w:p>
    <w:p>
      <w:pPr>
        <w:snapToGrid w:val="0"/>
        <w:spacing w:line="360" w:lineRule="auto"/>
        <w:rPr>
          <w:rFonts w:ascii="宋体"/>
          <w:color w:val="000000" w:themeColor="text1"/>
          <w:sz w:val="22"/>
        </w:rPr>
      </w:pPr>
      <w:r>
        <w:rPr>
          <w:rFonts w:hint="eastAsia" w:ascii="宋体"/>
          <w:color w:val="000000" w:themeColor="text1"/>
          <w:sz w:val="22"/>
        </w:rPr>
        <w:t>投标人名称</w:t>
      </w:r>
      <w:r>
        <w:rPr>
          <w:rFonts w:ascii="宋体"/>
          <w:color w:val="000000" w:themeColor="text1"/>
          <w:sz w:val="22"/>
        </w:rPr>
        <w:t>(</w:t>
      </w:r>
      <w:r>
        <w:rPr>
          <w:rFonts w:hint="eastAsia" w:ascii="宋体"/>
          <w:color w:val="000000" w:themeColor="text1"/>
          <w:sz w:val="22"/>
        </w:rPr>
        <w:t>公章</w:t>
      </w:r>
      <w:r>
        <w:rPr>
          <w:rFonts w:ascii="宋体"/>
          <w:color w:val="000000" w:themeColor="text1"/>
          <w:sz w:val="22"/>
        </w:rPr>
        <w:t>):___________________</w:t>
      </w:r>
    </w:p>
    <w:p>
      <w:pPr>
        <w:snapToGrid w:val="0"/>
        <w:spacing w:line="360" w:lineRule="auto"/>
        <w:rPr>
          <w:rFonts w:ascii="宋体"/>
          <w:color w:val="000000" w:themeColor="text1"/>
          <w:sz w:val="22"/>
        </w:rPr>
      </w:pPr>
      <w:r>
        <w:rPr>
          <w:rFonts w:hint="eastAsia" w:ascii="宋体"/>
          <w:color w:val="000000" w:themeColor="text1"/>
          <w:sz w:val="22"/>
        </w:rPr>
        <w:t>开户银行：</w:t>
      </w:r>
      <w:r>
        <w:rPr>
          <w:rFonts w:ascii="宋体"/>
          <w:color w:val="000000" w:themeColor="text1"/>
          <w:sz w:val="22"/>
        </w:rPr>
        <w:t xml:space="preserve">                         </w:t>
      </w:r>
      <w:r>
        <w:rPr>
          <w:rFonts w:hint="eastAsia" w:ascii="宋体"/>
          <w:color w:val="000000" w:themeColor="text1"/>
          <w:sz w:val="22"/>
        </w:rPr>
        <w:t>银行帐号：</w:t>
      </w:r>
      <w:r>
        <w:rPr>
          <w:rFonts w:ascii="宋体"/>
          <w:color w:val="000000" w:themeColor="text1"/>
          <w:sz w:val="22"/>
        </w:rPr>
        <w:t xml:space="preserve">                     </w:t>
      </w:r>
    </w:p>
    <w:p>
      <w:pPr>
        <w:snapToGrid w:val="0"/>
        <w:spacing w:line="360" w:lineRule="auto"/>
        <w:jc w:val="center"/>
        <w:rPr>
          <w:rFonts w:ascii="宋体"/>
          <w:color w:val="000000" w:themeColor="text1"/>
          <w:sz w:val="22"/>
        </w:rPr>
      </w:pPr>
      <w:r>
        <w:rPr>
          <w:rFonts w:hint="eastAsia" w:ascii="宋体"/>
          <w:color w:val="000000" w:themeColor="text1"/>
          <w:sz w:val="22"/>
        </w:rPr>
        <w:t>授权代表签字</w:t>
      </w:r>
      <w:r>
        <w:rPr>
          <w:rFonts w:ascii="宋体"/>
          <w:color w:val="000000" w:themeColor="text1"/>
          <w:sz w:val="22"/>
        </w:rPr>
        <w:t xml:space="preserve">:___________                      </w:t>
      </w:r>
      <w:r>
        <w:rPr>
          <w:rFonts w:hint="eastAsia" w:ascii="宋体"/>
          <w:color w:val="000000" w:themeColor="text1"/>
          <w:sz w:val="22"/>
        </w:rPr>
        <w:t>日期</w:t>
      </w:r>
      <w:r>
        <w:rPr>
          <w:rFonts w:ascii="宋体"/>
          <w:color w:val="000000" w:themeColor="text1"/>
          <w:sz w:val="22"/>
        </w:rPr>
        <w:t>:_____</w:t>
      </w:r>
      <w:r>
        <w:rPr>
          <w:rFonts w:hint="eastAsia" w:ascii="宋体"/>
          <w:color w:val="000000" w:themeColor="text1"/>
          <w:sz w:val="22"/>
        </w:rPr>
        <w:t>年</w:t>
      </w:r>
      <w:r>
        <w:rPr>
          <w:rFonts w:ascii="宋体"/>
          <w:color w:val="000000" w:themeColor="text1"/>
          <w:sz w:val="22"/>
        </w:rPr>
        <w:t>___</w:t>
      </w:r>
      <w:r>
        <w:rPr>
          <w:rFonts w:hint="eastAsia" w:ascii="宋体"/>
          <w:color w:val="000000" w:themeColor="text1"/>
          <w:sz w:val="22"/>
        </w:rPr>
        <w:t>月</w:t>
      </w:r>
      <w:r>
        <w:rPr>
          <w:rFonts w:ascii="宋体"/>
          <w:color w:val="000000" w:themeColor="text1"/>
          <w:sz w:val="22"/>
        </w:rPr>
        <w:t>___</w:t>
      </w:r>
      <w:r>
        <w:rPr>
          <w:rFonts w:hint="eastAsia" w:ascii="宋体"/>
          <w:color w:val="000000" w:themeColor="text1"/>
          <w:sz w:val="22"/>
        </w:rPr>
        <w:t>日</w:t>
      </w:r>
    </w:p>
    <w:p>
      <w:pPr>
        <w:autoSpaceDE w:val="0"/>
        <w:autoSpaceDN w:val="0"/>
        <w:adjustRightInd w:val="0"/>
        <w:spacing w:line="460" w:lineRule="exact"/>
        <w:rPr>
          <w:rFonts w:ascii="宋体"/>
          <w:color w:val="000000" w:themeColor="text1"/>
          <w:sz w:val="22"/>
        </w:rPr>
      </w:pPr>
    </w:p>
    <w:p>
      <w:pPr>
        <w:snapToGrid w:val="0"/>
        <w:spacing w:line="500" w:lineRule="atLeast"/>
        <w:rPr>
          <w:rFonts w:ascii="宋体"/>
          <w:color w:val="000000" w:themeColor="text1"/>
          <w:sz w:val="30"/>
          <w:szCs w:val="30"/>
        </w:rPr>
      </w:pPr>
    </w:p>
    <w:p>
      <w:pPr>
        <w:autoSpaceDE w:val="0"/>
        <w:autoSpaceDN w:val="0"/>
        <w:adjustRightInd w:val="0"/>
        <w:spacing w:line="460" w:lineRule="atLeast"/>
        <w:rPr>
          <w:rFonts w:ascii="宋体"/>
          <w:color w:val="000000" w:themeColor="text1"/>
          <w:sz w:val="32"/>
          <w:lang w:val="zh-CN"/>
        </w:rPr>
      </w:pPr>
    </w:p>
    <w:p>
      <w:pPr>
        <w:rPr>
          <w:rFonts w:ascii="宋体" w:hAnsi="Courier New" w:cs="Arial"/>
          <w:color w:val="000000" w:themeColor="text1"/>
          <w:sz w:val="22"/>
        </w:rPr>
      </w:pPr>
      <w:r>
        <w:rPr>
          <w:rFonts w:hint="eastAsia" w:ascii="宋体" w:hAnsi="Courier New" w:cs="Arial"/>
          <w:color w:val="000000" w:themeColor="text1"/>
          <w:sz w:val="22"/>
        </w:rPr>
        <w:br w:type="page"/>
      </w:r>
    </w:p>
    <w:p>
      <w:pPr>
        <w:autoSpaceDE w:val="0"/>
        <w:autoSpaceDN w:val="0"/>
        <w:adjustRightInd w:val="0"/>
        <w:spacing w:line="460" w:lineRule="atLeast"/>
        <w:rPr>
          <w:rFonts w:ascii="宋体"/>
          <w:color w:val="000000" w:themeColor="text1"/>
          <w:sz w:val="32"/>
          <w:lang w:val="zh-CN"/>
        </w:rPr>
      </w:pPr>
      <w:r>
        <w:rPr>
          <w:rFonts w:hint="eastAsia" w:ascii="宋体" w:hAnsi="Courier New" w:cs="Arial"/>
          <w:color w:val="000000" w:themeColor="text1"/>
          <w:sz w:val="22"/>
        </w:rPr>
        <w:t>附件五</w:t>
      </w:r>
    </w:p>
    <w:p>
      <w:pPr>
        <w:tabs>
          <w:tab w:val="left" w:pos="1080"/>
        </w:tabs>
        <w:autoSpaceDE w:val="0"/>
        <w:autoSpaceDN w:val="0"/>
        <w:adjustRightInd w:val="0"/>
        <w:spacing w:line="460" w:lineRule="atLeast"/>
        <w:jc w:val="center"/>
        <w:rPr>
          <w:rFonts w:ascii="宋体" w:cs="仿宋_GB2312"/>
          <w:color w:val="000000" w:themeColor="text1"/>
          <w:sz w:val="36"/>
          <w:szCs w:val="36"/>
          <w:lang w:val="zh-CN"/>
        </w:rPr>
      </w:pPr>
      <w:r>
        <w:rPr>
          <w:rFonts w:hint="eastAsia" w:ascii="宋体" w:cs="仿宋_GB2312"/>
          <w:color w:val="000000" w:themeColor="text1"/>
          <w:sz w:val="36"/>
          <w:szCs w:val="36"/>
          <w:lang w:val="zh-CN"/>
        </w:rPr>
        <w:t>法定代表人授权书</w:t>
      </w:r>
    </w:p>
    <w:p>
      <w:pPr>
        <w:spacing w:line="460" w:lineRule="exact"/>
        <w:rPr>
          <w:rFonts w:ascii="宋体" w:cs="黑体"/>
          <w:color w:val="000000" w:themeColor="text1"/>
          <w:sz w:val="22"/>
          <w:u w:val="single"/>
        </w:rPr>
      </w:pPr>
      <w:r>
        <w:rPr>
          <w:rFonts w:hint="eastAsia" w:ascii="宋体" w:cs="黑体"/>
          <w:color w:val="000000" w:themeColor="text1"/>
          <w:sz w:val="22"/>
          <w:u w:val="single"/>
        </w:rPr>
        <w:t>金华市政府采购中心：</w:t>
      </w:r>
    </w:p>
    <w:p>
      <w:pPr>
        <w:snapToGrid w:val="0"/>
        <w:spacing w:line="580" w:lineRule="atLeast"/>
        <w:ind w:firstLine="440" w:firstLineChars="200"/>
        <w:rPr>
          <w:rFonts w:ascii="宋体"/>
          <w:color w:val="000000" w:themeColor="text1"/>
          <w:sz w:val="22"/>
        </w:rPr>
      </w:pPr>
      <w:r>
        <w:rPr>
          <w:rFonts w:hint="eastAsia" w:ascii="宋体"/>
          <w:color w:val="000000" w:themeColor="text1"/>
          <w:sz w:val="22"/>
        </w:rPr>
        <w:t>本授权委托书声明：我</w:t>
      </w:r>
      <w:r>
        <w:rPr>
          <w:rFonts w:hint="eastAsia" w:ascii="宋体"/>
          <w:color w:val="000000" w:themeColor="text1"/>
          <w:sz w:val="22"/>
          <w:u w:val="single"/>
        </w:rPr>
        <w:t xml:space="preserve">   （法定代表人姓名）   </w:t>
      </w:r>
      <w:r>
        <w:rPr>
          <w:rFonts w:hint="eastAsia" w:ascii="宋体"/>
          <w:color w:val="000000" w:themeColor="text1"/>
          <w:sz w:val="22"/>
        </w:rPr>
        <w:t>系</w:t>
      </w:r>
      <w:r>
        <w:rPr>
          <w:rFonts w:hint="eastAsia" w:ascii="宋体"/>
          <w:color w:val="000000" w:themeColor="text1"/>
          <w:sz w:val="22"/>
          <w:u w:val="single"/>
        </w:rPr>
        <w:t xml:space="preserve">   （供 应 商 名 称）  </w:t>
      </w:r>
      <w:r>
        <w:rPr>
          <w:rFonts w:hint="eastAsia" w:ascii="宋体"/>
          <w:color w:val="000000" w:themeColor="text1"/>
          <w:sz w:val="22"/>
        </w:rPr>
        <w:t>的法定代表人，现授权委托</w:t>
      </w:r>
      <w:r>
        <w:rPr>
          <w:rFonts w:hint="eastAsia" w:ascii="宋体"/>
          <w:color w:val="000000" w:themeColor="text1"/>
          <w:sz w:val="22"/>
          <w:u w:val="single"/>
        </w:rPr>
        <w:t xml:space="preserve">  （单 位 名 称）   </w:t>
      </w:r>
      <w:r>
        <w:rPr>
          <w:rFonts w:hint="eastAsia" w:ascii="宋体"/>
          <w:color w:val="000000" w:themeColor="text1"/>
          <w:sz w:val="22"/>
        </w:rPr>
        <w:t>的</w:t>
      </w:r>
      <w:r>
        <w:rPr>
          <w:rFonts w:hint="eastAsia" w:ascii="宋体"/>
          <w:color w:val="000000" w:themeColor="text1"/>
          <w:sz w:val="22"/>
          <w:u w:val="single"/>
        </w:rPr>
        <w:t xml:space="preserve">  （授权代表姓名）  </w:t>
      </w:r>
      <w:r>
        <w:rPr>
          <w:rFonts w:hint="eastAsia" w:ascii="宋体"/>
          <w:color w:val="000000" w:themeColor="text1"/>
          <w:sz w:val="22"/>
        </w:rPr>
        <w:t>为我公司法定代表人授权代表，参加贵处组织的</w:t>
      </w:r>
      <w:r>
        <w:rPr>
          <w:rFonts w:hint="eastAsia" w:ascii="宋体"/>
          <w:color w:val="000000" w:themeColor="text1"/>
          <w:sz w:val="22"/>
          <w:u w:val="single"/>
        </w:rPr>
        <w:t xml:space="preserve">  （招标项目名称，括号中填写项目编号）  </w:t>
      </w:r>
      <w:r>
        <w:rPr>
          <w:rFonts w:hint="eastAsia" w:ascii="宋体"/>
          <w:color w:val="000000" w:themeColor="text1"/>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color w:val="000000" w:themeColor="text1"/>
          <w:sz w:val="22"/>
        </w:rPr>
      </w:pPr>
      <w:r>
        <w:rPr>
          <w:rFonts w:hint="eastAsia" w:ascii="宋体"/>
          <w:color w:val="000000" w:themeColor="text1"/>
          <w:sz w:val="22"/>
        </w:rPr>
        <w:t>授权代表无转授权，特此授权。</w:t>
      </w:r>
    </w:p>
    <w:p>
      <w:pPr>
        <w:snapToGrid w:val="0"/>
        <w:ind w:left="2092" w:leftChars="996" w:firstLine="330" w:firstLineChars="150"/>
        <w:rPr>
          <w:rFonts w:ascii="宋体"/>
          <w:color w:val="000000" w:themeColor="text1"/>
          <w:sz w:val="22"/>
          <w:u w:val="single"/>
        </w:rPr>
      </w:pPr>
      <w:r>
        <w:rPr>
          <w:rFonts w:hint="eastAsia" w:ascii="宋体"/>
          <w:color w:val="000000" w:themeColor="text1"/>
          <w:sz w:val="22"/>
        </w:rPr>
        <w:t xml:space="preserve"> 授权代表：</w:t>
      </w:r>
      <w:r>
        <w:rPr>
          <w:rFonts w:hint="eastAsia" w:ascii="宋体"/>
          <w:color w:val="000000" w:themeColor="text1"/>
          <w:sz w:val="22"/>
          <w:u w:val="single"/>
        </w:rPr>
        <w:t xml:space="preserve">          </w:t>
      </w:r>
      <w:r>
        <w:rPr>
          <w:rFonts w:hint="eastAsia" w:ascii="宋体"/>
          <w:color w:val="000000" w:themeColor="text1"/>
          <w:sz w:val="22"/>
        </w:rPr>
        <w:t xml:space="preserve"> 性别 ：</w:t>
      </w:r>
      <w:r>
        <w:rPr>
          <w:rFonts w:hint="eastAsia" w:ascii="宋体"/>
          <w:color w:val="000000" w:themeColor="text1"/>
          <w:sz w:val="22"/>
          <w:u w:val="single"/>
        </w:rPr>
        <w:t xml:space="preserve">         </w:t>
      </w:r>
      <w:r>
        <w:rPr>
          <w:rFonts w:hint="eastAsia" w:ascii="宋体"/>
          <w:color w:val="000000" w:themeColor="text1"/>
          <w:sz w:val="22"/>
        </w:rPr>
        <w:t xml:space="preserve"> 年龄：</w:t>
      </w:r>
      <w:r>
        <w:rPr>
          <w:rFonts w:hint="eastAsia" w:ascii="宋体"/>
          <w:color w:val="000000" w:themeColor="text1"/>
          <w:sz w:val="22"/>
          <w:u w:val="single"/>
        </w:rPr>
        <w:t xml:space="preserve">         </w:t>
      </w:r>
      <w:r>
        <w:rPr>
          <w:rFonts w:hint="eastAsia" w:ascii="宋体"/>
          <w:color w:val="000000" w:themeColor="text1"/>
          <w:sz w:val="22"/>
        </w:rPr>
        <w:t xml:space="preserve"> </w:t>
      </w:r>
    </w:p>
    <w:p>
      <w:pPr>
        <w:snapToGrid w:val="0"/>
        <w:ind w:left="2100" w:leftChars="1000" w:firstLine="440" w:firstLineChars="200"/>
        <w:rPr>
          <w:rFonts w:ascii="宋体"/>
          <w:color w:val="000000" w:themeColor="text1"/>
          <w:sz w:val="22"/>
          <w:u w:val="single"/>
        </w:rPr>
      </w:pPr>
      <w:r>
        <w:rPr>
          <w:rFonts w:hint="eastAsia" w:ascii="宋体"/>
          <w:color w:val="000000" w:themeColor="text1"/>
          <w:sz w:val="22"/>
        </w:rPr>
        <w:t>详细通讯地址：</w:t>
      </w:r>
      <w:r>
        <w:rPr>
          <w:rFonts w:hint="eastAsia" w:ascii="宋体"/>
          <w:color w:val="000000" w:themeColor="text1"/>
          <w:sz w:val="22"/>
          <w:u w:val="single"/>
        </w:rPr>
        <w:t xml:space="preserve">                  </w:t>
      </w:r>
      <w:r>
        <w:rPr>
          <w:rFonts w:hint="eastAsia" w:ascii="宋体"/>
          <w:color w:val="000000" w:themeColor="text1"/>
          <w:sz w:val="22"/>
        </w:rPr>
        <w:t xml:space="preserve"> 邮政编码：</w:t>
      </w:r>
      <w:r>
        <w:rPr>
          <w:rFonts w:hint="eastAsia" w:ascii="宋体"/>
          <w:color w:val="000000" w:themeColor="text1"/>
          <w:sz w:val="22"/>
          <w:u w:val="single"/>
        </w:rPr>
        <w:t xml:space="preserve">           </w:t>
      </w:r>
    </w:p>
    <w:p>
      <w:pPr>
        <w:snapToGrid w:val="0"/>
        <w:ind w:left="1" w:firstLine="2510" w:firstLineChars="1141"/>
        <w:rPr>
          <w:rFonts w:ascii="宋体"/>
          <w:color w:val="000000" w:themeColor="text1"/>
          <w:sz w:val="22"/>
          <w:u w:val="single"/>
        </w:rPr>
      </w:pPr>
      <w:r>
        <w:rPr>
          <w:rFonts w:hint="eastAsia" w:ascii="宋体"/>
          <w:color w:val="000000" w:themeColor="text1"/>
          <w:sz w:val="22"/>
        </w:rPr>
        <w:t>电话：</w:t>
      </w:r>
      <w:r>
        <w:rPr>
          <w:rFonts w:hint="eastAsia" w:ascii="宋体"/>
          <w:color w:val="000000" w:themeColor="text1"/>
          <w:sz w:val="22"/>
          <w:u w:val="single"/>
        </w:rPr>
        <w:t xml:space="preserve">                   </w:t>
      </w:r>
      <w:r>
        <w:rPr>
          <w:rFonts w:hint="eastAsia" w:ascii="宋体"/>
          <w:color w:val="000000" w:themeColor="text1"/>
          <w:sz w:val="22"/>
        </w:rPr>
        <w:t xml:space="preserve"> 传真：</w:t>
      </w:r>
      <w:r>
        <w:rPr>
          <w:rFonts w:hint="eastAsia" w:ascii="宋体"/>
          <w:color w:val="000000" w:themeColor="text1"/>
          <w:sz w:val="22"/>
          <w:u w:val="single"/>
        </w:rPr>
        <w:t xml:space="preserve">                      </w:t>
      </w:r>
    </w:p>
    <w:p>
      <w:pPr>
        <w:snapToGrid w:val="0"/>
        <w:ind w:left="1" w:firstLine="422" w:firstLineChars="192"/>
        <w:rPr>
          <w:rFonts w:ascii="宋体"/>
          <w:color w:val="000000" w:themeColor="text1"/>
          <w:sz w:val="22"/>
        </w:rPr>
      </w:pPr>
      <w:r>
        <w:rPr>
          <w:rFonts w:hint="eastAsia" w:ascii="宋体"/>
          <w:color w:val="000000" w:themeColor="text1"/>
          <w:sz w:val="22"/>
        </w:rPr>
        <w:t xml:space="preserve">                   投标供应商：</w:t>
      </w:r>
      <w:r>
        <w:rPr>
          <w:rFonts w:hint="eastAsia" w:ascii="宋体"/>
          <w:color w:val="000000" w:themeColor="text1"/>
          <w:sz w:val="22"/>
          <w:u w:val="single"/>
        </w:rPr>
        <w:t xml:space="preserve">                                      （盖章）</w:t>
      </w:r>
    </w:p>
    <w:p>
      <w:pPr>
        <w:snapToGrid w:val="0"/>
        <w:ind w:left="2100" w:right="440"/>
        <w:jc w:val="center"/>
        <w:rPr>
          <w:rFonts w:ascii="宋体"/>
          <w:color w:val="000000" w:themeColor="text1"/>
          <w:sz w:val="22"/>
        </w:rPr>
      </w:pPr>
      <w:r>
        <w:rPr>
          <w:rFonts w:hint="eastAsia" w:ascii="宋体"/>
          <w:color w:val="000000" w:themeColor="text1"/>
          <w:sz w:val="22"/>
        </w:rPr>
        <w:t xml:space="preserve">   法定代表人：</w:t>
      </w:r>
      <w:r>
        <w:rPr>
          <w:rFonts w:hint="eastAsia" w:ascii="宋体"/>
          <w:color w:val="000000" w:themeColor="text1"/>
          <w:sz w:val="22"/>
          <w:u w:val="single"/>
        </w:rPr>
        <w:t xml:space="preserve">                                  （签字或盖章）</w:t>
      </w:r>
    </w:p>
    <w:p>
      <w:pPr>
        <w:pStyle w:val="16"/>
        <w:adjustRightInd w:val="0"/>
        <w:snapToGrid w:val="0"/>
        <w:spacing w:before="120" w:after="120" w:line="240" w:lineRule="auto"/>
        <w:ind w:firstLine="2530" w:firstLineChars="1150"/>
        <w:rPr>
          <w:rFonts w:hAnsi="宋体"/>
          <w:color w:val="000000" w:themeColor="text1"/>
          <w:sz w:val="22"/>
          <w:szCs w:val="22"/>
        </w:rPr>
      </w:pPr>
      <w:r>
        <w:rPr>
          <w:rFonts w:hint="eastAsia" w:hAnsi="宋体"/>
          <w:color w:val="000000" w:themeColor="text1"/>
          <w:sz w:val="22"/>
          <w:szCs w:val="22"/>
        </w:rPr>
        <w:t>授权委托日期：</w:t>
      </w:r>
      <w:r>
        <w:rPr>
          <w:rFonts w:hint="eastAsia" w:hAnsi="宋体"/>
          <w:color w:val="000000" w:themeColor="text1"/>
          <w:sz w:val="22"/>
          <w:szCs w:val="22"/>
          <w:u w:val="single"/>
        </w:rPr>
        <w:t xml:space="preserve">     </w:t>
      </w:r>
      <w:r>
        <w:rPr>
          <w:rFonts w:hint="eastAsia" w:hAnsi="宋体"/>
          <w:color w:val="000000" w:themeColor="text1"/>
          <w:sz w:val="22"/>
          <w:szCs w:val="22"/>
        </w:rPr>
        <w:t xml:space="preserve">年 </w:t>
      </w:r>
      <w:r>
        <w:rPr>
          <w:rFonts w:hint="eastAsia" w:hAnsi="宋体"/>
          <w:color w:val="000000" w:themeColor="text1"/>
          <w:sz w:val="22"/>
          <w:szCs w:val="22"/>
          <w:u w:val="single"/>
        </w:rPr>
        <w:t xml:space="preserve">    </w:t>
      </w:r>
      <w:r>
        <w:rPr>
          <w:rFonts w:hint="eastAsia" w:hAnsi="宋体"/>
          <w:color w:val="000000" w:themeColor="text1"/>
          <w:sz w:val="22"/>
          <w:szCs w:val="22"/>
        </w:rPr>
        <w:t>月</w:t>
      </w:r>
      <w:r>
        <w:rPr>
          <w:rFonts w:hint="eastAsia" w:hAnsi="宋体"/>
          <w:color w:val="000000" w:themeColor="text1"/>
          <w:sz w:val="22"/>
          <w:szCs w:val="22"/>
          <w:u w:val="single"/>
        </w:rPr>
        <w:t xml:space="preserve">     </w:t>
      </w:r>
      <w:r>
        <w:rPr>
          <w:rFonts w:hint="eastAsia" w:hAnsi="宋体"/>
          <w:color w:val="000000" w:themeColor="text1"/>
          <w:sz w:val="22"/>
          <w:szCs w:val="22"/>
        </w:rPr>
        <w:t>日</w:t>
      </w:r>
    </w:p>
    <w:tbl>
      <w:tblPr>
        <w:tblStyle w:val="3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6"/>
              <w:spacing w:before="120" w:after="120" w:line="440" w:lineRule="atLeast"/>
              <w:jc w:val="center"/>
              <w:rPr>
                <w:rFonts w:hAnsi="宋体"/>
                <w:color w:val="000000" w:themeColor="text1"/>
                <w:sz w:val="36"/>
              </w:rPr>
            </w:pPr>
            <w:r>
              <w:rPr>
                <w:rFonts w:hint="eastAsia" w:hAnsi="宋体"/>
                <w:color w:val="000000" w:themeColor="text1"/>
                <w:sz w:val="36"/>
              </w:rPr>
              <w:t>粘贴授权代表身份证复印件或影印件</w:t>
            </w:r>
          </w:p>
        </w:tc>
      </w:tr>
    </w:tbl>
    <w:p>
      <w:pPr>
        <w:pStyle w:val="16"/>
        <w:adjustRightInd w:val="0"/>
        <w:snapToGrid w:val="0"/>
        <w:spacing w:before="120" w:after="120" w:line="580" w:lineRule="atLeast"/>
        <w:jc w:val="center"/>
        <w:rPr>
          <w:rFonts w:hAnsi="宋体"/>
          <w:color w:val="000000" w:themeColor="text1"/>
          <w:sz w:val="22"/>
          <w:szCs w:val="22"/>
        </w:rPr>
      </w:pPr>
    </w:p>
    <w:p>
      <w:pPr>
        <w:pStyle w:val="16"/>
        <w:snapToGrid w:val="0"/>
        <w:spacing w:before="120" w:after="120" w:line="580" w:lineRule="atLeast"/>
        <w:rPr>
          <w:rFonts w:hAnsi="宋体" w:cs="Arial"/>
          <w:color w:val="000000" w:themeColor="text1"/>
          <w:sz w:val="22"/>
          <w:szCs w:val="22"/>
          <w:u w:val="thick"/>
        </w:rPr>
      </w:pPr>
    </w:p>
    <w:p>
      <w:pPr>
        <w:pStyle w:val="16"/>
        <w:snapToGrid w:val="0"/>
        <w:spacing w:before="120" w:after="120" w:line="580" w:lineRule="atLeast"/>
        <w:rPr>
          <w:rFonts w:hAnsi="宋体" w:cs="Arial"/>
          <w:color w:val="000000" w:themeColor="text1"/>
          <w:sz w:val="22"/>
          <w:szCs w:val="22"/>
          <w:u w:val="thick"/>
        </w:rPr>
      </w:pPr>
    </w:p>
    <w:p>
      <w:pPr>
        <w:pStyle w:val="16"/>
        <w:snapToGrid w:val="0"/>
        <w:spacing w:before="120" w:after="120" w:line="580" w:lineRule="atLeast"/>
        <w:rPr>
          <w:rFonts w:hAnsi="宋体" w:cs="Arial"/>
          <w:color w:val="000000" w:themeColor="text1"/>
          <w:sz w:val="22"/>
          <w:szCs w:val="22"/>
          <w:u w:val="thick"/>
        </w:rPr>
      </w:pPr>
    </w:p>
    <w:p>
      <w:pPr>
        <w:pStyle w:val="16"/>
        <w:adjustRightInd w:val="0"/>
        <w:snapToGrid w:val="0"/>
        <w:spacing w:before="120" w:after="120" w:line="360" w:lineRule="exact"/>
        <w:rPr>
          <w:rFonts w:hAnsi="宋体"/>
          <w:color w:val="000000" w:themeColor="text1"/>
          <w:sz w:val="22"/>
        </w:rPr>
      </w:pPr>
    </w:p>
    <w:tbl>
      <w:tblPr>
        <w:tblStyle w:val="3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6"/>
              <w:spacing w:before="120" w:after="120" w:line="440" w:lineRule="atLeast"/>
              <w:jc w:val="center"/>
              <w:rPr>
                <w:rFonts w:hAnsi="宋体"/>
                <w:color w:val="000000" w:themeColor="text1"/>
                <w:sz w:val="36"/>
              </w:rPr>
            </w:pPr>
            <w:r>
              <w:rPr>
                <w:rFonts w:hint="eastAsia" w:hAnsi="宋体"/>
                <w:color w:val="000000" w:themeColor="text1"/>
                <w:sz w:val="36"/>
              </w:rPr>
              <w:t>粘贴法定代表人身份证复印件或影印件</w:t>
            </w:r>
          </w:p>
        </w:tc>
      </w:tr>
    </w:tbl>
    <w:p>
      <w:pPr>
        <w:pStyle w:val="16"/>
        <w:snapToGrid w:val="0"/>
        <w:spacing w:before="120" w:after="120" w:line="580" w:lineRule="atLeast"/>
        <w:rPr>
          <w:rFonts w:hAnsi="宋体" w:cs="Arial"/>
          <w:color w:val="000000" w:themeColor="text1"/>
          <w:sz w:val="22"/>
          <w:szCs w:val="22"/>
          <w:u w:val="thick"/>
        </w:rPr>
      </w:pPr>
    </w:p>
    <w:p>
      <w:pPr>
        <w:pStyle w:val="16"/>
        <w:snapToGrid w:val="0"/>
        <w:spacing w:before="120" w:after="120" w:line="580" w:lineRule="atLeast"/>
        <w:rPr>
          <w:rFonts w:hAnsi="宋体" w:cs="Arial"/>
          <w:color w:val="000000" w:themeColor="text1"/>
          <w:sz w:val="22"/>
          <w:szCs w:val="22"/>
          <w:u w:val="thick"/>
        </w:rPr>
      </w:pPr>
    </w:p>
    <w:p>
      <w:pPr>
        <w:snapToGrid w:val="0"/>
        <w:spacing w:line="500" w:lineRule="atLeast"/>
        <w:rPr>
          <w:rFonts w:ascii="宋体"/>
          <w:color w:val="000000" w:themeColor="text1"/>
          <w:sz w:val="30"/>
          <w:szCs w:val="30"/>
        </w:rPr>
      </w:pPr>
    </w:p>
    <w:p>
      <w:pPr>
        <w:snapToGrid w:val="0"/>
        <w:spacing w:line="500" w:lineRule="atLeast"/>
        <w:rPr>
          <w:rFonts w:ascii="宋体"/>
          <w:color w:val="000000" w:themeColor="text1"/>
          <w:sz w:val="30"/>
          <w:szCs w:val="30"/>
        </w:rPr>
      </w:pPr>
    </w:p>
    <w:p>
      <w:pPr>
        <w:autoSpaceDE w:val="0"/>
        <w:autoSpaceDN w:val="0"/>
        <w:adjustRightInd w:val="0"/>
        <w:snapToGrid w:val="0"/>
        <w:spacing w:line="460" w:lineRule="atLeast"/>
        <w:ind w:firstLine="440" w:firstLineChars="200"/>
        <w:textAlignment w:val="bottom"/>
        <w:rPr>
          <w:rFonts w:ascii="宋体" w:cs="Arial"/>
          <w:color w:val="000000" w:themeColor="text1"/>
          <w:sz w:val="22"/>
        </w:rPr>
      </w:pPr>
      <w:r>
        <w:rPr>
          <w:rFonts w:hint="eastAsia" w:ascii="宋体" w:cs="Arial"/>
          <w:color w:val="000000" w:themeColor="text1"/>
          <w:sz w:val="22"/>
        </w:rPr>
        <w:t>注：法定代表人授权书中法定代表人必须签字或盖章，否则做无效投标处理</w:t>
      </w:r>
      <w:r>
        <w:rPr>
          <w:rFonts w:ascii="宋体" w:cs="Arial"/>
          <w:color w:val="000000" w:themeColor="text1"/>
          <w:sz w:val="22"/>
        </w:rPr>
        <w:t>。</w:t>
      </w:r>
    </w:p>
    <w:p>
      <w:pPr>
        <w:snapToGrid w:val="0"/>
        <w:spacing w:line="500" w:lineRule="atLeast"/>
        <w:rPr>
          <w:rFonts w:ascii="宋体"/>
          <w:color w:val="000000" w:themeColor="text1"/>
          <w:sz w:val="30"/>
          <w:szCs w:val="30"/>
        </w:rPr>
      </w:pPr>
      <w:r>
        <w:rPr>
          <w:rFonts w:ascii="宋体"/>
          <w:color w:val="000000" w:themeColor="text1"/>
          <w:sz w:val="30"/>
          <w:szCs w:val="30"/>
        </w:rPr>
        <w:br w:type="page"/>
      </w:r>
      <w:r>
        <w:rPr>
          <w:rFonts w:hint="eastAsia" w:ascii="宋体" w:hAnsi="Courier New" w:cs="Arial"/>
          <w:color w:val="000000" w:themeColor="text1"/>
          <w:sz w:val="22"/>
        </w:rPr>
        <w:t>附件六</w:t>
      </w:r>
    </w:p>
    <w:p>
      <w:pPr>
        <w:snapToGrid w:val="0"/>
        <w:spacing w:line="500" w:lineRule="atLeast"/>
        <w:jc w:val="center"/>
        <w:rPr>
          <w:rFonts w:ascii="宋体"/>
          <w:color w:val="000000" w:themeColor="text1"/>
          <w:sz w:val="36"/>
          <w:szCs w:val="36"/>
          <w:lang w:val="zh-CN"/>
        </w:rPr>
      </w:pPr>
      <w:r>
        <w:rPr>
          <w:rFonts w:hint="eastAsia" w:ascii="宋体"/>
          <w:color w:val="000000" w:themeColor="text1"/>
          <w:sz w:val="36"/>
          <w:szCs w:val="36"/>
          <w:lang w:val="zh-CN"/>
        </w:rPr>
        <w:t>法定代表人诚信投标承诺书</w:t>
      </w:r>
    </w:p>
    <w:p>
      <w:pPr>
        <w:spacing w:line="460" w:lineRule="atLeast"/>
        <w:jc w:val="left"/>
        <w:rPr>
          <w:rFonts w:ascii="宋体"/>
          <w:color w:val="000000" w:themeColor="text1"/>
          <w:sz w:val="22"/>
        </w:rPr>
      </w:pPr>
      <w:r>
        <w:rPr>
          <w:rFonts w:hint="eastAsia" w:ascii="宋体"/>
          <w:color w:val="000000" w:themeColor="text1"/>
          <w:sz w:val="22"/>
        </w:rPr>
        <w:t>本人以企业法定代表人的身份郑重承诺：</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将遵循公开、公平、公正和诚信信用的原则参加</w:t>
      </w:r>
      <w:r>
        <w:rPr>
          <w:rFonts w:hint="eastAsia" w:ascii="宋体" w:cs="楷体_GB2312"/>
          <w:color w:val="000000" w:themeColor="text1"/>
          <w:sz w:val="22"/>
          <w:u w:val="single"/>
        </w:rPr>
        <w:t xml:space="preserve">              项目（招标编号：   ）</w:t>
      </w:r>
      <w:r>
        <w:rPr>
          <w:rFonts w:hint="eastAsia" w:ascii="宋体"/>
          <w:color w:val="000000" w:themeColor="text1"/>
          <w:sz w:val="22"/>
        </w:rPr>
        <w:t>的投标；</w:t>
      </w:r>
    </w:p>
    <w:p>
      <w:pPr>
        <w:spacing w:line="460" w:lineRule="atLeast"/>
        <w:ind w:firstLine="440" w:firstLineChars="200"/>
        <w:jc w:val="left"/>
        <w:rPr>
          <w:rFonts w:ascii="宋体"/>
          <w:color w:val="000000" w:themeColor="text1"/>
          <w:sz w:val="22"/>
          <w:u w:val="single"/>
        </w:rPr>
      </w:pPr>
      <w:r>
        <w:rPr>
          <w:rFonts w:hint="eastAsia" w:ascii="宋体"/>
          <w:color w:val="000000" w:themeColor="text1"/>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二、投标文件所提供的一切材料都是真实、有效、合法的。</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四、不与采购人或采购机构串通投标，不损害国家利益，社会公共利益或其他人的合法权益。</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五、不向采购人或者评标委员会成员行贿以牟取中标。</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六、不以其他人名义投标或者以其他方式弄虚作假，骗取中标。</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七、不在开标后进行虚假恶意投诉。</w:t>
      </w:r>
    </w:p>
    <w:p>
      <w:pPr>
        <w:spacing w:line="460" w:lineRule="atLeast"/>
        <w:ind w:firstLine="440" w:firstLineChars="200"/>
        <w:jc w:val="left"/>
        <w:rPr>
          <w:rFonts w:ascii="宋体"/>
          <w:color w:val="000000" w:themeColor="text1"/>
          <w:sz w:val="22"/>
        </w:rPr>
      </w:pPr>
      <w:r>
        <w:rPr>
          <w:rFonts w:hint="eastAsia" w:ascii="宋体"/>
          <w:color w:val="000000" w:themeColor="text1"/>
          <w:sz w:val="22"/>
        </w:rPr>
        <w:t>八、我单位没有被政府机关</w:t>
      </w:r>
      <w:r>
        <w:rPr>
          <w:rFonts w:ascii="宋体"/>
          <w:color w:val="000000" w:themeColor="text1"/>
          <w:sz w:val="22"/>
        </w:rPr>
        <w:t>列入失信被执行人</w:t>
      </w:r>
      <w:r>
        <w:rPr>
          <w:rFonts w:hint="eastAsia" w:ascii="宋体"/>
          <w:color w:val="000000" w:themeColor="text1"/>
          <w:sz w:val="22"/>
        </w:rPr>
        <w:t>名单</w:t>
      </w:r>
      <w:r>
        <w:rPr>
          <w:rFonts w:ascii="宋体"/>
          <w:color w:val="000000" w:themeColor="text1"/>
          <w:sz w:val="22"/>
        </w:rPr>
        <w:t>、重大税收违法案件当事人名单、政府采购严重违法失信行为记录名单及其他不符合《中华人民共和国政府采购法》第二十二条规定条件</w:t>
      </w:r>
      <w:r>
        <w:rPr>
          <w:rFonts w:hint="eastAsia" w:ascii="宋体"/>
          <w:color w:val="000000" w:themeColor="text1"/>
          <w:sz w:val="22"/>
        </w:rPr>
        <w:t>的情形（《中华人民共和国政府采购法实施条例》第十九条规定的情形除外）。</w:t>
      </w:r>
    </w:p>
    <w:p>
      <w:pPr>
        <w:spacing w:line="460" w:lineRule="atLeast"/>
        <w:ind w:firstLine="440" w:firstLineChars="200"/>
        <w:rPr>
          <w:rFonts w:ascii="宋体"/>
          <w:color w:val="000000" w:themeColor="text1"/>
          <w:sz w:val="22"/>
        </w:rPr>
      </w:pPr>
      <w:r>
        <w:rPr>
          <w:rFonts w:hint="eastAsia" w:ascii="宋体"/>
          <w:color w:val="000000" w:themeColor="text1"/>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color w:val="000000" w:themeColor="text1"/>
          <w:sz w:val="22"/>
        </w:rPr>
      </w:pPr>
    </w:p>
    <w:p>
      <w:pPr>
        <w:spacing w:line="460" w:lineRule="atLeast"/>
        <w:ind w:right="1120"/>
        <w:rPr>
          <w:rFonts w:ascii="宋体"/>
          <w:color w:val="000000" w:themeColor="text1"/>
          <w:sz w:val="22"/>
        </w:rPr>
      </w:pPr>
      <w:r>
        <w:rPr>
          <w:rFonts w:hint="eastAsia" w:ascii="宋体"/>
          <w:color w:val="000000" w:themeColor="text1"/>
          <w:sz w:val="22"/>
        </w:rPr>
        <w:t>投标供应商（盖章）</w:t>
      </w:r>
    </w:p>
    <w:p>
      <w:pPr>
        <w:spacing w:line="460" w:lineRule="atLeast"/>
        <w:ind w:right="1120"/>
        <w:rPr>
          <w:rFonts w:ascii="宋体"/>
          <w:color w:val="000000" w:themeColor="text1"/>
          <w:sz w:val="22"/>
        </w:rPr>
      </w:pPr>
      <w:r>
        <w:rPr>
          <w:rFonts w:hint="eastAsia" w:ascii="宋体"/>
          <w:color w:val="000000" w:themeColor="text1"/>
          <w:sz w:val="22"/>
        </w:rPr>
        <w:t>法定代表人（签字或盖章）：</w:t>
      </w:r>
    </w:p>
    <w:p>
      <w:pPr>
        <w:snapToGrid w:val="0"/>
        <w:spacing w:line="500" w:lineRule="atLeast"/>
        <w:rPr>
          <w:rFonts w:ascii="宋体"/>
          <w:color w:val="000000" w:themeColor="text1"/>
          <w:sz w:val="30"/>
          <w:szCs w:val="30"/>
        </w:rPr>
      </w:pPr>
      <w:r>
        <w:rPr>
          <w:rFonts w:hint="eastAsia" w:ascii="宋体"/>
          <w:color w:val="000000" w:themeColor="text1"/>
          <w:sz w:val="22"/>
        </w:rPr>
        <w:t xml:space="preserve">承诺书签署日期：  </w:t>
      </w:r>
    </w:p>
    <w:p>
      <w:pPr>
        <w:autoSpaceDE w:val="0"/>
        <w:autoSpaceDN w:val="0"/>
        <w:adjustRightInd w:val="0"/>
        <w:spacing w:line="460" w:lineRule="atLeast"/>
        <w:jc w:val="left"/>
        <w:rPr>
          <w:rFonts w:ascii="宋体"/>
          <w:color w:val="000000" w:themeColor="text1"/>
          <w:sz w:val="32"/>
        </w:rPr>
      </w:pPr>
    </w:p>
    <w:p>
      <w:pPr>
        <w:autoSpaceDE w:val="0"/>
        <w:autoSpaceDN w:val="0"/>
        <w:adjustRightInd w:val="0"/>
        <w:spacing w:line="460" w:lineRule="atLeast"/>
        <w:jc w:val="left"/>
        <w:rPr>
          <w:rFonts w:ascii="宋体"/>
          <w:color w:val="000000" w:themeColor="text1"/>
          <w:sz w:val="32"/>
        </w:rPr>
      </w:pPr>
    </w:p>
    <w:p>
      <w:pPr>
        <w:autoSpaceDE w:val="0"/>
        <w:autoSpaceDN w:val="0"/>
        <w:adjustRightInd w:val="0"/>
        <w:spacing w:line="460" w:lineRule="atLeast"/>
        <w:jc w:val="left"/>
        <w:rPr>
          <w:rFonts w:ascii="宋体"/>
          <w:color w:val="000000" w:themeColor="text1"/>
          <w:sz w:val="22"/>
        </w:rPr>
        <w:sectPr>
          <w:pgSz w:w="11906" w:h="16838"/>
          <w:pgMar w:top="1440" w:right="1106" w:bottom="1440" w:left="1622" w:header="851" w:footer="992" w:gutter="0"/>
          <w:pgNumType w:fmt="decimal"/>
          <w:cols w:space="720" w:num="1"/>
          <w:docGrid w:linePitch="312" w:charSpace="0"/>
        </w:sectPr>
      </w:pPr>
    </w:p>
    <w:p>
      <w:pPr>
        <w:pStyle w:val="16"/>
        <w:spacing w:before="156" w:after="156" w:line="460" w:lineRule="atLeast"/>
        <w:rPr>
          <w:rFonts w:hAnsi="宋体"/>
          <w:color w:val="000000" w:themeColor="text1"/>
          <w:sz w:val="32"/>
        </w:rPr>
      </w:pPr>
      <w:r>
        <w:rPr>
          <w:rFonts w:hint="eastAsia" w:cs="Arial"/>
          <w:color w:val="000000" w:themeColor="text1"/>
          <w:sz w:val="22"/>
          <w:szCs w:val="22"/>
        </w:rPr>
        <w:t>附件七</w:t>
      </w:r>
    </w:p>
    <w:p>
      <w:pPr>
        <w:pStyle w:val="16"/>
        <w:spacing w:before="156" w:after="156" w:line="440" w:lineRule="atLeast"/>
        <w:jc w:val="center"/>
        <w:rPr>
          <w:rFonts w:hAnsi="宋体" w:cs="Arial"/>
          <w:bCs/>
          <w:color w:val="000000" w:themeColor="text1"/>
          <w:sz w:val="36"/>
          <w:szCs w:val="36"/>
        </w:rPr>
      </w:pPr>
      <w:r>
        <w:rPr>
          <w:rFonts w:hint="eastAsia" w:hAnsi="宋体" w:cs="Arial"/>
          <w:bCs/>
          <w:color w:val="000000" w:themeColor="text1"/>
          <w:sz w:val="36"/>
          <w:szCs w:val="36"/>
        </w:rPr>
        <w:t>投标供应商业绩</w:t>
      </w:r>
    </w:p>
    <w:tbl>
      <w:tblPr>
        <w:tblStyle w:val="31"/>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序号</w:t>
            </w:r>
          </w:p>
        </w:tc>
        <w:tc>
          <w:tcPr>
            <w:tcW w:w="1266" w:type="dxa"/>
            <w:tcBorders>
              <w:right w:val="single" w:color="000000" w:sz="4" w:space="0"/>
            </w:tcBorders>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签订时间</w:t>
            </w:r>
          </w:p>
        </w:tc>
        <w:tc>
          <w:tcPr>
            <w:tcW w:w="1477" w:type="dxa"/>
            <w:tcBorders>
              <w:left w:val="single" w:color="000000" w:sz="4" w:space="0"/>
            </w:tcBorders>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业主名称</w:t>
            </w:r>
          </w:p>
        </w:tc>
        <w:tc>
          <w:tcPr>
            <w:tcW w:w="1491"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合同金额</w:t>
            </w:r>
          </w:p>
        </w:tc>
        <w:tc>
          <w:tcPr>
            <w:tcW w:w="1555"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联系人</w:t>
            </w:r>
          </w:p>
        </w:tc>
        <w:tc>
          <w:tcPr>
            <w:tcW w:w="1556"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联系电话</w:t>
            </w:r>
          </w:p>
        </w:tc>
        <w:tc>
          <w:tcPr>
            <w:tcW w:w="1556" w:type="dxa"/>
          </w:tcPr>
          <w:p>
            <w:pPr>
              <w:pStyle w:val="16"/>
              <w:adjustRightInd w:val="0"/>
              <w:snapToGrid w:val="0"/>
              <w:spacing w:before="156" w:after="156" w:line="440" w:lineRule="atLeast"/>
              <w:jc w:val="center"/>
              <w:rPr>
                <w:rFonts w:hAnsi="宋体"/>
                <w:color w:val="000000" w:themeColor="text1"/>
                <w:sz w:val="22"/>
                <w:szCs w:val="22"/>
              </w:rPr>
            </w:pPr>
            <w:r>
              <w:rPr>
                <w:rFonts w:hint="eastAsia" w:hAnsi="宋体"/>
                <w:color w:val="000000" w:themeColor="text1"/>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6"/>
              <w:adjustRightInd w:val="0"/>
              <w:snapToGrid w:val="0"/>
              <w:spacing w:before="156" w:after="156" w:line="440" w:lineRule="atLeast"/>
              <w:rPr>
                <w:rFonts w:hAnsi="宋体"/>
                <w:color w:val="000000" w:themeColor="text1"/>
                <w:sz w:val="22"/>
                <w:szCs w:val="22"/>
              </w:rPr>
            </w:pPr>
          </w:p>
        </w:tc>
        <w:tc>
          <w:tcPr>
            <w:tcW w:w="1266" w:type="dxa"/>
            <w:tcBorders>
              <w:righ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77" w:type="dxa"/>
            <w:tcBorders>
              <w:left w:val="single" w:color="000000" w:sz="4" w:space="0"/>
            </w:tcBorders>
          </w:tcPr>
          <w:p>
            <w:pPr>
              <w:pStyle w:val="16"/>
              <w:adjustRightInd w:val="0"/>
              <w:snapToGrid w:val="0"/>
              <w:spacing w:before="156" w:after="156" w:line="440" w:lineRule="atLeast"/>
              <w:rPr>
                <w:rFonts w:hAnsi="宋体"/>
                <w:color w:val="000000" w:themeColor="text1"/>
                <w:sz w:val="22"/>
                <w:szCs w:val="22"/>
              </w:rPr>
            </w:pPr>
          </w:p>
        </w:tc>
        <w:tc>
          <w:tcPr>
            <w:tcW w:w="1491" w:type="dxa"/>
          </w:tcPr>
          <w:p>
            <w:pPr>
              <w:pStyle w:val="16"/>
              <w:adjustRightInd w:val="0"/>
              <w:snapToGrid w:val="0"/>
              <w:spacing w:before="156" w:after="156" w:line="440" w:lineRule="atLeast"/>
              <w:rPr>
                <w:rFonts w:hAnsi="宋体"/>
                <w:color w:val="000000" w:themeColor="text1"/>
                <w:sz w:val="22"/>
                <w:szCs w:val="22"/>
              </w:rPr>
            </w:pPr>
          </w:p>
        </w:tc>
        <w:tc>
          <w:tcPr>
            <w:tcW w:w="1555"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c>
          <w:tcPr>
            <w:tcW w:w="1556" w:type="dxa"/>
          </w:tcPr>
          <w:p>
            <w:pPr>
              <w:pStyle w:val="16"/>
              <w:adjustRightInd w:val="0"/>
              <w:snapToGrid w:val="0"/>
              <w:spacing w:before="156" w:after="156" w:line="440" w:lineRule="atLeast"/>
              <w:rPr>
                <w:rFonts w:hAnsi="宋体"/>
                <w:color w:val="000000" w:themeColor="text1"/>
                <w:sz w:val="22"/>
                <w:szCs w:val="22"/>
              </w:rPr>
            </w:pPr>
          </w:p>
        </w:tc>
      </w:tr>
    </w:tbl>
    <w:p>
      <w:pPr>
        <w:pStyle w:val="16"/>
        <w:spacing w:before="156" w:after="156" w:line="440" w:lineRule="atLeast"/>
        <w:rPr>
          <w:rFonts w:hAnsi="宋体" w:cs="Arial"/>
          <w:bCs/>
          <w:color w:val="000000" w:themeColor="text1"/>
          <w:sz w:val="36"/>
          <w:szCs w:val="36"/>
        </w:rPr>
      </w:pPr>
      <w:r>
        <w:rPr>
          <w:rFonts w:hint="eastAsia" w:hAnsi="宋体"/>
          <w:color w:val="000000" w:themeColor="text1"/>
          <w:sz w:val="22"/>
          <w:szCs w:val="22"/>
        </w:rPr>
        <w:t>说明：按评分标准要求提供。</w:t>
      </w:r>
    </w:p>
    <w:p>
      <w:pPr>
        <w:pStyle w:val="16"/>
        <w:spacing w:before="156" w:after="156" w:line="440" w:lineRule="atLeast"/>
        <w:jc w:val="center"/>
        <w:rPr>
          <w:rFonts w:hAnsi="宋体" w:cs="Arial"/>
          <w:bCs/>
          <w:color w:val="000000" w:themeColor="text1"/>
          <w:sz w:val="36"/>
          <w:szCs w:val="36"/>
        </w:rPr>
      </w:pPr>
    </w:p>
    <w:p>
      <w:pPr>
        <w:pStyle w:val="16"/>
        <w:spacing w:before="156" w:after="156" w:line="440" w:lineRule="atLeast"/>
        <w:jc w:val="left"/>
        <w:rPr>
          <w:rFonts w:hAnsi="宋体" w:cs="Arial"/>
          <w:bCs/>
          <w:color w:val="000000" w:themeColor="text1"/>
          <w:sz w:val="36"/>
          <w:szCs w:val="36"/>
        </w:rPr>
      </w:pPr>
      <w:r>
        <w:rPr>
          <w:rFonts w:hint="eastAsia"/>
          <w:color w:val="000000" w:themeColor="text1"/>
          <w:sz w:val="22"/>
        </w:rPr>
        <w:t>投标供应商（盖章）</w:t>
      </w:r>
      <w:r>
        <w:rPr>
          <w:rFonts w:hint="eastAsia"/>
          <w:color w:val="000000" w:themeColor="text1"/>
          <w:sz w:val="22"/>
          <w:u w:val="single"/>
        </w:rPr>
        <w:t xml:space="preserve">              </w:t>
      </w:r>
    </w:p>
    <w:p>
      <w:pPr>
        <w:pStyle w:val="16"/>
        <w:spacing w:before="156" w:after="156" w:line="440" w:lineRule="atLeast"/>
        <w:jc w:val="center"/>
        <w:rPr>
          <w:rFonts w:hAnsi="宋体" w:cs="Arial"/>
          <w:bCs/>
          <w:color w:val="000000" w:themeColor="text1"/>
          <w:sz w:val="36"/>
          <w:szCs w:val="36"/>
        </w:rPr>
      </w:pPr>
    </w:p>
    <w:p>
      <w:pPr>
        <w:pStyle w:val="16"/>
        <w:spacing w:before="156" w:after="156" w:line="460" w:lineRule="atLeast"/>
        <w:rPr>
          <w:rFonts w:hAnsi="宋体"/>
          <w:color w:val="000000" w:themeColor="text1"/>
          <w:sz w:val="36"/>
          <w:szCs w:val="36"/>
        </w:rPr>
      </w:pPr>
      <w:r>
        <w:rPr>
          <w:rFonts w:hint="eastAsia" w:cs="Arial"/>
          <w:color w:val="000000" w:themeColor="text1"/>
          <w:sz w:val="22"/>
          <w:szCs w:val="22"/>
        </w:rPr>
        <w:t>附件八</w:t>
      </w:r>
    </w:p>
    <w:p>
      <w:pPr>
        <w:pStyle w:val="16"/>
        <w:spacing w:before="156" w:after="156" w:line="460" w:lineRule="atLeast"/>
        <w:jc w:val="center"/>
        <w:rPr>
          <w:rFonts w:hAnsi="宋体"/>
          <w:color w:val="000000" w:themeColor="text1"/>
          <w:sz w:val="36"/>
          <w:szCs w:val="36"/>
        </w:rPr>
      </w:pPr>
      <w:r>
        <w:rPr>
          <w:rFonts w:hint="eastAsia" w:hAnsi="宋体"/>
          <w:color w:val="000000" w:themeColor="text1"/>
          <w:sz w:val="36"/>
          <w:szCs w:val="36"/>
        </w:rPr>
        <w:t>拟派本项目成员组成表</w:t>
      </w:r>
    </w:p>
    <w:p>
      <w:pPr>
        <w:spacing w:line="400" w:lineRule="exact"/>
        <w:rPr>
          <w:rFonts w:ascii="宋体"/>
          <w:bCs/>
          <w:color w:val="000000" w:themeColor="text1"/>
          <w:sz w:val="22"/>
        </w:rPr>
      </w:pPr>
      <w:r>
        <w:rPr>
          <w:rFonts w:hint="eastAsia" w:ascii="宋体"/>
          <w:color w:val="000000" w:themeColor="text1"/>
          <w:sz w:val="22"/>
        </w:rPr>
        <w:t>项目名称：                                               招标编号：</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color w:val="000000" w:themeColor="text1"/>
                <w:sz w:val="20"/>
              </w:rPr>
            </w:pPr>
            <w:r>
              <w:rPr>
                <w:rFonts w:hint="eastAsia" w:ascii="宋体"/>
                <w:bCs/>
                <w:color w:val="000000" w:themeColor="text1"/>
                <w:sz w:val="20"/>
              </w:rPr>
              <w:t>姓名</w:t>
            </w:r>
          </w:p>
        </w:tc>
        <w:tc>
          <w:tcPr>
            <w:tcW w:w="1126" w:type="dxa"/>
            <w:vAlign w:val="center"/>
          </w:tcPr>
          <w:p>
            <w:pPr>
              <w:jc w:val="center"/>
              <w:rPr>
                <w:rFonts w:ascii="宋体"/>
                <w:bCs/>
                <w:color w:val="000000" w:themeColor="text1"/>
                <w:sz w:val="20"/>
              </w:rPr>
            </w:pPr>
            <w:r>
              <w:rPr>
                <w:rFonts w:hint="eastAsia" w:ascii="宋体"/>
                <w:bCs/>
                <w:color w:val="000000" w:themeColor="text1"/>
                <w:sz w:val="20"/>
              </w:rPr>
              <w:t>本项目担任工作</w:t>
            </w:r>
          </w:p>
        </w:tc>
        <w:tc>
          <w:tcPr>
            <w:tcW w:w="690" w:type="dxa"/>
            <w:vAlign w:val="center"/>
          </w:tcPr>
          <w:p>
            <w:pPr>
              <w:jc w:val="center"/>
              <w:rPr>
                <w:rFonts w:ascii="宋体"/>
                <w:bCs/>
                <w:color w:val="000000" w:themeColor="text1"/>
                <w:sz w:val="20"/>
              </w:rPr>
            </w:pPr>
            <w:r>
              <w:rPr>
                <w:rFonts w:hint="eastAsia" w:ascii="宋体"/>
                <w:bCs/>
                <w:color w:val="000000" w:themeColor="text1"/>
                <w:sz w:val="20"/>
              </w:rPr>
              <w:t>年龄</w:t>
            </w:r>
          </w:p>
        </w:tc>
        <w:tc>
          <w:tcPr>
            <w:tcW w:w="690" w:type="dxa"/>
            <w:vAlign w:val="center"/>
          </w:tcPr>
          <w:p>
            <w:pPr>
              <w:jc w:val="center"/>
              <w:rPr>
                <w:rFonts w:ascii="宋体"/>
                <w:bCs/>
                <w:color w:val="000000" w:themeColor="text1"/>
                <w:sz w:val="20"/>
              </w:rPr>
            </w:pPr>
            <w:r>
              <w:rPr>
                <w:rFonts w:hint="eastAsia" w:ascii="宋体"/>
                <w:bCs/>
                <w:color w:val="000000" w:themeColor="text1"/>
                <w:sz w:val="20"/>
              </w:rPr>
              <w:t>性别</w:t>
            </w:r>
          </w:p>
        </w:tc>
        <w:tc>
          <w:tcPr>
            <w:tcW w:w="1457" w:type="dxa"/>
            <w:vAlign w:val="center"/>
          </w:tcPr>
          <w:p>
            <w:pPr>
              <w:jc w:val="center"/>
              <w:rPr>
                <w:rFonts w:ascii="宋体"/>
                <w:bCs/>
                <w:color w:val="000000" w:themeColor="text1"/>
                <w:sz w:val="20"/>
              </w:rPr>
            </w:pPr>
            <w:r>
              <w:rPr>
                <w:rFonts w:hint="eastAsia" w:ascii="宋体"/>
                <w:bCs/>
                <w:color w:val="000000" w:themeColor="text1"/>
                <w:sz w:val="20"/>
              </w:rPr>
              <w:t>职称或资格</w:t>
            </w:r>
          </w:p>
        </w:tc>
        <w:tc>
          <w:tcPr>
            <w:tcW w:w="1134" w:type="dxa"/>
            <w:vAlign w:val="center"/>
          </w:tcPr>
          <w:p>
            <w:pPr>
              <w:jc w:val="center"/>
              <w:rPr>
                <w:rFonts w:ascii="宋体"/>
                <w:bCs/>
                <w:color w:val="000000" w:themeColor="text1"/>
                <w:sz w:val="20"/>
              </w:rPr>
            </w:pPr>
            <w:r>
              <w:rPr>
                <w:rFonts w:hint="eastAsia" w:ascii="宋体"/>
                <w:bCs/>
                <w:color w:val="000000" w:themeColor="text1"/>
                <w:sz w:val="20"/>
              </w:rPr>
              <w:t xml:space="preserve">专业 </w:t>
            </w:r>
          </w:p>
        </w:tc>
        <w:tc>
          <w:tcPr>
            <w:tcW w:w="2693" w:type="dxa"/>
            <w:vAlign w:val="center"/>
          </w:tcPr>
          <w:p>
            <w:pPr>
              <w:jc w:val="center"/>
              <w:rPr>
                <w:rFonts w:ascii="宋体"/>
                <w:bCs/>
                <w:color w:val="000000" w:themeColor="text1"/>
                <w:sz w:val="20"/>
              </w:rPr>
            </w:pPr>
            <w:r>
              <w:rPr>
                <w:rFonts w:hint="eastAsia" w:ascii="宋体"/>
                <w:bCs/>
                <w:color w:val="000000" w:themeColor="text1"/>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pStyle w:val="4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olor w:val="000000" w:themeColor="text1"/>
                <w:sz w:val="20"/>
                <w:szCs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pStyle w:val="17"/>
              <w:spacing w:line="360" w:lineRule="auto"/>
              <w:ind w:left="5250"/>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color w:val="000000" w:themeColor="text1"/>
                <w:sz w:val="20"/>
              </w:rPr>
            </w:pPr>
          </w:p>
        </w:tc>
        <w:tc>
          <w:tcPr>
            <w:tcW w:w="1126"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690" w:type="dxa"/>
            <w:vAlign w:val="center"/>
          </w:tcPr>
          <w:p>
            <w:pPr>
              <w:spacing w:line="360" w:lineRule="auto"/>
              <w:rPr>
                <w:rFonts w:ascii="宋体"/>
                <w:color w:val="000000" w:themeColor="text1"/>
                <w:sz w:val="20"/>
              </w:rPr>
            </w:pPr>
          </w:p>
        </w:tc>
        <w:tc>
          <w:tcPr>
            <w:tcW w:w="1457" w:type="dxa"/>
            <w:vAlign w:val="center"/>
          </w:tcPr>
          <w:p>
            <w:pPr>
              <w:spacing w:line="360" w:lineRule="auto"/>
              <w:rPr>
                <w:rFonts w:ascii="宋体"/>
                <w:color w:val="000000" w:themeColor="text1"/>
                <w:sz w:val="20"/>
              </w:rPr>
            </w:pPr>
          </w:p>
        </w:tc>
        <w:tc>
          <w:tcPr>
            <w:tcW w:w="1134" w:type="dxa"/>
            <w:vAlign w:val="center"/>
          </w:tcPr>
          <w:p>
            <w:pPr>
              <w:spacing w:line="360" w:lineRule="auto"/>
              <w:rPr>
                <w:rFonts w:ascii="宋体"/>
                <w:color w:val="000000" w:themeColor="text1"/>
                <w:sz w:val="20"/>
              </w:rPr>
            </w:pPr>
          </w:p>
        </w:tc>
        <w:tc>
          <w:tcPr>
            <w:tcW w:w="2693" w:type="dxa"/>
            <w:vAlign w:val="center"/>
          </w:tcPr>
          <w:p>
            <w:pPr>
              <w:spacing w:line="360" w:lineRule="auto"/>
              <w:rPr>
                <w:rFonts w:ascii="宋体"/>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color w:val="000000" w:themeColor="text1"/>
                <w:sz w:val="20"/>
              </w:rPr>
            </w:pPr>
            <w:r>
              <w:rPr>
                <w:rFonts w:hint="eastAsia" w:ascii="宋体"/>
                <w:color w:val="000000" w:themeColor="text1"/>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color w:val="000000" w:themeColor="text1"/>
          <w:sz w:val="22"/>
        </w:rPr>
      </w:pPr>
      <w:r>
        <w:rPr>
          <w:rFonts w:hint="eastAsia" w:ascii="宋体"/>
          <w:color w:val="000000" w:themeColor="text1"/>
          <w:sz w:val="22"/>
        </w:rPr>
        <w:t>注：1、本表人员</w:t>
      </w:r>
      <w:r>
        <w:rPr>
          <w:rFonts w:hint="eastAsia"/>
          <w:color w:val="000000" w:themeColor="text1"/>
          <w:sz w:val="22"/>
        </w:rPr>
        <w:t>如有证书的，同时</w:t>
      </w:r>
      <w:r>
        <w:rPr>
          <w:color w:val="000000" w:themeColor="text1"/>
          <w:sz w:val="22"/>
        </w:rPr>
        <w:t>提供</w:t>
      </w:r>
      <w:r>
        <w:rPr>
          <w:rFonts w:hint="eastAsia"/>
          <w:color w:val="000000" w:themeColor="text1"/>
          <w:sz w:val="22"/>
        </w:rPr>
        <w:t>证书及</w:t>
      </w:r>
      <w:r>
        <w:rPr>
          <w:rFonts w:hint="eastAsia" w:ascii="宋体"/>
          <w:color w:val="000000" w:themeColor="text1"/>
          <w:sz w:val="22"/>
        </w:rPr>
        <w:t>就近连续3个月在本单</w:t>
      </w:r>
      <w:r>
        <w:rPr>
          <w:rFonts w:hint="eastAsia"/>
          <w:color w:val="000000" w:themeColor="text1"/>
          <w:sz w:val="22"/>
        </w:rPr>
        <w:t>位缴纳社保证明</w:t>
      </w:r>
      <w:r>
        <w:rPr>
          <w:color w:val="000000" w:themeColor="text1"/>
          <w:sz w:val="22"/>
        </w:rPr>
        <w:t>扫描件加盖公章</w:t>
      </w:r>
      <w:r>
        <w:rPr>
          <w:rFonts w:hint="eastAsia" w:ascii="宋体"/>
          <w:color w:val="000000" w:themeColor="text1"/>
          <w:sz w:val="22"/>
        </w:rPr>
        <w:t>。</w:t>
      </w:r>
    </w:p>
    <w:p>
      <w:pPr>
        <w:autoSpaceDE w:val="0"/>
        <w:autoSpaceDN w:val="0"/>
        <w:adjustRightInd w:val="0"/>
        <w:spacing w:line="360" w:lineRule="auto"/>
        <w:ind w:firstLine="323" w:firstLineChars="147"/>
        <w:rPr>
          <w:rFonts w:ascii="宋体"/>
          <w:color w:val="000000" w:themeColor="text1"/>
          <w:sz w:val="22"/>
        </w:rPr>
      </w:pPr>
      <w:r>
        <w:rPr>
          <w:rFonts w:hint="eastAsia" w:ascii="宋体"/>
          <w:color w:val="000000" w:themeColor="text1"/>
          <w:sz w:val="22"/>
        </w:rPr>
        <w:t xml:space="preserve"> 2</w:t>
      </w:r>
      <w:r>
        <w:rPr>
          <w:rFonts w:ascii="宋体"/>
          <w:color w:val="000000" w:themeColor="text1"/>
          <w:sz w:val="22"/>
        </w:rPr>
        <w:t>、</w:t>
      </w:r>
      <w:r>
        <w:rPr>
          <w:rFonts w:hint="eastAsia" w:ascii="宋体"/>
          <w:color w:val="000000" w:themeColor="text1"/>
          <w:sz w:val="22"/>
        </w:rPr>
        <w:t>列入本表人员如要更换，需经采购单位同意；擅自更换或不到位属违约行为。</w:t>
      </w:r>
    </w:p>
    <w:p>
      <w:pPr>
        <w:snapToGrid w:val="0"/>
        <w:spacing w:line="400" w:lineRule="atLeast"/>
        <w:ind w:firstLine="550" w:firstLineChars="250"/>
        <w:rPr>
          <w:rFonts w:ascii="宋体"/>
          <w:color w:val="000000" w:themeColor="text1"/>
          <w:sz w:val="22"/>
        </w:rPr>
      </w:pPr>
      <w:r>
        <w:rPr>
          <w:rFonts w:hint="eastAsia" w:ascii="宋体"/>
          <w:color w:val="000000" w:themeColor="text1"/>
          <w:sz w:val="22"/>
        </w:rPr>
        <w:t>投标供应商（盖章）：</w:t>
      </w:r>
    </w:p>
    <w:p>
      <w:pPr>
        <w:snapToGrid w:val="0"/>
        <w:spacing w:line="400" w:lineRule="atLeast"/>
        <w:ind w:firstLine="550" w:firstLineChars="250"/>
        <w:rPr>
          <w:rFonts w:ascii="宋体"/>
          <w:color w:val="000000" w:themeColor="text1"/>
          <w:sz w:val="22"/>
        </w:rPr>
      </w:pPr>
      <w:r>
        <w:rPr>
          <w:rFonts w:hint="eastAsia" w:ascii="宋体"/>
          <w:color w:val="000000" w:themeColor="text1"/>
          <w:sz w:val="22"/>
          <w:lang w:val="zh-CN"/>
        </w:rPr>
        <w:t>法定代表人或</w:t>
      </w:r>
      <w:r>
        <w:rPr>
          <w:rFonts w:hint="eastAsia" w:ascii="宋体" w:cs="Courier New"/>
          <w:color w:val="000000" w:themeColor="text1"/>
          <w:sz w:val="22"/>
        </w:rPr>
        <w:t>其</w:t>
      </w:r>
      <w:r>
        <w:rPr>
          <w:rFonts w:hint="eastAsia" w:ascii="宋体"/>
          <w:color w:val="000000" w:themeColor="text1"/>
          <w:sz w:val="22"/>
          <w:lang w:val="zh-CN"/>
        </w:rPr>
        <w:t>授权代表（签字或盖章）</w:t>
      </w:r>
      <w:r>
        <w:rPr>
          <w:rFonts w:hint="eastAsia" w:ascii="宋体"/>
          <w:color w:val="000000" w:themeColor="text1"/>
          <w:sz w:val="22"/>
        </w:rPr>
        <w:t>：</w:t>
      </w:r>
    </w:p>
    <w:p>
      <w:pPr>
        <w:snapToGrid w:val="0"/>
        <w:spacing w:line="400" w:lineRule="atLeast"/>
        <w:ind w:firstLine="550" w:firstLineChars="250"/>
        <w:rPr>
          <w:rFonts w:ascii="宋体"/>
          <w:color w:val="000000" w:themeColor="text1"/>
        </w:rPr>
      </w:pPr>
      <w:r>
        <w:rPr>
          <w:rFonts w:hint="eastAsia" w:ascii="宋体"/>
          <w:color w:val="000000" w:themeColor="text1"/>
          <w:sz w:val="22"/>
        </w:rPr>
        <w:t xml:space="preserve">日期：  </w:t>
      </w:r>
      <w:r>
        <w:rPr>
          <w:rFonts w:hint="eastAsia" w:ascii="宋体"/>
          <w:color w:val="000000" w:themeColor="text1"/>
        </w:rPr>
        <w:t xml:space="preserve">          </w:t>
      </w:r>
    </w:p>
    <w:p>
      <w:pPr>
        <w:pStyle w:val="58"/>
        <w:ind w:firstLine="480"/>
        <w:rPr>
          <w:color w:val="000000" w:themeColor="text1"/>
        </w:rPr>
      </w:pPr>
    </w:p>
    <w:p>
      <w:pPr>
        <w:autoSpaceDE w:val="0"/>
        <w:autoSpaceDN w:val="0"/>
        <w:adjustRightInd w:val="0"/>
        <w:spacing w:line="460" w:lineRule="atLeast"/>
        <w:rPr>
          <w:rFonts w:ascii="宋体"/>
          <w:color w:val="000000" w:themeColor="text1"/>
          <w:sz w:val="36"/>
          <w:lang w:val="zh-CN"/>
        </w:rPr>
      </w:pPr>
      <w:r>
        <w:rPr>
          <w:rFonts w:hint="eastAsia" w:ascii="宋体" w:hAnsi="Courier New" w:cs="Arial"/>
          <w:color w:val="000000" w:themeColor="text1"/>
          <w:sz w:val="22"/>
        </w:rPr>
        <w:t>附件九</w:t>
      </w:r>
    </w:p>
    <w:p>
      <w:pPr>
        <w:autoSpaceDE w:val="0"/>
        <w:autoSpaceDN w:val="0"/>
        <w:adjustRightInd w:val="0"/>
        <w:spacing w:line="460" w:lineRule="atLeast"/>
        <w:ind w:firstLine="3592" w:firstLineChars="998"/>
        <w:rPr>
          <w:rFonts w:ascii="宋体"/>
          <w:color w:val="000000" w:themeColor="text1"/>
          <w:sz w:val="36"/>
          <w:lang w:val="zh-CN"/>
        </w:rPr>
      </w:pPr>
      <w:r>
        <w:rPr>
          <w:rFonts w:hint="eastAsia" w:ascii="宋体"/>
          <w:color w:val="000000" w:themeColor="text1"/>
          <w:sz w:val="36"/>
          <w:lang w:val="zh-CN"/>
        </w:rPr>
        <w:t>偏离表</w:t>
      </w:r>
    </w:p>
    <w:tbl>
      <w:tblPr>
        <w:tblStyle w:val="3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color w:val="000000" w:themeColor="text1"/>
                <w:sz w:val="22"/>
                <w:lang w:val="zh-CN"/>
              </w:rPr>
            </w:pPr>
            <w:r>
              <w:rPr>
                <w:rFonts w:ascii="宋体"/>
                <w:color w:val="000000" w:themeColor="text1"/>
                <w:sz w:val="22"/>
                <w:lang w:val="zh-CN"/>
              </w:rPr>
              <w:t>商务</w:t>
            </w:r>
            <w:r>
              <w:rPr>
                <w:rFonts w:hint="eastAsia" w:ascii="宋体"/>
                <w:color w:val="000000" w:themeColor="text1"/>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序</w:t>
            </w:r>
            <w:r>
              <w:rPr>
                <w:rFonts w:ascii="宋体"/>
                <w:color w:val="000000" w:themeColor="text1"/>
                <w:sz w:val="22"/>
                <w:lang w:val="zh-CN"/>
              </w:rPr>
              <w:t xml:space="preserve"> </w:t>
            </w:r>
            <w:r>
              <w:rPr>
                <w:rFonts w:hint="eastAsia" w:ascii="宋体"/>
                <w:color w:val="000000" w:themeColor="text1"/>
                <w:sz w:val="22"/>
                <w:lang w:val="zh-CN"/>
              </w:rPr>
              <w:t>号</w:t>
            </w:r>
          </w:p>
        </w:tc>
        <w:tc>
          <w:tcPr>
            <w:tcW w:w="17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内容</w:t>
            </w:r>
          </w:p>
        </w:tc>
        <w:tc>
          <w:tcPr>
            <w:tcW w:w="2664"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招标文件规范要求</w:t>
            </w:r>
          </w:p>
        </w:tc>
        <w:tc>
          <w:tcPr>
            <w:tcW w:w="21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投标文件对应规范</w:t>
            </w:r>
          </w:p>
        </w:tc>
        <w:tc>
          <w:tcPr>
            <w:tcW w:w="1831"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备</w:t>
            </w:r>
            <w:r>
              <w:rPr>
                <w:rFonts w:ascii="宋体"/>
                <w:color w:val="000000" w:themeColor="text1"/>
                <w:sz w:val="22"/>
                <w:lang w:val="zh-CN"/>
              </w:rPr>
              <w:t xml:space="preserve"> </w:t>
            </w:r>
            <w:r>
              <w:rPr>
                <w:rFonts w:hint="eastAsia" w:ascii="宋体"/>
                <w:color w:val="000000" w:themeColor="text1"/>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color w:val="000000" w:themeColor="text1"/>
                <w:sz w:val="22"/>
                <w:lang w:val="zh-CN"/>
              </w:rPr>
            </w:pPr>
            <w:r>
              <w:rPr>
                <w:rFonts w:ascii="宋体"/>
                <w:color w:val="000000" w:themeColor="text1"/>
                <w:sz w:val="22"/>
                <w:lang w:val="zh-CN"/>
              </w:rPr>
              <w:t>技术</w:t>
            </w:r>
            <w:r>
              <w:rPr>
                <w:rFonts w:hint="eastAsia" w:ascii="宋体"/>
                <w:color w:val="000000" w:themeColor="text1"/>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序</w:t>
            </w:r>
            <w:r>
              <w:rPr>
                <w:rFonts w:ascii="宋体"/>
                <w:color w:val="000000" w:themeColor="text1"/>
                <w:sz w:val="22"/>
                <w:lang w:val="zh-CN"/>
              </w:rPr>
              <w:t xml:space="preserve"> </w:t>
            </w:r>
            <w:r>
              <w:rPr>
                <w:rFonts w:hint="eastAsia" w:ascii="宋体"/>
                <w:color w:val="000000" w:themeColor="text1"/>
                <w:sz w:val="22"/>
                <w:lang w:val="zh-CN"/>
              </w:rPr>
              <w:t>号</w:t>
            </w:r>
          </w:p>
        </w:tc>
        <w:tc>
          <w:tcPr>
            <w:tcW w:w="17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内容</w:t>
            </w:r>
          </w:p>
        </w:tc>
        <w:tc>
          <w:tcPr>
            <w:tcW w:w="2664"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招标文件规范要求</w:t>
            </w:r>
          </w:p>
        </w:tc>
        <w:tc>
          <w:tcPr>
            <w:tcW w:w="2110"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投标文件对应规范</w:t>
            </w:r>
          </w:p>
        </w:tc>
        <w:tc>
          <w:tcPr>
            <w:tcW w:w="1831" w:type="dxa"/>
            <w:vAlign w:val="center"/>
          </w:tcPr>
          <w:p>
            <w:pPr>
              <w:autoSpaceDE w:val="0"/>
              <w:autoSpaceDN w:val="0"/>
              <w:adjustRightInd w:val="0"/>
              <w:spacing w:line="460" w:lineRule="atLeast"/>
              <w:jc w:val="center"/>
              <w:rPr>
                <w:rFonts w:ascii="宋体"/>
                <w:color w:val="000000" w:themeColor="text1"/>
                <w:sz w:val="22"/>
                <w:lang w:val="zh-CN"/>
              </w:rPr>
            </w:pPr>
            <w:r>
              <w:rPr>
                <w:rFonts w:hint="eastAsia" w:ascii="宋体"/>
                <w:color w:val="000000" w:themeColor="text1"/>
                <w:sz w:val="22"/>
                <w:lang w:val="zh-CN"/>
              </w:rPr>
              <w:t>备</w:t>
            </w:r>
            <w:r>
              <w:rPr>
                <w:rFonts w:ascii="宋体"/>
                <w:color w:val="000000" w:themeColor="text1"/>
                <w:sz w:val="22"/>
                <w:lang w:val="zh-CN"/>
              </w:rPr>
              <w:t xml:space="preserve"> </w:t>
            </w:r>
            <w:r>
              <w:rPr>
                <w:rFonts w:hint="eastAsia" w:ascii="宋体"/>
                <w:color w:val="000000" w:themeColor="text1"/>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color w:val="000000" w:themeColor="text1"/>
                <w:sz w:val="22"/>
                <w:lang w:val="zh-CN"/>
              </w:rPr>
            </w:pPr>
          </w:p>
        </w:tc>
        <w:tc>
          <w:tcPr>
            <w:tcW w:w="1710" w:type="dxa"/>
          </w:tcPr>
          <w:p>
            <w:pPr>
              <w:autoSpaceDE w:val="0"/>
              <w:autoSpaceDN w:val="0"/>
              <w:adjustRightInd w:val="0"/>
              <w:spacing w:line="460" w:lineRule="atLeast"/>
              <w:jc w:val="center"/>
              <w:rPr>
                <w:rFonts w:ascii="宋体"/>
                <w:color w:val="000000" w:themeColor="text1"/>
                <w:sz w:val="22"/>
                <w:lang w:val="zh-CN"/>
              </w:rPr>
            </w:pPr>
          </w:p>
        </w:tc>
        <w:tc>
          <w:tcPr>
            <w:tcW w:w="2664" w:type="dxa"/>
          </w:tcPr>
          <w:p>
            <w:pPr>
              <w:autoSpaceDE w:val="0"/>
              <w:autoSpaceDN w:val="0"/>
              <w:adjustRightInd w:val="0"/>
              <w:spacing w:line="460" w:lineRule="atLeast"/>
              <w:jc w:val="center"/>
              <w:rPr>
                <w:rFonts w:ascii="宋体"/>
                <w:color w:val="000000" w:themeColor="text1"/>
                <w:sz w:val="22"/>
                <w:lang w:val="zh-CN"/>
              </w:rPr>
            </w:pPr>
          </w:p>
        </w:tc>
        <w:tc>
          <w:tcPr>
            <w:tcW w:w="2110" w:type="dxa"/>
          </w:tcPr>
          <w:p>
            <w:pPr>
              <w:autoSpaceDE w:val="0"/>
              <w:autoSpaceDN w:val="0"/>
              <w:adjustRightInd w:val="0"/>
              <w:spacing w:line="460" w:lineRule="atLeast"/>
              <w:jc w:val="center"/>
              <w:rPr>
                <w:rFonts w:ascii="宋体"/>
                <w:color w:val="000000" w:themeColor="text1"/>
                <w:sz w:val="22"/>
                <w:lang w:val="zh-CN"/>
              </w:rPr>
            </w:pPr>
          </w:p>
        </w:tc>
        <w:tc>
          <w:tcPr>
            <w:tcW w:w="1831" w:type="dxa"/>
          </w:tcPr>
          <w:p>
            <w:pPr>
              <w:autoSpaceDE w:val="0"/>
              <w:autoSpaceDN w:val="0"/>
              <w:adjustRightInd w:val="0"/>
              <w:spacing w:line="460" w:lineRule="atLeast"/>
              <w:jc w:val="center"/>
              <w:rPr>
                <w:rFonts w:ascii="宋体"/>
                <w:color w:val="000000" w:themeColor="text1"/>
                <w:sz w:val="22"/>
                <w:lang w:val="zh-CN"/>
              </w:rPr>
            </w:pPr>
          </w:p>
        </w:tc>
      </w:tr>
    </w:tbl>
    <w:p>
      <w:pPr>
        <w:spacing w:line="360" w:lineRule="auto"/>
        <w:rPr>
          <w:rFonts w:ascii="宋体"/>
          <w:color w:val="000000" w:themeColor="text1"/>
          <w:sz w:val="22"/>
          <w:lang w:val="zh-CN"/>
        </w:rPr>
      </w:pPr>
    </w:p>
    <w:p>
      <w:pPr>
        <w:spacing w:line="360" w:lineRule="auto"/>
        <w:rPr>
          <w:rFonts w:ascii="宋体"/>
          <w:color w:val="000000" w:themeColor="text1"/>
          <w:sz w:val="22"/>
          <w:lang w:val="zh-CN"/>
        </w:rPr>
      </w:pPr>
      <w:r>
        <w:rPr>
          <w:rFonts w:hint="eastAsia" w:ascii="宋体"/>
          <w:b/>
          <w:bCs/>
          <w:color w:val="000000" w:themeColor="text1"/>
          <w:sz w:val="22"/>
          <w:lang w:val="zh-CN"/>
        </w:rPr>
        <w:t>备注添正偏离、负偏离或无偏离。</w:t>
      </w:r>
    </w:p>
    <w:p>
      <w:pPr>
        <w:spacing w:line="360" w:lineRule="auto"/>
        <w:rPr>
          <w:rFonts w:ascii="宋体"/>
          <w:color w:val="000000" w:themeColor="text1"/>
        </w:rPr>
      </w:pPr>
      <w:r>
        <w:rPr>
          <w:rFonts w:hint="eastAsia" w:ascii="宋体"/>
          <w:color w:val="000000" w:themeColor="text1"/>
          <w:sz w:val="22"/>
          <w:lang w:val="zh-CN"/>
        </w:rPr>
        <w:t>投标供应商盖章：</w:t>
      </w:r>
      <w:r>
        <w:rPr>
          <w:rFonts w:hint="eastAsia" w:ascii="宋体"/>
          <w:color w:val="000000" w:themeColor="text1"/>
          <w:sz w:val="22"/>
          <w:u w:val="single"/>
          <w:lang w:val="zh-CN"/>
        </w:rPr>
        <w:t xml:space="preserve">           </w:t>
      </w:r>
    </w:p>
    <w:p>
      <w:pPr>
        <w:spacing w:before="156" w:beforeLines="50" w:after="156" w:afterLines="50" w:line="460" w:lineRule="atLeast"/>
        <w:ind w:right="-10"/>
        <w:jc w:val="center"/>
        <w:rPr>
          <w:rFonts w:ascii="宋体"/>
          <w:color w:val="000000" w:themeColor="text1"/>
          <w:sz w:val="36"/>
        </w:rPr>
      </w:pPr>
    </w:p>
    <w:p>
      <w:pPr>
        <w:spacing w:before="156" w:beforeLines="50" w:after="156" w:afterLines="50" w:line="460" w:lineRule="atLeast"/>
        <w:ind w:right="-10"/>
        <w:jc w:val="center"/>
        <w:rPr>
          <w:rFonts w:ascii="宋体"/>
          <w:color w:val="000000" w:themeColor="text1"/>
          <w:sz w:val="36"/>
        </w:rPr>
      </w:pPr>
    </w:p>
    <w:p>
      <w:pPr>
        <w:spacing w:before="156" w:beforeLines="50" w:after="156" w:afterLines="50" w:line="460" w:lineRule="atLeast"/>
        <w:ind w:right="-10"/>
        <w:jc w:val="center"/>
        <w:rPr>
          <w:rFonts w:ascii="宋体"/>
          <w:color w:val="000000" w:themeColor="text1"/>
          <w:sz w:val="36"/>
        </w:rPr>
      </w:pPr>
    </w:p>
    <w:p>
      <w:pPr>
        <w:spacing w:before="156" w:beforeLines="50" w:after="156" w:afterLines="50" w:line="460" w:lineRule="atLeast"/>
        <w:ind w:right="-10"/>
        <w:rPr>
          <w:rFonts w:ascii="宋体"/>
          <w:color w:val="000000" w:themeColor="text1"/>
          <w:sz w:val="36"/>
        </w:rPr>
      </w:pPr>
    </w:p>
    <w:p>
      <w:pPr>
        <w:rPr>
          <w:rFonts w:ascii="宋体" w:hAnsi="Courier New" w:cs="Arial"/>
          <w:color w:val="000000" w:themeColor="text1"/>
          <w:sz w:val="22"/>
        </w:rPr>
      </w:pPr>
      <w:r>
        <w:rPr>
          <w:rFonts w:hint="eastAsia" w:ascii="宋体" w:hAnsi="Courier New" w:cs="Arial"/>
          <w:color w:val="000000" w:themeColor="text1"/>
          <w:sz w:val="22"/>
        </w:rPr>
        <w:br w:type="page"/>
      </w:r>
    </w:p>
    <w:p>
      <w:pPr>
        <w:autoSpaceDE w:val="0"/>
        <w:autoSpaceDN w:val="0"/>
        <w:adjustRightInd w:val="0"/>
        <w:spacing w:line="460" w:lineRule="atLeast"/>
        <w:rPr>
          <w:rFonts w:ascii="宋体"/>
          <w:color w:val="000000" w:themeColor="text1"/>
          <w:sz w:val="36"/>
          <w:lang w:val="zh-CN"/>
        </w:rPr>
      </w:pPr>
      <w:r>
        <w:rPr>
          <w:rFonts w:hint="eastAsia" w:ascii="宋体" w:hAnsi="Courier New" w:cs="Arial"/>
          <w:color w:val="000000" w:themeColor="text1"/>
          <w:sz w:val="22"/>
        </w:rPr>
        <w:t>附件十</w:t>
      </w:r>
    </w:p>
    <w:p>
      <w:pPr>
        <w:spacing w:line="400" w:lineRule="exact"/>
        <w:ind w:left="1440" w:hanging="1440" w:hangingChars="400"/>
        <w:jc w:val="center"/>
        <w:rPr>
          <w:rFonts w:ascii="宋体" w:cs="Arial"/>
          <w:bCs/>
          <w:color w:val="000000" w:themeColor="text1"/>
          <w:sz w:val="32"/>
        </w:rPr>
      </w:pPr>
      <w:r>
        <w:rPr>
          <w:rFonts w:hint="eastAsia" w:ascii="宋体" w:cs="Arial"/>
          <w:bCs/>
          <w:color w:val="000000" w:themeColor="text1"/>
          <w:sz w:val="36"/>
          <w:szCs w:val="36"/>
        </w:rPr>
        <w:t>所投货物的品牌型号（货物类）</w:t>
      </w:r>
    </w:p>
    <w:p>
      <w:pPr>
        <w:spacing w:line="400" w:lineRule="exact"/>
        <w:ind w:left="1280" w:hanging="1280" w:hangingChars="400"/>
        <w:jc w:val="center"/>
        <w:rPr>
          <w:rFonts w:ascii="宋体" w:cs="Arial"/>
          <w:bCs/>
          <w:color w:val="000000" w:themeColor="text1"/>
          <w:sz w:val="32"/>
        </w:rPr>
      </w:pPr>
    </w:p>
    <w:p>
      <w:pPr>
        <w:spacing w:line="380" w:lineRule="exact"/>
        <w:rPr>
          <w:rFonts w:ascii="宋体"/>
          <w:bCs/>
          <w:color w:val="000000" w:themeColor="text1"/>
          <w:sz w:val="22"/>
        </w:rPr>
      </w:pPr>
      <w:r>
        <w:rPr>
          <w:rFonts w:hint="eastAsia" w:ascii="宋体"/>
          <w:bCs/>
          <w:color w:val="000000" w:themeColor="text1"/>
          <w:sz w:val="22"/>
        </w:rPr>
        <w:t>项目名称：                                          招标编号：</w:t>
      </w:r>
    </w:p>
    <w:tbl>
      <w:tblPr>
        <w:tblStyle w:val="31"/>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规格型号</w:t>
            </w:r>
          </w:p>
        </w:tc>
        <w:tc>
          <w:tcPr>
            <w:tcW w:w="1560" w:type="dxa"/>
            <w:tcBorders>
              <w:top w:val="single" w:color="auto" w:sz="4" w:space="0"/>
              <w:left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品牌</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数量</w:t>
            </w: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宋体" w:cs="Arial"/>
                <w:color w:val="000000" w:themeColor="text1"/>
                <w:sz w:val="22"/>
              </w:rPr>
            </w:pPr>
            <w:r>
              <w:rPr>
                <w:rFonts w:hint="eastAsia" w:ascii="宋体" w:cs="Arial"/>
                <w:color w:val="000000" w:themeColor="text1"/>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color w:val="000000" w:themeColor="text1"/>
                <w:sz w:val="22"/>
              </w:rPr>
            </w:pPr>
          </w:p>
        </w:tc>
      </w:tr>
    </w:tbl>
    <w:p>
      <w:pPr>
        <w:pStyle w:val="16"/>
        <w:spacing w:before="156" w:after="156" w:line="400" w:lineRule="atLeast"/>
        <w:rPr>
          <w:rFonts w:hAnsi="宋体"/>
          <w:bCs/>
          <w:color w:val="000000" w:themeColor="text1"/>
          <w:sz w:val="22"/>
          <w:szCs w:val="22"/>
        </w:rPr>
      </w:pPr>
      <w:r>
        <w:rPr>
          <w:rFonts w:hint="eastAsia" w:hAnsi="宋体"/>
          <w:color w:val="000000" w:themeColor="text1"/>
          <w:sz w:val="22"/>
          <w:szCs w:val="22"/>
        </w:rPr>
        <w:t>注：1、</w:t>
      </w:r>
      <w:r>
        <w:rPr>
          <w:rFonts w:hint="eastAsia" w:hAnsi="宋体"/>
          <w:bCs/>
          <w:color w:val="000000" w:themeColor="text1"/>
          <w:sz w:val="22"/>
          <w:szCs w:val="22"/>
        </w:rPr>
        <w:t>表格可以延续。</w:t>
      </w:r>
    </w:p>
    <w:p>
      <w:pPr>
        <w:pStyle w:val="16"/>
        <w:spacing w:before="156" w:after="156" w:line="400" w:lineRule="atLeast"/>
        <w:ind w:left="1"/>
        <w:rPr>
          <w:rFonts w:hAnsi="宋体"/>
          <w:bCs/>
          <w:color w:val="000000" w:themeColor="text1"/>
          <w:sz w:val="22"/>
          <w:szCs w:val="22"/>
        </w:rPr>
      </w:pPr>
    </w:p>
    <w:p>
      <w:pPr>
        <w:pStyle w:val="16"/>
        <w:spacing w:before="156" w:after="156" w:line="400" w:lineRule="atLeast"/>
        <w:ind w:left="425" w:hanging="424" w:hangingChars="193"/>
        <w:rPr>
          <w:rFonts w:hAnsi="宋体"/>
          <w:color w:val="000000" w:themeColor="text1"/>
          <w:sz w:val="22"/>
        </w:rPr>
      </w:pPr>
    </w:p>
    <w:p>
      <w:pPr>
        <w:snapToGrid w:val="0"/>
        <w:spacing w:line="500" w:lineRule="atLeast"/>
        <w:ind w:firstLine="550" w:firstLineChars="250"/>
        <w:rPr>
          <w:rFonts w:ascii="宋体"/>
          <w:color w:val="000000" w:themeColor="text1"/>
          <w:sz w:val="22"/>
        </w:rPr>
      </w:pPr>
      <w:r>
        <w:rPr>
          <w:rFonts w:hint="eastAsia" w:ascii="宋体"/>
          <w:color w:val="000000" w:themeColor="text1"/>
          <w:sz w:val="22"/>
        </w:rPr>
        <w:t>投标供应商（盖章）：</w:t>
      </w:r>
    </w:p>
    <w:p>
      <w:pPr>
        <w:snapToGrid w:val="0"/>
        <w:spacing w:line="500" w:lineRule="atLeast"/>
        <w:ind w:firstLine="550" w:firstLineChars="250"/>
        <w:rPr>
          <w:rFonts w:ascii="宋体"/>
          <w:color w:val="000000" w:themeColor="text1"/>
          <w:sz w:val="22"/>
        </w:rPr>
      </w:pPr>
      <w:r>
        <w:rPr>
          <w:rFonts w:hint="eastAsia" w:ascii="宋体"/>
          <w:color w:val="000000" w:themeColor="text1"/>
          <w:sz w:val="22"/>
        </w:rPr>
        <w:t>法定代表人或</w:t>
      </w:r>
      <w:r>
        <w:rPr>
          <w:rFonts w:hint="eastAsia" w:ascii="宋体" w:cs="Courier New"/>
          <w:color w:val="000000" w:themeColor="text1"/>
          <w:sz w:val="22"/>
        </w:rPr>
        <w:t>其</w:t>
      </w:r>
      <w:r>
        <w:rPr>
          <w:rFonts w:hint="eastAsia" w:ascii="宋体"/>
          <w:color w:val="000000" w:themeColor="text1"/>
          <w:sz w:val="22"/>
        </w:rPr>
        <w:t>授权代表（签字或盖章）：</w:t>
      </w:r>
    </w:p>
    <w:p>
      <w:pPr>
        <w:snapToGrid w:val="0"/>
        <w:spacing w:line="500" w:lineRule="atLeast"/>
        <w:ind w:firstLine="550" w:firstLineChars="250"/>
        <w:rPr>
          <w:rFonts w:ascii="宋体"/>
          <w:color w:val="000000" w:themeColor="text1"/>
          <w:sz w:val="22"/>
        </w:rPr>
      </w:pPr>
      <w:r>
        <w:rPr>
          <w:rFonts w:hint="eastAsia" w:ascii="宋体"/>
          <w:color w:val="000000" w:themeColor="text1"/>
          <w:sz w:val="22"/>
        </w:rPr>
        <w:t xml:space="preserve">日期： </w:t>
      </w:r>
    </w:p>
    <w:p>
      <w:pPr>
        <w:pStyle w:val="30"/>
        <w:ind w:firstLine="440"/>
        <w:rPr>
          <w:rFonts w:ascii="宋体"/>
          <w:color w:val="000000" w:themeColor="text1"/>
          <w:sz w:val="22"/>
        </w:rPr>
      </w:pPr>
    </w:p>
    <w:p>
      <w:pPr>
        <w:pStyle w:val="30"/>
        <w:ind w:firstLine="440"/>
        <w:rPr>
          <w:rFonts w:ascii="宋体"/>
          <w:color w:val="000000" w:themeColor="text1"/>
          <w:sz w:val="22"/>
        </w:rPr>
        <w:sectPr>
          <w:pgSz w:w="11906" w:h="16838"/>
          <w:pgMar w:top="1440" w:right="1800" w:bottom="1440" w:left="1800" w:header="851" w:footer="992" w:gutter="0"/>
          <w:pgNumType w:fmt="decimal"/>
          <w:cols w:space="425" w:num="1"/>
          <w:docGrid w:type="lines" w:linePitch="312" w:charSpace="0"/>
        </w:sectPr>
      </w:pPr>
    </w:p>
    <w:p>
      <w:pPr>
        <w:spacing w:line="460" w:lineRule="atLeast"/>
        <w:rPr>
          <w:rFonts w:ascii="宋体"/>
          <w:color w:val="000000" w:themeColor="text1"/>
          <w:sz w:val="24"/>
          <w:szCs w:val="24"/>
        </w:rPr>
      </w:pPr>
      <w:r>
        <w:rPr>
          <w:rFonts w:hint="eastAsia" w:ascii="宋体" w:cs="宋体"/>
          <w:color w:val="000000" w:themeColor="text1"/>
          <w:sz w:val="22"/>
        </w:rPr>
        <w:t>附件十一：</w:t>
      </w:r>
    </w:p>
    <w:p>
      <w:pPr>
        <w:spacing w:line="460" w:lineRule="atLeast"/>
        <w:ind w:firstLine="480" w:firstLineChars="200"/>
        <w:jc w:val="center"/>
        <w:rPr>
          <w:rFonts w:ascii="宋体"/>
          <w:color w:val="000000" w:themeColor="text1"/>
          <w:sz w:val="24"/>
          <w:szCs w:val="24"/>
        </w:rPr>
      </w:pPr>
      <w:r>
        <w:rPr>
          <w:rFonts w:hint="eastAsia" w:ascii="宋体"/>
          <w:color w:val="000000" w:themeColor="text1"/>
          <w:sz w:val="24"/>
          <w:szCs w:val="24"/>
        </w:rPr>
        <w:t>中小企业声明函（工程、服务）</w:t>
      </w:r>
    </w:p>
    <w:p>
      <w:pPr>
        <w:pStyle w:val="30"/>
        <w:rPr>
          <w:color w:val="000000" w:themeColor="text1"/>
        </w:rPr>
      </w:pPr>
    </w:p>
    <w:p>
      <w:pPr>
        <w:spacing w:line="360" w:lineRule="auto"/>
        <w:ind w:firstLine="480" w:firstLineChars="200"/>
        <w:rPr>
          <w:rFonts w:ascii="宋体" w:cs="宋体"/>
          <w:color w:val="000000" w:themeColor="text1"/>
          <w:sz w:val="24"/>
          <w:szCs w:val="24"/>
        </w:rPr>
      </w:pPr>
      <w:r>
        <w:rPr>
          <w:rFonts w:hint="eastAsia" w:ascii="宋体" w:cs="宋体"/>
          <w:color w:val="000000" w:themeColor="text1"/>
          <w:sz w:val="24"/>
          <w:szCs w:val="24"/>
        </w:rPr>
        <w:t>本公司（联合体）郑重声明，根据《政府采购促进中小企业发展管理办法》（财库﹝2020﹞46 号）的规定，本公司（联合体）参加</w:t>
      </w:r>
      <w:r>
        <w:rPr>
          <w:rFonts w:hint="eastAsia" w:ascii="宋体" w:cs="宋体"/>
          <w:color w:val="000000" w:themeColor="text1"/>
          <w:sz w:val="24"/>
          <w:szCs w:val="24"/>
          <w:u w:val="single"/>
        </w:rPr>
        <w:t>（单位名称）</w:t>
      </w:r>
      <w:r>
        <w:rPr>
          <w:rFonts w:hint="eastAsia" w:ascii="宋体" w:cs="宋体"/>
          <w:color w:val="000000" w:themeColor="text1"/>
          <w:sz w:val="24"/>
          <w:szCs w:val="24"/>
        </w:rPr>
        <w:t>的</w:t>
      </w:r>
      <w:r>
        <w:rPr>
          <w:rFonts w:hint="eastAsia" w:ascii="宋体" w:cs="宋体"/>
          <w:color w:val="000000" w:themeColor="text1"/>
          <w:sz w:val="24"/>
          <w:szCs w:val="24"/>
          <w:u w:val="single"/>
        </w:rPr>
        <w:t>（项目名称）</w:t>
      </w:r>
      <w:r>
        <w:rPr>
          <w:rFonts w:hint="eastAsia" w:ascii="宋体" w:cs="宋体"/>
          <w:color w:val="000000" w:themeColor="text1"/>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30"/>
        <w:spacing w:line="360" w:lineRule="auto"/>
        <w:ind w:left="0" w:leftChars="0" w:firstLine="0" w:firstLineChars="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u w:val="single"/>
        </w:rPr>
        <w:t>（标的名称）</w:t>
      </w:r>
      <w:r>
        <w:rPr>
          <w:rFonts w:hint="eastAsia"/>
          <w:color w:val="000000" w:themeColor="text1"/>
          <w:sz w:val="24"/>
          <w:szCs w:val="24"/>
        </w:rPr>
        <w:t xml:space="preserve"> ，属于</w:t>
      </w:r>
      <w:r>
        <w:rPr>
          <w:rFonts w:hint="eastAsia"/>
          <w:color w:val="000000" w:themeColor="text1"/>
          <w:sz w:val="24"/>
          <w:szCs w:val="24"/>
          <w:u w:val="single"/>
        </w:rPr>
        <w:t>（采购文件中明确的所属行业）</w:t>
      </w:r>
      <w:r>
        <w:rPr>
          <w:rFonts w:hint="eastAsia"/>
          <w:color w:val="000000" w:themeColor="text1"/>
          <w:sz w:val="24"/>
          <w:szCs w:val="24"/>
        </w:rPr>
        <w:t>行业；承建（承接）企业为</w:t>
      </w:r>
      <w:r>
        <w:rPr>
          <w:rFonts w:hint="eastAsia"/>
          <w:color w:val="000000" w:themeColor="text1"/>
          <w:sz w:val="24"/>
          <w:szCs w:val="24"/>
          <w:u w:val="single"/>
        </w:rPr>
        <w:t>（企业名称）</w:t>
      </w:r>
      <w:r>
        <w:rPr>
          <w:rFonts w:hint="eastAsia"/>
          <w:color w:val="000000" w:themeColor="text1"/>
          <w:sz w:val="24"/>
          <w:szCs w:val="24"/>
        </w:rPr>
        <w:t>，从业人员</w:t>
      </w:r>
      <w:r>
        <w:rPr>
          <w:rFonts w:hint="eastAsia"/>
          <w:color w:val="000000" w:themeColor="text1"/>
          <w:sz w:val="24"/>
          <w:szCs w:val="24"/>
          <w:u w:val="single"/>
        </w:rPr>
        <w:t xml:space="preserve">   </w:t>
      </w:r>
      <w:r>
        <w:rPr>
          <w:rFonts w:hint="eastAsia"/>
          <w:color w:val="000000" w:themeColor="text1"/>
          <w:sz w:val="24"/>
          <w:szCs w:val="24"/>
        </w:rPr>
        <w:t>人，营业收入为</w:t>
      </w:r>
      <w:r>
        <w:rPr>
          <w:rFonts w:hint="eastAsia"/>
          <w:color w:val="000000" w:themeColor="text1"/>
          <w:sz w:val="24"/>
          <w:szCs w:val="24"/>
          <w:u w:val="single"/>
        </w:rPr>
        <w:t xml:space="preserve">   </w:t>
      </w:r>
      <w:r>
        <w:rPr>
          <w:rFonts w:hint="eastAsia"/>
          <w:color w:val="000000" w:themeColor="text1"/>
          <w:sz w:val="24"/>
          <w:szCs w:val="24"/>
        </w:rPr>
        <w:t>万元，资产总额为</w:t>
      </w:r>
      <w:r>
        <w:rPr>
          <w:rFonts w:hint="eastAsia"/>
          <w:color w:val="000000" w:themeColor="text1"/>
          <w:sz w:val="24"/>
          <w:szCs w:val="24"/>
          <w:u w:val="single"/>
        </w:rPr>
        <w:t xml:space="preserve">   </w:t>
      </w:r>
      <w:r>
        <w:rPr>
          <w:rFonts w:hint="eastAsia"/>
          <w:color w:val="000000" w:themeColor="text1"/>
          <w:sz w:val="24"/>
          <w:szCs w:val="24"/>
        </w:rPr>
        <w:t>万元，属于</w:t>
      </w:r>
      <w:r>
        <w:rPr>
          <w:rFonts w:hint="eastAsia"/>
          <w:color w:val="000000" w:themeColor="text1"/>
          <w:sz w:val="24"/>
          <w:szCs w:val="24"/>
          <w:u w:val="single"/>
        </w:rPr>
        <w:t>（中型企业、小型企业、微型企业）</w:t>
      </w:r>
      <w:r>
        <w:rPr>
          <w:rFonts w:hint="eastAsia"/>
          <w:color w:val="000000" w:themeColor="text1"/>
          <w:sz w:val="24"/>
          <w:szCs w:val="24"/>
        </w:rPr>
        <w:t>；</w:t>
      </w:r>
    </w:p>
    <w:p>
      <w:pPr>
        <w:pStyle w:val="30"/>
        <w:spacing w:line="360" w:lineRule="auto"/>
        <w:ind w:left="0" w:leftChars="0" w:firstLine="480"/>
        <w:rPr>
          <w:color w:val="000000" w:themeColor="text1"/>
          <w:sz w:val="24"/>
          <w:szCs w:val="24"/>
        </w:rPr>
      </w:pPr>
      <w:r>
        <w:rPr>
          <w:rFonts w:hint="eastAsia"/>
          <w:color w:val="000000" w:themeColor="text1"/>
          <w:sz w:val="24"/>
          <w:szCs w:val="24"/>
          <w:u w:val="single"/>
        </w:rPr>
        <w:t>2.（标的名称）</w:t>
      </w:r>
      <w:r>
        <w:rPr>
          <w:rFonts w:hint="eastAsia"/>
          <w:color w:val="000000" w:themeColor="text1"/>
          <w:sz w:val="24"/>
          <w:szCs w:val="24"/>
        </w:rPr>
        <w:t xml:space="preserve"> ，属于</w:t>
      </w:r>
      <w:r>
        <w:rPr>
          <w:rFonts w:hint="eastAsia"/>
          <w:color w:val="000000" w:themeColor="text1"/>
          <w:sz w:val="24"/>
          <w:szCs w:val="24"/>
          <w:u w:val="single"/>
        </w:rPr>
        <w:t>（采购文件中明确的所属行业）</w:t>
      </w:r>
      <w:r>
        <w:rPr>
          <w:rFonts w:hint="eastAsia"/>
          <w:color w:val="000000" w:themeColor="text1"/>
          <w:sz w:val="24"/>
          <w:szCs w:val="24"/>
        </w:rPr>
        <w:t>行业；承建（承接）企业为</w:t>
      </w:r>
      <w:r>
        <w:rPr>
          <w:rFonts w:hint="eastAsia"/>
          <w:color w:val="000000" w:themeColor="text1"/>
          <w:sz w:val="24"/>
          <w:szCs w:val="24"/>
          <w:u w:val="single"/>
        </w:rPr>
        <w:t>（企业名称）</w:t>
      </w:r>
      <w:r>
        <w:rPr>
          <w:rFonts w:hint="eastAsia"/>
          <w:color w:val="000000" w:themeColor="text1"/>
          <w:sz w:val="24"/>
          <w:szCs w:val="24"/>
        </w:rPr>
        <w:t>，从业人员</w:t>
      </w:r>
      <w:r>
        <w:rPr>
          <w:rFonts w:hint="eastAsia"/>
          <w:color w:val="000000" w:themeColor="text1"/>
          <w:sz w:val="24"/>
          <w:szCs w:val="24"/>
          <w:u w:val="single"/>
        </w:rPr>
        <w:t xml:space="preserve">   </w:t>
      </w:r>
      <w:r>
        <w:rPr>
          <w:rFonts w:hint="eastAsia"/>
          <w:color w:val="000000" w:themeColor="text1"/>
          <w:sz w:val="24"/>
          <w:szCs w:val="24"/>
        </w:rPr>
        <w:t>人，营业收入为</w:t>
      </w:r>
      <w:r>
        <w:rPr>
          <w:rFonts w:hint="eastAsia"/>
          <w:color w:val="000000" w:themeColor="text1"/>
          <w:sz w:val="24"/>
          <w:szCs w:val="24"/>
          <w:u w:val="single"/>
        </w:rPr>
        <w:t xml:space="preserve">    </w:t>
      </w:r>
      <w:r>
        <w:rPr>
          <w:rFonts w:hint="eastAsia"/>
          <w:color w:val="000000" w:themeColor="text1"/>
          <w:sz w:val="24"/>
          <w:szCs w:val="24"/>
        </w:rPr>
        <w:t>万元，资产总额为</w:t>
      </w:r>
      <w:r>
        <w:rPr>
          <w:rFonts w:hint="eastAsia"/>
          <w:color w:val="000000" w:themeColor="text1"/>
          <w:sz w:val="24"/>
          <w:szCs w:val="24"/>
          <w:u w:val="single"/>
        </w:rPr>
        <w:t xml:space="preserve">    </w:t>
      </w:r>
      <w:r>
        <w:rPr>
          <w:rFonts w:hint="eastAsia"/>
          <w:color w:val="000000" w:themeColor="text1"/>
          <w:sz w:val="24"/>
          <w:szCs w:val="24"/>
        </w:rPr>
        <w:t>万元</w:t>
      </w:r>
      <w:r>
        <w:rPr>
          <w:rFonts w:hint="eastAsia"/>
          <w:color w:val="000000" w:themeColor="text1"/>
          <w:sz w:val="24"/>
          <w:szCs w:val="24"/>
          <w:vertAlign w:val="superscript"/>
        </w:rPr>
        <w:t>1</w:t>
      </w:r>
      <w:r>
        <w:rPr>
          <w:rFonts w:hint="eastAsia"/>
          <w:color w:val="000000" w:themeColor="text1"/>
          <w:sz w:val="24"/>
          <w:szCs w:val="24"/>
        </w:rPr>
        <w:t>，属于</w:t>
      </w:r>
      <w:r>
        <w:rPr>
          <w:rFonts w:hint="eastAsia"/>
          <w:color w:val="000000" w:themeColor="text1"/>
          <w:sz w:val="24"/>
          <w:szCs w:val="24"/>
          <w:u w:val="single"/>
        </w:rPr>
        <w:t>（中型企业、小型企业、微型企业）</w:t>
      </w:r>
      <w:r>
        <w:rPr>
          <w:rFonts w:hint="eastAsia"/>
          <w:color w:val="000000" w:themeColor="text1"/>
          <w:sz w:val="24"/>
          <w:szCs w:val="24"/>
        </w:rPr>
        <w:t>；</w:t>
      </w:r>
    </w:p>
    <w:p>
      <w:pPr>
        <w:pStyle w:val="30"/>
        <w:spacing w:line="360" w:lineRule="auto"/>
        <w:ind w:left="0" w:leftChars="0" w:firstLine="480"/>
        <w:rPr>
          <w:color w:val="000000" w:themeColor="text1"/>
          <w:sz w:val="24"/>
          <w:szCs w:val="24"/>
        </w:rPr>
      </w:pPr>
      <w:r>
        <w:rPr>
          <w:rFonts w:hint="eastAsia"/>
          <w:color w:val="000000" w:themeColor="text1"/>
          <w:sz w:val="24"/>
          <w:szCs w:val="24"/>
        </w:rPr>
        <w:t>……</w:t>
      </w:r>
    </w:p>
    <w:p>
      <w:pPr>
        <w:pStyle w:val="30"/>
        <w:spacing w:line="360" w:lineRule="auto"/>
        <w:ind w:left="0" w:leftChars="0" w:firstLine="480"/>
        <w:rPr>
          <w:color w:val="000000" w:themeColor="text1"/>
          <w:sz w:val="24"/>
          <w:szCs w:val="24"/>
        </w:rPr>
      </w:pPr>
      <w:r>
        <w:rPr>
          <w:rFonts w:hint="eastAsia"/>
          <w:color w:val="000000" w:themeColor="text1"/>
          <w:sz w:val="24"/>
          <w:szCs w:val="24"/>
        </w:rPr>
        <w:t>以上企业，不属于大企业的分支机构，不存在控股股东为大企业的情形，也不存在与大企业的负责人为同一人的情形。</w:t>
      </w:r>
    </w:p>
    <w:p>
      <w:pPr>
        <w:pStyle w:val="30"/>
        <w:spacing w:line="360" w:lineRule="auto"/>
        <w:ind w:left="0" w:leftChars="0" w:firstLine="480"/>
        <w:rPr>
          <w:color w:val="000000" w:themeColor="text1"/>
          <w:sz w:val="24"/>
          <w:szCs w:val="24"/>
        </w:rPr>
      </w:pPr>
      <w:r>
        <w:rPr>
          <w:rFonts w:hint="eastAsia"/>
          <w:color w:val="000000" w:themeColor="text1"/>
          <w:sz w:val="24"/>
          <w:szCs w:val="24"/>
        </w:rPr>
        <w:t>本企业对上述声明内容的真实性负责。如有虚假，将依法承担相应责任。</w:t>
      </w:r>
    </w:p>
    <w:p>
      <w:pPr>
        <w:spacing w:line="460" w:lineRule="atLeast"/>
        <w:ind w:firstLine="480" w:firstLineChars="200"/>
        <w:jc w:val="right"/>
        <w:rPr>
          <w:rFonts w:ascii="宋体" w:cs="宋体"/>
          <w:color w:val="000000" w:themeColor="text1"/>
          <w:sz w:val="24"/>
          <w:szCs w:val="24"/>
        </w:rPr>
      </w:pPr>
      <w:r>
        <w:rPr>
          <w:rFonts w:hint="eastAsia" w:ascii="宋体" w:cs="宋体"/>
          <w:color w:val="000000" w:themeColor="text1"/>
          <w:sz w:val="24"/>
          <w:szCs w:val="24"/>
        </w:rPr>
        <w:t xml:space="preserve">    </w:t>
      </w:r>
    </w:p>
    <w:p>
      <w:pPr>
        <w:spacing w:line="460" w:lineRule="atLeast"/>
        <w:ind w:firstLine="481" w:firstLineChars="200"/>
        <w:jc w:val="right"/>
        <w:rPr>
          <w:rFonts w:ascii="宋体" w:cs="宋体"/>
          <w:b/>
          <w:bCs/>
          <w:color w:val="000000" w:themeColor="text1"/>
          <w:sz w:val="24"/>
          <w:szCs w:val="24"/>
        </w:rPr>
      </w:pPr>
      <w:r>
        <w:rPr>
          <w:rFonts w:hint="eastAsia" w:ascii="宋体" w:cs="宋体"/>
          <w:b/>
          <w:bCs/>
          <w:color w:val="000000" w:themeColor="text1"/>
          <w:sz w:val="24"/>
          <w:szCs w:val="24"/>
        </w:rPr>
        <w:t>企业名称（盖章）：</w:t>
      </w:r>
    </w:p>
    <w:p>
      <w:pPr>
        <w:spacing w:line="460" w:lineRule="atLeast"/>
        <w:ind w:firstLine="481" w:firstLineChars="200"/>
        <w:jc w:val="center"/>
        <w:rPr>
          <w:rFonts w:ascii="宋体" w:cs="宋体"/>
          <w:b/>
          <w:bCs/>
          <w:color w:val="000000" w:themeColor="text1"/>
          <w:sz w:val="24"/>
          <w:szCs w:val="24"/>
        </w:rPr>
      </w:pPr>
      <w:r>
        <w:rPr>
          <w:rFonts w:hint="eastAsia" w:ascii="宋体" w:cs="宋体"/>
          <w:b/>
          <w:bCs/>
          <w:color w:val="000000" w:themeColor="text1"/>
          <w:sz w:val="24"/>
          <w:szCs w:val="24"/>
        </w:rPr>
        <w:t xml:space="preserve">                                                日 期：</w:t>
      </w:r>
    </w:p>
    <w:p>
      <w:pPr>
        <w:pStyle w:val="30"/>
        <w:ind w:firstLine="482"/>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left="0" w:leftChars="0" w:firstLine="0" w:firstLineChars="0"/>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firstLine="482"/>
        <w:rPr>
          <w:rFonts w:ascii="宋体" w:cs="宋体"/>
          <w:b/>
          <w:bCs/>
          <w:color w:val="000000" w:themeColor="text1"/>
          <w:sz w:val="24"/>
          <w:szCs w:val="24"/>
        </w:rPr>
      </w:pPr>
    </w:p>
    <w:p>
      <w:pPr>
        <w:pStyle w:val="30"/>
        <w:ind w:left="0" w:leftChars="0" w:firstLine="0" w:firstLineChars="0"/>
        <w:rPr>
          <w:rFonts w:ascii="宋体" w:cs="宋体"/>
          <w:color w:val="000000" w:themeColor="text1"/>
          <w:sz w:val="22"/>
          <w:u w:val="single"/>
        </w:rPr>
      </w:pPr>
      <w:r>
        <w:rPr>
          <w:rFonts w:hint="eastAsia" w:ascii="宋体" w:cs="宋体"/>
          <w:color w:val="000000" w:themeColor="text1"/>
          <w:sz w:val="22"/>
          <w:u w:val="single"/>
        </w:rPr>
        <w:t xml:space="preserve">                         </w:t>
      </w:r>
    </w:p>
    <w:p>
      <w:pPr>
        <w:pStyle w:val="30"/>
        <w:ind w:left="0" w:leftChars="0" w:firstLine="0" w:firstLineChars="0"/>
        <w:rPr>
          <w:rFonts w:ascii="宋体" w:cs="宋体"/>
          <w:color w:val="000000" w:themeColor="text1"/>
          <w:sz w:val="15"/>
          <w:szCs w:val="15"/>
        </w:rPr>
        <w:sectPr>
          <w:pgSz w:w="11906" w:h="16838"/>
          <w:pgMar w:top="1440" w:right="1800" w:bottom="1440" w:left="1800" w:header="851" w:footer="992" w:gutter="0"/>
          <w:pgNumType w:fmt="decimal"/>
          <w:cols w:space="425" w:num="1"/>
          <w:docGrid w:type="lines" w:linePitch="312" w:charSpace="0"/>
        </w:sectPr>
      </w:pPr>
      <w:r>
        <w:rPr>
          <w:rFonts w:ascii="宋体" w:cs="宋体"/>
          <w:color w:val="000000" w:themeColor="text1"/>
          <w:sz w:val="18"/>
          <w:szCs w:val="18"/>
          <w:vertAlign w:val="superscript"/>
        </w:rPr>
        <w:t>1</w:t>
      </w:r>
      <w:r>
        <w:rPr>
          <w:rFonts w:ascii="宋体" w:cs="宋体"/>
          <w:color w:val="000000" w:themeColor="text1"/>
          <w:sz w:val="15"/>
          <w:szCs w:val="15"/>
        </w:rPr>
        <w:t>从业人员、营业收入、资产总额填报上一年度数据，无上一年度数据的新成立企业可不填报</w:t>
      </w:r>
      <w:r>
        <w:rPr>
          <w:rFonts w:hint="eastAsia" w:ascii="宋体" w:cs="宋体"/>
          <w:color w:val="000000" w:themeColor="text1"/>
          <w:sz w:val="15"/>
          <w:szCs w:val="15"/>
        </w:rPr>
        <w:t>。</w:t>
      </w:r>
    </w:p>
    <w:p>
      <w:pPr>
        <w:spacing w:line="460" w:lineRule="exact"/>
        <w:rPr>
          <w:rFonts w:ascii="宋体" w:cs="宋体"/>
          <w:color w:val="000000" w:themeColor="text1"/>
          <w:sz w:val="22"/>
        </w:rPr>
      </w:pPr>
      <w:r>
        <w:rPr>
          <w:rFonts w:hint="eastAsia" w:ascii="宋体" w:cs="宋体"/>
          <w:color w:val="000000" w:themeColor="text1"/>
          <w:sz w:val="22"/>
        </w:rPr>
        <w:t>附件十二：</w:t>
      </w:r>
    </w:p>
    <w:p>
      <w:pPr>
        <w:spacing w:line="460" w:lineRule="exact"/>
        <w:jc w:val="center"/>
        <w:rPr>
          <w:rFonts w:ascii="宋体" w:cs="宋体"/>
          <w:color w:val="000000" w:themeColor="text1"/>
          <w:sz w:val="22"/>
        </w:rPr>
      </w:pPr>
      <w:bookmarkStart w:id="220" w:name="OLE_LINK14"/>
      <w:bookmarkStart w:id="221" w:name="OLE_LINK13"/>
      <w:r>
        <w:rPr>
          <w:rFonts w:hint="eastAsia" w:ascii="宋体" w:cs="宋体"/>
          <w:color w:val="000000" w:themeColor="text1"/>
          <w:sz w:val="22"/>
        </w:rPr>
        <w:t>残疾人福利性单位声明函</w:t>
      </w:r>
    </w:p>
    <w:bookmarkEnd w:id="220"/>
    <w:bookmarkEnd w:id="221"/>
    <w:p>
      <w:pPr>
        <w:spacing w:line="588" w:lineRule="exact"/>
        <w:rPr>
          <w:rFonts w:ascii="宋体"/>
          <w:color w:val="000000" w:themeColor="text1"/>
          <w:spacing w:val="6"/>
          <w:sz w:val="30"/>
          <w:szCs w:val="30"/>
        </w:rPr>
      </w:pPr>
    </w:p>
    <w:p>
      <w:pPr>
        <w:spacing w:line="588" w:lineRule="exact"/>
        <w:ind w:firstLine="440" w:firstLineChars="200"/>
        <w:rPr>
          <w:rFonts w:ascii="宋体" w:cs="宋体"/>
          <w:color w:val="000000" w:themeColor="text1"/>
          <w:sz w:val="22"/>
        </w:rPr>
      </w:pPr>
      <w:r>
        <w:rPr>
          <w:rFonts w:hint="eastAsia" w:ascii="宋体" w:cs="宋体"/>
          <w:color w:val="000000" w:themeColor="text1"/>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color w:val="000000" w:themeColor="text1"/>
          <w:sz w:val="22"/>
        </w:rPr>
      </w:pPr>
      <w:r>
        <w:rPr>
          <w:rFonts w:hint="eastAsia" w:ascii="宋体" w:cs="宋体"/>
          <w:color w:val="000000" w:themeColor="text1"/>
          <w:sz w:val="22"/>
        </w:rPr>
        <w:t>本单位对上述声明的真实性负责。如有虚假，将依法承担相应责任。</w:t>
      </w:r>
    </w:p>
    <w:p>
      <w:pPr>
        <w:spacing w:line="588" w:lineRule="exact"/>
        <w:ind w:firstLine="624" w:firstLineChars="200"/>
        <w:rPr>
          <w:rFonts w:ascii="宋体"/>
          <w:color w:val="000000" w:themeColor="text1"/>
          <w:spacing w:val="6"/>
          <w:sz w:val="30"/>
          <w:szCs w:val="30"/>
        </w:rPr>
      </w:pPr>
    </w:p>
    <w:p>
      <w:pPr>
        <w:spacing w:line="588" w:lineRule="exact"/>
        <w:ind w:firstLine="624" w:firstLineChars="200"/>
        <w:rPr>
          <w:rFonts w:ascii="宋体"/>
          <w:color w:val="000000" w:themeColor="text1"/>
          <w:spacing w:val="6"/>
          <w:sz w:val="30"/>
          <w:szCs w:val="30"/>
        </w:rPr>
      </w:pPr>
    </w:p>
    <w:p>
      <w:pPr>
        <w:spacing w:line="460" w:lineRule="atLeast"/>
        <w:rPr>
          <w:rFonts w:ascii="宋体" w:cs="宋体"/>
          <w:color w:val="000000" w:themeColor="text1"/>
          <w:sz w:val="22"/>
        </w:rPr>
      </w:pPr>
      <w:r>
        <w:rPr>
          <w:rFonts w:hint="eastAsia" w:ascii="宋体" w:cs="宋体"/>
          <w:color w:val="000000" w:themeColor="text1"/>
          <w:sz w:val="22"/>
        </w:rPr>
        <w:t>投标供应商（盖章）：                </w:t>
      </w:r>
      <w:r>
        <w:rPr>
          <w:rFonts w:hint="eastAsia" w:ascii="宋体" w:cs="宋体"/>
          <w:color w:val="000000" w:themeColor="text1"/>
          <w:sz w:val="22"/>
        </w:rPr>
        <w:br w:type="textWrapping"/>
      </w:r>
      <w:r>
        <w:rPr>
          <w:rFonts w:hint="eastAsia" w:ascii="宋体" w:cs="宋体"/>
          <w:color w:val="000000" w:themeColor="text1"/>
          <w:sz w:val="22"/>
        </w:rPr>
        <w:t>日期：</w:t>
      </w:r>
    </w:p>
    <w:p>
      <w:pPr>
        <w:tabs>
          <w:tab w:val="left" w:pos="4860"/>
        </w:tabs>
        <w:spacing w:line="588" w:lineRule="exact"/>
        <w:ind w:right="1560" w:firstLine="624" w:firstLineChars="200"/>
        <w:jc w:val="center"/>
        <w:rPr>
          <w:rFonts w:ascii="宋体"/>
          <w:color w:val="000000" w:themeColor="text1"/>
          <w:spacing w:val="6"/>
          <w:sz w:val="30"/>
          <w:szCs w:val="30"/>
        </w:rPr>
      </w:pPr>
    </w:p>
    <w:p>
      <w:pPr>
        <w:tabs>
          <w:tab w:val="left" w:pos="4860"/>
        </w:tabs>
        <w:spacing w:line="588" w:lineRule="exact"/>
        <w:ind w:right="1560" w:firstLine="624" w:firstLineChars="200"/>
        <w:jc w:val="center"/>
        <w:rPr>
          <w:rFonts w:ascii="宋体"/>
          <w:color w:val="000000" w:themeColor="text1"/>
          <w:spacing w:val="6"/>
          <w:sz w:val="30"/>
          <w:szCs w:val="30"/>
        </w:rPr>
      </w:pPr>
    </w:p>
    <w:p>
      <w:pPr>
        <w:tabs>
          <w:tab w:val="left" w:pos="4860"/>
        </w:tabs>
        <w:spacing w:line="588" w:lineRule="exact"/>
        <w:ind w:right="1560"/>
        <w:jc w:val="left"/>
        <w:rPr>
          <w:rFonts w:ascii="宋体"/>
          <w:color w:val="000000" w:themeColor="text1"/>
          <w:sz w:val="22"/>
        </w:rPr>
      </w:pPr>
      <w:r>
        <w:rPr>
          <w:rFonts w:hint="eastAsia" w:ascii="宋体"/>
          <w:color w:val="000000" w:themeColor="text1"/>
          <w:sz w:val="22"/>
        </w:rPr>
        <w:t>备注说明：</w:t>
      </w:r>
    </w:p>
    <w:p>
      <w:pPr>
        <w:spacing w:line="588" w:lineRule="exact"/>
        <w:ind w:firstLine="440" w:firstLineChars="200"/>
        <w:rPr>
          <w:rFonts w:ascii="宋体" w:cs="宋体"/>
          <w:color w:val="000000" w:themeColor="text1"/>
          <w:sz w:val="22"/>
        </w:rPr>
      </w:pPr>
      <w:r>
        <w:rPr>
          <w:rFonts w:hint="eastAsia" w:ascii="宋体" w:cs="宋体"/>
          <w:color w:val="000000" w:themeColor="text1"/>
          <w:sz w:val="22"/>
        </w:rPr>
        <w:t>1、如中标，将在中标公告中将此残疾人福利性单位声明函予以公示，接受社会监督；</w:t>
      </w:r>
    </w:p>
    <w:p>
      <w:pPr>
        <w:spacing w:line="588" w:lineRule="exact"/>
        <w:ind w:firstLine="440" w:firstLineChars="200"/>
        <w:rPr>
          <w:rFonts w:ascii="宋体" w:cs="宋体"/>
          <w:color w:val="000000" w:themeColor="text1"/>
          <w:sz w:val="22"/>
        </w:rPr>
      </w:pPr>
      <w:r>
        <w:rPr>
          <w:rFonts w:ascii="宋体" w:cs="宋体"/>
          <w:color w:val="000000" w:themeColor="text1"/>
          <w:sz w:val="22"/>
        </w:rPr>
        <w:t>2</w:t>
      </w:r>
      <w:r>
        <w:rPr>
          <w:rFonts w:hint="eastAsia" w:ascii="宋体" w:cs="宋体"/>
          <w:color w:val="000000" w:themeColor="text1"/>
          <w:sz w:val="22"/>
        </w:rPr>
        <w:t>、供应商提供的《残疾人福利性单位声明函》与事实不符的，依照《政府采购法》第七十七条第一款的规定追究法律责任。</w:t>
      </w: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p>
      <w:pPr>
        <w:pStyle w:val="30"/>
        <w:rPr>
          <w:color w:val="000000" w:themeColor="text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altName w:val="DejaVu Sans"/>
    <w:panose1 w:val="020B0604030504040204"/>
    <w:charset w:val="00"/>
    <w:family w:val="swiss"/>
    <w:pitch w:val="default"/>
    <w:sig w:usb0="00000000" w:usb1="00000000" w:usb2="00000010" w:usb3="00000000" w:csb0="2000019F" w:csb1="00000000"/>
  </w:font>
  <w:font w:name="Helvetica">
    <w:altName w:val="宋体"/>
    <w:panose1 w:val="020B0604020202020204"/>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 w:name="sans-seri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rPr>
        <w:rFonts w:asciiTheme="minorEastAsia" w:hAnsiTheme="minorEastAsia"/>
        <w:sz w:val="18"/>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0ECFA"/>
    <w:multiLevelType w:val="singleLevel"/>
    <w:tmpl w:val="9B80ECFA"/>
    <w:lvl w:ilvl="0" w:tentative="0">
      <w:start w:val="1"/>
      <w:numFmt w:val="chineseCounting"/>
      <w:suff w:val="nothing"/>
      <w:lvlText w:val="%1、"/>
      <w:lvlJc w:val="left"/>
      <w:rPr>
        <w:rFonts w:hint="eastAsia"/>
      </w:rPr>
    </w:lvl>
  </w:abstractNum>
  <w:abstractNum w:abstractNumId="1">
    <w:nsid w:val="0A80700F"/>
    <w:multiLevelType w:val="multilevel"/>
    <w:tmpl w:val="0A80700F"/>
    <w:lvl w:ilvl="0" w:tentative="0">
      <w:start w:val="1"/>
      <w:numFmt w:val="chineseCountingThousand"/>
      <w:pStyle w:val="3"/>
      <w:suff w:val="space"/>
      <w:lvlText w:val="第%1章"/>
      <w:lvlJc w:val="left"/>
      <w:pPr>
        <w:ind w:left="0" w:firstLine="0"/>
      </w:pPr>
      <w:rPr>
        <w:rFonts w:hint="eastAsia" w:ascii="宋体" w:hAnsi="宋体" w:eastAsia="宋体"/>
        <w:b/>
        <w:bCs w:val="0"/>
        <w:i w:val="0"/>
        <w:iCs w:val="0"/>
        <w:caps w:val="0"/>
        <w:smallCaps w:val="0"/>
        <w:strike w:val="0"/>
        <w:dstrike w:val="0"/>
        <w:outline w:val="0"/>
        <w:shadow w:val="0"/>
        <w:emboss w:val="0"/>
        <w:imprint w:val="0"/>
        <w:vanish w:val="0"/>
        <w:spacing w:val="0"/>
        <w:position w:val="0"/>
        <w:sz w:val="30"/>
        <w:u w:val="none"/>
        <w:vertAlign w:val="baseline"/>
      </w:rPr>
    </w:lvl>
    <w:lvl w:ilvl="1" w:tentative="0">
      <w:start w:val="1"/>
      <w:numFmt w:val="decimal"/>
      <w:suff w:val="space"/>
      <w:lvlText w:val="%2、"/>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space"/>
      <w:lvlText w:val="%2.%3、"/>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suff w:val="space"/>
      <w:lvlText w:val="%2.%3.%4、"/>
      <w:lvlJc w:val="left"/>
      <w:pPr>
        <w:ind w:left="3687"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6"/>
      <w:suff w:val="space"/>
      <w:lvlText w:val="%2.%3.%4.%5、"/>
      <w:lvlJc w:val="left"/>
      <w:pPr>
        <w:ind w:left="1843"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suff w:val="space"/>
      <w:lvlText w:val="（%6）"/>
      <w:lvlJc w:val="left"/>
      <w:pPr>
        <w:ind w:left="4253" w:firstLine="0"/>
      </w:pPr>
      <w:rPr>
        <w:rFonts w:hint="eastAsia" w:ascii="宋体" w:hAnsi="宋体" w:eastAsia="宋体"/>
        <w:b/>
        <w:bCs w:val="0"/>
        <w:i w:val="0"/>
        <w:iCs w:val="0"/>
        <w:caps w:val="0"/>
        <w:strike w:val="0"/>
        <w:dstrike w:val="0"/>
        <w:outline w:val="0"/>
        <w:shadow w:val="0"/>
        <w:emboss w:val="0"/>
        <w:imprint w:val="0"/>
        <w:vanish w:val="0"/>
        <w:spacing w:val="0"/>
        <w:position w:val="0"/>
        <w:sz w:val="28"/>
        <w:u w:val="none"/>
        <w:vertAlign w:val="baseline"/>
      </w:rPr>
    </w:lvl>
    <w:lvl w:ilvl="6" w:tentative="0">
      <w:start w:val="1"/>
      <w:numFmt w:val="decimal"/>
      <w:suff w:val="space"/>
      <w:lvlText w:val="%7）"/>
      <w:lvlJc w:val="left"/>
      <w:pPr>
        <w:ind w:left="0" w:firstLine="0"/>
      </w:pPr>
      <w:rPr>
        <w:rFonts w:hint="eastAsia" w:ascii="宋体" w:hAnsi="宋体" w:eastAsia="宋体"/>
        <w:b/>
        <w:bCs w:val="0"/>
        <w:i w:val="0"/>
        <w:iCs w:val="0"/>
        <w:caps w:val="0"/>
        <w:strike w:val="0"/>
        <w:dstrike w:val="0"/>
        <w:outline w:val="0"/>
        <w:shadow w:val="0"/>
        <w:emboss w:val="0"/>
        <w:imprint w:val="0"/>
        <w:vanish w:val="0"/>
        <w:spacing w:val="0"/>
        <w:position w:val="0"/>
        <w:sz w:val="24"/>
        <w:u w:val="none"/>
        <w:vertAlign w:val="baseline"/>
      </w:rPr>
    </w:lvl>
    <w:lvl w:ilvl="7" w:tentative="0">
      <w:start w:val="1"/>
      <w:numFmt w:val="lowerLetter"/>
      <w:suff w:val="space"/>
      <w:lvlText w:val="%8）"/>
      <w:lvlJc w:val="left"/>
      <w:pPr>
        <w:ind w:left="0" w:firstLine="0"/>
      </w:pPr>
      <w:rPr>
        <w:rFonts w:hint="eastAsia" w:ascii="宋体" w:hAnsi="宋体" w:eastAsia="宋体"/>
        <w:b/>
        <w:bCs w:val="0"/>
        <w:i w:val="0"/>
        <w:iCs w:val="0"/>
        <w:caps w:val="0"/>
        <w:strike w:val="0"/>
        <w:dstrike w:val="0"/>
        <w:outline w:val="0"/>
        <w:shadow w:val="0"/>
        <w:emboss w:val="0"/>
        <w:imprint w:val="0"/>
        <w:vanish w:val="0"/>
        <w:spacing w:val="0"/>
        <w:position w:val="0"/>
        <w:sz w:val="28"/>
        <w:u w:val="none"/>
        <w:vertAlign w:val="baseline"/>
      </w:rPr>
    </w:lvl>
    <w:lvl w:ilvl="8" w:tentative="0">
      <w:start w:val="1"/>
      <w:numFmt w:val="decimal"/>
      <w:lvlText w:val="%1.%2.%3.%4.%5.%6.%7.%8.%9"/>
      <w:lvlJc w:val="left"/>
      <w:pPr>
        <w:ind w:left="5102" w:hanging="1700"/>
      </w:pPr>
      <w:rPr>
        <w:rFonts w:hint="eastAsia"/>
      </w:rPr>
    </w:lvl>
  </w:abstractNum>
  <w:abstractNum w:abstractNumId="2">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3">
    <w:nsid w:val="37D071BF"/>
    <w:multiLevelType w:val="multilevel"/>
    <w:tmpl w:val="37D071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7DB0101"/>
    <w:multiLevelType w:val="singleLevel"/>
    <w:tmpl w:val="37DB0101"/>
    <w:lvl w:ilvl="0" w:tentative="0">
      <w:start w:val="4"/>
      <w:numFmt w:val="decimal"/>
      <w:suff w:val="nothing"/>
      <w:lvlText w:val="%1、"/>
      <w:lvlJc w:val="left"/>
    </w:lvl>
  </w:abstractNum>
  <w:abstractNum w:abstractNumId="5">
    <w:nsid w:val="3CC62C8B"/>
    <w:multiLevelType w:val="multilevel"/>
    <w:tmpl w:val="3CC62C8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D7C0DCE"/>
    <w:multiLevelType w:val="singleLevel"/>
    <w:tmpl w:val="3D7C0DCE"/>
    <w:lvl w:ilvl="0" w:tentative="0">
      <w:start w:val="2022"/>
      <w:numFmt w:val="decimal"/>
      <w:suff w:val="space"/>
      <w:lvlText w:val="%1-"/>
      <w:lvlJc w:val="left"/>
    </w:lvl>
  </w:abstractNum>
  <w:abstractNum w:abstractNumId="7">
    <w:nsid w:val="458B35C7"/>
    <w:multiLevelType w:val="multilevel"/>
    <w:tmpl w:val="458B35C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C964F53"/>
    <w:multiLevelType w:val="multilevel"/>
    <w:tmpl w:val="4C964F5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ADB6A33"/>
    <w:multiLevelType w:val="singleLevel"/>
    <w:tmpl w:val="5ADB6A33"/>
    <w:lvl w:ilvl="0" w:tentative="0">
      <w:start w:val="1"/>
      <w:numFmt w:val="decimal"/>
      <w:suff w:val="nothing"/>
      <w:lvlText w:val="%1、"/>
      <w:lvlJc w:val="left"/>
    </w:lvl>
  </w:abstractNum>
  <w:abstractNum w:abstractNumId="10">
    <w:nsid w:val="5E5B02EA"/>
    <w:multiLevelType w:val="multilevel"/>
    <w:tmpl w:val="5E5B02E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B636B34"/>
    <w:multiLevelType w:val="multilevel"/>
    <w:tmpl w:val="7B636B3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1"/>
  </w:num>
  <w:num w:numId="2">
    <w:abstractNumId w:val="12"/>
  </w:num>
  <w:num w:numId="3">
    <w:abstractNumId w:val="0"/>
  </w:num>
  <w:num w:numId="4">
    <w:abstractNumId w:val="9"/>
  </w:num>
  <w:num w:numId="5">
    <w:abstractNumId w:val="4"/>
  </w:num>
  <w:num w:numId="6">
    <w:abstractNumId w:val="8"/>
  </w:num>
  <w:num w:numId="7">
    <w:abstractNumId w:val="10"/>
  </w:num>
  <w:num w:numId="8">
    <w:abstractNumId w:val="5"/>
  </w:num>
  <w:num w:numId="9">
    <w:abstractNumId w:val="7"/>
  </w:num>
  <w:num w:numId="10">
    <w:abstractNumId w:val="11"/>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yODc4ZDhjMGUxMDVkZWZjNjAzYzQ0ZGUxZTY3ZWMifQ=="/>
  </w:docVars>
  <w:rsids>
    <w:rsidRoot w:val="76FB07A6"/>
    <w:rsid w:val="000047D0"/>
    <w:rsid w:val="000168C4"/>
    <w:rsid w:val="00026D66"/>
    <w:rsid w:val="00031099"/>
    <w:rsid w:val="00031981"/>
    <w:rsid w:val="00095A3A"/>
    <w:rsid w:val="000A162C"/>
    <w:rsid w:val="000C3922"/>
    <w:rsid w:val="000E36AE"/>
    <w:rsid w:val="00102695"/>
    <w:rsid w:val="0012115B"/>
    <w:rsid w:val="00123F4A"/>
    <w:rsid w:val="00125CDC"/>
    <w:rsid w:val="00147DAC"/>
    <w:rsid w:val="0018512C"/>
    <w:rsid w:val="00197961"/>
    <w:rsid w:val="001B0D4A"/>
    <w:rsid w:val="001C0741"/>
    <w:rsid w:val="001D08B0"/>
    <w:rsid w:val="001F068C"/>
    <w:rsid w:val="001F13C5"/>
    <w:rsid w:val="001F6379"/>
    <w:rsid w:val="0020352F"/>
    <w:rsid w:val="00223F37"/>
    <w:rsid w:val="00232C1C"/>
    <w:rsid w:val="002424D3"/>
    <w:rsid w:val="00252E6D"/>
    <w:rsid w:val="00254853"/>
    <w:rsid w:val="00277B35"/>
    <w:rsid w:val="00282BB7"/>
    <w:rsid w:val="0029405A"/>
    <w:rsid w:val="00296899"/>
    <w:rsid w:val="00296C83"/>
    <w:rsid w:val="002B59C1"/>
    <w:rsid w:val="002E0CB4"/>
    <w:rsid w:val="00313A92"/>
    <w:rsid w:val="003369BF"/>
    <w:rsid w:val="00341192"/>
    <w:rsid w:val="00361E3F"/>
    <w:rsid w:val="00363D3F"/>
    <w:rsid w:val="003650E5"/>
    <w:rsid w:val="0037600B"/>
    <w:rsid w:val="0038134C"/>
    <w:rsid w:val="003928F9"/>
    <w:rsid w:val="003A0B29"/>
    <w:rsid w:val="003A7A6C"/>
    <w:rsid w:val="003A7D04"/>
    <w:rsid w:val="003C056B"/>
    <w:rsid w:val="003F0389"/>
    <w:rsid w:val="00425CF5"/>
    <w:rsid w:val="004458D1"/>
    <w:rsid w:val="004472C9"/>
    <w:rsid w:val="00460F95"/>
    <w:rsid w:val="00462F6D"/>
    <w:rsid w:val="00464CB3"/>
    <w:rsid w:val="004766C2"/>
    <w:rsid w:val="00491CEB"/>
    <w:rsid w:val="004948E1"/>
    <w:rsid w:val="004A0D0A"/>
    <w:rsid w:val="004A56B5"/>
    <w:rsid w:val="004B245F"/>
    <w:rsid w:val="004C030A"/>
    <w:rsid w:val="004E7813"/>
    <w:rsid w:val="004F50BF"/>
    <w:rsid w:val="00540467"/>
    <w:rsid w:val="0054703C"/>
    <w:rsid w:val="00557068"/>
    <w:rsid w:val="00565A5D"/>
    <w:rsid w:val="00576E49"/>
    <w:rsid w:val="00593B57"/>
    <w:rsid w:val="005A2B77"/>
    <w:rsid w:val="005B52AE"/>
    <w:rsid w:val="005C0FE1"/>
    <w:rsid w:val="005C1965"/>
    <w:rsid w:val="005C715A"/>
    <w:rsid w:val="00604739"/>
    <w:rsid w:val="0060705E"/>
    <w:rsid w:val="0062616B"/>
    <w:rsid w:val="00643D8D"/>
    <w:rsid w:val="00647F74"/>
    <w:rsid w:val="00655D74"/>
    <w:rsid w:val="006814D6"/>
    <w:rsid w:val="006870BA"/>
    <w:rsid w:val="006C5A45"/>
    <w:rsid w:val="006F1068"/>
    <w:rsid w:val="00704DDD"/>
    <w:rsid w:val="007159E9"/>
    <w:rsid w:val="00722705"/>
    <w:rsid w:val="0072748E"/>
    <w:rsid w:val="00737088"/>
    <w:rsid w:val="007432DD"/>
    <w:rsid w:val="00786323"/>
    <w:rsid w:val="00795DE4"/>
    <w:rsid w:val="007C0999"/>
    <w:rsid w:val="007C3E50"/>
    <w:rsid w:val="007D131C"/>
    <w:rsid w:val="007D6150"/>
    <w:rsid w:val="007D627E"/>
    <w:rsid w:val="00807410"/>
    <w:rsid w:val="00813481"/>
    <w:rsid w:val="008139D2"/>
    <w:rsid w:val="00836CC6"/>
    <w:rsid w:val="00843E4C"/>
    <w:rsid w:val="00853501"/>
    <w:rsid w:val="00897078"/>
    <w:rsid w:val="008F0172"/>
    <w:rsid w:val="00906509"/>
    <w:rsid w:val="00912BBB"/>
    <w:rsid w:val="0091465F"/>
    <w:rsid w:val="00921D81"/>
    <w:rsid w:val="00945C71"/>
    <w:rsid w:val="009669F8"/>
    <w:rsid w:val="00977813"/>
    <w:rsid w:val="0099181D"/>
    <w:rsid w:val="009B5769"/>
    <w:rsid w:val="009C59E1"/>
    <w:rsid w:val="009E4782"/>
    <w:rsid w:val="009F61A1"/>
    <w:rsid w:val="00A0510A"/>
    <w:rsid w:val="00A25ACC"/>
    <w:rsid w:val="00AA07CF"/>
    <w:rsid w:val="00AB4DC1"/>
    <w:rsid w:val="00AC5500"/>
    <w:rsid w:val="00AC6329"/>
    <w:rsid w:val="00AD49EB"/>
    <w:rsid w:val="00AE31C3"/>
    <w:rsid w:val="00AE6F1C"/>
    <w:rsid w:val="00B152B9"/>
    <w:rsid w:val="00B216F0"/>
    <w:rsid w:val="00B21EF0"/>
    <w:rsid w:val="00B25208"/>
    <w:rsid w:val="00B45B65"/>
    <w:rsid w:val="00B85070"/>
    <w:rsid w:val="00B96C1D"/>
    <w:rsid w:val="00BA06B7"/>
    <w:rsid w:val="00BA3584"/>
    <w:rsid w:val="00BA6BDB"/>
    <w:rsid w:val="00C00444"/>
    <w:rsid w:val="00C064F5"/>
    <w:rsid w:val="00C14AFF"/>
    <w:rsid w:val="00C320FC"/>
    <w:rsid w:val="00C343A4"/>
    <w:rsid w:val="00C44063"/>
    <w:rsid w:val="00C82100"/>
    <w:rsid w:val="00CB143E"/>
    <w:rsid w:val="00CB39C4"/>
    <w:rsid w:val="00CD3196"/>
    <w:rsid w:val="00CE51F5"/>
    <w:rsid w:val="00CF611E"/>
    <w:rsid w:val="00D10F32"/>
    <w:rsid w:val="00D1363D"/>
    <w:rsid w:val="00D171AC"/>
    <w:rsid w:val="00D21C62"/>
    <w:rsid w:val="00D30599"/>
    <w:rsid w:val="00D3574A"/>
    <w:rsid w:val="00D44E07"/>
    <w:rsid w:val="00D45BC9"/>
    <w:rsid w:val="00D72CE7"/>
    <w:rsid w:val="00D859D3"/>
    <w:rsid w:val="00D85E5A"/>
    <w:rsid w:val="00DC3E09"/>
    <w:rsid w:val="00DC6058"/>
    <w:rsid w:val="00DD01A5"/>
    <w:rsid w:val="00DD07BB"/>
    <w:rsid w:val="00DD25B6"/>
    <w:rsid w:val="00E01F05"/>
    <w:rsid w:val="00E11CEF"/>
    <w:rsid w:val="00E207FF"/>
    <w:rsid w:val="00E3533C"/>
    <w:rsid w:val="00E5348D"/>
    <w:rsid w:val="00E56C02"/>
    <w:rsid w:val="00E651F8"/>
    <w:rsid w:val="00E7585E"/>
    <w:rsid w:val="00E86052"/>
    <w:rsid w:val="00E86F6A"/>
    <w:rsid w:val="00EB1B89"/>
    <w:rsid w:val="00ED6A94"/>
    <w:rsid w:val="00F00100"/>
    <w:rsid w:val="00F176D7"/>
    <w:rsid w:val="00F3392B"/>
    <w:rsid w:val="00F41A5A"/>
    <w:rsid w:val="00F573CB"/>
    <w:rsid w:val="00F62079"/>
    <w:rsid w:val="00F636FC"/>
    <w:rsid w:val="00F63B15"/>
    <w:rsid w:val="00FB1F2A"/>
    <w:rsid w:val="00FF5DEE"/>
    <w:rsid w:val="069357AB"/>
    <w:rsid w:val="085D1BBB"/>
    <w:rsid w:val="09AE3920"/>
    <w:rsid w:val="09DA21A4"/>
    <w:rsid w:val="0BDF192D"/>
    <w:rsid w:val="0CA16FF1"/>
    <w:rsid w:val="0F6625EF"/>
    <w:rsid w:val="121951DD"/>
    <w:rsid w:val="136F4C21"/>
    <w:rsid w:val="1AEC2721"/>
    <w:rsid w:val="1CE21BEE"/>
    <w:rsid w:val="1DF879BF"/>
    <w:rsid w:val="1E4F29AB"/>
    <w:rsid w:val="1EFF77A6"/>
    <w:rsid w:val="20771A06"/>
    <w:rsid w:val="224E79A2"/>
    <w:rsid w:val="26796516"/>
    <w:rsid w:val="2CC802A6"/>
    <w:rsid w:val="2CF033A8"/>
    <w:rsid w:val="2D497671"/>
    <w:rsid w:val="2DDF0E89"/>
    <w:rsid w:val="2ED75BF7"/>
    <w:rsid w:val="2F4F0AFF"/>
    <w:rsid w:val="32C827E2"/>
    <w:rsid w:val="32CC7061"/>
    <w:rsid w:val="367B02A3"/>
    <w:rsid w:val="36EF2FAD"/>
    <w:rsid w:val="39357335"/>
    <w:rsid w:val="39BA73A8"/>
    <w:rsid w:val="3BF5322F"/>
    <w:rsid w:val="3DFFEE3F"/>
    <w:rsid w:val="3E9D4DBA"/>
    <w:rsid w:val="3EE8242A"/>
    <w:rsid w:val="3FAE53E7"/>
    <w:rsid w:val="3FFEEC1C"/>
    <w:rsid w:val="432C34F9"/>
    <w:rsid w:val="43A4712E"/>
    <w:rsid w:val="45F7AFFA"/>
    <w:rsid w:val="45FCC88B"/>
    <w:rsid w:val="47AFC1DA"/>
    <w:rsid w:val="47FD5813"/>
    <w:rsid w:val="483F1665"/>
    <w:rsid w:val="49425882"/>
    <w:rsid w:val="4A966E5E"/>
    <w:rsid w:val="4D3D4EC8"/>
    <w:rsid w:val="537F6D59"/>
    <w:rsid w:val="549E1B8E"/>
    <w:rsid w:val="554645D2"/>
    <w:rsid w:val="56B363AC"/>
    <w:rsid w:val="57663C9A"/>
    <w:rsid w:val="57A7D703"/>
    <w:rsid w:val="57F85FBE"/>
    <w:rsid w:val="57FF4964"/>
    <w:rsid w:val="59BFCEED"/>
    <w:rsid w:val="5A8C50D8"/>
    <w:rsid w:val="5DF64EF7"/>
    <w:rsid w:val="5F602174"/>
    <w:rsid w:val="5FEC6A77"/>
    <w:rsid w:val="5FED16B1"/>
    <w:rsid w:val="5FF6F74F"/>
    <w:rsid w:val="60090AB1"/>
    <w:rsid w:val="60F11557"/>
    <w:rsid w:val="634051F6"/>
    <w:rsid w:val="63802A32"/>
    <w:rsid w:val="638EB40E"/>
    <w:rsid w:val="64BE1112"/>
    <w:rsid w:val="6724635B"/>
    <w:rsid w:val="67C512BD"/>
    <w:rsid w:val="69AB2BAD"/>
    <w:rsid w:val="69AFC9D0"/>
    <w:rsid w:val="69E82CB4"/>
    <w:rsid w:val="69F2EE65"/>
    <w:rsid w:val="6AEC4A03"/>
    <w:rsid w:val="6BAF72B7"/>
    <w:rsid w:val="6DB8DB27"/>
    <w:rsid w:val="6DD9A97F"/>
    <w:rsid w:val="6DFD45A7"/>
    <w:rsid w:val="6EDFB2CF"/>
    <w:rsid w:val="6F7E1587"/>
    <w:rsid w:val="6FAB1F54"/>
    <w:rsid w:val="6FC37EC5"/>
    <w:rsid w:val="7165430C"/>
    <w:rsid w:val="72342E32"/>
    <w:rsid w:val="729D6ADF"/>
    <w:rsid w:val="733F6445"/>
    <w:rsid w:val="757D7153"/>
    <w:rsid w:val="76FB07A6"/>
    <w:rsid w:val="76FF80FD"/>
    <w:rsid w:val="7737B561"/>
    <w:rsid w:val="77DD28A4"/>
    <w:rsid w:val="77E309D9"/>
    <w:rsid w:val="77E43A5B"/>
    <w:rsid w:val="783F8B50"/>
    <w:rsid w:val="78591895"/>
    <w:rsid w:val="787F66C9"/>
    <w:rsid w:val="79792C3E"/>
    <w:rsid w:val="798229B9"/>
    <w:rsid w:val="7A181712"/>
    <w:rsid w:val="7A1EF523"/>
    <w:rsid w:val="7AD21A3B"/>
    <w:rsid w:val="7AE7C38E"/>
    <w:rsid w:val="7B241CCA"/>
    <w:rsid w:val="7B6AFCE4"/>
    <w:rsid w:val="7BA445EA"/>
    <w:rsid w:val="7BCF4915"/>
    <w:rsid w:val="7CDF9393"/>
    <w:rsid w:val="7D9F1E8E"/>
    <w:rsid w:val="7DDDE9A6"/>
    <w:rsid w:val="7DF6E1B4"/>
    <w:rsid w:val="7E4E533B"/>
    <w:rsid w:val="7EBF91D0"/>
    <w:rsid w:val="7EDB44DC"/>
    <w:rsid w:val="7F55E579"/>
    <w:rsid w:val="7F5E29F5"/>
    <w:rsid w:val="7F6F1AE1"/>
    <w:rsid w:val="7F7C1773"/>
    <w:rsid w:val="7F7E65A7"/>
    <w:rsid w:val="7FBAA61D"/>
    <w:rsid w:val="7FBF76A0"/>
    <w:rsid w:val="7FD2B15B"/>
    <w:rsid w:val="7FE70FF0"/>
    <w:rsid w:val="7FF340A6"/>
    <w:rsid w:val="7FF5C972"/>
    <w:rsid w:val="7FFB90D4"/>
    <w:rsid w:val="7FFF8D5B"/>
    <w:rsid w:val="8FDEAE75"/>
    <w:rsid w:val="95FF6D46"/>
    <w:rsid w:val="9BFE0BC7"/>
    <w:rsid w:val="9D9E4634"/>
    <w:rsid w:val="9DBD5989"/>
    <w:rsid w:val="9FDB5F29"/>
    <w:rsid w:val="A5F48B02"/>
    <w:rsid w:val="AF3C78CC"/>
    <w:rsid w:val="B29A1FBD"/>
    <w:rsid w:val="B55D86FA"/>
    <w:rsid w:val="B73FBE01"/>
    <w:rsid w:val="B7F4DC25"/>
    <w:rsid w:val="B7FFC099"/>
    <w:rsid w:val="BB3A3F3F"/>
    <w:rsid w:val="BCFF895A"/>
    <w:rsid w:val="BDAEA877"/>
    <w:rsid w:val="BE7F174D"/>
    <w:rsid w:val="BEA5EB41"/>
    <w:rsid w:val="BEDFEE1E"/>
    <w:rsid w:val="BF7F5D9A"/>
    <w:rsid w:val="BFEDB6F1"/>
    <w:rsid w:val="CCF74102"/>
    <w:rsid w:val="CEBEAB61"/>
    <w:rsid w:val="D1FF69BC"/>
    <w:rsid w:val="D375C47B"/>
    <w:rsid w:val="D7EF5CE5"/>
    <w:rsid w:val="DE7AF175"/>
    <w:rsid w:val="DF6DDA97"/>
    <w:rsid w:val="DFBF1B0C"/>
    <w:rsid w:val="DFDD6030"/>
    <w:rsid w:val="DFEE408C"/>
    <w:rsid w:val="DFFD50CF"/>
    <w:rsid w:val="DFFFF228"/>
    <w:rsid w:val="E87E63CE"/>
    <w:rsid w:val="ECB85B37"/>
    <w:rsid w:val="EFBDEE1E"/>
    <w:rsid w:val="F39AFA06"/>
    <w:rsid w:val="F6AAE858"/>
    <w:rsid w:val="F6EDDBC8"/>
    <w:rsid w:val="F78D9BE4"/>
    <w:rsid w:val="F7F72015"/>
    <w:rsid w:val="F7FFC1AE"/>
    <w:rsid w:val="F9BFFD22"/>
    <w:rsid w:val="F9DF047B"/>
    <w:rsid w:val="FA7FC66C"/>
    <w:rsid w:val="FCEFA004"/>
    <w:rsid w:val="FDFBF27E"/>
    <w:rsid w:val="FEAF3AE2"/>
    <w:rsid w:val="FEEA278C"/>
    <w:rsid w:val="FEEFAEDF"/>
    <w:rsid w:val="FF23612E"/>
    <w:rsid w:val="FF3D737D"/>
    <w:rsid w:val="FFB728A0"/>
    <w:rsid w:val="FFBB725B"/>
    <w:rsid w:val="FFEB7C5B"/>
    <w:rsid w:val="FFEDDCF5"/>
    <w:rsid w:val="FFFB6E25"/>
    <w:rsid w:val="FFFDA45E"/>
    <w:rsid w:val="FFFFD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99"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7"/>
    <w:pPr>
      <w:numPr>
        <w:ilvl w:val="0"/>
        <w:numId w:val="1"/>
      </w:numPr>
      <w:outlineLvl w:val="0"/>
    </w:pPr>
    <w:rPr>
      <w:b/>
      <w:bCs/>
      <w:kern w:val="44"/>
      <w:sz w:val="30"/>
      <w:szCs w:val="44"/>
    </w:rPr>
  </w:style>
  <w:style w:type="paragraph" w:styleId="2">
    <w:name w:val="heading 2"/>
    <w:basedOn w:val="1"/>
    <w:next w:val="1"/>
    <w:link w:val="63"/>
    <w:unhideWhenUsed/>
    <w:qFormat/>
    <w:uiPriority w:val="9"/>
    <w:pPr>
      <w:spacing w:beforeAutospacing="1" w:afterAutospacing="1"/>
      <w:jc w:val="left"/>
      <w:outlineLvl w:val="1"/>
    </w:pPr>
    <w:rPr>
      <w:rFonts w:hint="eastAsia" w:ascii="宋体" w:hAnsi="宋体"/>
      <w:b/>
      <w:kern w:val="0"/>
      <w:sz w:val="36"/>
      <w:szCs w:val="36"/>
    </w:rPr>
  </w:style>
  <w:style w:type="paragraph" w:styleId="4">
    <w:name w:val="heading 3"/>
    <w:next w:val="1"/>
    <w:unhideWhenUsed/>
    <w:qFormat/>
    <w:uiPriority w:val="99"/>
    <w:pPr>
      <w:widowControl w:val="0"/>
      <w:numPr>
        <w:ilvl w:val="2"/>
        <w:numId w:val="1"/>
      </w:numPr>
      <w:adjustRightInd w:val="0"/>
      <w:snapToGrid w:val="0"/>
      <w:spacing w:line="360" w:lineRule="auto"/>
      <w:outlineLvl w:val="2"/>
    </w:pPr>
    <w:rPr>
      <w:rFonts w:ascii="宋体" w:hAnsi="宋体" w:eastAsiaTheme="minorEastAsia" w:cstheme="minorBidi"/>
      <w:b/>
      <w:bCs/>
      <w:kern w:val="2"/>
      <w:sz w:val="28"/>
      <w:szCs w:val="32"/>
      <w:lang w:val="en-US" w:eastAsia="zh-CN" w:bidi="ar-SA"/>
    </w:rPr>
  </w:style>
  <w:style w:type="paragraph" w:styleId="5">
    <w:name w:val="heading 4"/>
    <w:next w:val="1"/>
    <w:unhideWhenUsed/>
    <w:qFormat/>
    <w:uiPriority w:val="99"/>
    <w:pPr>
      <w:widowControl w:val="0"/>
      <w:numPr>
        <w:ilvl w:val="3"/>
        <w:numId w:val="1"/>
      </w:numPr>
      <w:adjustRightInd w:val="0"/>
      <w:snapToGrid w:val="0"/>
      <w:spacing w:line="360" w:lineRule="auto"/>
      <w:ind w:left="0"/>
      <w:outlineLvl w:val="3"/>
    </w:pPr>
    <w:rPr>
      <w:rFonts w:ascii="宋体" w:hAnsi="宋体" w:eastAsiaTheme="majorEastAsia" w:cstheme="majorBidi"/>
      <w:b/>
      <w:bCs/>
      <w:kern w:val="2"/>
      <w:sz w:val="28"/>
      <w:szCs w:val="28"/>
      <w:lang w:val="en-US" w:eastAsia="zh-CN" w:bidi="ar-SA"/>
    </w:rPr>
  </w:style>
  <w:style w:type="paragraph" w:styleId="6">
    <w:name w:val="heading 5"/>
    <w:next w:val="1"/>
    <w:unhideWhenUsed/>
    <w:qFormat/>
    <w:uiPriority w:val="0"/>
    <w:pPr>
      <w:keepNext/>
      <w:keepLines/>
      <w:numPr>
        <w:ilvl w:val="4"/>
        <w:numId w:val="1"/>
      </w:numPr>
      <w:adjustRightInd w:val="0"/>
      <w:snapToGrid w:val="0"/>
      <w:spacing w:line="360" w:lineRule="auto"/>
      <w:ind w:left="0"/>
      <w:outlineLvl w:val="4"/>
    </w:pPr>
    <w:rPr>
      <w:rFonts w:ascii="宋体" w:hAnsi="宋体" w:eastAsiaTheme="minorEastAsia" w:cstheme="minorBidi"/>
      <w:b/>
      <w:bCs/>
      <w:kern w:val="2"/>
      <w:sz w:val="28"/>
      <w:szCs w:val="28"/>
      <w:lang w:val="en-US" w:eastAsia="zh-CN" w:bidi="ar-SA"/>
    </w:rPr>
  </w:style>
  <w:style w:type="paragraph" w:styleId="7">
    <w:name w:val="heading 6"/>
    <w:basedOn w:val="1"/>
    <w:next w:val="1"/>
    <w:link w:val="6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2"/>
    <w:unhideWhenUsed/>
    <w:qFormat/>
    <w:uiPriority w:val="0"/>
    <w:pPr>
      <w:keepNext/>
      <w:keepLines/>
      <w:spacing w:before="240" w:after="64" w:line="320" w:lineRule="auto"/>
      <w:outlineLvl w:val="6"/>
    </w:pPr>
    <w:rPr>
      <w:b/>
      <w:bCs/>
      <w:sz w:val="24"/>
      <w:szCs w:val="24"/>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0"/>
    <w:qFormat/>
    <w:uiPriority w:val="0"/>
    <w:pPr>
      <w:ind w:firstLine="420" w:firstLineChars="200"/>
    </w:pPr>
  </w:style>
  <w:style w:type="paragraph" w:styleId="10">
    <w:name w:val="Body Text Indent"/>
    <w:basedOn w:val="1"/>
    <w:next w:val="9"/>
    <w:unhideWhenUsed/>
    <w:qFormat/>
    <w:uiPriority w:val="99"/>
    <w:pPr>
      <w:spacing w:line="200" w:lineRule="exact"/>
      <w:ind w:firstLine="301"/>
    </w:pPr>
    <w:rPr>
      <w:rFonts w:ascii="宋体" w:hAnsi="Courier New"/>
      <w:spacing w:val="-4"/>
      <w:sz w:val="18"/>
      <w:szCs w:val="20"/>
    </w:rPr>
  </w:style>
  <w:style w:type="paragraph" w:styleId="11">
    <w:name w:val="caption"/>
    <w:basedOn w:val="1"/>
    <w:next w:val="1"/>
    <w:unhideWhenUsed/>
    <w:qFormat/>
    <w:uiPriority w:val="0"/>
    <w:rPr>
      <w:rFonts w:ascii="Arial" w:hAnsi="Arial" w:eastAsia="黑体"/>
      <w:sz w:val="20"/>
    </w:rPr>
  </w:style>
  <w:style w:type="paragraph" w:styleId="12">
    <w:name w:val="toa heading"/>
    <w:basedOn w:val="1"/>
    <w:next w:val="1"/>
    <w:unhideWhenUsed/>
    <w:qFormat/>
    <w:uiPriority w:val="99"/>
    <w:pPr>
      <w:spacing w:before="120"/>
    </w:pPr>
    <w:rPr>
      <w:rFonts w:asciiTheme="majorHAnsi" w:hAnsiTheme="majorHAnsi" w:cstheme="majorBidi"/>
    </w:rPr>
  </w:style>
  <w:style w:type="paragraph" w:styleId="13">
    <w:name w:val="annotation text"/>
    <w:basedOn w:val="1"/>
    <w:link w:val="59"/>
    <w:unhideWhenUsed/>
    <w:qFormat/>
    <w:uiPriority w:val="0"/>
    <w:pPr>
      <w:jc w:val="left"/>
    </w:pPr>
  </w:style>
  <w:style w:type="paragraph" w:styleId="14">
    <w:name w:val="Body Text"/>
    <w:basedOn w:val="1"/>
    <w:qFormat/>
    <w:uiPriority w:val="0"/>
    <w:pPr>
      <w:spacing w:after="120"/>
    </w:pPr>
  </w:style>
  <w:style w:type="paragraph" w:styleId="15">
    <w:name w:val="toc 3"/>
    <w:next w:val="1"/>
    <w:unhideWhenUsed/>
    <w:qFormat/>
    <w:uiPriority w:val="39"/>
    <w:pPr>
      <w:widowControl w:val="0"/>
      <w:adjustRightInd w:val="0"/>
      <w:snapToGrid w:val="0"/>
      <w:ind w:left="480" w:firstLine="200" w:firstLineChars="200"/>
    </w:pPr>
    <w:rPr>
      <w:rFonts w:asciiTheme="minorHAnsi" w:hAnsiTheme="minorHAnsi" w:eastAsiaTheme="minorEastAsia" w:cstheme="minorHAnsi"/>
      <w:iCs/>
      <w:kern w:val="2"/>
      <w:sz w:val="21"/>
      <w:lang w:val="en-US" w:eastAsia="zh-CN" w:bidi="ar-SA"/>
    </w:rPr>
  </w:style>
  <w:style w:type="paragraph" w:styleId="16">
    <w:name w:val="Plain Text"/>
    <w:basedOn w:val="1"/>
    <w:link w:val="50"/>
    <w:unhideWhenUsed/>
    <w:qFormat/>
    <w:uiPriority w:val="0"/>
    <w:pPr>
      <w:spacing w:beforeLines="50" w:afterLines="50" w:line="400" w:lineRule="exact"/>
    </w:pPr>
    <w:rPr>
      <w:rFonts w:ascii="宋体" w:hAnsi="Courier New"/>
      <w:sz w:val="24"/>
      <w:szCs w:val="24"/>
    </w:rPr>
  </w:style>
  <w:style w:type="paragraph" w:styleId="17">
    <w:name w:val="Date"/>
    <w:basedOn w:val="1"/>
    <w:next w:val="1"/>
    <w:qFormat/>
    <w:uiPriority w:val="0"/>
    <w:pPr>
      <w:ind w:left="100" w:leftChars="2500"/>
    </w:pPr>
    <w:rPr>
      <w:sz w:val="24"/>
    </w:rPr>
  </w:style>
  <w:style w:type="paragraph" w:styleId="18">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9">
    <w:name w:val="Balloon Text"/>
    <w:basedOn w:val="1"/>
    <w:link w:val="51"/>
    <w:qFormat/>
    <w:uiPriority w:val="0"/>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2">
    <w:name w:val="toc 1"/>
    <w:next w:val="1"/>
    <w:unhideWhenUsed/>
    <w:qFormat/>
    <w:uiPriority w:val="39"/>
    <w:pPr>
      <w:widowControl w:val="0"/>
      <w:adjustRightInd w:val="0"/>
      <w:snapToGrid w:val="0"/>
      <w:ind w:firstLine="100" w:firstLineChars="100"/>
    </w:pPr>
    <w:rPr>
      <w:rFonts w:asciiTheme="minorHAnsi" w:hAnsiTheme="minorHAnsi" w:eastAsiaTheme="minorEastAsia" w:cstheme="minorHAnsi"/>
      <w:b/>
      <w:bCs/>
      <w:caps/>
      <w:kern w:val="2"/>
      <w:sz w:val="21"/>
      <w:lang w:val="en-US" w:eastAsia="zh-CN" w:bidi="ar-SA"/>
    </w:rPr>
  </w:style>
  <w:style w:type="paragraph" w:styleId="23">
    <w:name w:val="footnote text"/>
    <w:basedOn w:val="1"/>
    <w:qFormat/>
    <w:uiPriority w:val="0"/>
    <w:pPr>
      <w:snapToGrid w:val="0"/>
      <w:jc w:val="left"/>
    </w:pPr>
    <w:rPr>
      <w:sz w:val="18"/>
    </w:rPr>
  </w:style>
  <w:style w:type="paragraph" w:styleId="24">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5">
    <w:name w:val="toc 2"/>
    <w:next w:val="1"/>
    <w:unhideWhenUsed/>
    <w:qFormat/>
    <w:uiPriority w:val="39"/>
    <w:pPr>
      <w:widowControl w:val="0"/>
      <w:adjustRightInd w:val="0"/>
      <w:snapToGrid w:val="0"/>
      <w:ind w:left="240" w:firstLine="200" w:firstLineChars="200"/>
    </w:pPr>
    <w:rPr>
      <w:rFonts w:asciiTheme="minorHAnsi" w:hAnsiTheme="minorHAnsi" w:eastAsiaTheme="minorEastAsia" w:cstheme="minorHAnsi"/>
      <w:smallCaps/>
      <w:kern w:val="2"/>
      <w:sz w:val="21"/>
      <w:lang w:val="en-US" w:eastAsia="zh-CN" w:bidi="ar-SA"/>
    </w:rPr>
  </w:style>
  <w:style w:type="paragraph" w:styleId="26">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28">
    <w:name w:val="annotation subject"/>
    <w:basedOn w:val="13"/>
    <w:next w:val="13"/>
    <w:link w:val="60"/>
    <w:semiHidden/>
    <w:unhideWhenUsed/>
    <w:qFormat/>
    <w:uiPriority w:val="0"/>
    <w:rPr>
      <w:b/>
      <w:bCs/>
    </w:rPr>
  </w:style>
  <w:style w:type="paragraph" w:styleId="29">
    <w:name w:val="Body Text First Indent"/>
    <w:basedOn w:val="14"/>
    <w:qFormat/>
    <w:uiPriority w:val="0"/>
    <w:pPr>
      <w:ind w:firstLine="420" w:firstLineChars="100"/>
    </w:pPr>
  </w:style>
  <w:style w:type="paragraph" w:styleId="30">
    <w:name w:val="Body Text First Indent 2"/>
    <w:basedOn w:val="10"/>
    <w:next w:val="1"/>
    <w:unhideWhenUsed/>
    <w:qFormat/>
    <w:uiPriority w:val="99"/>
    <w:pPr>
      <w:spacing w:after="120" w:line="240" w:lineRule="auto"/>
      <w:ind w:left="420" w:leftChars="200" w:firstLine="420" w:firstLineChars="200"/>
    </w:pPr>
    <w:rPr>
      <w:rFonts w:ascii="Times New Roman" w:hAnsi="Times New Roman"/>
      <w:spacing w:val="0"/>
      <w:sz w:val="21"/>
    </w:rPr>
  </w:style>
  <w:style w:type="character" w:styleId="33">
    <w:name w:val="Strong"/>
    <w:basedOn w:val="32"/>
    <w:qFormat/>
    <w:uiPriority w:val="0"/>
    <w:rPr>
      <w:b/>
    </w:rPr>
  </w:style>
  <w:style w:type="character" w:styleId="34">
    <w:name w:val="FollowedHyperlink"/>
    <w:qFormat/>
    <w:uiPriority w:val="99"/>
    <w:rPr>
      <w:color w:val="800080"/>
      <w:u w:val="single"/>
    </w:rPr>
  </w:style>
  <w:style w:type="character" w:styleId="35">
    <w:name w:val="Hyperlink"/>
    <w:basedOn w:val="32"/>
    <w:qFormat/>
    <w:uiPriority w:val="99"/>
    <w:rPr>
      <w:color w:val="0000FF"/>
      <w:u w:val="single"/>
    </w:rPr>
  </w:style>
  <w:style w:type="character" w:styleId="36">
    <w:name w:val="annotation reference"/>
    <w:basedOn w:val="32"/>
    <w:semiHidden/>
    <w:unhideWhenUsed/>
    <w:qFormat/>
    <w:uiPriority w:val="0"/>
    <w:rPr>
      <w:sz w:val="21"/>
      <w:szCs w:val="21"/>
    </w:rPr>
  </w:style>
  <w:style w:type="paragraph" w:customStyle="1" w:styleId="37">
    <w:name w:val="BodyText1I2"/>
    <w:basedOn w:val="38"/>
    <w:next w:val="1"/>
    <w:qFormat/>
    <w:uiPriority w:val="0"/>
    <w:pPr>
      <w:spacing w:after="120"/>
      <w:ind w:left="420" w:leftChars="200" w:firstLine="420"/>
    </w:pPr>
    <w:rPr>
      <w:sz w:val="21"/>
      <w:szCs w:val="21"/>
    </w:rPr>
  </w:style>
  <w:style w:type="paragraph" w:customStyle="1" w:styleId="38">
    <w:name w:val="BodyTextIndent"/>
    <w:basedOn w:val="1"/>
    <w:next w:val="1"/>
    <w:qFormat/>
    <w:uiPriority w:val="0"/>
    <w:pPr>
      <w:ind w:firstLine="900"/>
      <w:jc w:val="both"/>
      <w:textAlignment w:val="auto"/>
    </w:pPr>
    <w:rPr>
      <w:rFonts w:ascii="Times New Roman"/>
      <w:kern w:val="2"/>
      <w:sz w:val="28"/>
    </w:rPr>
  </w:style>
  <w:style w:type="paragraph" w:customStyle="1" w:styleId="39">
    <w:name w:val="模板普通正文"/>
    <w:basedOn w:val="10"/>
    <w:qFormat/>
    <w:uiPriority w:val="0"/>
    <w:pPr>
      <w:spacing w:beforeLines="50" w:after="10"/>
      <w:ind w:firstLine="490" w:firstLineChars="175"/>
      <w:jc w:val="left"/>
    </w:pPr>
  </w:style>
  <w:style w:type="paragraph" w:customStyle="1" w:styleId="40">
    <w:name w:val="正文段"/>
    <w:basedOn w:val="1"/>
    <w:qFormat/>
    <w:uiPriority w:val="0"/>
    <w:pPr>
      <w:widowControl/>
      <w:snapToGrid w:val="0"/>
      <w:spacing w:afterLines="50"/>
      <w:ind w:firstLine="200" w:firstLineChars="200"/>
    </w:pPr>
    <w:rPr>
      <w:kern w:val="0"/>
      <w:sz w:val="24"/>
      <w:szCs w:val="20"/>
    </w:rPr>
  </w:style>
  <w:style w:type="paragraph" w:customStyle="1" w:styleId="41">
    <w:name w:val="一级标题"/>
    <w:basedOn w:val="16"/>
    <w:qFormat/>
    <w:uiPriority w:val="0"/>
    <w:pPr>
      <w:spacing w:line="360" w:lineRule="auto"/>
      <w:jc w:val="center"/>
    </w:pPr>
    <w:rPr>
      <w:rFonts w:hAnsi="宋体"/>
      <w:b/>
      <w:sz w:val="36"/>
      <w:szCs w:val="36"/>
    </w:rPr>
  </w:style>
  <w:style w:type="paragraph" w:customStyle="1" w:styleId="42">
    <w:name w:val="正文2"/>
    <w:basedOn w:val="1"/>
    <w:qFormat/>
    <w:uiPriority w:val="0"/>
    <w:pPr>
      <w:spacing w:before="156" w:line="360" w:lineRule="auto"/>
      <w:ind w:firstLine="510" w:firstLineChars="200"/>
    </w:pPr>
    <w:rPr>
      <w:sz w:val="24"/>
    </w:rPr>
  </w:style>
  <w:style w:type="paragraph" w:customStyle="1" w:styleId="43">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4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45">
    <w:name w:val="页眉 字符"/>
    <w:basedOn w:val="32"/>
    <w:link w:val="21"/>
    <w:qFormat/>
    <w:uiPriority w:val="0"/>
    <w:rPr>
      <w:kern w:val="2"/>
      <w:sz w:val="18"/>
      <w:szCs w:val="18"/>
    </w:rPr>
  </w:style>
  <w:style w:type="character" w:customStyle="1" w:styleId="46">
    <w:name w:val="页脚 字符"/>
    <w:basedOn w:val="32"/>
    <w:link w:val="20"/>
    <w:qFormat/>
    <w:uiPriority w:val="99"/>
    <w:rPr>
      <w:kern w:val="2"/>
      <w:sz w:val="18"/>
      <w:szCs w:val="18"/>
    </w:rPr>
  </w:style>
  <w:style w:type="character" w:customStyle="1" w:styleId="47">
    <w:name w:val="HTML 预设格式 Char"/>
    <w:qFormat/>
    <w:uiPriority w:val="99"/>
    <w:rPr>
      <w:rFonts w:ascii="宋体" w:hAnsi="宋体" w:cs="宋体"/>
      <w:sz w:val="24"/>
      <w:szCs w:val="24"/>
    </w:rPr>
  </w:style>
  <w:style w:type="character" w:customStyle="1" w:styleId="48">
    <w:name w:val="HTML 预设格式 字符"/>
    <w:basedOn w:val="32"/>
    <w:link w:val="26"/>
    <w:qFormat/>
    <w:uiPriority w:val="0"/>
    <w:rPr>
      <w:rFonts w:ascii="Courier New" w:hAnsi="Courier New" w:cs="Courier New"/>
      <w:kern w:val="2"/>
    </w:rPr>
  </w:style>
  <w:style w:type="paragraph" w:styleId="49">
    <w:name w:val="List Paragraph"/>
    <w:basedOn w:val="1"/>
    <w:unhideWhenUsed/>
    <w:qFormat/>
    <w:uiPriority w:val="99"/>
    <w:pPr>
      <w:ind w:firstLine="420" w:firstLineChars="200"/>
    </w:pPr>
  </w:style>
  <w:style w:type="character" w:customStyle="1" w:styleId="50">
    <w:name w:val="纯文本 字符"/>
    <w:link w:val="16"/>
    <w:qFormat/>
    <w:uiPriority w:val="0"/>
    <w:rPr>
      <w:rFonts w:ascii="宋体" w:hAnsi="Courier New"/>
      <w:kern w:val="2"/>
      <w:sz w:val="24"/>
      <w:szCs w:val="24"/>
    </w:rPr>
  </w:style>
  <w:style w:type="character" w:customStyle="1" w:styleId="51">
    <w:name w:val="批注框文本 字符"/>
    <w:basedOn w:val="32"/>
    <w:link w:val="19"/>
    <w:qFormat/>
    <w:uiPriority w:val="0"/>
    <w:rPr>
      <w:kern w:val="2"/>
      <w:sz w:val="18"/>
      <w:szCs w:val="18"/>
    </w:rPr>
  </w:style>
  <w:style w:type="paragraph" w:customStyle="1" w:styleId="52">
    <w:name w:val="纯文本1"/>
    <w:basedOn w:val="42"/>
    <w:qFormat/>
    <w:uiPriority w:val="0"/>
    <w:rPr>
      <w:rFonts w:ascii="宋体" w:hAnsi="Courier New"/>
      <w:kern w:val="0"/>
      <w:sz w:val="20"/>
      <w:szCs w:val="21"/>
    </w:rPr>
  </w:style>
  <w:style w:type="paragraph" w:customStyle="1" w:styleId="53">
    <w:name w:val="TOC 标题4"/>
    <w:basedOn w:val="3"/>
    <w:next w:val="1"/>
    <w:unhideWhenUsed/>
    <w:qFormat/>
    <w:uiPriority w:val="39"/>
    <w:pPr>
      <w:keepNext/>
      <w:keepLines/>
      <w:widowControl/>
      <w:numPr>
        <w:numId w:val="0"/>
      </w:numPr>
      <w:spacing w:before="24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54">
    <w:name w:val="标书-正文"/>
    <w:basedOn w:val="1"/>
    <w:qFormat/>
    <w:uiPriority w:val="0"/>
    <w:rPr>
      <w:szCs w:val="24"/>
    </w:rPr>
  </w:style>
  <w:style w:type="paragraph" w:styleId="55">
    <w:name w:val="No Spacing"/>
    <w:next w:val="1"/>
    <w:qFormat/>
    <w:uiPriority w:val="1"/>
    <w:pPr>
      <w:adjustRightInd w:val="0"/>
      <w:snapToGrid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customStyle="1" w:styleId="56">
    <w:name w:val="标书正文"/>
    <w:basedOn w:val="1"/>
    <w:qFormat/>
    <w:uiPriority w:val="0"/>
    <w:rPr>
      <w:rFonts w:asciiTheme="minorHAnsi" w:hAnsiTheme="minorHAnsi"/>
      <w:szCs w:val="21"/>
    </w:rPr>
  </w:style>
  <w:style w:type="paragraph" w:customStyle="1" w:styleId="57">
    <w:name w:val="正文缩进2"/>
    <w:basedOn w:val="1"/>
    <w:qFormat/>
    <w:uiPriority w:val="0"/>
  </w:style>
  <w:style w:type="paragraph" w:customStyle="1" w:styleId="58">
    <w:name w:val="招标文件正文"/>
    <w:basedOn w:val="1"/>
    <w:link w:val="91"/>
    <w:qFormat/>
    <w:uiPriority w:val="0"/>
    <w:pPr>
      <w:adjustRightInd w:val="0"/>
      <w:snapToGrid w:val="0"/>
      <w:spacing w:line="360" w:lineRule="auto"/>
      <w:ind w:firstLine="200" w:firstLineChars="200"/>
      <w:jc w:val="left"/>
    </w:pPr>
    <w:rPr>
      <w:rFonts w:ascii="宋体" w:hAnsi="宋体"/>
      <w:sz w:val="24"/>
      <w:szCs w:val="24"/>
    </w:rPr>
  </w:style>
  <w:style w:type="character" w:customStyle="1" w:styleId="59">
    <w:name w:val="批注文字 字符"/>
    <w:basedOn w:val="32"/>
    <w:link w:val="13"/>
    <w:qFormat/>
    <w:uiPriority w:val="0"/>
    <w:rPr>
      <w:kern w:val="2"/>
      <w:sz w:val="21"/>
      <w:szCs w:val="22"/>
    </w:rPr>
  </w:style>
  <w:style w:type="character" w:customStyle="1" w:styleId="60">
    <w:name w:val="批注主题 字符"/>
    <w:basedOn w:val="59"/>
    <w:link w:val="28"/>
    <w:semiHidden/>
    <w:qFormat/>
    <w:uiPriority w:val="0"/>
    <w:rPr>
      <w:b/>
      <w:bCs/>
      <w:kern w:val="2"/>
      <w:sz w:val="21"/>
      <w:szCs w:val="22"/>
    </w:rPr>
  </w:style>
  <w:style w:type="character" w:customStyle="1" w:styleId="61">
    <w:name w:val="标题 6 字符"/>
    <w:basedOn w:val="32"/>
    <w:link w:val="7"/>
    <w:qFormat/>
    <w:uiPriority w:val="0"/>
    <w:rPr>
      <w:rFonts w:asciiTheme="majorHAnsi" w:hAnsiTheme="majorHAnsi" w:eastAsiaTheme="majorEastAsia" w:cstheme="majorBidi"/>
      <w:b/>
      <w:bCs/>
      <w:kern w:val="2"/>
      <w:sz w:val="24"/>
      <w:szCs w:val="24"/>
    </w:rPr>
  </w:style>
  <w:style w:type="character" w:customStyle="1" w:styleId="62">
    <w:name w:val="标题 7 字符"/>
    <w:basedOn w:val="32"/>
    <w:link w:val="8"/>
    <w:qFormat/>
    <w:uiPriority w:val="0"/>
    <w:rPr>
      <w:b/>
      <w:bCs/>
      <w:kern w:val="2"/>
      <w:sz w:val="24"/>
      <w:szCs w:val="24"/>
    </w:rPr>
  </w:style>
  <w:style w:type="character" w:customStyle="1" w:styleId="63">
    <w:name w:val="标题 2 字符"/>
    <w:basedOn w:val="32"/>
    <w:link w:val="2"/>
    <w:qFormat/>
    <w:uiPriority w:val="9"/>
    <w:rPr>
      <w:rFonts w:ascii="宋体" w:hAnsi="宋体"/>
      <w:b/>
      <w:sz w:val="36"/>
      <w:szCs w:val="36"/>
    </w:rPr>
  </w:style>
  <w:style w:type="paragraph" w:customStyle="1" w:styleId="6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7">
    <w:name w:val="font7"/>
    <w:basedOn w:val="1"/>
    <w:qFormat/>
    <w:uiPriority w:val="0"/>
    <w:pPr>
      <w:widowControl/>
      <w:spacing w:before="100" w:beforeAutospacing="1" w:after="100" w:afterAutospacing="1"/>
      <w:jc w:val="left"/>
    </w:pPr>
    <w:rPr>
      <w:rFonts w:ascii="宋体" w:hAnsi="宋体" w:cs="宋体"/>
      <w:color w:val="FF0000"/>
      <w:kern w:val="0"/>
      <w:sz w:val="22"/>
    </w:rPr>
  </w:style>
  <w:style w:type="paragraph" w:customStyle="1" w:styleId="68">
    <w:name w:val="xl6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7">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9">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1">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3">
    <w:name w:val="xl8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4">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5">
    <w:name w:val="xl8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6">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7">
    <w:name w:val="font8"/>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88">
    <w:name w:val="font9"/>
    <w:basedOn w:val="1"/>
    <w:qFormat/>
    <w:uiPriority w:val="0"/>
    <w:pPr>
      <w:widowControl/>
      <w:spacing w:before="100" w:beforeAutospacing="1" w:after="100" w:afterAutospacing="1"/>
      <w:jc w:val="left"/>
    </w:pPr>
    <w:rPr>
      <w:rFonts w:ascii="Calibri" w:hAnsi="Calibri" w:cs="Calibri"/>
      <w:kern w:val="0"/>
      <w:szCs w:val="21"/>
    </w:rPr>
  </w:style>
  <w:style w:type="paragraph" w:customStyle="1" w:styleId="89">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90">
    <w:name w:val="招标文件表格"/>
    <w:basedOn w:val="58"/>
    <w:link w:val="92"/>
    <w:qFormat/>
    <w:uiPriority w:val="0"/>
    <w:pPr>
      <w:tabs>
        <w:tab w:val="left" w:pos="1418"/>
      </w:tabs>
      <w:spacing w:line="240" w:lineRule="auto"/>
    </w:pPr>
    <w:rPr>
      <w:sz w:val="21"/>
      <w:szCs w:val="21"/>
    </w:rPr>
  </w:style>
  <w:style w:type="character" w:customStyle="1" w:styleId="91">
    <w:name w:val="招标文件正文 字符"/>
    <w:basedOn w:val="32"/>
    <w:link w:val="58"/>
    <w:qFormat/>
    <w:uiPriority w:val="0"/>
    <w:rPr>
      <w:rFonts w:ascii="宋体" w:hAnsi="宋体"/>
      <w:kern w:val="2"/>
      <w:sz w:val="24"/>
      <w:szCs w:val="24"/>
    </w:rPr>
  </w:style>
  <w:style w:type="character" w:customStyle="1" w:styleId="92">
    <w:name w:val="招标文件表格 字符"/>
    <w:basedOn w:val="91"/>
    <w:link w:val="90"/>
    <w:qFormat/>
    <w:uiPriority w:val="0"/>
    <w:rPr>
      <w:rFonts w:ascii="宋体" w:hAnsi="宋体"/>
      <w:kern w:val="2"/>
      <w:sz w:val="21"/>
      <w:szCs w:val="21"/>
    </w:rPr>
  </w:style>
  <w:style w:type="paragraph" w:customStyle="1" w:styleId="93">
    <w:name w:val="标题2"/>
    <w:basedOn w:val="1"/>
    <w:qFormat/>
    <w:uiPriority w:val="0"/>
    <w:pPr>
      <w:spacing w:line="360" w:lineRule="auto"/>
      <w:outlineLvl w:val="1"/>
    </w:pPr>
    <w:rPr>
      <w:rFonts w:asciiTheme="minorEastAsia" w:hAnsiTheme="minorEastAsia" w:eastAsiaTheme="minorEastAsia" w:cstheme="minorBidi"/>
      <w:b/>
      <w:sz w:val="3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2051" textRotate="1"/>
    <customShpInfo spid="_x0000_s2052" textRotate="1"/>
    <customShpInfo spid="_x0000_s2053"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160</Pages>
  <Words>118455</Words>
  <Characters>135539</Characters>
  <Lines>1018</Lines>
  <Paragraphs>286</Paragraphs>
  <TotalTime>25</TotalTime>
  <ScaleCrop>false</ScaleCrop>
  <LinksUpToDate>false</LinksUpToDate>
  <CharactersWithSpaces>138609</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2020-05-16T16:54:00Z</dcterms:created>
  <dc:creator>心渃相依～</dc:creator>
  <cp:lastModifiedBy>uos</cp:lastModifiedBy>
  <cp:lastPrinted>2022-07-08T01:30:00Z</cp:lastPrinted>
  <dcterms:modified xsi:type="dcterms:W3CDTF">2022-09-15T09:20:55Z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62D58A33CF49494AB27FBBB8F09AA8CD</vt:lpwstr>
  </property>
</Properties>
</file>