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0" w:after="156" w:afterLines="0" w:line="360" w:lineRule="auto"/>
        <w:jc w:val="center"/>
        <w:rPr>
          <w:rFonts w:hint="eastAsia"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 xml:space="preserve">第三章  </w:t>
      </w:r>
      <w:r>
        <w:rPr>
          <w:rFonts w:hint="eastAsia" w:ascii="宋体" w:hAnsi="宋体" w:cs="宋体"/>
          <w:b/>
          <w:bCs/>
          <w:kern w:val="0"/>
          <w:szCs w:val="28"/>
          <w:lang w:eastAsia="zh-CN"/>
        </w:rPr>
        <w:t>采购</w:t>
      </w:r>
      <w:r>
        <w:rPr>
          <w:rFonts w:hint="eastAsia" w:ascii="宋体" w:hAnsi="宋体" w:cs="宋体"/>
          <w:b/>
          <w:bCs/>
          <w:kern w:val="0"/>
          <w:szCs w:val="28"/>
        </w:rPr>
        <w:t>需求</w:t>
      </w:r>
    </w:p>
    <w:p>
      <w:pPr>
        <w:numPr>
          <w:ilvl w:val="0"/>
          <w:numId w:val="0"/>
        </w:numPr>
        <w:snapToGrid w:val="0"/>
        <w:spacing w:line="400" w:lineRule="exact"/>
        <w:rPr>
          <w:rFonts w:hint="default" w:ascii="宋体" w:hAnsi="宋体"/>
          <w:b/>
          <w:color w:val="000000"/>
          <w:sz w:val="21"/>
          <w:szCs w:val="22"/>
          <w:highlight w:val="yellow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  <w:t>一、项目编号：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</w:rPr>
        <w:t>dscg-lx</w:t>
      </w:r>
      <w:r>
        <w:rPr>
          <w:rFonts w:hint="eastAsia" w:ascii="宋体" w:hAnsi="宋体" w:cs="宋体"/>
          <w:b/>
          <w:bCs/>
          <w:kern w:val="0"/>
          <w:sz w:val="21"/>
          <w:szCs w:val="21"/>
          <w:highlight w:val="none"/>
          <w:lang w:val="en-US" w:eastAsia="zh-CN"/>
        </w:rPr>
        <w:t>2019-031</w:t>
      </w:r>
    </w:p>
    <w:p>
      <w:pPr>
        <w:numPr>
          <w:ilvl w:val="0"/>
          <w:numId w:val="0"/>
        </w:numPr>
        <w:snapToGrid w:val="0"/>
        <w:spacing w:line="400" w:lineRule="exact"/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  <w:t>二、采购单位名称：兰溪市诸葛古镇基础设施建设有限公司</w:t>
      </w:r>
    </w:p>
    <w:p>
      <w:pPr>
        <w:numPr>
          <w:ilvl w:val="0"/>
          <w:numId w:val="0"/>
        </w:numPr>
        <w:snapToGrid w:val="0"/>
        <w:spacing w:line="400" w:lineRule="exact"/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  <w:t>三、项目名称：兰溪市诸葛镇小城镇环境综合整治建设项目—智慧交通工程</w:t>
      </w:r>
    </w:p>
    <w:p>
      <w:pPr>
        <w:numPr>
          <w:ilvl w:val="0"/>
          <w:numId w:val="0"/>
        </w:numPr>
        <w:snapToGrid w:val="0"/>
        <w:spacing w:line="400" w:lineRule="exact"/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</w:pPr>
      <w:r>
        <w:rPr>
          <w:rFonts w:hint="eastAsia" w:ascii="宋体" w:hAnsi="宋体"/>
          <w:b/>
          <w:color w:val="000000"/>
          <w:sz w:val="21"/>
          <w:szCs w:val="22"/>
          <w:highlight w:val="none"/>
          <w:lang w:eastAsia="zh-CN"/>
        </w:rPr>
        <w:t>四、采购内容及要求：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系统建设应符合《治安卡口监控系统建设技术规范（试行）》（金市公办</w:t>
      </w:r>
      <w:r>
        <w:rPr>
          <w:color w:val="auto"/>
          <w:sz w:val="21"/>
          <w:szCs w:val="21"/>
        </w:rPr>
        <w:t>[2012]69</w:t>
      </w:r>
      <w:r>
        <w:rPr>
          <w:rFonts w:hint="eastAsia"/>
          <w:color w:val="auto"/>
          <w:sz w:val="21"/>
          <w:szCs w:val="21"/>
        </w:rPr>
        <w:t>号）的要求。治安监控及卡口系统的前端设备型号应符合平台兼容性要求，所有点位直接进入兰溪市公安视频监控系统平台。</w:t>
      </w:r>
    </w:p>
    <w:tbl>
      <w:tblPr>
        <w:tblStyle w:val="3"/>
        <w:tblW w:w="99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3444"/>
        <w:gridCol w:w="2310"/>
        <w:gridCol w:w="2055"/>
        <w:gridCol w:w="15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1、点位清单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八卦村景区入口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微卡口*2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330国道银塘路口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高清球机+枪机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***楼顶（车站）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挑臂2米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330国道边-1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330国道边-2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330国道3（思博工艺）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330国道边-4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330国道行政执法局门口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330国道金泰莱路口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330国道敬老院门口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借用电警杆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316省道停车场门口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微卡+枪机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停车场-1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枪机*2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停车场-2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枪机*1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316省道幼儿园路口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枪机*2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316省道镇政府门口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高隆岗农商行门口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菜场门口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墙装挑臂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挑臂2米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高隆岗国控大药房路口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高隆岗市场监管所对面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高隆岗诸葛村办公楼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墙装挑臂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挑臂2米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316省道双牌路口-1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抓拍单元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316省道双牌路口-2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抓拍单元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电信营业厅旁基站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借用电信基站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高空鹰眼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高空支架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330国道克罗托纺织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洗衣房门口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敬老院路口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借用电警杆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礼让行人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330国道电信营业厅旁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违停球机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316省道荷叶塘路口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球机+枪机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高隆岗卫生院门口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墙装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诸葛中学路口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诸葛小学门口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330国道敬老院卡口1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原卡口改造+违停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330国道敬老院卡口2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原卡口改造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更新设备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***旁规划停车场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枪机*2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***旁规划停车场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小区杆4挑0.5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高清球机+枪机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设备参数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Ansi="宋体"/>
          <w:b/>
          <w:bCs/>
          <w:sz w:val="21"/>
          <w:szCs w:val="21"/>
        </w:rPr>
      </w:pPr>
      <w:r>
        <w:rPr>
          <w:rFonts w:hAnsi="宋体"/>
          <w:b/>
          <w:bCs/>
          <w:sz w:val="21"/>
          <w:szCs w:val="21"/>
        </w:rPr>
        <w:t>治安监控</w:t>
      </w:r>
    </w:p>
    <w:tbl>
      <w:tblPr>
        <w:tblStyle w:val="3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05"/>
        <w:gridCol w:w="6390"/>
        <w:gridCol w:w="600"/>
        <w:gridCol w:w="5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 微卡口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微卡口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微卡口/智慧监控单元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专业人脸抓拍模式与全结构化混合目标抓拍模式二选一：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人脸抓拍模式: 可配置支持对区域内人脸进行检测、跟踪、抓拍、评分、筛选，输出最优的人脸抓拍图片；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最大可支持40个人脸目标同时检测、跟踪和抓拍，支持人脸去误抓。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车辆：车牌识别（民用车牌，警用车牌，军牌和武警车牌、2002式新车牌及新能源车牌）、子品牌识别、车身颜色识别、车型识别。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非机动车抓拍识别：车型识别、特征识别（性别，拎东西，背包，衣袖，裤裙，戴帽子，戴口罩，发型，骑车，年龄段，遮挡，身体朝向，戴眼镜，骑车人数，上身颜色，下身颜色）。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行人人脸抓拍：行人人脸识别抓拍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行人特征识别：性别，拎东西，背包，衣袖、裤裙、戴帽子，戴口罩，发型，年龄段，遮挡，身体朝向，戴眼镜，上身颜色、下身颜色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包含摄像机、高清镜头、室外防护罩(4518护罩)、风扇、相机内置防雷模块、电源适配器、安装万向节等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像素：230W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分辨率：最大支持1920×1200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帧率：25fps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感光器件：1/1.8" CMOS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镜头：11～40mm变焦镜头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照度：彩色:0.001 Lux @(F1.2，AGC ON)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黑白:0.0001 Lux @(F1.2，AGC ON)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视频压缩标准：H.264/H.265/MJPEG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图像输出格式：JPEG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输出：电平量信号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接口：通讯接口：1个RJ45 10M/100M/1000M 自适应网口，1个RS485接口，1个RS232接口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外部接口：4路IO输入接口，3对IO输出接口(可以作为报警输出，补光灯光灯控制接口)，同步电源接口SYNC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存储支持：支持64G TF卡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自动光圈镜头：支持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ICR：支持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工作电压：100VAC～240VAC；频率：48Hz～52Hz；功耗：＜20W(带加热模块，＜70W)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防护等级IP66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针对道路的星光级监控，支持车辆抓拍并自动识别车牌号码，抓拍图片叠加识别信息并上传。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机非人检测，车型，车身颜色，安全带，人脸抠图，遮阳板等车辆特征识别；支持结构化信息上传；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★★最低照度：彩色≤0.0003lx(AGCON，RJ45输出)；黑白≤0.0001lx(AGCON，RJ45输出)；（公安部检测报告）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★★支持识别蓝（小车）、黄（公交车、大货车）、黑（领馆车牌、涉外车牌）、白（警用）、绿（农用）、红（企业内部车）、黄绿双色和渐变绿色（新能源车牌）等车牌颜色（公安部检测报告）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常亮灯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光源类型：原装进口大功率LED，白光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LED灯珠数量：16颗                                                                                                          色温:5000K~7000K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最佳补光距离:16m～25m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最大功率：30W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功能特性：三车道环境补光灯,支持光敏控制，低照度下自动开启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★防护等级IP66（公安部检测报告）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杆装黑色抱杆箱；不锈钢；420MM*320MM*150MM；壁厚1.2MM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立杆基础浇筑（6挑6）及安装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设备安装及辅材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前端摄像头等设备的安装及硅管、0号手井等费用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行政服务费用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代缴立杆基础开挖行政服务费用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前端监控点电路租赁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中心平台接入及存储费用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 高清监控系统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红外高清网络球机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星光机球机；200万1/1.8” AI智能人脸日夜型筒型网络摄像机支持三种智能资源切换：人脸抓拍（默认）、道路监控、Smart事件人脸抓拍：支持对运动人脸进行检测、跟踪、抓拍、评分、筛选，输出最优的人脸抓图。抓图分辨率：分辨率：1920x1080背景大图图片字符叠加功能：支持设备编号、抓拍时间、监测点信息抓拍次数：支持抓拍次数（1-10次）可设人脸曝光支持宽动态：超宽动态范围达120dB，室内逆光环境下监控道路监控：支持车辆检测：车牌抓拍，车辆颜色、类型，机非人识别Smart事件：支持越界侦测,区域入侵侦测,进入/离开区域侦测,徘徊侦测,人员聚集侦测,快速运动侦测,停车侦测,物品遗留/拿取侦测最低照度：彩色:0.0005 Lux @(F1.2,AGC ON)；黑白:0.0001Lux @(F1.2,AGC ON)，0 Lux with IR镜头：2.8-12mm F1.2, 水平视场角 99.5°~38.6°视频压缩标准：H.265/H.264 / 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1920×1080图像设置：饱和度、亮度、对比度、锐度通过客户端或者浏览器可调图像增强：背光补偿、强光抑制、透雾、电子防抖、3D降噪日夜转换方式：自动、定时、报警触发区域裁剪支持图片叠加：支持BMP 24位图像叠加，可选择区域感兴趣区域：ROI支持三码流分别设置4个固定区域、全画面动态人脸跟踪存储功能：支持Micro SD(即TF卡)/Micro SDHC /Micro SDXC卡(128G)断网本地存储，NAS(NFS、SMB/CIFS均支持)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智能报警：移动侦测、遮挡报警、网线断、IP地址冲突、存储器满、存储器错、非法访问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通用功能：一键恢复,防闪烁,五码流,心跳,镜像,密码保护,视频遮盖,水印技术,IP地址过滤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设备内置高效红外阵列灯，可根据镜头焦距大小智能改变红外灯亮度，使红外补光均匀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通讯接口：1 个RJ45 10M / 100M /1000M自适应以太网口 1个RS-485接口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音频接口：1对音频输入(Line in )/输出接口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报警接口：2对报警输入/输出接口(报警输出最大支持DC24V 1A或AC110V 500mA)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工作温度和湿度：-30℃~60℃,湿度小于95%(无凝结)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电源供应：DC12V±20% / PoE(802.3at)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电源接口类型：三芯电源接口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功耗：DC12V，1.2A,Max：14.5W；PoE(802.3at,36-57V)，0.2-0.3A，CLASS  4, MAX: 14.5W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红外距离不小于550米（公安部检测报告）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尺寸(mm)：206.5×103.9×100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重量：1360g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★★具备低码率功能，分辨率为1920*1080，帧率设置为25fps，开启smart265功能，码率为1Mbps，可正常显示监视画面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★★支持最低照度可达彩色0.0003Lux，黑白0.0001Lux（以公安部型式检验报告为准）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红外高清网络枪机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级枪机：200万1/1.8”AI智能人脸日夜型筒型网络摄像机支持三种智能资源切换：人脸抓拍（默认）、道路监控、Smart事件人脸抓拍：支持对运动人脸进行检测、跟踪、抓拍、评分、筛选，输出最优的人脸抓图。抓图分辨率：分辨率：1920x1080背景大图图片字符叠加功能：支持设备编号、抓拍时间、监测点信息抓拍次数：支持抓拍次数（1-10次）可设人脸曝光支持宽动态：超宽动态范围达120dB，室内逆光环境下监控道路监控：支持车辆检测：车牌抓拍，车辆颜色、类型，机非人识别Smart事件：支持越界侦测,区域入侵侦测,进入/离开区域侦测,徘徊侦测,人员聚集侦测,快速运动侦测,停车侦测,物品遗留/拿取侦测最低照度：彩色:0.0005 Lux @(F1.2,AGC ON)；黑白:0.0001Lux @(F1.2,AGC ON)，0 Lux with IR镜头：2.8-12mm F1.2, 水平视场角 99.5°~38.6°视频压缩标准：H.265/H.264 / MJPEG最大图像尺寸：1920×1080图像设置：饱和度、亮度、对比度、锐度通过客户端或者浏览器可调图像增强：背光补偿、强光抑制、透雾、电子防抖、3D降噪日夜转换方式：自动、定时、报警触发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区域裁剪支持图片叠加：支持BMP 24位图像叠加，可选择区域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感兴趣区域：ROI支持三码流分别设置4个固定区域、全画面动态人脸跟踪存储功能：支持Micro SD(即TF卡)/Micro SDHC /Micro SDXC卡(128G)断网本地存储，NAS(NFS、SMB/CIFS均支持) 智能报警：移动侦测、遮挡报警、网线断、IP地址冲突、存储器满、存储器错、非法访问通用功能：一键恢复,防闪烁,五码流,心跳,镜像,密码保护,视频遮盖,水印技术,IP地址过滤设备内置高效红外阵列灯，可根据镜头焦距大小智能改变红外灯亮度，使红外补光均匀通讯接口：1 个RJ45 10M / 100M /1000M自适应以太网口 1个RS-485接口音频接口：1对音频输入(Line in )/输出接口报警接口：2对报警输入/输出接口(报警输出最大支持DC24V 1A或AC110V 500mA)工作温度和湿度：-30℃~60℃,湿度小于95%(无凝结)电源供应：DC12V±20% / PoE(802.3at)电源接口类型：三芯电源接口功耗：DC12V，1.2A,Max：14.5W；PoE(802.3at,36-57V)，0.2-0.3A，CLASS  4, MAX: 14.5W防护等级IP67补光距离：红外20-50米尺寸(mm)：206.5×103.9×100重量：1360g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☆★内置GPU芯片。（公安部检验报告证明）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最低照度彩色：0.0003Lux，黑白:0.0001Lux，最大亮度鉴别等级（灰度等级）不小于11级。（公安部检验报告证明）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立杆及配套基础（或钢筋笼），平挑黑色，Q235普通碳素结构钢，主杆为圆柱杆，壁厚6MM,直径180MM；挑杆为圆柱杆，壁厚4MM ，直径90MM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小区杆4米挑0.5米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 Q235普通碳素结构钢，主杆为圆柱杆，壁厚4MM ，直径90MM；挑杆为圆柱杆，壁厚3MM 直径50MM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挑臂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Q235普通碳素结构钢、黑色，圆柱杆，壁厚3MM ，直径60MM，臂长2米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杆装黑色抱杆箱；不锈钢；420MM*320MM*150MM；壁厚1.2MM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墙装黑色壁挂箱；不锈钢；420MM*320MM*150MM；壁厚1.2MM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立杆基础浇筑（6挑6）及安装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立杆基础浇筑（6挑8）及安装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立杆基础浇筑（6挑4）及安装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立杆基础浇筑（4挑0.5）及安装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设备安装及辅材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前端摄像头等设备的安装及硅管、0号手井等费用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套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行政服务费用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代缴立杆基础开挖行政服务费用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前端监控点电路租赁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中心平台接入及存储费用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3、高空鹰眼系统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高空鹰眼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全景一体式网络高清摄像机；球型鹰眼800万180°，全景摄像机有4个1/1.8" 2MP Progressive Scan CMOS，最高分辨率及帧率可达4096×1800@30fps，星光级超低照度，0.005Lux/F2.0（彩色），0.0005Lux/F2.0（黑白）；特写摄像机采用1/1.8" 2MP Progressive Scan CMOS，最高分辨率及帧率可达1920×1080@30fps，水平360°连续旋转，垂直-15°-90°（自动翻转），星光级超低照度，0.002Lux/F1.5（彩色），0.0002Lux/F1.5（黑白），200m红外照射距离，37倍光学变倍，16倍数字变倍；支持区域入侵、越界、进入区域、离开区域事件侦测功能；系统支持检测直径300米180°半圆形范围内运动目标，可同时检测30个目标；系统支持点击联动功能、目标自动跟踪功能、手动跟踪功能；支持强光抑制、3D数字降噪；系统内置7路报警输入、2路报警输出、1路音频输入、1路音频输出，支持光口（FC）+电口(RJ-45)网络接口设计，采用一体化设计，可快捷安装；H.265/H.264/MJPEG；支持防雷、防浪涌、防突波，IP66防护等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★★内置GPU芯片（以公安部检验报告为准）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当样机检测到雾的浓度达到设定的阈值时，可自动在算法透雾和光学透雾之间进行切换。具有三种滤光片，在白天、夜晚及有雾情况下可自动切换不同的滤光片进行成像。三片滤光片透过率均不小于95%。（以公安部检验报告为准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杆装黑色抱杆箱；不锈钢；420MM*320MM*150MM；壁厚1.2MM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设备安装及辅材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高空鹰眼设备安装（含高空支架等配件）以及整体调试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网络服务费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及存储费用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Ansi="宋体"/>
          <w:b/>
          <w:bCs/>
          <w:sz w:val="21"/>
          <w:szCs w:val="21"/>
        </w:rPr>
      </w:pPr>
      <w:r>
        <w:rPr>
          <w:rFonts w:hint="eastAsia" w:hAnsi="宋体"/>
          <w:b/>
          <w:bCs/>
          <w:sz w:val="21"/>
          <w:szCs w:val="21"/>
        </w:rPr>
        <w:t>违章抓拍监控</w:t>
      </w:r>
    </w:p>
    <w:tbl>
      <w:tblPr>
        <w:tblStyle w:val="3"/>
        <w:tblW w:w="9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110"/>
        <w:gridCol w:w="6540"/>
        <w:gridCol w:w="615"/>
        <w:gridCol w:w="6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1、礼让行人抓拍系统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包含摄像机、高清镜头、室外防护罩、风扇、内置补光灯、电源适配器、相机内置防雷模块、安装万向节等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像素：900W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分辨率：最大支持4096*2160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帧率：25fps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图像传感器：采用1" 英寸全局曝光CMOS（GMOS）传感器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镜头：16mm镜头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照度：彩色:≤0.0002Lux  黑色:≤0.0001Lux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视频压缩标准：H.265/H.264/MJPEG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图像输出格式：JPEG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输出：电平量信号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通讯接口：2个RJ45 100M/1000M自适应网口，3个RS485接口，1个RS232接口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外部接口：4路外部触发输入，6路(5V TTL电平量)输出，可作为闪光灯同步输出控制，SYNC信号灯电源同步输入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存储支持：最大支持128G TF卡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自动光圈镜头：支持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工作电压：220VAC±20%；频率：50HZ±2%；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功耗：＜20W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支持智能识别功能：内置视频识别功能，支持车牌识别，除支持现行车牌外，还同时支持新能源车牌、电动车牌；支持视频触发、车身颜色识别、车型识别，通行车辆信息捕获和违章检测功能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支持23种车型检测，包括小型客车、中型客车、大型客车、微型轿车、小型轿车、两厢轿车、三厢轿车、轿跑、SUV、MPV、面包车、皮卡车、货车、小货车、二轮车、三轮车、集装箱卡车、微卡/栏板车、渣土车、吊车/工程车、油罐车、混凝土搅拌车、平板拖车，准确率不低于99%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★支持车牌黑名单设置，最大可设置4200条黑名单（以公安部检验报告为准）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单车道频闪灯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光源类型：原装进口大功率LED，白光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LED灯珠数量：16颗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发光角度：40°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最佳补光距离：16米-25米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触发方式：电平量触发(可选配开关量触发)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响应时间：小于20us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日夜功能：支持环境亮度监测,低照度下自动开启(可选配)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触发信号电平：4V-6V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防护等级：IP66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外形尺寸：128mm(W)×216mm(H)×159mm(D)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整体重量：2.72Kg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功率：最大功率36W(实际功率与控制方式有关)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色温：5000K-7000K（以公安部检验报告为准）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★在补光灯20米处，亮度等级设置为20时光斑照度不得超过40lx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单车道气体爆闪灯，白光，单次闪光能量≥200J，白天可看清前排司乘人员面部特征；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回电时间＜67ms，支持5V电平量触发(可选开关量)；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有效补光距离16m～25m；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工作环境-25～+70℃(-40℃内均可安全使用/有衰减)；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具有脉冲保护功能，屏蔽≥3Hz持续性的脉冲信号(闪15次后进入1次/S的微闪光提示状态，复原时间为10S)；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闪光次数≥2000万次；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自带光栅，可有效减少周边光污染。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★1路RS485接口、1路爆闪输入接口、1个照度传感器（光敏开关）（以公安部检验报告为准）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★补光灯自带光敏控制，可根据环境亮度自动调节闪光强度（以公安部检验报告为准）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终端服务器，内置ARM Cortex A9数字媒体处理器；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内置1块3.5寸4T硬盘；支持12路IPC接入；双网卡，内置8个100M以太网接口及2个1000M网络接口；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支持VGA输出；1个RS485、2个RS232、2个USB、4路报警输入\报警输出、1个eSATA接口；电源:DC12V；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支持对通行车辆的信息（记录和图片）存储；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支持录像存储功能；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可配置多种字符叠加、图片合成模式、防伪码叠加；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支持配置增加网络校时模块；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★2个RS-232接口、1个RS-485接口、1个VGA接口、2个USB接口、4路报警输入接口、4路报警输出接口、1个音频输入接口、1个音频输出接口、1个eSATA接口（以公安部检验报告为准）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杆装黑色抱杆箱；不锈钢；420MM*320MM*150MM；壁厚1.2MM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市电接入电源线RVV3*2.5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超5类网络线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前端设备整体安装调试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网络服务费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中心平台及存储费用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前端设备日常维护费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 违停抓拍系统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红外高清违停球机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红外违章检测一体球机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1920×1080@30fps；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星光级超低照度：0.0005Lux/F1.5(彩色),0.0001Lux/F1.5(黑白)，0 Lux with IR；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200米红外照射距离；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焦距：6-186mm, 31倍光学；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支持雨刷；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支持以太网电口输出；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支持1路音频输入和1路音频输出；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支持7路报警输入和2路报警输出；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支持120dB宽动态、光学透雾、强光抑制、Smart IR 、电子防抖、3D数字降噪；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支持违停、逆行、压线、变道、机占非、掉头取证以及断网续传；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支持交通数据采集（车流量、车道平均速度、车头时距、车头间距、车道时间占有率、车道空间占有率、车辆类型、排队长度、交通状态）；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支持抛洒物、行人、路障、施工、拥堵检测；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水平键控速度最大210°/s，垂直键控速度最大150°/s，垂直范围-20°~90°；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H.265/H.264/MJPEG，H.264编码支持Baseline/Main/High Profile；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内置Micro SD卡插槽，支持Micro SD(即TF卡)/Micro SDHC/Micro SDXC卡（最大支持256G）；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红外距离不小于450米（以公安部检验报告为准）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电源接口:AC24V±25%，DC24V（以公安部检验报告为准）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★★具有三种滤光片，在白天、夜晚及有雾情况下可自动切换不同的滤光片进行成像。滤光片透过率不小于95%（以公安部检验报告为准）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功耗:62W max（其中红外灯15W max，加热5W max）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支持IP67；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工作温度：-40℃-70℃。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★★内置GPU芯片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终端服务器，内置ARM Cortex A9数字媒体处理器；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内置1块3.5寸4T硬盘；支持12路IPC接入；双网卡，内置8个100M以太网接口及2个1000M网络接口；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支持VGA输出；1个RS485、2个RS232、2个USB、4路报警输入\报警输出、1个eSATA接口；电源:DC12V；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支持对通行车辆的信息（记录和图片）存储；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支持录像存储功能；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可配置多种字符叠加、图片合成模式、防伪码叠加；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支持配置增加网络校时模块；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★2个RS-232接口、1个RS-485接口、1个VGA接口、2个USB接口、4路报警输入接口、4路报警输出接口、1个音频输入接口、1个音频输出接口、1个eSATA接口（以公安部检验报告为准）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立杆及配套基础（或钢筋笼），平挑黑色，Q235普通碳素结构钢，主杆为圆柱杆，壁厚6MM,直径180MM；挑杆为圆柱杆，壁厚4MM ，直径90MM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杆装黑色抱杆箱；不锈钢；420MM*320MM*150MM；壁厚1.2MM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市电接入电源线RVV2*1.0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超5类网络线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立杆基础浇筑（6挑4）及安装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立杆基础浇筑（6挑6）及安装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立杆基础浇筑（6挑8）及安装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设备安装及辅材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前端摄像头等设备的安装及硅管、0号手井等费用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行政服务费用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代缴立杆基础开挖行政服务费用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前端监控点电路租赁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中心平台接入及存储费用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 原诸葛原卡口升级改造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包含摄像机、高清镜头、室外防护罩、风扇、内置补光灯、电源适配器、相机内置防雷模块、安装万向节等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像素：900W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分辨率：最大支持4096*2160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帧率：25fps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图像传感器：采用1" 英寸全局曝光CMOS（GMOS）传感器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镜头：16mm镜头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照度：彩色:≤0.0002Lux  黑色:≤0.0001Lux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视频压缩标准：H.265/H.264/MJPEG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图像输出格式：JPEG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输出：电平量信号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通讯接口：2个RJ45 100M/1000M自适应网口，3个RS485接口，1个RS232接口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外部接口：4路外部触发输入，6路(5V TTL电平量)输出，可作为闪光灯同步输出控制，SYNC信号灯电源同步输入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存储支持：最大支持128G TF卡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自动光圈镜头：支持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工作电压：220VAC±20%；频率：50HZ±2%；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功耗：＜20W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支持智能识别功能：内置视频识别功能，支持车牌识别，除支持现行车牌外，还同时支持新能源车牌、电动车牌；支持视频触发、车身颜色识别、车型识别，通行车辆信息捕获和违章检测功能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支持23种车型检测，包括小型客车、中型客车、大型客车、微型轿车、小型轿车、两厢轿车、三厢轿车、轿跑、SUV、MPV、面包车、皮卡车、货车、小货车、二轮车、三轮车、集装箱卡车、微卡/栏板车、渣土车、吊车/工程车、油罐车、混凝土搅拌车、平板拖车，准确率不低于99%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★支持车牌黑名单设置，最大可设置4200条黑名单（以公安部检验报告为准）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测速雷达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窄波测速雷达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单车道测速雷达，频率24G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测速距离：单车道18～38m(可调整)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测速范围：20km/h～400km/h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工作电压：9-12V DC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工作功耗：≤2W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终端服务器，内置ARM Cortex A9数字媒体处理器；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内置1块3.5寸4T硬盘；支持12路IPC接入；双网卡，内置8个100M以太网接口及2个1000M网络接口；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支持VGA输出；1个RS485、2个RS232、2个USB、4路报警输入\报警输出、1个eSATA接口；电源:DC12V；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支持对通行车辆的信息（记录和图片）存储；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支持录像存储功能；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可配置多种字符叠加、图片合成模式、防伪码叠加；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支持配置增加网络校时模块；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★2个RS-232接口、1个RS-485接口、1个VGA接口、2个USB接口、4路报警输入接口、4路报警输出接口、1个音频输入接口、1个音频输出接口、1个eSATA接口（以公安部检验报告为准）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单车道环境补光灯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光源类型：原装进口大功率LED，白光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LED灯珠数量：16颗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发光角度：40°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最佳补光距离：16米-25米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触发方式：电平量触发(可选配开关量触发)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响应时间：小于20us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日夜功能：支持环境亮度监测,低照度下自动开启(可选配)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触发信号电平：4V-6V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防护等级：IP66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外形尺寸：128mm(W)×216mm(H)×159mm(D)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整体重量：2.72Kg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功率：最大功率36W(实际功率与控制方式有关)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色温：5000K-7000K（以公安部检验报告为准）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★在补光灯20米处，亮度等级设置为20时光斑照度不得超过40lx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单车道气体爆闪灯，白光，单次闪光能量≥200J，白天可看清前排司乘人员面部特征；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回电时间＜67ms，支持5V电平量触发(可选开关量)；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有效补光距离16m～25m；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工作环境-25～+70℃(-40℃内均可安全使用/有衰减)；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具有脉冲保护功能，屏蔽≥3Hz持续性的脉冲信号(闪15次后进入1次/S的微闪光提示状态，复原时间为10S)；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闪光次数≥2000万次；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自带光栅，可有效减少周边光污染。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★1路RS485接口、1路爆闪输入接口、1个照度传感器（光敏开关）（以公安部检验报告为准）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★补光灯自带光敏控制，可根据环境亮度自动调节闪光强度（以公安部检验报告为准）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杆装黑色抱杆箱；不锈钢；500MM*400MM*300MM；壁厚1.2MM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前端设备整体安装调试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市电接入电源线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原监控杆油漆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原2根监控杆油漆刷黑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测速设备维保服务费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测速设备五年维保服务费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前端监控点电路租赁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中心平台接入及存储费用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CC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 双牌新卡口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高清抓拍单元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包含摄像机、高清镜头、室外防护罩、风扇、内置补光灯、电源适配器、相机内置防雷模块、安装万向节等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像素：900W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分辨率：最大支持4096*2160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帧率：25fps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图像传感器：采用1" 英寸全局曝光CMOS（GMOS）传感器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镜头：16mm镜头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照度：彩色:≤0.0002Lux  黑色:≤0.0001Lux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视频压缩标准：H.265/H.264/MJPEG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图像输出格式：JPEG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输出：电平量信号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通讯接口：2个RJ45 100M/1000M自适应网口，3个RS485接口，1个RS232接口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外部接口：4路外部触发输入，6路(5V TTL电平量)输出，可作为闪光灯同步输出控制，SYNC信号灯电源同步输入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存储支持：最大支持128G TF卡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自动光圈镜头：支持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工作电压：220VAC±20%；频率：50HZ±2%；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功耗：＜20W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支持智能识别功能：内置视频识别功能，支持车牌识别，除支持现行车牌外，还同时支持新能源车牌、电动车牌；支持视频触发、车身颜色识别、车型识别，通行车辆信息捕获和违章检测功能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★支持23种车型检测，包括小型客车、中型客车、大型客车、微型轿车、小型轿车、两厢轿车、三厢轿车、轿跑、SUV、MPV、面包车、皮卡车、货车、小货车、二轮车、三轮车、集装箱卡车、微卡/栏板车、渣土车、吊车/工程车、油罐车、混凝土搅拌车、平板拖车，准确率不低于99%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★支持车牌黑名单设置，最大可设置4200条黑名单（以公安部检验报告为准）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测速雷达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窄波测速雷达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单车道测速雷达，频率24G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测速距离：单车道18～38m(可调整)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测速范围：20km/h～400km/h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工作电压：9-12V DC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工作功耗：≤2W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单车道环境补光灯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光源类型：原装进口大功率LED，白光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LED灯珠数量：16颗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发光角度：40°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最佳补光距离：16米-25米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触发方式：电平量触发(可选配开关量触发)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响应时间：小于20us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日夜功能：支持环境亮度监测,低照度下自动开启(可选配)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触发信号电平：4V-6V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防护等级：IP66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外形尺寸：128mm(W)×216mm(H)×159mm(D)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整体重量：2.72Kg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功率：最大功率36W(实际功率与控制方式有关)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色温：5000K-7000K（以公安部检验报告为准）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★在补光灯20米处，亮度等级设置为20时光斑照度不得超过40lx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车牌补光灯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单车道气体爆闪灯，白光，单次闪光能量≥200J，白天可看清前排司乘人员面部特征；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回电时间＜67ms，支持5V电平量触发(可选开关量)；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有效补光距离16m～25m；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工作环境-25～+70℃(-40℃内均可安全使用/有衰减)；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具有脉冲保护功能，屏蔽≥3Hz持续性的脉冲信号(闪15次后进入1次/S的微闪光提示状态，复原时间为10S)；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闪光次数≥2000万次；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自带光栅，可有效减少周边光污染。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★1路RS485接口、1路爆闪输入接口、1个照度传感器（光敏开关）（以公安部检验报告为准）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★补光灯自带光敏控制，可根据环境亮度自动调节闪光强度（以公安部检验报告为准）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终端服务器，内置ARM Cortex A9数字媒体处理器；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内置1块3.5寸4T硬盘；支持12路IPC接入；双网卡，内置8个100M以太网接口及2个1000M网络接口；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支持VGA输出；1个RS485、2个RS232、2个USB、4路报警输入\报警输出、1个eSATA接口；电源:DC12V；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支持对通行车辆的信息（记录和图片）存储；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支持录像存储功能；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可配置多种字符叠加、图片合成模式、防伪码叠加；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支持配置增加网络校时模块；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★2个RS-232接口、1个RS-485接口、1个VGA接口、2个USB接口、4路报警输入接口、4路报警输出接口、1个音频输入接口、1个音频输出接口、1个eSATA接口（以公安部检验报告为准）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平挑杆6挑8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立杆及配套基础（或钢筋笼），平挑黑色，Q235普通碳素结构钢，主杆为八角杆，壁厚6MM ，上口对角直径240M，下口对角直径300MM；挑杆为八角杆，壁厚4MM ，顶部对角直径110MM， 底部对角直径240MM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抱杆箱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杆装黑色抱杆箱；不锈钢；500MM*400MM*300MM；壁厚1.2MM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市电接入电源线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网络线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超5类网络线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1光1电，100M速率，10/100Mbps自适应，单纤，短距≤25km，发光波长1310nm，台式,RJ45/DSC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电源网络二合一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立杆基础浇筑（6挑8）及安装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含立杆基础的开挖、做模、浇筑、路面平整、回填、废土清运、立杆安装等工作及材料费用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设备安装及辅材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前端摄像头等设备的安装及硅管、0号手井等费用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行政服务费用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代缴立杆基础开挖行政服务费用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测速设备维保服务费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测速设备五年维保服务费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前端监控点电路租赁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含五年100M物理网电路租费（以LAN接入为主，其他接入方式为辅）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中心平台接入及存储费用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该费用包含5年中心平台存储费用，要求与现有兰溪市公安监控视频网络无缝对接并达到相关要求，录像时间30天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前端设备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日常维护费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该费用含5年编码器、摄像机、存储硬盘等的技术维护费，前端摄像机的清洗费，设备保修和故障件替换服务等费用。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1"/>
          <w:szCs w:val="21"/>
        </w:rPr>
        <w:t xml:space="preserve"> 【*】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、商务要求</w:t>
      </w:r>
    </w:p>
    <w:tbl>
      <w:tblPr>
        <w:tblStyle w:val="3"/>
        <w:tblW w:w="9215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原装说明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所有货物须原包装到位，需要的配件必须是原包装到达采购人，未经采购人允许不得私自预先安装。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质保期及售后服务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1.设备质保期全部为5年，质保期从安装调试完毕，最终验收合格之日开始计算。除非采购人另有要求，质保期内的服务均为免费上门服务。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在保修期内，采购人有质量问题申报，供货方（或原厂商，须在投标文件中注明由谁提供该服务）须在半小时内电话响应并提供解决方案；若不能以电话方式解决故障，须在4小时内赶到现场24小时解决。若不能现场解决，须提供同等货物替换，以确保采购人的正常使用；或与采购人协商解决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3.保修期内，与维修相关的所有费用由供货方负责。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.五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年内免费无条件提供监控位置的迁移工作。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5.设置维保服务网点，配备相应维保人员、工程抢修车辆、备品备件、故障维修响应时间、维护巡检机制。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项目投标报价要求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1.投标报价包括产品购置费、运输费、安装费、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本地光纤接入租用费、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辅料费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招标代理费、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税金等，即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竞标人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所投报的投标报价为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竞标人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所能承受的整个项目的一次性最终最低报价(为本采购项目总价)，如有漏项，视同已包含在其它项目中，合同总价和单价不做调整。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2.按国家规定由中标人缴纳的各种税收已包含在投标总价内，由中标人向税务机关缴纳。</w:t>
            </w:r>
          </w:p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3.设备如有遗漏，由中标方负责补齐，并承担相关费用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交货时间及地点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8月31日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之前完成整体安装调试并交付使用。</w:t>
            </w:r>
          </w:p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地点：由兰溪市诸葛古镇基础设施建设有限公司指定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验收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根据中华人民共和国现行技术标准，按招标文件以及合同规定的验收评定标准等规范，由</w:t>
            </w:r>
            <w:r>
              <w:rPr>
                <w:rFonts w:hint="eastAsia" w:ascii="宋体" w:hAnsi="宋体"/>
                <w:b/>
                <w:color w:val="auto"/>
                <w:sz w:val="21"/>
                <w:szCs w:val="22"/>
                <w:highlight w:val="none"/>
                <w:lang w:eastAsia="zh-CN"/>
              </w:rPr>
              <w:t>兰溪市诸葛古镇基础设施建设有限公司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统一组织验收。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付款条件</w:t>
            </w:r>
          </w:p>
        </w:tc>
        <w:tc>
          <w:tcPr>
            <w:tcW w:w="7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24"/>
                <w:tab w:val="left" w:pos="1075"/>
              </w:tabs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安装调试完毕及验收合格后七个工作日内支付中标合同总价的90%，正常运行满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年后支付中标合同总价的10%（不计息）。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02541F"/>
    <w:multiLevelType w:val="singleLevel"/>
    <w:tmpl w:val="9F0254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5943C11"/>
    <w:multiLevelType w:val="singleLevel"/>
    <w:tmpl w:val="E5943C11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2C86CB78"/>
    <w:multiLevelType w:val="singleLevel"/>
    <w:tmpl w:val="2C86CB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2C16"/>
    <w:rsid w:val="16A448BB"/>
    <w:rsid w:val="67DD02E5"/>
    <w:rsid w:val="738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2019-06-27T08:22:00Z</dcterms:created>
  <dc:creator>Medea</dc:creator>
  <cp:lastModifiedBy>Medea</cp:lastModifiedBy>
  <dcterms:modified xsi:type="dcterms:W3CDTF">2019-07-26T07:43:31Z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