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宋体" w:hAnsi="宋体" w:eastAsia="宋体" w:cs="宋体"/>
          <w:b/>
          <w:color w:val="000000"/>
          <w:kern w:val="0"/>
          <w:sz w:val="44"/>
          <w:szCs w:val="44"/>
        </w:rPr>
      </w:pPr>
      <w:r>
        <w:rPr>
          <w:rFonts w:hint="eastAsia" w:ascii="宋体" w:hAnsi="宋体" w:eastAsia="宋体" w:cs="宋体"/>
          <w:b/>
          <w:color w:val="000000"/>
          <w:kern w:val="0"/>
          <w:sz w:val="52"/>
          <w:szCs w:val="52"/>
          <w:lang w:eastAsia="zh-CN"/>
        </w:rPr>
        <w:t>中国人民解放军某部队犬舍建造工程</w:t>
      </w:r>
    </w:p>
    <w:p>
      <w:pPr>
        <w:pStyle w:val="7"/>
        <w:rPr>
          <w:rFonts w:ascii="宋体" w:hAnsi="宋体" w:cs="宋体"/>
          <w:b/>
          <w:color w:val="000000"/>
          <w:sz w:val="44"/>
          <w:szCs w:val="44"/>
        </w:rPr>
      </w:pPr>
    </w:p>
    <w:p>
      <w:pPr>
        <w:pStyle w:val="7"/>
        <w:rPr>
          <w:rFonts w:ascii="宋体" w:hAnsi="宋体" w:cs="宋体"/>
          <w:b/>
          <w:color w:val="000000"/>
          <w:sz w:val="44"/>
          <w:szCs w:val="44"/>
        </w:rPr>
      </w:pPr>
    </w:p>
    <w:p>
      <w:pPr>
        <w:pStyle w:val="7"/>
        <w:rPr>
          <w:rFonts w:ascii="宋体" w:hAnsi="宋体" w:cs="宋体"/>
          <w:b/>
          <w:color w:val="000000"/>
          <w:sz w:val="44"/>
          <w:szCs w:val="44"/>
        </w:rPr>
      </w:pPr>
    </w:p>
    <w:p>
      <w:pPr>
        <w:pStyle w:val="7"/>
        <w:rPr>
          <w:rFonts w:ascii="宋体" w:hAnsi="宋体" w:cs="宋体"/>
          <w:b/>
          <w:color w:val="000000"/>
          <w:sz w:val="44"/>
          <w:szCs w:val="44"/>
        </w:rPr>
      </w:pPr>
    </w:p>
    <w:p>
      <w:pPr>
        <w:pStyle w:val="7"/>
        <w:rPr>
          <w:rFonts w:ascii="宋体" w:hAnsi="宋体" w:cs="宋体"/>
          <w:b/>
          <w:color w:val="000000"/>
          <w:sz w:val="44"/>
          <w:szCs w:val="44"/>
        </w:rPr>
      </w:pPr>
    </w:p>
    <w:p>
      <w:pPr>
        <w:spacing w:line="360" w:lineRule="auto"/>
        <w:jc w:val="center"/>
        <w:rPr>
          <w:rFonts w:hint="eastAsia" w:ascii="宋体" w:hAnsi="宋体"/>
          <w:b/>
          <w:bCs/>
          <w:sz w:val="84"/>
          <w:szCs w:val="84"/>
        </w:rPr>
      </w:pPr>
      <w:r>
        <w:rPr>
          <w:rFonts w:hint="eastAsia" w:ascii="宋体" w:hAnsi="宋体"/>
          <w:b/>
          <w:bCs/>
          <w:sz w:val="84"/>
          <w:szCs w:val="84"/>
          <w:lang w:eastAsia="zh-CN"/>
        </w:rPr>
        <w:t>施工</w:t>
      </w:r>
      <w:r>
        <w:rPr>
          <w:rFonts w:hint="eastAsia" w:ascii="宋体" w:hAnsi="宋体"/>
          <w:b/>
          <w:bCs/>
          <w:sz w:val="84"/>
          <w:szCs w:val="84"/>
        </w:rPr>
        <w:t>招标文件</w:t>
      </w:r>
    </w:p>
    <w:p>
      <w:pPr>
        <w:pStyle w:val="10"/>
        <w:snapToGrid w:val="0"/>
        <w:spacing w:before="166" w:after="166" w:line="600" w:lineRule="exact"/>
        <w:ind w:firstLine="1928" w:firstLineChars="600"/>
        <w:rPr>
          <w:rFonts w:hint="default" w:hAnsi="宋体" w:eastAsia="宋体"/>
          <w:sz w:val="32"/>
          <w:szCs w:val="32"/>
          <w:lang w:val="en-US" w:eastAsia="zh-CN"/>
        </w:rPr>
      </w:pPr>
      <w:r>
        <w:rPr>
          <w:rFonts w:hint="eastAsia" w:ascii="宋体" w:hAnsi="宋体"/>
          <w:b/>
          <w:bCs/>
          <w:sz w:val="32"/>
        </w:rPr>
        <w:t>招标</w:t>
      </w:r>
      <w:r>
        <w:rPr>
          <w:rFonts w:hint="eastAsia" w:ascii="宋体" w:hAnsi="宋体"/>
          <w:b/>
          <w:bCs/>
          <w:sz w:val="32"/>
          <w:szCs w:val="32"/>
        </w:rPr>
        <w:t>编号：</w:t>
      </w:r>
      <w:r>
        <w:rPr>
          <w:rFonts w:hint="default" w:hAnsi="宋体"/>
          <w:b/>
          <w:bCs/>
          <w:sz w:val="28"/>
          <w:szCs w:val="28"/>
          <w:lang w:val="en-US" w:eastAsia="zh-CN"/>
        </w:rPr>
        <w:t>JCZFCG2021-Q51-A199</w:t>
      </w:r>
    </w:p>
    <w:p>
      <w:pPr>
        <w:spacing w:line="360" w:lineRule="auto"/>
        <w:jc w:val="center"/>
        <w:rPr>
          <w:rFonts w:hint="eastAsia" w:ascii="宋体" w:hAnsi="宋体" w:eastAsia="宋体"/>
          <w:b/>
          <w:bCs/>
          <w:sz w:val="28"/>
          <w:szCs w:val="28"/>
          <w:lang w:eastAsia="zh-CN"/>
        </w:rPr>
      </w:pPr>
    </w:p>
    <w:p>
      <w:pPr>
        <w:pStyle w:val="20"/>
        <w:rPr>
          <w:rFonts w:ascii="黑体" w:hAnsi="宋体" w:eastAsia="黑体" w:cs="黑体"/>
          <w:b/>
          <w:sz w:val="84"/>
          <w:szCs w:val="84"/>
        </w:rPr>
      </w:pPr>
    </w:p>
    <w:p>
      <w:pPr>
        <w:pStyle w:val="7"/>
        <w:rPr>
          <w:rFonts w:ascii="黑体" w:hAnsi="宋体" w:eastAsia="黑体" w:cs="黑体"/>
          <w:b/>
          <w:sz w:val="84"/>
          <w:szCs w:val="84"/>
        </w:rPr>
      </w:pPr>
    </w:p>
    <w:p>
      <w:pPr>
        <w:pStyle w:val="7"/>
        <w:rPr>
          <w:rFonts w:ascii="黑体" w:hAnsi="宋体" w:eastAsia="黑体" w:cs="黑体"/>
          <w:b/>
          <w:sz w:val="84"/>
          <w:szCs w:val="84"/>
        </w:rPr>
      </w:pPr>
    </w:p>
    <w:p>
      <w:pPr>
        <w:pStyle w:val="7"/>
        <w:rPr>
          <w:rFonts w:ascii="黑体" w:hAnsi="宋体" w:eastAsia="黑体" w:cs="黑体"/>
          <w:b/>
          <w:sz w:val="84"/>
          <w:szCs w:val="84"/>
        </w:rPr>
      </w:pPr>
    </w:p>
    <w:p>
      <w:pPr>
        <w:pStyle w:val="7"/>
        <w:rPr>
          <w:rFonts w:ascii="黑体" w:hAnsi="宋体" w:eastAsia="黑体" w:cs="黑体"/>
          <w:b/>
          <w:sz w:val="84"/>
          <w:szCs w:val="84"/>
        </w:rPr>
      </w:pPr>
    </w:p>
    <w:p>
      <w:pPr>
        <w:widowControl/>
        <w:ind w:firstLine="311" w:firstLineChars="100"/>
        <w:rPr>
          <w:rFonts w:hint="eastAsia" w:eastAsia="宋体"/>
          <w:lang w:eastAsia="zh-CN"/>
        </w:rPr>
      </w:pPr>
      <w:r>
        <w:rPr>
          <w:rFonts w:hint="eastAsia" w:ascii="宋体" w:hAnsi="宋体" w:eastAsia="宋体" w:cs="宋体"/>
          <w:b/>
          <w:color w:val="000000"/>
          <w:kern w:val="0"/>
          <w:sz w:val="31"/>
          <w:szCs w:val="31"/>
        </w:rPr>
        <w:t>招标单位：</w:t>
      </w:r>
      <w:r>
        <w:rPr>
          <w:rFonts w:hint="eastAsia" w:ascii="宋体" w:hAnsi="宋体" w:eastAsia="宋体" w:cs="宋体"/>
          <w:b/>
          <w:color w:val="000000"/>
          <w:kern w:val="0"/>
          <w:sz w:val="31"/>
          <w:szCs w:val="31"/>
          <w:lang w:eastAsia="zh-CN"/>
        </w:rPr>
        <w:t>中国人民解放军某部队</w:t>
      </w:r>
      <w:r>
        <w:rPr>
          <w:rFonts w:hint="eastAsia" w:ascii="宋体" w:hAnsi="宋体"/>
          <w:b/>
          <w:sz w:val="28"/>
          <w:szCs w:val="28"/>
        </w:rPr>
        <w:t>（盖单位公章）</w:t>
      </w:r>
    </w:p>
    <w:p>
      <w:pPr>
        <w:widowControl/>
        <w:ind w:firstLine="311" w:firstLineChars="100"/>
        <w:rPr>
          <w:rFonts w:ascii="宋体" w:hAnsi="宋体" w:eastAsia="宋体" w:cs="宋体"/>
          <w:b/>
          <w:color w:val="000000"/>
          <w:kern w:val="0"/>
          <w:sz w:val="31"/>
          <w:szCs w:val="31"/>
        </w:rPr>
      </w:pPr>
      <w:r>
        <w:rPr>
          <w:rFonts w:hint="eastAsia" w:ascii="宋体" w:hAnsi="宋体" w:eastAsia="宋体" w:cs="宋体"/>
          <w:b/>
          <w:color w:val="000000"/>
          <w:kern w:val="0"/>
          <w:sz w:val="31"/>
          <w:szCs w:val="31"/>
        </w:rPr>
        <w:t>代理单位：</w:t>
      </w:r>
      <w:r>
        <w:rPr>
          <w:rFonts w:hint="eastAsia" w:ascii="宋体" w:hAnsi="宋体" w:eastAsia="宋体" w:cs="宋体"/>
          <w:b/>
          <w:color w:val="000000"/>
          <w:kern w:val="0"/>
          <w:sz w:val="31"/>
          <w:szCs w:val="31"/>
          <w:lang w:eastAsia="zh-CN"/>
        </w:rPr>
        <w:t>金华市金诚招投标代理有限公司</w:t>
      </w:r>
      <w:r>
        <w:rPr>
          <w:rFonts w:hint="eastAsia" w:ascii="宋体" w:hAnsi="宋体"/>
          <w:b/>
          <w:sz w:val="28"/>
          <w:szCs w:val="28"/>
        </w:rPr>
        <w:t>（盖单位公章）</w:t>
      </w:r>
    </w:p>
    <w:p>
      <w:pPr>
        <w:widowControl/>
        <w:jc w:val="left"/>
        <w:rPr>
          <w:rFonts w:hint="eastAsia" w:ascii="宋体" w:hAnsi="宋体" w:eastAsia="宋体" w:cs="宋体"/>
          <w:b/>
          <w:color w:val="000000"/>
          <w:kern w:val="0"/>
          <w:sz w:val="31"/>
          <w:szCs w:val="31"/>
          <w:lang w:eastAsia="zh-CN"/>
        </w:rPr>
      </w:pPr>
      <w:r>
        <w:rPr>
          <w:rFonts w:hint="eastAsia" w:ascii="宋体" w:hAnsi="宋体" w:eastAsia="宋体" w:cs="宋体"/>
          <w:b/>
          <w:sz w:val="32"/>
          <w:szCs w:val="32"/>
          <w:lang w:val="en-US" w:eastAsia="zh-CN"/>
        </w:rPr>
        <w:t xml:space="preserve"> </w:t>
      </w:r>
    </w:p>
    <w:p>
      <w:pPr>
        <w:widowControl/>
        <w:jc w:val="center"/>
      </w:pPr>
      <w:r>
        <w:rPr>
          <w:rFonts w:hint="eastAsia" w:ascii="宋体" w:hAnsi="宋体" w:eastAsia="宋体" w:cs="宋体"/>
          <w:b/>
          <w:color w:val="000000"/>
          <w:kern w:val="0"/>
          <w:sz w:val="31"/>
          <w:szCs w:val="31"/>
        </w:rPr>
        <w:t>日 期：二</w:t>
      </w:r>
      <w:r>
        <w:rPr>
          <w:rFonts w:hint="eastAsia" w:ascii="宋体" w:hAnsi="宋体" w:eastAsia="宋体" w:cs="宋体"/>
          <w:b/>
          <w:color w:val="000000"/>
          <w:kern w:val="0"/>
          <w:sz w:val="31"/>
          <w:szCs w:val="31"/>
          <w:lang w:eastAsia="zh-CN"/>
        </w:rPr>
        <w:t>〇</w:t>
      </w:r>
      <w:r>
        <w:rPr>
          <w:rFonts w:hint="eastAsia" w:ascii="宋体" w:hAnsi="宋体" w:eastAsia="宋体" w:cs="宋体"/>
          <w:b/>
          <w:color w:val="000000"/>
          <w:kern w:val="0"/>
          <w:sz w:val="31"/>
          <w:szCs w:val="31"/>
        </w:rPr>
        <w:t>二</w:t>
      </w:r>
      <w:r>
        <w:rPr>
          <w:rFonts w:hint="eastAsia" w:ascii="宋体" w:hAnsi="宋体" w:eastAsia="宋体" w:cs="宋体"/>
          <w:b/>
          <w:color w:val="000000"/>
          <w:kern w:val="0"/>
          <w:sz w:val="31"/>
          <w:szCs w:val="31"/>
          <w:lang w:eastAsia="zh-CN"/>
        </w:rPr>
        <w:t>一</w:t>
      </w:r>
      <w:r>
        <w:rPr>
          <w:rFonts w:hint="eastAsia" w:ascii="宋体" w:hAnsi="宋体" w:eastAsia="宋体" w:cs="宋体"/>
          <w:b/>
          <w:color w:val="000000"/>
          <w:kern w:val="0"/>
          <w:sz w:val="31"/>
          <w:szCs w:val="31"/>
        </w:rPr>
        <w:t>年</w:t>
      </w:r>
      <w:r>
        <w:rPr>
          <w:rFonts w:hint="eastAsia" w:ascii="宋体" w:hAnsi="宋体" w:eastAsia="宋体" w:cs="宋体"/>
          <w:b/>
          <w:color w:val="000000"/>
          <w:kern w:val="0"/>
          <w:sz w:val="31"/>
          <w:szCs w:val="31"/>
          <w:lang w:eastAsia="zh-CN"/>
        </w:rPr>
        <w:t>八</w:t>
      </w:r>
      <w:r>
        <w:rPr>
          <w:rFonts w:hint="eastAsia" w:ascii="宋体" w:hAnsi="宋体" w:eastAsia="宋体" w:cs="宋体"/>
          <w:b/>
          <w:color w:val="000000"/>
          <w:kern w:val="0"/>
          <w:sz w:val="31"/>
          <w:szCs w:val="31"/>
        </w:rPr>
        <w:t>月</w:t>
      </w:r>
    </w:p>
    <w:p>
      <w:pPr>
        <w:spacing w:line="360" w:lineRule="auto"/>
        <w:jc w:val="center"/>
        <w:rPr>
          <w:rFonts w:ascii="宋体" w:hAnsi="宋体" w:cs="宋体"/>
          <w:b/>
          <w:sz w:val="28"/>
          <w:szCs w:val="28"/>
        </w:rPr>
        <w:sectPr>
          <w:footerReference r:id="rId3" w:type="first"/>
          <w:pgSz w:w="11906" w:h="16838"/>
          <w:pgMar w:top="1440" w:right="1746" w:bottom="1440" w:left="1746" w:header="851" w:footer="992" w:gutter="0"/>
          <w:pgNumType w:start="1"/>
          <w:cols w:space="720" w:num="1"/>
          <w:docGrid w:type="lines" w:linePitch="312" w:charSpace="0"/>
        </w:sectPr>
      </w:pPr>
    </w:p>
    <w:p>
      <w:pPr>
        <w:spacing w:line="360" w:lineRule="auto"/>
        <w:jc w:val="center"/>
        <w:rPr>
          <w:rFonts w:ascii="宋体" w:hAnsi="宋体" w:cs="宋体"/>
          <w:b/>
          <w:sz w:val="28"/>
          <w:szCs w:val="28"/>
        </w:rPr>
      </w:pPr>
      <w:r>
        <w:rPr>
          <w:rFonts w:hint="eastAsia" w:ascii="宋体" w:hAnsi="宋体" w:cs="宋体"/>
          <w:b/>
          <w:sz w:val="28"/>
          <w:szCs w:val="28"/>
        </w:rPr>
        <w:t>目    录</w:t>
      </w:r>
    </w:p>
    <w:p>
      <w:pPr>
        <w:spacing w:line="440" w:lineRule="exact"/>
        <w:jc w:val="left"/>
        <w:rPr>
          <w:rFonts w:hint="default" w:eastAsiaTheme="minorEastAsia"/>
          <w:b/>
          <w:lang w:val="en-US" w:eastAsia="zh-CN"/>
        </w:rPr>
      </w:pPr>
      <w:r>
        <w:rPr>
          <w:rFonts w:hint="eastAsia"/>
          <w:b/>
        </w:rPr>
        <w:t>第一章</w:t>
      </w:r>
      <w:r>
        <w:rPr>
          <w:rFonts w:hint="eastAsia"/>
          <w:b/>
          <w:lang w:val="en-US" w:eastAsia="zh-CN"/>
        </w:rPr>
        <w:t xml:space="preserve"> </w:t>
      </w:r>
      <w:r>
        <w:rPr>
          <w:rFonts w:hint="eastAsia"/>
          <w:b/>
        </w:rPr>
        <w:t>招标公告</w:t>
      </w:r>
      <w:r>
        <w:rPr>
          <w:rFonts w:ascii="宋体" w:hAnsi="宋体"/>
          <w:b/>
        </w:rPr>
        <w:t>………………………………………………………………………………………</w:t>
      </w:r>
      <w:r>
        <w:rPr>
          <w:rFonts w:hint="eastAsia"/>
          <w:b/>
          <w:lang w:val="en-US" w:eastAsia="zh-CN"/>
        </w:rPr>
        <w:t>01</w:t>
      </w:r>
    </w:p>
    <w:p>
      <w:pPr>
        <w:spacing w:line="440" w:lineRule="exact"/>
        <w:jc w:val="left"/>
        <w:rPr>
          <w:rFonts w:hint="default" w:eastAsiaTheme="minorEastAsia"/>
          <w:b/>
          <w:lang w:val="en-US" w:eastAsia="zh-CN"/>
        </w:rPr>
      </w:pPr>
      <w:r>
        <w:rPr>
          <w:rFonts w:hint="eastAsia"/>
          <w:b/>
        </w:rPr>
        <w:t>第二章 投标人须知</w:t>
      </w:r>
      <w:r>
        <w:rPr>
          <w:rFonts w:ascii="宋体" w:hAnsi="宋体"/>
          <w:b/>
        </w:rPr>
        <w:t>……………………………………………………………………………………</w:t>
      </w:r>
      <w:r>
        <w:rPr>
          <w:rFonts w:hint="eastAsia"/>
          <w:b/>
          <w:lang w:val="en-US" w:eastAsia="zh-CN"/>
        </w:rPr>
        <w:t>04</w:t>
      </w:r>
    </w:p>
    <w:p>
      <w:pPr>
        <w:spacing w:line="440" w:lineRule="exact"/>
        <w:jc w:val="left"/>
        <w:rPr>
          <w:rFonts w:hint="default" w:eastAsiaTheme="minorEastAsia"/>
          <w:b/>
          <w:lang w:val="en-US" w:eastAsia="zh-CN"/>
        </w:rPr>
      </w:pPr>
      <w:r>
        <w:rPr>
          <w:rFonts w:hint="eastAsia"/>
          <w:b/>
        </w:rPr>
        <w:t>第三章</w:t>
      </w:r>
      <w:r>
        <w:rPr>
          <w:b/>
        </w:rPr>
        <w:t xml:space="preserve"> </w:t>
      </w:r>
      <w:r>
        <w:rPr>
          <w:rFonts w:hint="eastAsia"/>
          <w:b/>
        </w:rPr>
        <w:t>评标</w:t>
      </w:r>
      <w:r>
        <w:rPr>
          <w:rFonts w:hint="eastAsia"/>
          <w:b/>
          <w:lang w:eastAsia="zh-CN"/>
        </w:rPr>
        <w:t>方法、标准、程序</w:t>
      </w:r>
      <w:r>
        <w:rPr>
          <w:rFonts w:ascii="宋体" w:hAnsi="宋体"/>
          <w:b/>
        </w:rPr>
        <w:t>………………………………………………………………………</w:t>
      </w:r>
      <w:r>
        <w:rPr>
          <w:rFonts w:hint="eastAsia"/>
          <w:b/>
          <w:lang w:val="en-US" w:eastAsia="zh-CN"/>
        </w:rPr>
        <w:t>24</w:t>
      </w:r>
    </w:p>
    <w:p>
      <w:pPr>
        <w:spacing w:line="440" w:lineRule="exact"/>
        <w:jc w:val="left"/>
        <w:rPr>
          <w:rFonts w:hint="default" w:eastAsiaTheme="minorEastAsia"/>
          <w:b/>
          <w:lang w:val="en-US" w:eastAsia="zh-CN"/>
        </w:rPr>
      </w:pPr>
      <w:r>
        <w:rPr>
          <w:rFonts w:hint="eastAsia"/>
          <w:b/>
        </w:rPr>
        <w:t>第四章 合同条款及格式</w:t>
      </w:r>
      <w:r>
        <w:rPr>
          <w:rFonts w:ascii="宋体" w:hAnsi="宋体"/>
          <w:b/>
        </w:rPr>
        <w:t>………………………………………………………………………………</w:t>
      </w:r>
      <w:r>
        <w:rPr>
          <w:rFonts w:hint="eastAsia"/>
          <w:b/>
          <w:lang w:val="en-US" w:eastAsia="zh-CN"/>
        </w:rPr>
        <w:t>28</w:t>
      </w:r>
    </w:p>
    <w:p>
      <w:pPr>
        <w:spacing w:line="440" w:lineRule="exact"/>
        <w:jc w:val="left"/>
        <w:rPr>
          <w:rFonts w:hint="default" w:eastAsiaTheme="minorEastAsia"/>
          <w:b/>
          <w:lang w:val="en-US" w:eastAsia="zh-CN"/>
        </w:rPr>
      </w:pPr>
      <w:r>
        <w:rPr>
          <w:rFonts w:hint="eastAsia"/>
          <w:b/>
        </w:rPr>
        <w:t>第五章 工程量清单</w:t>
      </w:r>
      <w:r>
        <w:rPr>
          <w:rFonts w:ascii="宋体" w:hAnsi="宋体"/>
          <w:b/>
        </w:rPr>
        <w:t>……………………………………………………………………………………</w:t>
      </w:r>
      <w:r>
        <w:rPr>
          <w:rFonts w:hint="eastAsia"/>
          <w:b/>
          <w:lang w:val="en-US" w:eastAsia="zh-CN"/>
        </w:rPr>
        <w:t>48</w:t>
      </w:r>
    </w:p>
    <w:p>
      <w:pPr>
        <w:spacing w:line="440" w:lineRule="exact"/>
        <w:jc w:val="left"/>
        <w:rPr>
          <w:rFonts w:hint="default" w:eastAsiaTheme="minorEastAsia"/>
          <w:b/>
          <w:lang w:val="en-US" w:eastAsia="zh-CN"/>
        </w:rPr>
      </w:pPr>
      <w:r>
        <w:rPr>
          <w:rFonts w:hint="eastAsia"/>
          <w:b/>
        </w:rPr>
        <w:t>第六章 图纸</w:t>
      </w:r>
      <w:r>
        <w:rPr>
          <w:rFonts w:ascii="宋体" w:hAnsi="宋体"/>
          <w:b/>
        </w:rPr>
        <w:t>……………………………………………………………………………………………</w:t>
      </w:r>
      <w:r>
        <w:rPr>
          <w:rFonts w:hint="eastAsia"/>
          <w:b/>
          <w:lang w:val="en-US" w:eastAsia="zh-CN"/>
        </w:rPr>
        <w:t>87</w:t>
      </w:r>
    </w:p>
    <w:p>
      <w:pPr>
        <w:spacing w:line="440" w:lineRule="exact"/>
        <w:jc w:val="left"/>
        <w:rPr>
          <w:rFonts w:hint="default" w:eastAsiaTheme="minorEastAsia"/>
          <w:b/>
          <w:lang w:val="en-US" w:eastAsia="zh-CN"/>
        </w:rPr>
      </w:pPr>
      <w:r>
        <w:rPr>
          <w:rFonts w:hint="eastAsia"/>
          <w:b/>
        </w:rPr>
        <w:t>第七章 技术标准和要求</w:t>
      </w:r>
      <w:r>
        <w:rPr>
          <w:rFonts w:ascii="宋体" w:hAnsi="宋体"/>
          <w:b/>
        </w:rPr>
        <w:t>………………………………………………………………………………</w:t>
      </w:r>
      <w:r>
        <w:rPr>
          <w:rFonts w:hint="eastAsia"/>
          <w:b/>
          <w:lang w:val="en-US" w:eastAsia="zh-CN"/>
        </w:rPr>
        <w:t>88</w:t>
      </w:r>
    </w:p>
    <w:p>
      <w:pPr>
        <w:spacing w:line="440" w:lineRule="exact"/>
        <w:jc w:val="left"/>
        <w:rPr>
          <w:rFonts w:hint="default" w:eastAsiaTheme="minorEastAsia"/>
          <w:b/>
          <w:lang w:val="en-US" w:eastAsia="zh-CN"/>
        </w:rPr>
      </w:pPr>
      <w:r>
        <w:rPr>
          <w:rFonts w:hint="eastAsia"/>
          <w:b/>
        </w:rPr>
        <w:t>第八章 投标文件</w:t>
      </w:r>
      <w:r>
        <w:rPr>
          <w:rFonts w:hint="eastAsia"/>
          <w:b/>
          <w:lang w:eastAsia="zh-CN"/>
        </w:rPr>
        <w:t>内容及</w:t>
      </w:r>
      <w:r>
        <w:rPr>
          <w:rFonts w:hint="eastAsia"/>
          <w:b/>
        </w:rPr>
        <w:t>格式</w:t>
      </w:r>
      <w:r>
        <w:rPr>
          <w:rFonts w:ascii="宋体" w:hAnsi="宋体"/>
          <w:b/>
        </w:rPr>
        <w:t>…………………………………………………………………………</w:t>
      </w:r>
      <w:r>
        <w:rPr>
          <w:rFonts w:hint="eastAsia" w:ascii="宋体" w:hAnsi="宋体"/>
          <w:b/>
          <w:lang w:val="en-US" w:eastAsia="zh-CN"/>
        </w:rPr>
        <w:t>89</w:t>
      </w: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left"/>
        <w:rPr>
          <w:rFonts w:ascii="宋体" w:hAnsi="宋体" w:eastAsia="宋体" w:cs="宋体"/>
          <w:b/>
          <w:color w:val="000000"/>
          <w:kern w:val="0"/>
          <w:sz w:val="31"/>
          <w:szCs w:val="31"/>
        </w:rPr>
      </w:pPr>
    </w:p>
    <w:p>
      <w:pPr>
        <w:widowControl/>
        <w:jc w:val="both"/>
        <w:rPr>
          <w:rFonts w:ascii="宋体" w:hAnsi="宋体" w:eastAsia="宋体" w:cs="宋体"/>
          <w:b/>
          <w:color w:val="000000"/>
          <w:kern w:val="0"/>
          <w:sz w:val="31"/>
          <w:szCs w:val="31"/>
        </w:rPr>
      </w:pPr>
    </w:p>
    <w:p>
      <w:pPr>
        <w:widowControl/>
        <w:jc w:val="center"/>
        <w:rPr>
          <w:rFonts w:hint="eastAsia" w:ascii="宋体" w:hAnsi="宋体" w:eastAsia="宋体" w:cs="宋体"/>
          <w:b/>
          <w:color w:val="000000"/>
          <w:kern w:val="0"/>
          <w:sz w:val="31"/>
          <w:szCs w:val="31"/>
        </w:rPr>
        <w:sectPr>
          <w:footerReference r:id="rId4" w:type="default"/>
          <w:pgSz w:w="11906" w:h="16838"/>
          <w:pgMar w:top="1304" w:right="1474" w:bottom="1304" w:left="1474" w:header="851" w:footer="992" w:gutter="0"/>
          <w:cols w:space="720" w:num="1"/>
          <w:docGrid w:type="lines" w:linePitch="312" w:charSpace="0"/>
        </w:sectPr>
      </w:pPr>
    </w:p>
    <w:p>
      <w:pPr>
        <w:widowControl/>
        <w:jc w:val="center"/>
      </w:pPr>
      <w:r>
        <w:rPr>
          <w:rFonts w:hint="eastAsia" w:ascii="宋体" w:hAnsi="宋体" w:eastAsia="宋体" w:cs="宋体"/>
          <w:b/>
          <w:color w:val="000000"/>
          <w:kern w:val="0"/>
          <w:sz w:val="31"/>
          <w:szCs w:val="31"/>
        </w:rPr>
        <w:t>第一章</w:t>
      </w:r>
      <w:r>
        <w:rPr>
          <w:rFonts w:ascii="Times New Roman" w:hAnsi="Times New Roman" w:eastAsia="宋体" w:cs="Times New Roman"/>
          <w:b/>
          <w:color w:val="000000"/>
          <w:kern w:val="0"/>
          <w:sz w:val="31"/>
          <w:szCs w:val="31"/>
        </w:rPr>
        <w:t xml:space="preserve"> </w:t>
      </w:r>
      <w:r>
        <w:rPr>
          <w:rFonts w:hint="eastAsia" w:ascii="宋体" w:hAnsi="宋体" w:eastAsia="宋体" w:cs="宋体"/>
          <w:b/>
          <w:color w:val="000000"/>
          <w:kern w:val="0"/>
          <w:sz w:val="31"/>
          <w:szCs w:val="31"/>
        </w:rPr>
        <w:t>招标公告</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1．招标条件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本项目</w:t>
      </w:r>
      <w:r>
        <w:rPr>
          <w:rFonts w:hint="eastAsia" w:ascii="宋体" w:hAnsi="宋体" w:eastAsia="宋体" w:cs="宋体"/>
          <w:color w:val="000000"/>
          <w:kern w:val="0"/>
          <w:sz w:val="24"/>
          <w:szCs w:val="24"/>
          <w:lang w:eastAsia="zh-CN"/>
        </w:rPr>
        <w:t>为</w:t>
      </w:r>
      <w:r>
        <w:rPr>
          <w:rFonts w:hint="eastAsia" w:ascii="宋体" w:hAnsi="宋体" w:eastAsia="宋体" w:cs="宋体"/>
          <w:color w:val="000000"/>
          <w:kern w:val="0"/>
          <w:sz w:val="24"/>
          <w:szCs w:val="24"/>
          <w:u w:val="single"/>
          <w:lang w:eastAsia="zh-CN"/>
        </w:rPr>
        <w:t>中国人民解放军某部队犬舍建造工程，</w:t>
      </w:r>
      <w:r>
        <w:rPr>
          <w:rFonts w:hint="eastAsia" w:ascii="宋体" w:hAnsi="宋体" w:eastAsia="宋体" w:cs="宋体"/>
          <w:i w:val="0"/>
          <w:iCs/>
          <w:kern w:val="0"/>
          <w:sz w:val="24"/>
          <w:szCs w:val="24"/>
        </w:rPr>
        <w:t>项目业主为</w:t>
      </w:r>
      <w:r>
        <w:rPr>
          <w:rFonts w:hint="eastAsia" w:ascii="宋体" w:hAnsi="宋体" w:eastAsia="宋体" w:cs="宋体"/>
          <w:i w:val="0"/>
          <w:iCs/>
          <w:kern w:val="0"/>
          <w:sz w:val="24"/>
          <w:szCs w:val="24"/>
          <w:u w:val="single"/>
          <w:lang w:eastAsia="zh-CN"/>
        </w:rPr>
        <w:t>中国人民解放军某部队</w:t>
      </w:r>
      <w:r>
        <w:rPr>
          <w:rFonts w:hint="eastAsia" w:ascii="宋体" w:hAnsi="宋体" w:eastAsia="宋体" w:cs="宋体"/>
          <w:i w:val="0"/>
          <w:iCs/>
          <w:kern w:val="0"/>
          <w:sz w:val="24"/>
          <w:szCs w:val="24"/>
        </w:rPr>
        <w:t>，建设资金来自</w:t>
      </w:r>
      <w:r>
        <w:rPr>
          <w:rFonts w:hint="eastAsia" w:ascii="宋体" w:hAnsi="宋体" w:eastAsia="宋体" w:cs="宋体"/>
          <w:i w:val="0"/>
          <w:iCs/>
          <w:kern w:val="0"/>
          <w:sz w:val="24"/>
          <w:szCs w:val="24"/>
          <w:u w:val="single"/>
          <w:lang w:val="en-US" w:eastAsia="zh-CN"/>
        </w:rPr>
        <w:t xml:space="preserve"> 上级拨款 </w:t>
      </w:r>
      <w:r>
        <w:rPr>
          <w:rFonts w:hint="eastAsia" w:ascii="宋体" w:hAnsi="宋体" w:eastAsia="宋体" w:cs="宋体"/>
          <w:i w:val="0"/>
          <w:iCs/>
          <w:kern w:val="0"/>
          <w:sz w:val="24"/>
          <w:szCs w:val="24"/>
        </w:rPr>
        <w:t>，项目出资比例为</w:t>
      </w:r>
      <w:r>
        <w:rPr>
          <w:rFonts w:hint="eastAsia" w:ascii="宋体" w:hAnsi="宋体" w:eastAsia="宋体" w:cs="宋体"/>
          <w:i w:val="0"/>
          <w:iCs/>
          <w:kern w:val="0"/>
          <w:sz w:val="24"/>
          <w:szCs w:val="24"/>
          <w:u w:val="single"/>
        </w:rPr>
        <w:t>100%</w:t>
      </w:r>
      <w:r>
        <w:rPr>
          <w:rFonts w:hint="eastAsia" w:ascii="宋体" w:hAnsi="宋体" w:eastAsia="宋体" w:cs="宋体"/>
          <w:i w:val="0"/>
          <w:iCs/>
          <w:kern w:val="0"/>
          <w:sz w:val="24"/>
          <w:szCs w:val="24"/>
        </w:rPr>
        <w:t>，招标人为</w:t>
      </w:r>
      <w:r>
        <w:rPr>
          <w:rFonts w:hint="eastAsia" w:ascii="宋体" w:hAnsi="宋体" w:eastAsia="宋体" w:cs="宋体"/>
          <w:i w:val="0"/>
          <w:iCs/>
          <w:kern w:val="0"/>
          <w:sz w:val="24"/>
          <w:szCs w:val="24"/>
          <w:u w:val="single"/>
          <w:lang w:eastAsia="zh-CN"/>
        </w:rPr>
        <w:t>中国人民解放军某部队</w:t>
      </w:r>
      <w:r>
        <w:rPr>
          <w:rFonts w:hint="eastAsia" w:ascii="宋体" w:hAnsi="宋体" w:eastAsia="宋体" w:cs="宋体"/>
          <w:i w:val="0"/>
          <w:iCs/>
          <w:kern w:val="0"/>
          <w:sz w:val="24"/>
          <w:szCs w:val="24"/>
        </w:rPr>
        <w:t>。项目己具备招标条件，现对该项目的</w:t>
      </w:r>
      <w:r>
        <w:rPr>
          <w:rFonts w:hint="eastAsia" w:ascii="宋体" w:hAnsi="宋体" w:eastAsia="宋体" w:cs="宋体"/>
          <w:i w:val="0"/>
          <w:iCs/>
          <w:kern w:val="0"/>
          <w:sz w:val="24"/>
          <w:szCs w:val="24"/>
          <w:u w:val="single"/>
          <w:lang w:val="en-US" w:eastAsia="zh-CN"/>
        </w:rPr>
        <w:t xml:space="preserve"> </w:t>
      </w:r>
      <w:r>
        <w:rPr>
          <w:rFonts w:hint="eastAsia" w:ascii="宋体" w:hAnsi="宋体" w:eastAsia="宋体" w:cs="宋体"/>
          <w:i w:val="0"/>
          <w:iCs/>
          <w:kern w:val="0"/>
          <w:sz w:val="24"/>
          <w:szCs w:val="24"/>
          <w:u w:val="single"/>
        </w:rPr>
        <w:t>施工</w:t>
      </w:r>
      <w:r>
        <w:rPr>
          <w:rFonts w:hint="eastAsia" w:ascii="宋体" w:hAnsi="宋体" w:eastAsia="宋体" w:cs="宋体"/>
          <w:i w:val="0"/>
          <w:iCs/>
          <w:kern w:val="0"/>
          <w:sz w:val="24"/>
          <w:szCs w:val="24"/>
          <w:u w:val="single"/>
          <w:lang w:val="en-US" w:eastAsia="zh-CN"/>
        </w:rPr>
        <w:t xml:space="preserve"> </w:t>
      </w:r>
      <w:r>
        <w:rPr>
          <w:rFonts w:hint="eastAsia" w:ascii="宋体" w:hAnsi="宋体" w:eastAsia="宋体" w:cs="宋体"/>
          <w:i w:val="0"/>
          <w:iCs/>
          <w:kern w:val="0"/>
          <w:sz w:val="24"/>
          <w:szCs w:val="24"/>
        </w:rPr>
        <w:t>进行公开招标</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2．项目概况与招标范围 </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 本项目</w:t>
      </w:r>
      <w:r>
        <w:rPr>
          <w:rFonts w:hint="eastAsia" w:ascii="宋体" w:hAnsi="宋体" w:eastAsia="宋体" w:cs="宋体"/>
          <w:color w:val="000000" w:themeColor="text1"/>
          <w:kern w:val="0"/>
          <w:sz w:val="24"/>
          <w:szCs w:val="24"/>
          <w:lang w:eastAsia="zh-CN"/>
          <w14:textFill>
            <w14:solidFill>
              <w14:schemeClr w14:val="tx1"/>
            </w14:solidFill>
          </w14:textFill>
        </w:rPr>
        <w:t>预算金额</w:t>
      </w:r>
      <w:r>
        <w:rPr>
          <w:rFonts w:hint="eastAsia" w:ascii="宋体" w:hAnsi="宋体" w:eastAsia="宋体" w:cs="宋体"/>
          <w:color w:val="000000" w:themeColor="text1"/>
          <w:kern w:val="0"/>
          <w:sz w:val="24"/>
          <w:szCs w:val="24"/>
          <w14:textFill>
            <w14:solidFill>
              <w14:schemeClr w14:val="tx1"/>
            </w14:solidFill>
          </w14:textFill>
        </w:rPr>
        <w:t>约</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88.3773 </w:t>
      </w:r>
      <w:r>
        <w:rPr>
          <w:rFonts w:hint="eastAsia" w:ascii="宋体" w:hAnsi="宋体" w:eastAsia="宋体" w:cs="宋体"/>
          <w:color w:val="000000" w:themeColor="text1"/>
          <w:kern w:val="0"/>
          <w:sz w:val="24"/>
          <w:szCs w:val="24"/>
          <w14:textFill>
            <w14:solidFill>
              <w14:schemeClr w14:val="tx1"/>
            </w14:solidFill>
          </w14:textFill>
        </w:rPr>
        <w:t>万元，工程内容为</w:t>
      </w:r>
      <w:r>
        <w:rPr>
          <w:rFonts w:hint="eastAsia" w:ascii="宋体" w:hAnsi="宋体" w:eastAsia="宋体" w:cs="宋体"/>
          <w:i w:val="0"/>
          <w:iCs/>
          <w:sz w:val="24"/>
          <w:szCs w:val="24"/>
          <w:u w:val="single"/>
          <w:lang w:eastAsia="zh-CN"/>
        </w:rPr>
        <w:t>中国人民解放军某部队犬舍建造工程</w:t>
      </w:r>
      <w:r>
        <w:rPr>
          <w:rFonts w:hint="default" w:ascii="宋体" w:hAnsi="宋体" w:eastAsia="宋体" w:cs="宋体"/>
          <w:i w:val="0"/>
          <w:iCs/>
          <w:sz w:val="24"/>
          <w:szCs w:val="24"/>
          <w:u w:val="single"/>
          <w:lang w:val="en-US" w:eastAsia="zh-CN"/>
        </w:rPr>
        <w:t>,</w:t>
      </w:r>
      <w:r>
        <w:rPr>
          <w:rFonts w:hint="eastAsia" w:ascii="宋体" w:hAnsi="宋体" w:eastAsia="宋体" w:cs="宋体"/>
          <w:i w:val="0"/>
          <w:iCs/>
          <w:sz w:val="24"/>
          <w:szCs w:val="24"/>
          <w:u w:val="single"/>
          <w:lang w:val="en-US" w:eastAsia="zh-CN"/>
        </w:rPr>
        <w:t>包含：新建犬舍与宿舍楼及室内安装、沙地犬训练场约722m2、草皮训练场约185m2、水泥地面硬化约1174m2、新建铁艺栏杆围墙约171m、新建毛石挡墙约156m、新建排水沟约116m等。</w:t>
      </w:r>
      <w:r>
        <w:rPr>
          <w:rFonts w:hint="eastAsia" w:ascii="宋体" w:hAnsi="宋体" w:eastAsia="宋体" w:cs="宋体"/>
          <w:color w:val="000000" w:themeColor="text1"/>
          <w:kern w:val="0"/>
          <w:sz w:val="24"/>
          <w:szCs w:val="24"/>
          <w:u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 招标范围：</w:t>
      </w:r>
      <w:r>
        <w:rPr>
          <w:rFonts w:hint="eastAsia" w:ascii="宋体" w:hAnsi="宋体" w:eastAsia="宋体" w:cs="宋体"/>
          <w:i w:val="0"/>
          <w:iCs/>
          <w:sz w:val="24"/>
          <w:szCs w:val="24"/>
          <w:u w:val="single"/>
          <w:lang w:eastAsia="zh-CN"/>
        </w:rPr>
        <w:t>施工图纸范围内的所有建造工程（详见施工图及工程量清单），具体以实际现场情况和招标人要求为准</w:t>
      </w:r>
      <w:r>
        <w:rPr>
          <w:rFonts w:hint="eastAsia" w:ascii="宋体" w:hAnsi="宋体" w:eastAsia="宋体" w:cs="宋体"/>
          <w:color w:val="000000" w:themeColor="text1"/>
          <w:kern w:val="0"/>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2.3 工程建设地点：</w:t>
      </w:r>
      <w:r>
        <w:rPr>
          <w:rFonts w:hint="eastAsia" w:ascii="宋体" w:hAnsi="宋体" w:eastAsia="宋体" w:cs="宋体"/>
          <w:sz w:val="24"/>
          <w:szCs w:val="24"/>
          <w:u w:val="single"/>
          <w:lang w:eastAsia="zh-CN"/>
        </w:rPr>
        <w:t>东阳市</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2.4 计划工期：</w:t>
      </w:r>
      <w:r>
        <w:rPr>
          <w:rFonts w:hint="eastAsia" w:ascii="宋体" w:hAnsi="宋体" w:eastAsia="宋体" w:cs="宋体"/>
          <w:sz w:val="24"/>
          <w:szCs w:val="24"/>
          <w:u w:val="single"/>
          <w:lang w:val="en-US" w:eastAsia="zh-CN"/>
        </w:rPr>
        <w:t xml:space="preserve"> 50</w:t>
      </w:r>
      <w:r>
        <w:rPr>
          <w:rFonts w:hint="eastAsia" w:ascii="宋体" w:hAnsi="宋体" w:eastAsia="宋体" w:cs="宋体"/>
          <w:sz w:val="24"/>
          <w:szCs w:val="24"/>
          <w:u w:val="single"/>
          <w:lang w:eastAsia="zh-CN"/>
        </w:rPr>
        <w:t>日历天</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2.5 工程质量要求：</w:t>
      </w:r>
      <w:r>
        <w:rPr>
          <w:rFonts w:hint="eastAsia" w:ascii="宋体" w:hAnsi="宋体" w:eastAsia="宋体" w:cs="宋体"/>
          <w:color w:val="000000"/>
          <w:kern w:val="0"/>
          <w:sz w:val="24"/>
          <w:szCs w:val="24"/>
          <w:u w:val="single"/>
          <w:lang w:eastAsia="zh-CN"/>
        </w:rPr>
        <w:t>不低于国家相关验收的合格标准</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3．投标人资格要求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kern w:val="0"/>
          <w:sz w:val="24"/>
          <w:szCs w:val="24"/>
        </w:rPr>
        <w:t>3.1 本次招标要求投标人须具有</w:t>
      </w:r>
      <w:r>
        <w:rPr>
          <w:rFonts w:hint="eastAsia" w:ascii="宋体" w:hAnsi="宋体" w:eastAsia="宋体" w:cs="宋体"/>
          <w:b/>
          <w:bCs/>
          <w:color w:val="000000"/>
          <w:kern w:val="0"/>
          <w:sz w:val="24"/>
          <w:szCs w:val="24"/>
          <w:u w:val="single"/>
          <w:lang w:eastAsia="zh-CN"/>
        </w:rPr>
        <w:t>建筑工程施工总承包三级及以上</w:t>
      </w:r>
      <w:r>
        <w:rPr>
          <w:rFonts w:hint="eastAsia" w:ascii="宋体" w:hAnsi="宋体" w:eastAsia="宋体" w:cs="宋体"/>
          <w:color w:val="000000"/>
          <w:kern w:val="0"/>
          <w:sz w:val="24"/>
          <w:szCs w:val="24"/>
        </w:rPr>
        <w:t>资质的独立法人，并在人员、设备、资金等方面具有相应的施工能力。本工程不接受联合体</w:t>
      </w:r>
      <w:r>
        <w:rPr>
          <w:rFonts w:hint="eastAsia" w:ascii="宋体" w:hAnsi="宋体" w:eastAsia="宋体" w:cs="宋体"/>
          <w:color w:val="000000"/>
          <w:kern w:val="0"/>
          <w:sz w:val="24"/>
          <w:szCs w:val="24"/>
          <w:lang w:eastAsia="zh-CN"/>
        </w:rPr>
        <w:t>和三资企业</w:t>
      </w:r>
      <w:r>
        <w:rPr>
          <w:rFonts w:hint="eastAsia" w:ascii="宋体" w:hAnsi="宋体" w:eastAsia="宋体" w:cs="宋体"/>
          <w:color w:val="000000"/>
          <w:kern w:val="0"/>
          <w:sz w:val="24"/>
          <w:szCs w:val="24"/>
        </w:rPr>
        <w:t>投标</w:t>
      </w:r>
      <w:r>
        <w:rPr>
          <w:rFonts w:hint="eastAsia" w:ascii="宋体" w:hAnsi="宋体" w:eastAsia="宋体" w:cs="宋体"/>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color w:val="000000"/>
          <w:kern w:val="0"/>
          <w:sz w:val="24"/>
          <w:szCs w:val="24"/>
        </w:rPr>
        <w:t>3.2 本工程拟派的项目负责人须具有</w:t>
      </w:r>
      <w:r>
        <w:rPr>
          <w:rFonts w:hint="eastAsia" w:ascii="宋体" w:hAnsi="宋体" w:eastAsia="宋体" w:cs="宋体"/>
          <w:b/>
          <w:bCs/>
          <w:color w:val="000000"/>
          <w:kern w:val="0"/>
          <w:sz w:val="24"/>
          <w:szCs w:val="24"/>
          <w:u w:val="single"/>
        </w:rPr>
        <w:t>建筑工程专业二级及以上</w:t>
      </w:r>
      <w:r>
        <w:rPr>
          <w:rFonts w:hint="eastAsia" w:ascii="宋体" w:hAnsi="宋体" w:eastAsia="宋体" w:cs="宋体"/>
          <w:color w:val="000000"/>
          <w:kern w:val="0"/>
          <w:sz w:val="24"/>
          <w:szCs w:val="24"/>
        </w:rPr>
        <w:t>资格的注册建造师且为本单位在册人员【需提供社保处出具的开标前近 3 个月（</w:t>
      </w:r>
      <w:r>
        <w:rPr>
          <w:rFonts w:hint="eastAsia" w:ascii="宋体" w:hAnsi="宋体" w:eastAsia="宋体" w:cs="宋体"/>
          <w:color w:val="000000"/>
          <w:kern w:val="0"/>
          <w:sz w:val="24"/>
          <w:szCs w:val="24"/>
          <w:lang w:eastAsia="zh-CN"/>
        </w:rPr>
        <w:t>202</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 xml:space="preserve"> 年 </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eastAsia="zh-CN"/>
        </w:rPr>
        <w:t xml:space="preserve"> 月、</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lang w:eastAsia="zh-CN"/>
        </w:rPr>
        <w:t xml:space="preserve"> 月、</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eastAsia="zh-CN"/>
        </w:rPr>
        <w:t xml:space="preserve"> 月连续 3 个月</w:t>
      </w:r>
      <w:r>
        <w:rPr>
          <w:rFonts w:hint="eastAsia" w:ascii="宋体" w:hAnsi="宋体" w:eastAsia="宋体" w:cs="宋体"/>
          <w:color w:val="000000"/>
          <w:kern w:val="0"/>
          <w:sz w:val="24"/>
          <w:szCs w:val="24"/>
        </w:rPr>
        <w:t>）养老保险缴纳清单或个人缴纳对账单，如项目负责人为退休人员的，退休人员（65 周岁之内）须提供劳动合同和退休证，缴费单位（或代缴单位的委托单位）和投标人名称（或投标人分公司名称）须一致】。</w:t>
      </w:r>
      <w:r>
        <w:rPr>
          <w:rFonts w:hint="eastAsia" w:ascii="宋体" w:hAnsi="宋体" w:eastAsia="宋体" w:cs="宋体"/>
          <w:color w:val="000000" w:themeColor="text1"/>
          <w:kern w:val="0"/>
          <w:sz w:val="24"/>
          <w:szCs w:val="24"/>
          <w14:textFill>
            <w14:solidFill>
              <w14:schemeClr w14:val="tx1"/>
            </w14:solidFill>
          </w14:textFill>
        </w:rPr>
        <w:t>项目负责人须无在建工程且为浙江省建筑市场监督和诚信信息平台入库人员（浙江省建筑市场监督和诚信信息平台中人员证件信息在有效期内）。</w:t>
      </w:r>
      <w:r>
        <w:rPr>
          <w:rFonts w:hint="eastAsia" w:ascii="宋体" w:hAnsi="宋体" w:eastAsia="宋体" w:cs="宋体"/>
          <w:color w:val="FF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3.3 潜在投标人在投标时，企业不在被国家住房和城乡建设部或浙江省住房和城乡建设厅或企业注册所在地的建设行政主管部门或</w:t>
      </w:r>
      <w:r>
        <w:rPr>
          <w:rFonts w:hint="eastAsia" w:ascii="宋体" w:hAnsi="宋体" w:eastAsia="宋体" w:cs="宋体"/>
          <w:color w:val="000000"/>
          <w:kern w:val="0"/>
          <w:sz w:val="24"/>
          <w:szCs w:val="24"/>
          <w:lang w:eastAsia="zh-CN"/>
        </w:rPr>
        <w:t>东阳市</w:t>
      </w:r>
      <w:r>
        <w:rPr>
          <w:rFonts w:hint="eastAsia" w:ascii="宋体" w:hAnsi="宋体" w:eastAsia="宋体" w:cs="宋体"/>
          <w:color w:val="000000"/>
          <w:kern w:val="0"/>
          <w:sz w:val="24"/>
          <w:szCs w:val="24"/>
        </w:rPr>
        <w:t>住房和城乡建设局公示为不能投标的限制期限内</w:t>
      </w:r>
      <w:r>
        <w:rPr>
          <w:rFonts w:hint="eastAsia" w:ascii="宋体" w:hAnsi="宋体" w:eastAsia="宋体" w:cs="宋体"/>
          <w:color w:val="000000" w:themeColor="text1"/>
          <w:kern w:val="0"/>
          <w:sz w:val="24"/>
          <w:szCs w:val="24"/>
          <w14:textFill>
            <w14:solidFill>
              <w14:schemeClr w14:val="tx1"/>
            </w14:solidFill>
          </w14:textFill>
        </w:rPr>
        <w:t>，未被“信用浙江”（ http://credit.zj.gov.cn/）列入失信被执行人；</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3.4 潜在投标人在投标时，项目负责人无因发生犯罪被判刑在执行期内（包括行贿犯罪判刑）；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3.5 潜在投标人在投标时，项目负责人不在被国家住房和城乡建设部或浙江省住房和城乡建设厅或企业注册所在地的建设行政主管部门或</w:t>
      </w:r>
      <w:r>
        <w:rPr>
          <w:rFonts w:hint="eastAsia" w:ascii="宋体" w:hAnsi="宋体" w:eastAsia="宋体" w:cs="宋体"/>
          <w:color w:val="000000"/>
          <w:kern w:val="0"/>
          <w:sz w:val="24"/>
          <w:szCs w:val="24"/>
          <w:lang w:eastAsia="zh-CN"/>
        </w:rPr>
        <w:t>东阳市</w:t>
      </w:r>
      <w:r>
        <w:rPr>
          <w:rFonts w:hint="eastAsia" w:ascii="宋体" w:hAnsi="宋体" w:eastAsia="宋体" w:cs="宋体"/>
          <w:color w:val="000000"/>
          <w:kern w:val="0"/>
          <w:sz w:val="24"/>
          <w:szCs w:val="24"/>
        </w:rPr>
        <w:t>住房和城乡建设局公示为不能投标的限制期限</w:t>
      </w:r>
      <w:r>
        <w:rPr>
          <w:rFonts w:hint="eastAsia" w:ascii="宋体" w:hAnsi="宋体" w:eastAsia="宋体" w:cs="宋体"/>
          <w:color w:val="000000" w:themeColor="text1"/>
          <w:kern w:val="0"/>
          <w:sz w:val="24"/>
          <w:szCs w:val="24"/>
          <w14:textFill>
            <w14:solidFill>
              <w14:schemeClr w14:val="tx1"/>
            </w14:solidFill>
          </w14:textFill>
        </w:rPr>
        <w:t>内，未被“信用浙江”（ http://credit.zj.gov.cn/）列入失信被执行人</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3.6 潜在投标人在投标时，需提供上述 3.3、3.4、3.5 这三条要求的承诺书</w:t>
      </w:r>
      <w:r>
        <w:rPr>
          <w:rFonts w:hint="eastAsia" w:ascii="宋体" w:hAnsi="宋体" w:eastAsia="宋体" w:cs="宋体"/>
          <w:color w:val="000000"/>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bookmarkStart w:id="0" w:name="_Toc258913513"/>
      <w:r>
        <w:rPr>
          <w:rFonts w:hint="eastAsia" w:ascii="宋体" w:hAnsi="宋体" w:eastAsia="宋体" w:cs="宋体"/>
          <w:b/>
          <w:bCs/>
          <w:sz w:val="24"/>
          <w:szCs w:val="24"/>
        </w:rPr>
        <w:t>4、招标文件的获取：</w:t>
      </w:r>
    </w:p>
    <w:bookmarkEnd w:id="0"/>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eastAsia="zh-CN"/>
        </w:rPr>
      </w:pPr>
      <w:r>
        <w:rPr>
          <w:rFonts w:hint="eastAsia" w:ascii="宋体" w:hAnsi="宋体" w:eastAsia="宋体" w:cs="宋体"/>
          <w:color w:val="000000"/>
          <w:kern w:val="0"/>
          <w:sz w:val="24"/>
          <w:szCs w:val="24"/>
          <w:lang w:val="en-US" w:eastAsia="zh-CN"/>
        </w:rPr>
        <w:t>4.1</w:t>
      </w:r>
      <w:r>
        <w:rPr>
          <w:rFonts w:hint="eastAsia" w:ascii="宋体" w:hAnsi="宋体" w:eastAsia="宋体" w:cs="宋体"/>
          <w:color w:val="000000"/>
          <w:kern w:val="0"/>
          <w:sz w:val="24"/>
          <w:szCs w:val="24"/>
        </w:rPr>
        <w:t>发售时间：</w:t>
      </w:r>
      <w:r>
        <w:rPr>
          <w:rFonts w:hint="eastAsia" w:ascii="宋体" w:hAnsi="宋体" w:eastAsia="宋体" w:cs="宋体"/>
          <w:color w:val="000000"/>
          <w:kern w:val="0"/>
          <w:sz w:val="24"/>
          <w:szCs w:val="24"/>
          <w:lang w:val="en-US" w:eastAsia="zh-CN"/>
        </w:rPr>
        <w:t>2021</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lang w:val="en-US" w:eastAsia="zh-CN"/>
        </w:rPr>
        <w:t xml:space="preserve"> 8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lang w:val="en-US" w:eastAsia="zh-CN"/>
        </w:rPr>
        <w:t xml:space="preserve"> 20 </w:t>
      </w:r>
      <w:r>
        <w:rPr>
          <w:rFonts w:hint="eastAsia" w:ascii="宋体" w:hAnsi="宋体" w:eastAsia="宋体" w:cs="宋体"/>
          <w:color w:val="000000"/>
          <w:kern w:val="0"/>
          <w:sz w:val="24"/>
          <w:szCs w:val="24"/>
        </w:rPr>
        <w:t>日至</w:t>
      </w:r>
      <w:r>
        <w:rPr>
          <w:rFonts w:hint="eastAsia" w:ascii="宋体" w:hAnsi="宋体" w:eastAsia="宋体" w:cs="宋体"/>
          <w:color w:val="000000"/>
          <w:kern w:val="0"/>
          <w:sz w:val="24"/>
          <w:szCs w:val="24"/>
          <w:lang w:val="en-US" w:eastAsia="zh-CN"/>
        </w:rPr>
        <w:t>2021</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lang w:val="en-US" w:eastAsia="zh-CN"/>
        </w:rPr>
        <w:t xml:space="preserve"> 9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lang w:val="en-US" w:eastAsia="zh-CN"/>
        </w:rPr>
        <w:t xml:space="preserve"> 7 </w:t>
      </w:r>
      <w:r>
        <w:rPr>
          <w:rFonts w:hint="eastAsia" w:ascii="宋体" w:hAnsi="宋体" w:eastAsia="宋体" w:cs="宋体"/>
          <w:color w:val="000000"/>
          <w:kern w:val="0"/>
          <w:sz w:val="24"/>
          <w:szCs w:val="24"/>
        </w:rPr>
        <w:t>日（双休日及法定节假日除外，上午：9:00-11:30；下午：2:00-5:00)；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4.2</w:t>
      </w:r>
      <w:r>
        <w:rPr>
          <w:rFonts w:hint="eastAsia" w:ascii="宋体" w:hAnsi="宋体" w:eastAsia="宋体" w:cs="宋体"/>
          <w:color w:val="000000"/>
          <w:kern w:val="0"/>
          <w:sz w:val="24"/>
          <w:szCs w:val="24"/>
        </w:rPr>
        <w:t>获取招标文件方式：提供报名资料至</w:t>
      </w:r>
      <w:r>
        <w:rPr>
          <w:rFonts w:hint="eastAsia" w:ascii="宋体" w:hAnsi="宋体" w:eastAsia="宋体" w:cs="宋体"/>
          <w:color w:val="000000"/>
          <w:kern w:val="0"/>
          <w:sz w:val="24"/>
          <w:szCs w:val="24"/>
          <w:lang w:eastAsia="zh-CN"/>
        </w:rPr>
        <w:t>金华市金诚招投标代理有限公司</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东阳市江北街道关山北路20号</w:t>
      </w:r>
      <w:r>
        <w:rPr>
          <w:rFonts w:hint="eastAsia" w:ascii="宋体" w:hAnsi="宋体" w:eastAsia="宋体" w:cs="宋体"/>
          <w:color w:val="000000"/>
          <w:kern w:val="0"/>
          <w:sz w:val="24"/>
          <w:szCs w:val="24"/>
        </w:rPr>
        <w:t>）通过领取、邮寄或电子邮件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284875264@qq.com</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发送方式获取；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4.3</w:t>
      </w:r>
      <w:r>
        <w:rPr>
          <w:rFonts w:hint="eastAsia" w:ascii="宋体" w:hAnsi="宋体" w:eastAsia="宋体" w:cs="宋体"/>
          <w:color w:val="000000"/>
          <w:kern w:val="0"/>
          <w:sz w:val="24"/>
          <w:szCs w:val="24"/>
        </w:rPr>
        <w:t>招标文件售价：</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00元/份</w:t>
      </w:r>
      <w:r>
        <w:rPr>
          <w:rFonts w:hint="eastAsia" w:ascii="宋体" w:hAnsi="宋体" w:eastAsia="宋体" w:cs="宋体"/>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color w:val="000000"/>
          <w:kern w:val="0"/>
          <w:sz w:val="24"/>
          <w:szCs w:val="24"/>
          <w:lang w:val="en-US" w:eastAsia="zh-CN"/>
        </w:rPr>
        <w:t>4.4</w:t>
      </w:r>
      <w:r>
        <w:rPr>
          <w:rFonts w:hint="eastAsia" w:ascii="宋体" w:hAnsi="宋体" w:eastAsia="宋体" w:cs="宋体"/>
          <w:color w:val="000000"/>
          <w:kern w:val="0"/>
          <w:sz w:val="24"/>
          <w:szCs w:val="24"/>
        </w:rPr>
        <w:t>报名时须提交的文件资料:</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法定代表人授权委托书及被授权人身份证复印件；2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企业营业执照和资质证书副本、安全生产许可证复印件；3</w:t>
      </w:r>
      <w:r>
        <w:rPr>
          <w:rFonts w:hint="eastAsia" w:ascii="宋体" w:hAnsi="宋体" w:eastAsia="宋体" w:cs="宋体"/>
          <w:color w:val="000000"/>
          <w:kern w:val="0"/>
          <w:sz w:val="24"/>
          <w:szCs w:val="24"/>
          <w:lang w:eastAsia="zh-CN"/>
        </w:rPr>
        <w:t>）拟任本项目的项目负责人的建造师注册证书、符合招标公告要求的社保缴纳凭证；</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拟派项目负责人及被授权人须为本单位在册人员【以社保处出具的开标前连续3个月（</w:t>
      </w:r>
      <w:r>
        <w:rPr>
          <w:rFonts w:hint="eastAsia" w:ascii="宋体" w:hAnsi="宋体" w:eastAsia="宋体" w:cs="宋体"/>
          <w:color w:val="000000"/>
          <w:kern w:val="0"/>
          <w:sz w:val="24"/>
          <w:szCs w:val="24"/>
          <w:lang w:eastAsia="zh-CN"/>
        </w:rPr>
        <w:t>202</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年</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eastAsia="zh-CN"/>
        </w:rPr>
        <w:t>月至202</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年</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eastAsia="zh-CN"/>
        </w:rPr>
        <w:t>月</w:t>
      </w:r>
      <w:r>
        <w:rPr>
          <w:rFonts w:hint="eastAsia" w:ascii="宋体" w:hAnsi="宋体" w:eastAsia="宋体" w:cs="宋体"/>
          <w:color w:val="000000"/>
          <w:kern w:val="0"/>
          <w:sz w:val="24"/>
          <w:szCs w:val="24"/>
        </w:rPr>
        <w:t>）养老保险缴纳清单或个人缴纳对账单为准</w:t>
      </w:r>
      <w:r>
        <w:rPr>
          <w:rFonts w:hint="eastAsia" w:ascii="宋体" w:hAnsi="宋体" w:eastAsia="宋体" w:cs="宋体"/>
          <w:color w:val="000000"/>
          <w:kern w:val="0"/>
          <w:sz w:val="24"/>
          <w:szCs w:val="24"/>
          <w:lang w:eastAsia="zh-CN"/>
        </w:rPr>
        <w:t>（项目负责人如为</w:t>
      </w:r>
      <w:r>
        <w:rPr>
          <w:rFonts w:hint="eastAsia" w:ascii="宋体" w:hAnsi="宋体" w:eastAsia="宋体" w:cs="宋体"/>
          <w:color w:val="000000"/>
          <w:kern w:val="0"/>
          <w:sz w:val="24"/>
          <w:szCs w:val="24"/>
        </w:rPr>
        <w:t>退休人员（65 周岁之内）</w:t>
      </w:r>
      <w:r>
        <w:rPr>
          <w:rFonts w:hint="eastAsia" w:ascii="宋体" w:hAnsi="宋体" w:eastAsia="宋体" w:cs="宋体"/>
          <w:color w:val="000000"/>
          <w:kern w:val="0"/>
          <w:sz w:val="24"/>
          <w:szCs w:val="24"/>
          <w:lang w:eastAsia="zh-CN"/>
        </w:rPr>
        <w:t>，则</w:t>
      </w:r>
      <w:r>
        <w:rPr>
          <w:rFonts w:hint="eastAsia" w:ascii="宋体" w:hAnsi="宋体" w:eastAsia="宋体" w:cs="宋体"/>
          <w:color w:val="000000"/>
          <w:kern w:val="0"/>
          <w:sz w:val="24"/>
          <w:szCs w:val="24"/>
        </w:rPr>
        <w:t>须提供劳动合同和退休证</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企业“三类人员”证书复印件（企业法人、企业经理、企业安全生产副经理（须附任职文件）、企业技术负责人A类证书；项目负责人B类证书；安全生产专职管理人员C类证书）；6</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按招标公告第</w:t>
      </w:r>
      <w:r>
        <w:rPr>
          <w:rFonts w:hint="eastAsia" w:ascii="宋体" w:hAnsi="宋体" w:eastAsia="宋体" w:cs="宋体"/>
          <w:color w:val="000000"/>
          <w:kern w:val="0"/>
          <w:sz w:val="24"/>
          <w:szCs w:val="24"/>
          <w:lang w:val="en-US" w:eastAsia="zh-CN"/>
        </w:rPr>
        <w:t>3.6</w:t>
      </w:r>
      <w:r>
        <w:rPr>
          <w:rFonts w:hint="eastAsia" w:ascii="宋体" w:hAnsi="宋体" w:eastAsia="宋体" w:cs="宋体"/>
          <w:color w:val="000000"/>
          <w:kern w:val="0"/>
          <w:sz w:val="24"/>
          <w:szCs w:val="24"/>
        </w:rPr>
        <w:t>要求提供的承诺书或证明材料</w:t>
      </w:r>
      <w:r>
        <w:rPr>
          <w:rFonts w:hint="eastAsia" w:ascii="宋体" w:hAnsi="宋体" w:eastAsia="宋体" w:cs="宋体"/>
          <w:color w:val="000000"/>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bookmarkStart w:id="1" w:name="_Toc258913511"/>
      <w:r>
        <w:rPr>
          <w:rFonts w:hint="eastAsia" w:ascii="宋体" w:hAnsi="宋体" w:eastAsia="宋体" w:cs="宋体"/>
          <w:b/>
          <w:bCs/>
          <w:sz w:val="24"/>
          <w:szCs w:val="24"/>
        </w:rPr>
        <w:t>5、投标文件的递交：</w:t>
      </w:r>
      <w:bookmarkEnd w:id="1"/>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rPr>
      </w:pPr>
      <w:bookmarkStart w:id="2" w:name="_Toc258913512"/>
      <w:r>
        <w:rPr>
          <w:rFonts w:hint="eastAsia" w:ascii="宋体" w:hAnsi="宋体" w:eastAsia="宋体" w:cs="宋体"/>
          <w:color w:val="000000"/>
          <w:kern w:val="0"/>
          <w:sz w:val="24"/>
          <w:szCs w:val="24"/>
        </w:rPr>
        <w:t>5.1投标文件递交的截止时间（投标截止时间，下同）为</w:t>
      </w:r>
      <w:r>
        <w:rPr>
          <w:rFonts w:hint="eastAsia" w:ascii="宋体" w:hAnsi="宋体" w:eastAsia="宋体" w:cs="宋体"/>
          <w:color w:val="000000"/>
          <w:kern w:val="0"/>
          <w:sz w:val="24"/>
          <w:szCs w:val="24"/>
          <w:lang w:val="en-US" w:eastAsia="zh-CN"/>
        </w:rPr>
        <w:t>2021</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lang w:val="en-US" w:eastAsia="zh-CN"/>
        </w:rPr>
        <w:t xml:space="preserve"> 9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lang w:val="en-US" w:eastAsia="zh-CN"/>
        </w:rPr>
        <w:t xml:space="preserve"> 10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时00分，</w:t>
      </w:r>
      <w:r>
        <w:rPr>
          <w:rFonts w:hint="eastAsia" w:ascii="宋体" w:hAnsi="宋体" w:eastAsia="宋体" w:cs="宋体"/>
          <w:color w:val="000000"/>
          <w:kern w:val="0"/>
          <w:sz w:val="24"/>
          <w:szCs w:val="24"/>
          <w:lang w:eastAsia="zh-CN"/>
        </w:rPr>
        <w:t>开标</w:t>
      </w:r>
      <w:r>
        <w:rPr>
          <w:rFonts w:hint="eastAsia" w:ascii="宋体" w:hAnsi="宋体" w:eastAsia="宋体" w:cs="宋体"/>
          <w:color w:val="000000"/>
          <w:kern w:val="0"/>
          <w:sz w:val="24"/>
          <w:szCs w:val="24"/>
        </w:rPr>
        <w:t>地点为</w:t>
      </w:r>
      <w:r>
        <w:rPr>
          <w:rFonts w:hint="eastAsia" w:ascii="宋体" w:hAnsi="宋体" w:eastAsia="宋体" w:cs="宋体"/>
          <w:color w:val="000000"/>
          <w:kern w:val="0"/>
          <w:sz w:val="24"/>
          <w:szCs w:val="24"/>
          <w:lang w:eastAsia="zh-CN"/>
        </w:rPr>
        <w:t>东阳市江北街道关山北路20号开标室。</w:t>
      </w:r>
      <w:r>
        <w:rPr>
          <w:rFonts w:hint="eastAsia" w:ascii="宋体" w:hAnsi="宋体" w:eastAsia="宋体" w:cs="宋体"/>
          <w:color w:val="auto"/>
          <w:kern w:val="0"/>
          <w:sz w:val="24"/>
        </w:rPr>
        <w:t>疫情期间由代理机构在</w:t>
      </w:r>
      <w:r>
        <w:rPr>
          <w:rFonts w:hint="eastAsia" w:ascii="宋体" w:hAnsi="宋体" w:eastAsia="宋体" w:cs="宋体"/>
          <w:color w:val="000000"/>
          <w:kern w:val="0"/>
          <w:sz w:val="24"/>
          <w:szCs w:val="24"/>
          <w:lang w:eastAsia="zh-CN"/>
        </w:rPr>
        <w:t>东阳市江北街道关山北路20号</w:t>
      </w:r>
      <w:r>
        <w:rPr>
          <w:rFonts w:hint="eastAsia" w:ascii="宋体" w:hAnsi="宋体" w:eastAsia="宋体" w:cs="宋体"/>
          <w:color w:val="auto"/>
          <w:kern w:val="0"/>
          <w:sz w:val="24"/>
        </w:rPr>
        <w:t>收取纸质投标文件，</w:t>
      </w:r>
      <w:r>
        <w:rPr>
          <w:rFonts w:hint="eastAsia" w:ascii="宋体" w:hAnsi="宋体" w:eastAsia="宋体" w:cs="宋体"/>
          <w:color w:val="auto"/>
          <w:kern w:val="0"/>
          <w:sz w:val="24"/>
          <w:lang w:bidi="ar"/>
        </w:rPr>
        <w:t>开标采用不见面钉钉群视频直播开标形式</w:t>
      </w:r>
      <w:r>
        <w:rPr>
          <w:rFonts w:hint="eastAsia" w:ascii="宋体" w:hAnsi="宋体" w:eastAsia="宋体" w:cs="宋体"/>
          <w:color w:val="auto"/>
          <w:kern w:val="0"/>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5.2逾期送达的或者未送达指定地点的投标文件，招标人不予受理。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6、发布公告的媒介：</w:t>
      </w:r>
    </w:p>
    <w:bookmarkEnd w:id="2"/>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70" w:firstLineChars="196"/>
        <w:jc w:val="both"/>
        <w:textAlignment w:val="baseline"/>
        <w:rPr>
          <w:rFonts w:hint="eastAsia" w:ascii="宋体" w:hAnsi="宋体" w:eastAsia="宋体" w:cs="宋体"/>
          <w:color w:val="000000"/>
          <w:kern w:val="0"/>
          <w:sz w:val="24"/>
          <w:szCs w:val="24"/>
        </w:rPr>
      </w:pPr>
      <w:r>
        <w:rPr>
          <w:rFonts w:hint="eastAsia" w:ascii="宋体" w:hAnsi="宋体" w:eastAsia="宋体" w:cs="宋体"/>
          <w:i w:val="0"/>
          <w:iCs/>
          <w:sz w:val="24"/>
          <w:szCs w:val="24"/>
          <w:lang w:eastAsia="zh-CN"/>
        </w:rPr>
        <w:t>本次招标公告在</w:t>
      </w:r>
      <w:r>
        <w:rPr>
          <w:rFonts w:hint="eastAsia" w:ascii="宋体" w:hAnsi="宋体" w:eastAsia="宋体" w:cs="宋体"/>
          <w:sz w:val="24"/>
        </w:rPr>
        <w:t>浙江省政府采购网（</w:t>
      </w:r>
      <w:r>
        <w:rPr>
          <w:rFonts w:hint="eastAsia" w:ascii="宋体" w:hAnsi="宋体" w:eastAsia="宋体" w:cs="宋体"/>
          <w:sz w:val="24"/>
          <w:lang w:eastAsia="zh-CN"/>
        </w:rPr>
        <w:t>https://zfcg.czt.zj.gov.cn/</w:t>
      </w:r>
      <w:r>
        <w:rPr>
          <w:rFonts w:hint="eastAsia" w:ascii="宋体" w:hAnsi="宋体" w:eastAsia="宋体" w:cs="宋体"/>
          <w:sz w:val="24"/>
        </w:rPr>
        <w:t>）</w:t>
      </w:r>
      <w:r>
        <w:rPr>
          <w:rFonts w:hint="eastAsia" w:ascii="宋体" w:hAnsi="宋体" w:eastAsia="宋体" w:cs="宋体"/>
          <w:sz w:val="24"/>
          <w:lang w:eastAsia="zh-CN"/>
        </w:rPr>
        <w:t>和</w:t>
      </w:r>
      <w:r>
        <w:rPr>
          <w:rFonts w:hint="eastAsia" w:ascii="宋体" w:hAnsi="宋体" w:eastAsia="宋体" w:cs="宋体"/>
          <w:i w:val="0"/>
          <w:iCs/>
          <w:sz w:val="24"/>
          <w:szCs w:val="24"/>
          <w:lang w:eastAsia="zh-CN"/>
        </w:rPr>
        <w:t>中国招标投标公共服务平台上发布。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7、联系方式</w:t>
      </w:r>
      <w:r>
        <w:rPr>
          <w:rFonts w:hint="eastAsia" w:ascii="宋体" w:hAnsi="宋体" w:eastAsia="宋体" w:cs="宋体"/>
          <w:b/>
          <w:bCs/>
          <w:sz w:val="24"/>
          <w:szCs w:val="24"/>
          <w:lang w:eastAsia="zh-CN"/>
        </w:rPr>
        <w:t>：</w:t>
      </w:r>
    </w:p>
    <w:tbl>
      <w:tblPr>
        <w:tblStyle w:val="14"/>
        <w:tblpPr w:leftFromText="180" w:rightFromText="180" w:vertAnchor="text" w:horzAnchor="page" w:tblpXSpec="center" w:tblpY="15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522"/>
        <w:gridCol w:w="2113"/>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25" w:type="dxa"/>
            <w:gridSpan w:val="2"/>
            <w:noWrap w:val="0"/>
            <w:vAlign w:val="top"/>
          </w:tcPr>
          <w:p>
            <w:pPr>
              <w:widowControl/>
              <w:spacing w:line="440" w:lineRule="exact"/>
              <w:ind w:left="-105" w:leftChars="-50"/>
              <w:jc w:val="left"/>
              <w:rPr>
                <w:rStyle w:val="26"/>
                <w:rFonts w:hint="eastAsia" w:ascii="宋体" w:hAnsi="宋体" w:eastAsia="宋体" w:cs="宋体"/>
                <w:i w:val="0"/>
                <w:iCs/>
                <w:sz w:val="21"/>
                <w:szCs w:val="21"/>
              </w:rPr>
            </w:pPr>
            <w:r>
              <w:rPr>
                <w:rStyle w:val="26"/>
                <w:rFonts w:hint="eastAsia" w:ascii="宋体" w:hAnsi="宋体" w:eastAsia="宋体" w:cs="宋体"/>
                <w:i w:val="0"/>
                <w:iCs/>
                <w:sz w:val="21"/>
                <w:szCs w:val="21"/>
              </w:rPr>
              <w:t>招 标 人：</w:t>
            </w:r>
            <w:r>
              <w:rPr>
                <w:rFonts w:hint="eastAsia" w:ascii="宋体" w:hAnsi="宋体" w:eastAsia="宋体" w:cs="宋体"/>
                <w:i w:val="0"/>
                <w:iCs/>
                <w:sz w:val="21"/>
                <w:szCs w:val="21"/>
                <w:u w:val="single"/>
                <w:lang w:eastAsia="zh-CN"/>
              </w:rPr>
              <w:t>中国人民解放军某部队</w:t>
            </w:r>
          </w:p>
        </w:tc>
        <w:tc>
          <w:tcPr>
            <w:tcW w:w="4426" w:type="dxa"/>
            <w:gridSpan w:val="2"/>
            <w:noWrap w:val="0"/>
            <w:vAlign w:val="top"/>
          </w:tcPr>
          <w:p>
            <w:pPr>
              <w:widowControl/>
              <w:spacing w:line="440" w:lineRule="exact"/>
              <w:ind w:left="-105" w:leftChars="-50"/>
              <w:jc w:val="left"/>
              <w:rPr>
                <w:rFonts w:hint="eastAsia" w:ascii="宋体" w:hAnsi="宋体" w:eastAsia="宋体" w:cs="宋体"/>
                <w:i w:val="0"/>
                <w:iCs/>
                <w:sz w:val="21"/>
                <w:szCs w:val="21"/>
                <w:u w:val="single"/>
              </w:rPr>
            </w:pPr>
            <w:r>
              <w:rPr>
                <w:rStyle w:val="26"/>
                <w:rFonts w:hint="eastAsia" w:ascii="宋体" w:hAnsi="宋体" w:eastAsia="宋体" w:cs="宋体"/>
                <w:i w:val="0"/>
                <w:iCs/>
                <w:sz w:val="21"/>
                <w:szCs w:val="21"/>
              </w:rPr>
              <w:t>代理机构：</w:t>
            </w:r>
            <w:r>
              <w:rPr>
                <w:rFonts w:hint="eastAsia" w:ascii="宋体" w:hAnsi="宋体" w:eastAsia="宋体" w:cs="宋体"/>
                <w:i w:val="0"/>
                <w:iCs/>
                <w:sz w:val="21"/>
                <w:szCs w:val="21"/>
                <w:u w:val="single"/>
                <w:lang w:eastAsia="zh-CN"/>
              </w:rPr>
              <w:t>金华市金诚招投标代理有限公司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425" w:type="dxa"/>
            <w:gridSpan w:val="2"/>
            <w:noWrap w:val="0"/>
            <w:vAlign w:val="top"/>
          </w:tcPr>
          <w:p>
            <w:pPr>
              <w:widowControl/>
              <w:spacing w:line="440" w:lineRule="exact"/>
              <w:ind w:left="-105" w:leftChars="-50"/>
              <w:jc w:val="left"/>
              <w:rPr>
                <w:rStyle w:val="26"/>
                <w:rFonts w:hint="eastAsia" w:ascii="宋体" w:hAnsi="宋体" w:eastAsia="宋体" w:cs="宋体"/>
                <w:i w:val="0"/>
                <w:iCs/>
                <w:sz w:val="21"/>
                <w:szCs w:val="21"/>
                <w:lang w:eastAsia="zh-CN"/>
              </w:rPr>
            </w:pPr>
            <w:r>
              <w:rPr>
                <w:rStyle w:val="26"/>
                <w:rFonts w:hint="eastAsia" w:ascii="宋体" w:hAnsi="宋体" w:eastAsia="宋体" w:cs="宋体"/>
                <w:i w:val="0"/>
                <w:iCs/>
                <w:sz w:val="21"/>
                <w:szCs w:val="21"/>
              </w:rPr>
              <w:t>办公地址：</w:t>
            </w:r>
            <w:r>
              <w:rPr>
                <w:rStyle w:val="26"/>
                <w:rFonts w:hint="eastAsia" w:ascii="宋体" w:hAnsi="宋体" w:eastAsia="宋体" w:cs="宋体"/>
                <w:i w:val="0"/>
                <w:iCs/>
                <w:sz w:val="21"/>
                <w:szCs w:val="21"/>
                <w:u w:val="single"/>
                <w:lang w:eastAsia="zh-CN"/>
              </w:rPr>
              <w:t>东阳市</w:t>
            </w:r>
          </w:p>
        </w:tc>
        <w:tc>
          <w:tcPr>
            <w:tcW w:w="4426" w:type="dxa"/>
            <w:gridSpan w:val="2"/>
            <w:noWrap w:val="0"/>
            <w:vAlign w:val="top"/>
          </w:tcPr>
          <w:p>
            <w:pPr>
              <w:widowControl/>
              <w:spacing w:line="440" w:lineRule="exact"/>
              <w:ind w:left="-105" w:leftChars="-50"/>
              <w:jc w:val="left"/>
              <w:rPr>
                <w:rStyle w:val="26"/>
                <w:rFonts w:hint="eastAsia" w:ascii="宋体" w:hAnsi="宋体" w:eastAsia="宋体" w:cs="宋体"/>
                <w:i w:val="0"/>
                <w:iCs/>
                <w:sz w:val="21"/>
                <w:szCs w:val="21"/>
              </w:rPr>
            </w:pPr>
            <w:r>
              <w:rPr>
                <w:rStyle w:val="26"/>
                <w:rFonts w:hint="eastAsia" w:ascii="宋体" w:hAnsi="宋体" w:eastAsia="宋体" w:cs="宋体"/>
                <w:i w:val="0"/>
                <w:iCs/>
                <w:sz w:val="21"/>
                <w:szCs w:val="21"/>
              </w:rPr>
              <w:t>办公地址：</w:t>
            </w:r>
            <w:r>
              <w:rPr>
                <w:rFonts w:hint="eastAsia" w:ascii="宋体" w:hAnsi="宋体" w:eastAsia="宋体" w:cs="宋体"/>
                <w:i w:val="0"/>
                <w:iCs/>
                <w:sz w:val="21"/>
                <w:szCs w:val="21"/>
                <w:u w:val="single"/>
                <w:lang w:eastAsia="zh-CN"/>
              </w:rPr>
              <w:t>东阳市江北街道关山北路20号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03" w:type="dxa"/>
            <w:noWrap w:val="0"/>
            <w:vAlign w:val="top"/>
          </w:tcPr>
          <w:p>
            <w:pPr>
              <w:widowControl/>
              <w:spacing w:line="440" w:lineRule="exact"/>
              <w:ind w:left="-105" w:leftChars="-50"/>
              <w:jc w:val="left"/>
              <w:rPr>
                <w:rFonts w:hint="default" w:ascii="宋体" w:hAnsi="宋体" w:eastAsia="宋体" w:cs="宋体"/>
                <w:i w:val="0"/>
                <w:iCs/>
                <w:sz w:val="21"/>
                <w:szCs w:val="21"/>
                <w:u w:val="single"/>
                <w:lang w:val="en-US" w:eastAsia="zh-CN"/>
              </w:rPr>
            </w:pPr>
            <w:r>
              <w:rPr>
                <w:rFonts w:hint="eastAsia" w:ascii="宋体" w:hAnsi="宋体" w:eastAsia="宋体" w:cs="宋体"/>
                <w:i w:val="0"/>
                <w:iCs/>
                <w:sz w:val="21"/>
                <w:szCs w:val="21"/>
                <w:u w:val="none"/>
                <w:lang w:eastAsia="zh-CN"/>
              </w:rPr>
              <w:t>联系人：</w:t>
            </w:r>
            <w:r>
              <w:rPr>
                <w:rFonts w:hint="eastAsia" w:ascii="宋体" w:hAnsi="宋体" w:eastAsia="宋体" w:cs="宋体"/>
                <w:i w:val="0"/>
                <w:iCs/>
                <w:sz w:val="21"/>
                <w:szCs w:val="21"/>
                <w:u w:val="single"/>
                <w:lang w:eastAsia="zh-CN"/>
              </w:rPr>
              <w:t>王华超</w:t>
            </w:r>
          </w:p>
        </w:tc>
        <w:tc>
          <w:tcPr>
            <w:tcW w:w="2522" w:type="dxa"/>
            <w:noWrap w:val="0"/>
            <w:vAlign w:val="top"/>
          </w:tcPr>
          <w:p>
            <w:pPr>
              <w:widowControl/>
              <w:spacing w:line="440" w:lineRule="exact"/>
              <w:ind w:left="-105" w:leftChars="-50"/>
              <w:jc w:val="left"/>
              <w:rPr>
                <w:rFonts w:hint="eastAsia" w:ascii="宋体" w:hAnsi="宋体" w:eastAsia="宋体" w:cs="宋体"/>
                <w:i w:val="0"/>
                <w:iCs/>
                <w:sz w:val="21"/>
                <w:szCs w:val="21"/>
                <w:u w:val="single"/>
                <w:lang w:val="en-US" w:eastAsia="zh-CN"/>
              </w:rPr>
            </w:pPr>
            <w:r>
              <w:rPr>
                <w:rFonts w:hint="eastAsia" w:ascii="宋体" w:hAnsi="宋体" w:eastAsia="宋体" w:cs="宋体"/>
                <w:i w:val="0"/>
                <w:iCs/>
                <w:sz w:val="21"/>
                <w:szCs w:val="21"/>
                <w:u w:val="none"/>
                <w:lang w:eastAsia="zh-CN"/>
              </w:rPr>
              <w:t>联系电话：</w:t>
            </w:r>
            <w:r>
              <w:rPr>
                <w:rFonts w:hint="eastAsia" w:ascii="宋体" w:hAnsi="宋体" w:eastAsia="宋体" w:cs="宋体"/>
                <w:i w:val="0"/>
                <w:iCs/>
                <w:sz w:val="21"/>
                <w:szCs w:val="21"/>
                <w:u w:val="single"/>
                <w:lang w:val="en-US" w:eastAsia="zh-CN"/>
              </w:rPr>
              <w:t>0579-89302536</w:t>
            </w:r>
            <w:r>
              <w:rPr>
                <w:rFonts w:hint="eastAsia" w:ascii="宋体" w:hAnsi="宋体" w:cs="宋体"/>
                <w:i w:val="0"/>
                <w:iCs/>
                <w:sz w:val="21"/>
                <w:szCs w:val="21"/>
                <w:u w:val="single"/>
                <w:lang w:val="en-US" w:eastAsia="zh-CN"/>
              </w:rPr>
              <w:t xml:space="preserve"> </w:t>
            </w:r>
          </w:p>
        </w:tc>
        <w:tc>
          <w:tcPr>
            <w:tcW w:w="2113" w:type="dxa"/>
            <w:noWrap w:val="0"/>
            <w:vAlign w:val="top"/>
          </w:tcPr>
          <w:p>
            <w:pPr>
              <w:widowControl/>
              <w:spacing w:line="440" w:lineRule="exact"/>
              <w:ind w:left="-105" w:leftChars="-50"/>
              <w:jc w:val="left"/>
              <w:rPr>
                <w:rFonts w:hint="eastAsia" w:ascii="宋体" w:hAnsi="宋体" w:eastAsia="宋体" w:cs="宋体"/>
                <w:i w:val="0"/>
                <w:iCs/>
                <w:sz w:val="21"/>
                <w:szCs w:val="21"/>
                <w:u w:val="single"/>
                <w:lang w:eastAsia="zh-CN"/>
              </w:rPr>
            </w:pPr>
            <w:r>
              <w:rPr>
                <w:rFonts w:hint="eastAsia" w:ascii="宋体" w:hAnsi="宋体" w:eastAsia="宋体" w:cs="宋体"/>
                <w:i w:val="0"/>
                <w:iCs/>
                <w:sz w:val="21"/>
                <w:szCs w:val="21"/>
                <w:u w:val="none"/>
                <w:lang w:eastAsia="zh-CN"/>
              </w:rPr>
              <w:t>联系人：</w:t>
            </w:r>
            <w:r>
              <w:rPr>
                <w:rFonts w:hint="eastAsia" w:ascii="宋体" w:hAnsi="宋体" w:eastAsia="宋体" w:cs="宋体"/>
                <w:i w:val="0"/>
                <w:iCs/>
                <w:sz w:val="21"/>
                <w:szCs w:val="21"/>
                <w:u w:val="single"/>
                <w:lang w:eastAsia="zh-CN"/>
              </w:rPr>
              <w:t>张晓亮</w:t>
            </w:r>
          </w:p>
        </w:tc>
        <w:tc>
          <w:tcPr>
            <w:tcW w:w="2313" w:type="dxa"/>
            <w:noWrap w:val="0"/>
            <w:vAlign w:val="top"/>
          </w:tcPr>
          <w:p>
            <w:pPr>
              <w:widowControl/>
              <w:spacing w:line="440" w:lineRule="exact"/>
              <w:ind w:left="-105" w:leftChars="-50"/>
              <w:jc w:val="left"/>
              <w:rPr>
                <w:rFonts w:hint="default" w:ascii="宋体" w:hAnsi="宋体" w:eastAsia="宋体" w:cs="宋体"/>
                <w:i w:val="0"/>
                <w:iCs/>
                <w:sz w:val="21"/>
                <w:szCs w:val="21"/>
                <w:u w:val="single"/>
                <w:lang w:val="en-US" w:eastAsia="zh-CN"/>
              </w:rPr>
            </w:pPr>
            <w:r>
              <w:rPr>
                <w:rFonts w:hint="eastAsia" w:ascii="宋体" w:hAnsi="宋体" w:eastAsia="宋体" w:cs="宋体"/>
                <w:i w:val="0"/>
                <w:iCs/>
                <w:sz w:val="21"/>
                <w:szCs w:val="21"/>
                <w:u w:val="none"/>
                <w:lang w:eastAsia="zh-CN"/>
              </w:rPr>
              <w:t>联系电话：</w:t>
            </w:r>
            <w:r>
              <w:rPr>
                <w:rFonts w:hint="eastAsia" w:ascii="宋体" w:hAnsi="宋体" w:eastAsia="宋体" w:cs="宋体"/>
                <w:i w:val="0"/>
                <w:iCs/>
                <w:sz w:val="21"/>
                <w:szCs w:val="21"/>
                <w:u w:val="single"/>
                <w:lang w:val="en-US" w:eastAsia="zh-CN"/>
              </w:rPr>
              <w:t>13505890861</w:t>
            </w:r>
          </w:p>
        </w:tc>
      </w:tr>
    </w:tbl>
    <w:p>
      <w:pPr>
        <w:widowControl/>
        <w:jc w:val="left"/>
        <w:rPr>
          <w:rFonts w:eastAsia="宋体"/>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right"/>
        <w:textAlignment w:val="auto"/>
        <w:rPr>
          <w:rFonts w:hint="eastAsia" w:ascii="宋体" w:hAnsi="宋体" w:eastAsia="宋体" w:cs="宋体"/>
          <w:i w:val="0"/>
          <w:iCs/>
          <w:sz w:val="24"/>
          <w:szCs w:val="24"/>
          <w:lang w:eastAsia="zh-CN"/>
        </w:rPr>
      </w:pPr>
      <w:r>
        <w:rPr>
          <w:rFonts w:hint="eastAsia" w:ascii="宋体" w:hAnsi="宋体" w:eastAsia="宋体" w:cs="宋体"/>
          <w:i w:val="0"/>
          <w:iCs/>
          <w:sz w:val="24"/>
          <w:szCs w:val="24"/>
          <w:lang w:eastAsia="zh-CN"/>
        </w:rPr>
        <w:t>202</w:t>
      </w:r>
      <w:r>
        <w:rPr>
          <w:rFonts w:hint="eastAsia" w:ascii="宋体" w:hAnsi="宋体" w:eastAsia="宋体" w:cs="宋体"/>
          <w:i w:val="0"/>
          <w:iCs/>
          <w:sz w:val="24"/>
          <w:szCs w:val="24"/>
          <w:lang w:val="en-US" w:eastAsia="zh-CN"/>
        </w:rPr>
        <w:t>1</w:t>
      </w:r>
      <w:r>
        <w:rPr>
          <w:rFonts w:hint="eastAsia" w:ascii="宋体" w:hAnsi="宋体" w:eastAsia="宋体" w:cs="宋体"/>
          <w:i w:val="0"/>
          <w:iCs/>
          <w:sz w:val="24"/>
          <w:szCs w:val="24"/>
          <w:lang w:eastAsia="zh-CN"/>
        </w:rPr>
        <w:t xml:space="preserve"> 年</w:t>
      </w:r>
      <w:r>
        <w:rPr>
          <w:rFonts w:hint="eastAsia" w:ascii="宋体" w:hAnsi="宋体" w:eastAsia="宋体" w:cs="宋体"/>
          <w:i w:val="0"/>
          <w:iCs/>
          <w:sz w:val="24"/>
          <w:szCs w:val="24"/>
          <w:lang w:val="en-US" w:eastAsia="zh-CN"/>
        </w:rPr>
        <w:t xml:space="preserve"> 8 </w:t>
      </w:r>
      <w:r>
        <w:rPr>
          <w:rFonts w:hint="eastAsia" w:ascii="宋体" w:hAnsi="宋体" w:eastAsia="宋体" w:cs="宋体"/>
          <w:i w:val="0"/>
          <w:iCs/>
          <w:sz w:val="24"/>
          <w:szCs w:val="24"/>
          <w:lang w:eastAsia="zh-CN"/>
        </w:rPr>
        <w:t>月</w:t>
      </w:r>
      <w:r>
        <w:rPr>
          <w:rFonts w:hint="eastAsia" w:ascii="宋体" w:hAnsi="宋体" w:eastAsia="宋体" w:cs="宋体"/>
          <w:i w:val="0"/>
          <w:iCs/>
          <w:sz w:val="24"/>
          <w:szCs w:val="24"/>
          <w:lang w:val="en-US" w:eastAsia="zh-CN"/>
        </w:rPr>
        <w:t xml:space="preserve"> 20 </w:t>
      </w:r>
      <w:r>
        <w:rPr>
          <w:rFonts w:hint="eastAsia" w:ascii="宋体" w:hAnsi="宋体" w:eastAsia="宋体" w:cs="宋体"/>
          <w:i w:val="0"/>
          <w:iCs/>
          <w:sz w:val="24"/>
          <w:szCs w:val="24"/>
          <w:lang w:eastAsia="zh-CN"/>
        </w:rPr>
        <w:t>日</w:t>
      </w:r>
    </w:p>
    <w:p>
      <w:pPr>
        <w:widowControl/>
        <w:jc w:val="left"/>
        <w:rPr>
          <w:rFonts w:hint="eastAsia" w:ascii="宋体" w:hAnsi="宋体" w:eastAsia="宋体" w:cs="宋体"/>
          <w:b/>
          <w:color w:val="000000"/>
          <w:kern w:val="0"/>
          <w:szCs w:val="21"/>
        </w:rPr>
      </w:pP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各投标单位应注意以下几点：</w:t>
      </w: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1、代理机构在投标截止时间后建立钉钉直播群，将钉钉直播群号公布到QQ群 （QQ群号为52446475）并开启群视频直播，对开标现场情况进行全程直播，启封各投标人递交的投标文件。 </w:t>
      </w: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eastAsia="zh-CN"/>
        </w:rPr>
        <w:t>在钉钉群进行直播，由投标人通过钉钉群直播检查投标文件密封情况，确认无误后，由招标代理机构开启各投标人的投标文件。</w:t>
      </w:r>
      <w:r>
        <w:rPr>
          <w:rFonts w:hint="eastAsia" w:ascii="宋体" w:hAnsi="宋体" w:eastAsia="宋体" w:cs="宋体"/>
          <w:b/>
          <w:color w:val="auto"/>
          <w:sz w:val="21"/>
          <w:szCs w:val="21"/>
        </w:rPr>
        <w:t xml:space="preserve">  </w:t>
      </w: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3、评标委员会根据招标文件规定的评标程序对各投标文件进行评审，招标代理公司将现场宣布结果的视频公布到直播群进行确认。 </w:t>
      </w: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4、投标人对开标过程提出质疑的，由招标代理公司在钉钉群里进行回复。</w:t>
      </w: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5、投标人对评审结果提出质疑的，由招标代理公司请评标委员会对质疑内容进行复核。</w:t>
      </w: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以上环节均由招标人代表监督见证下进行。</w:t>
      </w:r>
    </w:p>
    <w:p>
      <w:pPr>
        <w:pStyle w:val="20"/>
        <w:rPr>
          <w:rFonts w:hint="eastAsia" w:ascii="宋体" w:hAnsi="宋体" w:eastAsia="宋体" w:cs="宋体"/>
          <w:b/>
          <w:color w:val="000000"/>
          <w:kern w:val="0"/>
          <w:szCs w:val="21"/>
        </w:rPr>
      </w:pPr>
    </w:p>
    <w:p>
      <w:pPr>
        <w:pStyle w:val="7"/>
        <w:rPr>
          <w:rFonts w:hint="eastAsia" w:ascii="宋体" w:hAnsi="宋体" w:eastAsia="宋体" w:cs="宋体"/>
          <w:b/>
          <w:color w:val="000000"/>
          <w:kern w:val="0"/>
          <w:szCs w:val="21"/>
        </w:rPr>
      </w:pPr>
    </w:p>
    <w:p>
      <w:pPr>
        <w:pStyle w:val="8"/>
        <w:rPr>
          <w:rFonts w:hint="eastAsia" w:ascii="宋体" w:hAnsi="宋体" w:eastAsia="宋体" w:cs="宋体"/>
          <w:b/>
          <w:color w:val="000000"/>
          <w:kern w:val="0"/>
          <w:szCs w:val="21"/>
        </w:rPr>
      </w:pPr>
    </w:p>
    <w:p>
      <w:pPr>
        <w:rPr>
          <w:rFonts w:hint="eastAsia" w:ascii="宋体" w:hAnsi="宋体" w:eastAsia="宋体" w:cs="宋体"/>
          <w:b/>
          <w:color w:val="000000"/>
          <w:kern w:val="0"/>
          <w:szCs w:val="21"/>
        </w:rPr>
      </w:pPr>
    </w:p>
    <w:p>
      <w:pPr>
        <w:pStyle w:val="19"/>
        <w:rPr>
          <w:rFonts w:hint="eastAsia" w:ascii="宋体" w:hAnsi="宋体" w:eastAsia="宋体" w:cs="宋体"/>
          <w:b/>
          <w:color w:val="000000"/>
          <w:kern w:val="0"/>
          <w:szCs w:val="21"/>
        </w:rPr>
      </w:pPr>
    </w:p>
    <w:p>
      <w:pPr>
        <w:pStyle w:val="19"/>
        <w:rPr>
          <w:rFonts w:hint="eastAsia" w:ascii="宋体" w:hAnsi="宋体" w:eastAsia="宋体" w:cs="宋体"/>
          <w:b/>
          <w:color w:val="000000"/>
          <w:kern w:val="0"/>
          <w:szCs w:val="21"/>
        </w:rPr>
      </w:pPr>
    </w:p>
    <w:p>
      <w:pPr>
        <w:pStyle w:val="19"/>
        <w:rPr>
          <w:rFonts w:hint="eastAsia" w:ascii="宋体" w:hAnsi="宋体" w:eastAsia="宋体" w:cs="宋体"/>
          <w:b/>
          <w:color w:val="000000"/>
          <w:kern w:val="0"/>
          <w:szCs w:val="21"/>
        </w:rPr>
      </w:pPr>
    </w:p>
    <w:p>
      <w:pPr>
        <w:pStyle w:val="19"/>
        <w:rPr>
          <w:rFonts w:hint="eastAsia" w:ascii="宋体" w:hAnsi="宋体" w:eastAsia="宋体" w:cs="宋体"/>
          <w:b/>
          <w:color w:val="000000"/>
          <w:kern w:val="0"/>
          <w:szCs w:val="21"/>
        </w:rPr>
      </w:pPr>
    </w:p>
    <w:p>
      <w:pPr>
        <w:pStyle w:val="19"/>
        <w:rPr>
          <w:rFonts w:hint="eastAsia" w:ascii="宋体" w:hAnsi="宋体" w:eastAsia="宋体" w:cs="宋体"/>
          <w:b/>
          <w:color w:val="000000"/>
          <w:kern w:val="0"/>
          <w:szCs w:val="21"/>
        </w:rPr>
      </w:pPr>
    </w:p>
    <w:p>
      <w:pPr>
        <w:pStyle w:val="19"/>
        <w:rPr>
          <w:rFonts w:hint="eastAsia" w:ascii="宋体" w:hAnsi="宋体" w:eastAsia="宋体" w:cs="宋体"/>
          <w:b/>
          <w:color w:val="000000"/>
          <w:kern w:val="0"/>
          <w:szCs w:val="21"/>
        </w:rPr>
      </w:pPr>
    </w:p>
    <w:p>
      <w:pPr>
        <w:pStyle w:val="19"/>
        <w:ind w:left="0" w:leftChars="0" w:firstLine="0" w:firstLineChars="0"/>
        <w:rPr>
          <w:rFonts w:hint="eastAsia" w:ascii="宋体" w:hAnsi="宋体" w:eastAsia="宋体" w:cs="宋体"/>
          <w:b/>
          <w:color w:val="000000"/>
          <w:kern w:val="0"/>
          <w:szCs w:val="21"/>
        </w:rPr>
      </w:pPr>
    </w:p>
    <w:p>
      <w:pPr>
        <w:pStyle w:val="3"/>
        <w:jc w:val="center"/>
      </w:pPr>
      <w:bookmarkStart w:id="3" w:name="_Toc25553"/>
      <w:r>
        <w:rPr>
          <w:rFonts w:hint="eastAsia"/>
        </w:rPr>
        <w:t>第二章 投标人须知</w:t>
      </w:r>
      <w:bookmarkEnd w:id="3"/>
    </w:p>
    <w:p>
      <w:pPr>
        <w:pStyle w:val="4"/>
        <w:jc w:val="center"/>
      </w:pPr>
      <w:bookmarkStart w:id="4" w:name="_Toc395707941"/>
      <w:r>
        <w:rPr>
          <w:rFonts w:hint="eastAsia"/>
        </w:rPr>
        <w:t>投标人须知前附表</w:t>
      </w:r>
      <w:bookmarkEnd w:id="4"/>
    </w:p>
    <w:tbl>
      <w:tblPr>
        <w:tblStyle w:val="14"/>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142"/>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条款号</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 款 名 称</w:t>
            </w:r>
          </w:p>
        </w:tc>
        <w:tc>
          <w:tcPr>
            <w:tcW w:w="6543"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1.1.2</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招标人</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中国人民解放军某部队</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rPr>
            </w:pPr>
            <w:bookmarkStart w:id="300" w:name="_GoBack"/>
            <w:r>
              <w:rPr>
                <w:rFonts w:hint="eastAsia" w:ascii="宋体" w:hAnsi="宋体" w:eastAsia="宋体" w:cs="宋体"/>
                <w:color w:val="auto"/>
                <w:sz w:val="21"/>
                <w:szCs w:val="21"/>
              </w:rPr>
              <w:t>联系人</w:t>
            </w:r>
            <w:bookmarkEnd w:id="300"/>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王华超</w:t>
            </w:r>
            <w:r>
              <w:rPr>
                <w:rFonts w:hint="eastAsia" w:ascii="宋体" w:hAnsi="宋体" w:eastAsia="宋体" w:cs="宋体"/>
                <w:color w:val="auto"/>
                <w:sz w:val="21"/>
                <w:szCs w:val="21"/>
              </w:rPr>
              <w:t xml:space="preserve"> </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话：0579-89302536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1.1.3</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招标代理机构</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  称：</w:t>
            </w:r>
            <w:r>
              <w:rPr>
                <w:rFonts w:hint="eastAsia" w:ascii="宋体" w:hAnsi="宋体" w:eastAsia="宋体" w:cs="宋体"/>
                <w:color w:val="000000" w:themeColor="text1"/>
                <w:sz w:val="21"/>
                <w:szCs w:val="21"/>
                <w:lang w:eastAsia="zh-CN"/>
                <w14:textFill>
                  <w14:solidFill>
                    <w14:schemeClr w14:val="tx1"/>
                  </w14:solidFill>
                </w14:textFill>
              </w:rPr>
              <w:t>金华市金诚招投标代理有限公司</w:t>
            </w:r>
          </w:p>
          <w:p>
            <w:pPr>
              <w:keepNext w:val="0"/>
              <w:keepLines w:val="0"/>
              <w:pageBreakBefore w:val="0"/>
              <w:kinsoku/>
              <w:wordWrap/>
              <w:overflowPunct/>
              <w:topLinePunct w:val="0"/>
              <w:autoSpaceDE/>
              <w:autoSpaceDN/>
              <w:bidi w:val="0"/>
              <w:spacing w:line="400" w:lineRule="exac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地  址：</w:t>
            </w:r>
            <w:r>
              <w:rPr>
                <w:rFonts w:hint="eastAsia" w:ascii="宋体" w:hAnsi="宋体" w:eastAsia="宋体" w:cs="宋体"/>
                <w:sz w:val="21"/>
                <w:szCs w:val="21"/>
                <w:lang w:eastAsia="zh-CN"/>
              </w:rPr>
              <w:t>东阳市江北街道关山北路20号</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w:t>
            </w:r>
            <w:r>
              <w:rPr>
                <w:rFonts w:hint="eastAsia" w:ascii="宋体" w:hAnsi="宋体" w:eastAsia="宋体" w:cs="宋体"/>
                <w:color w:val="000000" w:themeColor="text1"/>
                <w:sz w:val="21"/>
                <w:szCs w:val="21"/>
                <w:lang w:eastAsia="zh-CN"/>
                <w14:textFill>
                  <w14:solidFill>
                    <w14:schemeClr w14:val="tx1"/>
                  </w14:solidFill>
                </w14:textFill>
              </w:rPr>
              <w:t>张晓亮</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w:t>
            </w:r>
            <w:r>
              <w:rPr>
                <w:rFonts w:hint="eastAsia" w:ascii="宋体" w:hAnsi="宋体" w:eastAsia="宋体" w:cs="宋体"/>
                <w:color w:val="000000" w:themeColor="text1"/>
                <w:sz w:val="21"/>
                <w:szCs w:val="21"/>
                <w:lang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3505890861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1.1.4</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543" w:type="dxa"/>
            <w:vAlign w:val="center"/>
          </w:tcPr>
          <w:p>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中国人民解放军某部队犬舍建造工程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1.1.5</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建设地点</w:t>
            </w:r>
          </w:p>
        </w:tc>
        <w:tc>
          <w:tcPr>
            <w:tcW w:w="6543" w:type="dxa"/>
            <w:vAlign w:val="center"/>
          </w:tcPr>
          <w:p>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eastAsia="zh-CN"/>
              </w:rPr>
              <w:t>东阳市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资金来源</w:t>
            </w:r>
          </w:p>
        </w:tc>
        <w:tc>
          <w:tcPr>
            <w:tcW w:w="6543" w:type="dxa"/>
            <w:vAlign w:val="center"/>
          </w:tcPr>
          <w:p>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1.2.2</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出资比例</w:t>
            </w:r>
          </w:p>
        </w:tc>
        <w:tc>
          <w:tcPr>
            <w:tcW w:w="6543" w:type="dxa"/>
            <w:vAlign w:val="center"/>
          </w:tcPr>
          <w:p>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000000" w:themeColor="text1"/>
                <w:sz w:val="21"/>
                <w:szCs w:val="21"/>
                <w:lang w:eastAsia="zh-CN"/>
                <w14:textFill>
                  <w14:solidFill>
                    <w14:schemeClr w14:val="tx1"/>
                  </w14:solidFill>
                </w14:textFill>
              </w:rPr>
            </w:pPr>
            <w:bookmarkStart w:id="5" w:name="项目出资比例1"/>
            <w:r>
              <w:rPr>
                <w:rFonts w:hint="eastAsia" w:ascii="宋体" w:hAnsi="宋体" w:eastAsia="宋体" w:cs="宋体"/>
                <w:color w:val="000000" w:themeColor="text1"/>
                <w:sz w:val="21"/>
                <w:szCs w:val="21"/>
                <w:lang w:eastAsia="zh-CN"/>
                <w14:textFill>
                  <w14:solidFill>
                    <w14:schemeClr w14:val="tx1"/>
                  </w14:solidFill>
                </w14:textFill>
              </w:rPr>
              <w:t>100%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1.2.3</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资金落实情况</w:t>
            </w:r>
          </w:p>
        </w:tc>
        <w:tc>
          <w:tcPr>
            <w:tcW w:w="6543" w:type="dxa"/>
            <w:vAlign w:val="center"/>
          </w:tcPr>
          <w:p>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1.3.1</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招标范围</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施工图纸范围内的所有建造工程（详见施工图及工程量清单），具体以实际现场情况和招标人要求为准</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1.3.2</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计划工期</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50  </w:t>
            </w:r>
            <w:r>
              <w:rPr>
                <w:rFonts w:hint="eastAsia" w:ascii="宋体" w:hAnsi="宋体" w:eastAsia="宋体" w:cs="宋体"/>
                <w:color w:val="000000" w:themeColor="text1"/>
                <w:sz w:val="21"/>
                <w:szCs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1.3.3</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质量要求</w:t>
            </w:r>
          </w:p>
        </w:tc>
        <w:tc>
          <w:tcPr>
            <w:tcW w:w="6543" w:type="dxa"/>
            <w:vAlign w:val="center"/>
          </w:tcPr>
          <w:p>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不低于国家相关验收的合格标准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1.3.4</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安全文明施工要求</w:t>
            </w:r>
          </w:p>
        </w:tc>
        <w:tc>
          <w:tcPr>
            <w:tcW w:w="6543" w:type="dxa"/>
            <w:vAlign w:val="center"/>
          </w:tcPr>
          <w:p>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color w:val="000000" w:themeColor="text1"/>
                <w:sz w:val="21"/>
                <w:szCs w:val="21"/>
                <w14:textFill>
                  <w14:solidFill>
                    <w14:schemeClr w14:val="tx1"/>
                  </w14:solidFill>
                </w14:textFill>
              </w:rPr>
            </w:pPr>
            <w:permStart w:id="0" w:edGrp="everyone"/>
            <w:r>
              <w:rPr>
                <w:rFonts w:hint="eastAsia" w:ascii="宋体" w:hAnsi="宋体" w:eastAsia="宋体" w:cs="宋体"/>
                <w:color w:val="000000" w:themeColor="text1"/>
                <w:sz w:val="21"/>
                <w:szCs w:val="21"/>
                <w14:textFill>
                  <w14:solidFill>
                    <w14:schemeClr w14:val="tx1"/>
                  </w14:solidFill>
                </w14:textFill>
              </w:rPr>
              <w:t>按国家有关文件规定实行安全文明施工。</w:t>
            </w:r>
            <w:perm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1.3.5</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本工程采用工程量清单计价格式</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rPr>
            </w:pPr>
            <w:permStart w:id="1" w:edGrp="everyone"/>
            <w:r>
              <w:rPr>
                <w:rFonts w:hint="eastAsia" w:ascii="宋体" w:hAnsi="宋体" w:eastAsia="宋体" w:cs="宋体"/>
                <w:color w:val="auto"/>
                <w:kern w:val="0"/>
                <w:sz w:val="21"/>
                <w:szCs w:val="21"/>
                <w:bdr w:val="single" w:color="auto" w:sz="4" w:space="0"/>
              </w:rPr>
              <w:t>√</w:t>
            </w:r>
            <w:permEnd w:id="1"/>
            <w:r>
              <w:rPr>
                <w:rFonts w:hint="eastAsia" w:ascii="宋体" w:hAnsi="宋体" w:eastAsia="宋体" w:cs="宋体"/>
                <w:color w:val="auto"/>
                <w:sz w:val="21"/>
                <w:szCs w:val="21"/>
              </w:rPr>
              <w:t xml:space="preserve"> 国标清单</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rPr>
            </w:pPr>
            <w:bookmarkStart w:id="6" w:name="定额清单"/>
            <w:bookmarkEnd w:id="6"/>
            <w:permStart w:id="2" w:edGrp="everyone"/>
            <w:r>
              <w:rPr>
                <w:rFonts w:hint="eastAsia" w:ascii="宋体" w:hAnsi="宋体" w:eastAsia="宋体" w:cs="宋体"/>
                <w:color w:val="auto"/>
                <w:kern w:val="0"/>
                <w:sz w:val="21"/>
                <w:szCs w:val="21"/>
                <w:bdr w:val="single" w:color="auto" w:sz="4" w:space="0"/>
              </w:rPr>
              <w:t xml:space="preserve">  </w:t>
            </w:r>
            <w:permEnd w:id="2"/>
            <w:r>
              <w:rPr>
                <w:rFonts w:hint="eastAsia" w:ascii="宋体" w:hAnsi="宋体" w:eastAsia="宋体" w:cs="宋体"/>
                <w:color w:val="auto"/>
                <w:sz w:val="21"/>
                <w:szCs w:val="21"/>
              </w:rPr>
              <w:t>定额清单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1.4.1</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投标人资质条件、能力和信誉</w:t>
            </w:r>
          </w:p>
        </w:tc>
        <w:tc>
          <w:tcPr>
            <w:tcW w:w="6543" w:type="dxa"/>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FF0000"/>
                <w:sz w:val="21"/>
                <w:szCs w:val="21"/>
              </w:rPr>
            </w:pPr>
            <w:r>
              <w:rPr>
                <w:rFonts w:hint="eastAsia" w:ascii="宋体" w:hAnsi="宋体" w:eastAsia="宋体" w:cs="宋体"/>
                <w:color w:val="000000"/>
                <w:kern w:val="0"/>
                <w:sz w:val="21"/>
                <w:szCs w:val="21"/>
              </w:rPr>
              <w:t>资质条件：投标人须具有</w:t>
            </w:r>
            <w:r>
              <w:rPr>
                <w:rFonts w:hint="eastAsia" w:ascii="宋体" w:hAnsi="宋体" w:eastAsia="宋体" w:cs="宋体"/>
                <w:color w:val="000000"/>
                <w:kern w:val="0"/>
                <w:sz w:val="21"/>
                <w:szCs w:val="21"/>
                <w:lang w:eastAsia="zh-CN"/>
              </w:rPr>
              <w:t>建筑工程施工总承包三级及以上</w:t>
            </w:r>
            <w:r>
              <w:rPr>
                <w:rFonts w:hint="eastAsia" w:ascii="宋体" w:hAnsi="宋体" w:eastAsia="宋体" w:cs="宋体"/>
                <w:color w:val="000000"/>
                <w:kern w:val="0"/>
                <w:sz w:val="21"/>
                <w:szCs w:val="21"/>
              </w:rPr>
              <w:t>资质的独立法人，并在人员、设备、资金等方面具有相应的施工能力。</w:t>
            </w:r>
            <w:r>
              <w:rPr>
                <w:rFonts w:hint="eastAsia" w:ascii="宋体" w:hAnsi="宋体" w:eastAsia="宋体" w:cs="宋体"/>
                <w:color w:val="000000" w:themeColor="text1"/>
                <w:sz w:val="21"/>
                <w:szCs w:val="21"/>
                <w:lang w:eastAsia="zh-CN"/>
                <w14:textFill>
                  <w14:solidFill>
                    <w14:schemeClr w14:val="tx1"/>
                  </w14:solidFill>
                </w14:textFill>
              </w:rPr>
              <w:t>本工程不接受联合体和三资企业投标。</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lang w:eastAsia="zh-CN"/>
              </w:rPr>
            </w:pPr>
            <w:r>
              <w:rPr>
                <w:rFonts w:hint="eastAsia" w:ascii="宋体" w:hAnsi="宋体" w:eastAsia="宋体" w:cs="宋体"/>
                <w:color w:val="000000"/>
                <w:kern w:val="0"/>
                <w:sz w:val="21"/>
                <w:szCs w:val="21"/>
              </w:rPr>
              <w:t xml:space="preserve">业绩要求：/ </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信誉要求：/ </w:t>
            </w:r>
            <w:r>
              <w:rPr>
                <w:rFonts w:hint="eastAsia" w:ascii="宋体" w:hAnsi="宋体" w:eastAsia="宋体" w:cs="宋体"/>
                <w:color w:val="000000"/>
                <w:kern w:val="0"/>
                <w:sz w:val="21"/>
                <w:szCs w:val="21"/>
                <w:lang w:eastAsia="zh-CN"/>
              </w:rPr>
              <w:t>；</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rPr>
              <w:t>项目负责人：具有建筑工程专业二级及以上资格的注册建造师且为本单位在册人员【需提供社保处出具的开标前近 3 个月（</w:t>
            </w:r>
            <w:r>
              <w:rPr>
                <w:rFonts w:hint="eastAsia" w:ascii="宋体" w:hAnsi="宋体" w:eastAsia="宋体" w:cs="宋体"/>
                <w:color w:val="000000"/>
                <w:kern w:val="0"/>
                <w:sz w:val="21"/>
                <w:szCs w:val="21"/>
                <w:lang w:eastAsia="zh-CN"/>
              </w:rPr>
              <w:t>202</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 xml:space="preserve">年 </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 xml:space="preserve"> 月、</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 xml:space="preserve"> 月、</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lang w:eastAsia="zh-CN"/>
              </w:rPr>
              <w:t xml:space="preserve"> 月连续 3 个月</w:t>
            </w:r>
            <w:r>
              <w:rPr>
                <w:rFonts w:hint="eastAsia" w:ascii="宋体" w:hAnsi="宋体" w:eastAsia="宋体" w:cs="宋体"/>
                <w:color w:val="000000"/>
                <w:kern w:val="0"/>
                <w:sz w:val="21"/>
                <w:szCs w:val="21"/>
              </w:rPr>
              <w:t xml:space="preserve">）养老保险缴纳清单或个人缴纳对账单，如项目负责人为退休人员的，退休人员（65 周岁之内）须提供劳动合同和退休证，缴费单位（或代缴单位的委托单位）和投标人名称（或投标人分公司名称）须一致】。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themeColor="text1"/>
                <w:kern w:val="0"/>
                <w:sz w:val="21"/>
                <w:szCs w:val="21"/>
                <w14:textFill>
                  <w14:solidFill>
                    <w14:schemeClr w14:val="tx1"/>
                  </w14:solidFill>
                </w14:textFill>
              </w:rPr>
              <w:t>项目负责人须无在建工程且为浙江省建筑市场监督和诚信信息平台入库人员（浙江省建筑市场监督和诚信信息平台中人员证件信息在有效期内）。</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其他要求：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rPr>
              <w:t>①潜在投标人在投标时，企业不在被国家住房和城乡建设部或浙江省住房和城乡建设厅或企业注册所在地的建设行政主管部门或</w:t>
            </w:r>
            <w:r>
              <w:rPr>
                <w:rFonts w:hint="eastAsia" w:ascii="宋体" w:hAnsi="宋体" w:eastAsia="宋体" w:cs="宋体"/>
                <w:color w:val="000000"/>
                <w:kern w:val="0"/>
                <w:sz w:val="21"/>
                <w:szCs w:val="21"/>
                <w:lang w:eastAsia="zh-CN"/>
              </w:rPr>
              <w:t>东阳市</w:t>
            </w:r>
            <w:r>
              <w:rPr>
                <w:rFonts w:hint="eastAsia" w:ascii="宋体" w:hAnsi="宋体" w:eastAsia="宋体" w:cs="宋体"/>
                <w:color w:val="000000"/>
                <w:kern w:val="0"/>
                <w:sz w:val="21"/>
                <w:szCs w:val="21"/>
              </w:rPr>
              <w:t>住房和城乡建设局公示为不能投标的限制期限内</w:t>
            </w:r>
            <w:r>
              <w:rPr>
                <w:rFonts w:hint="eastAsia" w:ascii="宋体" w:hAnsi="宋体" w:eastAsia="宋体" w:cs="宋体"/>
                <w:color w:val="000000" w:themeColor="text1"/>
                <w:kern w:val="0"/>
                <w:sz w:val="21"/>
                <w:szCs w:val="21"/>
                <w14:textFill>
                  <w14:solidFill>
                    <w14:schemeClr w14:val="tx1"/>
                  </w14:solidFill>
                </w14:textFill>
              </w:rPr>
              <w:t xml:space="preserve">，未被“信用浙江”（ http://credit.zj.gov.cn/）列入失信被执行人；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②潜在投标人在投标时，项目负责人无因发生犯罪被判刑在执行期内（包括行贿犯罪判刑）；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rPr>
              <w:t>③ 潜在投标人在投标时，项目负责人不在被国家住房和城乡建设部或浙江省住房和城乡建设厅或企业注册所在地的建设行政主管部门或</w:t>
            </w:r>
            <w:r>
              <w:rPr>
                <w:rFonts w:hint="eastAsia" w:ascii="宋体" w:hAnsi="宋体" w:eastAsia="宋体" w:cs="宋体"/>
                <w:color w:val="000000"/>
                <w:kern w:val="0"/>
                <w:sz w:val="21"/>
                <w:szCs w:val="21"/>
                <w:lang w:eastAsia="zh-CN"/>
              </w:rPr>
              <w:t>东阳市</w:t>
            </w:r>
            <w:r>
              <w:rPr>
                <w:rFonts w:hint="eastAsia" w:ascii="宋体" w:hAnsi="宋体" w:eastAsia="宋体" w:cs="宋体"/>
                <w:color w:val="000000"/>
                <w:kern w:val="0"/>
                <w:sz w:val="21"/>
                <w:szCs w:val="21"/>
              </w:rPr>
              <w:t>住房和城乡建设局公示为不能投标的限制期限内</w:t>
            </w:r>
            <w:r>
              <w:rPr>
                <w:rFonts w:hint="eastAsia" w:ascii="宋体" w:hAnsi="宋体" w:eastAsia="宋体" w:cs="宋体"/>
                <w:color w:val="000000" w:themeColor="text1"/>
                <w:kern w:val="0"/>
                <w:sz w:val="21"/>
                <w:szCs w:val="21"/>
                <w14:textFill>
                  <w14:solidFill>
                    <w14:schemeClr w14:val="tx1"/>
                  </w14:solidFill>
                </w14:textFill>
              </w:rPr>
              <w:t>，未被“信用浙江”（ http://credit.zj.gov.cn/）列入失信被执行人；</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fldChar w:fldCharType="begin"/>
            </w:r>
            <w:r>
              <w:rPr>
                <w:rFonts w:hint="eastAsia" w:ascii="宋体" w:hAnsi="宋体" w:eastAsia="宋体" w:cs="宋体"/>
                <w:color w:val="000000"/>
                <w:kern w:val="0"/>
                <w:sz w:val="21"/>
                <w:szCs w:val="21"/>
              </w:rPr>
              <w:instrText xml:space="preserve"> = 4 \* GB3 \* MERGEFORMAT </w:instrText>
            </w:r>
            <w:r>
              <w:rPr>
                <w:rFonts w:hint="eastAsia" w:ascii="宋体" w:hAnsi="宋体" w:eastAsia="宋体" w:cs="宋体"/>
                <w:color w:val="000000"/>
                <w:kern w:val="0"/>
                <w:sz w:val="21"/>
                <w:szCs w:val="21"/>
              </w:rPr>
              <w:fldChar w:fldCharType="separate"/>
            </w:r>
            <w:r>
              <w:rPr>
                <w:rFonts w:hint="eastAsia" w:ascii="宋体" w:hAnsi="宋体" w:eastAsia="宋体" w:cs="宋体"/>
                <w:color w:val="000000"/>
                <w:kern w:val="0"/>
                <w:sz w:val="21"/>
                <w:szCs w:val="21"/>
              </w:rPr>
              <w:t>④</w:t>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潜在投标人在投标时，需提供上述三条要求的承诺书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踏勘现场</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lang w:eastAsia="zh-CN"/>
                <w14:textFill>
                  <w14:solidFill>
                    <w14:schemeClr w14:val="tx1"/>
                  </w14:solidFill>
                </w14:textFill>
              </w:rPr>
              <w:t>可</w:t>
            </w:r>
            <w:r>
              <w:rPr>
                <w:rFonts w:hint="eastAsia" w:ascii="宋体" w:hAnsi="宋体" w:eastAsia="宋体" w:cs="宋体"/>
                <w:color w:val="000000" w:themeColor="text1"/>
                <w:sz w:val="21"/>
                <w:szCs w:val="21"/>
                <w14:textFill>
                  <w14:solidFill>
                    <w14:schemeClr w14:val="tx1"/>
                  </w14:solidFill>
                </w14:textFill>
              </w:rPr>
              <w:t>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投标预备会</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11</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permStart w:id="3" w:edGrp="everyone"/>
            <w:r>
              <w:rPr>
                <w:rFonts w:hint="eastAsia" w:ascii="宋体" w:hAnsi="宋体" w:eastAsia="宋体" w:cs="宋体"/>
                <w:color w:val="000000" w:themeColor="text1"/>
                <w:kern w:val="0"/>
                <w:sz w:val="21"/>
                <w:szCs w:val="21"/>
                <w:bdr w:val="single" w:color="auto" w:sz="4" w:space="0"/>
                <w14:textFill>
                  <w14:solidFill>
                    <w14:schemeClr w14:val="tx1"/>
                  </w14:solidFill>
                </w14:textFill>
              </w:rPr>
              <w:t xml:space="preserve">  </w:t>
            </w:r>
            <w:permEnd w:id="3"/>
            <w:r>
              <w:rPr>
                <w:rFonts w:hint="eastAsia" w:ascii="宋体" w:hAnsi="宋体" w:eastAsia="宋体" w:cs="宋体"/>
                <w:color w:val="000000" w:themeColor="text1"/>
                <w:sz w:val="21"/>
                <w:szCs w:val="21"/>
                <w14:textFill>
                  <w14:solidFill>
                    <w14:schemeClr w14:val="tx1"/>
                  </w14:solidFill>
                </w14:textFill>
              </w:rPr>
              <w:t xml:space="preserve"> 不允许</w:t>
            </w:r>
            <w:permStart w:id="4" w:edGrp="everyone"/>
          </w:p>
          <w:permEnd w:id="4"/>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permStart w:id="5" w:edGrp="everyone"/>
            <w:bookmarkStart w:id="7" w:name="ed_24"/>
            <w:r>
              <w:rPr>
                <w:rFonts w:hint="eastAsia" w:ascii="宋体" w:hAnsi="宋体" w:eastAsia="宋体" w:cs="宋体"/>
                <w:color w:val="000000" w:themeColor="text1"/>
                <w:kern w:val="0"/>
                <w:sz w:val="21"/>
                <w:szCs w:val="21"/>
                <w:bdr w:val="single" w:color="auto" w:sz="4" w:space="0"/>
                <w14:textFill>
                  <w14:solidFill>
                    <w14:schemeClr w14:val="tx1"/>
                  </w14:solidFill>
                </w14:textFill>
              </w:rPr>
              <w:t>√</w:t>
            </w:r>
            <w:permEnd w:id="5"/>
            <w:bookmarkEnd w:id="7"/>
            <w:r>
              <w:rPr>
                <w:rFonts w:hint="eastAsia" w:ascii="宋体" w:hAnsi="宋体" w:eastAsia="宋体" w:cs="宋体"/>
                <w:color w:val="000000" w:themeColor="text1"/>
                <w:sz w:val="21"/>
                <w:szCs w:val="21"/>
                <w14:textFill>
                  <w14:solidFill>
                    <w14:schemeClr w14:val="tx1"/>
                  </w14:solidFill>
                </w14:textFill>
              </w:rPr>
              <w:t>允许,分包内容要求:</w:t>
            </w:r>
            <w:r>
              <w:rPr>
                <w:rFonts w:hint="eastAsia" w:ascii="宋体" w:hAnsi="宋体" w:eastAsia="宋体" w:cs="宋体"/>
                <w:b/>
                <w:bCs/>
                <w:i w:val="0"/>
                <w:iCs w:val="0"/>
                <w:sz w:val="21"/>
                <w:szCs w:val="21"/>
                <w:lang w:val="en-US" w:eastAsia="zh-CN"/>
              </w:rPr>
              <w:t>本工程承包人严禁转包且不得违法分包，施工 范围内的专业工程，如总承包单位无相应专项施工资质的，可将相应专项施工内容分包给有相应资质的单位进行施工。总承包人选择的分包单位必须得到发包人的认可后方可进行分包，禁止分包单位将其承包的工程再分包。</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分包金额要求：</w:t>
            </w:r>
            <w:r>
              <w:rPr>
                <w:rFonts w:hint="eastAsia" w:ascii="宋体" w:hAnsi="宋体" w:eastAsia="宋体" w:cs="宋体"/>
                <w:i w:val="0"/>
                <w:iCs w:val="0"/>
                <w:sz w:val="21"/>
                <w:szCs w:val="21"/>
                <w:lang w:val="en-US" w:eastAsia="zh-CN"/>
              </w:rPr>
              <w:t>按相关法律法规执行。</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接受分包的第三人资质要求：</w:t>
            </w:r>
            <w:r>
              <w:rPr>
                <w:rFonts w:hint="eastAsia" w:ascii="宋体" w:hAnsi="宋体" w:eastAsia="宋体" w:cs="宋体"/>
                <w:i w:val="0"/>
                <w:iCs w:val="0"/>
                <w:sz w:val="21"/>
                <w:szCs w:val="21"/>
                <w:lang w:val="en-US" w:eastAsia="zh-CN"/>
              </w:rPr>
              <w:t>按相关法律法规执行。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12</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偏离</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permStart w:id="6" w:edGrp="everyone"/>
            <w:r>
              <w:rPr>
                <w:rFonts w:hint="eastAsia" w:ascii="宋体" w:hAnsi="宋体" w:eastAsia="宋体" w:cs="宋体"/>
                <w:color w:val="000000" w:themeColor="text1"/>
                <w:kern w:val="0"/>
                <w:sz w:val="21"/>
                <w:szCs w:val="21"/>
                <w:bdr w:val="single" w:color="auto" w:sz="4" w:space="0"/>
                <w14:textFill>
                  <w14:solidFill>
                    <w14:schemeClr w14:val="tx1"/>
                  </w14:solidFill>
                </w14:textFill>
              </w:rPr>
              <w:t>√</w:t>
            </w:r>
            <w:permEnd w:id="6"/>
            <w:r>
              <w:rPr>
                <w:rFonts w:hint="eastAsia" w:ascii="宋体" w:hAnsi="宋体" w:eastAsia="宋体" w:cs="宋体"/>
                <w:color w:val="000000" w:themeColor="text1"/>
                <w:sz w:val="21"/>
                <w:szCs w:val="21"/>
                <w14:textFill>
                  <w14:solidFill>
                    <w14:schemeClr w14:val="tx1"/>
                  </w14:solidFill>
                </w14:textFill>
              </w:rPr>
              <w:t xml:space="preserve"> 不允许</w:t>
            </w:r>
            <w:permStart w:id="7" w:edGrp="everyone"/>
          </w:p>
          <w:permEnd w:id="7"/>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kern w:val="0"/>
                <w:sz w:val="21"/>
                <w:szCs w:val="21"/>
                <w:bdr w:val="single" w:color="auto" w:sz="4" w:space="0"/>
                <w14:textFill>
                  <w14:solidFill>
                    <w14:schemeClr w14:val="tx1"/>
                  </w14:solidFill>
                </w14:textFill>
              </w:rPr>
            </w:pPr>
            <w:permStart w:id="8" w:edGrp="everyone"/>
            <w:r>
              <w:rPr>
                <w:rFonts w:hint="eastAsia" w:ascii="宋体" w:hAnsi="宋体" w:eastAsia="宋体" w:cs="宋体"/>
                <w:color w:val="000000" w:themeColor="text1"/>
                <w:kern w:val="0"/>
                <w:sz w:val="21"/>
                <w:szCs w:val="21"/>
                <w:bdr w:val="single" w:color="auto" w:sz="4" w:space="0"/>
                <w14:textFill>
                  <w14:solidFill>
                    <w14:schemeClr w14:val="tx1"/>
                  </w14:solidFill>
                </w14:textFill>
              </w:rPr>
              <w:t xml:space="preserve">  </w:t>
            </w:r>
            <w:permEnd w:id="8"/>
            <w:r>
              <w:rPr>
                <w:rFonts w:hint="eastAsia" w:ascii="宋体" w:hAnsi="宋体" w:eastAsia="宋体" w:cs="宋体"/>
                <w:color w:val="000000" w:themeColor="text1"/>
                <w:sz w:val="21"/>
                <w:szCs w:val="21"/>
                <w14:textFill>
                  <w14:solidFill>
                    <w14:schemeClr w14:val="tx1"/>
                  </w14:solidFill>
                </w14:textFill>
              </w:rPr>
              <w:t xml:space="preserve"> 允许细微偏差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构成招标文件的其他材料</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对招标文件所作的澄清、修改或招标补充文件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t>.1</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投标人提疑的截止时间</w:t>
            </w:r>
          </w:p>
        </w:tc>
        <w:tc>
          <w:tcPr>
            <w:tcW w:w="6543" w:type="dxa"/>
            <w:vAlign w:val="center"/>
          </w:tcPr>
          <w:p>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9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7 </w:t>
            </w:r>
            <w:r>
              <w:rPr>
                <w:rFonts w:hint="eastAsia" w:ascii="宋体" w:hAnsi="宋体" w:eastAsia="宋体" w:cs="宋体"/>
                <w:color w:val="000000" w:themeColor="text1"/>
                <w:sz w:val="21"/>
                <w:szCs w:val="21"/>
                <w14:textFill>
                  <w14:solidFill>
                    <w14:schemeClr w14:val="tx1"/>
                  </w14:solidFill>
                </w14:textFill>
              </w:rPr>
              <w:t>日1</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t>.2</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招标人答疑（澄清）的时间</w:t>
            </w:r>
          </w:p>
        </w:tc>
        <w:tc>
          <w:tcPr>
            <w:tcW w:w="6543" w:type="dxa"/>
            <w:vAlign w:val="center"/>
          </w:tcPr>
          <w:p>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9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7 </w:t>
            </w:r>
            <w:r>
              <w:rPr>
                <w:rFonts w:hint="eastAsia" w:ascii="宋体" w:hAnsi="宋体" w:eastAsia="宋体" w:cs="宋体"/>
                <w:color w:val="000000" w:themeColor="text1"/>
                <w:sz w:val="21"/>
                <w:szCs w:val="21"/>
                <w14:textFill>
                  <w14:solidFill>
                    <w14:schemeClr w14:val="tx1"/>
                  </w14:solidFill>
                </w14:textFill>
              </w:rPr>
              <w:t>日17时00分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2.2.3</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w:t>
            </w:r>
          </w:p>
        </w:tc>
        <w:tc>
          <w:tcPr>
            <w:tcW w:w="6543" w:type="dxa"/>
            <w:vAlign w:val="center"/>
          </w:tcPr>
          <w:p>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auto"/>
                <w:sz w:val="21"/>
                <w:szCs w:val="21"/>
              </w:rPr>
              <w:t>202</w:t>
            </w: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年</w:t>
            </w:r>
            <w:r>
              <w:rPr>
                <w:rFonts w:hint="eastAsia" w:ascii="宋体" w:hAnsi="宋体" w:eastAsia="宋体" w:cs="宋体"/>
                <w:b/>
                <w:color w:val="auto"/>
                <w:sz w:val="21"/>
                <w:szCs w:val="21"/>
                <w:u w:val="single"/>
                <w:lang w:val="en-US" w:eastAsia="zh-CN"/>
              </w:rPr>
              <w:t xml:space="preserve"> 9 </w:t>
            </w:r>
            <w:r>
              <w:rPr>
                <w:rFonts w:hint="eastAsia" w:ascii="宋体" w:hAnsi="宋体" w:eastAsia="宋体" w:cs="宋体"/>
                <w:b/>
                <w:color w:val="auto"/>
                <w:sz w:val="21"/>
                <w:szCs w:val="21"/>
              </w:rPr>
              <w:t>月</w:t>
            </w:r>
            <w:r>
              <w:rPr>
                <w:rFonts w:hint="eastAsia" w:ascii="宋体" w:hAnsi="宋体" w:eastAsia="宋体" w:cs="宋体"/>
                <w:b/>
                <w:color w:val="auto"/>
                <w:sz w:val="21"/>
                <w:szCs w:val="21"/>
                <w:u w:val="single"/>
                <w:lang w:val="en-US" w:eastAsia="zh-CN"/>
              </w:rPr>
              <w:t xml:space="preserve"> 10 </w:t>
            </w:r>
            <w:r>
              <w:rPr>
                <w:rFonts w:hint="eastAsia" w:ascii="宋体" w:hAnsi="宋体" w:eastAsia="宋体" w:cs="宋体"/>
                <w:b/>
                <w:color w:val="auto"/>
                <w:sz w:val="21"/>
                <w:szCs w:val="21"/>
              </w:rPr>
              <w:t>日</w:t>
            </w:r>
            <w:r>
              <w:rPr>
                <w:rFonts w:hint="eastAsia" w:ascii="宋体" w:hAnsi="宋体" w:eastAsia="宋体" w:cs="宋体"/>
                <w:b/>
                <w:color w:val="auto"/>
                <w:sz w:val="21"/>
                <w:szCs w:val="21"/>
                <w:lang w:val="en-US" w:eastAsia="zh-CN"/>
              </w:rPr>
              <w:t>9</w:t>
            </w:r>
            <w:r>
              <w:rPr>
                <w:rFonts w:hint="eastAsia" w:ascii="宋体" w:hAnsi="宋体" w:eastAsia="宋体" w:cs="宋体"/>
                <w:b/>
                <w:color w:val="auto"/>
                <w:sz w:val="21"/>
                <w:szCs w:val="21"/>
              </w:rPr>
              <w:t>时</w:t>
            </w:r>
            <w:r>
              <w:rPr>
                <w:rFonts w:hint="eastAsia" w:ascii="宋体" w:hAnsi="宋体" w:eastAsia="宋体" w:cs="宋体"/>
                <w:b/>
                <w:color w:val="auto"/>
                <w:sz w:val="21"/>
                <w:szCs w:val="21"/>
                <w:lang w:val="en-US" w:eastAsia="zh-CN"/>
              </w:rPr>
              <w:t>00</w:t>
            </w:r>
            <w:r>
              <w:rPr>
                <w:rFonts w:hint="eastAsia" w:ascii="宋体" w:hAnsi="宋体" w:eastAsia="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构成投标文件的其他材料</w:t>
            </w:r>
          </w:p>
        </w:tc>
        <w:tc>
          <w:tcPr>
            <w:tcW w:w="6543" w:type="dxa"/>
            <w:vAlign w:val="center"/>
          </w:tcPr>
          <w:p>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投标人认为应附的其他材料。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3.2.3</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招标控制价及最高限价</w:t>
            </w:r>
          </w:p>
        </w:tc>
        <w:tc>
          <w:tcPr>
            <w:tcW w:w="6543" w:type="dxa"/>
            <w:vAlign w:val="center"/>
          </w:tcPr>
          <w:p>
            <w:pPr>
              <w:keepNext w:val="0"/>
              <w:keepLines w:val="0"/>
              <w:pageBreakBefore w:val="0"/>
              <w:kinsoku/>
              <w:wordWrap/>
              <w:overflowPunct/>
              <w:topLinePunct w:val="0"/>
              <w:autoSpaceDE/>
              <w:autoSpaceDN/>
              <w:bidi w:val="0"/>
              <w:adjustRightInd w:val="0"/>
              <w:snapToGrid w:val="0"/>
              <w:spacing w:line="400" w:lineRule="exact"/>
              <w:rPr>
                <w:rFonts w:hint="eastAsia" w:ascii="宋体" w:hAnsi="宋体" w:eastAsia="宋体" w:cs="宋体"/>
                <w:i w:val="0"/>
                <w:iCs w:val="0"/>
                <w:sz w:val="21"/>
                <w:szCs w:val="21"/>
              </w:rPr>
            </w:pPr>
            <w:r>
              <w:rPr>
                <w:rFonts w:hint="eastAsia" w:ascii="宋体" w:hAnsi="宋体" w:eastAsia="宋体" w:cs="宋体"/>
                <w:i w:val="0"/>
                <w:iCs w:val="0"/>
                <w:sz w:val="21"/>
                <w:szCs w:val="21"/>
              </w:rPr>
              <w:t>招标控制价是招标人根据国家或省级、行业建设主管部门颁发的有关计价依据和办法，以及拟定的招标文件和招标工程量清单，结合工程具体情况编制的招标工程的最高投标限价。</w:t>
            </w:r>
          </w:p>
          <w:p>
            <w:pPr>
              <w:spacing w:line="400" w:lineRule="exact"/>
              <w:rPr>
                <w:rFonts w:hint="eastAsia" w:ascii="宋体" w:hAnsi="宋体" w:cs="宋体"/>
                <w:b/>
                <w:bCs w:val="0"/>
                <w:szCs w:val="21"/>
              </w:rPr>
            </w:pPr>
            <w:r>
              <w:rPr>
                <w:rFonts w:hint="eastAsia" w:ascii="宋体" w:hAnsi="宋体" w:eastAsia="宋体" w:cs="宋体"/>
                <w:b/>
                <w:bCs/>
                <w:color w:val="auto"/>
                <w:sz w:val="21"/>
                <w:szCs w:val="21"/>
              </w:rPr>
              <w:t>本工程</w:t>
            </w:r>
            <w:r>
              <w:rPr>
                <w:rFonts w:hint="eastAsia" w:ascii="宋体" w:hAnsi="宋体" w:eastAsia="宋体" w:cs="宋体"/>
                <w:b/>
                <w:bCs/>
                <w:color w:val="auto"/>
                <w:sz w:val="21"/>
                <w:szCs w:val="21"/>
                <w:lang w:eastAsia="zh-CN"/>
              </w:rPr>
              <w:t>招标控制价</w:t>
            </w:r>
            <w:r>
              <w:rPr>
                <w:rFonts w:hint="eastAsia" w:ascii="宋体" w:hAnsi="宋体" w:eastAsia="宋体" w:cs="宋体"/>
                <w:b/>
                <w:bCs/>
                <w:color w:val="auto"/>
                <w:sz w:val="21"/>
                <w:szCs w:val="21"/>
              </w:rPr>
              <w:t>为</w:t>
            </w:r>
            <w:r>
              <w:rPr>
                <w:rFonts w:hint="eastAsia" w:ascii="宋体" w:hAnsi="宋体" w:eastAsia="宋体" w:cs="宋体"/>
                <w:b/>
                <w:bCs/>
                <w:color w:val="auto"/>
                <w:sz w:val="21"/>
                <w:szCs w:val="21"/>
                <w:lang w:val="en-US" w:eastAsia="zh-CN"/>
              </w:rPr>
              <w:t>883773元</w:t>
            </w:r>
            <w:r>
              <w:rPr>
                <w:rFonts w:hint="eastAsia" w:ascii="宋体" w:hAnsi="宋体"/>
                <w:b/>
                <w:bCs/>
                <w:color w:val="auto"/>
                <w:szCs w:val="21"/>
                <w:lang w:val="en-US" w:eastAsia="zh-CN"/>
              </w:rPr>
              <w:t>(其中暂定价31610元）</w:t>
            </w:r>
            <w:r>
              <w:rPr>
                <w:rFonts w:hint="eastAsia" w:ascii="宋体" w:hAnsi="宋体" w:eastAsia="宋体" w:cs="宋体"/>
                <w:b/>
                <w:bCs/>
                <w:color w:val="auto"/>
                <w:sz w:val="21"/>
                <w:szCs w:val="21"/>
                <w:lang w:val="en-US" w:eastAsia="zh-CN"/>
              </w:rPr>
              <w:t>，招标控制价</w:t>
            </w:r>
            <w:r>
              <w:rPr>
                <w:rFonts w:hint="eastAsia" w:ascii="宋体" w:hAnsi="宋体" w:cs="宋体"/>
                <w:b/>
                <w:bCs w:val="0"/>
                <w:szCs w:val="21"/>
              </w:rPr>
              <w:t>下浮</w:t>
            </w:r>
            <w:r>
              <w:rPr>
                <w:rFonts w:hint="eastAsia" w:ascii="宋体" w:hAnsi="宋体" w:cs="宋体"/>
                <w:b/>
                <w:bCs w:val="0"/>
                <w:szCs w:val="21"/>
                <w:lang w:val="en-US" w:eastAsia="zh-CN"/>
              </w:rPr>
              <w:t>2</w:t>
            </w:r>
            <w:r>
              <w:rPr>
                <w:rFonts w:hint="eastAsia" w:ascii="宋体" w:hAnsi="宋体" w:cs="宋体"/>
                <w:b/>
                <w:bCs w:val="0"/>
                <w:szCs w:val="21"/>
              </w:rPr>
              <w:t>%（暂定价不下浮）后的值作为最高限价。其计算公式为：</w:t>
            </w:r>
          </w:p>
          <w:p>
            <w:pPr>
              <w:spacing w:line="400" w:lineRule="exact"/>
              <w:rPr>
                <w:rFonts w:hint="eastAsia" w:ascii="宋体" w:hAnsi="宋体" w:cs="宋体" w:eastAsiaTheme="minorEastAsia"/>
                <w:b/>
                <w:bCs w:val="0"/>
                <w:szCs w:val="21"/>
                <w:lang w:eastAsia="zh-CN"/>
              </w:rPr>
            </w:pPr>
            <w:r>
              <w:rPr>
                <w:rFonts w:hint="eastAsia" w:ascii="宋体" w:hAnsi="宋体" w:cs="宋体"/>
                <w:b/>
                <w:bCs w:val="0"/>
                <w:iCs/>
                <w:snapToGrid w:val="0"/>
                <w:szCs w:val="21"/>
              </w:rPr>
              <w:t>最高限价＝（</w:t>
            </w:r>
            <w:r>
              <w:rPr>
                <w:rFonts w:hint="eastAsia" w:ascii="宋体" w:hAnsi="宋体" w:cs="宋体"/>
                <w:b/>
                <w:bCs w:val="0"/>
                <w:iCs/>
                <w:snapToGrid w:val="0"/>
                <w:szCs w:val="21"/>
                <w:lang w:eastAsia="zh-CN"/>
              </w:rPr>
              <w:t>招标控制价</w:t>
            </w:r>
            <w:r>
              <w:rPr>
                <w:rFonts w:hint="eastAsia" w:ascii="宋体" w:hAnsi="宋体" w:cs="宋体"/>
                <w:b/>
                <w:bCs w:val="0"/>
                <w:iCs/>
                <w:snapToGrid w:val="0"/>
                <w:szCs w:val="21"/>
              </w:rPr>
              <w:t>-</w:t>
            </w:r>
            <w:r>
              <w:rPr>
                <w:rFonts w:hint="eastAsia" w:ascii="宋体" w:hAnsi="宋体" w:cs="宋体"/>
                <w:b/>
                <w:bCs w:val="0"/>
                <w:szCs w:val="21"/>
              </w:rPr>
              <w:t>暂定价</w:t>
            </w:r>
            <w:r>
              <w:rPr>
                <w:rFonts w:hint="eastAsia" w:ascii="宋体" w:hAnsi="宋体" w:cs="宋体"/>
                <w:b/>
                <w:bCs w:val="0"/>
                <w:iCs/>
                <w:snapToGrid w:val="0"/>
                <w:szCs w:val="21"/>
              </w:rPr>
              <w:t>）×9</w:t>
            </w:r>
            <w:r>
              <w:rPr>
                <w:rFonts w:hint="eastAsia" w:ascii="宋体" w:hAnsi="宋体" w:cs="宋体"/>
                <w:b/>
                <w:bCs w:val="0"/>
                <w:iCs/>
                <w:snapToGrid w:val="0"/>
                <w:szCs w:val="21"/>
                <w:lang w:val="en-US" w:eastAsia="zh-CN"/>
              </w:rPr>
              <w:t>8</w:t>
            </w:r>
            <w:r>
              <w:rPr>
                <w:rFonts w:hint="eastAsia" w:ascii="宋体" w:hAnsi="宋体" w:cs="宋体"/>
                <w:b/>
                <w:bCs w:val="0"/>
                <w:iCs/>
                <w:snapToGrid w:val="0"/>
                <w:szCs w:val="21"/>
              </w:rPr>
              <w:t xml:space="preserve">% + </w:t>
            </w:r>
            <w:r>
              <w:rPr>
                <w:rFonts w:hint="eastAsia" w:ascii="宋体" w:hAnsi="宋体" w:cs="宋体"/>
                <w:b/>
                <w:bCs w:val="0"/>
                <w:szCs w:val="21"/>
              </w:rPr>
              <w:t>暂</w:t>
            </w:r>
            <w:r>
              <w:rPr>
                <w:rFonts w:hint="eastAsia" w:ascii="宋体" w:hAnsi="宋体" w:cs="宋体"/>
                <w:b/>
                <w:bCs w:val="0"/>
                <w:szCs w:val="21"/>
                <w:lang w:eastAsia="zh-CN"/>
              </w:rPr>
              <w:t>定价</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
                <w:bCs w:val="0"/>
                <w:szCs w:val="21"/>
              </w:rPr>
              <w:t>最高限价</w:t>
            </w:r>
            <w:r>
              <w:rPr>
                <w:rFonts w:hint="eastAsia" w:ascii="宋体" w:hAnsi="宋体" w:eastAsia="宋体" w:cs="宋体"/>
                <w:b/>
                <w:bCs w:val="0"/>
                <w:color w:val="auto"/>
                <w:sz w:val="21"/>
                <w:szCs w:val="21"/>
                <w:u w:val="single"/>
                <w:lang w:val="en-US" w:eastAsia="zh-CN"/>
              </w:rPr>
              <w:t>866729.74</w:t>
            </w:r>
            <w:r>
              <w:rPr>
                <w:rFonts w:hint="eastAsia" w:ascii="宋体" w:hAnsi="宋体" w:cs="宋体"/>
                <w:b/>
                <w:bCs w:val="0"/>
                <w:szCs w:val="21"/>
              </w:rPr>
              <w:t>元，</w:t>
            </w:r>
            <w:r>
              <w:rPr>
                <w:rFonts w:hint="eastAsia" w:ascii="宋体" w:hAnsi="宋体" w:cs="宋体"/>
                <w:b/>
                <w:bCs w:val="0"/>
                <w:iCs/>
                <w:snapToGrid w:val="0"/>
                <w:szCs w:val="21"/>
              </w:rPr>
              <w:t>报价大于或等于最高限价者为废标。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6543"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3.4.1</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i w:val="0"/>
                <w:iCs w:val="0"/>
                <w:sz w:val="21"/>
                <w:szCs w:val="21"/>
              </w:rPr>
            </w:pPr>
            <w:r>
              <w:rPr>
                <w:rFonts w:hint="eastAsia" w:ascii="宋体" w:hAnsi="宋体" w:eastAsia="宋体" w:cs="宋体"/>
                <w:i w:val="0"/>
                <w:iCs w:val="0"/>
                <w:sz w:val="21"/>
                <w:szCs w:val="21"/>
              </w:rPr>
              <w:t>投标保证金形式：以银行转账形式从企业基本帐户汇出。</w:t>
            </w:r>
          </w:p>
          <w:p>
            <w:pPr>
              <w:keepNext w:val="0"/>
              <w:keepLines w:val="0"/>
              <w:pageBreakBefore w:val="0"/>
              <w:kinsoku/>
              <w:wordWrap/>
              <w:overflowPunct/>
              <w:topLinePunct w:val="0"/>
              <w:autoSpaceDE/>
              <w:autoSpaceDN/>
              <w:bidi w:val="0"/>
              <w:spacing w:line="400" w:lineRule="exact"/>
              <w:rPr>
                <w:rFonts w:hint="eastAsia" w:ascii="宋体" w:hAnsi="宋体" w:eastAsia="宋体" w:cs="宋体"/>
                <w:i w:val="0"/>
                <w:iCs w:val="0"/>
                <w:sz w:val="21"/>
                <w:szCs w:val="21"/>
              </w:rPr>
            </w:pPr>
            <w:r>
              <w:rPr>
                <w:rFonts w:hint="eastAsia" w:ascii="宋体" w:hAnsi="宋体" w:eastAsia="宋体" w:cs="宋体"/>
                <w:i w:val="0"/>
                <w:iCs w:val="0"/>
                <w:sz w:val="21"/>
                <w:szCs w:val="21"/>
              </w:rPr>
              <w:t>项目投标保证金的金额：</w:t>
            </w:r>
            <w:r>
              <w:rPr>
                <w:rFonts w:hint="eastAsia" w:ascii="宋体" w:hAnsi="宋体" w:eastAsia="宋体" w:cs="宋体"/>
                <w:b/>
                <w:bCs/>
                <w:i w:val="0"/>
                <w:iCs w:val="0"/>
                <w:sz w:val="21"/>
                <w:szCs w:val="21"/>
              </w:rPr>
              <w:t>人民币</w:t>
            </w:r>
            <w:r>
              <w:rPr>
                <w:rFonts w:hint="eastAsia" w:ascii="宋体" w:hAnsi="宋体" w:eastAsia="宋体" w:cs="宋体"/>
                <w:b/>
                <w:bCs/>
                <w:i w:val="0"/>
                <w:iCs w:val="0"/>
                <w:sz w:val="21"/>
                <w:szCs w:val="21"/>
                <w:u w:val="single"/>
                <w:lang w:val="en-US" w:eastAsia="zh-CN"/>
              </w:rPr>
              <w:t xml:space="preserve"> 1 </w:t>
            </w:r>
            <w:r>
              <w:rPr>
                <w:rFonts w:hint="eastAsia" w:ascii="宋体" w:hAnsi="宋体" w:eastAsia="宋体" w:cs="宋体"/>
                <w:b/>
                <w:bCs/>
                <w:i w:val="0"/>
                <w:iCs w:val="0"/>
                <w:sz w:val="21"/>
                <w:szCs w:val="21"/>
                <w:u w:val="none"/>
                <w:lang w:eastAsia="zh-CN"/>
              </w:rPr>
              <w:t>万</w:t>
            </w:r>
            <w:r>
              <w:rPr>
                <w:rFonts w:hint="eastAsia" w:ascii="宋体" w:hAnsi="宋体" w:eastAsia="宋体" w:cs="宋体"/>
                <w:b/>
                <w:bCs/>
                <w:i w:val="0"/>
                <w:iCs w:val="0"/>
                <w:sz w:val="21"/>
                <w:szCs w:val="21"/>
              </w:rPr>
              <w:t>元</w:t>
            </w:r>
            <w:r>
              <w:rPr>
                <w:rFonts w:hint="eastAsia" w:ascii="宋体" w:hAnsi="宋体" w:eastAsia="宋体" w:cs="宋体"/>
                <w:i w:val="0"/>
                <w:iCs w:val="0"/>
                <w:sz w:val="21"/>
                <w:szCs w:val="21"/>
              </w:rPr>
              <w:t xml:space="preserve">   </w:t>
            </w:r>
          </w:p>
          <w:p>
            <w:pPr>
              <w:keepNext w:val="0"/>
              <w:keepLines w:val="0"/>
              <w:pageBreakBefore w:val="0"/>
              <w:kinsoku/>
              <w:wordWrap/>
              <w:overflowPunct/>
              <w:topLinePunct w:val="0"/>
              <w:autoSpaceDE/>
              <w:autoSpaceDN/>
              <w:bidi w:val="0"/>
              <w:spacing w:line="400" w:lineRule="exact"/>
              <w:rPr>
                <w:rFonts w:hint="eastAsia" w:ascii="宋体" w:hAnsi="宋体" w:eastAsia="宋体" w:cs="宋体"/>
                <w:i w:val="0"/>
                <w:iCs w:val="0"/>
                <w:sz w:val="21"/>
                <w:szCs w:val="21"/>
              </w:rPr>
            </w:pPr>
            <w:r>
              <w:rPr>
                <w:rFonts w:hint="eastAsia" w:ascii="宋体" w:hAnsi="宋体" w:eastAsia="宋体" w:cs="宋体"/>
                <w:i w:val="0"/>
                <w:iCs w:val="0"/>
                <w:sz w:val="21"/>
                <w:szCs w:val="21"/>
              </w:rPr>
              <w:t>截止时间：</w:t>
            </w:r>
            <w:r>
              <w:rPr>
                <w:rFonts w:hint="eastAsia" w:ascii="宋体" w:hAnsi="宋体" w:eastAsia="宋体" w:cs="宋体"/>
                <w:i w:val="0"/>
                <w:iCs w:val="0"/>
                <w:color w:val="FF0000"/>
                <w:sz w:val="21"/>
                <w:szCs w:val="21"/>
              </w:rPr>
              <w:t xml:space="preserve"> </w:t>
            </w:r>
            <w:r>
              <w:rPr>
                <w:rFonts w:hint="eastAsia" w:ascii="宋体" w:hAnsi="宋体" w:eastAsia="宋体" w:cs="宋体"/>
                <w:i w:val="0"/>
                <w:iCs w:val="0"/>
                <w:color w:val="auto"/>
                <w:sz w:val="21"/>
                <w:szCs w:val="21"/>
                <w:u w:val="single"/>
              </w:rPr>
              <w:t>20</w:t>
            </w:r>
            <w:r>
              <w:rPr>
                <w:rFonts w:hint="eastAsia" w:ascii="宋体" w:hAnsi="宋体" w:eastAsia="宋体" w:cs="宋体"/>
                <w:i w:val="0"/>
                <w:iCs w:val="0"/>
                <w:color w:val="auto"/>
                <w:sz w:val="21"/>
                <w:szCs w:val="21"/>
                <w:u w:val="single"/>
                <w:lang w:val="en-US" w:eastAsia="zh-CN"/>
              </w:rPr>
              <w:t>21</w:t>
            </w:r>
            <w:r>
              <w:rPr>
                <w:rFonts w:hint="eastAsia" w:ascii="宋体" w:hAnsi="宋体" w:eastAsia="宋体" w:cs="宋体"/>
                <w:i w:val="0"/>
                <w:iCs w:val="0"/>
                <w:color w:val="auto"/>
                <w:sz w:val="21"/>
                <w:szCs w:val="21"/>
                <w:u w:val="single"/>
              </w:rPr>
              <w:t>年</w:t>
            </w:r>
            <w:r>
              <w:rPr>
                <w:rFonts w:hint="eastAsia" w:ascii="宋体" w:hAnsi="宋体" w:eastAsia="宋体" w:cs="宋体"/>
                <w:i w:val="0"/>
                <w:iCs w:val="0"/>
                <w:color w:val="auto"/>
                <w:sz w:val="21"/>
                <w:szCs w:val="21"/>
                <w:u w:val="single"/>
                <w:lang w:val="en-US" w:eastAsia="zh-CN"/>
              </w:rPr>
              <w:t xml:space="preserve"> 9 </w:t>
            </w:r>
            <w:r>
              <w:rPr>
                <w:rFonts w:hint="eastAsia" w:ascii="宋体" w:hAnsi="宋体" w:eastAsia="宋体" w:cs="宋体"/>
                <w:i w:val="0"/>
                <w:iCs w:val="0"/>
                <w:color w:val="auto"/>
                <w:sz w:val="21"/>
                <w:szCs w:val="21"/>
                <w:u w:val="single"/>
              </w:rPr>
              <w:t>月</w:t>
            </w:r>
            <w:r>
              <w:rPr>
                <w:rFonts w:hint="eastAsia" w:ascii="宋体" w:hAnsi="宋体" w:eastAsia="宋体" w:cs="宋体"/>
                <w:i w:val="0"/>
                <w:iCs w:val="0"/>
                <w:color w:val="auto"/>
                <w:sz w:val="21"/>
                <w:szCs w:val="21"/>
                <w:u w:val="single"/>
                <w:lang w:val="en-US" w:eastAsia="zh-CN"/>
              </w:rPr>
              <w:t xml:space="preserve"> 9 </w:t>
            </w:r>
            <w:r>
              <w:rPr>
                <w:rFonts w:hint="eastAsia" w:ascii="宋体" w:hAnsi="宋体" w:eastAsia="宋体" w:cs="宋体"/>
                <w:i w:val="0"/>
                <w:iCs w:val="0"/>
                <w:color w:val="auto"/>
                <w:sz w:val="21"/>
                <w:szCs w:val="21"/>
                <w:u w:val="single"/>
              </w:rPr>
              <w:t>日</w:t>
            </w:r>
            <w:r>
              <w:rPr>
                <w:rFonts w:hint="eastAsia" w:ascii="宋体" w:hAnsi="宋体" w:eastAsia="宋体" w:cs="宋体"/>
                <w:i w:val="0"/>
                <w:iCs w:val="0"/>
                <w:sz w:val="21"/>
                <w:szCs w:val="21"/>
              </w:rPr>
              <w:t>（以到账时间为准）</w:t>
            </w:r>
          </w:p>
          <w:p>
            <w:pPr>
              <w:keepNext w:val="0"/>
              <w:keepLines w:val="0"/>
              <w:pageBreakBefore w:val="0"/>
              <w:kinsoku/>
              <w:wordWrap/>
              <w:overflowPunct/>
              <w:topLinePunct w:val="0"/>
              <w:autoSpaceDE/>
              <w:autoSpaceDN/>
              <w:bidi w:val="0"/>
              <w:spacing w:line="400" w:lineRule="exact"/>
              <w:rPr>
                <w:rFonts w:hint="eastAsia" w:ascii="宋体" w:hAnsi="宋体" w:eastAsia="宋体" w:cs="宋体"/>
                <w:b/>
                <w:bCs/>
                <w:i w:val="0"/>
                <w:iCs w:val="0"/>
                <w:sz w:val="21"/>
                <w:szCs w:val="21"/>
              </w:rPr>
            </w:pPr>
            <w:r>
              <w:rPr>
                <w:rFonts w:hint="eastAsia" w:ascii="宋体" w:hAnsi="宋体" w:eastAsia="宋体" w:cs="宋体"/>
                <w:b/>
                <w:bCs/>
                <w:i w:val="0"/>
                <w:iCs w:val="0"/>
                <w:sz w:val="21"/>
                <w:szCs w:val="21"/>
              </w:rPr>
              <w:t>账户全称</w:t>
            </w:r>
            <w:r>
              <w:rPr>
                <w:rFonts w:hint="eastAsia" w:ascii="宋体" w:hAnsi="宋体" w:eastAsia="宋体" w:cs="宋体"/>
                <w:i w:val="0"/>
                <w:iCs w:val="0"/>
                <w:sz w:val="21"/>
                <w:szCs w:val="21"/>
              </w:rPr>
              <w:t>：</w:t>
            </w:r>
            <w:r>
              <w:rPr>
                <w:rFonts w:hint="eastAsia" w:ascii="宋体" w:hAnsi="宋体" w:eastAsia="宋体" w:cs="宋体"/>
                <w:b/>
                <w:bCs/>
                <w:i w:val="0"/>
                <w:iCs w:val="0"/>
                <w:sz w:val="21"/>
                <w:szCs w:val="21"/>
                <w:lang w:eastAsia="zh-CN"/>
              </w:rPr>
              <w:t>金华市金诚招投标代理有限公司</w:t>
            </w:r>
            <w:r>
              <w:rPr>
                <w:rFonts w:hint="eastAsia" w:ascii="宋体" w:hAnsi="宋体" w:eastAsia="宋体" w:cs="宋体"/>
                <w:i w:val="0"/>
                <w:iCs w:val="0"/>
                <w:sz w:val="21"/>
                <w:szCs w:val="21"/>
              </w:rPr>
              <w:t>；</w:t>
            </w:r>
            <w:r>
              <w:rPr>
                <w:rFonts w:hint="eastAsia" w:ascii="宋体" w:hAnsi="宋体" w:eastAsia="宋体" w:cs="宋体"/>
                <w:b/>
                <w:bCs/>
                <w:i w:val="0"/>
                <w:iCs w:val="0"/>
                <w:sz w:val="21"/>
                <w:szCs w:val="21"/>
              </w:rPr>
              <w:t xml:space="preserve">  </w:t>
            </w:r>
          </w:p>
          <w:p>
            <w:pPr>
              <w:keepNext w:val="0"/>
              <w:keepLines w:val="0"/>
              <w:pageBreakBefore w:val="0"/>
              <w:kinsoku/>
              <w:wordWrap/>
              <w:overflowPunct/>
              <w:topLinePunct w:val="0"/>
              <w:autoSpaceDE/>
              <w:autoSpaceDN/>
              <w:bidi w:val="0"/>
              <w:spacing w:line="400" w:lineRule="exact"/>
              <w:rPr>
                <w:rFonts w:hint="eastAsia" w:ascii="宋体" w:hAnsi="宋体" w:eastAsia="宋体" w:cs="宋体"/>
                <w:b/>
                <w:bCs/>
                <w:i w:val="0"/>
                <w:iCs w:val="0"/>
                <w:sz w:val="21"/>
                <w:szCs w:val="21"/>
                <w:lang w:val="en-US" w:eastAsia="zh-CN"/>
              </w:rPr>
            </w:pPr>
            <w:r>
              <w:rPr>
                <w:rFonts w:hint="eastAsia" w:ascii="宋体" w:hAnsi="宋体" w:eastAsia="宋体" w:cs="宋体"/>
                <w:b/>
                <w:bCs/>
                <w:i w:val="0"/>
                <w:iCs w:val="0"/>
                <w:sz w:val="21"/>
                <w:szCs w:val="21"/>
              </w:rPr>
              <w:t>账号</w:t>
            </w:r>
            <w:r>
              <w:rPr>
                <w:rFonts w:hint="eastAsia" w:ascii="宋体" w:hAnsi="宋体" w:eastAsia="宋体" w:cs="宋体"/>
                <w:b/>
                <w:bCs/>
                <w:i w:val="0"/>
                <w:iCs w:val="0"/>
                <w:sz w:val="21"/>
                <w:szCs w:val="21"/>
                <w:lang w:eastAsia="zh-CN"/>
              </w:rPr>
              <w:t>：</w:t>
            </w:r>
            <w:r>
              <w:rPr>
                <w:rFonts w:hint="eastAsia" w:ascii="宋体" w:hAnsi="宋体" w:eastAsia="宋体" w:cs="宋体"/>
                <w:b/>
                <w:bCs/>
                <w:i w:val="0"/>
                <w:iCs w:val="0"/>
                <w:sz w:val="21"/>
                <w:szCs w:val="21"/>
                <w:lang w:val="en-US" w:eastAsia="zh-CN"/>
              </w:rPr>
              <w:t>356090100100124651</w:t>
            </w:r>
          </w:p>
          <w:p>
            <w:pPr>
              <w:keepNext w:val="0"/>
              <w:keepLines w:val="0"/>
              <w:pageBreakBefore w:val="0"/>
              <w:widowControl/>
              <w:kinsoku/>
              <w:wordWrap/>
              <w:overflowPunct/>
              <w:topLinePunct w:val="0"/>
              <w:autoSpaceDE/>
              <w:autoSpaceDN/>
              <w:bidi w:val="0"/>
              <w:adjustRightInd/>
              <w:spacing w:beforeAutospacing="0" w:afterAutospacing="0" w:line="400" w:lineRule="exact"/>
              <w:jc w:val="both"/>
              <w:textAlignment w:val="baseline"/>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i w:val="0"/>
                <w:iCs w:val="0"/>
                <w:sz w:val="21"/>
                <w:szCs w:val="21"/>
                <w:lang w:val="en-US" w:eastAsia="zh-CN"/>
              </w:rPr>
              <w:t>开户行：兴业银行金华东阳支行</w:t>
            </w:r>
            <w:r>
              <w:rPr>
                <w:rFonts w:hint="eastAsia" w:ascii="宋体" w:hAnsi="宋体" w:eastAsia="宋体" w:cs="宋体"/>
                <w:b/>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是否允许递交备选投标方案</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permStart w:id="9" w:edGrp="everyone"/>
            <w:r>
              <w:rPr>
                <w:rFonts w:hint="eastAsia" w:ascii="宋体" w:hAnsi="宋体" w:eastAsia="宋体" w:cs="宋体"/>
                <w:color w:val="000000" w:themeColor="text1"/>
                <w:kern w:val="0"/>
                <w:sz w:val="21"/>
                <w:szCs w:val="21"/>
                <w:bdr w:val="single" w:color="auto" w:sz="4" w:space="0"/>
                <w14:textFill>
                  <w14:solidFill>
                    <w14:schemeClr w14:val="tx1"/>
                  </w14:solidFill>
                </w14:textFill>
              </w:rPr>
              <w:t>√</w:t>
            </w:r>
            <w:permEnd w:id="9"/>
            <w:r>
              <w:rPr>
                <w:rFonts w:hint="eastAsia" w:ascii="宋体" w:hAnsi="宋体" w:eastAsia="宋体" w:cs="宋体"/>
                <w:color w:val="000000" w:themeColor="text1"/>
                <w:sz w:val="21"/>
                <w:szCs w:val="21"/>
                <w14:textFill>
                  <w14:solidFill>
                    <w14:schemeClr w14:val="tx1"/>
                  </w14:solidFill>
                </w14:textFill>
              </w:rPr>
              <w:t xml:space="preserve"> 不允许</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permStart w:id="10" w:edGrp="everyone"/>
            <w:r>
              <w:rPr>
                <w:rFonts w:hint="eastAsia" w:ascii="宋体" w:hAnsi="宋体" w:eastAsia="宋体" w:cs="宋体"/>
                <w:color w:val="000000" w:themeColor="text1"/>
                <w:kern w:val="0"/>
                <w:sz w:val="21"/>
                <w:szCs w:val="21"/>
                <w:bdr w:val="single" w:color="auto" w:sz="4" w:space="0"/>
                <w14:textFill>
                  <w14:solidFill>
                    <w14:schemeClr w14:val="tx1"/>
                  </w14:solidFill>
                </w14:textFill>
              </w:rPr>
              <w:t xml:space="preserve">  </w:t>
            </w:r>
            <w:permEnd w:id="10"/>
            <w:r>
              <w:rPr>
                <w:rFonts w:hint="eastAsia" w:ascii="宋体" w:hAnsi="宋体" w:eastAsia="宋体" w:cs="宋体"/>
                <w:color w:val="000000" w:themeColor="text1"/>
                <w:sz w:val="21"/>
                <w:szCs w:val="21"/>
                <w14:textFill>
                  <w14:solidFill>
                    <w14:schemeClr w14:val="tx1"/>
                  </w14:solidFill>
                </w14:textFill>
              </w:rPr>
              <w:t xml:space="preserve">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w:t>
            </w: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签字或盖章要求</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按招标文件要求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w:t>
            </w: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投标文件份数</w:t>
            </w:r>
          </w:p>
        </w:tc>
        <w:tc>
          <w:tcPr>
            <w:tcW w:w="6543" w:type="dxa"/>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sz w:val="21"/>
                <w:szCs w:val="21"/>
              </w:rPr>
              <w:t>投标时递交：纸质投标文件正本壹份，副本</w:t>
            </w:r>
            <w:permStart w:id="11" w:edGrp="everyone"/>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贰</w:t>
            </w:r>
            <w:r>
              <w:rPr>
                <w:rFonts w:hint="eastAsia" w:ascii="宋体" w:hAnsi="宋体" w:eastAsia="宋体" w:cs="宋体"/>
                <w:sz w:val="21"/>
                <w:szCs w:val="21"/>
                <w:u w:val="single"/>
              </w:rPr>
              <w:t xml:space="preserve">  </w:t>
            </w:r>
            <w:permEnd w:id="11"/>
            <w:r>
              <w:rPr>
                <w:rFonts w:hint="eastAsia" w:ascii="宋体" w:hAnsi="宋体" w:eastAsia="宋体" w:cs="宋体"/>
                <w:sz w:val="21"/>
                <w:szCs w:val="21"/>
              </w:rPr>
              <w:t>份；清单光盘一个，中标人在领取中标通知书时，必须再向投标人提供纸质副本</w:t>
            </w:r>
            <w:r>
              <w:rPr>
                <w:rFonts w:hint="eastAsia" w:ascii="宋体" w:hAnsi="宋体" w:eastAsia="宋体" w:cs="宋体"/>
                <w:sz w:val="21"/>
                <w:szCs w:val="21"/>
                <w:lang w:eastAsia="zh-CN"/>
              </w:rPr>
              <w:t>叁</w:t>
            </w:r>
            <w:r>
              <w:rPr>
                <w:rFonts w:hint="eastAsia" w:ascii="宋体" w:hAnsi="宋体" w:eastAsia="宋体" w:cs="宋体"/>
                <w:sz w:val="21"/>
                <w:szCs w:val="21"/>
              </w:rPr>
              <w:t>份。</w:t>
            </w:r>
            <w:r>
              <w:rPr>
                <w:rFonts w:hint="eastAsia" w:ascii="宋体" w:hAnsi="宋体" w:eastAsia="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w:t>
            </w: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装订要求</w:t>
            </w:r>
          </w:p>
        </w:tc>
        <w:tc>
          <w:tcPr>
            <w:tcW w:w="6543" w:type="dxa"/>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编制目录，装订成册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w:t>
            </w: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封套上写明</w:t>
            </w:r>
          </w:p>
        </w:tc>
        <w:tc>
          <w:tcPr>
            <w:tcW w:w="6543" w:type="dxa"/>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中国人民解放军某部队犬舍建造工程</w:t>
            </w:r>
            <w:r>
              <w:rPr>
                <w:rFonts w:hint="eastAsia" w:ascii="宋体" w:hAnsi="宋体" w:eastAsia="宋体" w:cs="宋体"/>
                <w:color w:val="000000"/>
                <w:kern w:val="0"/>
                <w:sz w:val="21"/>
                <w:szCs w:val="21"/>
              </w:rPr>
              <w:t>投标文件</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投标函</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招标人名称：</w:t>
            </w:r>
            <w:r>
              <w:rPr>
                <w:rFonts w:hint="eastAsia" w:ascii="宋体" w:hAnsi="宋体" w:eastAsia="宋体" w:cs="宋体"/>
                <w:color w:val="000000"/>
                <w:kern w:val="0"/>
                <w:sz w:val="21"/>
                <w:szCs w:val="21"/>
                <w:lang w:eastAsia="zh-CN"/>
              </w:rPr>
              <w:t>中国人民解放军某部队</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rPr>
              <w:t>在</w:t>
            </w:r>
            <w:r>
              <w:rPr>
                <w:rFonts w:hint="eastAsia" w:ascii="宋体" w:hAnsi="宋体" w:eastAsia="宋体" w:cs="宋体"/>
                <w:b/>
                <w:color w:val="000000"/>
                <w:kern w:val="0"/>
                <w:sz w:val="21"/>
                <w:szCs w:val="21"/>
              </w:rPr>
              <w:t>投标截止时间</w:t>
            </w:r>
            <w:r>
              <w:rPr>
                <w:rFonts w:hint="eastAsia" w:ascii="宋体" w:hAnsi="宋体" w:eastAsia="宋体" w:cs="宋体"/>
                <w:color w:val="000000"/>
                <w:kern w:val="0"/>
                <w:sz w:val="21"/>
                <w:szCs w:val="21"/>
              </w:rPr>
              <w:t xml:space="preserve">前不得开启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FF0000"/>
                <w:sz w:val="21"/>
                <w:szCs w:val="21"/>
              </w:rPr>
            </w:pPr>
            <w:r>
              <w:rPr>
                <w:rFonts w:hint="eastAsia" w:ascii="宋体" w:hAnsi="宋体" w:eastAsia="宋体" w:cs="宋体"/>
                <w:color w:val="000000" w:themeColor="text1"/>
                <w:sz w:val="21"/>
                <w:szCs w:val="21"/>
                <w14:textFill>
                  <w14:solidFill>
                    <w14:schemeClr w14:val="tx1"/>
                  </w14:solidFill>
                </w14:textFill>
              </w:rPr>
              <w:t>递交投标文件地点</w:t>
            </w:r>
          </w:p>
        </w:tc>
        <w:tc>
          <w:tcPr>
            <w:tcW w:w="6543" w:type="dxa"/>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FF0000"/>
                <w:kern w:val="0"/>
                <w:sz w:val="21"/>
                <w:szCs w:val="21"/>
              </w:rPr>
            </w:pPr>
            <w:r>
              <w:rPr>
                <w:rFonts w:hint="eastAsia" w:ascii="宋体" w:hAnsi="宋体" w:eastAsia="宋体" w:cs="宋体"/>
                <w:i w:val="0"/>
                <w:iCs w:val="0"/>
                <w:sz w:val="21"/>
                <w:szCs w:val="21"/>
                <w:lang w:eastAsia="zh-CN"/>
              </w:rPr>
              <w:t>东阳市江北街道关山北路20号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是否退还投标文件</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permStart w:id="12" w:edGrp="everyone"/>
            <w:r>
              <w:rPr>
                <w:rFonts w:hint="eastAsia" w:ascii="宋体" w:hAnsi="宋体" w:eastAsia="宋体" w:cs="宋体"/>
                <w:color w:val="000000" w:themeColor="text1"/>
                <w:kern w:val="0"/>
                <w:sz w:val="21"/>
                <w:szCs w:val="21"/>
                <w:bdr w:val="single" w:color="auto" w:sz="4" w:space="0"/>
                <w14:textFill>
                  <w14:solidFill>
                    <w14:schemeClr w14:val="tx1"/>
                  </w14:solidFill>
                </w14:textFill>
              </w:rPr>
              <w:t>√</w:t>
            </w:r>
            <w:permEnd w:id="12"/>
            <w:r>
              <w:rPr>
                <w:rFonts w:hint="eastAsia" w:ascii="宋体" w:hAnsi="宋体" w:eastAsia="宋体" w:cs="宋体"/>
                <w:color w:val="000000" w:themeColor="text1"/>
                <w:sz w:val="21"/>
                <w:szCs w:val="21"/>
                <w14:textFill>
                  <w14:solidFill>
                    <w14:schemeClr w14:val="tx1"/>
                  </w14:solidFill>
                </w14:textFill>
              </w:rPr>
              <w:t xml:space="preserve"> 否</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permStart w:id="13" w:edGrp="everyone"/>
            <w:r>
              <w:rPr>
                <w:rFonts w:hint="eastAsia" w:ascii="宋体" w:hAnsi="宋体" w:eastAsia="宋体" w:cs="宋体"/>
                <w:color w:val="000000" w:themeColor="text1"/>
                <w:kern w:val="0"/>
                <w:sz w:val="21"/>
                <w:szCs w:val="21"/>
                <w:bdr w:val="single" w:color="auto" w:sz="4" w:space="0"/>
                <w14:textFill>
                  <w14:solidFill>
                    <w14:schemeClr w14:val="tx1"/>
                  </w14:solidFill>
                </w14:textFill>
              </w:rPr>
              <w:t xml:space="preserve">  </w:t>
            </w:r>
            <w:permEnd w:id="13"/>
            <w:r>
              <w:rPr>
                <w:rFonts w:hint="eastAsia" w:ascii="宋体" w:hAnsi="宋体" w:eastAsia="宋体" w:cs="宋体"/>
                <w:color w:val="000000" w:themeColor="text1"/>
                <w:sz w:val="21"/>
                <w:szCs w:val="21"/>
                <w14:textFill>
                  <w14:solidFill>
                    <w14:schemeClr w14:val="tx1"/>
                  </w14:solidFill>
                </w14:textFill>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开标时间和地点</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开标时间：同投标截止时间</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开标地点：</w:t>
            </w:r>
            <w:r>
              <w:rPr>
                <w:rFonts w:hint="eastAsia" w:ascii="宋体" w:hAnsi="宋体" w:eastAsia="宋体" w:cs="宋体"/>
                <w:color w:val="000000"/>
                <w:kern w:val="0"/>
                <w:sz w:val="21"/>
                <w:szCs w:val="21"/>
                <w:lang w:eastAsia="zh-CN"/>
              </w:rPr>
              <w:t>东阳市江北街道关山北路20号</w:t>
            </w:r>
            <w:r>
              <w:rPr>
                <w:rFonts w:hint="eastAsia" w:ascii="宋体" w:hAnsi="宋体" w:eastAsia="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开标程序</w:t>
            </w:r>
          </w:p>
        </w:tc>
        <w:tc>
          <w:tcPr>
            <w:tcW w:w="6543" w:type="dxa"/>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（1）密封情况检查：应符合投标人须知第 4.1.2 条要求。 </w:t>
            </w:r>
          </w:p>
          <w:p>
            <w:pPr>
              <w:spacing w:line="400" w:lineRule="exact"/>
              <w:rPr>
                <w:rFonts w:hint="eastAsia" w:ascii="宋体" w:hAnsi="宋体" w:eastAsia="宋体" w:cs="宋体"/>
                <w:sz w:val="21"/>
                <w:szCs w:val="21"/>
              </w:rPr>
            </w:pPr>
            <w:r>
              <w:rPr>
                <w:rFonts w:hint="eastAsia" w:ascii="宋体" w:hAnsi="宋体" w:eastAsia="宋体" w:cs="宋体"/>
                <w:sz w:val="21"/>
                <w:szCs w:val="21"/>
              </w:rPr>
              <w:t>（2）开标顺序：</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①代理机构在报名截止时间后建立钉钉直播群，将钉钉直播群号公布到QQ群（QQ群号为52446475）并开启群视频直播，对开标现场情况进行全程直播。</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②密封情况检查：在钉钉群进行直播，由投标人通过钉钉群直播检查投标文件密封情况，确认无误后，由招标代理机构开启各投标人的投标文件。</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③招标文件第三章评标方法（三）评审程序、办法3.3中由投标人代表抽取数字改为由招标人代表抽取。</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④评标委员会根据招标文件规定的评标程序对各投标文件进行评审，招标代理公司将现场宣布结果的视频公布到直播群进行确认。</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⑤各投标单位交易员（交易员）必须及时加入钉钉群，在开评标期间保持电话及网络畅通，投标人也可在钉钉群里提出质疑，但质疑材料需加盖单位公章后拍照上传。</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⑥投标人对开标过程提出质疑的，由招标代理公司在钉钉群里进行回复。</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⑦投标人对评审结果提出质疑的，请评标委员会对质疑内容进行复核。</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rPr>
              <w:t>以上环节均由招标人代表监督见证下进行。</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评标委员会的组建</w:t>
            </w:r>
          </w:p>
        </w:tc>
        <w:tc>
          <w:tcPr>
            <w:tcW w:w="6543" w:type="dxa"/>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kern w:val="0"/>
                <w:sz w:val="21"/>
                <w:szCs w:val="21"/>
              </w:rPr>
              <w:t>评标委员会由招标人依法组建，共</w:t>
            </w:r>
            <w:r>
              <w:rPr>
                <w:rFonts w:hint="eastAsia" w:ascii="宋体" w:hAnsi="宋体" w:eastAsia="宋体" w:cs="宋体"/>
                <w:color w:val="000000"/>
                <w:kern w:val="0"/>
                <w:sz w:val="21"/>
                <w:szCs w:val="21"/>
                <w:u w:val="single"/>
                <w:lang w:val="en-US" w:eastAsia="zh-CN"/>
              </w:rPr>
              <w:t xml:space="preserve"> 3</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人。其中</w:t>
            </w:r>
            <w:r>
              <w:rPr>
                <w:rFonts w:hint="eastAsia" w:ascii="宋体" w:hAnsi="宋体" w:eastAsia="宋体" w:cs="宋体"/>
                <w:color w:val="auto"/>
                <w:kern w:val="0"/>
                <w:sz w:val="21"/>
                <w:szCs w:val="21"/>
              </w:rPr>
              <w:t>招标人代表</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0</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人</w:t>
            </w:r>
            <w:r>
              <w:rPr>
                <w:rFonts w:hint="eastAsia" w:ascii="宋体" w:hAnsi="宋体" w:eastAsia="宋体" w:cs="宋体"/>
                <w:color w:val="000000"/>
                <w:kern w:val="0"/>
                <w:sz w:val="21"/>
                <w:szCs w:val="21"/>
              </w:rPr>
              <w:t>；从</w:t>
            </w:r>
            <w:r>
              <w:rPr>
                <w:rFonts w:hint="eastAsia" w:ascii="宋体" w:hAnsi="宋体" w:eastAsia="宋体" w:cs="宋体"/>
                <w:color w:val="000000"/>
                <w:kern w:val="0"/>
                <w:sz w:val="21"/>
                <w:szCs w:val="21"/>
                <w:lang w:eastAsia="zh-CN"/>
              </w:rPr>
              <w:t>政采云</w:t>
            </w:r>
            <w:r>
              <w:rPr>
                <w:rFonts w:hint="eastAsia" w:ascii="宋体" w:hAnsi="宋体" w:eastAsia="宋体" w:cs="宋体"/>
                <w:color w:val="000000"/>
                <w:kern w:val="0"/>
                <w:sz w:val="21"/>
                <w:szCs w:val="21"/>
              </w:rPr>
              <w:t>评标专家库中中随机抽取专家</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人（其中：经济专家</w:t>
            </w:r>
            <w:r>
              <w:rPr>
                <w:rFonts w:hint="eastAsia" w:ascii="宋体" w:hAnsi="宋体" w:eastAsia="宋体" w:cs="宋体"/>
                <w:color w:val="000000"/>
                <w:kern w:val="0"/>
                <w:sz w:val="21"/>
                <w:szCs w:val="21"/>
                <w:u w:val="single"/>
              </w:rPr>
              <w:t xml:space="preserve"> 1 </w:t>
            </w:r>
            <w:r>
              <w:rPr>
                <w:rFonts w:hint="eastAsia" w:ascii="宋体" w:hAnsi="宋体" w:eastAsia="宋体" w:cs="宋体"/>
                <w:color w:val="000000"/>
                <w:kern w:val="0"/>
                <w:sz w:val="21"/>
                <w:szCs w:val="21"/>
              </w:rPr>
              <w:t>人, 技术专家</w:t>
            </w:r>
            <w:r>
              <w:rPr>
                <w:rFonts w:hint="eastAsia" w:ascii="宋体" w:hAnsi="宋体" w:eastAsia="宋体" w:cs="宋体"/>
                <w:color w:val="000000"/>
                <w:kern w:val="0"/>
                <w:sz w:val="21"/>
                <w:szCs w:val="21"/>
                <w:u w:val="single"/>
                <w:lang w:val="en-US" w:eastAsia="zh-CN"/>
              </w:rPr>
              <w:t>2</w:t>
            </w:r>
            <w:r>
              <w:rPr>
                <w:rFonts w:hint="eastAsia" w:ascii="宋体" w:hAnsi="宋体" w:eastAsia="宋体" w:cs="宋体"/>
                <w:color w:val="000000"/>
                <w:kern w:val="0"/>
                <w:sz w:val="21"/>
                <w:szCs w:val="21"/>
              </w:rPr>
              <w:t xml:space="preserve">人）；由评标委员会成员推举产生组长 1 人（招标人代表不得担任组长）主持评标工作。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7.1</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是否授权评标委员会确定中标人</w:t>
            </w:r>
          </w:p>
        </w:tc>
        <w:tc>
          <w:tcPr>
            <w:tcW w:w="6543" w:type="dxa"/>
            <w:vAlign w:val="center"/>
          </w:tcPr>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permStart w:id="14" w:edGrp="everyone"/>
            <w:permEnd w:id="14"/>
            <w:r>
              <w:rPr>
                <w:rFonts w:hint="eastAsia" w:ascii="宋体" w:hAnsi="宋体" w:eastAsia="宋体" w:cs="宋体"/>
                <w:color w:val="000000" w:themeColor="text1"/>
                <w:sz w:val="21"/>
                <w:szCs w:val="21"/>
                <w14:textFill>
                  <w14:solidFill>
                    <w14:schemeClr w14:val="tx1"/>
                  </w14:solidFill>
                </w14:textFill>
              </w:rPr>
              <w:t xml:space="preserve"> 是</w:t>
            </w:r>
          </w:p>
          <w:p>
            <w:pPr>
              <w:keepNext w:val="0"/>
              <w:keepLines w:val="0"/>
              <w:pageBreakBefore w:val="0"/>
              <w:kinsoku/>
              <w:wordWrap/>
              <w:overflowPunct/>
              <w:topLinePunct w:val="0"/>
              <w:autoSpaceDE/>
              <w:autoSpaceDN/>
              <w:bidi w:val="0"/>
              <w:spacing w:line="400" w:lineRule="exact"/>
              <w:rPr>
                <w:rFonts w:hint="eastAsia" w:ascii="宋体" w:hAnsi="宋体" w:eastAsia="宋体" w:cs="宋体"/>
                <w:color w:val="000000" w:themeColor="text1"/>
                <w:sz w:val="21"/>
                <w:szCs w:val="21"/>
                <w14:textFill>
                  <w14:solidFill>
                    <w14:schemeClr w14:val="tx1"/>
                  </w14:solidFill>
                </w14:textFill>
              </w:rPr>
            </w:pPr>
            <w:permStart w:id="15" w:edGrp="everyone"/>
            <w:r>
              <w:rPr>
                <w:rFonts w:hint="eastAsia" w:ascii="宋体" w:hAnsi="宋体" w:eastAsia="宋体" w:cs="宋体"/>
                <w:color w:val="000000" w:themeColor="text1"/>
                <w:kern w:val="0"/>
                <w:sz w:val="21"/>
                <w:szCs w:val="21"/>
                <w:bdr w:val="single" w:color="auto" w:sz="4" w:space="0"/>
                <w14:textFill>
                  <w14:solidFill>
                    <w14:schemeClr w14:val="tx1"/>
                  </w14:solidFill>
                </w14:textFill>
              </w:rPr>
              <w:t>√</w:t>
            </w:r>
            <w:permEnd w:id="15"/>
            <w:r>
              <w:rPr>
                <w:rFonts w:hint="eastAsia" w:ascii="宋体" w:hAnsi="宋体" w:eastAsia="宋体" w:cs="宋体"/>
                <w:color w:val="000000" w:themeColor="text1"/>
                <w:sz w:val="21"/>
                <w:szCs w:val="21"/>
                <w14:textFill>
                  <w14:solidFill>
                    <w14:schemeClr w14:val="tx1"/>
                  </w14:solidFill>
                </w14:textFill>
              </w:rPr>
              <w:t>否,推荐的中标候选人数：</w:t>
            </w:r>
            <w:permStart w:id="16" w:edGrp="everyone"/>
            <w:r>
              <w:rPr>
                <w:rFonts w:hint="eastAsia" w:ascii="宋体" w:hAnsi="宋体" w:eastAsia="宋体" w:cs="宋体"/>
                <w:color w:val="000000" w:themeColor="text1"/>
                <w:sz w:val="21"/>
                <w:szCs w:val="21"/>
                <w:lang w:val="en-US" w:eastAsia="zh-CN"/>
                <w14:textFill>
                  <w14:solidFill>
                    <w14:schemeClr w14:val="tx1"/>
                  </w14:solidFill>
                </w14:textFill>
              </w:rPr>
              <w:t>1名，</w:t>
            </w:r>
            <w:r>
              <w:rPr>
                <w:rFonts w:hint="eastAsia" w:ascii="宋体" w:hAnsi="宋体" w:eastAsia="宋体" w:cs="宋体"/>
                <w:color w:val="000000" w:themeColor="text1"/>
                <w:sz w:val="21"/>
                <w:szCs w:val="21"/>
                <w:lang w:eastAsia="zh-CN"/>
                <w14:textFill>
                  <w14:solidFill>
                    <w14:schemeClr w14:val="tx1"/>
                  </w14:solidFill>
                </w14:textFill>
              </w:rPr>
              <w:t>其余有效</w:t>
            </w: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lang w:eastAsia="zh-CN"/>
                <w14:textFill>
                  <w14:solidFill>
                    <w14:schemeClr w14:val="tx1"/>
                  </w14:solidFill>
                </w14:textFill>
              </w:rPr>
              <w:t>作</w:t>
            </w:r>
            <w:r>
              <w:rPr>
                <w:rFonts w:hint="eastAsia" w:ascii="宋体" w:hAnsi="宋体" w:eastAsia="宋体" w:cs="宋体"/>
                <w:color w:val="000000" w:themeColor="text1"/>
                <w:sz w:val="21"/>
                <w:szCs w:val="21"/>
                <w14:textFill>
                  <w14:solidFill>
                    <w14:schemeClr w14:val="tx1"/>
                  </w14:solidFill>
                </w14:textFill>
              </w:rPr>
              <w:t>为</w:t>
            </w:r>
            <w:r>
              <w:rPr>
                <w:rFonts w:hint="eastAsia" w:ascii="宋体" w:hAnsi="宋体" w:eastAsia="宋体" w:cs="宋体"/>
                <w:color w:val="000000" w:themeColor="text1"/>
                <w:sz w:val="21"/>
                <w:szCs w:val="21"/>
                <w:lang w:eastAsia="zh-CN"/>
                <w14:textFill>
                  <w14:solidFill>
                    <w14:schemeClr w14:val="tx1"/>
                  </w14:solidFill>
                </w14:textFill>
              </w:rPr>
              <w:t>备选</w:t>
            </w:r>
            <w:r>
              <w:rPr>
                <w:rFonts w:hint="eastAsia" w:ascii="宋体" w:hAnsi="宋体" w:eastAsia="宋体" w:cs="宋体"/>
                <w:color w:val="000000" w:themeColor="text1"/>
                <w:sz w:val="21"/>
                <w:szCs w:val="21"/>
                <w14:textFill>
                  <w14:solidFill>
                    <w14:schemeClr w14:val="tx1"/>
                  </w14:solidFill>
                </w14:textFill>
              </w:rPr>
              <w:t>中标</w:t>
            </w:r>
            <w:r>
              <w:rPr>
                <w:rFonts w:hint="eastAsia" w:ascii="宋体" w:hAnsi="宋体" w:eastAsia="宋体" w:cs="宋体"/>
                <w:color w:val="000000" w:themeColor="text1"/>
                <w:sz w:val="21"/>
                <w:szCs w:val="21"/>
                <w:lang w:eastAsia="zh-CN"/>
                <w14:textFill>
                  <w14:solidFill>
                    <w14:schemeClr w14:val="tx1"/>
                  </w14:solidFill>
                </w14:textFill>
              </w:rPr>
              <w:t>候选</w:t>
            </w:r>
            <w:r>
              <w:rPr>
                <w:rFonts w:hint="eastAsia" w:ascii="宋体" w:hAnsi="宋体" w:eastAsia="宋体" w:cs="宋体"/>
                <w:color w:val="000000" w:themeColor="text1"/>
                <w:sz w:val="21"/>
                <w:szCs w:val="21"/>
                <w14:textFill>
                  <w14:solidFill>
                    <w14:schemeClr w14:val="tx1"/>
                  </w14:solidFill>
                </w14:textFill>
              </w:rPr>
              <w:t>人。</w:t>
            </w:r>
            <w:perm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w:t>
            </w:r>
          </w:p>
        </w:tc>
        <w:tc>
          <w:tcPr>
            <w:tcW w:w="6543" w:type="dxa"/>
            <w:vAlign w:val="center"/>
          </w:tcPr>
          <w:p>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i w:val="0"/>
                <w:iCs w:val="0"/>
                <w:sz w:val="21"/>
                <w:szCs w:val="21"/>
                <w:u w:val="single"/>
                <w:lang w:val="en-US" w:eastAsia="zh-CN"/>
              </w:rPr>
            </w:pPr>
            <w:r>
              <w:rPr>
                <w:rFonts w:hint="eastAsia" w:ascii="宋体" w:hAnsi="宋体" w:eastAsia="宋体" w:cs="宋体"/>
                <w:i w:val="0"/>
                <w:iCs w:val="0"/>
                <w:sz w:val="21"/>
                <w:szCs w:val="21"/>
              </w:rPr>
              <w:t>履约担保的形式：</w:t>
            </w:r>
            <w:r>
              <w:rPr>
                <w:rFonts w:hint="eastAsia" w:ascii="宋体" w:hAnsi="宋体" w:eastAsia="宋体" w:cs="宋体"/>
                <w:i w:val="0"/>
                <w:iCs w:val="0"/>
                <w:sz w:val="21"/>
                <w:szCs w:val="21"/>
                <w:u w:val="single"/>
                <w:lang w:val="en-US" w:eastAsia="zh-CN"/>
              </w:rPr>
              <w:t xml:space="preserve">现金转账或银行保函或保险保单（出具保函和保单的银行和保险公司需满足以下条件：1、在东阳市的银行和保险公司； </w:t>
            </w:r>
          </w:p>
          <w:p>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i w:val="0"/>
                <w:iCs w:val="0"/>
                <w:sz w:val="21"/>
                <w:szCs w:val="21"/>
              </w:rPr>
            </w:pPr>
            <w:r>
              <w:rPr>
                <w:rFonts w:hint="eastAsia" w:ascii="宋体" w:hAnsi="宋体" w:eastAsia="宋体" w:cs="宋体"/>
                <w:i w:val="0"/>
                <w:iCs w:val="0"/>
                <w:sz w:val="21"/>
                <w:szCs w:val="21"/>
                <w:u w:val="single"/>
                <w:lang w:val="en-US" w:eastAsia="zh-CN"/>
              </w:rPr>
              <w:t>2、按规定需要使用保证金时，可立即使用现金支付；3、有效期：至竣工验收合格之日止）</w:t>
            </w:r>
            <w:r>
              <w:rPr>
                <w:rFonts w:hint="eastAsia" w:ascii="宋体" w:hAnsi="宋体" w:eastAsia="宋体" w:cs="宋体"/>
                <w:i w:val="0"/>
                <w:iCs w:val="0"/>
                <w:color w:val="000000"/>
                <w:kern w:val="0"/>
                <w:sz w:val="21"/>
                <w:szCs w:val="21"/>
                <w:lang w:val="en-US" w:eastAsia="zh-CN" w:bidi="ar"/>
              </w:rPr>
              <w:t>。</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sz w:val="21"/>
                <w:szCs w:val="21"/>
              </w:rPr>
              <w:t>履约担保的金额：</w:t>
            </w:r>
            <w:r>
              <w:rPr>
                <w:rFonts w:hint="eastAsia" w:ascii="宋体" w:hAnsi="宋体" w:eastAsia="宋体" w:cs="宋体"/>
                <w:i w:val="0"/>
                <w:iCs w:val="0"/>
                <w:sz w:val="21"/>
                <w:szCs w:val="21"/>
                <w:u w:val="single"/>
              </w:rPr>
              <w:t>中标价的</w:t>
            </w:r>
            <w:r>
              <w:rPr>
                <w:rFonts w:hint="eastAsia" w:ascii="宋体" w:hAnsi="宋体" w:eastAsia="宋体" w:cs="宋体"/>
                <w:i w:val="0"/>
                <w:iCs w:val="0"/>
                <w:sz w:val="21"/>
                <w:szCs w:val="21"/>
                <w:u w:val="single"/>
                <w:lang w:val="en-US" w:eastAsia="zh-CN"/>
              </w:rPr>
              <w:t>5%（四舍五入到元，其中合同金额的3%作为农民工工资保证金），若采用现金转账，中标公示结束后 5 日历天内缴纳至招标人指定账户，若采用银行保函或保单，则在中标通知书发放 15 日历天内，提交符合招标文件要求的保函、保单，否则招标人有权取消中标人资格。履约保证金在工程竣工验收合格后，扣除各项违约金一次性无息退还</w:t>
            </w:r>
            <w:r>
              <w:rPr>
                <w:rFonts w:hint="eastAsia" w:ascii="宋体" w:hAnsi="宋体" w:eastAsia="宋体" w:cs="宋体"/>
                <w:i w:val="0"/>
                <w:iCs w:val="0"/>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8685" w:type="dxa"/>
            <w:gridSpan w:val="2"/>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w:t>
            </w:r>
          </w:p>
        </w:tc>
        <w:tc>
          <w:tcPr>
            <w:tcW w:w="2142" w:type="dxa"/>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本招标文件解释权归</w:t>
            </w:r>
          </w:p>
        </w:tc>
        <w:tc>
          <w:tcPr>
            <w:tcW w:w="6543" w:type="dxa"/>
            <w:vAlign w:val="center"/>
          </w:tcPr>
          <w:p>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8.2</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本招标文件知识产权归</w:t>
            </w:r>
          </w:p>
        </w:tc>
        <w:tc>
          <w:tcPr>
            <w:tcW w:w="6543" w:type="dxa"/>
            <w:vAlign w:val="center"/>
          </w:tcPr>
          <w:p>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费用</w:t>
            </w:r>
          </w:p>
        </w:tc>
        <w:tc>
          <w:tcPr>
            <w:tcW w:w="6543" w:type="dxa"/>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1、投标人准备和参加投标活动发生的费用自理，不管投标结果如何，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招标人对上述费用不负任何责任。投标人的投标书一律不退还，请各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rPr>
              <w:t>投标单位自留备考。</w:t>
            </w:r>
            <w:r>
              <w:rPr>
                <w:rFonts w:hint="eastAsia" w:ascii="宋体" w:hAnsi="宋体" w:eastAsia="宋体" w:cs="宋体"/>
                <w:b/>
                <w:bCs/>
                <w:sz w:val="21"/>
                <w:szCs w:val="21"/>
                <w:u w:val="single"/>
                <w:lang w:eastAsia="zh-CN"/>
              </w:rPr>
              <w:t>中标人领取中标通知书时向招标代理机支付中标价的</w:t>
            </w:r>
            <w:r>
              <w:rPr>
                <w:rFonts w:hint="eastAsia" w:ascii="宋体" w:hAnsi="宋体" w:eastAsia="宋体" w:cs="宋体"/>
                <w:b/>
                <w:bCs/>
                <w:sz w:val="21"/>
                <w:szCs w:val="21"/>
                <w:u w:val="single"/>
                <w:lang w:val="en-US" w:eastAsia="zh-CN"/>
              </w:rPr>
              <w:t>1%作为招标代理服务费</w:t>
            </w:r>
            <w:r>
              <w:rPr>
                <w:rFonts w:hint="eastAsia" w:ascii="宋体" w:hAnsi="宋体" w:eastAsia="宋体" w:cs="宋体"/>
                <w:b/>
                <w:bCs/>
                <w:sz w:val="21"/>
                <w:szCs w:val="21"/>
                <w:u w:val="none"/>
                <w:lang w:val="en-US" w:eastAsia="zh-CN"/>
              </w:rPr>
              <w:t>；</w:t>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rPr>
              <w:t xml:space="preserve">2、招标文件每套售价人民币 </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00 元（</w:t>
            </w:r>
            <w:r>
              <w:rPr>
                <w:rFonts w:hint="eastAsia" w:ascii="宋体" w:hAnsi="宋体" w:eastAsia="宋体" w:cs="宋体"/>
                <w:color w:val="000000"/>
                <w:kern w:val="0"/>
                <w:sz w:val="21"/>
                <w:szCs w:val="21"/>
                <w:lang w:eastAsia="zh-CN"/>
              </w:rPr>
              <w:t>售后不退，报名时向招标代理支付</w:t>
            </w:r>
            <w:r>
              <w:rPr>
                <w:rFonts w:hint="eastAsia" w:ascii="宋体" w:hAnsi="宋体" w:eastAsia="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8.4</w:t>
            </w:r>
          </w:p>
        </w:tc>
        <w:tc>
          <w:tcPr>
            <w:tcW w:w="2142"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napToGrid w:val="0"/>
                <w:color w:val="000000"/>
                <w:sz w:val="21"/>
                <w:szCs w:val="21"/>
                <w:highlight w:val="none"/>
              </w:rPr>
              <w:t>风险控制价及风险金</w:t>
            </w:r>
          </w:p>
        </w:tc>
        <w:tc>
          <w:tcPr>
            <w:tcW w:w="6543" w:type="dxa"/>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工程风险控制价为最高限价的85%，中标人的投标报价低于风险控制价的，中标人应提交风险金（风险金为风险控制价与中标人的投标报价的差额）；风险金必须在确定中标人（评标结果栏上公示三日期满）后5个工作日内向招标人交纳完毕，否则按自动放弃中标处理。</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注：风险金以现金方式提交，不得以保函等形式提供。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解释权</w:t>
            </w:r>
          </w:p>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6543" w:type="dxa"/>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67" w:type="dxa"/>
            <w:vAlign w:val="center"/>
          </w:tcPr>
          <w:p>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2142"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其他说明</w:t>
            </w:r>
          </w:p>
        </w:tc>
        <w:tc>
          <w:tcPr>
            <w:tcW w:w="6543" w:type="dxa"/>
            <w:vAlign w:val="center"/>
          </w:tcPr>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（1）如因政策处理原因，延迟开工时间或延长工期，由此产生的相关问题由投标人自行承担，该问题产生的损失索赔，招标人不予受理。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 xml:space="preserve">）本项目主要人员证书核对办法参照浙江省住房和城乡建设厅发布的《关于启用建设工程企业从业人员考核电子证书的通知》（函政办字[2017]1209 号）。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 xml:space="preserve">）因政策调整原因，故对商务标中造价人员盖章不作硬性要求。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 xml:space="preserve">）根据建办市〔2019〕50 号《住房和城乡建设部办公厅关于取消一级建造师临时执业证书的通知》，本项目不接收一级建造师临时执业证书。 </w:t>
            </w:r>
          </w:p>
          <w:p>
            <w:pPr>
              <w:keepNext w:val="0"/>
              <w:keepLines w:val="0"/>
              <w:pageBreakBefore w:val="0"/>
              <w:widowControl/>
              <w:kinsoku/>
              <w:wordWrap/>
              <w:overflowPunct/>
              <w:topLinePunct w:val="0"/>
              <w:autoSpaceDE/>
              <w:autoSpaceDN/>
              <w:bidi w:val="0"/>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）根据浙建〔2019〕8 号《关于取消二级建造师临时执业证书的通知》，本项目不接收二级建造师临时执业证书。</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1．总则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1.1 项目概况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1.1.1 根据《 中华人民共和国招标投标法》 等有关法律、法规和规章的规定，本招标项目己具备招标条件，现对本工程施工进行招标</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1.1.2 本招标项目招标人：见投标人须知前附表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1.1.3 本工程招标代理机构：见投标人须知前附表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1.1.4 本招标项目名称：见投标人须知前附表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1.1.5 本工程建设地点：见投标人须知前附表</w:t>
      </w:r>
      <w:r>
        <w:rPr>
          <w:rFonts w:hint="eastAsia" w:ascii="宋体" w:hAnsi="宋体" w:eastAsia="宋体" w:cs="宋体"/>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1.2 资金来源和落实情况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1.2.1 本招标项目的资金来源：见投标人须知前附表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1.2.2 本招标项目的出资比例：见投标人须知前附表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1.2.3 本招标项目的资金落实情况：见投标人须知前附表。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1.3 招标范围、计划工期、质量和安全文明施工要求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1.3.1 本次招标范围：见投标人须知前附表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1.3.2 本工程的计划工期：见投标人须知前附表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1.3.3 本工程的质量要求：见投标人须知前附表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1.4 投标人资格要求（适用于未进行资格预审的）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1.4.1 投标人应具备承担本标段施工的资质条件、能力和信誉。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(l）资质条件：见投标人须知前附表；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）业绩要求：见投标人须知前附表；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）信誉要求：见投标人须知前附表；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 xml:space="preserve">）项目负责人资格：见投标人须知前附表；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 xml:space="preserve">）其他要求：见投标人须知前附表。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1.4.2 投标人不得存在下列情形之一：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(l）为招标人不具有独立法人资格的附属机构（单位）；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(2）为本标段前期准备提供设计或咨询服务的，但设计施工总承包的除外；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(3）为本标段的监理人；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(4）为本标段的代建人；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(5）为本标段提供招标代理服务的；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(6）与本标段的监理人或代建人或招标代理机构同为一个法定代表人的；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(7）与本标段的监理人或代建人或招标代理机构相互控股或参股的；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(8）与本标段的监理人或代建人或招标代理机构相互任职或工作的；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(9）被责令停业的；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(10）被暂停或取消投标资格的；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(11）财产被接管或冻结的；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(12) 在最近三年内（</w:t>
      </w:r>
      <w:r>
        <w:rPr>
          <w:rFonts w:hint="eastAsia" w:ascii="宋体" w:hAnsi="宋体" w:eastAsia="宋体" w:cs="宋体"/>
          <w:color w:val="000000"/>
          <w:kern w:val="0"/>
          <w:sz w:val="24"/>
          <w:szCs w:val="24"/>
          <w:u w:val="single"/>
        </w:rPr>
        <w:t>201</w:t>
      </w:r>
      <w:r>
        <w:rPr>
          <w:rFonts w:hint="eastAsia" w:ascii="宋体" w:hAnsi="宋体" w:eastAsia="宋体" w:cs="宋体"/>
          <w:color w:val="000000"/>
          <w:kern w:val="0"/>
          <w:sz w:val="24"/>
          <w:szCs w:val="24"/>
          <w:u w:val="single"/>
          <w:lang w:val="en-US" w:eastAsia="zh-CN"/>
        </w:rPr>
        <w:t>8</w:t>
      </w:r>
      <w:r>
        <w:rPr>
          <w:rFonts w:hint="eastAsia" w:ascii="宋体" w:hAnsi="宋体" w:eastAsia="宋体" w:cs="宋体"/>
          <w:color w:val="000000"/>
          <w:kern w:val="0"/>
          <w:sz w:val="24"/>
          <w:szCs w:val="24"/>
        </w:rPr>
        <w:t xml:space="preserve"> 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7</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月至今）内有骗取中标或严重违约或重大工程质量问题的。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1.4.3 单位负责人为同一人或者存在控股、管理关系的不同单位，不得同时参加本招标项目投标。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1.5 费用承担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1.5.1 投标人准备和参加投标活动发生的费用自理，不管投标结果如何，招标人对上述费用不负任何责任。投标人的投标书一律不退还，请各投标单位自留备考。</w:t>
      </w:r>
      <w:r>
        <w:rPr>
          <w:rFonts w:hint="eastAsia" w:ascii="宋体" w:hAnsi="宋体" w:eastAsia="宋体" w:cs="宋体"/>
          <w:b/>
          <w:bCs/>
          <w:sz w:val="24"/>
          <w:szCs w:val="24"/>
          <w:u w:val="single"/>
          <w:lang w:eastAsia="zh-CN"/>
        </w:rPr>
        <w:t>中标人领取中标通知书时向招标代理机支付中标价的</w:t>
      </w:r>
      <w:r>
        <w:rPr>
          <w:rFonts w:hint="eastAsia" w:ascii="宋体" w:hAnsi="宋体" w:eastAsia="宋体" w:cs="宋体"/>
          <w:b/>
          <w:bCs/>
          <w:sz w:val="24"/>
          <w:szCs w:val="24"/>
          <w:u w:val="single"/>
          <w:lang w:val="en-US" w:eastAsia="zh-CN"/>
        </w:rPr>
        <w:t>1%作为招标代理服务费</w:t>
      </w:r>
      <w:r>
        <w:rPr>
          <w:rFonts w:hint="eastAsia" w:ascii="宋体" w:hAnsi="宋体" w:eastAsia="宋体" w:cs="宋体"/>
          <w:b/>
          <w:bCs/>
          <w:sz w:val="24"/>
          <w:szCs w:val="24"/>
          <w:u w:val="none"/>
          <w:lang w:val="en-US" w:eastAsia="zh-CN"/>
        </w:rPr>
        <w:t>；</w:t>
      </w:r>
      <w:r>
        <w:rPr>
          <w:rFonts w:hint="eastAsia" w:ascii="宋体" w:hAnsi="宋体" w:eastAsia="宋体" w:cs="宋体"/>
          <w:b/>
          <w:color w:val="000000"/>
          <w:kern w:val="0"/>
          <w:sz w:val="24"/>
          <w:szCs w:val="24"/>
        </w:rPr>
        <w:t xml:space="preserve"> </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1.5.2 招标文件每套售价人民币 </w:t>
      </w:r>
      <w:r>
        <w:rPr>
          <w:rFonts w:hint="eastAsia" w:ascii="宋体" w:hAnsi="宋体" w:eastAsia="宋体" w:cs="宋体"/>
          <w:b/>
          <w:color w:val="000000"/>
          <w:kern w:val="0"/>
          <w:sz w:val="24"/>
          <w:szCs w:val="24"/>
          <w:lang w:val="en-US" w:eastAsia="zh-CN"/>
        </w:rPr>
        <w:t>2</w:t>
      </w:r>
      <w:r>
        <w:rPr>
          <w:rFonts w:hint="eastAsia" w:ascii="宋体" w:hAnsi="宋体" w:eastAsia="宋体" w:cs="宋体"/>
          <w:b/>
          <w:color w:val="000000"/>
          <w:kern w:val="0"/>
          <w:sz w:val="24"/>
          <w:szCs w:val="24"/>
        </w:rPr>
        <w:t>00 元，售后不退</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rPr>
        <w:t xml:space="preserve"> </w:t>
      </w:r>
      <w:r>
        <w:rPr>
          <w:rFonts w:hint="eastAsia" w:ascii="宋体" w:hAnsi="宋体" w:eastAsia="宋体" w:cs="宋体"/>
          <w:b/>
          <w:color w:val="4472C4" w:themeColor="accent5"/>
          <w:kern w:val="0"/>
          <w:sz w:val="24"/>
          <w:szCs w:val="24"/>
          <w14:textFill>
            <w14:solidFill>
              <w14:schemeClr w14:val="accent5"/>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1.6 保密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参与招标投标活动的各方应对招标文件和投标文件中的商业和技术等秘密保密，违者应对由此造成的后果承担法律责任。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1.7 语言文字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除专用术语外，与招标投标有关的语言均使用中文。必要时专用术语应附有中文注释。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1.8 计量单位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所有计量均采用中华人民共和国法定计量单位。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1.9 踏勘现场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1.9.1 投标人自行踏勘现场，投标人踏勘现场发生的费用自理。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1.9.2 除招标人的原因外，投标人自行负责在踏勘现场中所发生的人员伤亡和财产损失。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1.10 投标预备会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不召开，提疑、答疑（澄清）方式见前附表，该答疑（澄清）内容为招标文件的组成部分。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1.11 分包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投标人拟在中标后将中标项目的部分非主体、非关键性工作进行分包的，应符合投标人须知前附表规定的分包内容、分包金额和接受分包的第三人资质要求等限制性条件。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1.12 偏离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投标人须知前附表允许投标文件偏离招标文件某些要求的，偏离应当符合招标文件规定的偏离范围和幅度。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2．招标文件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2.1 招标文件的组成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本招标文件包括：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(1）招标公告；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(2）投标人须知；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(3）评标办法；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(4）合同条款及格式；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(5）工程量清单；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(6) 图纸（电子版）；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r>
        <w:rPr>
          <w:rFonts w:hint="eastAsia" w:ascii="宋体" w:hAnsi="宋体" w:eastAsia="宋体" w:cs="宋体"/>
          <w:color w:val="000000"/>
          <w:kern w:val="0"/>
          <w:sz w:val="24"/>
          <w:szCs w:val="24"/>
          <w:lang w:val="en-US" w:eastAsia="zh-CN"/>
        </w:rPr>
        <w:t xml:space="preserve"> 技术标准和要求；</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投标文件格式；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 xml:space="preserve">) 投标人须知前附表规定的其他材料。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根据本章第 1.10 款、第 2.2 款和第 2.3 款对招标文件所作的澄清、修改，构成招标文件的组成部分。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2.2 招标文件的澄清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2.2.1 </w:t>
      </w:r>
      <w:r>
        <w:rPr>
          <w:rFonts w:hint="eastAsia" w:ascii="宋体" w:hAnsi="宋体" w:eastAsia="宋体" w:cs="宋体"/>
          <w:sz w:val="24"/>
          <w:szCs w:val="24"/>
        </w:rPr>
        <w:t>投标人应仔细阅读和检查招标文件的全部内容。如发现缺页或附件不全，应及时向招标人提出，以便补齐。如有疑问，应在投标人须知前附表规定的时间前</w:t>
      </w:r>
      <w:r>
        <w:rPr>
          <w:rFonts w:hint="eastAsia" w:ascii="宋体" w:hAnsi="宋体" w:eastAsia="宋体" w:cs="宋体"/>
          <w:sz w:val="24"/>
          <w:szCs w:val="24"/>
          <w:lang w:eastAsia="zh-CN"/>
        </w:rPr>
        <w:t>向招标代理机构</w:t>
      </w:r>
      <w:r>
        <w:rPr>
          <w:rFonts w:hint="eastAsia" w:ascii="宋体" w:hAnsi="宋体" w:eastAsia="宋体" w:cs="宋体"/>
          <w:sz w:val="24"/>
          <w:szCs w:val="24"/>
        </w:rPr>
        <w:t xml:space="preserve">提出，要求招标人对招标文件予以澄清。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2.2.2 招标文件的澄清将在投标人须知前附表规定的投标截止时间</w:t>
      </w:r>
      <w:r>
        <w:rPr>
          <w:rFonts w:hint="eastAsia" w:ascii="宋体" w:hAnsi="宋体" w:eastAsia="宋体" w:cs="宋体"/>
          <w:sz w:val="24"/>
          <w:szCs w:val="24"/>
          <w:u w:val="single"/>
        </w:rPr>
        <w:t xml:space="preserve"> 15 </w:t>
      </w:r>
      <w:r>
        <w:rPr>
          <w:rFonts w:hint="eastAsia" w:ascii="宋体" w:hAnsi="宋体" w:eastAsia="宋体" w:cs="宋体"/>
          <w:sz w:val="24"/>
          <w:szCs w:val="24"/>
        </w:rPr>
        <w:t>天前通过</w:t>
      </w:r>
      <w:r>
        <w:rPr>
          <w:rFonts w:hint="eastAsia" w:ascii="宋体" w:hAnsi="宋体" w:eastAsia="宋体" w:cs="宋体"/>
          <w:sz w:val="24"/>
          <w:szCs w:val="24"/>
          <w:lang w:eastAsia="zh-CN"/>
        </w:rPr>
        <w:t>“</w:t>
      </w:r>
      <w:r>
        <w:rPr>
          <w:rFonts w:hint="eastAsia" w:ascii="宋体" w:hAnsi="宋体" w:eastAsia="宋体" w:cs="宋体"/>
          <w:sz w:val="24"/>
          <w:szCs w:val="24"/>
        </w:rPr>
        <w:t>浙江省政府采购网（</w:t>
      </w:r>
      <w:r>
        <w:rPr>
          <w:rFonts w:hint="eastAsia" w:ascii="宋体" w:hAnsi="宋体" w:eastAsia="宋体" w:cs="宋体"/>
          <w:sz w:val="24"/>
          <w:szCs w:val="24"/>
          <w:lang w:eastAsia="zh-CN"/>
        </w:rPr>
        <w:t>https://zfcg.czt.zj.gov.cn/</w:t>
      </w:r>
      <w:r>
        <w:rPr>
          <w:rFonts w:hint="eastAsia" w:ascii="宋体" w:hAnsi="宋体" w:eastAsia="宋体" w:cs="宋体"/>
          <w:sz w:val="24"/>
          <w:szCs w:val="24"/>
        </w:rPr>
        <w:t>）</w:t>
      </w:r>
      <w:r>
        <w:rPr>
          <w:rFonts w:hint="eastAsia" w:ascii="宋体" w:hAnsi="宋体" w:eastAsia="宋体" w:cs="宋体"/>
          <w:sz w:val="24"/>
          <w:szCs w:val="24"/>
          <w:lang w:eastAsia="zh-CN"/>
        </w:rPr>
        <w:t>”和</w:t>
      </w:r>
      <w:r>
        <w:rPr>
          <w:rFonts w:hint="eastAsia" w:ascii="宋体" w:hAnsi="宋体" w:eastAsia="宋体" w:cs="宋体"/>
          <w:sz w:val="24"/>
          <w:szCs w:val="24"/>
        </w:rPr>
        <w:t>“中国招标投标公共服务平台上”发布，但不指明澄清问题的来源。如果澄清发出的时间距投标截止时间不足</w:t>
      </w:r>
      <w:r>
        <w:rPr>
          <w:rFonts w:hint="eastAsia" w:ascii="宋体" w:hAnsi="宋体" w:eastAsia="宋体" w:cs="宋体"/>
          <w:sz w:val="24"/>
          <w:szCs w:val="24"/>
          <w:u w:val="single"/>
        </w:rPr>
        <w:t xml:space="preserve"> 15</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天，相应延长投标截止时间</w:t>
      </w:r>
      <w:r>
        <w:rPr>
          <w:rFonts w:hint="eastAsia" w:ascii="宋体" w:hAnsi="宋体" w:eastAsia="宋体" w:cs="宋体"/>
          <w:sz w:val="24"/>
          <w:szCs w:val="24"/>
          <w:lang w:eastAsia="zh-CN"/>
        </w:rPr>
        <w:t>（不影响投标人编制投标文件的不受此时间约束）</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2.2.3 </w:t>
      </w:r>
      <w:r>
        <w:rPr>
          <w:rFonts w:hint="eastAsia" w:ascii="宋体" w:hAnsi="宋体" w:eastAsia="宋体" w:cs="宋体"/>
          <w:sz w:val="24"/>
          <w:szCs w:val="24"/>
        </w:rPr>
        <w:t>投标人在开标前应该及时关注招标人在网上发出的澄清</w:t>
      </w:r>
      <w:r>
        <w:rPr>
          <w:rFonts w:hint="eastAsia" w:ascii="宋体" w:hAnsi="宋体" w:eastAsia="宋体" w:cs="宋体"/>
          <w:i w:val="0"/>
          <w:iCs/>
          <w:sz w:val="24"/>
          <w:szCs w:val="24"/>
          <w:u w:val="none"/>
          <w:lang w:eastAsia="zh-CN"/>
        </w:rPr>
        <w:t>。</w:t>
      </w:r>
      <w:r>
        <w:rPr>
          <w:rFonts w:hint="eastAsia" w:ascii="宋体" w:hAnsi="宋体" w:eastAsia="宋体" w:cs="宋体"/>
          <w:i w:val="0"/>
          <w:iCs/>
          <w:color w:val="000000"/>
          <w:kern w:val="0"/>
          <w:sz w:val="24"/>
          <w:szCs w:val="24"/>
          <w:u w:val="none"/>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2.3 招标文件的修改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2.3.1 </w:t>
      </w:r>
      <w:r>
        <w:rPr>
          <w:rFonts w:hint="eastAsia" w:ascii="宋体" w:hAnsi="宋体" w:eastAsia="宋体" w:cs="宋体"/>
          <w:sz w:val="24"/>
          <w:szCs w:val="24"/>
        </w:rPr>
        <w:t>在投标截止时间</w:t>
      </w:r>
      <w:r>
        <w:rPr>
          <w:rFonts w:hint="eastAsia" w:ascii="宋体" w:hAnsi="宋体" w:eastAsia="宋体" w:cs="宋体"/>
          <w:sz w:val="24"/>
          <w:szCs w:val="24"/>
          <w:u w:val="single"/>
        </w:rPr>
        <w:t xml:space="preserve"> 15 </w:t>
      </w:r>
      <w:r>
        <w:rPr>
          <w:rFonts w:hint="eastAsia" w:ascii="宋体" w:hAnsi="宋体" w:eastAsia="宋体" w:cs="宋体"/>
          <w:sz w:val="24"/>
          <w:szCs w:val="24"/>
        </w:rPr>
        <w:t>天前，招标人可以在</w:t>
      </w:r>
      <w:r>
        <w:rPr>
          <w:rFonts w:hint="eastAsia" w:ascii="宋体" w:hAnsi="宋体" w:eastAsia="宋体" w:cs="宋体"/>
          <w:sz w:val="24"/>
          <w:szCs w:val="24"/>
          <w:lang w:eastAsia="zh-CN"/>
        </w:rPr>
        <w:t>“</w:t>
      </w:r>
      <w:r>
        <w:rPr>
          <w:rFonts w:hint="eastAsia" w:ascii="宋体" w:hAnsi="宋体" w:eastAsia="宋体" w:cs="宋体"/>
          <w:sz w:val="24"/>
          <w:szCs w:val="24"/>
        </w:rPr>
        <w:t>浙江省政府采购网（</w:t>
      </w:r>
      <w:r>
        <w:rPr>
          <w:rFonts w:hint="eastAsia" w:ascii="宋体" w:hAnsi="宋体" w:eastAsia="宋体" w:cs="宋体"/>
          <w:sz w:val="24"/>
          <w:szCs w:val="24"/>
          <w:lang w:eastAsia="zh-CN"/>
        </w:rPr>
        <w:t>https://zfcg.czt.zj.gov.cn/</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“中国招标投标公共服务平台上”中修改招标文件。如果修改招标文件的时间距投标截止时间不足</w:t>
      </w:r>
      <w:r>
        <w:rPr>
          <w:rFonts w:hint="eastAsia" w:ascii="宋体" w:hAnsi="宋体" w:eastAsia="宋体" w:cs="宋体"/>
          <w:sz w:val="24"/>
          <w:szCs w:val="24"/>
          <w:u w:val="single"/>
        </w:rPr>
        <w:t xml:space="preserve">  15</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天，相应延长投标截止时间</w:t>
      </w:r>
      <w:r>
        <w:rPr>
          <w:rFonts w:hint="eastAsia" w:ascii="宋体" w:hAnsi="宋体" w:eastAsia="宋体" w:cs="宋体"/>
          <w:sz w:val="24"/>
          <w:szCs w:val="24"/>
          <w:lang w:eastAsia="zh-CN"/>
        </w:rPr>
        <w:t>（不影响投标人编制投标文件的不受此时间约束）</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2.3.2 投标人在开标前应该及时关注招标人在网上发出的补充文件</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3．投标文件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3.1 投标文件的组成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3.1.1 投标文件应包括下列内容：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投标函；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）投标函部分的内容及格式详见本招标文件第八章；</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3.2 投标报价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3.2.1 投标人应按第五章“工程量清单”的要求填写相应表格。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3.2.2 投标人在投标截止时间前修改投标函中的投标总报价，应同时修改第五章“工程量清单”中的相应报价。此修改须符合本章第 4.3 款的有关要求。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3.2.3 本工程将设置</w:t>
      </w:r>
      <w:r>
        <w:rPr>
          <w:rFonts w:hint="eastAsia" w:ascii="宋体" w:hAnsi="宋体" w:eastAsia="宋体" w:cs="宋体"/>
          <w:color w:val="auto"/>
          <w:kern w:val="0"/>
          <w:sz w:val="24"/>
          <w:szCs w:val="24"/>
          <w:lang w:eastAsia="zh-CN"/>
        </w:rPr>
        <w:t>最高限价</w:t>
      </w:r>
      <w:r>
        <w:rPr>
          <w:rFonts w:hint="eastAsia" w:ascii="宋体" w:hAnsi="宋体" w:eastAsia="宋体" w:cs="宋体"/>
          <w:color w:val="auto"/>
          <w:kern w:val="0"/>
          <w:sz w:val="24"/>
          <w:szCs w:val="24"/>
        </w:rPr>
        <w:t>，并根据下列依据编制招标控制价，并在招标文件中公布（详见投标须知前附表）,投标人报价不得高于</w:t>
      </w:r>
      <w:r>
        <w:rPr>
          <w:rFonts w:hint="eastAsia" w:ascii="宋体" w:hAnsi="宋体" w:eastAsia="宋体" w:cs="宋体"/>
          <w:color w:val="auto"/>
          <w:kern w:val="0"/>
          <w:sz w:val="24"/>
          <w:szCs w:val="24"/>
          <w:lang w:eastAsia="zh-CN"/>
        </w:rPr>
        <w:t>最高限价</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施工图纸；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《浙江省房屋建筑与装饰工程预算定额（2018版）》；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《浙江省通用安装工程预算定额（2018版）》；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《浙江省</w:t>
      </w:r>
      <w:r>
        <w:rPr>
          <w:rFonts w:hint="eastAsia" w:ascii="宋体" w:hAnsi="宋体" w:eastAsia="宋体" w:cs="宋体"/>
          <w:color w:val="000000"/>
          <w:kern w:val="0"/>
          <w:sz w:val="24"/>
          <w:szCs w:val="24"/>
          <w:lang w:eastAsia="zh-CN"/>
        </w:rPr>
        <w:t>市政</w:t>
      </w:r>
      <w:r>
        <w:rPr>
          <w:rFonts w:hint="eastAsia" w:ascii="宋体" w:hAnsi="宋体" w:eastAsia="宋体" w:cs="宋体"/>
          <w:color w:val="000000"/>
          <w:kern w:val="0"/>
          <w:sz w:val="24"/>
          <w:szCs w:val="24"/>
        </w:rPr>
        <w:t>工程预算定额（2018版）》；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《浙江省</w:t>
      </w:r>
      <w:r>
        <w:rPr>
          <w:rFonts w:hint="eastAsia" w:ascii="宋体" w:hAnsi="宋体" w:eastAsia="宋体" w:cs="宋体"/>
          <w:color w:val="000000"/>
          <w:kern w:val="0"/>
          <w:sz w:val="24"/>
          <w:szCs w:val="24"/>
          <w:lang w:eastAsia="zh-CN"/>
        </w:rPr>
        <w:t>园林绿化及仿古建筑</w:t>
      </w:r>
      <w:r>
        <w:rPr>
          <w:rFonts w:hint="eastAsia" w:ascii="宋体" w:hAnsi="宋体" w:eastAsia="宋体" w:cs="宋体"/>
          <w:color w:val="000000"/>
          <w:kern w:val="0"/>
          <w:sz w:val="24"/>
          <w:szCs w:val="24"/>
        </w:rPr>
        <w:t>工程预算定额（2018版）》；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《浙江省建设工程计价规则》（2018版）；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《浙江省建设工程施工机械台班费用定额》（2018版）；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lang w:val="zh-CN"/>
        </w:rPr>
        <w:t>）《颁发浙江省建设工程计价依据（2018版）的通知》（浙建建发（2018）61号）；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zh-CN"/>
        </w:rPr>
        <w:t>按浙建建发[2019]92号“关于增值税调整后我省建设工程计价依据增值税税率及有关计价调整的通知”；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主要材料价格参照202</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年第</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期金华建设工程造价信息、义乌建设工程造价信息，无价材料按业主咨询价及市场价计入；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人工费单价按202</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年第</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月金华人工市场信息价计入；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取费依据：按《浙江省建设工程计价规则》（2018版）计取，所有弹性区间费率中限取费，规费、税金按规定计取；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3.2.4 投标报价说明及报价格式：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1）本招标工程的投标报价，投标人按照招标人提供的招标文件及招标补充文件等、工程量清单、施工图纸并结合国家相关技术规范、施工现场的实际情况、市场的实际人工、材料、机械台班价格及投标人结合自身实际能力编制的施工技术措施和施工组织措施等实际情况，同时考虑一定的风险费进行投标报价编制。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（2）工程量清单报价包括完成本工程量清单所列项目的全部费用，包括分部分项工程费，措施项目费，其他项目费，规费和税金。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分部分项工程量清单报价为综合单价报价，综合单价由完成规定计量单位工程量清单项目所需的人工费、材料费、机械使用费、企业管理费、利润和风险费用等组成。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风险费用的计取范围考虑投标人为了防范、化解、处理由于施工期内可能出现的人工、材料和施工机械台班价格上涨、人员伤亡、质量缺陷、工期拖延及政策风险等不利事件所需的费用。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5）投标人应根据自身编制的施工方案计算施工技术措施费用和施工组织措施费用，不得删除招标人在投标文件格式中提供的不发生的措施项目；投标人在开挖土石方及拆除项目时，自行考虑对原有建筑物和配套管线保护的措施费用，如产生破坏，必须按照原样恢复，并在投标报价中考虑其费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（6）各拆除项目需综合考虑机械、人工拆除作业，综合报价。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（7）临时便道、施工用水、用电，招标人仅负责协调，费用由投标人自行考虑在施工技术措施费用中，招标人不签证相关费用。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rPr>
        <w:t>（8）各投标人在投标报价时，施工组织措施费中的安全文明施工基本费不得低于</w:t>
      </w:r>
      <w:r>
        <w:rPr>
          <w:rFonts w:hint="eastAsia" w:ascii="宋体" w:hAnsi="宋体" w:eastAsia="宋体" w:cs="宋体"/>
          <w:b w:val="0"/>
          <w:bCs/>
          <w:color w:val="auto"/>
          <w:kern w:val="0"/>
          <w:sz w:val="24"/>
          <w:szCs w:val="24"/>
          <w:lang w:eastAsia="zh-CN"/>
        </w:rPr>
        <w:t>相关</w:t>
      </w:r>
      <w:r>
        <w:rPr>
          <w:rFonts w:hint="eastAsia" w:ascii="宋体" w:hAnsi="宋体" w:eastAsia="宋体" w:cs="宋体"/>
          <w:b w:val="0"/>
          <w:bCs/>
          <w:color w:val="auto"/>
          <w:kern w:val="0"/>
          <w:sz w:val="24"/>
          <w:szCs w:val="24"/>
        </w:rPr>
        <w:t>规定</w:t>
      </w:r>
      <w:r>
        <w:rPr>
          <w:rFonts w:hint="default" w:ascii="宋体" w:hAnsi="宋体" w:eastAsia="宋体" w:cs="宋体"/>
          <w:b w:val="0"/>
          <w:bCs/>
          <w:color w:val="auto"/>
          <w:kern w:val="0"/>
          <w:sz w:val="24"/>
          <w:szCs w:val="24"/>
          <w:lang w:val="en-US"/>
        </w:rPr>
        <w:t>,</w:t>
      </w:r>
      <w:r>
        <w:rPr>
          <w:rFonts w:hint="eastAsia" w:ascii="宋体" w:hAnsi="宋体" w:eastAsia="宋体" w:cs="宋体"/>
          <w:b w:val="0"/>
          <w:bCs/>
          <w:color w:val="auto"/>
          <w:sz w:val="24"/>
          <w:szCs w:val="24"/>
        </w:rPr>
        <w:t>超出下限的投标报价作无效标处理。</w:t>
      </w:r>
      <w:r>
        <w:rPr>
          <w:rFonts w:hint="eastAsia" w:ascii="宋体" w:hAnsi="宋体" w:eastAsia="宋体" w:cs="宋体"/>
          <w:b w:val="0"/>
          <w:bCs/>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rPr>
        <w:t xml:space="preserve">（9）各投标人在投标报价时，规费不得低于以下报价：根据“关于颁发浙江省建设工程计价依据（2018 版）的通知”（浙建建[2018]61 号文件）：规费取费投标人根据国家法律法规及自身缴纳规费的实际情况，自主确定其投标费率，但在规费政策平稳过渡期内不得低于标准费率的30%。当规费相关政策发生变化时，再另行发文规定。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10</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rPr>
        <w:t xml:space="preserve">各投标人在投标报价时，税金必须按规定的费率计取。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工程量清单及计价格式（详见附件）中的任何内容不得随意删除或涂改，工程量清单计价格式中列明的所有需要填报的综合单价和合价，投标人均应填报，未填报的综合单价和合价，在工程实施后招标人将不予支付，并视为此项费用已包含在工程量清单中的其他综合单价和合价中。中标人未填报单价的项目，结算时有数量增减，其增减部分的费用按投标文件的组价原则结合</w:t>
      </w:r>
      <w:r>
        <w:rPr>
          <w:rFonts w:hint="eastAsia" w:ascii="宋体" w:hAnsi="宋体" w:eastAsia="宋体" w:cs="宋体"/>
          <w:b/>
          <w:color w:val="000000"/>
          <w:kern w:val="0"/>
          <w:sz w:val="24"/>
          <w:szCs w:val="24"/>
        </w:rPr>
        <w:t>《浙江省房屋建筑与装饰工程预算定额（2018版）》、《浙江省通用安装工程预算定额（2018版）》</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rPr>
        <w:t>《浙江省</w:t>
      </w:r>
      <w:r>
        <w:rPr>
          <w:rFonts w:hint="eastAsia" w:ascii="宋体" w:hAnsi="宋体" w:eastAsia="宋体" w:cs="宋体"/>
          <w:b/>
          <w:color w:val="000000"/>
          <w:kern w:val="0"/>
          <w:sz w:val="24"/>
          <w:szCs w:val="24"/>
          <w:lang w:eastAsia="zh-CN"/>
        </w:rPr>
        <w:t>市政</w:t>
      </w:r>
      <w:r>
        <w:rPr>
          <w:rFonts w:hint="eastAsia" w:ascii="宋体" w:hAnsi="宋体" w:eastAsia="宋体" w:cs="宋体"/>
          <w:b/>
          <w:color w:val="000000"/>
          <w:kern w:val="0"/>
          <w:sz w:val="24"/>
          <w:szCs w:val="24"/>
        </w:rPr>
        <w:t>工程预算定额（2018版）》</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rPr>
        <w:t>《浙江省</w:t>
      </w:r>
      <w:r>
        <w:rPr>
          <w:rFonts w:hint="eastAsia" w:ascii="宋体" w:hAnsi="宋体" w:eastAsia="宋体" w:cs="宋体"/>
          <w:b/>
          <w:color w:val="000000"/>
          <w:kern w:val="0"/>
          <w:sz w:val="24"/>
          <w:szCs w:val="24"/>
          <w:lang w:eastAsia="zh-CN"/>
        </w:rPr>
        <w:t>园林绿化及仿古建筑</w:t>
      </w:r>
      <w:r>
        <w:rPr>
          <w:rFonts w:hint="eastAsia" w:ascii="宋体" w:hAnsi="宋体" w:eastAsia="宋体" w:cs="宋体"/>
          <w:b/>
          <w:color w:val="000000"/>
          <w:kern w:val="0"/>
          <w:sz w:val="24"/>
          <w:szCs w:val="24"/>
        </w:rPr>
        <w:t>工程预算定额（2018版）》</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rPr>
        <w:t>《浙江省建设工程计价规则》（2018版）</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rPr>
        <w:t>《浙江省建设工程施工机械台班费用定额》（2018版）</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lang w:val="zh-CN"/>
        </w:rPr>
        <w:t>《颁发浙江省建设工程计价依据（2018版）的通知》（浙建建发（2018）61号）、</w:t>
      </w:r>
      <w:r>
        <w:rPr>
          <w:rFonts w:hint="eastAsia" w:ascii="宋体" w:hAnsi="宋体" w:eastAsia="宋体" w:cs="宋体"/>
          <w:b/>
          <w:color w:val="000000"/>
          <w:kern w:val="0"/>
          <w:sz w:val="24"/>
          <w:szCs w:val="24"/>
        </w:rPr>
        <w:t>浙江省有关补充规定</w:t>
      </w:r>
      <w:r>
        <w:rPr>
          <w:rFonts w:hint="eastAsia" w:ascii="宋体" w:hAnsi="宋体" w:eastAsia="宋体" w:cs="宋体"/>
          <w:color w:val="000000"/>
          <w:kern w:val="0"/>
          <w:sz w:val="24"/>
          <w:szCs w:val="24"/>
        </w:rPr>
        <w:t xml:space="preserve">及现行其它定额有关子项重新组价出综合单价进行调整。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3.2.5 本项目中的暂列金额</w:t>
      </w:r>
      <w:r>
        <w:rPr>
          <w:rFonts w:hint="eastAsia" w:ascii="宋体" w:hAnsi="宋体" w:eastAsia="宋体" w:cs="宋体"/>
          <w:color w:val="auto"/>
          <w:kern w:val="0"/>
          <w:sz w:val="24"/>
          <w:szCs w:val="24"/>
          <w:lang w:eastAsia="zh-CN"/>
        </w:rPr>
        <w:t>（无）</w:t>
      </w:r>
      <w:r>
        <w:rPr>
          <w:rFonts w:hint="eastAsia" w:ascii="宋体" w:hAnsi="宋体" w:eastAsia="宋体" w:cs="宋体"/>
          <w:color w:val="auto"/>
          <w:kern w:val="0"/>
          <w:sz w:val="24"/>
          <w:szCs w:val="24"/>
        </w:rPr>
        <w:t xml:space="preserve">、零星工程、其他工程等除合同另有规定外，应由监理工程师根据具体工程情况，报招标人经批准后全部或部分使用，或者不予动用。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3.2.6 投标文件报价中的单价和总价全部采用人民币计算。</w:t>
      </w:r>
      <w:r>
        <w:rPr>
          <w:rFonts w:hint="eastAsia" w:ascii="宋体" w:hAnsi="宋体" w:eastAsia="宋体" w:cs="宋体"/>
          <w:b/>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3.3 投标有效期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3.3.1 在投标人须知前附表规定的投标有效期内，投标人不得要求撤销或修改其投标文件。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3.4 投标保证金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3.4.1 投标人在递交投标文件的同时，应按投标人须知前附表规定的金额、担保形式和第</w:t>
      </w:r>
      <w:r>
        <w:rPr>
          <w:rFonts w:hint="eastAsia" w:ascii="宋体" w:hAnsi="宋体" w:eastAsia="宋体" w:cs="宋体"/>
          <w:color w:val="000000"/>
          <w:kern w:val="0"/>
          <w:sz w:val="24"/>
          <w:szCs w:val="24"/>
          <w:lang w:eastAsia="zh-CN"/>
        </w:rPr>
        <w:t>八</w:t>
      </w:r>
      <w:r>
        <w:rPr>
          <w:rFonts w:hint="eastAsia" w:ascii="宋体" w:hAnsi="宋体" w:eastAsia="宋体" w:cs="宋体"/>
          <w:color w:val="000000"/>
          <w:kern w:val="0"/>
          <w:sz w:val="24"/>
          <w:szCs w:val="24"/>
        </w:rPr>
        <w:t>章“投标文件</w:t>
      </w:r>
      <w:r>
        <w:rPr>
          <w:rFonts w:hint="eastAsia" w:ascii="宋体" w:hAnsi="宋体" w:eastAsia="宋体" w:cs="宋体"/>
          <w:color w:val="000000"/>
          <w:kern w:val="0"/>
          <w:sz w:val="24"/>
          <w:szCs w:val="24"/>
          <w:lang w:eastAsia="zh-CN"/>
        </w:rPr>
        <w:t>内容及</w:t>
      </w:r>
      <w:r>
        <w:rPr>
          <w:rFonts w:hint="eastAsia" w:ascii="宋体" w:hAnsi="宋体" w:eastAsia="宋体" w:cs="宋体"/>
          <w:color w:val="000000"/>
          <w:kern w:val="0"/>
          <w:sz w:val="24"/>
          <w:szCs w:val="24"/>
        </w:rPr>
        <w:t xml:space="preserve">格式”规定的投标保证金格式递交投标保证金，并作为其投标文件的组成部分。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3.4.2 投标人不按本章第 3.4.1 项要求提交投标保证金的，其投标文件作</w:t>
      </w:r>
      <w:r>
        <w:rPr>
          <w:rFonts w:hint="eastAsia" w:ascii="宋体" w:hAnsi="宋体" w:eastAsia="宋体" w:cs="宋体"/>
          <w:color w:val="000000"/>
          <w:kern w:val="0"/>
          <w:sz w:val="24"/>
          <w:szCs w:val="24"/>
          <w:lang w:eastAsia="zh-CN"/>
        </w:rPr>
        <w:t>无效标</w:t>
      </w:r>
      <w:r>
        <w:rPr>
          <w:rFonts w:hint="eastAsia" w:ascii="宋体" w:hAnsi="宋体" w:eastAsia="宋体" w:cs="宋体"/>
          <w:color w:val="000000"/>
          <w:kern w:val="0"/>
          <w:sz w:val="24"/>
          <w:szCs w:val="24"/>
        </w:rPr>
        <w:t xml:space="preserve">处理。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3.4.3投标保证金投标保证金的退还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（1）中标候选人公示期结束5个工作日内，向除中标人以外的所有投标人退还投标保证金；中标人凭</w:t>
      </w:r>
      <w:r>
        <w:rPr>
          <w:rFonts w:hint="eastAsia" w:ascii="宋体" w:hAnsi="宋体" w:eastAsia="宋体" w:cs="宋体"/>
          <w:color w:val="000000" w:themeColor="text1"/>
          <w:sz w:val="24"/>
          <w:szCs w:val="24"/>
          <w:lang w:eastAsia="zh-CN"/>
          <w14:textFill>
            <w14:solidFill>
              <w14:schemeClr w14:val="tx1"/>
            </w14:solidFill>
          </w14:textFill>
        </w:rPr>
        <w:t>施工</w:t>
      </w:r>
      <w:r>
        <w:rPr>
          <w:rFonts w:hint="eastAsia" w:ascii="宋体" w:hAnsi="宋体" w:eastAsia="宋体" w:cs="宋体"/>
          <w:color w:val="000000" w:themeColor="text1"/>
          <w:sz w:val="24"/>
          <w:szCs w:val="24"/>
          <w14:textFill>
            <w14:solidFill>
              <w14:schemeClr w14:val="tx1"/>
            </w14:solidFill>
          </w14:textFill>
        </w:rPr>
        <w:t>合同到</w:t>
      </w:r>
      <w:r>
        <w:rPr>
          <w:rFonts w:hint="eastAsia" w:ascii="宋体" w:hAnsi="宋体" w:eastAsia="宋体" w:cs="宋体"/>
          <w:color w:val="000000" w:themeColor="text1"/>
          <w:sz w:val="24"/>
          <w:szCs w:val="24"/>
          <w:lang w:eastAsia="zh-CN"/>
          <w14:textFill>
            <w14:solidFill>
              <w14:schemeClr w14:val="tx1"/>
            </w14:solidFill>
          </w14:textFill>
        </w:rPr>
        <w:t>代理公司</w:t>
      </w:r>
      <w:r>
        <w:rPr>
          <w:rFonts w:hint="eastAsia" w:ascii="宋体" w:hAnsi="宋体" w:eastAsia="宋体" w:cs="宋体"/>
          <w:color w:val="000000" w:themeColor="text1"/>
          <w:sz w:val="24"/>
          <w:szCs w:val="24"/>
          <w14:textFill>
            <w14:solidFill>
              <w14:schemeClr w14:val="tx1"/>
            </w14:solidFill>
          </w14:textFill>
        </w:rPr>
        <w:t>退还投标保证金；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（2）招标人决定不予退还、暂缓退还投标保证金以及招标人要求投标人延长保证金有效期且投标人同意的，退还日期至少三个工作日前书面通知</w:t>
      </w:r>
      <w:r>
        <w:rPr>
          <w:rFonts w:hint="eastAsia" w:ascii="宋体" w:hAnsi="宋体" w:eastAsia="宋体" w:cs="宋体"/>
          <w:color w:val="000000" w:themeColor="text1"/>
          <w:sz w:val="24"/>
          <w:szCs w:val="24"/>
          <w:lang w:eastAsia="zh-CN"/>
          <w14:textFill>
            <w14:solidFill>
              <w14:schemeClr w14:val="tx1"/>
            </w14:solidFill>
          </w14:textFill>
        </w:rPr>
        <w:t>代理公司</w:t>
      </w:r>
      <w:r>
        <w:rPr>
          <w:rFonts w:hint="eastAsia" w:ascii="宋体" w:hAnsi="宋体" w:eastAsia="宋体" w:cs="宋体"/>
          <w:color w:val="000000" w:themeColor="text1"/>
          <w:sz w:val="24"/>
          <w:szCs w:val="24"/>
          <w14:textFill>
            <w14:solidFill>
              <w14:schemeClr w14:val="tx1"/>
            </w14:solidFill>
          </w14:textFill>
        </w:rPr>
        <w:t>，以便</w:t>
      </w:r>
      <w:r>
        <w:rPr>
          <w:rFonts w:hint="eastAsia" w:ascii="宋体" w:hAnsi="宋体" w:eastAsia="宋体" w:cs="宋体"/>
          <w:color w:val="000000" w:themeColor="text1"/>
          <w:sz w:val="24"/>
          <w:szCs w:val="24"/>
          <w:lang w:eastAsia="zh-CN"/>
          <w14:textFill>
            <w14:solidFill>
              <w14:schemeClr w14:val="tx1"/>
            </w14:solidFill>
          </w14:textFill>
        </w:rPr>
        <w:t>代理公司</w:t>
      </w:r>
      <w:r>
        <w:rPr>
          <w:rFonts w:hint="eastAsia" w:ascii="宋体" w:hAnsi="宋体" w:eastAsia="宋体" w:cs="宋体"/>
          <w:color w:val="000000" w:themeColor="text1"/>
          <w:sz w:val="24"/>
          <w:szCs w:val="24"/>
          <w14:textFill>
            <w14:solidFill>
              <w14:schemeClr w14:val="tx1"/>
            </w14:solidFill>
          </w14:textFill>
        </w:rPr>
        <w:t>有合理的处理时间。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（3）按原账进原账出的原则，投标人在投标期间银行基本账户发生变化时，应及时到</w:t>
      </w:r>
      <w:r>
        <w:rPr>
          <w:rFonts w:hint="eastAsia" w:ascii="宋体" w:hAnsi="宋体" w:eastAsia="宋体" w:cs="宋体"/>
          <w:color w:val="000000" w:themeColor="text1"/>
          <w:sz w:val="24"/>
          <w:szCs w:val="24"/>
          <w:lang w:eastAsia="zh-CN"/>
          <w14:textFill>
            <w14:solidFill>
              <w14:schemeClr w14:val="tx1"/>
            </w14:solidFill>
          </w14:textFill>
        </w:rPr>
        <w:t>代理公司</w:t>
      </w:r>
      <w:r>
        <w:rPr>
          <w:rFonts w:hint="eastAsia" w:ascii="宋体" w:hAnsi="宋体" w:eastAsia="宋体" w:cs="宋体"/>
          <w:color w:val="000000" w:themeColor="text1"/>
          <w:sz w:val="24"/>
          <w:szCs w:val="24"/>
          <w14:textFill>
            <w14:solidFill>
              <w14:schemeClr w14:val="tx1"/>
            </w14:solidFill>
          </w14:textFill>
        </w:rPr>
        <w:t>办理变更登记，以确保投标保证金及时准确地退还。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3.4.4 有下列情形之一的，投标保证金将不予退还：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（1）投标人在规定的投标有效期内撤销或修改其投标文件；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（2）中标人拒绝配合招标人办理中标通知书事宜或拒绝签收中标通知书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（3）中标人在收到中标通知书后，无正当理由拒签合同协议书或未按招标文件规定提交履约担保</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（4）投标人之间串标、围标或以其他方式弄虚作假的行为；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（5）经查实，投标人存在以他人名义投标，或在企业及项目负责人资质、业绩、在建工程、市场行为等方面弄虚作假的情形的</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3.5 </w:t>
      </w:r>
      <w:r>
        <w:rPr>
          <w:rFonts w:hint="eastAsia" w:ascii="宋体" w:hAnsi="宋体" w:eastAsia="宋体" w:cs="宋体"/>
          <w:b/>
          <w:color w:val="000000"/>
          <w:kern w:val="0"/>
          <w:sz w:val="24"/>
          <w:szCs w:val="24"/>
          <w:lang w:eastAsia="zh-CN"/>
        </w:rPr>
        <w:t>投标函</w:t>
      </w:r>
      <w:r>
        <w:rPr>
          <w:rFonts w:hint="eastAsia" w:ascii="宋体" w:hAnsi="宋体" w:eastAsia="宋体" w:cs="宋体"/>
          <w:b/>
          <w:color w:val="000000"/>
          <w:kern w:val="0"/>
          <w:sz w:val="24"/>
          <w:szCs w:val="24"/>
        </w:rPr>
        <w:t xml:space="preserve">(复印件须加盖单位章)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详见投标文件</w:t>
      </w:r>
      <w:r>
        <w:rPr>
          <w:rFonts w:hint="eastAsia" w:ascii="宋体" w:hAnsi="宋体" w:eastAsia="宋体" w:cs="宋体"/>
          <w:color w:val="000000"/>
          <w:kern w:val="0"/>
          <w:sz w:val="24"/>
          <w:szCs w:val="24"/>
          <w:lang w:eastAsia="zh-CN"/>
        </w:rPr>
        <w:t>内容及</w:t>
      </w:r>
      <w:r>
        <w:rPr>
          <w:rFonts w:hint="eastAsia" w:ascii="宋体" w:hAnsi="宋体" w:eastAsia="宋体" w:cs="宋体"/>
          <w:color w:val="000000"/>
          <w:kern w:val="0"/>
          <w:sz w:val="24"/>
          <w:szCs w:val="24"/>
        </w:rPr>
        <w:t>格式目录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3.6 备选投标方案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3.7 投标文件的编制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3.7.1 投标文件应按第八章“投标文件</w:t>
      </w:r>
      <w:r>
        <w:rPr>
          <w:rFonts w:hint="eastAsia" w:ascii="宋体" w:hAnsi="宋体" w:eastAsia="宋体" w:cs="宋体"/>
          <w:color w:val="000000"/>
          <w:kern w:val="0"/>
          <w:sz w:val="24"/>
          <w:szCs w:val="24"/>
          <w:lang w:eastAsia="zh-CN"/>
        </w:rPr>
        <w:t>内容及</w:t>
      </w:r>
      <w:r>
        <w:rPr>
          <w:rFonts w:hint="eastAsia" w:ascii="宋体" w:hAnsi="宋体" w:eastAsia="宋体" w:cs="宋体"/>
          <w:color w:val="000000"/>
          <w:kern w:val="0"/>
          <w:sz w:val="24"/>
          <w:szCs w:val="24"/>
        </w:rPr>
        <w:t xml:space="preserve">格式”进行编写，如有必要，可以增加附页，作为投标文件的组成部分。在满足招标文件实质性要求的基础上，可以提出比招标文件要求更有利于招标人的承诺。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3.7.2 投标文件应当对招标文件有关工期、投标有效期、质量要求、技术标准和要求、招标范围等实质性内容作出响应。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3.7.4 投标文件正本壹份，副本份数见投标人须知前附表。正本和副本的封面上应清楚地标记“正本”或“副本”的字样。当副本和正本不一致时，以正本为准。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3.7.5 投标文件的正本与副本应分别装订成册，并编制目录，具体装订要求见投标人须知前附表规定。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3.7.6 投标人制作投标书时，应注意以下几点：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投标人应按电子招标文件和招标补充文件（如有）内容，通过 “投标文件制作格式文本”编制</w:t>
      </w:r>
      <w:r>
        <w:rPr>
          <w:rFonts w:hint="eastAsia" w:ascii="宋体" w:hAnsi="宋体" w:eastAsia="宋体" w:cs="宋体"/>
          <w:color w:val="auto"/>
          <w:kern w:val="0"/>
          <w:sz w:val="24"/>
          <w:szCs w:val="24"/>
          <w:lang w:eastAsia="zh-CN"/>
        </w:rPr>
        <w:t>投标文件</w:t>
      </w:r>
      <w:r>
        <w:rPr>
          <w:rFonts w:hint="eastAsia" w:ascii="宋体" w:hAnsi="宋体" w:eastAsia="宋体" w:cs="宋体"/>
          <w:color w:val="auto"/>
          <w:kern w:val="0"/>
          <w:sz w:val="24"/>
          <w:szCs w:val="24"/>
        </w:rPr>
        <w:t>。不按本项规定制作的，其投标文件予以否决。</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4472C4" w:themeColor="accent5"/>
          <w:kern w:val="0"/>
          <w:sz w:val="24"/>
          <w:szCs w:val="24"/>
          <w14:textFill>
            <w14:solidFill>
              <w14:schemeClr w14:val="accent5"/>
            </w14:solidFill>
          </w14:textFill>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在编制投标文件时，分部分项工程量项目同招标人提供的工程量清单项目及变更书面通知提供的工程量清单项目应一致（包括清单排序、项目编码、项目名称、项目特征、计量单位、工程量），否则其投标文件予以否决。</w:t>
      </w:r>
      <w:r>
        <w:rPr>
          <w:rFonts w:hint="eastAsia" w:ascii="宋体" w:hAnsi="宋体" w:eastAsia="宋体" w:cs="宋体"/>
          <w:color w:val="4472C4" w:themeColor="accent5"/>
          <w:kern w:val="0"/>
          <w:sz w:val="24"/>
          <w:szCs w:val="24"/>
          <w14:textFill>
            <w14:solidFill>
              <w14:schemeClr w14:val="accent5"/>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4．投标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4.1 投标文件的密封和标记 </w:t>
      </w:r>
    </w:p>
    <w:p>
      <w:pPr>
        <w:keepNext w:val="0"/>
        <w:keepLines w:val="0"/>
        <w:pageBreakBefore w:val="0"/>
        <w:tabs>
          <w:tab w:val="left" w:pos="993"/>
          <w:tab w:val="left" w:pos="1300"/>
          <w:tab w:val="left" w:pos="1700"/>
          <w:tab w:val="left" w:pos="20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投标人应将投标函(</w:t>
      </w:r>
      <w:r>
        <w:rPr>
          <w:rFonts w:hint="eastAsia" w:ascii="宋体" w:hAnsi="宋体" w:eastAsia="宋体" w:cs="宋体"/>
          <w:b/>
          <w:bCs/>
          <w:color w:val="auto"/>
          <w:sz w:val="24"/>
          <w:szCs w:val="24"/>
          <w:highlight w:val="none"/>
        </w:rPr>
        <w:t>正本一份、副本</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 密封在不透明的密封袋里，并在投标文件密封袋上清楚地标明“投标函正本一份，副本</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份”字样。</w:t>
      </w:r>
    </w:p>
    <w:p>
      <w:pPr>
        <w:keepNext w:val="0"/>
        <w:keepLines w:val="0"/>
        <w:pageBreakBefore w:val="0"/>
        <w:tabs>
          <w:tab w:val="left" w:pos="993"/>
          <w:tab w:val="left" w:pos="1300"/>
          <w:tab w:val="left" w:pos="1700"/>
          <w:tab w:val="left" w:pos="20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在投标文件密封袋上均应写明的其他内容见投标人须知前附表。</w:t>
      </w:r>
    </w:p>
    <w:p>
      <w:pPr>
        <w:keepNext w:val="0"/>
        <w:keepLines w:val="0"/>
        <w:pageBreakBefore w:val="0"/>
        <w:tabs>
          <w:tab w:val="left" w:pos="993"/>
          <w:tab w:val="left" w:pos="1300"/>
          <w:tab w:val="left" w:pos="1700"/>
          <w:tab w:val="left" w:pos="20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除了按本须知第4.1.2款所要求的识别字样外，在投标文件密封袋上还应写明投标人的名称与地址、邮政编码，以便迟交时，投标文件可按密封袋上标明的投标人地址原封退回；</w:t>
      </w:r>
    </w:p>
    <w:p>
      <w:pPr>
        <w:keepNext w:val="0"/>
        <w:keepLines w:val="0"/>
        <w:pageBreakBefore w:val="0"/>
        <w:tabs>
          <w:tab w:val="left" w:pos="993"/>
          <w:tab w:val="left" w:pos="1300"/>
          <w:tab w:val="left" w:pos="1700"/>
          <w:tab w:val="left" w:pos="20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投标文件密封袋应加贴封条，并在封套的封口处骑缝加盖投标人印章</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4.2 投标文件的递交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4.2.1 投标人应在本章第 2.2.2 项规定的投标截止时间前递交投标文件。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4.2.2 投标人递交投标文件的地点：见投标人须知前附表。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4.2.3 除投标人须知前附表另有规定外，投标人所递交的投标文件不予退还。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4.2.4 逾期送达的或者未送达指定地点的投标文件，</w:t>
      </w:r>
      <w:r>
        <w:rPr>
          <w:rFonts w:hint="eastAsia" w:ascii="宋体" w:hAnsi="宋体" w:eastAsia="宋体" w:cs="宋体"/>
          <w:b/>
          <w:color w:val="000000"/>
          <w:kern w:val="0"/>
          <w:sz w:val="24"/>
          <w:szCs w:val="24"/>
        </w:rPr>
        <w:t>招标人不予受理。</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4.3 投标文件的修改与撤回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4.3.1 在本章第 2.2.2 项规定的投标截止时间前，投标人可以修改或撤回已递交的投标文件，但应书面形式通知招标人。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4.3.2 投标人修改或撤回已递交投标文件的书面通知应按照本章第 3.7.3 项的要求签字或盖章。招标人收到书面通知后，向投标人出具签收凭证。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4.3.3 修改的内容为投标文件的组成部分。修改的投标文件应按照本章第 3 条、第 4 条规定进行编制、密封、标记和递交，并标明“修改”字样。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5．开标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 xml:space="preserve">5.1 </w:t>
      </w:r>
      <w:r>
        <w:rPr>
          <w:rFonts w:hint="eastAsia" w:ascii="宋体" w:hAnsi="宋体"/>
          <w:b/>
          <w:sz w:val="24"/>
        </w:rPr>
        <w:t>开标时间、地点和参加开标会议人员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5.1.1开标程序根据《关于积极应对疫情有序推进招投标工作保障复工复产的通知》（金资交办【2020】2号）文件精神，在坚持疫情防控的基础上做好复工复产工作，本项目开标拟采用不见面开标形式。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rPr>
        <w:t>投标文件的递交：投标文件递交的截止时间为</w:t>
      </w:r>
      <w:r>
        <w:rPr>
          <w:rFonts w:hint="eastAsia" w:ascii="宋体" w:hAnsi="宋体" w:eastAsia="宋体" w:cs="宋体"/>
          <w:color w:val="000000"/>
          <w:kern w:val="0"/>
          <w:sz w:val="24"/>
          <w:szCs w:val="24"/>
          <w:lang w:val="en-US" w:eastAsia="zh-CN"/>
        </w:rPr>
        <w:t>2021</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lang w:val="en-US" w:eastAsia="zh-CN"/>
        </w:rPr>
        <w:t xml:space="preserve"> 9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lang w:val="en-US" w:eastAsia="zh-CN"/>
        </w:rPr>
        <w:t xml:space="preserve"> 10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时00分，</w:t>
      </w:r>
      <w:r>
        <w:rPr>
          <w:rFonts w:hint="eastAsia" w:ascii="宋体" w:hAnsi="宋体" w:eastAsia="宋体" w:cs="宋体"/>
          <w:color w:val="000000"/>
          <w:kern w:val="0"/>
          <w:sz w:val="24"/>
          <w:szCs w:val="24"/>
          <w:lang w:eastAsia="zh-CN"/>
        </w:rPr>
        <w:t>开标</w:t>
      </w:r>
      <w:r>
        <w:rPr>
          <w:rFonts w:hint="eastAsia" w:ascii="宋体" w:hAnsi="宋体" w:eastAsia="宋体" w:cs="宋体"/>
          <w:color w:val="000000"/>
          <w:kern w:val="0"/>
          <w:sz w:val="24"/>
          <w:szCs w:val="24"/>
        </w:rPr>
        <w:t>地点为</w:t>
      </w:r>
      <w:r>
        <w:rPr>
          <w:rFonts w:hint="eastAsia" w:ascii="宋体" w:hAnsi="宋体" w:eastAsia="宋体" w:cs="宋体"/>
          <w:color w:val="000000"/>
          <w:kern w:val="0"/>
          <w:sz w:val="24"/>
          <w:szCs w:val="24"/>
          <w:lang w:eastAsia="zh-CN"/>
        </w:rPr>
        <w:t>东阳市江北街道关山北路20号开标室。</w:t>
      </w:r>
      <w:r>
        <w:rPr>
          <w:rFonts w:hint="eastAsia" w:ascii="宋体" w:hAnsi="宋体" w:eastAsia="宋体" w:cs="宋体"/>
          <w:color w:val="auto"/>
          <w:kern w:val="0"/>
          <w:sz w:val="24"/>
        </w:rPr>
        <w:t>疫情期间由代理机构在</w:t>
      </w:r>
      <w:r>
        <w:rPr>
          <w:rFonts w:hint="eastAsia" w:ascii="宋体" w:hAnsi="宋体" w:eastAsia="宋体" w:cs="宋体"/>
          <w:color w:val="000000"/>
          <w:kern w:val="0"/>
          <w:sz w:val="24"/>
          <w:szCs w:val="24"/>
          <w:lang w:eastAsia="zh-CN"/>
        </w:rPr>
        <w:t>东阳市江北街道关山北路20号</w:t>
      </w:r>
      <w:r>
        <w:rPr>
          <w:rFonts w:hint="eastAsia" w:ascii="宋体" w:hAnsi="宋体" w:eastAsia="宋体" w:cs="宋体"/>
          <w:color w:val="auto"/>
          <w:kern w:val="0"/>
          <w:sz w:val="24"/>
        </w:rPr>
        <w:t>收取纸质投标文件，</w:t>
      </w:r>
      <w:r>
        <w:rPr>
          <w:rFonts w:hint="eastAsia" w:ascii="宋体" w:hAnsi="宋体" w:eastAsia="宋体" w:cs="宋体"/>
          <w:color w:val="auto"/>
          <w:kern w:val="0"/>
          <w:sz w:val="24"/>
          <w:lang w:bidi="ar"/>
        </w:rPr>
        <w:t>开标采用不见面钉钉群视频直播开标形式</w:t>
      </w:r>
      <w:r>
        <w:rPr>
          <w:rFonts w:hint="eastAsia" w:ascii="宋体" w:hAnsi="宋体" w:eastAsia="宋体" w:cs="宋体"/>
          <w:color w:val="auto"/>
          <w:kern w:val="0"/>
          <w:sz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 xml:space="preserve">5.2 开标程序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主持人按下列程序进行开标：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5.2.1代理机构在报名截止时间后建立钉钉直播群，将钉钉直播群号公布到QQ群</w:t>
      </w:r>
      <w:r>
        <w:rPr>
          <w:rFonts w:hint="eastAsia" w:ascii="宋体" w:hAnsi="宋体" w:eastAsia="宋体" w:cs="宋体"/>
          <w:sz w:val="24"/>
          <w:szCs w:val="24"/>
          <w:highlight w:val="none"/>
        </w:rPr>
        <w:t>（QQ群号为52446475）并开启群视频直播，对开标现场情况进行全程直播。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5.2.2</w:t>
      </w:r>
      <w:r>
        <w:rPr>
          <w:rFonts w:hint="eastAsia" w:ascii="宋体" w:hAnsi="宋体" w:eastAsia="宋体" w:cs="宋体"/>
          <w:iCs/>
          <w:snapToGrid w:val="0"/>
          <w:sz w:val="24"/>
          <w:szCs w:val="24"/>
          <w:highlight w:val="none"/>
        </w:rPr>
        <w:t>密封情况检查：</w:t>
      </w:r>
      <w:r>
        <w:rPr>
          <w:rFonts w:hint="eastAsia" w:ascii="宋体" w:hAnsi="宋体" w:eastAsia="宋体" w:cs="宋体"/>
          <w:sz w:val="24"/>
          <w:szCs w:val="24"/>
          <w:highlight w:val="none"/>
        </w:rPr>
        <w:t>在钉钉群进行直播，由投标人通过钉钉群直播检查投标文件密封情况，确认无误后，由招标代理机构开启各投标人的投标文件。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5.2.3招标文件第三章评标方法（三）评审程序、办法3.3中由投标人代表抽取数字改为由招标人代表抽取。</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5.2.4评标委员会根据招标文件规定的评标程序对各投标文件进行评审，招标代理公司将现场宣布结果的视频公布到直播群进行确认。</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5.2.5各投标单位交易员（交易员）必须及时加入钉钉群，在开评标期间保持电话及网络畅通，投标人也可在钉钉群里提出质疑，但质疑材料需加盖单位公章后拍照上传。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5.2.6投标人对开标过程提出质疑的，由招标代理公司在钉钉群里进行回复。</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5.2.7投标人对评审结果提出质疑的，请评标委员会对质疑内容进行复核。</w:t>
      </w:r>
    </w:p>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以上环节均由招标人代表监督见证下进行。</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5.3 开标异议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各投标单位交易员（交易员）必须及时加入钉钉群，在开评标期间保持电话及网络畅通，投标人也可在钉钉群里提出质疑，但质疑材料需加盖单位公章后拍照上传。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投标人对开标过程提出质疑的，由招标代理公司在钉钉群里进行回复。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投标人对评审结果提出质疑的，由招标代理公司请评标委员会对质疑内容进行复核</w:t>
      </w:r>
      <w:r>
        <w:rPr>
          <w:rFonts w:hint="eastAsia" w:ascii="宋体" w:hAnsi="宋体"/>
          <w:sz w:val="24"/>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6．评标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6.1 评标委员会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6.1.1 评标由招标人依法组建的评标委员会负责。评标委员会由</w:t>
      </w:r>
      <w:r>
        <w:rPr>
          <w:rFonts w:hint="eastAsia" w:ascii="宋体" w:hAnsi="宋体" w:eastAsia="宋体" w:cs="宋体"/>
          <w:color w:val="000000"/>
          <w:kern w:val="0"/>
          <w:sz w:val="24"/>
          <w:szCs w:val="24"/>
          <w:lang w:eastAsia="zh-CN"/>
        </w:rPr>
        <w:t>随机抽取的</w:t>
      </w:r>
      <w:r>
        <w:rPr>
          <w:rFonts w:hint="eastAsia" w:ascii="宋体" w:hAnsi="宋体" w:eastAsia="宋体" w:cs="宋体"/>
          <w:color w:val="000000"/>
          <w:kern w:val="0"/>
          <w:sz w:val="24"/>
          <w:szCs w:val="24"/>
        </w:rPr>
        <w:t xml:space="preserve">技术、经济等方面的专家组成。评标委员会成员人数的确定方式见投标人须知前附表。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6.1.2 评标委员会成员有下列情形之一的，应当回避：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(1）招标人或投标人的主要负责人的近亲属；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(2）项目主管部门或者行政监督部门的人员</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(3）与投标人有经济利益关系，可能影响对投标公正评审的；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(4）曾因在招标、评标以及其他与招标投标有关活动中从事违法行为而受过行政处罚或刑事处罚的。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6.2 评标原则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评标活动遵循公平、公正、科学和择优的原则。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6.3 评标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评标委员会按照第三章“评标</w:t>
      </w:r>
      <w:r>
        <w:rPr>
          <w:rFonts w:hint="eastAsia" w:ascii="宋体" w:hAnsi="宋体" w:eastAsia="宋体" w:cs="宋体"/>
          <w:color w:val="000000"/>
          <w:kern w:val="0"/>
          <w:sz w:val="24"/>
          <w:szCs w:val="24"/>
          <w:lang w:eastAsia="zh-CN"/>
        </w:rPr>
        <w:t>方</w:t>
      </w:r>
      <w:r>
        <w:rPr>
          <w:rFonts w:hint="eastAsia" w:ascii="宋体" w:hAnsi="宋体" w:eastAsia="宋体" w:cs="宋体"/>
          <w:color w:val="000000"/>
          <w:kern w:val="0"/>
          <w:sz w:val="24"/>
          <w:szCs w:val="24"/>
        </w:rPr>
        <w:t>法</w:t>
      </w:r>
      <w:r>
        <w:rPr>
          <w:rFonts w:hint="eastAsia" w:ascii="宋体" w:hAnsi="宋体" w:eastAsia="宋体" w:cs="宋体"/>
          <w:color w:val="000000"/>
          <w:kern w:val="0"/>
          <w:sz w:val="24"/>
          <w:szCs w:val="24"/>
          <w:lang w:eastAsia="zh-CN"/>
        </w:rPr>
        <w:t>、标准、程序</w:t>
      </w:r>
      <w:r>
        <w:rPr>
          <w:rFonts w:hint="eastAsia" w:ascii="宋体" w:hAnsi="宋体" w:eastAsia="宋体" w:cs="宋体"/>
          <w:color w:val="000000"/>
          <w:kern w:val="0"/>
          <w:sz w:val="24"/>
          <w:szCs w:val="24"/>
        </w:rPr>
        <w:t>”规定的方法、评审因素、标准和程序对投标文件进行评审。第三章“评标</w:t>
      </w:r>
      <w:r>
        <w:rPr>
          <w:rFonts w:hint="eastAsia" w:ascii="宋体" w:hAnsi="宋体" w:eastAsia="宋体" w:cs="宋体"/>
          <w:color w:val="000000"/>
          <w:kern w:val="0"/>
          <w:sz w:val="24"/>
          <w:szCs w:val="24"/>
          <w:lang w:eastAsia="zh-CN"/>
        </w:rPr>
        <w:t>方</w:t>
      </w:r>
      <w:r>
        <w:rPr>
          <w:rFonts w:hint="eastAsia" w:ascii="宋体" w:hAnsi="宋体" w:eastAsia="宋体" w:cs="宋体"/>
          <w:color w:val="000000"/>
          <w:kern w:val="0"/>
          <w:sz w:val="24"/>
          <w:szCs w:val="24"/>
        </w:rPr>
        <w:t>法</w:t>
      </w:r>
      <w:r>
        <w:rPr>
          <w:rFonts w:hint="eastAsia" w:ascii="宋体" w:hAnsi="宋体" w:eastAsia="宋体" w:cs="宋体"/>
          <w:color w:val="000000"/>
          <w:kern w:val="0"/>
          <w:sz w:val="24"/>
          <w:szCs w:val="24"/>
          <w:lang w:eastAsia="zh-CN"/>
        </w:rPr>
        <w:t>、标准、程序</w:t>
      </w:r>
      <w:r>
        <w:rPr>
          <w:rFonts w:hint="eastAsia" w:ascii="宋体" w:hAnsi="宋体" w:eastAsia="宋体" w:cs="宋体"/>
          <w:color w:val="000000"/>
          <w:kern w:val="0"/>
          <w:sz w:val="24"/>
          <w:szCs w:val="24"/>
        </w:rPr>
        <w:t xml:space="preserve">”没有规定的方法、评审因素和标准，不作为评标依据。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7．合同授予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7.1 定标方式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7.1.1 以综合得分排序</w:t>
      </w:r>
      <w:r>
        <w:rPr>
          <w:rFonts w:hint="eastAsia" w:ascii="宋体" w:hAnsi="宋体" w:eastAsia="宋体" w:cs="宋体"/>
          <w:b/>
          <w:color w:val="000000"/>
          <w:kern w:val="0"/>
          <w:sz w:val="24"/>
          <w:szCs w:val="24"/>
          <w:lang w:eastAsia="zh-CN"/>
        </w:rPr>
        <w:t>第一</w:t>
      </w:r>
      <w:r>
        <w:rPr>
          <w:rFonts w:hint="eastAsia" w:ascii="宋体" w:hAnsi="宋体" w:eastAsia="宋体" w:cs="宋体"/>
          <w:b/>
          <w:color w:val="000000"/>
          <w:kern w:val="0"/>
          <w:sz w:val="24"/>
          <w:szCs w:val="24"/>
        </w:rPr>
        <w:t>名</w:t>
      </w:r>
      <w:r>
        <w:rPr>
          <w:rFonts w:hint="eastAsia" w:ascii="宋体" w:hAnsi="宋体" w:eastAsia="宋体" w:cs="宋体"/>
          <w:b/>
          <w:color w:val="000000"/>
          <w:kern w:val="0"/>
          <w:sz w:val="24"/>
          <w:szCs w:val="24"/>
          <w:lang w:eastAsia="zh-CN"/>
        </w:rPr>
        <w:t>的投标人作</w:t>
      </w:r>
      <w:r>
        <w:rPr>
          <w:rFonts w:hint="eastAsia" w:ascii="宋体" w:hAnsi="宋体" w:eastAsia="宋体" w:cs="宋体"/>
          <w:b/>
          <w:color w:val="000000"/>
          <w:kern w:val="0"/>
          <w:sz w:val="24"/>
          <w:szCs w:val="24"/>
        </w:rPr>
        <w:t xml:space="preserve">为中标候选人。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7.1.2 中标候选人将在浙江省政府采购网（</w:t>
      </w:r>
      <w:r>
        <w:rPr>
          <w:rFonts w:hint="eastAsia" w:ascii="宋体" w:hAnsi="宋体" w:eastAsia="宋体" w:cs="宋体"/>
          <w:b/>
          <w:color w:val="000000"/>
          <w:kern w:val="0"/>
          <w:sz w:val="24"/>
          <w:szCs w:val="24"/>
          <w:lang w:eastAsia="zh-CN"/>
        </w:rPr>
        <w:t>https://zfcg.czt.zj.gov.cn/</w:t>
      </w:r>
      <w:r>
        <w:rPr>
          <w:rFonts w:hint="eastAsia" w:ascii="宋体" w:hAnsi="宋体" w:eastAsia="宋体" w:cs="宋体"/>
          <w:b/>
          <w:color w:val="000000"/>
          <w:kern w:val="0"/>
          <w:sz w:val="24"/>
          <w:szCs w:val="24"/>
        </w:rPr>
        <w:t>）</w:t>
      </w:r>
      <w:r>
        <w:rPr>
          <w:rFonts w:hint="eastAsia" w:ascii="宋体" w:hAnsi="宋体" w:eastAsia="宋体" w:cs="宋体"/>
          <w:b/>
          <w:color w:val="000000"/>
          <w:kern w:val="0"/>
          <w:sz w:val="24"/>
          <w:szCs w:val="24"/>
          <w:lang w:eastAsia="zh-CN"/>
        </w:rPr>
        <w:t>和中国招标投标公共服务平台</w:t>
      </w:r>
      <w:r>
        <w:rPr>
          <w:rFonts w:hint="eastAsia" w:ascii="宋体" w:hAnsi="宋体" w:eastAsia="宋体" w:cs="宋体"/>
          <w:b/>
          <w:color w:val="000000"/>
          <w:kern w:val="0"/>
          <w:sz w:val="24"/>
          <w:szCs w:val="24"/>
        </w:rPr>
        <w:t>网站公示三</w:t>
      </w:r>
      <w:r>
        <w:rPr>
          <w:rFonts w:hint="eastAsia" w:ascii="宋体" w:hAnsi="宋体" w:eastAsia="宋体" w:cs="宋体"/>
          <w:b/>
          <w:color w:val="000000"/>
          <w:kern w:val="0"/>
          <w:sz w:val="24"/>
          <w:szCs w:val="24"/>
          <w:lang w:eastAsia="zh-CN"/>
        </w:rPr>
        <w:t>个工作日</w:t>
      </w:r>
      <w:r>
        <w:rPr>
          <w:rFonts w:hint="eastAsia" w:ascii="宋体" w:hAnsi="宋体" w:eastAsia="宋体" w:cs="宋体"/>
          <w:b/>
          <w:color w:val="000000"/>
          <w:kern w:val="0"/>
          <w:sz w:val="24"/>
          <w:szCs w:val="24"/>
        </w:rPr>
        <w:t>；若无异议，则</w:t>
      </w:r>
      <w:r>
        <w:rPr>
          <w:rFonts w:hint="eastAsia" w:ascii="宋体" w:hAnsi="宋体" w:eastAsia="宋体" w:cs="宋体"/>
          <w:b/>
          <w:color w:val="000000"/>
          <w:kern w:val="0"/>
          <w:sz w:val="24"/>
          <w:szCs w:val="24"/>
          <w:lang w:eastAsia="zh-CN"/>
        </w:rPr>
        <w:t>确定</w:t>
      </w:r>
      <w:r>
        <w:rPr>
          <w:rFonts w:hint="eastAsia" w:ascii="宋体" w:hAnsi="宋体" w:eastAsia="宋体" w:cs="宋体"/>
          <w:b/>
          <w:color w:val="000000"/>
          <w:kern w:val="0"/>
          <w:sz w:val="24"/>
          <w:szCs w:val="24"/>
        </w:rPr>
        <w:t xml:space="preserve">中标候选人为中标人。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7.1.3 排名</w:t>
      </w:r>
      <w:r>
        <w:rPr>
          <w:rFonts w:hint="eastAsia" w:ascii="宋体" w:hAnsi="宋体" w:eastAsia="宋体" w:cs="宋体"/>
          <w:b/>
          <w:color w:val="000000"/>
          <w:kern w:val="0"/>
          <w:sz w:val="24"/>
          <w:szCs w:val="24"/>
          <w:lang w:eastAsia="zh-CN"/>
        </w:rPr>
        <w:t>第一</w:t>
      </w:r>
      <w:r>
        <w:rPr>
          <w:rFonts w:hint="eastAsia" w:ascii="宋体" w:hAnsi="宋体" w:eastAsia="宋体" w:cs="宋体"/>
          <w:b/>
          <w:color w:val="000000"/>
          <w:kern w:val="0"/>
          <w:sz w:val="24"/>
          <w:szCs w:val="24"/>
        </w:rPr>
        <w:t>的中标候选人放弃中标</w:t>
      </w:r>
      <w:r>
        <w:rPr>
          <w:rFonts w:hint="eastAsia" w:ascii="宋体" w:hAnsi="宋体" w:eastAsia="宋体" w:cs="宋体"/>
          <w:b/>
          <w:color w:val="000000"/>
          <w:kern w:val="0"/>
          <w:sz w:val="24"/>
          <w:szCs w:val="24"/>
          <w:lang w:eastAsia="zh-CN"/>
        </w:rPr>
        <w:t>，或</w:t>
      </w:r>
      <w:r>
        <w:rPr>
          <w:rFonts w:hint="eastAsia" w:ascii="宋体" w:hAnsi="宋体" w:eastAsia="宋体" w:cs="宋体"/>
          <w:b/>
          <w:color w:val="000000"/>
          <w:kern w:val="0"/>
          <w:sz w:val="24"/>
          <w:szCs w:val="24"/>
        </w:rPr>
        <w:t>因不可抗力不能履行合同</w:t>
      </w:r>
      <w:r>
        <w:rPr>
          <w:rFonts w:hint="eastAsia" w:ascii="宋体" w:hAnsi="宋体" w:eastAsia="宋体" w:cs="宋体"/>
          <w:b/>
          <w:color w:val="000000"/>
          <w:kern w:val="0"/>
          <w:sz w:val="24"/>
          <w:szCs w:val="24"/>
          <w:lang w:eastAsia="zh-CN"/>
        </w:rPr>
        <w:t>，或</w:t>
      </w:r>
      <w:r>
        <w:rPr>
          <w:rFonts w:hint="eastAsia" w:ascii="宋体" w:hAnsi="宋体" w:eastAsia="宋体" w:cs="宋体"/>
          <w:b/>
          <w:color w:val="000000"/>
          <w:kern w:val="0"/>
          <w:sz w:val="24"/>
          <w:szCs w:val="24"/>
        </w:rPr>
        <w:t>不按照招标文件要求提交履约保证金，或被查实存在影响中标结果的违法行为等情形</w:t>
      </w:r>
      <w:r>
        <w:rPr>
          <w:rFonts w:hint="eastAsia" w:ascii="宋体" w:hAnsi="宋体" w:eastAsia="宋体" w:cs="宋体"/>
          <w:b/>
          <w:color w:val="000000"/>
          <w:kern w:val="0"/>
          <w:sz w:val="24"/>
          <w:szCs w:val="24"/>
          <w:lang w:eastAsia="zh-CN"/>
        </w:rPr>
        <w:t>而</w:t>
      </w:r>
      <w:r>
        <w:rPr>
          <w:rFonts w:hint="eastAsia" w:ascii="宋体" w:hAnsi="宋体" w:eastAsia="宋体" w:cs="宋体"/>
          <w:b/>
          <w:color w:val="000000"/>
          <w:kern w:val="0"/>
          <w:sz w:val="24"/>
          <w:szCs w:val="24"/>
        </w:rPr>
        <w:t>不符合中标条件的，</w:t>
      </w:r>
      <w:r>
        <w:rPr>
          <w:rFonts w:hint="eastAsia" w:ascii="宋体" w:hAnsi="宋体" w:eastAsia="宋体" w:cs="宋体"/>
          <w:b/>
          <w:color w:val="000000"/>
          <w:kern w:val="0"/>
          <w:sz w:val="24"/>
          <w:szCs w:val="24"/>
          <w:lang w:eastAsia="zh-CN"/>
        </w:rPr>
        <w:t>则确定排名第二的备选中标候选人为中标人，以此类推</w:t>
      </w:r>
      <w:r>
        <w:rPr>
          <w:rFonts w:hint="eastAsia" w:ascii="宋体" w:hAnsi="宋体" w:eastAsia="宋体" w:cs="宋体"/>
          <w:b/>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7.2 中标通知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在本章第 3.3 款规定的投标有效期内，招标人以书面形式向中标人发出中标通知书，同时将中标结果通知未中标的投标人。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7.3 履约担保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7.3.1 在签订合同前，中标人应按投标人须知前附表规定的金额、担保形式和招标文件第四章“合同条款及格式”规定的履约担保格式向招标人提交履约担保。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7.3.2 中标人不能按本章第 7.3.1 项要求提交履约担保的，视为放弃中标，其投标保证金不予退还，给招标人造成的损失超过投标保证金数额的，中标人还应当对超过部分予以赔偿。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color w:val="000000"/>
          <w:kern w:val="0"/>
          <w:sz w:val="24"/>
          <w:szCs w:val="24"/>
        </w:rPr>
        <w:t>7.4 签</w:t>
      </w:r>
      <w:r>
        <w:rPr>
          <w:rFonts w:hint="eastAsia" w:ascii="宋体" w:hAnsi="宋体" w:eastAsia="宋体" w:cs="宋体"/>
          <w:b/>
          <w:color w:val="auto"/>
          <w:kern w:val="0"/>
          <w:sz w:val="24"/>
          <w:szCs w:val="24"/>
        </w:rPr>
        <w:t xml:space="preserve">订合同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7.4.1 </w:t>
      </w:r>
      <w:r>
        <w:rPr>
          <w:rFonts w:hint="eastAsia" w:ascii="宋体" w:hAnsi="宋体" w:eastAsia="宋体" w:cs="宋体"/>
          <w:b/>
          <w:bCs/>
          <w:color w:val="auto"/>
          <w:sz w:val="24"/>
          <w:szCs w:val="24"/>
        </w:rPr>
        <w:t>招标人和中标人应当自中标通知书发出之日起</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天内，根据招标文件和中标人的投标文件订立书面合同</w:t>
      </w:r>
      <w:r>
        <w:rPr>
          <w:rFonts w:hint="eastAsia" w:ascii="宋体" w:hAnsi="宋体" w:eastAsia="宋体" w:cs="宋体"/>
          <w:b/>
          <w:bCs/>
          <w:color w:val="auto"/>
          <w:sz w:val="24"/>
          <w:szCs w:val="24"/>
          <w:lang w:eastAsia="zh-CN"/>
        </w:rPr>
        <w:t>并进场施工</w:t>
      </w:r>
      <w:r>
        <w:rPr>
          <w:rFonts w:hint="eastAsia" w:ascii="宋体" w:hAnsi="宋体" w:eastAsia="宋体" w:cs="宋体"/>
          <w:color w:val="auto"/>
          <w:kern w:val="0"/>
          <w:sz w:val="24"/>
          <w:szCs w:val="24"/>
        </w:rPr>
        <w:t xml:space="preserve">。中标人无正当理由拒签合同的，招标人取消其中标资格，其投标保证金不予退还；给招标人造成的损失超过投标保证金数额的，中标人还应当对超过部分予以赔偿。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7.4.2 发出中标通知书后，招标人无正当理由拒签合同的，招标人向中标人退还投标保证金；若中标人已提交履约保证金也应一并退还；给中标人造成损失的，还应当赔偿损失。</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8．重新招标和不再招标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8.1 重新招标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有下列情形之一的，招标人将重新招标：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000000"/>
          <w:kern w:val="0"/>
          <w:sz w:val="24"/>
          <w:szCs w:val="24"/>
        </w:rPr>
        <w:t>(l）投标截止时间止，</w:t>
      </w:r>
      <w:r>
        <w:rPr>
          <w:rFonts w:hint="eastAsia" w:ascii="宋体" w:hAnsi="宋体" w:eastAsia="宋体" w:cs="宋体"/>
          <w:color w:val="auto"/>
          <w:kern w:val="0"/>
          <w:sz w:val="24"/>
          <w:szCs w:val="24"/>
        </w:rPr>
        <w:t>投标人少于</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 xml:space="preserve">个的；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kern w:val="0"/>
          <w:sz w:val="24"/>
          <w:szCs w:val="24"/>
        </w:rPr>
        <w:t>(2）经评标委员会评审后,有效投标单位少于</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家的；</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所有中标候选人均被取消中标资格的。</w:t>
      </w:r>
      <w:r>
        <w:rPr>
          <w:rFonts w:hint="eastAsia" w:ascii="宋体" w:hAnsi="宋体" w:eastAsia="宋体" w:cs="宋体"/>
          <w:b/>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8.2 不再招标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重新招标后</w:t>
      </w:r>
      <w:r>
        <w:rPr>
          <w:rFonts w:hint="eastAsia" w:ascii="宋体" w:hAnsi="宋体" w:eastAsia="宋体" w:cs="宋体"/>
          <w:color w:val="000000"/>
          <w:kern w:val="0"/>
          <w:sz w:val="24"/>
          <w:szCs w:val="24"/>
          <w:lang w:eastAsia="zh-CN"/>
        </w:rPr>
        <w:t>有效</w:t>
      </w:r>
      <w:r>
        <w:rPr>
          <w:rFonts w:hint="eastAsia" w:ascii="宋体" w:hAnsi="宋体" w:eastAsia="宋体" w:cs="宋体"/>
          <w:color w:val="000000"/>
          <w:kern w:val="0"/>
          <w:sz w:val="24"/>
          <w:szCs w:val="24"/>
        </w:rPr>
        <w:t>投标人仍少于</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个的，属于必须审批或核准的工程建设项目，</w:t>
      </w:r>
      <w:r>
        <w:rPr>
          <w:rFonts w:hint="eastAsia" w:ascii="宋体" w:hAnsi="宋体" w:eastAsia="宋体" w:cs="宋体"/>
          <w:color w:val="000000"/>
          <w:kern w:val="0"/>
          <w:sz w:val="24"/>
          <w:szCs w:val="24"/>
          <w:lang w:eastAsia="zh-CN"/>
        </w:rPr>
        <w:t>可以</w:t>
      </w:r>
      <w:r>
        <w:rPr>
          <w:rFonts w:hint="eastAsia" w:ascii="宋体" w:hAnsi="宋体" w:eastAsia="宋体" w:cs="宋体"/>
          <w:color w:val="000000"/>
          <w:kern w:val="0"/>
          <w:sz w:val="24"/>
          <w:szCs w:val="24"/>
        </w:rPr>
        <w:t xml:space="preserve">经原审批或核准部门批准后不再进行招标。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9．纪律和监督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9.1 对招标人的纪律要求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招标人不得泄漏招标投标活动中应当保密的情况和资料，不得与投标人串通损害国家利益、社会公共利益或者他人合法权益。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9.2 对投标人的纪律要求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9.3 对评标委员会成员的纪律要求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w:t>
      </w:r>
      <w:r>
        <w:rPr>
          <w:rFonts w:hint="eastAsia" w:ascii="宋体" w:hAnsi="宋体" w:eastAsia="宋体" w:cs="宋体"/>
          <w:color w:val="000000"/>
          <w:kern w:val="0"/>
          <w:sz w:val="24"/>
          <w:szCs w:val="24"/>
          <w:lang w:eastAsia="zh-CN"/>
        </w:rPr>
        <w:t>方</w:t>
      </w:r>
      <w:r>
        <w:rPr>
          <w:rFonts w:hint="eastAsia" w:ascii="宋体" w:hAnsi="宋体" w:eastAsia="宋体" w:cs="宋体"/>
          <w:color w:val="000000"/>
          <w:kern w:val="0"/>
          <w:sz w:val="24"/>
          <w:szCs w:val="24"/>
        </w:rPr>
        <w:t>法</w:t>
      </w:r>
      <w:r>
        <w:rPr>
          <w:rFonts w:hint="eastAsia" w:ascii="宋体" w:hAnsi="宋体" w:eastAsia="宋体" w:cs="宋体"/>
          <w:color w:val="000000"/>
          <w:kern w:val="0"/>
          <w:sz w:val="24"/>
          <w:szCs w:val="24"/>
          <w:lang w:eastAsia="zh-CN"/>
        </w:rPr>
        <w:t>、标准、程序</w:t>
      </w:r>
      <w:r>
        <w:rPr>
          <w:rFonts w:hint="eastAsia" w:ascii="宋体" w:hAnsi="宋体" w:eastAsia="宋体" w:cs="宋体"/>
          <w:color w:val="000000"/>
          <w:kern w:val="0"/>
          <w:sz w:val="24"/>
          <w:szCs w:val="24"/>
        </w:rPr>
        <w:t xml:space="preserve">”没有规定的评审因素和标准进行评标。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9.4 对与评标活动有关的工作人员的纪律要求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9.5 投诉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 xml:space="preserve">投标人和其他利害关系人认为本次招标活动违反法律、法规和规章规定的，有权向招标人、有关监督部门质疑或投诉。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 xml:space="preserve">10．需要补充的其他内容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b/>
          <w:color w:val="000000"/>
          <w:kern w:val="0"/>
          <w:sz w:val="24"/>
          <w:szCs w:val="24"/>
        </w:rPr>
        <w:t>10.1 农民工工资问题按</w:t>
      </w:r>
      <w:r>
        <w:rPr>
          <w:rFonts w:hint="eastAsia" w:ascii="宋体" w:hAnsi="宋体" w:eastAsia="宋体" w:cs="宋体"/>
          <w:b/>
          <w:color w:val="000000"/>
          <w:kern w:val="0"/>
          <w:sz w:val="24"/>
          <w:szCs w:val="24"/>
          <w:lang w:eastAsia="zh-CN"/>
        </w:rPr>
        <w:t>招标人单位</w:t>
      </w:r>
      <w:r>
        <w:rPr>
          <w:rFonts w:hint="eastAsia" w:ascii="宋体" w:hAnsi="宋体" w:eastAsia="宋体" w:cs="宋体"/>
          <w:b/>
          <w:color w:val="000000"/>
          <w:kern w:val="0"/>
          <w:sz w:val="24"/>
          <w:szCs w:val="24"/>
        </w:rPr>
        <w:t>有关文件执行</w:t>
      </w:r>
      <w:r>
        <w:rPr>
          <w:rFonts w:hint="eastAsia" w:ascii="宋体" w:hAnsi="宋体" w:eastAsia="宋体" w:cs="宋体"/>
          <w:b/>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kern w:val="0"/>
          <w:sz w:val="24"/>
          <w:szCs w:val="24"/>
        </w:rPr>
        <w:t>10.2 本招标文件最终解释权归招标人所有</w:t>
      </w:r>
      <w:r>
        <w:rPr>
          <w:rFonts w:hint="eastAsia" w:ascii="宋体" w:hAnsi="宋体" w:eastAsia="宋体" w:cs="宋体"/>
          <w:b/>
          <w:color w:val="000000" w:themeColor="text1"/>
          <w:kern w:val="0"/>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10.3 招标人在标后将对中标人投标文件中的资格审查资料及信用标相关原件进行核查 ，若发现弄虚作假等情况的，将取消其中标资格并上报主管部门按有关规定处理。</w:t>
      </w:r>
    </w:p>
    <w:p/>
    <w:p/>
    <w:p/>
    <w:p>
      <w:pPr>
        <w:pStyle w:val="4"/>
        <w:rPr>
          <w:rFonts w:hint="eastAsia"/>
          <w:b w:val="0"/>
          <w:sz w:val="21"/>
          <w:szCs w:val="21"/>
        </w:rPr>
      </w:pPr>
      <w:bookmarkStart w:id="8" w:name="_Toc18671"/>
    </w:p>
    <w:p>
      <w:pPr>
        <w:pStyle w:val="4"/>
        <w:rPr>
          <w:rFonts w:hint="eastAsia"/>
          <w:b w:val="0"/>
          <w:sz w:val="21"/>
          <w:szCs w:val="21"/>
        </w:rPr>
      </w:pPr>
    </w:p>
    <w:p>
      <w:pPr>
        <w:pStyle w:val="4"/>
        <w:rPr>
          <w:rFonts w:hint="eastAsia"/>
          <w:b w:val="0"/>
          <w:sz w:val="21"/>
          <w:szCs w:val="21"/>
        </w:rPr>
      </w:pPr>
    </w:p>
    <w:p>
      <w:pPr>
        <w:pStyle w:val="4"/>
        <w:rPr>
          <w:rFonts w:hint="eastAsia"/>
          <w:b w:val="0"/>
          <w:sz w:val="21"/>
          <w:szCs w:val="21"/>
        </w:rPr>
      </w:pPr>
    </w:p>
    <w:p>
      <w:pPr>
        <w:pStyle w:val="4"/>
        <w:rPr>
          <w:rFonts w:hint="eastAsia"/>
          <w:b w:val="0"/>
          <w:sz w:val="21"/>
          <w:szCs w:val="21"/>
        </w:rPr>
      </w:pPr>
    </w:p>
    <w:bookmarkEnd w:id="8"/>
    <w:p>
      <w:pPr>
        <w:pStyle w:val="8"/>
        <w:ind w:left="0" w:leftChars="0" w:firstLine="0" w:firstLineChars="0"/>
      </w:pPr>
      <w:bookmarkStart w:id="9" w:name="_Toc258913539"/>
    </w:p>
    <w:p>
      <w:pPr>
        <w:pStyle w:val="4"/>
        <w:rPr>
          <w:rFonts w:hint="eastAsia"/>
          <w:b w:val="0"/>
          <w:sz w:val="21"/>
          <w:szCs w:val="21"/>
        </w:rPr>
      </w:pPr>
      <w:bookmarkStart w:id="10" w:name="_Toc13993"/>
    </w:p>
    <w:p>
      <w:pPr>
        <w:pStyle w:val="4"/>
        <w:rPr>
          <w:rFonts w:hint="eastAsia"/>
          <w:b w:val="0"/>
          <w:sz w:val="21"/>
          <w:szCs w:val="21"/>
        </w:rPr>
      </w:pPr>
    </w:p>
    <w:p>
      <w:pPr>
        <w:pStyle w:val="4"/>
        <w:rPr>
          <w:rFonts w:hint="eastAsia"/>
          <w:b w:val="0"/>
          <w:sz w:val="21"/>
          <w:szCs w:val="21"/>
        </w:rPr>
      </w:pPr>
    </w:p>
    <w:p>
      <w:pPr>
        <w:rPr>
          <w:rFonts w:hint="eastAsia"/>
          <w:b w:val="0"/>
          <w:sz w:val="21"/>
          <w:szCs w:val="21"/>
        </w:rPr>
      </w:pPr>
    </w:p>
    <w:p>
      <w:pPr>
        <w:pStyle w:val="4"/>
        <w:rPr>
          <w:rFonts w:hint="eastAsia"/>
          <w:b w:val="0"/>
          <w:sz w:val="21"/>
          <w:szCs w:val="21"/>
        </w:rPr>
      </w:pPr>
    </w:p>
    <w:p>
      <w:pPr>
        <w:pStyle w:val="4"/>
        <w:rPr>
          <w:b w:val="0"/>
          <w:sz w:val="21"/>
          <w:szCs w:val="21"/>
        </w:rPr>
      </w:pPr>
      <w:r>
        <w:rPr>
          <w:rFonts w:hint="eastAsia"/>
          <w:b w:val="0"/>
          <w:sz w:val="21"/>
          <w:szCs w:val="21"/>
        </w:rPr>
        <w:t>附表</w:t>
      </w:r>
      <w:r>
        <w:rPr>
          <w:rFonts w:hint="eastAsia"/>
          <w:b w:val="0"/>
          <w:sz w:val="21"/>
          <w:szCs w:val="21"/>
          <w:lang w:eastAsia="zh-CN"/>
        </w:rPr>
        <w:t>一</w:t>
      </w:r>
      <w:r>
        <w:rPr>
          <w:rFonts w:hint="eastAsia"/>
          <w:b w:val="0"/>
          <w:sz w:val="21"/>
          <w:szCs w:val="21"/>
        </w:rPr>
        <w:t>：问题澄清通知</w:t>
      </w:r>
      <w:bookmarkEnd w:id="9"/>
      <w:bookmarkEnd w:id="10"/>
    </w:p>
    <w:p>
      <w:pPr>
        <w:spacing w:line="360" w:lineRule="auto"/>
        <w:ind w:firstLine="482" w:firstLineChars="200"/>
        <w:jc w:val="center"/>
        <w:rPr>
          <w:rFonts w:ascii="宋体" w:hAnsi="宋体"/>
          <w:b/>
          <w:sz w:val="24"/>
        </w:rPr>
      </w:pPr>
      <w:r>
        <w:rPr>
          <w:rFonts w:hint="eastAsia" w:ascii="宋体" w:hAnsi="宋体"/>
          <w:b/>
          <w:sz w:val="24"/>
        </w:rPr>
        <w:t>问题澄清通知</w:t>
      </w:r>
    </w:p>
    <w:p>
      <w:pPr>
        <w:spacing w:line="360" w:lineRule="auto"/>
        <w:ind w:firstLine="420" w:firstLineChars="200"/>
        <w:jc w:val="center"/>
        <w:rPr>
          <w:rFonts w:ascii="宋体" w:hAnsi="宋体"/>
          <w:b/>
          <w:sz w:val="24"/>
        </w:rPr>
      </w:pPr>
      <w:r>
        <w:rPr>
          <w:rFonts w:hint="eastAsia" w:ascii="宋体" w:hAnsi="宋体"/>
          <w:szCs w:val="21"/>
        </w:rPr>
        <w:t>编号：</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 xml:space="preserve">（投标人名称）: </w:t>
      </w:r>
    </w:p>
    <w:p>
      <w:pPr>
        <w:spacing w:line="360" w:lineRule="auto"/>
        <w:ind w:firstLine="3360" w:firstLineChars="1600"/>
        <w:rPr>
          <w:rFonts w:ascii="宋体" w:hAnsi="宋体"/>
          <w:szCs w:val="21"/>
        </w:rPr>
      </w:pPr>
      <w:r>
        <w:rPr>
          <w:rFonts w:hint="eastAsia" w:ascii="宋体" w:hAnsi="宋体"/>
          <w:szCs w:val="21"/>
        </w:rPr>
        <w:t>施工招标的评标委员会，对你方的投标文件进行了仔细的审查，现需你方对下列问题以书面形式予以澄清：</w:t>
      </w:r>
    </w:p>
    <w:p>
      <w:pPr>
        <w:spacing w:line="360" w:lineRule="auto"/>
        <w:ind w:firstLine="420" w:firstLineChars="200"/>
        <w:rPr>
          <w:rFonts w:ascii="宋体" w:hAnsi="宋体"/>
          <w:szCs w:val="21"/>
        </w:rPr>
      </w:pPr>
      <w:r>
        <w:rPr>
          <w:rFonts w:hint="eastAsia" w:ascii="宋体" w:hAnsi="宋体"/>
          <w:szCs w:val="21"/>
        </w:rPr>
        <w:t>1、</w:t>
      </w:r>
    </w:p>
    <w:p>
      <w:pPr>
        <w:spacing w:line="360" w:lineRule="auto"/>
        <w:ind w:firstLine="420" w:firstLineChars="200"/>
        <w:rPr>
          <w:rFonts w:ascii="宋体" w:hAnsi="宋体"/>
          <w:szCs w:val="21"/>
        </w:rPr>
      </w:pPr>
      <w:r>
        <w:rPr>
          <w:rFonts w:hint="eastAsia" w:ascii="宋体" w:hAnsi="宋体"/>
          <w:szCs w:val="21"/>
        </w:rPr>
        <w:t>2、</w:t>
      </w:r>
    </w:p>
    <w:p>
      <w:pPr>
        <w:spacing w:line="360" w:lineRule="auto"/>
        <w:ind w:firstLine="420" w:firstLineChars="200"/>
        <w:rPr>
          <w:rFonts w:ascii="宋体" w:hAnsi="宋体"/>
          <w:szCs w:val="21"/>
        </w:rPr>
      </w:pP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请将上述问题的澄清于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时前递交至</w:t>
      </w:r>
      <w:r>
        <w:rPr>
          <w:rFonts w:hint="eastAsia" w:ascii="宋体" w:hAnsi="宋体"/>
          <w:szCs w:val="21"/>
          <w:u w:val="single"/>
        </w:rPr>
        <w:t xml:space="preserve">                        </w:t>
      </w:r>
      <w:r>
        <w:rPr>
          <w:rFonts w:hint="eastAsia" w:ascii="宋体" w:hAnsi="宋体"/>
          <w:szCs w:val="21"/>
        </w:rPr>
        <w:t>（详细地址）或传真至</w:t>
      </w:r>
      <w:r>
        <w:rPr>
          <w:rFonts w:hint="eastAsia" w:ascii="宋体" w:hAnsi="宋体"/>
          <w:szCs w:val="21"/>
          <w:u w:val="single"/>
        </w:rPr>
        <w:t xml:space="preserve">                    </w:t>
      </w:r>
      <w:r>
        <w:rPr>
          <w:rFonts w:hint="eastAsia" w:ascii="宋体" w:hAnsi="宋体"/>
          <w:szCs w:val="21"/>
        </w:rPr>
        <w:t>（传真号码）。采用传真方式的，应在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时前将原件递交至</w:t>
      </w:r>
      <w:r>
        <w:rPr>
          <w:rFonts w:hint="eastAsia" w:ascii="宋体" w:hAnsi="宋体"/>
          <w:szCs w:val="21"/>
          <w:u w:val="single"/>
        </w:rPr>
        <w:t xml:space="preserve">                          </w:t>
      </w:r>
      <w:r>
        <w:rPr>
          <w:rFonts w:hint="eastAsia" w:ascii="宋体" w:hAnsi="宋体"/>
          <w:szCs w:val="21"/>
        </w:rPr>
        <w:t>（详细地址）。</w:t>
      </w:r>
    </w:p>
    <w:p>
      <w:pPr>
        <w:spacing w:line="360" w:lineRule="auto"/>
        <w:ind w:firstLine="5145" w:firstLineChars="2450"/>
        <w:rPr>
          <w:rFonts w:ascii="宋体" w:hAnsi="宋体"/>
          <w:szCs w:val="21"/>
        </w:rPr>
      </w:pPr>
    </w:p>
    <w:p>
      <w:pPr>
        <w:spacing w:line="360" w:lineRule="auto"/>
        <w:ind w:firstLine="5145" w:firstLineChars="2450"/>
        <w:rPr>
          <w:rFonts w:ascii="宋体" w:hAnsi="宋体"/>
          <w:szCs w:val="21"/>
        </w:rPr>
      </w:pPr>
    </w:p>
    <w:p>
      <w:pPr>
        <w:spacing w:line="360" w:lineRule="auto"/>
        <w:ind w:firstLine="4620" w:firstLineChars="2200"/>
        <w:rPr>
          <w:rFonts w:ascii="宋体" w:hAnsi="宋体"/>
          <w:szCs w:val="21"/>
        </w:rPr>
      </w:pPr>
      <w:r>
        <w:rPr>
          <w:rFonts w:hint="eastAsia" w:ascii="宋体" w:hAnsi="宋体"/>
          <w:szCs w:val="21"/>
        </w:rPr>
        <w:t>评标工作组负责人：</w:t>
      </w:r>
      <w:r>
        <w:rPr>
          <w:rFonts w:hint="eastAsia" w:ascii="宋体" w:hAnsi="宋体"/>
          <w:szCs w:val="21"/>
          <w:u w:val="single"/>
        </w:rPr>
        <w:t xml:space="preserve">          </w:t>
      </w:r>
      <w:r>
        <w:rPr>
          <w:rFonts w:hint="eastAsia" w:ascii="宋体" w:hAnsi="宋体"/>
          <w:szCs w:val="21"/>
        </w:rPr>
        <w:t>（签字）</w:t>
      </w:r>
    </w:p>
    <w:p>
      <w:pPr>
        <w:spacing w:line="360" w:lineRule="auto"/>
        <w:rPr>
          <w:rFonts w:ascii="宋体" w:hAnsi="宋体"/>
          <w:szCs w:val="21"/>
          <w:u w:val="single"/>
        </w:rPr>
      </w:pPr>
    </w:p>
    <w:p>
      <w:pPr>
        <w:spacing w:line="360" w:lineRule="auto"/>
        <w:ind w:firstLine="5460" w:firstLineChars="26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460" w:firstLineChars="2600"/>
        <w:rPr>
          <w:rFonts w:ascii="宋体" w:hAnsi="宋体"/>
          <w:szCs w:val="21"/>
        </w:rPr>
        <w:sectPr>
          <w:footerReference r:id="rId5" w:type="default"/>
          <w:pgSz w:w="11906" w:h="16838"/>
          <w:pgMar w:top="1304" w:right="1474" w:bottom="1304" w:left="1474" w:header="851" w:footer="992" w:gutter="0"/>
          <w:pgNumType w:fmt="numberInDash" w:start="1"/>
          <w:cols w:space="720" w:num="1"/>
          <w:docGrid w:type="lines" w:linePitch="312" w:charSpace="0"/>
        </w:sectPr>
      </w:pPr>
    </w:p>
    <w:p>
      <w:pPr>
        <w:pStyle w:val="4"/>
        <w:rPr>
          <w:b w:val="0"/>
          <w:sz w:val="21"/>
          <w:szCs w:val="21"/>
        </w:rPr>
      </w:pPr>
      <w:bookmarkStart w:id="11" w:name="_Toc258913540"/>
      <w:bookmarkStart w:id="12" w:name="_Toc31807"/>
      <w:r>
        <w:rPr>
          <w:rFonts w:hint="eastAsia"/>
          <w:b w:val="0"/>
          <w:sz w:val="21"/>
          <w:szCs w:val="21"/>
        </w:rPr>
        <w:t>附表</w:t>
      </w:r>
      <w:r>
        <w:rPr>
          <w:rFonts w:hint="eastAsia"/>
          <w:b w:val="0"/>
          <w:sz w:val="21"/>
          <w:szCs w:val="21"/>
          <w:lang w:eastAsia="zh-CN"/>
        </w:rPr>
        <w:t>二</w:t>
      </w:r>
      <w:r>
        <w:rPr>
          <w:rFonts w:hint="eastAsia"/>
          <w:b w:val="0"/>
          <w:sz w:val="21"/>
          <w:szCs w:val="21"/>
        </w:rPr>
        <w:t>：问题的澄清</w:t>
      </w:r>
      <w:bookmarkEnd w:id="11"/>
      <w:bookmarkEnd w:id="12"/>
    </w:p>
    <w:p>
      <w:pPr>
        <w:spacing w:line="360" w:lineRule="auto"/>
        <w:ind w:firstLine="482" w:firstLineChars="200"/>
        <w:jc w:val="center"/>
        <w:rPr>
          <w:rFonts w:ascii="宋体" w:hAnsi="宋体"/>
          <w:b/>
          <w:sz w:val="24"/>
        </w:rPr>
      </w:pPr>
      <w:r>
        <w:rPr>
          <w:rFonts w:hint="eastAsia" w:ascii="宋体" w:hAnsi="宋体"/>
          <w:b/>
          <w:sz w:val="24"/>
        </w:rPr>
        <w:t>问题的澄清</w:t>
      </w:r>
    </w:p>
    <w:p>
      <w:pPr>
        <w:spacing w:line="360" w:lineRule="auto"/>
        <w:ind w:firstLine="4620" w:firstLineChars="2200"/>
        <w:rPr>
          <w:rFonts w:ascii="宋体" w:hAnsi="宋体"/>
          <w:szCs w:val="21"/>
        </w:rPr>
      </w:pPr>
      <w:r>
        <w:rPr>
          <w:rFonts w:hint="eastAsia" w:ascii="宋体" w:hAnsi="宋体"/>
          <w:szCs w:val="21"/>
        </w:rPr>
        <w:t>编号：</w:t>
      </w:r>
    </w:p>
    <w:p>
      <w:pPr>
        <w:spacing w:line="360" w:lineRule="auto"/>
        <w:ind w:firstLine="1680" w:firstLineChars="800"/>
        <w:rPr>
          <w:rFonts w:ascii="宋体" w:hAnsi="宋体"/>
          <w:szCs w:val="21"/>
        </w:rPr>
      </w:pPr>
      <w:r>
        <w:rPr>
          <w:rFonts w:hint="eastAsia" w:ascii="宋体" w:hAnsi="宋体"/>
          <w:szCs w:val="21"/>
        </w:rPr>
        <w:t>招标评标委员会：</w:t>
      </w:r>
    </w:p>
    <w:p>
      <w:pPr>
        <w:spacing w:line="360" w:lineRule="auto"/>
        <w:ind w:firstLine="420" w:firstLineChars="200"/>
        <w:rPr>
          <w:rFonts w:ascii="宋体" w:hAnsi="宋体"/>
          <w:szCs w:val="21"/>
        </w:rPr>
      </w:pPr>
      <w:r>
        <w:rPr>
          <w:rFonts w:hint="eastAsia" w:ascii="宋体" w:hAnsi="宋体"/>
          <w:szCs w:val="21"/>
        </w:rPr>
        <w:t>问题澄清通知（编号：</w:t>
      </w:r>
      <w:r>
        <w:rPr>
          <w:rFonts w:hint="eastAsia" w:ascii="宋体" w:hAnsi="宋体"/>
          <w:szCs w:val="21"/>
          <w:u w:val="single"/>
        </w:rPr>
        <w:t xml:space="preserve">                 </w:t>
      </w:r>
      <w:r>
        <w:rPr>
          <w:rFonts w:ascii="宋体" w:hAnsi="宋体"/>
          <w:szCs w:val="21"/>
        </w:rPr>
        <w:t>）</w:t>
      </w:r>
      <w:r>
        <w:rPr>
          <w:rFonts w:hint="eastAsia" w:ascii="宋体" w:hAnsi="宋体"/>
          <w:szCs w:val="21"/>
        </w:rPr>
        <w:t>已收悉，现澄清如下：</w:t>
      </w:r>
    </w:p>
    <w:p>
      <w:pPr>
        <w:spacing w:line="360" w:lineRule="auto"/>
        <w:ind w:firstLine="420" w:firstLineChars="200"/>
        <w:rPr>
          <w:rFonts w:ascii="宋体" w:hAnsi="宋体"/>
          <w:szCs w:val="21"/>
        </w:rPr>
      </w:pPr>
      <w:r>
        <w:rPr>
          <w:rFonts w:hint="eastAsia" w:ascii="宋体" w:hAnsi="宋体"/>
          <w:szCs w:val="21"/>
        </w:rPr>
        <w:t>1、</w:t>
      </w:r>
    </w:p>
    <w:p>
      <w:pPr>
        <w:spacing w:line="360" w:lineRule="auto"/>
        <w:ind w:firstLine="420" w:firstLineChars="200"/>
        <w:rPr>
          <w:rFonts w:ascii="宋体" w:hAnsi="宋体"/>
          <w:szCs w:val="21"/>
        </w:rPr>
      </w:pPr>
      <w:r>
        <w:rPr>
          <w:rFonts w:hint="eastAsia" w:ascii="宋体" w:hAnsi="宋体"/>
          <w:szCs w:val="21"/>
        </w:rPr>
        <w:t>2、</w:t>
      </w:r>
    </w:p>
    <w:p>
      <w:pPr>
        <w:spacing w:line="360" w:lineRule="auto"/>
        <w:ind w:firstLine="420" w:firstLineChars="200"/>
        <w:rPr>
          <w:rFonts w:ascii="宋体" w:hAnsi="宋体"/>
          <w:szCs w:val="21"/>
        </w:rPr>
      </w:pPr>
      <w:r>
        <w:rPr>
          <w:rFonts w:hint="eastAsia" w:ascii="宋体" w:hAnsi="宋体"/>
          <w:szCs w:val="21"/>
        </w:rPr>
        <w:t>……</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725" w:firstLineChars="2250"/>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p>
    <w:p>
      <w:pPr>
        <w:spacing w:line="360" w:lineRule="auto"/>
        <w:ind w:firstLine="3675" w:firstLineChars="175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5145" w:firstLineChars="2450"/>
        <w:rPr>
          <w:rFonts w:ascii="宋体" w:hAnsi="宋体"/>
          <w:szCs w:val="21"/>
          <w:u w:val="single"/>
        </w:rPr>
      </w:pPr>
    </w:p>
    <w:p>
      <w:pPr>
        <w:spacing w:line="360" w:lineRule="auto"/>
        <w:ind w:firstLine="5145" w:firstLineChars="24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145" w:firstLineChars="2450"/>
        <w:rPr>
          <w:rFonts w:ascii="宋体" w:hAnsi="宋体"/>
          <w:szCs w:val="21"/>
        </w:rPr>
        <w:sectPr>
          <w:pgSz w:w="11906" w:h="16838"/>
          <w:pgMar w:top="1418" w:right="1134" w:bottom="1418" w:left="1134" w:header="851" w:footer="992" w:gutter="0"/>
          <w:pgNumType w:fmt="numberInDash"/>
          <w:cols w:space="720" w:num="1"/>
          <w:docGrid w:type="lines" w:linePitch="312" w:charSpace="0"/>
        </w:sectPr>
      </w:pPr>
    </w:p>
    <w:p>
      <w:pPr>
        <w:pStyle w:val="4"/>
        <w:rPr>
          <w:b w:val="0"/>
          <w:sz w:val="21"/>
          <w:szCs w:val="21"/>
        </w:rPr>
      </w:pPr>
      <w:bookmarkStart w:id="13" w:name="_Toc258913541"/>
      <w:bookmarkStart w:id="14" w:name="_Toc21280"/>
      <w:r>
        <w:rPr>
          <w:rFonts w:hint="eastAsia"/>
          <w:b w:val="0"/>
          <w:sz w:val="21"/>
          <w:szCs w:val="21"/>
        </w:rPr>
        <w:t>附表</w:t>
      </w:r>
      <w:r>
        <w:rPr>
          <w:rFonts w:hint="eastAsia"/>
          <w:b w:val="0"/>
          <w:sz w:val="21"/>
          <w:szCs w:val="21"/>
          <w:lang w:eastAsia="zh-CN"/>
        </w:rPr>
        <w:t>三</w:t>
      </w:r>
      <w:r>
        <w:rPr>
          <w:rFonts w:hint="eastAsia"/>
          <w:b w:val="0"/>
          <w:sz w:val="21"/>
          <w:szCs w:val="21"/>
        </w:rPr>
        <w:t>：</w:t>
      </w:r>
      <w:bookmarkEnd w:id="13"/>
      <w:r>
        <w:rPr>
          <w:rFonts w:hint="eastAsia"/>
          <w:b w:val="0"/>
          <w:sz w:val="21"/>
          <w:szCs w:val="21"/>
        </w:rPr>
        <w:t>中标通知书</w:t>
      </w:r>
      <w:bookmarkEnd w:id="14"/>
    </w:p>
    <w:p>
      <w:pPr>
        <w:spacing w:line="480" w:lineRule="auto"/>
        <w:jc w:val="center"/>
        <w:rPr>
          <w:sz w:val="24"/>
        </w:rPr>
      </w:pPr>
      <w:r>
        <w:rPr>
          <w:rFonts w:hint="eastAsia"/>
          <w:b/>
          <w:sz w:val="24"/>
        </w:rPr>
        <w:t>中标通知书</w:t>
      </w:r>
    </w:p>
    <w:p>
      <w:pPr>
        <w:spacing w:line="48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 xml:space="preserve">（中标人名称）: </w:t>
      </w:r>
    </w:p>
    <w:p>
      <w:pPr>
        <w:spacing w:line="480" w:lineRule="auto"/>
        <w:ind w:firstLine="420" w:firstLineChars="200"/>
        <w:rPr>
          <w:rFonts w:ascii="宋体" w:hAnsi="宋体"/>
          <w:szCs w:val="21"/>
        </w:rPr>
      </w:pPr>
      <w:r>
        <w:rPr>
          <w:rFonts w:hint="eastAsia" w:ascii="宋体" w:hAnsi="宋体"/>
          <w:szCs w:val="21"/>
        </w:rPr>
        <w:t>（招标人名称）建设的位于</w:t>
      </w:r>
      <w:r>
        <w:rPr>
          <w:rFonts w:hint="eastAsia" w:ascii="宋体" w:hAnsi="宋体"/>
          <w:szCs w:val="21"/>
          <w:u w:val="single"/>
        </w:rPr>
        <w:t xml:space="preserve">                   （</w:t>
      </w:r>
      <w:r>
        <w:rPr>
          <w:rFonts w:hint="eastAsia" w:ascii="宋体" w:hAnsi="宋体"/>
          <w:szCs w:val="21"/>
        </w:rPr>
        <w:t>地点）的</w:t>
      </w:r>
      <w:bookmarkStart w:id="15" w:name="projectName_15"/>
      <w:r>
        <w:rPr>
          <w:rFonts w:hint="eastAsia" w:ascii="宋体" w:hAnsi="宋体"/>
          <w:szCs w:val="21"/>
          <w:u w:val="single"/>
        </w:rPr>
        <w:t xml:space="preserve">                </w:t>
      </w:r>
      <w:bookmarkEnd w:id="15"/>
      <w:r>
        <w:rPr>
          <w:rFonts w:hint="eastAsia" w:ascii="宋体" w:hAnsi="宋体"/>
          <w:szCs w:val="21"/>
          <w:u w:val="single"/>
        </w:rPr>
        <w:t xml:space="preserve"> </w:t>
      </w:r>
      <w:r>
        <w:rPr>
          <w:rFonts w:hint="eastAsia" w:ascii="宋体" w:hAnsi="宋体"/>
          <w:szCs w:val="21"/>
        </w:rPr>
        <w:t>，招标内容及范围为</w:t>
      </w:r>
      <w:r>
        <w:rPr>
          <w:rFonts w:hint="eastAsia" w:ascii="宋体" w:hAnsi="宋体"/>
          <w:szCs w:val="21"/>
          <w:u w:val="single"/>
        </w:rPr>
        <w:t xml:space="preserve">                  </w:t>
      </w:r>
      <w:r>
        <w:rPr>
          <w:rFonts w:hint="eastAsia" w:ascii="宋体" w:hAnsi="宋体"/>
          <w:szCs w:val="21"/>
        </w:rPr>
        <w:t xml:space="preserve"> 。于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日公开开标后，已完成评标工作，并经过3个工作日公示无异议，现确定你单位为中标人，项目负责人为</w:t>
      </w:r>
      <w:r>
        <w:rPr>
          <w:rFonts w:hint="eastAsia" w:ascii="宋体" w:hAnsi="宋体"/>
          <w:szCs w:val="21"/>
          <w:u w:val="single"/>
        </w:rPr>
        <w:t xml:space="preserve">         </w:t>
      </w:r>
      <w:r>
        <w:rPr>
          <w:rFonts w:hint="eastAsia" w:ascii="宋体" w:hAnsi="宋体"/>
          <w:szCs w:val="21"/>
        </w:rPr>
        <w:t>，中标价为</w:t>
      </w:r>
      <w:r>
        <w:rPr>
          <w:rFonts w:hint="eastAsia" w:ascii="宋体" w:hAnsi="宋体"/>
          <w:szCs w:val="21"/>
          <w:u w:val="single"/>
        </w:rPr>
        <w:t xml:space="preserve">        </w:t>
      </w:r>
      <w:r>
        <w:rPr>
          <w:rFonts w:hint="eastAsia" w:ascii="宋体" w:hAnsi="宋体"/>
          <w:szCs w:val="21"/>
        </w:rPr>
        <w:t>（币种，金额，单位），中标总工期为</w:t>
      </w:r>
      <w:r>
        <w:rPr>
          <w:rFonts w:hint="eastAsia" w:ascii="宋体" w:hAnsi="宋体"/>
          <w:szCs w:val="21"/>
          <w:u w:val="single"/>
        </w:rPr>
        <w:t xml:space="preserve">      </w:t>
      </w:r>
      <w:r>
        <w:rPr>
          <w:rFonts w:hint="eastAsia" w:ascii="宋体" w:hAnsi="宋体"/>
          <w:szCs w:val="21"/>
        </w:rPr>
        <w:t>日历天，工程质量要求符合</w:t>
      </w:r>
      <w:r>
        <w:rPr>
          <w:rFonts w:hint="eastAsia" w:ascii="宋体" w:hAnsi="宋体"/>
          <w:szCs w:val="21"/>
          <w:u w:val="single"/>
        </w:rPr>
        <w:t xml:space="preserve">           </w:t>
      </w:r>
      <w:r>
        <w:rPr>
          <w:rFonts w:hint="eastAsia" w:ascii="宋体" w:hAnsi="宋体"/>
          <w:szCs w:val="21"/>
        </w:rPr>
        <w:t xml:space="preserve">标准。    </w:t>
      </w:r>
    </w:p>
    <w:p>
      <w:pPr>
        <w:spacing w:line="480" w:lineRule="auto"/>
        <w:ind w:firstLine="482"/>
        <w:rPr>
          <w:rFonts w:hint="eastAsia" w:ascii="宋体" w:hAnsi="宋体"/>
          <w:szCs w:val="21"/>
        </w:rPr>
      </w:pPr>
      <w:r>
        <w:rPr>
          <w:rFonts w:hint="eastAsia" w:ascii="宋体" w:hAnsi="宋体"/>
          <w:szCs w:val="21"/>
        </w:rPr>
        <w:t>你单位收到中标通知书后，须在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rPr>
        <w:t>分前到</w:t>
      </w:r>
      <w:r>
        <w:rPr>
          <w:rFonts w:hint="eastAsia" w:ascii="宋体" w:hAnsi="宋体"/>
          <w:szCs w:val="21"/>
          <w:u w:val="single"/>
        </w:rPr>
        <w:t xml:space="preserve">                    （</w:t>
      </w:r>
      <w:r>
        <w:rPr>
          <w:rFonts w:hint="eastAsia" w:ascii="宋体" w:hAnsi="宋体"/>
          <w:szCs w:val="21"/>
        </w:rPr>
        <w:t>地点）与招标人签订合同，在此之前按招标文件第二章“投标人须知”第7.3 款规定向招标方提交履约担保。</w:t>
      </w:r>
    </w:p>
    <w:p>
      <w:pPr>
        <w:pStyle w:val="20"/>
      </w:pPr>
    </w:p>
    <w:tbl>
      <w:tblPr>
        <w:tblStyle w:val="14"/>
        <w:tblW w:w="945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6" w:hRule="atLeast"/>
        </w:trPr>
        <w:tc>
          <w:tcPr>
            <w:tcW w:w="4603" w:type="dxa"/>
          </w:tcPr>
          <w:p>
            <w:pPr>
              <w:spacing w:line="360" w:lineRule="auto"/>
              <w:rPr>
                <w:rFonts w:ascii="宋体" w:hAnsi="宋体"/>
                <w:szCs w:val="21"/>
              </w:rPr>
            </w:pPr>
            <w:r>
              <w:rPr>
                <w:rFonts w:hint="eastAsia" w:ascii="宋体" w:hAnsi="宋体"/>
                <w:szCs w:val="21"/>
              </w:rPr>
              <w:t>招标人：  （盖单位章）</w:t>
            </w:r>
          </w:p>
          <w:p>
            <w:pPr>
              <w:spacing w:line="360" w:lineRule="auto"/>
              <w:rPr>
                <w:rFonts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法定代表人或其授权代理人：  （签字）</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1890" w:firstLineChars="900"/>
              <w:rPr>
                <w:rFonts w:hint="eastAsia" w:ascii="宋体" w:hAnsi="宋体"/>
                <w:szCs w:val="21"/>
                <w:u w:val="single"/>
              </w:rPr>
            </w:pPr>
          </w:p>
          <w:p>
            <w:pPr>
              <w:spacing w:line="360" w:lineRule="auto"/>
              <w:ind w:firstLine="1890" w:firstLineChars="900"/>
              <w:rPr>
                <w:rFonts w:hint="eastAsia" w:ascii="宋体" w:hAnsi="宋体"/>
                <w:szCs w:val="21"/>
                <w:u w:val="single"/>
              </w:rPr>
            </w:pPr>
          </w:p>
          <w:p>
            <w:pPr>
              <w:spacing w:line="360" w:lineRule="auto"/>
              <w:ind w:firstLine="1890" w:firstLineChars="900"/>
              <w:rPr>
                <w:rFonts w:hint="eastAsia" w:ascii="宋体" w:hAnsi="宋体"/>
                <w:szCs w:val="21"/>
                <w:u w:val="single"/>
              </w:rPr>
            </w:pPr>
          </w:p>
          <w:p>
            <w:pPr>
              <w:spacing w:line="360" w:lineRule="auto"/>
              <w:ind w:firstLine="1890" w:firstLineChars="9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tc>
        <w:tc>
          <w:tcPr>
            <w:tcW w:w="4856" w:type="dxa"/>
          </w:tcPr>
          <w:p>
            <w:pPr>
              <w:spacing w:line="360" w:lineRule="auto"/>
              <w:ind w:firstLine="420" w:firstLineChars="200"/>
              <w:rPr>
                <w:rFonts w:ascii="宋体" w:hAnsi="宋体"/>
                <w:szCs w:val="21"/>
              </w:rPr>
            </w:pPr>
            <w:r>
              <w:rPr>
                <w:rFonts w:hint="eastAsia" w:ascii="宋体" w:hAnsi="宋体"/>
                <w:szCs w:val="21"/>
              </w:rPr>
              <w:t>招标代理机构：  （盖单位章）</w:t>
            </w:r>
          </w:p>
          <w:p>
            <w:pPr>
              <w:spacing w:line="360" w:lineRule="auto"/>
              <w:rPr>
                <w:rFonts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法定代表人或其授权代理人：  （签字）</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2205" w:firstLineChars="1050"/>
              <w:rPr>
                <w:rFonts w:hint="eastAsia" w:ascii="宋体" w:hAnsi="宋体"/>
                <w:szCs w:val="21"/>
                <w:u w:val="single"/>
              </w:rPr>
            </w:pPr>
          </w:p>
          <w:p>
            <w:pPr>
              <w:spacing w:line="360" w:lineRule="auto"/>
              <w:ind w:firstLine="2205" w:firstLineChars="1050"/>
              <w:rPr>
                <w:rFonts w:hint="eastAsia" w:ascii="宋体" w:hAnsi="宋体"/>
                <w:szCs w:val="21"/>
                <w:u w:val="single"/>
              </w:rPr>
            </w:pPr>
          </w:p>
          <w:p>
            <w:pPr>
              <w:spacing w:line="360" w:lineRule="auto"/>
              <w:ind w:firstLine="2205" w:firstLineChars="1050"/>
              <w:rPr>
                <w:rFonts w:hint="eastAsia" w:ascii="宋体" w:hAnsi="宋体"/>
                <w:szCs w:val="21"/>
                <w:u w:val="single"/>
              </w:rPr>
            </w:pPr>
          </w:p>
          <w:p>
            <w:pPr>
              <w:spacing w:line="360" w:lineRule="auto"/>
              <w:ind w:firstLine="2205" w:firstLineChars="10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tc>
      </w:tr>
    </w:tbl>
    <w:p>
      <w:pPr>
        <w:spacing w:line="360" w:lineRule="auto"/>
        <w:ind w:firstLine="4830" w:firstLineChars="2300"/>
        <w:rPr>
          <w:rFonts w:ascii="宋体" w:hAnsi="宋体"/>
          <w:szCs w:val="21"/>
        </w:rPr>
      </w:pPr>
    </w:p>
    <w:p>
      <w:pPr>
        <w:spacing w:line="360" w:lineRule="auto"/>
        <w:ind w:firstLine="4830" w:firstLineChars="2300"/>
        <w:rPr>
          <w:rFonts w:ascii="宋体" w:hAnsi="宋体"/>
          <w:szCs w:val="21"/>
        </w:rPr>
        <w:sectPr>
          <w:pgSz w:w="11906" w:h="16838"/>
          <w:pgMar w:top="1418" w:right="1134" w:bottom="1418" w:left="1134" w:header="851" w:footer="992" w:gutter="0"/>
          <w:pgNumType w:fmt="numberInDash"/>
          <w:cols w:space="720" w:num="1"/>
          <w:docGrid w:type="lines" w:linePitch="312" w:charSpace="0"/>
        </w:sectPr>
      </w:pPr>
    </w:p>
    <w:p>
      <w:pPr>
        <w:pStyle w:val="3"/>
        <w:spacing w:line="360" w:lineRule="auto"/>
        <w:jc w:val="center"/>
        <w:rPr>
          <w:b/>
          <w:bCs/>
          <w:sz w:val="36"/>
          <w:szCs w:val="36"/>
          <w:highlight w:val="none"/>
        </w:rPr>
      </w:pPr>
      <w:r>
        <w:rPr>
          <w:rFonts w:hint="eastAsia"/>
          <w:color w:val="000000"/>
          <w:szCs w:val="32"/>
        </w:rPr>
        <w:t>第三章 评标方法、标准、程序</w:t>
      </w:r>
    </w:p>
    <w:p>
      <w:pPr>
        <w:pStyle w:val="4"/>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（一）评标方法</w:t>
      </w:r>
    </w:p>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本次评标采用综合评估法。对满足招标文件实质性要求的投标文件，按照本章第3.2 款规定的评分标准进行打分，并按得分由高到低顺序推荐中标候选人。</w:t>
      </w:r>
      <w:bookmarkStart w:id="16" w:name="_Toc184635094"/>
    </w:p>
    <w:p>
      <w:pPr>
        <w:pStyle w:val="4"/>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highlight w:val="none"/>
        </w:rPr>
        <w:t>（二）评审标准</w:t>
      </w:r>
      <w:bookmarkEnd w:id="16"/>
    </w:p>
    <w:tbl>
      <w:tblPr>
        <w:tblStyle w:val="14"/>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80"/>
        <w:gridCol w:w="1633"/>
        <w:gridCol w:w="572"/>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Align w:val="center"/>
          </w:tcPr>
          <w:p>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条款号</w:t>
            </w:r>
          </w:p>
        </w:tc>
        <w:tc>
          <w:tcPr>
            <w:tcW w:w="7969" w:type="dxa"/>
            <w:gridSpan w:val="4"/>
            <w:vAlign w:val="center"/>
          </w:tcPr>
          <w:p>
            <w:pPr>
              <w:spacing w:line="360" w:lineRule="auto"/>
              <w:jc w:val="center"/>
              <w:rPr>
                <w:rFonts w:hint="eastAsia" w:ascii="宋体" w:hAnsi="宋体" w:eastAsia="宋体" w:cs="宋体"/>
                <w:b/>
                <w:color w:val="000000"/>
                <w:sz w:val="21"/>
                <w:szCs w:val="21"/>
              </w:rPr>
            </w:pPr>
            <w:r>
              <w:rPr>
                <w:rFonts w:hint="eastAsia" w:ascii="宋体" w:hAnsi="宋体" w:eastAsia="宋体" w:cs="宋体"/>
                <w:b/>
                <w:sz w:val="21"/>
                <w:szCs w:val="21"/>
              </w:rPr>
              <w:t>评审</w:t>
            </w:r>
            <w:r>
              <w:rPr>
                <w:rFonts w:hint="eastAsia" w:ascii="宋体" w:hAnsi="宋体" w:eastAsia="宋体" w:cs="宋体"/>
                <w:b/>
                <w:color w:val="000000"/>
                <w:sz w:val="21"/>
                <w:szCs w:val="21"/>
              </w:rPr>
              <w:t>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restart"/>
            <w:vAlign w:val="center"/>
          </w:tcPr>
          <w:p>
            <w:pPr>
              <w:spacing w:line="360" w:lineRule="auto"/>
              <w:jc w:val="center"/>
              <w:rPr>
                <w:rFonts w:hint="eastAsia" w:ascii="宋体" w:hAnsi="宋体" w:eastAsia="宋体" w:cs="宋体"/>
                <w:b/>
                <w:color w:val="000000"/>
                <w:sz w:val="21"/>
                <w:szCs w:val="21"/>
              </w:rPr>
            </w:pPr>
            <w:r>
              <w:rPr>
                <w:rFonts w:hint="eastAsia" w:ascii="宋体" w:hAnsi="宋体" w:eastAsia="宋体" w:cs="宋体"/>
                <w:color w:val="000000"/>
                <w:sz w:val="21"/>
                <w:szCs w:val="21"/>
              </w:rPr>
              <w:t>2.1</w:t>
            </w:r>
          </w:p>
        </w:tc>
        <w:tc>
          <w:tcPr>
            <w:tcW w:w="7969" w:type="dxa"/>
            <w:gridSpan w:val="4"/>
            <w:vAlign w:val="center"/>
          </w:tcPr>
          <w:p>
            <w:pPr>
              <w:spacing w:line="360" w:lineRule="auto"/>
              <w:rPr>
                <w:rFonts w:hint="eastAsia" w:ascii="宋体" w:hAnsi="宋体" w:eastAsia="宋体" w:cs="宋体"/>
                <w:color w:val="000000"/>
                <w:sz w:val="21"/>
                <w:szCs w:val="21"/>
              </w:rPr>
            </w:pPr>
            <w:permStart w:id="17" w:edGrp="everyone"/>
            <w:r>
              <w:rPr>
                <w:rFonts w:hint="eastAsia" w:ascii="宋体" w:hAnsi="宋体" w:eastAsia="宋体" w:cs="宋体"/>
                <w:color w:val="000000"/>
                <w:sz w:val="21"/>
                <w:szCs w:val="21"/>
              </w:rPr>
              <w:t>由</w:t>
            </w:r>
            <w:r>
              <w:rPr>
                <w:rFonts w:hint="eastAsia" w:ascii="宋体" w:hAnsi="宋体" w:eastAsia="宋体" w:cs="宋体"/>
                <w:color w:val="auto"/>
                <w:sz w:val="21"/>
                <w:szCs w:val="21"/>
                <w:lang w:eastAsia="zh-CN"/>
              </w:rPr>
              <w:t>代理机构</w:t>
            </w:r>
            <w:r>
              <w:rPr>
                <w:rFonts w:hint="eastAsia" w:ascii="宋体" w:hAnsi="宋体" w:eastAsia="宋体" w:cs="宋体"/>
                <w:color w:val="auto"/>
                <w:sz w:val="21"/>
                <w:szCs w:val="21"/>
              </w:rPr>
              <w:t>核对</w:t>
            </w:r>
            <w:r>
              <w:rPr>
                <w:rFonts w:hint="eastAsia" w:ascii="宋体" w:hAnsi="宋体" w:eastAsia="宋体" w:cs="宋体"/>
                <w:color w:val="000000"/>
                <w:sz w:val="21"/>
                <w:szCs w:val="21"/>
              </w:rPr>
              <w:t>投标保证金缴纳</w:t>
            </w:r>
            <w:r>
              <w:rPr>
                <w:rFonts w:hint="eastAsia" w:ascii="宋体" w:hAnsi="宋体" w:eastAsia="宋体" w:cs="宋体"/>
                <w:color w:val="000000"/>
                <w:sz w:val="21"/>
                <w:szCs w:val="21"/>
                <w:lang w:eastAsia="zh-CN"/>
              </w:rPr>
              <w:t>情况</w:t>
            </w:r>
            <w:r>
              <w:rPr>
                <w:rFonts w:hint="eastAsia" w:ascii="宋体" w:hAnsi="宋体" w:eastAsia="宋体" w:cs="宋体"/>
                <w:color w:val="000000"/>
                <w:sz w:val="21"/>
                <w:szCs w:val="21"/>
              </w:rPr>
              <w:t>，发现投标人未按招标文件要求提交保</w:t>
            </w:r>
            <w:r>
              <w:rPr>
                <w:rFonts w:hint="eastAsia" w:ascii="宋体" w:hAnsi="宋体" w:eastAsia="宋体" w:cs="宋体"/>
                <w:sz w:val="21"/>
                <w:szCs w:val="21"/>
              </w:rPr>
              <w:t>证金的，</w:t>
            </w:r>
            <w:r>
              <w:rPr>
                <w:rFonts w:hint="eastAsia" w:ascii="宋体" w:hAnsi="宋体" w:eastAsia="宋体" w:cs="宋体"/>
                <w:color w:val="000000"/>
                <w:sz w:val="21"/>
                <w:szCs w:val="21"/>
              </w:rPr>
              <w:t>报评标委员会确认后，则其投标文件将被拒绝。</w:t>
            </w:r>
            <w:perm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vAlign w:val="center"/>
          </w:tcPr>
          <w:p>
            <w:pPr>
              <w:spacing w:line="360" w:lineRule="auto"/>
              <w:jc w:val="center"/>
              <w:rPr>
                <w:rFonts w:hint="eastAsia" w:ascii="宋体" w:hAnsi="宋体" w:eastAsia="宋体" w:cs="宋体"/>
                <w:b/>
                <w:color w:val="000000"/>
                <w:sz w:val="21"/>
                <w:szCs w:val="21"/>
              </w:rPr>
            </w:pPr>
          </w:p>
        </w:tc>
        <w:tc>
          <w:tcPr>
            <w:tcW w:w="2713"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评审入围方式</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（适用于所有工程）</w:t>
            </w:r>
          </w:p>
        </w:tc>
        <w:tc>
          <w:tcPr>
            <w:tcW w:w="5256" w:type="dxa"/>
            <w:gridSpan w:val="2"/>
            <w:vAlign w:val="center"/>
          </w:tcPr>
          <w:p>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所有签收的投标文件进入评审程序。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1"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条款号</w:t>
            </w: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评审因素</w:t>
            </w:r>
          </w:p>
        </w:tc>
        <w:tc>
          <w:tcPr>
            <w:tcW w:w="4684" w:type="dxa"/>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restart"/>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2.1.1</w:t>
            </w:r>
          </w:p>
        </w:tc>
        <w:tc>
          <w:tcPr>
            <w:tcW w:w="1080" w:type="dxa"/>
            <w:vMerge w:val="restart"/>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形式评</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审标准</w:t>
            </w: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投标人名称</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Pr>
          <w:p>
            <w:pPr>
              <w:spacing w:line="360" w:lineRule="auto"/>
              <w:rPr>
                <w:rFonts w:hint="eastAsia" w:ascii="宋体" w:hAnsi="宋体" w:eastAsia="宋体" w:cs="宋体"/>
                <w:color w:val="000000"/>
                <w:sz w:val="21"/>
                <w:szCs w:val="21"/>
              </w:rPr>
            </w:pPr>
          </w:p>
        </w:tc>
        <w:tc>
          <w:tcPr>
            <w:tcW w:w="1080" w:type="dxa"/>
            <w:vMerge w:val="continue"/>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投标函签字盖章</w:t>
            </w:r>
          </w:p>
        </w:tc>
        <w:tc>
          <w:tcPr>
            <w:tcW w:w="4684" w:type="dxa"/>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Pr>
          <w:p>
            <w:pPr>
              <w:spacing w:line="360" w:lineRule="auto"/>
              <w:rPr>
                <w:rFonts w:hint="eastAsia" w:ascii="宋体" w:hAnsi="宋体" w:eastAsia="宋体" w:cs="宋体"/>
                <w:color w:val="000000"/>
                <w:sz w:val="21"/>
                <w:szCs w:val="21"/>
              </w:rPr>
            </w:pPr>
          </w:p>
        </w:tc>
        <w:tc>
          <w:tcPr>
            <w:tcW w:w="1080" w:type="dxa"/>
            <w:vMerge w:val="continue"/>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投标文件格式</w:t>
            </w:r>
          </w:p>
        </w:tc>
        <w:tc>
          <w:tcPr>
            <w:tcW w:w="4684" w:type="dxa"/>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Pr>
          <w:p>
            <w:pPr>
              <w:spacing w:line="360" w:lineRule="auto"/>
              <w:rPr>
                <w:rFonts w:hint="eastAsia" w:ascii="宋体" w:hAnsi="宋体" w:eastAsia="宋体" w:cs="宋体"/>
                <w:color w:val="000000"/>
                <w:sz w:val="21"/>
                <w:szCs w:val="21"/>
              </w:rPr>
            </w:pPr>
          </w:p>
        </w:tc>
        <w:tc>
          <w:tcPr>
            <w:tcW w:w="1080" w:type="dxa"/>
            <w:vMerge w:val="continue"/>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报价唯一</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restart"/>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2.1.2</w:t>
            </w:r>
          </w:p>
        </w:tc>
        <w:tc>
          <w:tcPr>
            <w:tcW w:w="1080" w:type="dxa"/>
            <w:vMerge w:val="restart"/>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资格评</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审标准</w:t>
            </w: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营业执照</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vAlign w:val="center"/>
          </w:tcPr>
          <w:p>
            <w:pPr>
              <w:spacing w:line="360" w:lineRule="auto"/>
              <w:jc w:val="center"/>
              <w:rPr>
                <w:rFonts w:hint="eastAsia" w:ascii="宋体" w:hAnsi="宋体" w:eastAsia="宋体" w:cs="宋体"/>
                <w:color w:val="000000"/>
                <w:sz w:val="21"/>
                <w:szCs w:val="21"/>
              </w:rPr>
            </w:pPr>
          </w:p>
        </w:tc>
        <w:tc>
          <w:tcPr>
            <w:tcW w:w="1080" w:type="dxa"/>
            <w:vMerge w:val="continue"/>
            <w:vAlign w:val="center"/>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安全生产许可证</w:t>
            </w:r>
          </w:p>
        </w:tc>
        <w:tc>
          <w:tcPr>
            <w:tcW w:w="4684" w:type="dxa"/>
          </w:tcPr>
          <w:p>
            <w:pPr>
              <w:spacing w:line="360" w:lineRule="auto"/>
              <w:rPr>
                <w:rFonts w:hint="eastAsia" w:ascii="宋体" w:hAnsi="宋体" w:eastAsia="宋体" w:cs="宋体"/>
                <w:sz w:val="21"/>
                <w:szCs w:val="21"/>
              </w:rPr>
            </w:pPr>
            <w:permStart w:id="18" w:edGrp="everyone"/>
            <w:r>
              <w:rPr>
                <w:rFonts w:hint="eastAsia" w:ascii="宋体" w:hAnsi="宋体" w:eastAsia="宋体" w:cs="宋体"/>
                <w:sz w:val="21"/>
                <w:szCs w:val="21"/>
                <w:u w:val="none"/>
              </w:rPr>
              <w:t>具备有效的安全生产许可证</w:t>
            </w:r>
            <w:perm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vAlign w:val="center"/>
          </w:tcPr>
          <w:p>
            <w:pPr>
              <w:spacing w:line="360" w:lineRule="auto"/>
              <w:jc w:val="center"/>
              <w:rPr>
                <w:rFonts w:hint="eastAsia" w:ascii="宋体" w:hAnsi="宋体" w:eastAsia="宋体" w:cs="宋体"/>
                <w:color w:val="000000"/>
                <w:sz w:val="21"/>
                <w:szCs w:val="21"/>
              </w:rPr>
            </w:pPr>
          </w:p>
        </w:tc>
        <w:tc>
          <w:tcPr>
            <w:tcW w:w="1080" w:type="dxa"/>
            <w:vMerge w:val="continue"/>
            <w:vAlign w:val="center"/>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资质等级</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vAlign w:val="center"/>
          </w:tcPr>
          <w:p>
            <w:pPr>
              <w:spacing w:line="360" w:lineRule="auto"/>
              <w:jc w:val="center"/>
              <w:rPr>
                <w:rFonts w:hint="eastAsia" w:ascii="宋体" w:hAnsi="宋体" w:eastAsia="宋体" w:cs="宋体"/>
                <w:color w:val="000000"/>
                <w:sz w:val="21"/>
                <w:szCs w:val="21"/>
              </w:rPr>
            </w:pPr>
          </w:p>
        </w:tc>
        <w:tc>
          <w:tcPr>
            <w:tcW w:w="1080" w:type="dxa"/>
            <w:vMerge w:val="continue"/>
            <w:vAlign w:val="center"/>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项目负责人</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vAlign w:val="center"/>
          </w:tcPr>
          <w:p>
            <w:pPr>
              <w:spacing w:line="360" w:lineRule="auto"/>
              <w:jc w:val="center"/>
              <w:rPr>
                <w:rFonts w:hint="eastAsia" w:ascii="宋体" w:hAnsi="宋体" w:eastAsia="宋体" w:cs="宋体"/>
                <w:color w:val="000000"/>
                <w:sz w:val="21"/>
                <w:szCs w:val="21"/>
              </w:rPr>
            </w:pPr>
          </w:p>
        </w:tc>
        <w:tc>
          <w:tcPr>
            <w:tcW w:w="1080" w:type="dxa"/>
            <w:vMerge w:val="continue"/>
            <w:vAlign w:val="center"/>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投标保证金</w:t>
            </w:r>
          </w:p>
        </w:tc>
        <w:tc>
          <w:tcPr>
            <w:tcW w:w="468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必须从企业的基本账户中缴纳投标保证金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vAlign w:val="center"/>
          </w:tcPr>
          <w:p>
            <w:pPr>
              <w:spacing w:line="360" w:lineRule="auto"/>
              <w:jc w:val="center"/>
              <w:rPr>
                <w:rFonts w:hint="eastAsia" w:ascii="宋体" w:hAnsi="宋体" w:eastAsia="宋体" w:cs="宋体"/>
                <w:color w:val="000000"/>
                <w:sz w:val="21"/>
                <w:szCs w:val="21"/>
              </w:rPr>
            </w:pPr>
          </w:p>
        </w:tc>
        <w:tc>
          <w:tcPr>
            <w:tcW w:w="1080" w:type="dxa"/>
            <w:vMerge w:val="continue"/>
            <w:vAlign w:val="center"/>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其他要求</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restart"/>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2.1.3</w:t>
            </w:r>
          </w:p>
        </w:tc>
        <w:tc>
          <w:tcPr>
            <w:tcW w:w="1080" w:type="dxa"/>
            <w:vMerge w:val="restart"/>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响应性评审标准</w:t>
            </w: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投标内容</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Pr>
          <w:p>
            <w:pPr>
              <w:spacing w:line="360" w:lineRule="auto"/>
              <w:rPr>
                <w:rFonts w:hint="eastAsia" w:ascii="宋体" w:hAnsi="宋体" w:eastAsia="宋体" w:cs="宋体"/>
                <w:color w:val="000000"/>
                <w:sz w:val="21"/>
                <w:szCs w:val="21"/>
              </w:rPr>
            </w:pPr>
          </w:p>
        </w:tc>
        <w:tc>
          <w:tcPr>
            <w:tcW w:w="1080" w:type="dxa"/>
            <w:vMerge w:val="continue"/>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符合第二章“投标人须知”第1.3.2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Pr>
          <w:p>
            <w:pPr>
              <w:spacing w:line="360" w:lineRule="auto"/>
              <w:rPr>
                <w:rFonts w:hint="eastAsia" w:ascii="宋体" w:hAnsi="宋体" w:eastAsia="宋体" w:cs="宋体"/>
                <w:color w:val="000000"/>
                <w:sz w:val="21"/>
                <w:szCs w:val="21"/>
              </w:rPr>
            </w:pPr>
          </w:p>
        </w:tc>
        <w:tc>
          <w:tcPr>
            <w:tcW w:w="1080" w:type="dxa"/>
            <w:vMerge w:val="continue"/>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工程质量</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符合第二章“投标人须知”第1.3.3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Pr>
          <w:p>
            <w:pPr>
              <w:spacing w:line="360" w:lineRule="auto"/>
              <w:rPr>
                <w:rFonts w:hint="eastAsia" w:ascii="宋体" w:hAnsi="宋体" w:eastAsia="宋体" w:cs="宋体"/>
                <w:color w:val="000000"/>
                <w:sz w:val="21"/>
                <w:szCs w:val="21"/>
              </w:rPr>
            </w:pPr>
          </w:p>
        </w:tc>
        <w:tc>
          <w:tcPr>
            <w:tcW w:w="1080" w:type="dxa"/>
            <w:vMerge w:val="continue"/>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投标有效期</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Pr>
          <w:p>
            <w:pPr>
              <w:spacing w:line="360" w:lineRule="auto"/>
              <w:rPr>
                <w:rFonts w:hint="eastAsia" w:ascii="宋体" w:hAnsi="宋体" w:eastAsia="宋体" w:cs="宋体"/>
                <w:color w:val="000000"/>
                <w:sz w:val="21"/>
                <w:szCs w:val="21"/>
              </w:rPr>
            </w:pPr>
          </w:p>
        </w:tc>
        <w:tc>
          <w:tcPr>
            <w:tcW w:w="1080" w:type="dxa"/>
            <w:vMerge w:val="continue"/>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权利义务</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Pr>
          <w:p>
            <w:pPr>
              <w:spacing w:line="360" w:lineRule="auto"/>
              <w:rPr>
                <w:rFonts w:hint="eastAsia" w:ascii="宋体" w:hAnsi="宋体" w:eastAsia="宋体" w:cs="宋体"/>
                <w:color w:val="000000"/>
                <w:sz w:val="21"/>
                <w:szCs w:val="21"/>
              </w:rPr>
            </w:pPr>
          </w:p>
        </w:tc>
        <w:tc>
          <w:tcPr>
            <w:tcW w:w="1080" w:type="dxa"/>
            <w:vMerge w:val="continue"/>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已</w:t>
            </w:r>
            <w:r>
              <w:rPr>
                <w:rFonts w:hint="eastAsia" w:ascii="宋体" w:hAnsi="宋体" w:eastAsia="宋体" w:cs="宋体"/>
                <w:color w:val="000000"/>
                <w:sz w:val="21"/>
                <w:szCs w:val="21"/>
              </w:rPr>
              <w:t>标价工程量清单</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Pr>
          <w:p>
            <w:pPr>
              <w:spacing w:line="360" w:lineRule="auto"/>
              <w:rPr>
                <w:rFonts w:hint="eastAsia" w:ascii="宋体" w:hAnsi="宋体" w:eastAsia="宋体" w:cs="宋体"/>
                <w:color w:val="000000"/>
                <w:sz w:val="21"/>
                <w:szCs w:val="21"/>
              </w:rPr>
            </w:pPr>
          </w:p>
        </w:tc>
        <w:tc>
          <w:tcPr>
            <w:tcW w:w="1080" w:type="dxa"/>
            <w:vMerge w:val="continue"/>
          </w:tcPr>
          <w:p>
            <w:pPr>
              <w:spacing w:line="360" w:lineRule="auto"/>
              <w:rPr>
                <w:rFonts w:hint="eastAsia" w:ascii="宋体" w:hAnsi="宋体" w:eastAsia="宋体" w:cs="宋体"/>
                <w:color w:val="000000"/>
                <w:sz w:val="21"/>
                <w:szCs w:val="21"/>
              </w:rPr>
            </w:pPr>
          </w:p>
        </w:tc>
        <w:tc>
          <w:tcPr>
            <w:tcW w:w="2205" w:type="dxa"/>
            <w:gridSpan w:val="2"/>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技术标准和要求</w:t>
            </w:r>
          </w:p>
        </w:tc>
        <w:tc>
          <w:tcPr>
            <w:tcW w:w="4684" w:type="dxa"/>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符合第七章“技术标准和要求”规定</w:t>
            </w:r>
          </w:p>
        </w:tc>
      </w:tr>
    </w:tbl>
    <w:p>
      <w:pPr>
        <w:spacing w:line="400" w:lineRule="exact"/>
        <w:ind w:firstLine="34" w:firstLineChars="14"/>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（三）评审程序、办法</w:t>
      </w:r>
    </w:p>
    <w:p>
      <w:pPr>
        <w:pStyle w:val="10"/>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3.1最高限价和风险控制价</w:t>
      </w:r>
    </w:p>
    <w:p>
      <w:pPr>
        <w:pStyle w:val="10"/>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投标最高限价详见投标人须知前附表</w:t>
      </w:r>
      <w:r>
        <w:rPr>
          <w:rFonts w:hint="eastAsia" w:ascii="宋体" w:hAnsi="宋体" w:eastAsia="宋体" w:cs="宋体"/>
          <w:color w:val="auto"/>
          <w:sz w:val="24"/>
          <w:szCs w:val="24"/>
          <w:highlight w:val="none"/>
          <w:lang w:val="en-US" w:eastAsia="zh-CN"/>
        </w:rPr>
        <w:t>3.2.3</w:t>
      </w:r>
      <w:r>
        <w:rPr>
          <w:rFonts w:hint="eastAsia" w:ascii="宋体" w:hAnsi="宋体" w:eastAsia="宋体" w:cs="宋体"/>
          <w:sz w:val="24"/>
          <w:szCs w:val="24"/>
          <w:highlight w:val="none"/>
        </w:rPr>
        <w:t>，风险控制价为最高限价的85%。</w:t>
      </w:r>
    </w:p>
    <w:p>
      <w:pPr>
        <w:pStyle w:val="10"/>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3.2确定和计算算术平均值</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3.2.1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甄别异</w:t>
      </w:r>
      <w:r>
        <w:rPr>
          <w:rFonts w:hint="eastAsia" w:ascii="宋体" w:hAnsi="宋体" w:eastAsia="宋体" w:cs="宋体"/>
          <w:color w:val="000000"/>
          <w:sz w:val="24"/>
          <w:szCs w:val="24"/>
          <w:highlight w:val="none"/>
        </w:rPr>
        <w:t>常报价。如开标时投标报价出现下列情况的，由招标人认定为异常报价，该投标文件不进入算术平均值的计算：</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①报价高于或等于最高限价者；</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②报价为最低并低于次低报价15%及以上者；</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③投标人提交</w:t>
      </w:r>
      <w:r>
        <w:rPr>
          <w:rFonts w:hint="eastAsia" w:ascii="宋体" w:hAnsi="宋体" w:eastAsia="宋体" w:cs="宋体"/>
          <w:snapToGrid w:val="0"/>
          <w:sz w:val="24"/>
          <w:szCs w:val="24"/>
          <w:highlight w:val="none"/>
        </w:rPr>
        <w:t>投标保证金的方式、额度、交纳时间有差错的</w:t>
      </w:r>
      <w:r>
        <w:rPr>
          <w:rFonts w:hint="eastAsia" w:ascii="宋体" w:hAnsi="宋体" w:eastAsia="宋体" w:cs="宋体"/>
          <w:color w:val="000000"/>
          <w:sz w:val="24"/>
          <w:szCs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w:t>
      </w:r>
      <w:r>
        <w:rPr>
          <w:rFonts w:hint="eastAsia" w:ascii="宋体" w:hAnsi="宋体" w:eastAsia="宋体" w:cs="宋体"/>
          <w:snapToGrid w:val="0"/>
          <w:sz w:val="24"/>
          <w:szCs w:val="24"/>
          <w:highlight w:val="none"/>
        </w:rPr>
        <w:t>提交的投标文件份数不符合投标人须知第</w:t>
      </w:r>
      <w:r>
        <w:rPr>
          <w:rFonts w:hint="eastAsia" w:ascii="宋体" w:hAnsi="宋体" w:eastAsia="宋体" w:cs="宋体"/>
          <w:snapToGrid w:val="0"/>
          <w:color w:val="auto"/>
          <w:sz w:val="24"/>
          <w:szCs w:val="24"/>
          <w:highlight w:val="none"/>
        </w:rPr>
        <w:t>3.7.</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sz w:val="24"/>
          <w:szCs w:val="24"/>
          <w:highlight w:val="none"/>
        </w:rPr>
        <w:t>条；</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⑤非本标段的投标报价。</w:t>
      </w:r>
    </w:p>
    <w:p>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计算算术平均值：在甄别后，招标人按照下列的方式对投标文件的投标报价计算算术平均值：</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①</w:t>
      </w:r>
      <w:r>
        <w:rPr>
          <w:rFonts w:hint="eastAsia" w:ascii="宋体" w:hAnsi="宋体" w:eastAsia="宋体" w:cs="宋体"/>
          <w:sz w:val="24"/>
          <w:szCs w:val="24"/>
          <w:highlight w:val="none"/>
        </w:rPr>
        <w:t>投标单位少于或等于5家时，不计算算术平均值；</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②</w:t>
      </w:r>
      <w:r>
        <w:rPr>
          <w:rFonts w:hint="eastAsia" w:ascii="宋体" w:hAnsi="宋体" w:eastAsia="宋体" w:cs="宋体"/>
          <w:sz w:val="24"/>
          <w:szCs w:val="24"/>
          <w:highlight w:val="none"/>
        </w:rPr>
        <w:t>投标单位大于5家时，在通过开标审查的投标单位中去掉</w:t>
      </w:r>
      <w:r>
        <w:rPr>
          <w:rFonts w:hint="eastAsia" w:ascii="宋体" w:hAnsi="宋体" w:eastAsia="宋体" w:cs="宋体"/>
          <w:b/>
          <w:sz w:val="24"/>
          <w:szCs w:val="24"/>
          <w:highlight w:val="none"/>
        </w:rPr>
        <w:t>N</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N</w:t>
      </w:r>
      <w:r>
        <w:rPr>
          <w:rFonts w:hint="eastAsia" w:ascii="宋体" w:hAnsi="宋体" w:eastAsia="宋体" w:cs="宋体"/>
          <w:sz w:val="24"/>
          <w:szCs w:val="24"/>
          <w:highlight w:val="none"/>
        </w:rPr>
        <w:t>=通过开标审查的投标单位家数×10%，N四舍五入为整数,下同)个最高报价和</w:t>
      </w:r>
      <w:r>
        <w:rPr>
          <w:rFonts w:hint="eastAsia" w:ascii="宋体" w:hAnsi="宋体" w:eastAsia="宋体" w:cs="宋体"/>
          <w:b/>
          <w:sz w:val="24"/>
          <w:szCs w:val="24"/>
          <w:highlight w:val="none"/>
        </w:rPr>
        <w:t>N</w:t>
      </w:r>
      <w:r>
        <w:rPr>
          <w:rFonts w:hint="eastAsia" w:ascii="宋体" w:hAnsi="宋体" w:eastAsia="宋体" w:cs="宋体"/>
          <w:sz w:val="24"/>
          <w:szCs w:val="24"/>
          <w:highlight w:val="none"/>
        </w:rPr>
        <w:t>个最低报价；再在剩余的投标人报价中，随机抽取</w:t>
      </w:r>
      <w:r>
        <w:rPr>
          <w:rFonts w:hint="eastAsia" w:ascii="宋体" w:hAnsi="宋体" w:eastAsia="宋体" w:cs="宋体"/>
          <w:b/>
          <w:sz w:val="24"/>
          <w:szCs w:val="24"/>
          <w:highlight w:val="none"/>
        </w:rPr>
        <w:t>N</w:t>
      </w:r>
      <w:r>
        <w:rPr>
          <w:rFonts w:hint="eastAsia" w:ascii="宋体" w:hAnsi="宋体" w:eastAsia="宋体" w:cs="宋体"/>
          <w:sz w:val="24"/>
          <w:szCs w:val="24"/>
          <w:highlight w:val="none"/>
        </w:rPr>
        <w:t>+1个报价；将</w:t>
      </w:r>
      <w:r>
        <w:rPr>
          <w:rFonts w:hint="eastAsia" w:ascii="宋体" w:hAnsi="宋体" w:eastAsia="宋体" w:cs="宋体"/>
          <w:b/>
          <w:sz w:val="24"/>
          <w:szCs w:val="24"/>
          <w:highlight w:val="none"/>
        </w:rPr>
        <w:t>N</w:t>
      </w:r>
      <w:r>
        <w:rPr>
          <w:rFonts w:hint="eastAsia" w:ascii="宋体" w:hAnsi="宋体" w:eastAsia="宋体" w:cs="宋体"/>
          <w:sz w:val="24"/>
          <w:szCs w:val="24"/>
          <w:highlight w:val="none"/>
        </w:rPr>
        <w:t>+1个报价计算平均值作为算术平均值。</w:t>
      </w:r>
    </w:p>
    <w:p>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3.2.3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算术平均值确定后，后续评标过程中出现的任何情形都将不会导致算术平均值变化，即不再重新计算本工程投标报价的算术平均值。</w:t>
      </w:r>
    </w:p>
    <w:p>
      <w:pPr>
        <w:pStyle w:val="10"/>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3.3评标基准价的确定</w:t>
      </w:r>
    </w:p>
    <w:p>
      <w:pPr>
        <w:keepNext w:val="0"/>
        <w:keepLines w:val="0"/>
        <w:pageBreakBefore w:val="0"/>
        <w:kinsoku/>
        <w:wordWrap/>
        <w:overflowPunct/>
        <w:topLinePunct w:val="0"/>
        <w:autoSpaceDE/>
        <w:autoSpaceDN/>
        <w:bidi w:val="0"/>
        <w:snapToGrid/>
        <w:spacing w:line="360" w:lineRule="auto"/>
        <w:ind w:firstLine="480"/>
        <w:textAlignment w:val="auto"/>
        <w:rPr>
          <w:rFonts w:hint="eastAsia" w:ascii="宋体" w:hAnsi="宋体" w:eastAsia="宋体" w:cs="宋体"/>
          <w:spacing w:val="-4"/>
          <w:sz w:val="24"/>
          <w:szCs w:val="24"/>
          <w:highlight w:val="none"/>
        </w:rPr>
      </w:pPr>
      <w:r>
        <w:rPr>
          <w:rFonts w:hint="eastAsia" w:ascii="宋体" w:hAnsi="宋体" w:eastAsia="宋体" w:cs="宋体"/>
          <w:b w:val="0"/>
          <w:bCs/>
          <w:sz w:val="24"/>
          <w:szCs w:val="24"/>
          <w:highlight w:val="none"/>
        </w:rPr>
        <w:t>3.3.1</w:t>
      </w:r>
      <w:r>
        <w:rPr>
          <w:rFonts w:hint="eastAsia" w:ascii="宋体" w:hAnsi="宋体" w:eastAsia="宋体" w:cs="宋体"/>
          <w:b/>
          <w:sz w:val="24"/>
          <w:szCs w:val="24"/>
          <w:highlight w:val="none"/>
          <w:lang w:val="en-US" w:eastAsia="zh-CN"/>
        </w:rPr>
        <w:t xml:space="preserve"> </w:t>
      </w:r>
      <w:r>
        <w:rPr>
          <w:rFonts w:hint="eastAsia" w:ascii="宋体" w:hAnsi="宋体" w:eastAsia="宋体" w:cs="宋体"/>
          <w:spacing w:val="-4"/>
          <w:sz w:val="24"/>
          <w:szCs w:val="24"/>
          <w:highlight w:val="none"/>
        </w:rPr>
        <w:t>当通过开标审查的投标单位少于或等于5家时，以最低投标报价作为评标基准价，如果最低投标报价低于风险控制价的，则以风险控制价作为评标基准价。</w:t>
      </w:r>
    </w:p>
    <w:p>
      <w:pPr>
        <w:keepNext w:val="0"/>
        <w:keepLines w:val="0"/>
        <w:pageBreakBefore w:val="0"/>
        <w:kinsoku/>
        <w:wordWrap/>
        <w:overflowPunct/>
        <w:topLinePunct w:val="0"/>
        <w:autoSpaceDE/>
        <w:autoSpaceDN/>
        <w:bidi w:val="0"/>
        <w:snapToGrid/>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b w:val="0"/>
          <w:bCs/>
          <w:spacing w:val="-4"/>
          <w:sz w:val="24"/>
          <w:szCs w:val="24"/>
          <w:highlight w:val="none"/>
        </w:rPr>
        <w:t>3.3.2</w:t>
      </w:r>
      <w:r>
        <w:rPr>
          <w:rFonts w:hint="eastAsia" w:ascii="宋体" w:hAnsi="宋体" w:eastAsia="宋体" w:cs="宋体"/>
          <w:b w:val="0"/>
          <w:bCs/>
          <w:spacing w:val="-4"/>
          <w:sz w:val="24"/>
          <w:szCs w:val="24"/>
          <w:highlight w:val="none"/>
          <w:lang w:val="en-US" w:eastAsia="zh-CN"/>
        </w:rPr>
        <w:t xml:space="preserve"> </w:t>
      </w:r>
      <w:r>
        <w:rPr>
          <w:rFonts w:hint="eastAsia" w:ascii="宋体" w:hAnsi="宋体" w:eastAsia="宋体" w:cs="宋体"/>
          <w:sz w:val="24"/>
          <w:szCs w:val="24"/>
          <w:highlight w:val="none"/>
        </w:rPr>
        <w:t>通过开标审查的投标单位多于5家的，评标基准价的确定由招标人在开标时通过随机抽签的方式从以下方案一和方案二中选取一种规定的方式确定评标基准价。</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方案一： </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评标基准价=投标最高限价×W%+算术平均值×0.97×（1-W%）</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其中：系数W确定办法：在开标会上从10——30中的数字随机抽取确定（用电脑操作时，由招标人代表在1.00——3.00之间抽取二个数的平均值乘以10为</w:t>
      </w:r>
      <w:r>
        <w:rPr>
          <w:rFonts w:hint="eastAsia" w:ascii="宋体" w:hAnsi="宋体" w:eastAsia="宋体" w:cs="宋体"/>
          <w:b/>
          <w:sz w:val="24"/>
          <w:szCs w:val="24"/>
          <w:highlight w:val="none"/>
        </w:rPr>
        <w:t>W</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W</w:t>
      </w:r>
      <w:r>
        <w:rPr>
          <w:rFonts w:hint="eastAsia" w:ascii="宋体" w:hAnsi="宋体" w:eastAsia="宋体" w:cs="宋体"/>
          <w:sz w:val="24"/>
          <w:szCs w:val="24"/>
          <w:highlight w:val="none"/>
        </w:rPr>
        <w:t>保留一位小数）。</w:t>
      </w:r>
    </w:p>
    <w:p>
      <w:pPr>
        <w:pStyle w:val="28"/>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方案二：</w:t>
      </w:r>
    </w:p>
    <w:p>
      <w:pPr>
        <w:pStyle w:val="28"/>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评标基准价=最高限价</w:t>
      </w:r>
      <w:r>
        <w:rPr>
          <w:rFonts w:hint="eastAsia" w:ascii="宋体" w:hAnsi="宋体" w:eastAsia="宋体" w:cs="宋体"/>
          <w:b/>
          <w:sz w:val="24"/>
          <w:szCs w:val="24"/>
          <w:highlight w:val="none"/>
        </w:rPr>
        <w:t>×（1-</w:t>
      </w:r>
      <w:r>
        <w:rPr>
          <w:rFonts w:hint="eastAsia" w:ascii="宋体" w:hAnsi="宋体" w:eastAsia="宋体" w:cs="宋体"/>
          <w:b/>
          <w:kern w:val="2"/>
          <w:sz w:val="24"/>
          <w:szCs w:val="24"/>
          <w:highlight w:val="none"/>
        </w:rPr>
        <w:t xml:space="preserve">K%） </w:t>
      </w:r>
    </w:p>
    <w:p>
      <w:pPr>
        <w:pStyle w:val="28"/>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其中：系数</w:t>
      </w:r>
      <w:r>
        <w:rPr>
          <w:rFonts w:hint="eastAsia" w:ascii="宋体" w:hAnsi="宋体" w:eastAsia="宋体" w:cs="宋体"/>
          <w:b/>
          <w:kern w:val="2"/>
          <w:sz w:val="24"/>
          <w:szCs w:val="24"/>
          <w:highlight w:val="none"/>
        </w:rPr>
        <w:t>K</w:t>
      </w:r>
      <w:r>
        <w:rPr>
          <w:rFonts w:hint="eastAsia" w:ascii="宋体" w:hAnsi="宋体" w:eastAsia="宋体" w:cs="宋体"/>
          <w:kern w:val="2"/>
          <w:sz w:val="24"/>
          <w:szCs w:val="24"/>
          <w:highlight w:val="none"/>
        </w:rPr>
        <w:t>的确定办法：</w:t>
      </w:r>
      <w:r>
        <w:rPr>
          <w:rFonts w:hint="eastAsia" w:ascii="宋体" w:hAnsi="宋体" w:eastAsia="宋体" w:cs="宋体"/>
          <w:b/>
          <w:kern w:val="2"/>
          <w:sz w:val="24"/>
          <w:szCs w:val="24"/>
          <w:highlight w:val="none"/>
        </w:rPr>
        <w:t>K</w:t>
      </w:r>
      <w:r>
        <w:rPr>
          <w:rFonts w:hint="eastAsia" w:ascii="宋体" w:hAnsi="宋体" w:eastAsia="宋体" w:cs="宋体"/>
          <w:kern w:val="2"/>
          <w:sz w:val="24"/>
          <w:szCs w:val="24"/>
          <w:highlight w:val="none"/>
        </w:rPr>
        <w:t>的浮动区间为3.00——A，并在开标会议上随机抽取确定</w:t>
      </w:r>
      <w:r>
        <w:rPr>
          <w:rFonts w:hint="eastAsia" w:ascii="宋体" w:hAnsi="宋体" w:eastAsia="宋体" w:cs="宋体"/>
          <w:sz w:val="24"/>
          <w:szCs w:val="24"/>
          <w:highlight w:val="none"/>
        </w:rPr>
        <w:t>（用电脑操作时，K值为招标人代表在3.00——A之间的数字中抽取二个数的平均值,并保留二位小数）；</w:t>
      </w:r>
    </w:p>
    <w:p>
      <w:pPr>
        <w:pStyle w:val="28"/>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其中A值按下列方法确定：</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 A值的计算公式为：A=［1- (算术平均值×0.97）/最高限价］×100（A值保留二位小数）</w:t>
      </w:r>
    </w:p>
    <w:p>
      <w:pPr>
        <w:pStyle w:val="28"/>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②如按上述第①款计算的A值大于13时，则取A=13.00。</w:t>
      </w:r>
    </w:p>
    <w:p>
      <w:pPr>
        <w:pStyle w:val="10"/>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3.4计算投标报价分,对投标人进行初步排名</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由招标人根据评标基准价，在开标会议上现场计算确定各投标人的投标报价分；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先赋予各甄别后的各投标人的投标报价初始分，各为100分，然后按各甄别后的投标报价与评标基准价进行比较，按下列几种情况分别计算，最终得出各投标人的投标报价分：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①当投标报价等于评标基准价的，不扣分，投标人的投标报价分为100分；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当投标报价高于或低于评标基准值时，投标报价每高于或低于评标基准值1%的，在投标人的投标报价初始分中扣4分；在计算该扣分时，当价差不足一个百分点时，使用直线插入法计算，保留两位小数；投标报价分的计算公式为：</w:t>
      </w:r>
    </w:p>
    <w:p>
      <w:pPr>
        <w:keepNext w:val="0"/>
        <w:keepLines w:val="0"/>
        <w:pageBreakBefore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投标报价分=100-投标偏差扣分值</w:t>
      </w:r>
    </w:p>
    <w:p>
      <w:pPr>
        <w:keepNext w:val="0"/>
        <w:keepLines w:val="0"/>
        <w:pageBreakBefore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其中：投标偏差扣分值=（投标报价－评标基准价）</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评标基准价</w:t>
      </w:r>
      <w:r>
        <w:rPr>
          <w:rFonts w:hint="eastAsia" w:ascii="宋体" w:hAnsi="宋体" w:eastAsia="宋体" w:cs="宋体"/>
          <w:b/>
          <w:sz w:val="24"/>
          <w:szCs w:val="24"/>
          <w:highlight w:val="none"/>
        </w:rPr>
        <w:t xml:space="preserve">÷1%×4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（上述公式计算后，取投标偏差扣分值为正数、并按四舍五入的规则保留二位小数）</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③当投标报价低于评标基准值15%及以上（即投标报价≤0.85×评标基准值）时，再加扣30分。</w:t>
      </w:r>
      <w:r>
        <w:rPr>
          <w:rFonts w:hint="eastAsia" w:ascii="宋体" w:hAnsi="宋体" w:eastAsia="宋体" w:cs="宋体"/>
          <w:sz w:val="24"/>
          <w:szCs w:val="24"/>
          <w:highlight w:val="none"/>
        </w:rPr>
        <w:t>投标报价分的计算公式为：</w:t>
      </w:r>
    </w:p>
    <w:p>
      <w:pPr>
        <w:keepNext w:val="0"/>
        <w:keepLines w:val="0"/>
        <w:pageBreakBefore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投标报价分=100-投标偏差扣分值-30</w:t>
      </w:r>
    </w:p>
    <w:p>
      <w:pPr>
        <w:keepNext w:val="0"/>
        <w:keepLines w:val="0"/>
        <w:pageBreakBefore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其中：投标偏差扣分值=（投标报价－评标基准价）</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评标基准价</w:t>
      </w:r>
      <w:r>
        <w:rPr>
          <w:rFonts w:hint="eastAsia" w:ascii="宋体" w:hAnsi="宋体" w:eastAsia="宋体" w:cs="宋体"/>
          <w:b/>
          <w:sz w:val="24"/>
          <w:szCs w:val="24"/>
          <w:highlight w:val="none"/>
        </w:rPr>
        <w:t xml:space="preserve">÷1%×4  </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（上述公式计算后，取投标偏差扣分值为正数、并按四舍五入的规则保留二位小数）</w:t>
      </w:r>
    </w:p>
    <w:p>
      <w:pPr>
        <w:keepNext w:val="0"/>
        <w:keepLines w:val="0"/>
        <w:pageBreakBefore w:val="0"/>
        <w:kinsoku/>
        <w:wordWrap/>
        <w:overflowPunct/>
        <w:topLinePunct w:val="0"/>
        <w:autoSpaceDE/>
        <w:autoSpaceDN/>
        <w:bidi w:val="0"/>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3.4.3 由招标人在开标现场根据投标报价分从高到低对甄别后的投标人进行初步排名，投标报价分相同时，以投标报价低者排名在前，</w:t>
      </w:r>
      <w:r>
        <w:rPr>
          <w:rFonts w:hint="eastAsia" w:ascii="宋体" w:hAnsi="宋体" w:eastAsia="宋体" w:cs="宋体"/>
          <w:bCs/>
          <w:sz w:val="24"/>
          <w:szCs w:val="24"/>
          <w:highlight w:val="none"/>
        </w:rPr>
        <w:t>投标报价相同时，由抽签决定排名先后。</w:t>
      </w:r>
    </w:p>
    <w:p>
      <w:pPr>
        <w:keepNext w:val="0"/>
        <w:keepLines w:val="0"/>
        <w:pageBreakBefore w:val="0"/>
        <w:kinsoku/>
        <w:wordWrap/>
        <w:overflowPunct/>
        <w:topLinePunct w:val="0"/>
        <w:autoSpaceDE/>
        <w:autoSpaceDN/>
        <w:bidi w:val="0"/>
        <w:snapToGrid/>
        <w:spacing w:line="360" w:lineRule="auto"/>
        <w:ind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不列入初步排名的投标人为：</w:t>
      </w:r>
    </w:p>
    <w:p>
      <w:pPr>
        <w:keepNext w:val="0"/>
        <w:keepLines w:val="0"/>
        <w:pageBreakBefore w:val="0"/>
        <w:kinsoku/>
        <w:wordWrap/>
        <w:overflowPunct/>
        <w:topLinePunct w:val="0"/>
        <w:autoSpaceDE/>
        <w:autoSpaceDN/>
        <w:bidi w:val="0"/>
        <w:snapToGrid/>
        <w:spacing w:line="360" w:lineRule="auto"/>
        <w:ind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①开标审查不合格的投标人或被本章第</w:t>
      </w:r>
      <w:r>
        <w:rPr>
          <w:rFonts w:hint="eastAsia" w:ascii="宋体" w:hAnsi="宋体" w:eastAsia="宋体" w:cs="宋体"/>
          <w:color w:val="auto"/>
          <w:sz w:val="24"/>
          <w:szCs w:val="24"/>
          <w:highlight w:val="none"/>
        </w:rPr>
        <w:t>3.2.1</w:t>
      </w:r>
      <w:r>
        <w:rPr>
          <w:rFonts w:hint="eastAsia" w:ascii="宋体" w:hAnsi="宋体" w:eastAsia="宋体" w:cs="宋体"/>
          <w:color w:val="000000"/>
          <w:sz w:val="24"/>
          <w:szCs w:val="24"/>
          <w:highlight w:val="none"/>
        </w:rPr>
        <w:t>款认定为异常报价的投标人。</w:t>
      </w:r>
    </w:p>
    <w:p>
      <w:pPr>
        <w:keepNext w:val="0"/>
        <w:keepLines w:val="0"/>
        <w:pageBreakBefore w:val="0"/>
        <w:kinsoku/>
        <w:wordWrap/>
        <w:overflowPunct/>
        <w:topLinePunct w:val="0"/>
        <w:autoSpaceDE/>
        <w:autoSpaceDN/>
        <w:bidi w:val="0"/>
        <w:snapToGrid/>
        <w:spacing w:line="360" w:lineRule="auto"/>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②</w:t>
      </w:r>
      <w:r>
        <w:rPr>
          <w:rFonts w:hint="eastAsia" w:ascii="宋体" w:hAnsi="宋体" w:eastAsia="宋体" w:cs="宋体"/>
          <w:color w:val="000000"/>
          <w:sz w:val="24"/>
          <w:szCs w:val="24"/>
          <w:highlight w:val="none"/>
          <w:lang w:eastAsia="zh-CN"/>
        </w:rPr>
        <w:t>未按</w:t>
      </w:r>
      <w:r>
        <w:rPr>
          <w:rFonts w:hint="eastAsia" w:ascii="宋体" w:hAnsi="宋体" w:eastAsia="宋体" w:cs="宋体"/>
          <w:color w:val="000000"/>
          <w:sz w:val="24"/>
          <w:szCs w:val="24"/>
          <w:highlight w:val="none"/>
        </w:rPr>
        <w:t>投标人须知第4.1条进行密封和标记的</w:t>
      </w:r>
      <w:r>
        <w:rPr>
          <w:rFonts w:hint="eastAsia" w:ascii="宋体" w:hAnsi="宋体" w:eastAsia="宋体" w:cs="宋体"/>
          <w:color w:val="000000"/>
          <w:sz w:val="24"/>
          <w:szCs w:val="24"/>
          <w:highlight w:val="none"/>
          <w:lang w:eastAsia="zh-CN"/>
        </w:rPr>
        <w:t>。</w:t>
      </w:r>
    </w:p>
    <w:p>
      <w:pPr>
        <w:pStyle w:val="10"/>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3.5进入后续评审投标文件的确定</w:t>
      </w:r>
    </w:p>
    <w:p>
      <w:pPr>
        <w:keepNext w:val="0"/>
        <w:keepLines w:val="0"/>
        <w:pageBreakBefore w:val="0"/>
        <w:kinsoku/>
        <w:wordWrap/>
        <w:overflowPunct/>
        <w:topLinePunct w:val="0"/>
        <w:autoSpaceDE/>
        <w:autoSpaceDN/>
        <w:bidi w:val="0"/>
        <w:snapToGrid/>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由招标人对初步排名在前5名(少于5名时，取全部</w:t>
      </w:r>
      <w:r>
        <w:rPr>
          <w:rFonts w:hint="eastAsia" w:ascii="宋体" w:hAnsi="宋体" w:eastAsia="宋体" w:cs="宋体"/>
          <w:color w:val="000000"/>
          <w:sz w:val="24"/>
          <w:szCs w:val="24"/>
          <w:highlight w:val="none"/>
        </w:rPr>
        <w:t>列入初步排名的投标人</w:t>
      </w:r>
      <w:r>
        <w:rPr>
          <w:rFonts w:hint="eastAsia" w:ascii="宋体" w:hAnsi="宋体" w:eastAsia="宋体" w:cs="宋体"/>
          <w:sz w:val="24"/>
          <w:szCs w:val="24"/>
          <w:highlight w:val="none"/>
        </w:rPr>
        <w:t>）投标文件送入评标室进行后续评标（后续出现任何情况都不再送入投标文件进入评标室）。</w:t>
      </w:r>
    </w:p>
    <w:p>
      <w:pPr>
        <w:pStyle w:val="10"/>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3.6符合性评审</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由评标小组对进入后续评审的投标人投标文件进行符合性评审。符合性评审分为：1 形式评审标准（标准见本章第2.1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条）；2 资格评审</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（标准见本章第2.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2条）；</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响应性</w:t>
      </w:r>
      <w:r>
        <w:rPr>
          <w:rFonts w:hint="eastAsia" w:ascii="宋体" w:hAnsi="宋体" w:eastAsia="宋体" w:cs="宋体"/>
          <w:sz w:val="24"/>
          <w:szCs w:val="24"/>
          <w:highlight w:val="none"/>
        </w:rPr>
        <w:t>评审</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（标准见本章第2.</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 xml:space="preserve">条） </w:t>
      </w:r>
    </w:p>
    <w:p>
      <w:pPr>
        <w:pStyle w:val="10"/>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3.7评标报告.推荐中标候选人</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3.7.1</w:t>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符合性评审完成后,评标小组对有效投标文件按其投标报价分由高到低进行排序,并推荐中标候选人和备选中标候选人，排序第一名的为中标候选人，其余有效投标人为备选中标候选人。</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Cs/>
          <w:color w:val="000000"/>
          <w:kern w:val="0"/>
          <w:sz w:val="24"/>
          <w:szCs w:val="24"/>
          <w:highlight w:val="none"/>
        </w:rPr>
        <w:t>3.7.2</w:t>
      </w:r>
      <w:r>
        <w:rPr>
          <w:rFonts w:hint="eastAsia" w:ascii="宋体" w:hAnsi="宋体" w:eastAsia="宋体" w:cs="宋体"/>
          <w:bCs/>
          <w:color w:val="000000"/>
          <w:kern w:val="0"/>
          <w:sz w:val="24"/>
          <w:szCs w:val="24"/>
          <w:highlight w:val="none"/>
          <w:lang w:val="en-US" w:eastAsia="zh-CN"/>
        </w:rPr>
        <w:t xml:space="preserve"> </w:t>
      </w:r>
      <w:r>
        <w:rPr>
          <w:rFonts w:hint="eastAsia" w:ascii="宋体" w:hAnsi="宋体" w:eastAsia="宋体" w:cs="宋体"/>
          <w:bCs/>
          <w:color w:val="000000"/>
          <w:kern w:val="0"/>
          <w:sz w:val="24"/>
          <w:szCs w:val="24"/>
          <w:highlight w:val="none"/>
        </w:rPr>
        <w:t>评标报告</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Cs/>
          <w:color w:val="000000"/>
          <w:kern w:val="0"/>
          <w:sz w:val="24"/>
          <w:szCs w:val="24"/>
          <w:highlight w:val="none"/>
        </w:rPr>
        <w:t>评标小组应根据评标情况和结果，向招标人提交评标报告。评标小组全体成员应在评标报告上签字确认。</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Cs/>
          <w:color w:val="000000"/>
          <w:kern w:val="0"/>
          <w:sz w:val="24"/>
          <w:szCs w:val="24"/>
          <w:highlight w:val="none"/>
        </w:rPr>
        <w:t>3.7.3</w:t>
      </w:r>
      <w:r>
        <w:rPr>
          <w:rFonts w:hint="eastAsia" w:ascii="宋体" w:hAnsi="宋体" w:eastAsia="宋体" w:cs="宋体"/>
          <w:bCs/>
          <w:color w:val="000000"/>
          <w:kern w:val="0"/>
          <w:sz w:val="24"/>
          <w:szCs w:val="24"/>
          <w:highlight w:val="none"/>
          <w:lang w:val="en-US" w:eastAsia="zh-CN"/>
        </w:rPr>
        <w:t xml:space="preserve"> </w:t>
      </w:r>
      <w:r>
        <w:rPr>
          <w:rFonts w:hint="eastAsia" w:ascii="宋体" w:hAnsi="宋体" w:eastAsia="宋体" w:cs="宋体"/>
          <w:bCs/>
          <w:color w:val="000000"/>
          <w:kern w:val="0"/>
          <w:sz w:val="24"/>
          <w:szCs w:val="24"/>
          <w:highlight w:val="none"/>
        </w:rPr>
        <w:t>评标报告应包括以下内容：</w:t>
      </w:r>
    </w:p>
    <w:p>
      <w:pPr>
        <w:keepNext w:val="0"/>
        <w:keepLines w:val="0"/>
        <w:pageBreakBefore w:val="0"/>
        <w:widowControl/>
        <w:kinsoku/>
        <w:wordWrap/>
        <w:overflowPunct/>
        <w:topLinePunct w:val="0"/>
        <w:autoSpaceDE/>
        <w:autoSpaceDN/>
        <w:bidi w:val="0"/>
        <w:snapToGrid/>
        <w:spacing w:line="360" w:lineRule="auto"/>
        <w:ind w:firstLine="240" w:firstLineChars="1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Cs/>
          <w:color w:val="000000"/>
          <w:kern w:val="0"/>
          <w:sz w:val="24"/>
          <w:szCs w:val="24"/>
          <w:highlight w:val="none"/>
        </w:rPr>
        <w:t>（1）开标记录；</w:t>
      </w:r>
    </w:p>
    <w:p>
      <w:pPr>
        <w:keepNext w:val="0"/>
        <w:keepLines w:val="0"/>
        <w:pageBreakBefore w:val="0"/>
        <w:widowControl/>
        <w:kinsoku/>
        <w:wordWrap/>
        <w:overflowPunct/>
        <w:topLinePunct w:val="0"/>
        <w:autoSpaceDE/>
        <w:autoSpaceDN/>
        <w:bidi w:val="0"/>
        <w:snapToGrid/>
        <w:spacing w:line="360" w:lineRule="auto"/>
        <w:ind w:firstLine="240" w:firstLineChars="1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Cs/>
          <w:color w:val="000000"/>
          <w:kern w:val="0"/>
          <w:sz w:val="24"/>
          <w:szCs w:val="24"/>
          <w:highlight w:val="none"/>
        </w:rPr>
        <w:t>（2）评标内容、过程和结果；</w:t>
      </w:r>
    </w:p>
    <w:p>
      <w:pPr>
        <w:keepNext w:val="0"/>
        <w:keepLines w:val="0"/>
        <w:pageBreakBefore w:val="0"/>
        <w:widowControl/>
        <w:kinsoku/>
        <w:wordWrap/>
        <w:overflowPunct/>
        <w:topLinePunct w:val="0"/>
        <w:autoSpaceDE/>
        <w:autoSpaceDN/>
        <w:bidi w:val="0"/>
        <w:snapToGrid/>
        <w:spacing w:line="360" w:lineRule="auto"/>
        <w:ind w:firstLine="240" w:firstLineChars="1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Cs/>
          <w:color w:val="000000"/>
          <w:kern w:val="0"/>
          <w:sz w:val="24"/>
          <w:szCs w:val="24"/>
          <w:highlight w:val="none"/>
        </w:rPr>
        <w:t>（3）废标情况说明及依据；</w:t>
      </w:r>
    </w:p>
    <w:p>
      <w:pPr>
        <w:keepNext w:val="0"/>
        <w:keepLines w:val="0"/>
        <w:pageBreakBefore w:val="0"/>
        <w:widowControl/>
        <w:kinsoku/>
        <w:wordWrap/>
        <w:overflowPunct/>
        <w:topLinePunct w:val="0"/>
        <w:autoSpaceDE/>
        <w:autoSpaceDN/>
        <w:bidi w:val="0"/>
        <w:snapToGrid/>
        <w:spacing w:line="360" w:lineRule="auto"/>
        <w:ind w:firstLine="240" w:firstLineChars="1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Cs/>
          <w:color w:val="000000"/>
          <w:kern w:val="0"/>
          <w:sz w:val="24"/>
          <w:szCs w:val="24"/>
          <w:highlight w:val="none"/>
        </w:rPr>
        <w:t>（4）询标澄清纪要；</w:t>
      </w:r>
    </w:p>
    <w:p>
      <w:pPr>
        <w:keepNext w:val="0"/>
        <w:keepLines w:val="0"/>
        <w:pageBreakBefore w:val="0"/>
        <w:widowControl/>
        <w:kinsoku/>
        <w:wordWrap/>
        <w:overflowPunct/>
        <w:topLinePunct w:val="0"/>
        <w:autoSpaceDE/>
        <w:autoSpaceDN/>
        <w:bidi w:val="0"/>
        <w:snapToGrid/>
        <w:spacing w:line="360" w:lineRule="auto"/>
        <w:ind w:firstLine="240" w:firstLineChars="1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Cs/>
          <w:color w:val="000000"/>
          <w:kern w:val="0"/>
          <w:sz w:val="24"/>
          <w:szCs w:val="24"/>
          <w:highlight w:val="none"/>
        </w:rPr>
        <w:t>（5）中标侯选人的优劣对比和存在问题；</w:t>
      </w:r>
    </w:p>
    <w:p>
      <w:pPr>
        <w:keepNext w:val="0"/>
        <w:keepLines w:val="0"/>
        <w:pageBreakBefore w:val="0"/>
        <w:widowControl/>
        <w:kinsoku/>
        <w:wordWrap/>
        <w:overflowPunct/>
        <w:topLinePunct w:val="0"/>
        <w:autoSpaceDE/>
        <w:autoSpaceDN/>
        <w:bidi w:val="0"/>
        <w:snapToGrid/>
        <w:spacing w:line="360" w:lineRule="auto"/>
        <w:ind w:firstLine="240" w:firstLineChars="100"/>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（6）其他建议。</w:t>
      </w:r>
    </w:p>
    <w:p>
      <w:pPr>
        <w:pStyle w:val="10"/>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3.8进入评标室的有效投标人不足3个时的处理</w:t>
      </w:r>
    </w:p>
    <w:p>
      <w:pPr>
        <w:pStyle w:val="10"/>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3.8.1</w:t>
      </w:r>
      <w:r>
        <w:rPr>
          <w:rFonts w:hint="eastAsia" w:hAnsi="宋体" w:eastAsia="宋体" w:cs="宋体"/>
          <w:sz w:val="24"/>
          <w:szCs w:val="24"/>
          <w:highlight w:val="none"/>
          <w:lang w:val="en-US" w:eastAsia="zh-CN"/>
        </w:rPr>
        <w:t xml:space="preserve"> </w:t>
      </w:r>
      <w:r>
        <w:rPr>
          <w:rFonts w:hint="eastAsia" w:ascii="宋体" w:hAnsi="宋体" w:eastAsia="宋体" w:cs="宋体"/>
          <w:sz w:val="24"/>
          <w:szCs w:val="24"/>
          <w:highlight w:val="none"/>
        </w:rPr>
        <w:t>后续评标时，如有效投标人为0时，招标人应当重新组织招标。</w:t>
      </w:r>
    </w:p>
    <w:p>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Cs/>
          <w:kern w:val="0"/>
          <w:sz w:val="24"/>
          <w:szCs w:val="24"/>
          <w:highlight w:val="none"/>
        </w:rPr>
      </w:pPr>
      <w:r>
        <w:rPr>
          <w:rFonts w:hint="eastAsia" w:ascii="宋体" w:hAnsi="宋体" w:eastAsia="宋体" w:cs="宋体"/>
          <w:sz w:val="24"/>
          <w:szCs w:val="24"/>
          <w:highlight w:val="none"/>
        </w:rPr>
        <w:t>3.8.2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如有效投标人有二名的，以投标报价低者确定为中标候选人；如有效投标人只有一名的，则确定其为中标候选人</w:t>
      </w:r>
      <w:r>
        <w:rPr>
          <w:rFonts w:hint="eastAsia" w:ascii="宋体" w:hAnsi="宋体" w:eastAsia="宋体" w:cs="宋体"/>
          <w:bCs/>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
    <w:p/>
    <w:p/>
    <w:p/>
    <w:p/>
    <w:p/>
    <w:p/>
    <w:p/>
    <w:p>
      <w:pPr>
        <w:spacing w:line="320" w:lineRule="exact"/>
        <w:jc w:val="center"/>
        <w:rPr>
          <w:b/>
          <w:sz w:val="30"/>
          <w:szCs w:val="30"/>
        </w:rPr>
        <w:sectPr>
          <w:footerReference r:id="rId6" w:type="default"/>
          <w:pgSz w:w="11906" w:h="16838"/>
          <w:pgMar w:top="1157" w:right="1349" w:bottom="1157" w:left="1349" w:header="851" w:footer="992" w:gutter="0"/>
          <w:pgNumType w:fmt="numberInDash"/>
          <w:cols w:space="425" w:num="1"/>
          <w:docGrid w:type="lines" w:linePitch="312" w:charSpace="0"/>
        </w:sectPr>
      </w:pPr>
    </w:p>
    <w:p>
      <w:pPr>
        <w:keepNext/>
        <w:keepLines/>
        <w:spacing w:line="360" w:lineRule="auto"/>
        <w:jc w:val="center"/>
        <w:outlineLvl w:val="0"/>
        <w:rPr>
          <w:rFonts w:ascii="Times New Roman" w:hAnsi="Times New Roman"/>
          <w:b/>
          <w:bCs/>
          <w:color w:val="auto"/>
          <w:kern w:val="44"/>
          <w:sz w:val="32"/>
          <w:szCs w:val="44"/>
        </w:rPr>
      </w:pPr>
      <w:bookmarkStart w:id="17" w:name="_Toc363024094"/>
      <w:r>
        <w:rPr>
          <w:rFonts w:hint="eastAsia" w:ascii="Times New Roman" w:hAnsi="Times New Roman"/>
          <w:b/>
          <w:bCs/>
          <w:color w:val="auto"/>
          <w:kern w:val="44"/>
          <w:sz w:val="32"/>
          <w:szCs w:val="44"/>
        </w:rPr>
        <w:t>第四章  合同条款及格式</w:t>
      </w:r>
      <w:bookmarkEnd w:id="17"/>
    </w:p>
    <w:p>
      <w:pPr>
        <w:pStyle w:val="4"/>
        <w:jc w:val="center"/>
        <w:rPr>
          <w:color w:val="auto"/>
        </w:rPr>
      </w:pPr>
      <w:bookmarkStart w:id="18" w:name="_Toc363024095"/>
      <w:r>
        <w:rPr>
          <w:color w:val="auto"/>
        </w:rPr>
        <w:t>第一</w:t>
      </w:r>
      <w:r>
        <w:rPr>
          <w:rFonts w:hint="eastAsia"/>
          <w:color w:val="auto"/>
        </w:rPr>
        <w:t>节</w:t>
      </w:r>
      <w:r>
        <w:rPr>
          <w:color w:val="auto"/>
        </w:rPr>
        <w:t xml:space="preserve"> 合同协议书</w:t>
      </w:r>
      <w:bookmarkEnd w:id="18"/>
    </w:p>
    <w:p>
      <w:pPr>
        <w:ind w:firstLine="1343" w:firstLineChars="637"/>
        <w:jc w:val="left"/>
        <w:rPr>
          <w:rFonts w:hint="eastAsia" w:ascii="宋体" w:hAnsi="宋体"/>
          <w:bCs/>
          <w:color w:val="auto"/>
          <w:sz w:val="24"/>
        </w:rPr>
      </w:pPr>
      <w:r>
        <w:rPr>
          <w:rFonts w:hint="eastAsia"/>
          <w:b/>
          <w:bCs/>
          <w:color w:val="auto"/>
          <w:szCs w:val="21"/>
        </w:rPr>
        <w:t>按《</w:t>
      </w:r>
      <w:r>
        <w:rPr>
          <w:b/>
          <w:bCs/>
          <w:color w:val="auto"/>
          <w:szCs w:val="21"/>
        </w:rPr>
        <w:t>建设工程施工合同（示范文本）</w:t>
      </w:r>
      <w:r>
        <w:rPr>
          <w:rFonts w:hint="eastAsia"/>
          <w:b/>
          <w:bCs/>
          <w:color w:val="auto"/>
          <w:szCs w:val="21"/>
        </w:rPr>
        <w:t>》</w:t>
      </w:r>
      <w:r>
        <w:rPr>
          <w:b/>
          <w:bCs/>
          <w:color w:val="auto"/>
          <w:szCs w:val="21"/>
        </w:rPr>
        <w:t>（GF—201</w:t>
      </w:r>
      <w:r>
        <w:rPr>
          <w:rFonts w:hint="eastAsia"/>
          <w:color w:val="auto"/>
        </w:rPr>
        <w:t>7</w:t>
      </w:r>
      <w:r>
        <w:rPr>
          <w:b/>
          <w:bCs/>
          <w:color w:val="auto"/>
          <w:szCs w:val="21"/>
        </w:rPr>
        <w:t>—</w:t>
      </w:r>
      <w:r>
        <w:rPr>
          <w:rFonts w:hint="eastAsia"/>
          <w:b/>
          <w:bCs/>
          <w:color w:val="auto"/>
          <w:szCs w:val="21"/>
        </w:rPr>
        <w:t>0201）第一部分执行。</w:t>
      </w:r>
    </w:p>
    <w:p>
      <w:pPr>
        <w:pStyle w:val="4"/>
        <w:tabs>
          <w:tab w:val="center" w:pos="4819"/>
          <w:tab w:val="left" w:pos="6720"/>
        </w:tabs>
        <w:jc w:val="center"/>
        <w:rPr>
          <w:color w:val="auto"/>
        </w:rPr>
      </w:pPr>
      <w:bookmarkStart w:id="19" w:name="_Toc363024096"/>
      <w:r>
        <w:rPr>
          <w:rFonts w:hint="eastAsia"/>
          <w:color w:val="auto"/>
        </w:rPr>
        <w:t>第二节 通用合同条款</w:t>
      </w:r>
      <w:bookmarkEnd w:id="19"/>
    </w:p>
    <w:p>
      <w:pPr>
        <w:ind w:firstLine="1343" w:firstLineChars="637"/>
        <w:jc w:val="left"/>
        <w:rPr>
          <w:rFonts w:ascii="宋体" w:hAnsi="宋体"/>
          <w:color w:val="auto"/>
          <w:szCs w:val="21"/>
        </w:rPr>
      </w:pPr>
      <w:r>
        <w:rPr>
          <w:rFonts w:hint="eastAsia"/>
          <w:b/>
          <w:bCs/>
          <w:color w:val="auto"/>
          <w:szCs w:val="21"/>
        </w:rPr>
        <w:t xml:space="preserve">  按《</w:t>
      </w:r>
      <w:r>
        <w:rPr>
          <w:b/>
          <w:bCs/>
          <w:color w:val="auto"/>
          <w:szCs w:val="21"/>
        </w:rPr>
        <w:t>建设工程施工合同（示范文本）</w:t>
      </w:r>
      <w:r>
        <w:rPr>
          <w:rFonts w:hint="eastAsia"/>
          <w:b/>
          <w:bCs/>
          <w:color w:val="auto"/>
          <w:szCs w:val="21"/>
        </w:rPr>
        <w:t>》</w:t>
      </w:r>
      <w:r>
        <w:rPr>
          <w:b/>
          <w:bCs/>
          <w:color w:val="auto"/>
          <w:szCs w:val="21"/>
        </w:rPr>
        <w:t>（GF—201</w:t>
      </w:r>
      <w:r>
        <w:rPr>
          <w:rFonts w:hint="eastAsia"/>
          <w:color w:val="auto"/>
        </w:rPr>
        <w:t>7</w:t>
      </w:r>
      <w:r>
        <w:rPr>
          <w:b/>
          <w:bCs/>
          <w:color w:val="auto"/>
          <w:szCs w:val="21"/>
        </w:rPr>
        <w:t>—</w:t>
      </w:r>
      <w:r>
        <w:rPr>
          <w:rFonts w:hint="eastAsia"/>
          <w:b/>
          <w:bCs/>
          <w:color w:val="auto"/>
          <w:szCs w:val="21"/>
        </w:rPr>
        <w:t>0201）第二部分执行。</w:t>
      </w:r>
    </w:p>
    <w:p>
      <w:pPr>
        <w:pStyle w:val="4"/>
        <w:tabs>
          <w:tab w:val="center" w:pos="4819"/>
          <w:tab w:val="left" w:pos="6720"/>
        </w:tabs>
        <w:jc w:val="center"/>
        <w:rPr>
          <w:color w:val="auto"/>
        </w:rPr>
      </w:pPr>
      <w:bookmarkStart w:id="20" w:name="_Toc257732535"/>
      <w:bookmarkStart w:id="21" w:name="_Toc263924463"/>
      <w:bookmarkStart w:id="22" w:name="_Toc363024097"/>
      <w:r>
        <w:rPr>
          <w:rFonts w:hint="eastAsia"/>
          <w:color w:val="auto"/>
        </w:rPr>
        <w:t>第三节 专用合同条款</w:t>
      </w:r>
      <w:bookmarkEnd w:id="20"/>
      <w:bookmarkEnd w:id="21"/>
      <w:bookmarkEnd w:id="22"/>
    </w:p>
    <w:p>
      <w:pPr>
        <w:ind w:firstLine="207" w:firstLineChars="98"/>
        <w:rPr>
          <w:b/>
          <w:bCs/>
          <w:color w:val="auto"/>
          <w:szCs w:val="21"/>
        </w:rPr>
      </w:pPr>
      <w:r>
        <w:rPr>
          <w:rFonts w:hint="eastAsia"/>
          <w:b/>
          <w:bCs/>
          <w:color w:val="auto"/>
          <w:szCs w:val="21"/>
        </w:rPr>
        <w:t>只列主要条款，其它条款按</w:t>
      </w:r>
      <w:r>
        <w:rPr>
          <w:b/>
          <w:bCs/>
          <w:color w:val="auto"/>
          <w:szCs w:val="21"/>
        </w:rPr>
        <w:t>建设工程施工合同（示范文本）</w:t>
      </w:r>
      <w:r>
        <w:rPr>
          <w:rFonts w:hint="eastAsia"/>
          <w:b/>
          <w:bCs/>
          <w:color w:val="auto"/>
          <w:szCs w:val="21"/>
        </w:rPr>
        <w:t>》</w:t>
      </w:r>
      <w:r>
        <w:rPr>
          <w:b/>
          <w:bCs/>
          <w:color w:val="auto"/>
          <w:szCs w:val="21"/>
        </w:rPr>
        <w:t>（GF—201</w:t>
      </w:r>
      <w:r>
        <w:rPr>
          <w:rFonts w:hint="eastAsia"/>
          <w:color w:val="auto"/>
        </w:rPr>
        <w:t>7</w:t>
      </w:r>
      <w:r>
        <w:rPr>
          <w:b/>
          <w:bCs/>
          <w:color w:val="auto"/>
          <w:szCs w:val="21"/>
        </w:rPr>
        <w:t>—</w:t>
      </w:r>
      <w:r>
        <w:rPr>
          <w:rFonts w:hint="eastAsia"/>
          <w:b/>
          <w:bCs/>
          <w:color w:val="auto"/>
          <w:szCs w:val="21"/>
        </w:rPr>
        <w:t>0201）第三部分执行</w:t>
      </w:r>
    </w:p>
    <w:p>
      <w:pPr>
        <w:rPr>
          <w:b/>
          <w:bCs/>
          <w:color w:val="auto"/>
          <w:szCs w:val="21"/>
        </w:rPr>
      </w:pPr>
      <w:r>
        <w:rPr>
          <w:rFonts w:hint="eastAsia"/>
          <w:b/>
          <w:bCs/>
          <w:color w:val="auto"/>
          <w:szCs w:val="21"/>
        </w:rPr>
        <w:t xml:space="preserve">  </w:t>
      </w:r>
    </w:p>
    <w:p>
      <w:pPr>
        <w:spacing w:after="120" w:line="360" w:lineRule="auto"/>
        <w:ind w:firstLine="422" w:firstLineChars="200"/>
        <w:rPr>
          <w:b/>
          <w:color w:val="auto"/>
        </w:rPr>
      </w:pPr>
      <w:r>
        <w:rPr>
          <w:b/>
          <w:color w:val="auto"/>
        </w:rPr>
        <w:t>1.5 合同文件的优先顺序</w:t>
      </w:r>
    </w:p>
    <w:p>
      <w:pPr>
        <w:spacing w:line="360" w:lineRule="auto"/>
        <w:ind w:firstLine="420" w:firstLineChars="200"/>
        <w:rPr>
          <w:rFonts w:eastAsia="仿宋_GB2312"/>
          <w:color w:val="auto"/>
          <w:szCs w:val="21"/>
        </w:rPr>
      </w:pPr>
      <w:r>
        <w:rPr>
          <w:rFonts w:eastAsia="仿宋_GB2312"/>
          <w:color w:val="auto"/>
          <w:szCs w:val="21"/>
        </w:rPr>
        <w:t>合同文件组成及优先顺序为：</w:t>
      </w:r>
      <w:r>
        <w:rPr>
          <w:rFonts w:ascii="宋体" w:hAnsi="宋体"/>
          <w:color w:val="auto"/>
          <w:szCs w:val="21"/>
          <w:u w:val="single"/>
        </w:rPr>
        <w:t></w:t>
      </w:r>
      <w:r>
        <w:rPr>
          <w:rFonts w:hint="eastAsia" w:eastAsia="仿宋_GB2312"/>
          <w:color w:val="auto"/>
          <w:szCs w:val="21"/>
          <w:u w:val="single"/>
        </w:rPr>
        <w:t>按通用条款</w:t>
      </w:r>
      <w:r>
        <w:rPr>
          <w:rFonts w:ascii="宋体" w:hAnsi="宋体"/>
          <w:color w:val="auto"/>
          <w:szCs w:val="21"/>
          <w:u w:val="single"/>
        </w:rPr>
        <w:t xml:space="preserve">  </w:t>
      </w:r>
      <w:r>
        <w:rPr>
          <w:rFonts w:eastAsia="仿宋_GB2312"/>
          <w:color w:val="auto"/>
          <w:szCs w:val="21"/>
        </w:rPr>
        <w:t>。</w:t>
      </w:r>
    </w:p>
    <w:p>
      <w:pPr>
        <w:spacing w:line="360" w:lineRule="auto"/>
        <w:ind w:firstLine="422" w:firstLineChars="200"/>
        <w:rPr>
          <w:b/>
          <w:color w:val="auto"/>
        </w:rPr>
      </w:pPr>
      <w:r>
        <w:rPr>
          <w:b/>
          <w:color w:val="auto"/>
        </w:rPr>
        <w:t>1.6.5 现场图纸准备</w:t>
      </w:r>
    </w:p>
    <w:p>
      <w:pPr>
        <w:spacing w:line="360" w:lineRule="auto"/>
        <w:ind w:left="105" w:leftChars="50" w:firstLine="315" w:firstLineChars="150"/>
        <w:rPr>
          <w:rFonts w:eastAsia="仿宋_GB2312"/>
          <w:color w:val="auto"/>
          <w:sz w:val="30"/>
          <w:szCs w:val="32"/>
        </w:rPr>
      </w:pPr>
      <w:r>
        <w:rPr>
          <w:rFonts w:eastAsia="仿宋_GB2312"/>
          <w:color w:val="auto"/>
          <w:szCs w:val="21"/>
        </w:rPr>
        <w:t>关于现场图纸准备的约定：</w:t>
      </w:r>
      <w:r>
        <w:rPr>
          <w:rFonts w:hint="eastAsia" w:eastAsia="仿宋_GB2312"/>
          <w:color w:val="auto"/>
          <w:szCs w:val="21"/>
          <w:u w:val="single"/>
        </w:rPr>
        <w:t>开工前</w:t>
      </w:r>
      <w:r>
        <w:rPr>
          <w:rFonts w:eastAsia="仿宋_GB2312"/>
          <w:color w:val="auto"/>
          <w:szCs w:val="21"/>
          <w:u w:val="single"/>
        </w:rPr>
        <w:t>7</w:t>
      </w:r>
      <w:r>
        <w:rPr>
          <w:rFonts w:hint="eastAsia" w:eastAsia="仿宋_GB2312"/>
          <w:color w:val="auto"/>
          <w:szCs w:val="21"/>
          <w:u w:val="single"/>
        </w:rPr>
        <w:t>天，提供图纸</w:t>
      </w:r>
      <w:r>
        <w:rPr>
          <w:rFonts w:eastAsia="仿宋_GB2312"/>
          <w:color w:val="auto"/>
          <w:szCs w:val="21"/>
          <w:u w:val="single"/>
        </w:rPr>
        <w:t>4</w:t>
      </w:r>
      <w:r>
        <w:rPr>
          <w:rFonts w:hint="eastAsia" w:eastAsia="仿宋_GB2312"/>
          <w:color w:val="auto"/>
          <w:szCs w:val="21"/>
          <w:u w:val="single"/>
        </w:rPr>
        <w:t>套，如需加晒费用由承包人自理</w:t>
      </w:r>
      <w:r>
        <w:rPr>
          <w:rFonts w:eastAsia="仿宋_GB2312"/>
          <w:color w:val="auto"/>
          <w:sz w:val="30"/>
          <w:szCs w:val="32"/>
        </w:rPr>
        <w:t>。</w:t>
      </w:r>
    </w:p>
    <w:p>
      <w:pPr>
        <w:spacing w:after="120" w:line="360" w:lineRule="auto"/>
        <w:ind w:firstLine="422" w:firstLineChars="200"/>
        <w:rPr>
          <w:b/>
          <w:color w:val="auto"/>
        </w:rPr>
      </w:pPr>
      <w:r>
        <w:rPr>
          <w:b/>
          <w:color w:val="auto"/>
        </w:rPr>
        <w:t>1.13工程量清单错误的修正</w:t>
      </w:r>
    </w:p>
    <w:p>
      <w:pPr>
        <w:spacing w:line="360" w:lineRule="auto"/>
        <w:ind w:firstLine="420" w:firstLineChars="200"/>
        <w:rPr>
          <w:rFonts w:eastAsia="仿宋_GB2312"/>
          <w:color w:val="auto"/>
          <w:szCs w:val="21"/>
        </w:rPr>
      </w:pPr>
      <w:r>
        <w:rPr>
          <w:rFonts w:hint="eastAsia" w:eastAsia="仿宋_GB2312"/>
          <w:color w:val="auto"/>
          <w:szCs w:val="21"/>
        </w:rPr>
        <w:t>出现工程量清单错误时，是否调整合同价格：</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 xml:space="preserve">    是              </w:t>
      </w:r>
      <w:r>
        <w:rPr>
          <w:rFonts w:eastAsia="仿宋_GB2312"/>
          <w:color w:val="auto"/>
          <w:szCs w:val="21"/>
          <w:u w:val="single"/>
        </w:rPr>
        <w:t xml:space="preserve">  </w:t>
      </w:r>
      <w:r>
        <w:rPr>
          <w:rFonts w:eastAsia="仿宋_GB2312"/>
          <w:color w:val="auto"/>
          <w:kern w:val="0"/>
          <w:szCs w:val="21"/>
        </w:rPr>
        <w:t>。</w:t>
      </w:r>
    </w:p>
    <w:p>
      <w:pPr>
        <w:spacing w:line="360" w:lineRule="auto"/>
        <w:ind w:firstLine="420" w:firstLineChars="200"/>
        <w:rPr>
          <w:rFonts w:eastAsia="仿宋_GB2312"/>
          <w:color w:val="auto"/>
          <w:szCs w:val="21"/>
          <w:u w:val="single"/>
        </w:rPr>
      </w:pPr>
      <w:r>
        <w:rPr>
          <w:rFonts w:eastAsia="仿宋_GB2312"/>
          <w:color w:val="auto"/>
          <w:szCs w:val="21"/>
        </w:rPr>
        <w:t>允许调整合同价格的工程量偏差范围：</w:t>
      </w:r>
      <w:r>
        <w:rPr>
          <w:rFonts w:ascii="宋体" w:hAnsi="宋体"/>
          <w:color w:val="auto"/>
          <w:szCs w:val="21"/>
          <w:u w:val="single"/>
        </w:rPr>
        <w:t></w:t>
      </w:r>
      <w:r>
        <w:rPr>
          <w:rFonts w:hint="eastAsia" w:eastAsia="仿宋_GB2312"/>
          <w:color w:val="auto"/>
          <w:szCs w:val="21"/>
          <w:u w:val="single"/>
        </w:rPr>
        <w:t>该项合价金额占合同总价2%及以上的分部分项清单项目，其工程量增加或减少超过本项工程数量15%及以上时，或合价金额占合同总价不到2%的分部分项清单项目，但其工程量增加或减少超过本项目工程数量25%及以上时，其增加部分工程量或减少后剩余部分工程量的相应单价由承包人按照专用合同条款12.1.1原则重新组价，经发包人审定后，作为结算的依据。其中“其增加部分工程量”指的是超过本项工程数量115%或125%的工程量。如：某超合价金额占合同总价2%及以上的分部分项清单项目增加部分工程量超过本项工程数量118%，则可重新组价的工程数量为3%</w:t>
      </w:r>
      <w:r>
        <w:rPr>
          <w:rFonts w:hint="eastAsia" w:eastAsia="仿宋_GB2312"/>
          <w:color w:val="auto"/>
          <w:szCs w:val="21"/>
          <w:u w:val="single"/>
          <w:lang w:val="en-US" w:eastAsia="zh-CN"/>
        </w:rPr>
        <w:t xml:space="preserve"> </w:t>
      </w:r>
      <w:r>
        <w:rPr>
          <w:rFonts w:eastAsia="仿宋_GB2312"/>
          <w:color w:val="auto"/>
          <w:kern w:val="0"/>
          <w:szCs w:val="21"/>
        </w:rPr>
        <w:t>。</w:t>
      </w:r>
    </w:p>
    <w:p>
      <w:pPr>
        <w:spacing w:after="120" w:line="360" w:lineRule="auto"/>
        <w:ind w:firstLine="422" w:firstLineChars="200"/>
        <w:rPr>
          <w:b/>
          <w:color w:val="auto"/>
        </w:rPr>
      </w:pPr>
      <w:r>
        <w:rPr>
          <w:b/>
          <w:color w:val="auto"/>
        </w:rPr>
        <w:t>2.4 施工现场、施工条件和基础资料的提供</w:t>
      </w:r>
    </w:p>
    <w:p>
      <w:pPr>
        <w:spacing w:after="120" w:line="360" w:lineRule="auto"/>
        <w:ind w:firstLine="422" w:firstLineChars="200"/>
        <w:rPr>
          <w:b/>
          <w:color w:val="auto"/>
        </w:rPr>
      </w:pPr>
      <w:r>
        <w:rPr>
          <w:b/>
          <w:color w:val="auto"/>
        </w:rPr>
        <w:t>2.4.1 提供施工现场</w:t>
      </w:r>
    </w:p>
    <w:p>
      <w:pPr>
        <w:spacing w:line="360" w:lineRule="auto"/>
        <w:ind w:left="420" w:leftChars="200"/>
        <w:jc w:val="left"/>
        <w:rPr>
          <w:rFonts w:eastAsia="仿宋_GB2312"/>
          <w:color w:val="auto"/>
          <w:szCs w:val="21"/>
        </w:rPr>
      </w:pPr>
      <w:r>
        <w:rPr>
          <w:rFonts w:eastAsia="仿宋_GB2312"/>
          <w:color w:val="auto"/>
          <w:szCs w:val="21"/>
        </w:rPr>
        <w:t>关于发包人移交施工现场的期限要求：</w:t>
      </w:r>
      <w:r>
        <w:rPr>
          <w:rFonts w:ascii="宋体" w:hAnsi="宋体"/>
          <w:color w:val="auto"/>
          <w:szCs w:val="21"/>
          <w:u w:val="single"/>
        </w:rPr>
        <w:t></w:t>
      </w:r>
      <w:r>
        <w:rPr>
          <w:rFonts w:hint="eastAsia" w:eastAsia="仿宋_GB2312"/>
          <w:color w:val="auto"/>
          <w:szCs w:val="21"/>
          <w:u w:val="single"/>
        </w:rPr>
        <w:t>开工前向承包人移交施工现场</w:t>
      </w:r>
      <w:r>
        <w:rPr>
          <w:rFonts w:ascii="宋体" w:hAnsi="宋体"/>
          <w:color w:val="auto"/>
          <w:szCs w:val="21"/>
          <w:u w:val="single"/>
        </w:rPr>
        <w:t xml:space="preserve">   </w:t>
      </w:r>
      <w:r>
        <w:rPr>
          <w:rFonts w:eastAsia="仿宋_GB2312"/>
          <w:color w:val="auto"/>
          <w:szCs w:val="21"/>
        </w:rPr>
        <w:t>。</w:t>
      </w:r>
    </w:p>
    <w:p>
      <w:pPr>
        <w:spacing w:after="120" w:line="360" w:lineRule="auto"/>
        <w:ind w:firstLine="422" w:firstLineChars="200"/>
        <w:rPr>
          <w:b/>
          <w:color w:val="auto"/>
        </w:rPr>
      </w:pPr>
      <w:r>
        <w:rPr>
          <w:b/>
          <w:color w:val="auto"/>
        </w:rPr>
        <w:t>2.4.2 提供施工条件</w:t>
      </w:r>
    </w:p>
    <w:p>
      <w:pPr>
        <w:spacing w:line="360" w:lineRule="auto"/>
        <w:ind w:left="420" w:leftChars="200"/>
        <w:jc w:val="left"/>
        <w:rPr>
          <w:rFonts w:eastAsia="仿宋_GB2312"/>
          <w:color w:val="auto"/>
          <w:szCs w:val="21"/>
        </w:rPr>
      </w:pPr>
      <w:r>
        <w:rPr>
          <w:rFonts w:eastAsia="仿宋_GB2312"/>
          <w:color w:val="auto"/>
          <w:szCs w:val="21"/>
        </w:rPr>
        <w:t>关于发包人应负责提供施工</w:t>
      </w:r>
      <w:r>
        <w:rPr>
          <w:rFonts w:hint="eastAsia" w:eastAsia="仿宋_GB2312"/>
          <w:color w:val="auto"/>
          <w:szCs w:val="21"/>
        </w:rPr>
        <w:t>所需要的条件，</w:t>
      </w:r>
      <w:r>
        <w:rPr>
          <w:rFonts w:eastAsia="仿宋_GB2312"/>
          <w:color w:val="auto"/>
          <w:szCs w:val="21"/>
        </w:rPr>
        <w:t>包括：</w:t>
      </w:r>
      <w:r>
        <w:rPr>
          <w:rFonts w:hint="eastAsia" w:eastAsia="仿宋_GB2312"/>
          <w:color w:val="auto"/>
          <w:szCs w:val="21"/>
          <w:u w:val="single"/>
        </w:rPr>
        <w:t>（1）将施工用水、电力、通讯线路等施工所必需的条件接至施工现场内；开工前具备。施工期间，施工、生活用水用电及料场、办公场所由承包人自行解决，必须按照发包人要求做好必要的交通设施和安全维护设施</w:t>
      </w:r>
      <w:r>
        <w:rPr>
          <w:rFonts w:hint="eastAsia" w:eastAsia="仿宋_GB2312"/>
          <w:color w:val="auto"/>
          <w:szCs w:val="21"/>
          <w:u w:val="none"/>
          <w:lang w:eastAsia="zh-CN"/>
        </w:rPr>
        <w:t>；</w:t>
      </w:r>
      <w:r>
        <w:rPr>
          <w:rFonts w:hint="eastAsia" w:eastAsia="仿宋_GB2312"/>
          <w:color w:val="auto"/>
          <w:szCs w:val="21"/>
          <w:u w:val="single"/>
        </w:rPr>
        <w:t>（2）保证向承包人提供正常施工所需要的进入施工现场的交通条件；开工前开通</w:t>
      </w:r>
      <w:r>
        <w:rPr>
          <w:rFonts w:hint="eastAsia" w:eastAsia="仿宋_GB2312"/>
          <w:color w:val="auto"/>
          <w:szCs w:val="21"/>
          <w:u w:val="none"/>
          <w:lang w:eastAsia="zh-CN"/>
        </w:rPr>
        <w:t>；</w:t>
      </w:r>
      <w:r>
        <w:rPr>
          <w:rFonts w:hint="eastAsia" w:eastAsia="仿宋_GB2312"/>
          <w:color w:val="auto"/>
          <w:szCs w:val="21"/>
          <w:u w:val="single"/>
        </w:rPr>
        <w:t>（3）协调处理施工现场周围地下管线和邻近建筑物、构筑物的保护工作，并承担相关费用；已完成</w:t>
      </w:r>
      <w:r>
        <w:rPr>
          <w:rFonts w:eastAsia="仿宋_GB2312"/>
          <w:color w:val="auto"/>
          <w:szCs w:val="21"/>
        </w:rPr>
        <w:t>。</w:t>
      </w:r>
    </w:p>
    <w:p>
      <w:pPr>
        <w:spacing w:line="360" w:lineRule="auto"/>
        <w:ind w:firstLine="420" w:firstLineChars="200"/>
        <w:rPr>
          <w:rFonts w:eastAsia="仿宋_GB2312"/>
          <w:color w:val="auto"/>
          <w:szCs w:val="21"/>
          <w:u w:val="single"/>
        </w:rPr>
      </w:pPr>
      <w:r>
        <w:rPr>
          <w:rFonts w:hint="eastAsia" w:eastAsia="仿宋_GB2312"/>
          <w:color w:val="auto"/>
          <w:szCs w:val="21"/>
          <w:u w:val="single"/>
        </w:rPr>
        <w:t>监理人员现场办公室由承包人负责提供</w:t>
      </w:r>
      <w:r>
        <w:rPr>
          <w:rFonts w:eastAsia="仿宋_GB2312"/>
          <w:color w:val="auto"/>
          <w:szCs w:val="21"/>
        </w:rPr>
        <w:t>。</w:t>
      </w:r>
    </w:p>
    <w:p>
      <w:pPr>
        <w:spacing w:after="120" w:line="360" w:lineRule="auto"/>
        <w:ind w:firstLine="422" w:firstLineChars="200"/>
        <w:rPr>
          <w:b/>
          <w:color w:val="auto"/>
        </w:rPr>
      </w:pPr>
      <w:r>
        <w:rPr>
          <w:b/>
          <w:color w:val="auto"/>
        </w:rPr>
        <w:t>2.5 资金来源</w:t>
      </w:r>
      <w:r>
        <w:rPr>
          <w:rFonts w:hint="eastAsia"/>
          <w:b/>
          <w:color w:val="auto"/>
          <w:lang w:eastAsia="zh-CN"/>
        </w:rPr>
        <w:t>凭据</w:t>
      </w:r>
      <w:r>
        <w:rPr>
          <w:b/>
          <w:color w:val="auto"/>
        </w:rPr>
        <w:t>及支付担保</w:t>
      </w:r>
    </w:p>
    <w:p>
      <w:pPr>
        <w:spacing w:line="360" w:lineRule="auto"/>
        <w:ind w:firstLine="420" w:firstLineChars="200"/>
        <w:rPr>
          <w:rFonts w:eastAsia="仿宋_GB2312"/>
          <w:color w:val="auto"/>
          <w:szCs w:val="21"/>
        </w:rPr>
      </w:pPr>
      <w:r>
        <w:rPr>
          <w:rFonts w:eastAsia="仿宋_GB2312"/>
          <w:color w:val="auto"/>
          <w:szCs w:val="21"/>
        </w:rPr>
        <w:t>发包人提供资金来源</w:t>
      </w:r>
      <w:r>
        <w:rPr>
          <w:rFonts w:hint="eastAsia" w:eastAsia="仿宋_GB2312"/>
          <w:color w:val="auto"/>
          <w:szCs w:val="21"/>
          <w:lang w:eastAsia="zh-CN"/>
        </w:rPr>
        <w:t>凭据</w:t>
      </w:r>
      <w:r>
        <w:rPr>
          <w:rFonts w:eastAsia="仿宋_GB2312"/>
          <w:color w:val="auto"/>
          <w:szCs w:val="21"/>
        </w:rPr>
        <w:t>的期限要求：</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发包人是否提供支付担保：</w:t>
      </w:r>
      <w:r>
        <w:rPr>
          <w:rFonts w:ascii="宋体" w:hAnsi="宋体"/>
          <w:color w:val="auto"/>
          <w:szCs w:val="21"/>
          <w:u w:val="single"/>
        </w:rPr>
        <w:t xml:space="preserve">       </w:t>
      </w:r>
      <w:r>
        <w:rPr>
          <w:rFonts w:hint="eastAsia" w:ascii="宋体" w:hAnsi="宋体"/>
          <w:color w:val="auto"/>
          <w:szCs w:val="21"/>
          <w:u w:val="single"/>
        </w:rPr>
        <w:t xml:space="preserve">   是   </w:t>
      </w:r>
      <w:r>
        <w:rPr>
          <w:rFonts w:ascii="宋体" w:hAnsi="宋体"/>
          <w:color w:val="auto"/>
          <w:szCs w:val="21"/>
          <w:u w:val="single"/>
        </w:rPr>
        <w:t xml:space="preserve">  </w:t>
      </w:r>
      <w:r>
        <w:rPr>
          <w:rFonts w:hint="eastAsia" w:ascii="宋体" w:hAnsi="宋体"/>
          <w:color w:val="auto"/>
          <w:szCs w:val="21"/>
          <w:u w:val="single"/>
        </w:rPr>
        <w:t xml:space="preserve">     </w:t>
      </w:r>
      <w:r>
        <w:rPr>
          <w:rFonts w:eastAsia="仿宋_GB2312"/>
          <w:color w:val="auto"/>
          <w:szCs w:val="21"/>
        </w:rPr>
        <w:t>。</w:t>
      </w:r>
    </w:p>
    <w:p>
      <w:pPr>
        <w:spacing w:line="360" w:lineRule="auto"/>
        <w:ind w:firstLine="420" w:firstLineChars="200"/>
        <w:rPr>
          <w:rFonts w:eastAsia="仿宋_GB2312"/>
          <w:color w:val="auto"/>
          <w:szCs w:val="21"/>
          <w:u w:val="single"/>
        </w:rPr>
      </w:pPr>
      <w:r>
        <w:rPr>
          <w:rFonts w:eastAsia="仿宋_GB2312"/>
          <w:color w:val="auto"/>
          <w:szCs w:val="21"/>
        </w:rPr>
        <w:t>发包人提供支付担保的形式</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eastAsia="仿宋_GB2312"/>
          <w:color w:val="auto"/>
          <w:szCs w:val="21"/>
        </w:rPr>
        <w:t>。</w:t>
      </w:r>
    </w:p>
    <w:p>
      <w:pPr>
        <w:spacing w:after="120" w:line="360" w:lineRule="auto"/>
        <w:ind w:firstLine="422" w:firstLineChars="200"/>
        <w:rPr>
          <w:b/>
          <w:color w:val="auto"/>
        </w:rPr>
      </w:pPr>
      <w:r>
        <w:rPr>
          <w:b/>
          <w:color w:val="auto"/>
        </w:rPr>
        <w:t>3.2 项目经理</w:t>
      </w:r>
    </w:p>
    <w:p>
      <w:pPr>
        <w:spacing w:line="360" w:lineRule="auto"/>
        <w:ind w:firstLine="420" w:firstLineChars="200"/>
        <w:rPr>
          <w:rFonts w:eastAsia="仿宋_GB2312"/>
          <w:color w:val="auto"/>
          <w:szCs w:val="21"/>
        </w:rPr>
      </w:pPr>
      <w:r>
        <w:rPr>
          <w:rFonts w:eastAsia="仿宋_GB2312"/>
          <w:color w:val="auto"/>
          <w:kern w:val="0"/>
          <w:szCs w:val="21"/>
        </w:rPr>
        <w:t xml:space="preserve">3.2.1 </w:t>
      </w:r>
      <w:r>
        <w:rPr>
          <w:rFonts w:eastAsia="仿宋_GB2312"/>
          <w:color w:val="auto"/>
          <w:szCs w:val="21"/>
        </w:rPr>
        <w:t>项目经理：</w:t>
      </w:r>
    </w:p>
    <w:p>
      <w:pPr>
        <w:spacing w:line="360" w:lineRule="auto"/>
        <w:ind w:firstLine="420" w:firstLineChars="200"/>
        <w:rPr>
          <w:rFonts w:eastAsia="仿宋_GB2312"/>
          <w:color w:val="auto"/>
          <w:szCs w:val="21"/>
        </w:rPr>
      </w:pPr>
      <w:r>
        <w:rPr>
          <w:rFonts w:eastAsia="仿宋_GB2312"/>
          <w:color w:val="auto"/>
          <w:szCs w:val="21"/>
        </w:rPr>
        <w:t>姓    名：</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身份证号：</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建造师执业资格等级：</w:t>
      </w:r>
      <w:r>
        <w:rPr>
          <w:rFonts w:ascii="宋体" w:hAnsi="宋体"/>
          <w:color w:val="auto"/>
          <w:szCs w:val="21"/>
          <w:u w:val="single"/>
        </w:rPr>
        <w:t>  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建造师注册证书号：</w:t>
      </w:r>
      <w:r>
        <w:rPr>
          <w:rFonts w:ascii="宋体" w:hAnsi="宋体"/>
          <w:color w:val="auto"/>
          <w:szCs w:val="21"/>
          <w:u w:val="single"/>
        </w:rPr>
        <w:t>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建造师执业印章号：</w:t>
      </w:r>
      <w:r>
        <w:rPr>
          <w:rFonts w:ascii="宋体" w:hAnsi="宋体"/>
          <w:color w:val="auto"/>
          <w:szCs w:val="21"/>
          <w:u w:val="single"/>
        </w:rPr>
        <w:t>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安全生产考核合格证书号：</w:t>
      </w:r>
      <w:r>
        <w:rPr>
          <w:rFonts w:ascii="宋体" w:hAnsi="宋体"/>
          <w:color w:val="auto"/>
          <w:szCs w:val="21"/>
          <w:u w:val="single"/>
        </w:rPr>
        <w:t>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联系电话：</w:t>
      </w:r>
      <w:r>
        <w:rPr>
          <w:rFonts w:ascii="宋体" w:hAnsi="宋体"/>
          <w:color w:val="auto"/>
          <w:szCs w:val="21"/>
          <w:u w:val="single"/>
        </w:rPr>
        <w:t>  </w:t>
      </w:r>
      <w:r>
        <w:rPr>
          <w:rFonts w:hint="eastAsia" w:ascii="宋体" w:hAnsi="宋体"/>
          <w:color w:val="auto"/>
          <w:szCs w:val="21"/>
          <w:u w:val="single"/>
        </w:rPr>
        <w:t xml:space="preserve">      </w:t>
      </w:r>
      <w:r>
        <w:rPr>
          <w:rFonts w:ascii="宋体" w:hAnsi="宋体"/>
          <w:color w:val="auto"/>
          <w:szCs w:val="21"/>
          <w:u w:val="single"/>
        </w:rPr>
        <w:t>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电子信箱：</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通信地址：</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承包人对项目经理的授权范围如下：</w:t>
      </w:r>
      <w:r>
        <w:rPr>
          <w:rFonts w:hint="eastAsia" w:eastAsia="仿宋_GB2312"/>
          <w:color w:val="auto"/>
          <w:szCs w:val="21"/>
          <w:u w:val="single"/>
        </w:rPr>
        <w:t>全权负责本工程的日常施工进度、质量、安全及结算等相关工作</w:t>
      </w:r>
      <w:r>
        <w:rPr>
          <w:rFonts w:eastAsia="仿宋_GB2312"/>
          <w:color w:val="auto"/>
          <w:szCs w:val="21"/>
        </w:rPr>
        <w:t>。</w:t>
      </w:r>
    </w:p>
    <w:p>
      <w:pPr>
        <w:spacing w:line="360" w:lineRule="auto"/>
        <w:ind w:firstLine="420" w:firstLineChars="200"/>
        <w:jc w:val="left"/>
        <w:rPr>
          <w:rFonts w:eastAsia="仿宋_GB2312"/>
          <w:color w:val="auto"/>
          <w:kern w:val="0"/>
          <w:szCs w:val="21"/>
        </w:rPr>
      </w:pPr>
      <w:r>
        <w:rPr>
          <w:rFonts w:eastAsia="仿宋_GB2312"/>
          <w:color w:val="auto"/>
          <w:kern w:val="0"/>
          <w:szCs w:val="21"/>
        </w:rPr>
        <w:t>关于项目经理每月在施工现场的时间要求：</w:t>
      </w:r>
      <w:r>
        <w:rPr>
          <w:rFonts w:eastAsia="仿宋_GB2312"/>
          <w:color w:val="auto"/>
          <w:szCs w:val="21"/>
          <w:u w:val="single"/>
        </w:rPr>
        <w:t xml:space="preserve">    </w:t>
      </w:r>
      <w:r>
        <w:rPr>
          <w:rFonts w:hint="eastAsia" w:eastAsia="仿宋_GB2312"/>
          <w:color w:val="auto"/>
          <w:szCs w:val="21"/>
          <w:u w:val="single"/>
        </w:rPr>
        <w:t>工程项目经理每月出勤不少于22天</w:t>
      </w:r>
      <w:r>
        <w:rPr>
          <w:rFonts w:hint="eastAsia" w:ascii="宋体" w:hAnsi="宋体"/>
          <w:color w:val="auto"/>
          <w:szCs w:val="21"/>
          <w:u w:val="single"/>
        </w:rPr>
        <w:t xml:space="preserve">   </w:t>
      </w:r>
      <w:r>
        <w:rPr>
          <w:rFonts w:ascii="宋体" w:hAnsi="宋体"/>
          <w:color w:val="auto"/>
          <w:szCs w:val="21"/>
          <w:u w:val="single"/>
        </w:rPr>
        <w:t></w:t>
      </w:r>
      <w:r>
        <w:rPr>
          <w:rFonts w:eastAsia="仿宋_GB2312"/>
          <w:color w:val="auto"/>
          <w:szCs w:val="21"/>
        </w:rPr>
        <w:t>。</w:t>
      </w:r>
    </w:p>
    <w:p>
      <w:pPr>
        <w:spacing w:line="360" w:lineRule="auto"/>
        <w:ind w:firstLine="420" w:firstLineChars="200"/>
        <w:rPr>
          <w:rFonts w:eastAsia="仿宋_GB2312"/>
          <w:color w:val="auto"/>
          <w:kern w:val="0"/>
          <w:szCs w:val="21"/>
        </w:rPr>
      </w:pPr>
      <w:r>
        <w:rPr>
          <w:rFonts w:eastAsia="仿宋_GB2312"/>
          <w:color w:val="auto"/>
          <w:kern w:val="0"/>
          <w:szCs w:val="21"/>
        </w:rPr>
        <w:t>承包人未提交劳动合同，以及没有为项目经理缴纳社会保险</w:t>
      </w:r>
      <w:r>
        <w:rPr>
          <w:rFonts w:hint="eastAsia" w:eastAsia="仿宋_GB2312"/>
          <w:color w:val="auto"/>
          <w:kern w:val="0"/>
          <w:szCs w:val="21"/>
          <w:lang w:eastAsia="zh-CN"/>
        </w:rPr>
        <w:t>凭据</w:t>
      </w:r>
      <w:r>
        <w:rPr>
          <w:rFonts w:eastAsia="仿宋_GB2312"/>
          <w:color w:val="auto"/>
          <w:kern w:val="0"/>
          <w:szCs w:val="21"/>
        </w:rPr>
        <w:t>的违约责任：</w:t>
      </w:r>
      <w:r>
        <w:rPr>
          <w:rFonts w:eastAsia="仿宋_GB2312"/>
          <w:color w:val="auto"/>
          <w:szCs w:val="21"/>
          <w:u w:val="single"/>
        </w:rPr>
        <w:t xml:space="preserve"> </w:t>
      </w:r>
      <w:r>
        <w:rPr>
          <w:rFonts w:ascii="宋体" w:hAnsi="宋体"/>
          <w:color w:val="auto"/>
          <w:szCs w:val="21"/>
          <w:u w:val="single"/>
        </w:rPr>
        <w:t xml:space="preserve"> </w:t>
      </w:r>
      <w:r>
        <w:rPr>
          <w:rFonts w:hint="eastAsia" w:eastAsia="仿宋_GB2312"/>
          <w:color w:val="auto"/>
          <w:szCs w:val="21"/>
          <w:u w:val="single"/>
        </w:rPr>
        <w:t>项目经理无权履行职责，发包人有权要求更换项目经理，由此增加的费用和（或）延误的工期责任由承包人承担</w:t>
      </w:r>
      <w:r>
        <w:rPr>
          <w:rFonts w:ascii="宋体" w:hAnsi="宋体"/>
          <w:color w:val="auto"/>
          <w:szCs w:val="21"/>
          <w:u w:val="single"/>
        </w:rPr>
        <w:t></w:t>
      </w:r>
      <w:r>
        <w:rPr>
          <w:rFonts w:eastAsia="仿宋_GB2312"/>
          <w:color w:val="auto"/>
          <w:szCs w:val="21"/>
        </w:rPr>
        <w:t>。</w:t>
      </w:r>
    </w:p>
    <w:p>
      <w:pPr>
        <w:spacing w:line="360" w:lineRule="auto"/>
        <w:ind w:firstLine="420" w:firstLineChars="200"/>
        <w:rPr>
          <w:rFonts w:eastAsia="仿宋_GB2312"/>
          <w:color w:val="auto"/>
          <w:szCs w:val="21"/>
          <w:u w:val="single"/>
        </w:rPr>
      </w:pPr>
      <w:r>
        <w:rPr>
          <w:rFonts w:eastAsia="仿宋_GB2312"/>
          <w:color w:val="auto"/>
          <w:kern w:val="0"/>
          <w:szCs w:val="21"/>
        </w:rPr>
        <w:t>项目经理未经批准，擅自离开施工现场的违约责任：</w:t>
      </w:r>
      <w:r>
        <w:rPr>
          <w:rFonts w:ascii="宋体" w:hAnsi="宋体"/>
          <w:color w:val="auto"/>
          <w:szCs w:val="21"/>
          <w:u w:val="single"/>
        </w:rPr>
        <w:t></w:t>
      </w:r>
      <w:r>
        <w:rPr>
          <w:rFonts w:hint="eastAsia" w:eastAsia="仿宋_GB2312"/>
          <w:color w:val="auto"/>
          <w:szCs w:val="21"/>
          <w:u w:val="single"/>
        </w:rPr>
        <w:t>承包人支付违约金</w:t>
      </w:r>
      <w:r>
        <w:rPr>
          <w:rFonts w:hint="eastAsia" w:eastAsia="仿宋_GB2312"/>
          <w:color w:val="auto"/>
          <w:szCs w:val="21"/>
          <w:u w:val="single"/>
          <w:lang w:val="en-US" w:eastAsia="zh-CN"/>
        </w:rPr>
        <w:t>10</w:t>
      </w:r>
      <w:r>
        <w:rPr>
          <w:rFonts w:hint="eastAsia" w:eastAsia="仿宋_GB2312"/>
          <w:color w:val="auto"/>
          <w:szCs w:val="21"/>
          <w:u w:val="single"/>
        </w:rPr>
        <w:t>000元/天，发包人有权要求承包人更换项目经理</w:t>
      </w:r>
      <w:r>
        <w:rPr>
          <w:rFonts w:hint="eastAsia" w:ascii="宋体" w:hAnsi="宋体"/>
          <w:color w:val="auto"/>
          <w:szCs w:val="21"/>
          <w:u w:val="single"/>
        </w:rPr>
        <w:t xml:space="preserve">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3.2.3 承包人擅自更换项目经理的违约责任：</w:t>
      </w:r>
      <w:r>
        <w:rPr>
          <w:rFonts w:hint="eastAsia" w:eastAsia="仿宋_GB2312"/>
          <w:color w:val="auto"/>
          <w:szCs w:val="21"/>
          <w:u w:val="single"/>
        </w:rPr>
        <w:t>未经发包人同意擅自变更项目经理处</w:t>
      </w:r>
      <w:r>
        <w:rPr>
          <w:rFonts w:hint="eastAsia" w:eastAsia="仿宋_GB2312"/>
          <w:color w:val="auto"/>
          <w:szCs w:val="21"/>
          <w:u w:val="single"/>
          <w:lang w:val="en-US" w:eastAsia="zh-CN"/>
        </w:rPr>
        <w:t>2</w:t>
      </w:r>
      <w:r>
        <w:rPr>
          <w:rFonts w:hint="eastAsia" w:eastAsia="仿宋_GB2312"/>
          <w:color w:val="auto"/>
          <w:szCs w:val="21"/>
          <w:u w:val="single"/>
        </w:rPr>
        <w:t>00000元的罚款；若确因特殊原因需更换，经发包人同意并向行业监管部门备案后可进行更换项目经理，但更换仅限壹次；更换后的项目经理资格条件（含资质等级、业绩荣誉、奖项等）不得低于原项目经理中标时的资格条件</w:t>
      </w:r>
      <w:r>
        <w:rPr>
          <w:rFonts w:eastAsia="仿宋_GB2312"/>
          <w:color w:val="auto"/>
          <w:szCs w:val="21"/>
        </w:rPr>
        <w:t>。</w:t>
      </w:r>
    </w:p>
    <w:p>
      <w:pPr>
        <w:spacing w:line="360" w:lineRule="auto"/>
        <w:rPr>
          <w:rFonts w:eastAsia="仿宋_GB2312"/>
          <w:color w:val="auto"/>
          <w:szCs w:val="21"/>
        </w:rPr>
      </w:pPr>
      <w:r>
        <w:rPr>
          <w:rFonts w:eastAsia="仿宋_GB2312"/>
          <w:color w:val="auto"/>
          <w:szCs w:val="21"/>
        </w:rPr>
        <w:t xml:space="preserve">    3.2.4 承包人无正当理由拒绝更换项目经理的违约责任：</w:t>
      </w:r>
      <w:r>
        <w:rPr>
          <w:rFonts w:ascii="宋体" w:hAnsi="宋体"/>
          <w:color w:val="auto"/>
          <w:szCs w:val="21"/>
          <w:u w:val="single"/>
        </w:rPr>
        <w:t></w:t>
      </w:r>
      <w:r>
        <w:rPr>
          <w:rFonts w:hint="eastAsia" w:eastAsia="仿宋_GB2312"/>
          <w:color w:val="auto"/>
          <w:szCs w:val="21"/>
          <w:u w:val="single"/>
        </w:rPr>
        <w:t>承包人支付</w:t>
      </w:r>
      <w:r>
        <w:rPr>
          <w:rFonts w:hint="eastAsia" w:eastAsia="仿宋_GB2312"/>
          <w:color w:val="auto"/>
          <w:szCs w:val="21"/>
          <w:u w:val="single"/>
          <w:lang w:val="en-US" w:eastAsia="zh-CN"/>
        </w:rPr>
        <w:t>10</w:t>
      </w:r>
      <w:r>
        <w:rPr>
          <w:rFonts w:hint="eastAsia" w:eastAsia="仿宋_GB2312"/>
          <w:color w:val="auto"/>
          <w:szCs w:val="21"/>
          <w:u w:val="single"/>
        </w:rPr>
        <w:t>万元违约金，并承担由此造成的一切损失，发包人有权取消承包人的承包资格</w:t>
      </w:r>
      <w:r>
        <w:rPr>
          <w:rFonts w:hint="eastAsia" w:eastAsia="仿宋_GB2312"/>
          <w:color w:val="auto"/>
          <w:szCs w:val="21"/>
        </w:rPr>
        <w:t>。</w:t>
      </w:r>
    </w:p>
    <w:p>
      <w:pPr>
        <w:spacing w:after="120" w:line="360" w:lineRule="auto"/>
        <w:ind w:firstLine="422" w:firstLineChars="200"/>
        <w:rPr>
          <w:b/>
          <w:color w:val="auto"/>
        </w:rPr>
      </w:pPr>
      <w:r>
        <w:rPr>
          <w:b/>
          <w:color w:val="auto"/>
        </w:rPr>
        <w:t>3.3 承包人人员</w:t>
      </w:r>
    </w:p>
    <w:p>
      <w:pPr>
        <w:spacing w:line="360" w:lineRule="auto"/>
        <w:ind w:firstLine="420" w:firstLineChars="200"/>
        <w:rPr>
          <w:rFonts w:eastAsia="仿宋_GB2312"/>
          <w:color w:val="auto"/>
          <w:szCs w:val="21"/>
        </w:rPr>
      </w:pPr>
      <w:r>
        <w:rPr>
          <w:rFonts w:eastAsia="仿宋_GB2312"/>
          <w:color w:val="auto"/>
          <w:szCs w:val="21"/>
        </w:rPr>
        <w:t>3.3.1 承包人提交项目管理机构及施工现场管理人员安排报告的期限：</w:t>
      </w:r>
      <w:r>
        <w:rPr>
          <w:rFonts w:eastAsia="仿宋_GB2312"/>
          <w:color w:val="auto"/>
          <w:szCs w:val="21"/>
          <w:u w:val="single"/>
        </w:rPr>
        <w:t xml:space="preserve">   </w:t>
      </w:r>
      <w:r>
        <w:rPr>
          <w:rFonts w:hint="eastAsia" w:eastAsia="仿宋_GB2312"/>
          <w:color w:val="auto"/>
          <w:szCs w:val="21"/>
          <w:u w:val="single"/>
        </w:rPr>
        <w:t>按通用条款</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3.3.3 承包人无正当理由拒绝撤换主要施工管理人员的违约责任：</w:t>
      </w:r>
      <w:r>
        <w:rPr>
          <w:rFonts w:hint="eastAsia" w:eastAsia="仿宋_GB2312"/>
          <w:color w:val="auto"/>
          <w:szCs w:val="21"/>
          <w:u w:val="single"/>
        </w:rPr>
        <w:t>每人次向发包人支付</w:t>
      </w:r>
      <w:r>
        <w:rPr>
          <w:rFonts w:eastAsia="仿宋_GB2312"/>
          <w:color w:val="auto"/>
          <w:szCs w:val="21"/>
          <w:u w:val="single"/>
        </w:rPr>
        <w:t>1</w:t>
      </w:r>
      <w:r>
        <w:rPr>
          <w:rFonts w:hint="eastAsia" w:eastAsia="仿宋_GB2312"/>
          <w:color w:val="auto"/>
          <w:szCs w:val="21"/>
          <w:u w:val="single"/>
        </w:rPr>
        <w:t>万元违约金</w:t>
      </w:r>
      <w:r>
        <w:rPr>
          <w:rFonts w:eastAsia="仿宋_GB2312"/>
          <w:color w:val="auto"/>
          <w:szCs w:val="21"/>
        </w:rPr>
        <w:t>。</w:t>
      </w:r>
    </w:p>
    <w:p>
      <w:pPr>
        <w:spacing w:line="360" w:lineRule="auto"/>
        <w:ind w:firstLine="420" w:firstLineChars="200"/>
        <w:rPr>
          <w:rFonts w:eastAsia="仿宋_GB2312"/>
          <w:color w:val="auto"/>
          <w:szCs w:val="21"/>
          <w:u w:val="single"/>
        </w:rPr>
      </w:pPr>
      <w:r>
        <w:rPr>
          <w:rFonts w:eastAsia="仿宋_GB2312"/>
          <w:color w:val="auto"/>
          <w:szCs w:val="21"/>
        </w:rPr>
        <w:t>3.3.4 承包人主要施工管理人员离开施工现场的批准要求：</w:t>
      </w:r>
      <w:r>
        <w:rPr>
          <w:rFonts w:hint="eastAsia" w:ascii="宋体" w:hAnsi="宋体"/>
          <w:color w:val="auto"/>
          <w:szCs w:val="21"/>
          <w:u w:val="single"/>
        </w:rPr>
        <w:t xml:space="preserve">     </w:t>
      </w:r>
      <w:r>
        <w:rPr>
          <w:rFonts w:hint="eastAsia" w:eastAsia="仿宋_GB2312"/>
          <w:color w:val="auto"/>
          <w:szCs w:val="21"/>
          <w:u w:val="single"/>
        </w:rPr>
        <w:t>按通用条款</w:t>
      </w:r>
      <w:r>
        <w:rPr>
          <w:rFonts w:hint="eastAsia" w:ascii="宋体" w:hAnsi="宋体"/>
          <w:color w:val="auto"/>
          <w:szCs w:val="21"/>
          <w:u w:val="single"/>
        </w:rPr>
        <w:t xml:space="preserve">    </w:t>
      </w:r>
      <w:r>
        <w:rPr>
          <w:rFonts w:ascii="宋体" w:hAnsi="宋体"/>
          <w:color w:val="auto"/>
          <w:szCs w:val="21"/>
          <w:u w:val="single"/>
        </w:rPr>
        <w:t xml:space="preserve">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3.3.5承包人擅自更换主要施工管理人员的违约责任：</w:t>
      </w:r>
      <w:r>
        <w:rPr>
          <w:rFonts w:hint="eastAsia" w:eastAsia="仿宋_GB2312"/>
          <w:color w:val="auto"/>
          <w:szCs w:val="21"/>
          <w:u w:val="single"/>
        </w:rPr>
        <w:t>未经发包人同意擅自变更项目技术负责人的处违约金</w:t>
      </w:r>
      <w:r>
        <w:rPr>
          <w:rFonts w:eastAsia="仿宋_GB2312"/>
          <w:color w:val="auto"/>
          <w:szCs w:val="21"/>
          <w:u w:val="single"/>
        </w:rPr>
        <w:t>2</w:t>
      </w:r>
      <w:r>
        <w:rPr>
          <w:rFonts w:hint="eastAsia" w:eastAsia="仿宋_GB2312"/>
          <w:color w:val="auto"/>
          <w:szCs w:val="21"/>
          <w:u w:val="single"/>
        </w:rPr>
        <w:t>万元，擅自变更五大员的则分别处按每人</w:t>
      </w:r>
      <w:r>
        <w:rPr>
          <w:rFonts w:eastAsia="仿宋_GB2312"/>
          <w:color w:val="auto"/>
          <w:szCs w:val="21"/>
          <w:u w:val="single"/>
        </w:rPr>
        <w:t>1</w:t>
      </w:r>
      <w:r>
        <w:rPr>
          <w:rFonts w:hint="eastAsia" w:eastAsia="仿宋_GB2312"/>
          <w:color w:val="auto"/>
          <w:szCs w:val="21"/>
          <w:u w:val="single"/>
        </w:rPr>
        <w:t>万元违约金</w:t>
      </w:r>
      <w:r>
        <w:rPr>
          <w:rFonts w:ascii="宋体" w:hAnsi="宋体"/>
          <w:color w:val="auto"/>
          <w:szCs w:val="21"/>
          <w:u w:val="single"/>
        </w:rPr>
        <w:t xml:space="preserve">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承包人主要施工管理人员擅自离开施工现场的违约责任：</w:t>
      </w:r>
      <w:r>
        <w:rPr>
          <w:rFonts w:hint="eastAsia" w:eastAsia="仿宋_GB2312"/>
          <w:color w:val="auto"/>
          <w:szCs w:val="21"/>
          <w:u w:val="single"/>
        </w:rPr>
        <w:t>工程项目管理班子人员每月出勤均不少于</w:t>
      </w:r>
      <w:r>
        <w:rPr>
          <w:rFonts w:eastAsia="仿宋_GB2312"/>
          <w:color w:val="auto"/>
          <w:szCs w:val="21"/>
          <w:u w:val="single"/>
        </w:rPr>
        <w:t>2</w:t>
      </w:r>
      <w:r>
        <w:rPr>
          <w:rFonts w:hint="eastAsia" w:eastAsia="仿宋_GB2312"/>
          <w:color w:val="auto"/>
          <w:szCs w:val="21"/>
          <w:u w:val="single"/>
        </w:rPr>
        <w:t>2天，由监理单位负责考勤（以现场实际考核为准），若缺勤或擅自离岗，则项目经理、技术负责人、五大员分别按</w:t>
      </w:r>
      <w:r>
        <w:rPr>
          <w:rFonts w:hint="eastAsia" w:eastAsia="仿宋_GB2312"/>
          <w:color w:val="auto"/>
          <w:szCs w:val="21"/>
          <w:u w:val="single"/>
          <w:lang w:val="en-US" w:eastAsia="zh-CN"/>
        </w:rPr>
        <w:t>10</w:t>
      </w:r>
      <w:r>
        <w:rPr>
          <w:rFonts w:eastAsia="仿宋_GB2312"/>
          <w:color w:val="auto"/>
          <w:szCs w:val="21"/>
          <w:u w:val="single"/>
        </w:rPr>
        <w:t>000</w:t>
      </w:r>
      <w:r>
        <w:rPr>
          <w:rFonts w:hint="eastAsia" w:eastAsia="仿宋_GB2312"/>
          <w:color w:val="auto"/>
          <w:szCs w:val="21"/>
          <w:u w:val="single"/>
        </w:rPr>
        <w:t>元</w:t>
      </w:r>
      <w:r>
        <w:rPr>
          <w:rFonts w:eastAsia="仿宋_GB2312"/>
          <w:color w:val="auto"/>
          <w:szCs w:val="21"/>
          <w:u w:val="single"/>
        </w:rPr>
        <w:t>/</w:t>
      </w:r>
      <w:r>
        <w:rPr>
          <w:rFonts w:hint="eastAsia" w:eastAsia="仿宋_GB2312"/>
          <w:color w:val="auto"/>
          <w:szCs w:val="21"/>
          <w:u w:val="single"/>
        </w:rPr>
        <w:t>天、</w:t>
      </w:r>
      <w:r>
        <w:rPr>
          <w:rFonts w:hint="eastAsia" w:eastAsia="仿宋_GB2312"/>
          <w:color w:val="auto"/>
          <w:szCs w:val="21"/>
          <w:u w:val="single"/>
          <w:lang w:val="en-US" w:eastAsia="zh-CN"/>
        </w:rPr>
        <w:t>2</w:t>
      </w:r>
      <w:r>
        <w:rPr>
          <w:rFonts w:eastAsia="仿宋_GB2312"/>
          <w:color w:val="auto"/>
          <w:szCs w:val="21"/>
          <w:u w:val="single"/>
        </w:rPr>
        <w:t>000</w:t>
      </w:r>
      <w:r>
        <w:rPr>
          <w:rFonts w:hint="eastAsia" w:eastAsia="仿宋_GB2312"/>
          <w:color w:val="auto"/>
          <w:szCs w:val="21"/>
          <w:u w:val="single"/>
        </w:rPr>
        <w:t>元</w:t>
      </w:r>
      <w:r>
        <w:rPr>
          <w:rFonts w:eastAsia="仿宋_GB2312"/>
          <w:color w:val="auto"/>
          <w:szCs w:val="21"/>
          <w:u w:val="single"/>
        </w:rPr>
        <w:t>/</w:t>
      </w:r>
      <w:r>
        <w:rPr>
          <w:rFonts w:hint="eastAsia" w:eastAsia="仿宋_GB2312"/>
          <w:color w:val="auto"/>
          <w:szCs w:val="21"/>
          <w:u w:val="single"/>
        </w:rPr>
        <w:t>天、</w:t>
      </w:r>
      <w:r>
        <w:rPr>
          <w:rFonts w:hint="eastAsia" w:eastAsia="仿宋_GB2312"/>
          <w:color w:val="auto"/>
          <w:szCs w:val="21"/>
          <w:u w:val="single"/>
          <w:lang w:val="en-US" w:eastAsia="zh-CN"/>
        </w:rPr>
        <w:t>10</w:t>
      </w:r>
      <w:r>
        <w:rPr>
          <w:rFonts w:eastAsia="仿宋_GB2312"/>
          <w:color w:val="auto"/>
          <w:szCs w:val="21"/>
          <w:u w:val="single"/>
        </w:rPr>
        <w:t>00</w:t>
      </w:r>
      <w:r>
        <w:rPr>
          <w:rFonts w:hint="eastAsia" w:eastAsia="仿宋_GB2312"/>
          <w:color w:val="auto"/>
          <w:szCs w:val="21"/>
          <w:u w:val="single"/>
        </w:rPr>
        <w:t>元</w:t>
      </w:r>
      <w:r>
        <w:rPr>
          <w:rFonts w:eastAsia="仿宋_GB2312"/>
          <w:color w:val="auto"/>
          <w:szCs w:val="21"/>
          <w:u w:val="single"/>
        </w:rPr>
        <w:t>/</w:t>
      </w:r>
      <w:r>
        <w:rPr>
          <w:rFonts w:hint="eastAsia" w:eastAsia="仿宋_GB2312"/>
          <w:color w:val="auto"/>
          <w:szCs w:val="21"/>
          <w:u w:val="single"/>
        </w:rPr>
        <w:t>天计算违约金</w:t>
      </w:r>
      <w:r>
        <w:rPr>
          <w:rFonts w:eastAsia="仿宋_GB2312"/>
          <w:color w:val="auto"/>
          <w:szCs w:val="21"/>
        </w:rPr>
        <w:t>。</w:t>
      </w:r>
    </w:p>
    <w:p>
      <w:pPr>
        <w:spacing w:after="120" w:line="360" w:lineRule="auto"/>
        <w:ind w:firstLine="422" w:firstLineChars="200"/>
        <w:rPr>
          <w:b/>
          <w:color w:val="auto"/>
        </w:rPr>
      </w:pPr>
      <w:r>
        <w:rPr>
          <w:b/>
          <w:color w:val="auto"/>
        </w:rPr>
        <w:t>3</w:t>
      </w:r>
      <w:bookmarkStart w:id="23" w:name="_Toc297123492"/>
      <w:bookmarkStart w:id="24" w:name="_Toc297120459"/>
      <w:bookmarkStart w:id="25" w:name="_Toc296503159"/>
      <w:bookmarkStart w:id="26" w:name="_Toc292559869"/>
      <w:bookmarkStart w:id="27" w:name="_Toc296944498"/>
      <w:bookmarkStart w:id="28" w:name="_Toc292559364"/>
      <w:bookmarkStart w:id="29" w:name="_Toc296346660"/>
      <w:bookmarkStart w:id="30" w:name="_Toc312677988"/>
      <w:bookmarkStart w:id="31" w:name="_Toc303539102"/>
      <w:bookmarkStart w:id="32" w:name="_Toc300934945"/>
      <w:bookmarkStart w:id="33" w:name="_Toc296890987"/>
      <w:bookmarkStart w:id="34" w:name="_Toc304295523"/>
      <w:bookmarkStart w:id="35" w:name="_Toc296891199"/>
      <w:bookmarkStart w:id="36" w:name="_Toc297048345"/>
      <w:bookmarkStart w:id="37" w:name="_Toc297216151"/>
      <w:bookmarkStart w:id="38" w:name="_Toc296347158"/>
      <w:r>
        <w:rPr>
          <w:b/>
          <w:color w:val="auto"/>
        </w:rPr>
        <w:t>.5 分包</w: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Pr>
        <w:spacing w:line="360" w:lineRule="auto"/>
        <w:ind w:firstLine="420" w:firstLineChars="200"/>
        <w:rPr>
          <w:rFonts w:eastAsia="仿宋_GB2312"/>
          <w:color w:val="auto"/>
          <w:szCs w:val="21"/>
        </w:rPr>
      </w:pPr>
      <w:bookmarkStart w:id="39" w:name="_Toc312677990"/>
      <w:bookmarkStart w:id="40" w:name="_Toc318581159"/>
      <w:r>
        <w:rPr>
          <w:rFonts w:eastAsia="仿宋_GB2312"/>
          <w:color w:val="auto"/>
          <w:szCs w:val="21"/>
        </w:rPr>
        <w:t>3</w:t>
      </w:r>
      <w:bookmarkStart w:id="41" w:name="_Toc300934946"/>
      <w:bookmarkStart w:id="42" w:name="_Toc296347159"/>
      <w:bookmarkStart w:id="43" w:name="_Toc297048346"/>
      <w:bookmarkStart w:id="44" w:name="_Toc296891200"/>
      <w:bookmarkStart w:id="45" w:name="_Toc296346661"/>
      <w:bookmarkStart w:id="46" w:name="_Toc297120460"/>
      <w:bookmarkStart w:id="47" w:name="_Toc292559870"/>
      <w:bookmarkStart w:id="48" w:name="_Toc304295524"/>
      <w:bookmarkStart w:id="49" w:name="_Toc292559365"/>
      <w:bookmarkStart w:id="50" w:name="_Toc297216152"/>
      <w:bookmarkStart w:id="51" w:name="_Toc296503160"/>
      <w:bookmarkStart w:id="52" w:name="_Toc297123493"/>
      <w:bookmarkStart w:id="53" w:name="_Toc296944499"/>
      <w:bookmarkStart w:id="54" w:name="_Toc303539103"/>
      <w:bookmarkStart w:id="55" w:name="_Toc296890988"/>
      <w:bookmarkStart w:id="56" w:name="_Toc312677989"/>
      <w:bookmarkStart w:id="57" w:name="_Toc318581158"/>
      <w:r>
        <w:rPr>
          <w:rFonts w:eastAsia="仿宋_GB2312"/>
          <w:color w:val="auto"/>
          <w:szCs w:val="21"/>
        </w:rPr>
        <w:t>.5.1 分包的一般约定</w:t>
      </w:r>
    </w:p>
    <w:p>
      <w:pPr>
        <w:keepNext w:val="0"/>
        <w:keepLines w:val="0"/>
        <w:widowControl/>
        <w:suppressLineNumbers w:val="0"/>
        <w:ind w:firstLine="420" w:firstLineChars="200"/>
        <w:jc w:val="left"/>
        <w:rPr>
          <w:rFonts w:eastAsia="仿宋_GB2312"/>
          <w:color w:val="auto"/>
          <w:szCs w:val="21"/>
        </w:rPr>
      </w:pPr>
      <w:r>
        <w:rPr>
          <w:rFonts w:eastAsia="仿宋_GB2312"/>
          <w:color w:val="auto"/>
          <w:szCs w:val="21"/>
        </w:rPr>
        <w:t>禁止分包的工程包括：</w:t>
      </w:r>
      <w:r>
        <w:rPr>
          <w:rFonts w:hint="eastAsia" w:eastAsia="仿宋_GB2312"/>
          <w:color w:val="auto"/>
          <w:szCs w:val="21"/>
          <w:u w:val="single"/>
        </w:rPr>
        <w:t></w:t>
      </w:r>
      <w:r>
        <w:rPr>
          <w:rFonts w:hint="eastAsia" w:eastAsia="仿宋_GB2312"/>
          <w:color w:val="auto"/>
          <w:szCs w:val="21"/>
          <w:u w:val="single"/>
          <w:lang w:val="en-US" w:eastAsia="zh-CN"/>
        </w:rPr>
        <w:t>本工程承包人不允许违法分包，非承包人资质范围的工程内容须分包的应经发包人同意，分包合同报发包人备案</w:t>
      </w:r>
      <w:r>
        <w:rPr>
          <w:rFonts w:ascii="宋体" w:hAnsi="宋体"/>
          <w:color w:val="auto"/>
          <w:szCs w:val="21"/>
          <w:u w:val="single"/>
        </w:rPr>
        <w:t xml:space="preserve"> </w:t>
      </w:r>
      <w:r>
        <w:rPr>
          <w:rFonts w:eastAsia="仿宋_GB2312"/>
          <w:color w:val="auto"/>
          <w:szCs w:val="21"/>
        </w:rPr>
        <w:t>。</w:t>
      </w:r>
    </w:p>
    <w:p>
      <w:pPr>
        <w:keepNext w:val="0"/>
        <w:keepLines w:val="0"/>
        <w:widowControl/>
        <w:suppressLineNumbers w:val="0"/>
        <w:ind w:firstLine="420" w:firstLineChars="200"/>
        <w:jc w:val="left"/>
        <w:rPr>
          <w:rFonts w:eastAsia="仿宋_GB2312"/>
          <w:color w:val="auto"/>
          <w:szCs w:val="21"/>
          <w:u w:val="single"/>
        </w:rPr>
      </w:pPr>
      <w:r>
        <w:rPr>
          <w:rFonts w:eastAsia="仿宋_GB2312"/>
          <w:color w:val="auto"/>
          <w:szCs w:val="21"/>
        </w:rPr>
        <w:t>主体结构、关键性工作的范围：</w:t>
      </w:r>
      <w:r>
        <w:rPr>
          <w:rFonts w:hint="eastAsia" w:eastAsia="仿宋_GB2312"/>
          <w:color w:val="auto"/>
          <w:szCs w:val="21"/>
          <w:u w:val="single"/>
          <w:lang w:val="en-US" w:eastAsia="zh-CN"/>
        </w:rPr>
        <w:t xml:space="preserve">全部由承包人完成，招标文件另有约定除外   </w:t>
      </w:r>
      <w:r>
        <w:rPr>
          <w:rFonts w:eastAsia="仿宋_GB2312"/>
          <w:color w:val="auto"/>
          <w:szCs w:val="21"/>
        </w:rPr>
        <w:t>。</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Start w:id="58" w:name="_Toc296503161"/>
      <w:bookmarkStart w:id="59" w:name="_Toc300934947"/>
      <w:bookmarkStart w:id="60" w:name="_Toc297216153"/>
      <w:bookmarkStart w:id="61" w:name="_Toc296944500"/>
      <w:bookmarkStart w:id="62" w:name="_Toc296891201"/>
      <w:bookmarkStart w:id="63" w:name="_Toc296346662"/>
      <w:bookmarkStart w:id="64" w:name="_Toc303539104"/>
      <w:bookmarkStart w:id="65" w:name="_Toc296890989"/>
      <w:bookmarkStart w:id="66" w:name="_Toc304295525"/>
      <w:bookmarkStart w:id="67" w:name="_Toc297048347"/>
      <w:bookmarkStart w:id="68" w:name="_Toc297123494"/>
      <w:bookmarkStart w:id="69" w:name="_Toc296347160"/>
      <w:bookmarkStart w:id="70" w:name="_Toc297120461"/>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Pr>
        <w:spacing w:line="360" w:lineRule="auto"/>
        <w:rPr>
          <w:rFonts w:eastAsia="仿宋_GB2312"/>
          <w:color w:val="auto"/>
          <w:szCs w:val="21"/>
        </w:rPr>
      </w:pPr>
      <w:r>
        <w:rPr>
          <w:rFonts w:eastAsia="仿宋_GB2312"/>
          <w:color w:val="auto"/>
          <w:szCs w:val="21"/>
        </w:rPr>
        <w:t xml:space="preserve">    3.5.2分包的确定</w:t>
      </w:r>
    </w:p>
    <w:p>
      <w:pPr>
        <w:keepNext w:val="0"/>
        <w:keepLines w:val="0"/>
        <w:widowControl/>
        <w:suppressLineNumbers w:val="0"/>
        <w:ind w:firstLine="420" w:firstLineChars="200"/>
        <w:jc w:val="left"/>
        <w:rPr>
          <w:rFonts w:eastAsia="仿宋_GB2312"/>
          <w:color w:val="auto"/>
          <w:szCs w:val="21"/>
          <w:u w:val="single"/>
        </w:rPr>
      </w:pPr>
      <w:r>
        <w:rPr>
          <w:rFonts w:eastAsia="仿宋_GB2312"/>
          <w:color w:val="auto"/>
          <w:szCs w:val="21"/>
        </w:rPr>
        <w:t>允许分包的专业工程包括：</w:t>
      </w:r>
      <w:r>
        <w:rPr>
          <w:rFonts w:hint="eastAsia" w:eastAsia="仿宋_GB2312" w:cs="Times New Roman"/>
          <w:color w:val="auto"/>
          <w:szCs w:val="21"/>
          <w:u w:val="single"/>
          <w:lang w:val="en-US" w:eastAsia="zh-CN"/>
        </w:rPr>
        <w:t>承包人在本合同签订前，如需将专业工程进行分包的，则须确定分包单位且经发包人书面同意，分包合</w:t>
      </w:r>
      <w:r>
        <w:rPr>
          <w:rFonts w:hint="eastAsia" w:eastAsia="仿宋_GB2312"/>
          <w:color w:val="auto"/>
          <w:szCs w:val="21"/>
          <w:u w:val="single"/>
          <w:lang w:val="en-US" w:eastAsia="zh-CN"/>
        </w:rPr>
        <w:t xml:space="preserve">同报发包人备案 </w:t>
      </w:r>
      <w:r>
        <w:rPr>
          <w:rFonts w:eastAsia="仿宋_GB2312"/>
          <w:color w:val="auto"/>
          <w:szCs w:val="21"/>
        </w:rPr>
        <w:t>。</w:t>
      </w:r>
    </w:p>
    <w:p>
      <w:pPr>
        <w:spacing w:line="360" w:lineRule="auto"/>
        <w:ind w:firstLine="420" w:firstLineChars="200"/>
        <w:rPr>
          <w:rFonts w:eastAsia="仿宋_GB2312"/>
          <w:color w:val="auto"/>
          <w:szCs w:val="21"/>
          <w:u w:val="single"/>
        </w:rPr>
      </w:pPr>
      <w:r>
        <w:rPr>
          <w:rFonts w:eastAsia="仿宋_GB2312"/>
          <w:color w:val="auto"/>
          <w:szCs w:val="21"/>
        </w:rPr>
        <w:t>其他关于分包的约定：</w:t>
      </w:r>
      <w:r>
        <w:rPr>
          <w:rFonts w:hint="eastAsia" w:eastAsia="仿宋_GB2312"/>
          <w:color w:val="auto"/>
          <w:szCs w:val="21"/>
          <w:u w:val="single"/>
          <w:lang w:val="en-US" w:eastAsia="zh-CN"/>
        </w:rPr>
        <w:t xml:space="preserve">（1）分包工程合同由承包人与专业分包人签订，且合同内容需经监理人、发包人同意后方可签订；若监理人或发包人对分包合同提出修改意见或建议，承包人需进行修改并经监理人、发包人同意后方可签订。（2）在相关分包合同签订后 7 天内，承包人应当将分包合同（副本）提交给监理 人和发包人，承包人应保证分包工程不得再次分包。（3）未经发包人和监理人同意的分包工程和分包人，发包人有权拒绝验收分包工程和支付相应款项，由此引起的发包人费用增加(或)延误的工期均由承包人承担 </w:t>
      </w:r>
      <w:r>
        <w:rPr>
          <w:rFonts w:eastAsia="仿宋_GB2312"/>
          <w:color w:val="auto"/>
          <w:szCs w:val="21"/>
        </w:rPr>
        <w:t>。</w:t>
      </w:r>
    </w:p>
    <w:p>
      <w:pPr>
        <w:spacing w:line="360" w:lineRule="auto"/>
        <w:ind w:firstLine="420" w:firstLineChars="200"/>
        <w:rPr>
          <w:rFonts w:eastAsia="仿宋_GB2312"/>
          <w:color w:val="auto"/>
          <w:szCs w:val="21"/>
        </w:rPr>
      </w:pPr>
      <w:r>
        <w:rPr>
          <w:rFonts w:eastAsia="仿宋_GB2312"/>
          <w:color w:val="auto"/>
          <w:szCs w:val="21"/>
        </w:rPr>
        <w:t>3.5.4 分包合同价款</w:t>
      </w:r>
    </w:p>
    <w:p>
      <w:pPr>
        <w:spacing w:line="360" w:lineRule="auto"/>
        <w:ind w:firstLine="420" w:firstLineChars="200"/>
        <w:rPr>
          <w:rFonts w:eastAsia="仿宋_GB2312"/>
          <w:color w:val="auto"/>
          <w:szCs w:val="21"/>
        </w:rPr>
      </w:pPr>
      <w:r>
        <w:rPr>
          <w:rFonts w:eastAsia="仿宋_GB2312"/>
          <w:color w:val="auto"/>
          <w:szCs w:val="21"/>
        </w:rPr>
        <w:t>关于分包合同价款支付的约定：</w:t>
      </w:r>
      <w:r>
        <w:rPr>
          <w:rFonts w:hint="eastAsia" w:eastAsia="仿宋_GB2312"/>
          <w:color w:val="auto"/>
          <w:szCs w:val="21"/>
          <w:u w:val="single"/>
          <w:lang w:val="en-US" w:eastAsia="zh-CN"/>
        </w:rPr>
        <w:t>分包工程价款由承包人与分包人结算。发包人未经 承包人同意不得以任何形式向分包人支付相关分包合同项下的任何工程款项，同时承包人须按发包人要求技术提供支付凭证，否则发包人有权不予支付下期总包工程款。因发包人未经承包人同意直接向分包人支付相关分包合同项下的任何工程款项而影响承包人工作的，所造成的承包人费用增加或延误的工期由发包人承担</w:t>
      </w:r>
      <w:r>
        <w:rPr>
          <w:rFonts w:eastAsia="仿宋_GB2312"/>
          <w:color w:val="auto"/>
          <w:szCs w:val="21"/>
        </w:rPr>
        <w:t>。</w:t>
      </w:r>
    </w:p>
    <w:bookmarkEnd w:id="39"/>
    <w:bookmarkEnd w:id="40"/>
    <w:p>
      <w:pPr>
        <w:spacing w:after="120" w:line="360" w:lineRule="auto"/>
        <w:ind w:firstLine="422" w:firstLineChars="200"/>
        <w:rPr>
          <w:b/>
          <w:color w:val="auto"/>
        </w:rPr>
      </w:pPr>
      <w:r>
        <w:rPr>
          <w:b/>
          <w:color w:val="auto"/>
        </w:rPr>
        <w:t>3.6 工程照管与成品、半成品保护</w:t>
      </w:r>
    </w:p>
    <w:p>
      <w:pPr>
        <w:spacing w:before="120" w:after="120" w:line="360" w:lineRule="auto"/>
        <w:ind w:firstLine="420" w:firstLineChars="200"/>
        <w:rPr>
          <w:rFonts w:eastAsia="仿宋_GB2312"/>
          <w:color w:val="auto"/>
          <w:kern w:val="0"/>
          <w:szCs w:val="21"/>
          <w:u w:val="single"/>
        </w:rPr>
      </w:pPr>
      <w:r>
        <w:rPr>
          <w:rFonts w:eastAsia="仿宋_GB2312"/>
          <w:color w:val="auto"/>
          <w:kern w:val="0"/>
          <w:szCs w:val="21"/>
        </w:rPr>
        <w:t>承包人负责照管工程及工程相关的材料、工程设备的起始时间：</w:t>
      </w:r>
      <w:r>
        <w:rPr>
          <w:rFonts w:hint="eastAsia" w:eastAsia="仿宋_GB2312"/>
          <w:color w:val="auto"/>
          <w:kern w:val="0"/>
          <w:szCs w:val="21"/>
          <w:u w:val="single"/>
        </w:rPr>
        <w:t>自开工之日起至竣工验收通过交付使用之日止</w:t>
      </w:r>
      <w:r>
        <w:rPr>
          <w:rFonts w:eastAsia="仿宋_GB2312"/>
          <w:color w:val="auto"/>
          <w:kern w:val="0"/>
          <w:szCs w:val="21"/>
        </w:rPr>
        <w:t>。</w:t>
      </w:r>
    </w:p>
    <w:p>
      <w:pPr>
        <w:spacing w:after="120" w:line="360" w:lineRule="auto"/>
        <w:ind w:firstLine="422" w:firstLineChars="200"/>
        <w:rPr>
          <w:b/>
          <w:color w:val="auto"/>
        </w:rPr>
      </w:pPr>
      <w:r>
        <w:rPr>
          <w:b/>
          <w:color w:val="auto"/>
        </w:rPr>
        <w:t>3.7 履约担保</w:t>
      </w:r>
    </w:p>
    <w:p>
      <w:pPr>
        <w:spacing w:line="360" w:lineRule="auto"/>
        <w:ind w:firstLine="420" w:firstLineChars="200"/>
        <w:jc w:val="left"/>
        <w:rPr>
          <w:rFonts w:eastAsia="仿宋_GB2312"/>
          <w:color w:val="auto"/>
          <w:szCs w:val="21"/>
        </w:rPr>
      </w:pPr>
      <w:r>
        <w:rPr>
          <w:rFonts w:hint="eastAsia" w:eastAsia="仿宋_GB2312"/>
          <w:color w:val="auto"/>
          <w:szCs w:val="21"/>
        </w:rPr>
        <w:t>承包人是否提供履约担保：</w:t>
      </w:r>
      <w:r>
        <w:rPr>
          <w:rFonts w:eastAsia="仿宋_GB2312"/>
          <w:color w:val="auto"/>
          <w:szCs w:val="21"/>
          <w:u w:val="single"/>
        </w:rPr>
        <w:t xml:space="preserve">  </w:t>
      </w:r>
      <w:r>
        <w:rPr>
          <w:rFonts w:hint="eastAsia" w:eastAsia="仿宋_GB2312"/>
          <w:color w:val="auto"/>
          <w:szCs w:val="21"/>
          <w:u w:val="single"/>
        </w:rPr>
        <w:t xml:space="preserve"> 是</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u w:val="single"/>
        </w:rPr>
      </w:pPr>
      <w:r>
        <w:rPr>
          <w:rFonts w:eastAsia="仿宋_GB2312"/>
          <w:color w:val="auto"/>
          <w:szCs w:val="21"/>
        </w:rPr>
        <w:t>承包人提供履约担保的形式</w:t>
      </w:r>
      <w:r>
        <w:rPr>
          <w:rFonts w:hint="eastAsia" w:eastAsia="仿宋_GB2312"/>
          <w:color w:val="auto"/>
          <w:szCs w:val="21"/>
        </w:rPr>
        <w:t>、金额及期限的</w:t>
      </w:r>
      <w:r>
        <w:rPr>
          <w:rFonts w:eastAsia="仿宋_GB2312"/>
          <w:color w:val="auto"/>
          <w:szCs w:val="21"/>
        </w:rPr>
        <w:t>：</w:t>
      </w:r>
      <w:r>
        <w:rPr>
          <w:rFonts w:hint="eastAsia" w:eastAsia="仿宋_GB2312"/>
          <w:color w:val="auto"/>
          <w:szCs w:val="21"/>
          <w:u w:val="single"/>
        </w:rPr>
        <w:t>中标通知书备案之日算起的15个工作日内，承包人按扣除暂列金额后的中标价的</w:t>
      </w:r>
      <w:r>
        <w:rPr>
          <w:rFonts w:eastAsia="仿宋_GB2312"/>
          <w:color w:val="auto"/>
          <w:szCs w:val="21"/>
          <w:u w:val="single"/>
        </w:rPr>
        <w:t>5</w:t>
      </w:r>
      <w:r>
        <w:rPr>
          <w:rFonts w:hint="eastAsia" w:eastAsia="仿宋_GB2312"/>
          <w:color w:val="auto"/>
          <w:szCs w:val="21"/>
          <w:u w:val="single"/>
        </w:rPr>
        <w:t>%（四舍五入到元</w:t>
      </w:r>
      <w:r>
        <w:rPr>
          <w:rFonts w:hint="eastAsia" w:eastAsia="仿宋_GB2312"/>
          <w:color w:val="auto"/>
          <w:szCs w:val="21"/>
          <w:u w:val="single"/>
          <w:lang w:eastAsia="zh-CN"/>
        </w:rPr>
        <w:t>，</w:t>
      </w:r>
      <w:r>
        <w:rPr>
          <w:rFonts w:hint="eastAsia" w:eastAsia="仿宋_GB2312"/>
          <w:b/>
          <w:bCs/>
          <w:color w:val="auto"/>
          <w:szCs w:val="21"/>
          <w:u w:val="single"/>
          <w:lang w:val="en-US" w:eastAsia="zh-CN"/>
        </w:rPr>
        <w:t>其中合同金额的3%作为农民工工资保证金</w:t>
      </w:r>
      <w:r>
        <w:rPr>
          <w:rFonts w:hint="eastAsia" w:eastAsia="仿宋_GB2312"/>
          <w:color w:val="auto"/>
          <w:szCs w:val="21"/>
          <w:u w:val="single"/>
        </w:rPr>
        <w:t>）的履约保证金足额缴纳至发包人指定帐户，承包人以银行转账或保函或保单的方式向发包人提供履约担保。</w:t>
      </w:r>
      <w:r>
        <w:rPr>
          <w:rFonts w:hint="eastAsia" w:eastAsia="仿宋_GB2312"/>
          <w:color w:val="auto"/>
          <w:szCs w:val="21"/>
          <w:u w:val="single"/>
          <w:lang w:eastAsia="zh-CN"/>
        </w:rPr>
        <w:t>除农民工工资保证金以外的</w:t>
      </w:r>
      <w:r>
        <w:rPr>
          <w:rFonts w:hint="eastAsia" w:eastAsia="仿宋_GB2312"/>
          <w:color w:val="auto"/>
          <w:szCs w:val="21"/>
          <w:u w:val="single"/>
          <w:lang w:val="en-US" w:eastAsia="zh-CN"/>
        </w:rPr>
        <w:t>2%履约保证金</w:t>
      </w:r>
      <w:r>
        <w:rPr>
          <w:rFonts w:hint="eastAsia" w:eastAsia="仿宋_GB2312"/>
          <w:color w:val="auto"/>
          <w:szCs w:val="21"/>
          <w:u w:val="single"/>
        </w:rPr>
        <w:t>中工程质量保证金占45%、工期保证金占1</w:t>
      </w:r>
      <w:r>
        <w:rPr>
          <w:rFonts w:eastAsia="仿宋_GB2312"/>
          <w:color w:val="auto"/>
          <w:szCs w:val="21"/>
          <w:u w:val="single"/>
        </w:rPr>
        <w:t>5</w:t>
      </w:r>
      <w:r>
        <w:rPr>
          <w:rFonts w:hint="eastAsia" w:eastAsia="仿宋_GB2312"/>
          <w:color w:val="auto"/>
          <w:szCs w:val="21"/>
          <w:u w:val="single"/>
        </w:rPr>
        <w:t>%、项目管理班子到位率保证金占20%、安全保证金占2</w:t>
      </w:r>
      <w:r>
        <w:rPr>
          <w:rFonts w:eastAsia="仿宋_GB2312"/>
          <w:color w:val="auto"/>
          <w:szCs w:val="21"/>
          <w:u w:val="single"/>
        </w:rPr>
        <w:t>0</w:t>
      </w:r>
      <w:r>
        <w:rPr>
          <w:rFonts w:hint="eastAsia" w:eastAsia="仿宋_GB2312"/>
          <w:color w:val="auto"/>
          <w:szCs w:val="21"/>
          <w:u w:val="single"/>
        </w:rPr>
        <w:t>%。履约保证金在工程竣工验收合格后15天内扣除各项违约金后无息退还。保函或保单形式：保函或保单有效期须至项目竣工验收合格，若期间保函或保单失效，由中标单位在保函或保单失效前重新办理，有效期须至项目竣工验收合格</w:t>
      </w:r>
      <w:r>
        <w:rPr>
          <w:rFonts w:eastAsia="仿宋_GB2312"/>
          <w:color w:val="auto"/>
          <w:szCs w:val="21"/>
        </w:rPr>
        <w:t>。</w:t>
      </w:r>
    </w:p>
    <w:p>
      <w:pPr>
        <w:spacing w:after="120" w:line="360" w:lineRule="auto"/>
        <w:ind w:firstLine="422" w:firstLineChars="200"/>
        <w:rPr>
          <w:b/>
          <w:color w:val="auto"/>
        </w:rPr>
      </w:pPr>
      <w:r>
        <w:rPr>
          <w:b/>
          <w:color w:val="auto"/>
        </w:rPr>
        <w:t>5.1 质量要求</w:t>
      </w:r>
    </w:p>
    <w:p>
      <w:pPr>
        <w:spacing w:line="360" w:lineRule="auto"/>
        <w:ind w:firstLine="420" w:firstLineChars="200"/>
        <w:jc w:val="left"/>
        <w:rPr>
          <w:rFonts w:eastAsia="仿宋_GB2312"/>
          <w:color w:val="auto"/>
          <w:szCs w:val="21"/>
          <w:u w:val="single"/>
        </w:rPr>
      </w:pPr>
      <w:r>
        <w:rPr>
          <w:rFonts w:eastAsia="仿宋_GB2312"/>
          <w:color w:val="auto"/>
          <w:szCs w:val="21"/>
        </w:rPr>
        <w:t>5.1.1 特殊质量标准和要求：</w:t>
      </w:r>
      <w:r>
        <w:rPr>
          <w:rFonts w:eastAsia="仿宋_GB2312"/>
          <w:color w:val="auto"/>
          <w:szCs w:val="21"/>
          <w:u w:val="single"/>
        </w:rPr>
        <w:t xml:space="preserve">   </w:t>
      </w:r>
      <w:r>
        <w:rPr>
          <w:rFonts w:hint="eastAsia" w:eastAsia="仿宋_GB2312"/>
          <w:color w:val="auto"/>
          <w:szCs w:val="21"/>
          <w:u w:val="single"/>
        </w:rPr>
        <w:t>本工程施工质量要求合格。当初次竣工验收不合格，承包人必须无条件进行整改，整改后仍达不到合格验收标准，承包人向发包人支付100%的质量保证金的违约金，并无条件整改直至合格，同时工期不予顺延</w:t>
      </w:r>
      <w:r>
        <w:rPr>
          <w:rFonts w:eastAsia="仿宋_GB2312"/>
          <w:color w:val="auto"/>
          <w:szCs w:val="21"/>
        </w:rPr>
        <w:t>。</w:t>
      </w:r>
    </w:p>
    <w:p>
      <w:pPr>
        <w:spacing w:line="360" w:lineRule="auto"/>
        <w:ind w:firstLine="420" w:firstLineChars="200"/>
        <w:jc w:val="left"/>
        <w:rPr>
          <w:rFonts w:eastAsia="仿宋_GB2312"/>
          <w:color w:val="auto"/>
          <w:szCs w:val="21"/>
          <w:u w:val="single"/>
        </w:rPr>
      </w:pPr>
      <w:r>
        <w:rPr>
          <w:rFonts w:eastAsia="仿宋_GB2312"/>
          <w:color w:val="auto"/>
          <w:szCs w:val="21"/>
        </w:rPr>
        <w:t>关于工程奖项的约定：</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line="360" w:lineRule="auto"/>
        <w:ind w:firstLine="422" w:firstLineChars="200"/>
        <w:jc w:val="left"/>
        <w:rPr>
          <w:b/>
          <w:color w:val="auto"/>
        </w:rPr>
      </w:pPr>
      <w:r>
        <w:rPr>
          <w:b/>
          <w:color w:val="auto"/>
        </w:rPr>
        <w:t>7.3.2开工通知</w:t>
      </w:r>
    </w:p>
    <w:p>
      <w:pPr>
        <w:spacing w:line="360" w:lineRule="auto"/>
        <w:ind w:firstLine="420" w:firstLineChars="200"/>
        <w:jc w:val="left"/>
        <w:rPr>
          <w:rFonts w:eastAsia="仿宋_GB2312"/>
          <w:color w:val="auto"/>
          <w:szCs w:val="21"/>
        </w:rPr>
      </w:pPr>
      <w:r>
        <w:rPr>
          <w:rFonts w:eastAsia="仿宋_GB2312"/>
          <w:color w:val="auto"/>
          <w:szCs w:val="21"/>
        </w:rPr>
        <w:t>因发包人原因造成监理人未能在计划开工日期之日起</w:t>
      </w:r>
      <w:r>
        <w:rPr>
          <w:rFonts w:eastAsia="仿宋_GB2312"/>
          <w:color w:val="auto"/>
          <w:sz w:val="24"/>
          <w:u w:val="single"/>
        </w:rPr>
        <w:t xml:space="preserve">   </w:t>
      </w:r>
      <w:r>
        <w:rPr>
          <w:rFonts w:hint="eastAsia" w:eastAsia="仿宋_GB2312"/>
          <w:color w:val="auto"/>
          <w:sz w:val="24"/>
          <w:u w:val="single"/>
        </w:rPr>
        <w:t>90</w:t>
      </w:r>
      <w:r>
        <w:rPr>
          <w:rFonts w:eastAsia="仿宋_GB2312"/>
          <w:color w:val="auto"/>
          <w:sz w:val="24"/>
          <w:u w:val="single"/>
        </w:rPr>
        <w:t xml:space="preserve">  </w:t>
      </w:r>
      <w:r>
        <w:rPr>
          <w:rFonts w:eastAsia="仿宋_GB2312"/>
          <w:color w:val="auto"/>
          <w:szCs w:val="21"/>
        </w:rPr>
        <w:t>天内发出开工通知的，承包人有权提出价格调整要求，或者解除合同。</w:t>
      </w:r>
    </w:p>
    <w:p>
      <w:pPr>
        <w:spacing w:line="360" w:lineRule="auto"/>
        <w:ind w:firstLine="420" w:firstLineChars="200"/>
        <w:jc w:val="left"/>
        <w:rPr>
          <w:rFonts w:eastAsia="仿宋_GB2312"/>
          <w:color w:val="auto"/>
          <w:szCs w:val="21"/>
        </w:rPr>
      </w:pPr>
      <w:r>
        <w:rPr>
          <w:rFonts w:eastAsia="仿宋_GB2312"/>
          <w:color w:val="auto"/>
          <w:szCs w:val="21"/>
        </w:rPr>
        <w:t>7.5.1 因发包人原因导致工期延误</w:t>
      </w:r>
    </w:p>
    <w:p>
      <w:pPr>
        <w:spacing w:line="360" w:lineRule="auto"/>
        <w:ind w:firstLine="420" w:firstLineChars="200"/>
        <w:jc w:val="left"/>
        <w:rPr>
          <w:rFonts w:eastAsia="仿宋_GB2312"/>
          <w:color w:val="auto"/>
          <w:szCs w:val="21"/>
          <w:u w:val="single"/>
        </w:rPr>
      </w:pPr>
      <w:r>
        <w:rPr>
          <w:rFonts w:eastAsia="仿宋_GB2312"/>
          <w:color w:val="auto"/>
          <w:szCs w:val="21"/>
        </w:rPr>
        <w:t>（7）因发包人原因导致工期延误的其他情形：</w:t>
      </w:r>
      <w:r>
        <w:rPr>
          <w:rFonts w:hint="eastAsia" w:eastAsia="仿宋_GB2312"/>
          <w:color w:val="auto"/>
          <w:szCs w:val="21"/>
          <w:u w:val="single"/>
        </w:rPr>
        <w:t>①甲供材料设备到货影响工程关键线路进度的；②发生重大设计变更引起工期延误；③非承包人原因引起的，发包人、承包人和监理单位共同确认需要延长工期的，可按三方协商一致后的书面签证予以顺延</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7</w:t>
      </w:r>
      <w:bookmarkStart w:id="71" w:name="_Toc318581169"/>
      <w:bookmarkStart w:id="72" w:name="_Toc312678012"/>
      <w:bookmarkStart w:id="73" w:name="_Toc312677486"/>
      <w:bookmarkStart w:id="74" w:name="_Toc297123518"/>
      <w:bookmarkStart w:id="75" w:name="_Toc304295548"/>
      <w:bookmarkStart w:id="76" w:name="_Toc303539127"/>
      <w:bookmarkStart w:id="77" w:name="_Toc300934970"/>
      <w:bookmarkStart w:id="78" w:name="_Toc297216177"/>
      <w:r>
        <w:rPr>
          <w:rFonts w:eastAsia="仿宋_GB2312"/>
          <w:color w:val="auto"/>
          <w:szCs w:val="21"/>
        </w:rPr>
        <w:t>.5.2 因承包人原因导致工期延误</w:t>
      </w:r>
    </w:p>
    <w:bookmarkEnd w:id="71"/>
    <w:bookmarkEnd w:id="72"/>
    <w:bookmarkEnd w:id="73"/>
    <w:p>
      <w:pPr>
        <w:spacing w:line="360" w:lineRule="auto"/>
        <w:ind w:firstLine="420" w:firstLineChars="200"/>
        <w:jc w:val="left"/>
        <w:rPr>
          <w:rFonts w:eastAsia="仿宋_GB2312"/>
          <w:color w:val="auto"/>
          <w:szCs w:val="21"/>
          <w:u w:val="single"/>
        </w:rPr>
      </w:pPr>
      <w:r>
        <w:rPr>
          <w:rFonts w:eastAsia="仿宋_GB2312"/>
          <w:color w:val="auto"/>
          <w:szCs w:val="21"/>
        </w:rPr>
        <w:t>因</w:t>
      </w:r>
      <w:bookmarkStart w:id="79" w:name="_Toc312678013"/>
      <w:bookmarkStart w:id="80" w:name="_Toc312677487"/>
      <w:bookmarkStart w:id="81" w:name="_Toc318581170"/>
      <w:r>
        <w:rPr>
          <w:rFonts w:eastAsia="仿宋_GB2312"/>
          <w:color w:val="auto"/>
          <w:szCs w:val="21"/>
        </w:rPr>
        <w:t>承包人原因造成工期延误，逾期竣工违约金的计算方法为：</w:t>
      </w:r>
      <w:r>
        <w:rPr>
          <w:rFonts w:hint="eastAsia" w:eastAsia="仿宋_GB2312"/>
          <w:color w:val="auto"/>
          <w:szCs w:val="21"/>
          <w:u w:val="single"/>
        </w:rPr>
        <w:t>若承包人达不到本工程施工工期的要求，延误10天内每天向发包人支付</w:t>
      </w:r>
      <w:r>
        <w:rPr>
          <w:rFonts w:hint="eastAsia" w:eastAsia="仿宋_GB2312"/>
          <w:color w:val="auto"/>
          <w:szCs w:val="21"/>
          <w:u w:val="single"/>
          <w:lang w:val="en-US" w:eastAsia="zh-CN"/>
        </w:rPr>
        <w:t>5</w:t>
      </w:r>
      <w:r>
        <w:rPr>
          <w:rFonts w:hint="eastAsia" w:eastAsia="仿宋_GB2312"/>
          <w:color w:val="auto"/>
          <w:szCs w:val="21"/>
          <w:u w:val="single"/>
        </w:rPr>
        <w:t>000元违约金；延误11-30天每天向发包人支付</w:t>
      </w:r>
      <w:r>
        <w:rPr>
          <w:rFonts w:hint="eastAsia" w:eastAsia="仿宋_GB2312"/>
          <w:color w:val="auto"/>
          <w:szCs w:val="21"/>
          <w:u w:val="single"/>
          <w:lang w:val="en-US" w:eastAsia="zh-CN"/>
        </w:rPr>
        <w:t>6</w:t>
      </w:r>
      <w:r>
        <w:rPr>
          <w:rFonts w:hint="eastAsia" w:eastAsia="仿宋_GB2312"/>
          <w:color w:val="auto"/>
          <w:szCs w:val="21"/>
          <w:u w:val="single"/>
        </w:rPr>
        <w:t>000元违约金(含前面的10天)；延误31天以上每天向发包人支付</w:t>
      </w:r>
      <w:r>
        <w:rPr>
          <w:rFonts w:hint="eastAsia" w:eastAsia="仿宋_GB2312"/>
          <w:color w:val="auto"/>
          <w:szCs w:val="21"/>
          <w:u w:val="single"/>
          <w:lang w:val="en-US" w:eastAsia="zh-CN"/>
        </w:rPr>
        <w:t>10</w:t>
      </w:r>
      <w:r>
        <w:rPr>
          <w:rFonts w:hint="eastAsia" w:eastAsia="仿宋_GB2312"/>
          <w:color w:val="auto"/>
          <w:szCs w:val="21"/>
          <w:u w:val="single"/>
        </w:rPr>
        <w:t>000元（含前面的30天）；发包人有权直接从履约保证金中扣除承包人应支付的违约金，扣完为止</w:t>
      </w:r>
      <w:r>
        <w:rPr>
          <w:rFonts w:eastAsia="仿宋_GB2312"/>
          <w:color w:val="auto"/>
          <w:szCs w:val="21"/>
        </w:rPr>
        <w:t>。</w:t>
      </w:r>
      <w:bookmarkEnd w:id="74"/>
      <w:bookmarkEnd w:id="75"/>
      <w:bookmarkEnd w:id="76"/>
      <w:bookmarkEnd w:id="77"/>
      <w:bookmarkEnd w:id="78"/>
      <w:bookmarkEnd w:id="79"/>
      <w:bookmarkEnd w:id="80"/>
    </w:p>
    <w:bookmarkEnd w:id="81"/>
    <w:p>
      <w:pPr>
        <w:spacing w:line="360" w:lineRule="auto"/>
        <w:ind w:firstLine="420" w:firstLineChars="200"/>
        <w:jc w:val="left"/>
        <w:rPr>
          <w:rFonts w:eastAsia="仿宋_GB2312"/>
          <w:color w:val="auto"/>
          <w:szCs w:val="21"/>
        </w:rPr>
      </w:pPr>
      <w:r>
        <w:rPr>
          <w:rFonts w:eastAsia="仿宋_GB2312"/>
          <w:color w:val="auto"/>
          <w:szCs w:val="21"/>
        </w:rPr>
        <w:t>因承包人原因造成工期延误，逾期竣工违约金的上限：</w:t>
      </w:r>
      <w:r>
        <w:rPr>
          <w:rFonts w:hint="eastAsia" w:eastAsia="仿宋_GB2312"/>
          <w:color w:val="auto"/>
          <w:szCs w:val="21"/>
          <w:u w:val="single"/>
        </w:rPr>
        <w:t>若中途实际施工进度严重延期影响进度工期20%及以上时发包人有权终止合同，同时不支付工程款</w:t>
      </w:r>
      <w:r>
        <w:rPr>
          <w:rFonts w:eastAsia="仿宋_GB2312"/>
          <w:color w:val="auto"/>
          <w:szCs w:val="21"/>
        </w:rPr>
        <w:t>。</w:t>
      </w:r>
    </w:p>
    <w:p>
      <w:pPr>
        <w:spacing w:after="120" w:line="360" w:lineRule="auto"/>
        <w:ind w:firstLine="422" w:firstLineChars="200"/>
        <w:rPr>
          <w:b/>
          <w:color w:val="auto"/>
          <w:szCs w:val="21"/>
        </w:rPr>
      </w:pPr>
      <w:r>
        <w:rPr>
          <w:b/>
          <w:color w:val="auto"/>
          <w:szCs w:val="21"/>
        </w:rPr>
        <w:t>7.9 提前竣工的奖励</w:t>
      </w:r>
    </w:p>
    <w:p>
      <w:pPr>
        <w:spacing w:line="360" w:lineRule="auto"/>
        <w:ind w:left="420" w:leftChars="200"/>
        <w:jc w:val="left"/>
        <w:rPr>
          <w:rFonts w:eastAsia="仿宋_GB2312"/>
          <w:color w:val="auto"/>
          <w:szCs w:val="21"/>
        </w:rPr>
      </w:pPr>
      <w:r>
        <w:rPr>
          <w:color w:val="auto"/>
        </w:rPr>
        <w:t xml:space="preserve">7.9.2提前竣工的奖励：  </w:t>
      </w:r>
      <w:r>
        <w:rPr>
          <w:color w:val="auto"/>
          <w:u w:val="single"/>
        </w:rPr>
        <w:t xml:space="preserve">        </w:t>
      </w:r>
      <w:r>
        <w:rPr>
          <w:rFonts w:hint="eastAsia" w:eastAsia="仿宋_GB2312"/>
          <w:color w:val="auto"/>
          <w:szCs w:val="21"/>
          <w:u w:val="single"/>
        </w:rPr>
        <w:t>按合同工期，提前或按期完工，工期不奖不罚</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rPr>
        <w:t>。</w:t>
      </w:r>
      <w:bookmarkStart w:id="82" w:name="_Toc312677499"/>
      <w:bookmarkStart w:id="83" w:name="_Toc312678025"/>
      <w:bookmarkStart w:id="84" w:name="_Toc267251439"/>
      <w:bookmarkStart w:id="85" w:name="_Toc267251437"/>
      <w:bookmarkStart w:id="86" w:name="_Toc267251433"/>
      <w:bookmarkStart w:id="87" w:name="_Toc267251435"/>
      <w:bookmarkStart w:id="88" w:name="_Toc267251440"/>
      <w:bookmarkStart w:id="89" w:name="_Toc267251441"/>
      <w:bookmarkStart w:id="90" w:name="_Toc267251442"/>
    </w:p>
    <w:bookmarkEnd w:id="82"/>
    <w:bookmarkEnd w:id="83"/>
    <w:p>
      <w:pPr>
        <w:spacing w:after="120" w:line="360" w:lineRule="auto"/>
        <w:ind w:firstLine="422" w:firstLineChars="200"/>
        <w:rPr>
          <w:b/>
          <w:color w:val="auto"/>
          <w:szCs w:val="21"/>
        </w:rPr>
      </w:pPr>
      <w:r>
        <w:rPr>
          <w:b/>
          <w:color w:val="auto"/>
          <w:szCs w:val="21"/>
        </w:rPr>
        <w:t>1</w:t>
      </w:r>
      <w:bookmarkStart w:id="91" w:name="_Toc296891022"/>
      <w:bookmarkStart w:id="92" w:name="_Toc296347193"/>
      <w:bookmarkStart w:id="93" w:name="_Toc304295567"/>
      <w:bookmarkStart w:id="94" w:name="_Toc292559399"/>
      <w:bookmarkStart w:id="95" w:name="_Toc300934990"/>
      <w:bookmarkStart w:id="96" w:name="_Toc297216200"/>
      <w:bookmarkStart w:id="97" w:name="_Toc312677500"/>
      <w:bookmarkStart w:id="98" w:name="_Toc312678026"/>
      <w:bookmarkStart w:id="99" w:name="_Toc296503194"/>
      <w:bookmarkStart w:id="100" w:name="_Toc296346695"/>
      <w:bookmarkStart w:id="101" w:name="_Toc297123541"/>
      <w:bookmarkStart w:id="102" w:name="_Toc292559904"/>
      <w:bookmarkStart w:id="103" w:name="_Toc297048380"/>
      <w:bookmarkStart w:id="104" w:name="_Toc297120494"/>
      <w:bookmarkStart w:id="105" w:name="_Toc296944533"/>
      <w:bookmarkStart w:id="106" w:name="_Toc303539147"/>
      <w:bookmarkStart w:id="107" w:name="_Toc296891234"/>
      <w:r>
        <w:rPr>
          <w:b/>
          <w:color w:val="auto"/>
          <w:szCs w:val="21"/>
        </w:rPr>
        <w:t>0.1变更的范围</w:t>
      </w:r>
    </w:p>
    <w:p>
      <w:pPr>
        <w:spacing w:line="360" w:lineRule="auto"/>
        <w:ind w:firstLine="600"/>
        <w:jc w:val="left"/>
        <w:rPr>
          <w:rFonts w:eastAsia="仿宋_GB2312"/>
          <w:color w:val="auto"/>
          <w:szCs w:val="21"/>
          <w:u w:val="single"/>
        </w:rPr>
      </w:pPr>
      <w:r>
        <w:rPr>
          <w:rFonts w:eastAsia="仿宋_GB2312"/>
          <w:color w:val="auto"/>
          <w:szCs w:val="21"/>
        </w:rPr>
        <w:t>关于变更的范围的约定：</w:t>
      </w:r>
      <w:r>
        <w:rPr>
          <w:rFonts w:eastAsia="仿宋_GB2312"/>
          <w:color w:val="auto"/>
          <w:szCs w:val="21"/>
          <w:u w:val="single"/>
        </w:rPr>
        <w:t xml:space="preserve">         </w:t>
      </w:r>
      <w:r>
        <w:rPr>
          <w:rFonts w:hint="eastAsia" w:eastAsia="仿宋_GB2312"/>
          <w:color w:val="auto"/>
          <w:szCs w:val="21"/>
          <w:u w:val="single"/>
        </w:rPr>
        <w:t xml:space="preserve">按通用条款                </w:t>
      </w:r>
      <w:r>
        <w:rPr>
          <w:rFonts w:eastAsia="仿宋_GB2312"/>
          <w:color w:val="auto"/>
          <w:szCs w:val="21"/>
        </w:rPr>
        <w:t>。</w:t>
      </w:r>
    </w:p>
    <w:p>
      <w:pPr>
        <w:spacing w:after="120" w:line="360" w:lineRule="auto"/>
        <w:ind w:firstLine="422" w:firstLineChars="200"/>
        <w:rPr>
          <w:b/>
          <w:color w:val="auto"/>
          <w:szCs w:val="21"/>
        </w:rPr>
      </w:pPr>
      <w:r>
        <w:rPr>
          <w:b/>
          <w:color w:val="auto"/>
          <w:szCs w:val="21"/>
        </w:rPr>
        <w:t>10.4 变更估价</w:t>
      </w:r>
    </w:p>
    <w:p>
      <w:pPr>
        <w:spacing w:line="360" w:lineRule="auto"/>
        <w:ind w:firstLine="420" w:firstLineChars="200"/>
        <w:jc w:val="left"/>
        <w:rPr>
          <w:rFonts w:eastAsia="仿宋_GB2312"/>
          <w:color w:val="auto"/>
          <w:szCs w:val="21"/>
        </w:rPr>
      </w:pPr>
      <w:r>
        <w:rPr>
          <w:rFonts w:hint="eastAsia" w:eastAsia="仿宋_GB2312"/>
          <w:color w:val="auto"/>
          <w:szCs w:val="21"/>
        </w:rPr>
        <w:t>10.4.1 变更估价原则</w:t>
      </w:r>
    </w:p>
    <w:p>
      <w:pPr>
        <w:spacing w:line="360" w:lineRule="auto"/>
        <w:ind w:firstLine="420" w:firstLineChars="200"/>
        <w:jc w:val="left"/>
        <w:rPr>
          <w:rFonts w:eastAsia="仿宋_GB2312"/>
          <w:color w:val="auto"/>
          <w:szCs w:val="21"/>
          <w:u w:val="single"/>
        </w:rPr>
      </w:pPr>
      <w:r>
        <w:rPr>
          <w:rFonts w:eastAsia="仿宋_GB2312"/>
          <w:color w:val="auto"/>
          <w:szCs w:val="21"/>
        </w:rPr>
        <w:t xml:space="preserve">关于变更估价的约定: </w:t>
      </w:r>
      <w:r>
        <w:rPr>
          <w:rFonts w:eastAsia="仿宋_GB2312"/>
          <w:color w:val="auto"/>
          <w:szCs w:val="21"/>
          <w:u w:val="single"/>
        </w:rPr>
        <w:t xml:space="preserve">        </w:t>
      </w:r>
      <w:r>
        <w:rPr>
          <w:rFonts w:hint="eastAsia" w:eastAsia="仿宋_GB2312"/>
          <w:color w:val="auto"/>
          <w:szCs w:val="21"/>
          <w:u w:val="single"/>
        </w:rPr>
        <w:t>按专用条款</w:t>
      </w:r>
      <w:r>
        <w:rPr>
          <w:rFonts w:eastAsia="仿宋_GB2312"/>
          <w:color w:val="auto"/>
          <w:szCs w:val="21"/>
          <w:u w:val="single"/>
        </w:rPr>
        <w:t xml:space="preserve"> 12.1</w:t>
      </w:r>
      <w:r>
        <w:rPr>
          <w:rFonts w:hint="eastAsia" w:eastAsia="仿宋_GB2312"/>
          <w:color w:val="auto"/>
          <w:szCs w:val="21"/>
          <w:u w:val="single"/>
        </w:rPr>
        <w:t xml:space="preserve">条约定执行       </w:t>
      </w:r>
      <w:r>
        <w:rPr>
          <w:rFonts w:eastAsia="仿宋_GB2312"/>
          <w:color w:val="auto"/>
          <w:szCs w:val="21"/>
          <w:u w:val="single"/>
        </w:rPr>
        <w:t xml:space="preserve">           </w:t>
      </w:r>
      <w:r>
        <w:rPr>
          <w:rFonts w:eastAsia="仿宋_GB2312"/>
          <w:color w:val="auto"/>
          <w:szCs w:val="21"/>
        </w:rPr>
        <w:t>。</w:t>
      </w:r>
    </w:p>
    <w:p>
      <w:pPr>
        <w:spacing w:after="120" w:line="360" w:lineRule="auto"/>
        <w:ind w:firstLine="422" w:firstLineChars="200"/>
        <w:rPr>
          <w:b/>
          <w:color w:val="auto"/>
          <w:szCs w:val="21"/>
        </w:rPr>
      </w:pPr>
      <w:r>
        <w:rPr>
          <w:b/>
          <w:color w:val="auto"/>
          <w:szCs w:val="21"/>
        </w:rPr>
        <w:t>1</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08" w:name="_Toc297048383"/>
      <w:bookmarkStart w:id="109" w:name="_Toc300934993"/>
      <w:bookmarkStart w:id="110" w:name="_Toc297120497"/>
      <w:bookmarkStart w:id="111" w:name="_Toc292559907"/>
      <w:bookmarkStart w:id="112" w:name="_Toc296891025"/>
      <w:bookmarkStart w:id="113" w:name="_Toc292559402"/>
      <w:bookmarkStart w:id="114" w:name="_Toc297123544"/>
      <w:bookmarkStart w:id="115" w:name="_Toc296891237"/>
      <w:bookmarkStart w:id="116" w:name="_Toc297216203"/>
      <w:bookmarkStart w:id="117" w:name="_Toc296503197"/>
      <w:bookmarkStart w:id="118" w:name="_Toc296346698"/>
      <w:bookmarkStart w:id="119" w:name="_Toc296347196"/>
      <w:bookmarkStart w:id="120" w:name="_Toc296944536"/>
      <w:bookmarkStart w:id="121" w:name="_Toc303539150"/>
      <w:bookmarkStart w:id="122" w:name="_Toc312677503"/>
      <w:bookmarkStart w:id="123" w:name="_Toc312678029"/>
      <w:bookmarkStart w:id="124" w:name="_Toc304295570"/>
      <w:r>
        <w:rPr>
          <w:b/>
          <w:color w:val="auto"/>
          <w:szCs w:val="21"/>
        </w:rPr>
        <w:t>0.5承</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5" w:name="_Toc297216204"/>
      <w:bookmarkStart w:id="126" w:name="_Toc303539151"/>
      <w:bookmarkStart w:id="127" w:name="_Toc297048389"/>
      <w:bookmarkStart w:id="128" w:name="_Toc292559913"/>
      <w:bookmarkStart w:id="129" w:name="_Toc296891031"/>
      <w:bookmarkStart w:id="130" w:name="_Toc296944542"/>
      <w:bookmarkStart w:id="131" w:name="_Toc297123545"/>
      <w:bookmarkStart w:id="132" w:name="_Toc296503203"/>
      <w:bookmarkStart w:id="133" w:name="_Toc296347202"/>
      <w:bookmarkStart w:id="134" w:name="_Toc292559408"/>
      <w:bookmarkStart w:id="135" w:name="_Toc300934994"/>
      <w:bookmarkStart w:id="136" w:name="_Toc296891243"/>
      <w:bookmarkStart w:id="137" w:name="_Toc296346704"/>
      <w:bookmarkStart w:id="138" w:name="_Toc297120503"/>
      <w:r>
        <w:rPr>
          <w:b/>
          <w:color w:val="auto"/>
          <w:szCs w:val="21"/>
        </w:rPr>
        <w:t>包人的合理化建议</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Pr>
        <w:spacing w:line="360" w:lineRule="auto"/>
        <w:ind w:firstLine="420" w:firstLineChars="200"/>
        <w:jc w:val="left"/>
        <w:rPr>
          <w:rFonts w:eastAsia="仿宋_GB2312"/>
          <w:color w:val="auto"/>
          <w:szCs w:val="21"/>
        </w:rPr>
      </w:pPr>
      <w:r>
        <w:rPr>
          <w:rFonts w:eastAsia="仿宋_GB2312"/>
          <w:color w:val="auto"/>
          <w:szCs w:val="21"/>
        </w:rPr>
        <w:t>监理人审查承包人合理化建议的期限：</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 xml:space="preserve">按通用条款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发包人审批承包人合理化建议的期限：</w:t>
      </w:r>
      <w:r>
        <w:rPr>
          <w:rFonts w:eastAsia="仿宋_GB2312"/>
          <w:color w:val="auto"/>
          <w:szCs w:val="21"/>
          <w:u w:val="single"/>
        </w:rPr>
        <w:t xml:space="preserve">     </w:t>
      </w:r>
      <w:r>
        <w:rPr>
          <w:rFonts w:hint="eastAsia" w:eastAsia="仿宋_GB2312"/>
          <w:color w:val="auto"/>
          <w:szCs w:val="21"/>
          <w:u w:val="single"/>
        </w:rPr>
        <w:t xml:space="preserve">  按通用条款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u w:val="single"/>
        </w:rPr>
      </w:pPr>
      <w:r>
        <w:rPr>
          <w:rFonts w:eastAsia="仿宋_GB2312"/>
          <w:color w:val="auto"/>
          <w:szCs w:val="21"/>
        </w:rPr>
        <w:t>承</w:t>
      </w:r>
      <w:bookmarkStart w:id="139" w:name="_Toc297120504"/>
      <w:bookmarkStart w:id="140" w:name="_Toc296944543"/>
      <w:bookmarkStart w:id="141" w:name="_Toc300934995"/>
      <w:bookmarkStart w:id="142" w:name="_Toc296346705"/>
      <w:bookmarkStart w:id="143" w:name="_Toc292559914"/>
      <w:bookmarkStart w:id="144" w:name="_Toc312677504"/>
      <w:bookmarkStart w:id="145" w:name="_Toc318581175"/>
      <w:bookmarkStart w:id="146" w:name="_Toc312678030"/>
      <w:bookmarkStart w:id="147" w:name="_Toc297216205"/>
      <w:bookmarkStart w:id="148" w:name="_Toc304295571"/>
      <w:bookmarkStart w:id="149" w:name="_Toc296347203"/>
      <w:bookmarkStart w:id="150" w:name="_Toc292559409"/>
      <w:bookmarkStart w:id="151" w:name="_Toc296503204"/>
      <w:bookmarkStart w:id="152" w:name="_Toc296891032"/>
      <w:bookmarkStart w:id="153" w:name="_Toc297123546"/>
      <w:bookmarkStart w:id="154" w:name="_Toc296891244"/>
      <w:bookmarkStart w:id="155" w:name="_Toc297048390"/>
      <w:bookmarkStart w:id="156" w:name="_Toc303539152"/>
      <w:r>
        <w:rPr>
          <w:rFonts w:eastAsia="仿宋_GB2312"/>
          <w:color w:val="auto"/>
          <w:szCs w:val="21"/>
        </w:rPr>
        <w:t>包人提出的合理化建议降低了合同价格或者提高了工程经济效益的奖励的方法和金额为：</w:t>
      </w:r>
      <w:r>
        <w:rPr>
          <w:rFonts w:eastAsia="仿宋_GB2312"/>
          <w:color w:val="auto"/>
          <w:szCs w:val="21"/>
          <w:u w:val="single"/>
        </w:rPr>
        <w:t xml:space="preserve"> </w:t>
      </w:r>
      <w:r>
        <w:rPr>
          <w:rFonts w:hint="eastAsia" w:eastAsia="仿宋_GB2312"/>
          <w:color w:val="auto"/>
          <w:szCs w:val="21"/>
          <w:u w:val="single"/>
        </w:rPr>
        <w:t>/</w:t>
      </w:r>
      <w:r>
        <w:rPr>
          <w:rFonts w:eastAsia="仿宋_GB2312"/>
          <w:color w:val="auto"/>
          <w:szCs w:val="21"/>
        </w:rPr>
        <w:t>。</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Pr>
        <w:spacing w:after="120" w:line="360" w:lineRule="auto"/>
        <w:ind w:firstLine="422" w:firstLineChars="200"/>
        <w:rPr>
          <w:b/>
          <w:color w:val="auto"/>
          <w:szCs w:val="21"/>
        </w:rPr>
      </w:pPr>
      <w:r>
        <w:rPr>
          <w:b/>
          <w:color w:val="auto"/>
          <w:szCs w:val="21"/>
        </w:rPr>
        <w:t>1</w:t>
      </w:r>
      <w:bookmarkStart w:id="157" w:name="_Toc303539154"/>
      <w:bookmarkStart w:id="158" w:name="_Toc297120499"/>
      <w:bookmarkStart w:id="159" w:name="_Toc312678033"/>
      <w:bookmarkStart w:id="160" w:name="_Toc296891027"/>
      <w:bookmarkStart w:id="161" w:name="_Toc300934997"/>
      <w:bookmarkStart w:id="162" w:name="_Toc292559909"/>
      <w:bookmarkStart w:id="163" w:name="_Toc297123548"/>
      <w:bookmarkStart w:id="164" w:name="_Toc304295574"/>
      <w:bookmarkStart w:id="165" w:name="_Toc297048385"/>
      <w:bookmarkStart w:id="166" w:name="_Toc296944538"/>
      <w:bookmarkStart w:id="167" w:name="_Toc292559404"/>
      <w:bookmarkStart w:id="168" w:name="_Toc297216207"/>
      <w:bookmarkStart w:id="169" w:name="_Toc296346700"/>
      <w:bookmarkStart w:id="170" w:name="_Toc312677507"/>
      <w:bookmarkStart w:id="171" w:name="_Toc296347198"/>
      <w:bookmarkStart w:id="172" w:name="_Toc296503199"/>
      <w:bookmarkStart w:id="173" w:name="_Toc296891239"/>
      <w:r>
        <w:rPr>
          <w:b/>
          <w:color w:val="auto"/>
          <w:szCs w:val="21"/>
        </w:rPr>
        <w:t>0.7 暂估价</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Pr>
        <w:spacing w:line="360" w:lineRule="auto"/>
        <w:ind w:firstLine="420" w:firstLineChars="200"/>
        <w:jc w:val="left"/>
        <w:rPr>
          <w:rFonts w:eastAsia="仿宋_GB2312"/>
          <w:color w:val="auto"/>
          <w:szCs w:val="21"/>
        </w:rPr>
      </w:pPr>
      <w:r>
        <w:rPr>
          <w:rFonts w:eastAsia="仿宋_GB2312"/>
          <w:color w:val="auto"/>
          <w:kern w:val="0"/>
          <w:szCs w:val="21"/>
        </w:rPr>
        <w:t>暂</w:t>
      </w:r>
      <w:bookmarkStart w:id="174" w:name="_Toc312677508"/>
      <w:bookmarkStart w:id="175" w:name="_Toc312678034"/>
      <w:bookmarkStart w:id="176" w:name="_Toc318581176"/>
      <w:r>
        <w:rPr>
          <w:rFonts w:eastAsia="仿宋_GB2312"/>
          <w:color w:val="auto"/>
          <w:kern w:val="0"/>
          <w:szCs w:val="21"/>
        </w:rPr>
        <w:t>估价材料和工程设备的明细详见附件</w:t>
      </w:r>
      <w:r>
        <w:rPr>
          <w:rFonts w:hint="eastAsia" w:eastAsia="仿宋_GB2312"/>
          <w:color w:val="auto"/>
          <w:kern w:val="0"/>
          <w:szCs w:val="21"/>
        </w:rPr>
        <w:t>11：《</w:t>
      </w:r>
      <w:r>
        <w:rPr>
          <w:rFonts w:eastAsia="仿宋_GB2312"/>
          <w:color w:val="auto"/>
          <w:szCs w:val="21"/>
        </w:rPr>
        <w:t>暂估价一览表</w:t>
      </w:r>
      <w:r>
        <w:rPr>
          <w:rFonts w:hint="eastAsia" w:eastAsia="仿宋_GB2312"/>
          <w:color w:val="auto"/>
          <w:szCs w:val="21"/>
        </w:rPr>
        <w:t>》</w:t>
      </w:r>
      <w:r>
        <w:rPr>
          <w:rFonts w:hint="eastAsia" w:eastAsia="仿宋_GB2312"/>
          <w:color w:val="auto"/>
          <w:kern w:val="0"/>
          <w:szCs w:val="21"/>
        </w:rPr>
        <w:t>。</w:t>
      </w:r>
    </w:p>
    <w:bookmarkEnd w:id="174"/>
    <w:bookmarkEnd w:id="175"/>
    <w:bookmarkEnd w:id="176"/>
    <w:p>
      <w:pPr>
        <w:spacing w:line="360" w:lineRule="auto"/>
        <w:ind w:firstLine="420" w:firstLineChars="200"/>
        <w:jc w:val="left"/>
        <w:rPr>
          <w:rFonts w:eastAsia="仿宋_GB2312"/>
          <w:color w:val="auto"/>
          <w:szCs w:val="21"/>
        </w:rPr>
      </w:pPr>
      <w:r>
        <w:rPr>
          <w:rFonts w:eastAsia="仿宋_GB2312"/>
          <w:color w:val="auto"/>
          <w:szCs w:val="21"/>
        </w:rPr>
        <w:t>1</w:t>
      </w:r>
      <w:bookmarkStart w:id="177" w:name="_Toc312678035"/>
      <w:bookmarkStart w:id="178" w:name="_Toc312677509"/>
      <w:bookmarkStart w:id="179" w:name="_Toc318581177"/>
      <w:r>
        <w:rPr>
          <w:rFonts w:eastAsia="仿宋_GB2312"/>
          <w:color w:val="auto"/>
          <w:szCs w:val="21"/>
        </w:rPr>
        <w:t>0.7.1 依法必须招标的暂估价项目</w:t>
      </w:r>
    </w:p>
    <w:bookmarkEnd w:id="177"/>
    <w:bookmarkEnd w:id="178"/>
    <w:bookmarkEnd w:id="179"/>
    <w:p>
      <w:pPr>
        <w:spacing w:line="360" w:lineRule="auto"/>
        <w:ind w:firstLine="420" w:firstLineChars="200"/>
        <w:jc w:val="left"/>
        <w:rPr>
          <w:rFonts w:eastAsia="仿宋_GB2312"/>
          <w:color w:val="auto"/>
          <w:szCs w:val="21"/>
        </w:rPr>
      </w:pPr>
      <w:r>
        <w:rPr>
          <w:rFonts w:eastAsia="仿宋_GB2312"/>
          <w:color w:val="auto"/>
          <w:szCs w:val="21"/>
        </w:rPr>
        <w:t>对于依法必须招标的暂估价项目的确认和批准采取第</w:t>
      </w:r>
      <w:r>
        <w:rPr>
          <w:rFonts w:eastAsia="仿宋_GB2312"/>
          <w:color w:val="auto"/>
          <w:szCs w:val="21"/>
          <w:u w:val="single"/>
        </w:rPr>
        <w:t xml:space="preserve">  </w:t>
      </w:r>
      <w:r>
        <w:rPr>
          <w:rFonts w:hint="eastAsia" w:eastAsia="仿宋_GB2312"/>
          <w:color w:val="auto"/>
          <w:szCs w:val="21"/>
          <w:u w:val="single"/>
          <w:lang w:val="en-US" w:eastAsia="zh-CN"/>
        </w:rPr>
        <w:t>2</w:t>
      </w:r>
      <w:r>
        <w:rPr>
          <w:rFonts w:eastAsia="仿宋_GB2312"/>
          <w:color w:val="auto"/>
          <w:szCs w:val="21"/>
          <w:u w:val="single"/>
        </w:rPr>
        <w:t xml:space="preserve">  </w:t>
      </w:r>
      <w:r>
        <w:rPr>
          <w:rFonts w:eastAsia="仿宋_GB2312"/>
          <w:color w:val="auto"/>
          <w:szCs w:val="21"/>
        </w:rPr>
        <w:t>种方式确定。</w:t>
      </w:r>
    </w:p>
    <w:p>
      <w:pPr>
        <w:spacing w:line="420" w:lineRule="exact"/>
        <w:ind w:firstLine="420" w:firstLineChars="200"/>
        <w:rPr>
          <w:rFonts w:eastAsia="仿宋_GB2312"/>
          <w:color w:val="auto"/>
          <w:szCs w:val="21"/>
        </w:rPr>
      </w:pPr>
      <w:r>
        <w:rPr>
          <w:rFonts w:eastAsia="仿宋_GB2312"/>
          <w:color w:val="auto"/>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承包人与中标人共同签订暂估价合同。</w:t>
      </w:r>
    </w:p>
    <w:p>
      <w:pPr>
        <w:spacing w:line="360" w:lineRule="auto"/>
        <w:ind w:firstLine="420" w:firstLineChars="200"/>
        <w:jc w:val="left"/>
        <w:rPr>
          <w:rFonts w:eastAsia="仿宋_GB2312"/>
          <w:color w:val="auto"/>
          <w:szCs w:val="21"/>
        </w:rPr>
      </w:pPr>
      <w:r>
        <w:rPr>
          <w:rFonts w:eastAsia="仿宋_GB2312"/>
          <w:color w:val="auto"/>
          <w:szCs w:val="21"/>
        </w:rPr>
        <w:t>10.7.2 不属于依法必须招标的暂估价项目</w:t>
      </w:r>
    </w:p>
    <w:p>
      <w:pPr>
        <w:spacing w:line="360" w:lineRule="auto"/>
        <w:ind w:firstLine="420" w:firstLineChars="200"/>
        <w:jc w:val="left"/>
        <w:rPr>
          <w:rFonts w:eastAsia="仿宋_GB2312"/>
          <w:color w:val="auto"/>
          <w:szCs w:val="21"/>
        </w:rPr>
      </w:pPr>
      <w:r>
        <w:rPr>
          <w:rFonts w:eastAsia="仿宋_GB2312"/>
          <w:color w:val="auto"/>
          <w:szCs w:val="21"/>
        </w:rPr>
        <w:t>对于不属于依法必须招标的暂估价项目的确认和批准采取第</w:t>
      </w:r>
      <w:r>
        <w:rPr>
          <w:rFonts w:eastAsia="仿宋_GB2312"/>
          <w:color w:val="auto"/>
          <w:szCs w:val="21"/>
          <w:u w:val="single"/>
        </w:rPr>
        <w:t xml:space="preserve"> </w:t>
      </w:r>
      <w:r>
        <w:rPr>
          <w:rFonts w:hint="eastAsia" w:eastAsia="仿宋_GB2312"/>
          <w:color w:val="auto"/>
          <w:szCs w:val="21"/>
          <w:u w:val="single"/>
          <w:lang w:val="en-US" w:eastAsia="zh-CN"/>
        </w:rPr>
        <w:t>1</w:t>
      </w:r>
      <w:r>
        <w:rPr>
          <w:rFonts w:eastAsia="仿宋_GB2312"/>
          <w:color w:val="auto"/>
          <w:szCs w:val="21"/>
          <w:u w:val="single"/>
        </w:rPr>
        <w:t xml:space="preserve"> </w:t>
      </w:r>
      <w:r>
        <w:rPr>
          <w:rFonts w:hint="eastAsia" w:eastAsia="仿宋_GB2312"/>
          <w:color w:val="auto"/>
          <w:szCs w:val="21"/>
          <w:u w:val="single"/>
          <w:lang w:val="en-US" w:eastAsia="zh-CN"/>
        </w:rPr>
        <w:t xml:space="preserve"> </w:t>
      </w:r>
      <w:r>
        <w:rPr>
          <w:rFonts w:eastAsia="仿宋_GB2312"/>
          <w:color w:val="auto"/>
          <w:szCs w:val="21"/>
        </w:rPr>
        <w:t>种方式确定。</w:t>
      </w:r>
    </w:p>
    <w:p>
      <w:pPr>
        <w:spacing w:line="420" w:lineRule="exact"/>
        <w:ind w:firstLine="420" w:firstLineChars="200"/>
        <w:rPr>
          <w:rFonts w:eastAsia="仿宋_GB2312"/>
          <w:color w:val="auto"/>
          <w:szCs w:val="21"/>
        </w:rPr>
      </w:pPr>
      <w:r>
        <w:rPr>
          <w:rFonts w:eastAsia="仿宋_GB2312"/>
          <w:color w:val="auto"/>
          <w:szCs w:val="21"/>
        </w:rPr>
        <w:t>第1种方式：对于不属于依法必须招标的暂估价项目，按本项约定确认和批准：</w:t>
      </w:r>
    </w:p>
    <w:p>
      <w:pPr>
        <w:spacing w:line="420" w:lineRule="exact"/>
        <w:ind w:firstLine="420" w:firstLineChars="200"/>
        <w:rPr>
          <w:rFonts w:eastAsia="仿宋_GB2312"/>
          <w:color w:val="auto"/>
          <w:szCs w:val="21"/>
        </w:rPr>
      </w:pPr>
      <w:r>
        <w:rPr>
          <w:rFonts w:eastAsia="仿宋_GB2312"/>
          <w:color w:val="auto"/>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r>
        <w:rPr>
          <w:rFonts w:hint="eastAsia" w:eastAsia="仿宋_GB2312"/>
          <w:color w:val="auto"/>
          <w:szCs w:val="21"/>
        </w:rPr>
        <w:t>。</w:t>
      </w:r>
    </w:p>
    <w:p>
      <w:pPr>
        <w:spacing w:line="420" w:lineRule="exact"/>
        <w:ind w:firstLine="420" w:firstLineChars="200"/>
        <w:rPr>
          <w:rFonts w:hint="eastAsia" w:eastAsia="仿宋_GB2312"/>
          <w:color w:val="auto"/>
          <w:szCs w:val="21"/>
        </w:rPr>
      </w:pPr>
      <w:r>
        <w:rPr>
          <w:rFonts w:eastAsia="仿宋_GB2312"/>
          <w:color w:val="auto"/>
          <w:szCs w:val="21"/>
        </w:rPr>
        <w:t>（2）发包人认为承包人确定的供应商、分包人无法满足工程质量或合同要求的，发包人可以要求承包人重新确定暂估价项目的供应商、分包人</w:t>
      </w:r>
      <w:r>
        <w:rPr>
          <w:rFonts w:hint="eastAsia" w:eastAsia="仿宋_GB2312"/>
          <w:color w:val="auto"/>
          <w:szCs w:val="21"/>
        </w:rPr>
        <w:t>。</w:t>
      </w:r>
    </w:p>
    <w:p>
      <w:pPr>
        <w:spacing w:line="420" w:lineRule="exact"/>
        <w:ind w:firstLine="420" w:firstLineChars="200"/>
        <w:rPr>
          <w:rFonts w:eastAsia="仿宋_GB2312"/>
          <w:color w:val="auto"/>
          <w:szCs w:val="21"/>
        </w:rPr>
      </w:pPr>
      <w:r>
        <w:rPr>
          <w:rFonts w:eastAsia="仿宋_GB2312"/>
          <w:color w:val="auto"/>
          <w:szCs w:val="21"/>
        </w:rPr>
        <w:t>（3）承包人应当在签订暂估价合同后7天内，将暂估价合同副本报送发包人留存。</w:t>
      </w:r>
    </w:p>
    <w:p>
      <w:pPr>
        <w:spacing w:line="360" w:lineRule="auto"/>
        <w:ind w:firstLine="420" w:firstLineChars="200"/>
        <w:jc w:val="left"/>
        <w:rPr>
          <w:rFonts w:eastAsia="仿宋_GB2312"/>
          <w:color w:val="auto"/>
          <w:kern w:val="0"/>
          <w:szCs w:val="21"/>
        </w:rPr>
      </w:pPr>
      <w:r>
        <w:rPr>
          <w:rFonts w:eastAsia="仿宋_GB2312"/>
          <w:color w:val="auto"/>
          <w:szCs w:val="21"/>
        </w:rPr>
        <w:t>第3种方式：</w:t>
      </w:r>
      <w:r>
        <w:rPr>
          <w:rFonts w:eastAsia="仿宋_GB2312"/>
          <w:color w:val="auto"/>
          <w:kern w:val="0"/>
          <w:szCs w:val="21"/>
        </w:rPr>
        <w:t>承包人直接实施的暂估价项目</w:t>
      </w:r>
    </w:p>
    <w:p>
      <w:pPr>
        <w:spacing w:line="360" w:lineRule="auto"/>
        <w:ind w:firstLine="420" w:firstLineChars="200"/>
        <w:jc w:val="left"/>
        <w:rPr>
          <w:rFonts w:eastAsia="仿宋_GB2312"/>
          <w:color w:val="auto"/>
          <w:szCs w:val="21"/>
        </w:rPr>
      </w:pPr>
      <w:r>
        <w:rPr>
          <w:rFonts w:eastAsia="仿宋_GB2312"/>
          <w:color w:val="auto"/>
          <w:szCs w:val="21"/>
        </w:rPr>
        <w:t>承包人直接实施的暂估价项目的约定：承包人具备实施暂估价项目的资格和条件的，经发包人和承包人协商一致后，可由承包人自行实施暂估价项目，合同当事人可以在专用合同条款约定具体事项。</w:t>
      </w:r>
    </w:p>
    <w:p>
      <w:pPr>
        <w:spacing w:after="120" w:line="360" w:lineRule="auto"/>
        <w:ind w:firstLine="422" w:firstLineChars="200"/>
        <w:rPr>
          <w:b/>
          <w:color w:val="auto"/>
          <w:szCs w:val="21"/>
        </w:rPr>
      </w:pPr>
      <w:r>
        <w:rPr>
          <w:b/>
          <w:color w:val="auto"/>
          <w:szCs w:val="21"/>
        </w:rPr>
        <w:t>10.8 暂列金额</w:t>
      </w:r>
    </w:p>
    <w:p>
      <w:pPr>
        <w:autoSpaceDE w:val="0"/>
        <w:autoSpaceDN w:val="0"/>
        <w:adjustRightInd w:val="0"/>
        <w:spacing w:line="360" w:lineRule="auto"/>
        <w:ind w:firstLine="420" w:firstLineChars="200"/>
        <w:jc w:val="left"/>
        <w:rPr>
          <w:rFonts w:eastAsia="仿宋_GB2312"/>
          <w:color w:val="auto"/>
          <w:szCs w:val="21"/>
          <w:u w:val="single"/>
        </w:rPr>
      </w:pPr>
      <w:r>
        <w:rPr>
          <w:rFonts w:hint="eastAsia" w:eastAsia="仿宋_GB2312"/>
          <w:color w:val="auto"/>
          <w:kern w:val="0"/>
          <w:szCs w:val="21"/>
        </w:rPr>
        <w:t>合同当事人关于暂列金额使用的约定：</w:t>
      </w:r>
      <w:r>
        <w:rPr>
          <w:rFonts w:eastAsia="仿宋_GB2312"/>
          <w:color w:val="auto"/>
          <w:szCs w:val="21"/>
          <w:u w:val="single"/>
        </w:rPr>
        <w:t xml:space="preserve">  </w:t>
      </w:r>
      <w:r>
        <w:rPr>
          <w:rFonts w:hint="eastAsia" w:eastAsia="仿宋_GB2312"/>
          <w:color w:val="auto"/>
          <w:szCs w:val="21"/>
          <w:u w:val="single"/>
          <w:lang w:val="en-US" w:eastAsia="zh-CN"/>
        </w:rPr>
        <w:t>/</w:t>
      </w:r>
      <w:r>
        <w:rPr>
          <w:rFonts w:hint="eastAsia" w:eastAsia="仿宋_GB2312"/>
          <w:color w:val="auto"/>
          <w:szCs w:val="21"/>
          <w:u w:val="single"/>
        </w:rPr>
        <w:t xml:space="preserve">  </w:t>
      </w:r>
      <w:r>
        <w:rPr>
          <w:rFonts w:hint="eastAsia" w:eastAsia="仿宋_GB2312"/>
          <w:color w:val="auto"/>
          <w:kern w:val="0"/>
          <w:szCs w:val="21"/>
        </w:rPr>
        <w:t>。</w:t>
      </w:r>
    </w:p>
    <w:p>
      <w:pPr>
        <w:spacing w:after="120" w:line="360" w:lineRule="auto"/>
        <w:ind w:firstLine="422" w:firstLineChars="200"/>
        <w:rPr>
          <w:b/>
          <w:color w:val="auto"/>
          <w:szCs w:val="21"/>
        </w:rPr>
      </w:pPr>
      <w:bookmarkStart w:id="180" w:name="_Toc296347200"/>
      <w:bookmarkStart w:id="181" w:name="_Toc300935000"/>
      <w:bookmarkStart w:id="182" w:name="_Toc297048387"/>
      <w:bookmarkStart w:id="183" w:name="_Toc292559911"/>
      <w:bookmarkStart w:id="184" w:name="_Toc297120501"/>
      <w:bookmarkStart w:id="185" w:name="_Toc303539157"/>
      <w:bookmarkStart w:id="186" w:name="_Toc296944540"/>
      <w:bookmarkStart w:id="187" w:name="_Toc292559406"/>
      <w:bookmarkStart w:id="188" w:name="_Toc297216209"/>
      <w:bookmarkStart w:id="189" w:name="_Toc296503201"/>
      <w:bookmarkStart w:id="190" w:name="_Toc296346702"/>
      <w:bookmarkStart w:id="191" w:name="_Toc296891029"/>
      <w:bookmarkStart w:id="192" w:name="_Toc297123550"/>
      <w:bookmarkStart w:id="193" w:name="_Toc304295577"/>
      <w:bookmarkStart w:id="194" w:name="_Toc296891241"/>
      <w:bookmarkStart w:id="195" w:name="_Toc312678039"/>
      <w:r>
        <w:rPr>
          <w:b/>
          <w:color w:val="auto"/>
          <w:szCs w:val="21"/>
        </w:rPr>
        <w:t>11.1 市场价格波动引起的调整</w:t>
      </w: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Pr>
        <w:spacing w:line="360" w:lineRule="auto"/>
        <w:ind w:firstLine="420" w:firstLineChars="200"/>
        <w:jc w:val="left"/>
        <w:rPr>
          <w:rFonts w:eastAsia="仿宋_GB2312"/>
          <w:color w:val="auto"/>
          <w:szCs w:val="21"/>
        </w:rPr>
      </w:pPr>
      <w:r>
        <w:rPr>
          <w:rFonts w:eastAsia="仿宋_GB2312"/>
          <w:color w:val="auto"/>
          <w:kern w:val="0"/>
          <w:szCs w:val="21"/>
        </w:rPr>
        <w:t>市场价格波动是否调整合同价格的约定：</w:t>
      </w:r>
      <w:r>
        <w:rPr>
          <w:rFonts w:eastAsia="仿宋_GB2312"/>
          <w:color w:val="auto"/>
          <w:szCs w:val="21"/>
          <w:u w:val="single"/>
        </w:rPr>
        <w:t xml:space="preserve"> </w:t>
      </w:r>
      <w:r>
        <w:rPr>
          <w:rFonts w:hint="eastAsia" w:eastAsia="仿宋_GB2312"/>
          <w:color w:val="auto"/>
          <w:szCs w:val="21"/>
          <w:u w:val="single"/>
        </w:rPr>
        <w:t xml:space="preserve"> </w:t>
      </w:r>
      <w:r>
        <w:rPr>
          <w:rFonts w:hint="eastAsia" w:eastAsia="仿宋_GB2312"/>
          <w:color w:val="auto"/>
          <w:szCs w:val="21"/>
          <w:u w:val="single"/>
          <w:lang w:val="en-US" w:eastAsia="zh-CN"/>
        </w:rPr>
        <w:t xml:space="preserve">  </w:t>
      </w:r>
      <w:r>
        <w:rPr>
          <w:rFonts w:hint="eastAsia"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因市场价格波动调整合同价格，采用以下第</w:t>
      </w:r>
      <w:r>
        <w:rPr>
          <w:rFonts w:eastAsia="仿宋_GB2312"/>
          <w:color w:val="auto"/>
          <w:szCs w:val="21"/>
          <w:u w:val="single"/>
        </w:rPr>
        <w:t xml:space="preserve">  </w:t>
      </w:r>
      <w:r>
        <w:rPr>
          <w:rFonts w:hint="eastAsia" w:eastAsia="仿宋_GB2312"/>
          <w:color w:val="auto"/>
          <w:szCs w:val="21"/>
          <w:u w:val="single"/>
        </w:rPr>
        <w:t>3</w:t>
      </w:r>
      <w:r>
        <w:rPr>
          <w:rFonts w:eastAsia="仿宋_GB2312"/>
          <w:color w:val="auto"/>
          <w:szCs w:val="21"/>
          <w:u w:val="single"/>
        </w:rPr>
        <w:t xml:space="preserve">  </w:t>
      </w:r>
      <w:r>
        <w:rPr>
          <w:rFonts w:eastAsia="仿宋_GB2312"/>
          <w:color w:val="auto"/>
          <w:szCs w:val="21"/>
        </w:rPr>
        <w:t>种方式对合同价格进行调整：</w:t>
      </w:r>
    </w:p>
    <w:p>
      <w:pPr>
        <w:spacing w:line="360" w:lineRule="auto"/>
        <w:ind w:firstLine="420" w:firstLineChars="200"/>
        <w:jc w:val="left"/>
        <w:rPr>
          <w:rFonts w:eastAsia="仿宋_GB2312"/>
          <w:color w:val="auto"/>
          <w:szCs w:val="21"/>
        </w:rPr>
      </w:pPr>
      <w:r>
        <w:rPr>
          <w:rFonts w:eastAsia="仿宋_GB2312"/>
          <w:color w:val="auto"/>
          <w:szCs w:val="21"/>
        </w:rPr>
        <w:t>第1种方式：采用价格指数</w:t>
      </w:r>
      <w:r>
        <w:rPr>
          <w:rFonts w:hint="eastAsia" w:eastAsia="仿宋_GB2312"/>
          <w:color w:val="auto"/>
          <w:szCs w:val="21"/>
        </w:rPr>
        <w:t>进行价格</w:t>
      </w:r>
      <w:r>
        <w:rPr>
          <w:rFonts w:eastAsia="仿宋_GB2312"/>
          <w:color w:val="auto"/>
          <w:szCs w:val="21"/>
        </w:rPr>
        <w:t>调整。</w:t>
      </w:r>
    </w:p>
    <w:p>
      <w:pPr>
        <w:spacing w:line="360" w:lineRule="auto"/>
        <w:ind w:firstLine="420" w:firstLineChars="200"/>
        <w:jc w:val="left"/>
        <w:rPr>
          <w:rFonts w:eastAsia="仿宋_GB2312"/>
          <w:color w:val="auto"/>
          <w:szCs w:val="21"/>
          <w:u w:val="single"/>
        </w:rPr>
      </w:pPr>
      <w:r>
        <w:rPr>
          <w:rFonts w:eastAsia="仿宋_GB2312"/>
          <w:color w:val="auto"/>
          <w:szCs w:val="21"/>
        </w:rPr>
        <w:t>关于各可调因子、定值和变值权重，以及基本价格指数及其来源的约定：</w:t>
      </w:r>
      <w:r>
        <w:rPr>
          <w:rFonts w:eastAsia="仿宋_GB2312"/>
          <w:color w:val="auto"/>
          <w:szCs w:val="21"/>
          <w:u w:val="single"/>
        </w:rPr>
        <w:t xml:space="preserve">                  </w:t>
      </w:r>
      <w:r>
        <w:rPr>
          <w:rFonts w:eastAsia="仿宋_GB2312"/>
          <w:color w:val="auto"/>
          <w:szCs w:val="21"/>
        </w:rPr>
        <w:t xml:space="preserve">；  </w:t>
      </w:r>
    </w:p>
    <w:p>
      <w:pPr>
        <w:spacing w:line="360" w:lineRule="auto"/>
        <w:ind w:firstLine="420" w:firstLineChars="200"/>
        <w:jc w:val="left"/>
        <w:rPr>
          <w:rFonts w:eastAsia="仿宋_GB2312"/>
          <w:color w:val="auto"/>
          <w:szCs w:val="21"/>
        </w:rPr>
      </w:pPr>
      <w:r>
        <w:rPr>
          <w:rFonts w:eastAsia="仿宋_GB2312"/>
          <w:color w:val="auto"/>
          <w:szCs w:val="21"/>
        </w:rPr>
        <w:t>第2种方式：采用造价信息</w:t>
      </w:r>
      <w:r>
        <w:rPr>
          <w:rFonts w:hint="eastAsia" w:eastAsia="仿宋_GB2312"/>
          <w:color w:val="auto"/>
          <w:szCs w:val="21"/>
        </w:rPr>
        <w:t>进行价格</w:t>
      </w:r>
      <w:r>
        <w:rPr>
          <w:rFonts w:eastAsia="仿宋_GB2312"/>
          <w:color w:val="auto"/>
          <w:szCs w:val="21"/>
        </w:rPr>
        <w:t>调整。</w:t>
      </w:r>
    </w:p>
    <w:p>
      <w:pPr>
        <w:spacing w:line="360" w:lineRule="auto"/>
        <w:ind w:firstLine="420" w:firstLineChars="200"/>
        <w:jc w:val="left"/>
        <w:rPr>
          <w:rFonts w:eastAsia="仿宋_GB2312"/>
          <w:color w:val="auto"/>
          <w:szCs w:val="21"/>
          <w:u w:val="single"/>
        </w:rPr>
      </w:pPr>
      <w:r>
        <w:rPr>
          <w:rFonts w:eastAsia="仿宋_GB2312"/>
          <w:color w:val="auto"/>
          <w:szCs w:val="21"/>
        </w:rPr>
        <w:t>（2）关于基准价格的约定：</w:t>
      </w:r>
      <w:r>
        <w:rPr>
          <w:rFonts w:hint="eastAsia" w:eastAsia="仿宋_GB2312"/>
          <w:color w:val="auto"/>
          <w:szCs w:val="21"/>
          <w:u w:val="single"/>
        </w:rPr>
        <w:t xml:space="preserve">                     ;</w:t>
      </w:r>
    </w:p>
    <w:p>
      <w:pPr>
        <w:spacing w:line="360" w:lineRule="auto"/>
        <w:ind w:firstLine="420" w:firstLineChars="200"/>
        <w:jc w:val="left"/>
        <w:rPr>
          <w:rFonts w:eastAsia="仿宋_GB2312"/>
          <w:color w:val="auto"/>
          <w:szCs w:val="21"/>
        </w:rPr>
      </w:pPr>
      <w:r>
        <w:rPr>
          <w:rFonts w:eastAsia="仿宋_GB2312"/>
          <w:color w:val="auto"/>
          <w:szCs w:val="21"/>
        </w:rPr>
        <w:t>专用合同条款</w:t>
      </w:r>
      <w:r>
        <w:rPr>
          <w:rFonts w:hint="eastAsia" w:ascii="宋体" w:hAnsi="宋体" w:cs="宋体"/>
          <w:color w:val="auto"/>
          <w:szCs w:val="21"/>
        </w:rPr>
        <w:t>①</w:t>
      </w:r>
      <w:r>
        <w:rPr>
          <w:rFonts w:eastAsia="仿宋_GB2312"/>
          <w:color w:val="auto"/>
          <w:szCs w:val="21"/>
        </w:rPr>
        <w:t>承包人在已标价工程量清单或预算书中载明的材料单价低于基准价格的：专用合同条款合同履行期间材料单价涨幅以基准价格为基础超过</w:t>
      </w:r>
      <w:r>
        <w:rPr>
          <w:rFonts w:eastAsia="仿宋_GB2312"/>
          <w:color w:val="auto"/>
          <w:szCs w:val="21"/>
          <w:u w:val="single"/>
        </w:rPr>
        <w:t xml:space="preserve">   </w:t>
      </w:r>
      <w:r>
        <w:rPr>
          <w:rFonts w:eastAsia="仿宋_GB2312"/>
          <w:color w:val="auto"/>
          <w:szCs w:val="21"/>
        </w:rPr>
        <w:t>%时，或材料单价跌幅以已标价工程量清单或预算书中载明材料单价为基础超过</w:t>
      </w:r>
      <w:r>
        <w:rPr>
          <w:rFonts w:eastAsia="仿宋_GB2312"/>
          <w:color w:val="auto"/>
          <w:szCs w:val="21"/>
          <w:u w:val="single"/>
        </w:rPr>
        <w:t xml:space="preserve">   </w:t>
      </w:r>
      <w:r>
        <w:rPr>
          <w:rFonts w:eastAsia="仿宋_GB2312"/>
          <w:color w:val="auto"/>
          <w:szCs w:val="21"/>
        </w:rPr>
        <w:t>%时，其超过部分据实调整。</w:t>
      </w:r>
    </w:p>
    <w:p>
      <w:pPr>
        <w:spacing w:line="360" w:lineRule="auto"/>
        <w:ind w:firstLine="420" w:firstLineChars="200"/>
        <w:jc w:val="left"/>
        <w:rPr>
          <w:rFonts w:eastAsia="仿宋_GB2312"/>
          <w:color w:val="auto"/>
          <w:szCs w:val="21"/>
        </w:rPr>
      </w:pPr>
      <w:r>
        <w:rPr>
          <w:rFonts w:hint="eastAsia" w:ascii="宋体" w:hAnsi="宋体" w:cs="宋体"/>
          <w:color w:val="auto"/>
          <w:szCs w:val="21"/>
        </w:rPr>
        <w:t>②</w:t>
      </w:r>
      <w:r>
        <w:rPr>
          <w:rFonts w:eastAsia="仿宋_GB2312"/>
          <w:color w:val="auto"/>
          <w:szCs w:val="21"/>
        </w:rPr>
        <w:t>承包人在已标价工程量清单或预算书中载明的材料单价高于基准价格的：专用合同条款合同履行期间材料单价跌幅以基准价格为基础超过</w:t>
      </w:r>
      <w:r>
        <w:rPr>
          <w:rFonts w:eastAsia="仿宋_GB2312"/>
          <w:color w:val="auto"/>
          <w:szCs w:val="21"/>
          <w:u w:val="single"/>
        </w:rPr>
        <w:t xml:space="preserve">   </w:t>
      </w:r>
      <w:r>
        <w:rPr>
          <w:rFonts w:eastAsia="仿宋_GB2312"/>
          <w:color w:val="auto"/>
          <w:szCs w:val="21"/>
        </w:rPr>
        <w:t>%时，材料单价涨幅以已标价工程量清单或预算书中载明材料单价为基础超过</w:t>
      </w:r>
      <w:r>
        <w:rPr>
          <w:rFonts w:eastAsia="仿宋_GB2312"/>
          <w:color w:val="auto"/>
          <w:szCs w:val="21"/>
          <w:u w:val="single"/>
        </w:rPr>
        <w:t xml:space="preserve">   </w:t>
      </w:r>
      <w:r>
        <w:rPr>
          <w:rFonts w:eastAsia="仿宋_GB2312"/>
          <w:color w:val="auto"/>
          <w:szCs w:val="21"/>
        </w:rPr>
        <w:t>%时，其超过部分据实调整。</w:t>
      </w:r>
    </w:p>
    <w:p>
      <w:pPr>
        <w:spacing w:line="360" w:lineRule="auto"/>
        <w:ind w:firstLine="420" w:firstLineChars="200"/>
        <w:jc w:val="left"/>
        <w:rPr>
          <w:rFonts w:eastAsia="仿宋_GB2312"/>
          <w:color w:val="auto"/>
          <w:szCs w:val="21"/>
        </w:rPr>
      </w:pPr>
      <w:r>
        <w:rPr>
          <w:rFonts w:hint="eastAsia" w:ascii="宋体" w:hAnsi="宋体" w:cs="宋体"/>
          <w:color w:val="auto"/>
          <w:szCs w:val="21"/>
        </w:rPr>
        <w:t>③</w:t>
      </w:r>
      <w:r>
        <w:rPr>
          <w:rFonts w:eastAsia="仿宋_GB2312"/>
          <w:color w:val="auto"/>
          <w:szCs w:val="21"/>
        </w:rPr>
        <w:t>承包人在已标价工程量清单或预算书中载明的材料单价等于基准单价的：专用合同条款合同履行期间材料单价涨跌幅以基准单价为基础超过±</w:t>
      </w:r>
      <w:r>
        <w:rPr>
          <w:rFonts w:eastAsia="仿宋_GB2312"/>
          <w:color w:val="auto"/>
          <w:szCs w:val="21"/>
          <w:u w:val="single"/>
        </w:rPr>
        <w:t xml:space="preserve">   </w:t>
      </w:r>
      <w:r>
        <w:rPr>
          <w:rFonts w:eastAsia="仿宋_GB2312"/>
          <w:color w:val="auto"/>
          <w:szCs w:val="21"/>
        </w:rPr>
        <w:t>%时，其超过部分据实调整。</w:t>
      </w:r>
    </w:p>
    <w:p>
      <w:pPr>
        <w:spacing w:line="360" w:lineRule="auto"/>
        <w:ind w:firstLine="645"/>
        <w:jc w:val="left"/>
        <w:rPr>
          <w:rFonts w:eastAsia="仿宋_GB2312"/>
          <w:color w:val="auto"/>
          <w:szCs w:val="21"/>
          <w:u w:val="single"/>
        </w:rPr>
      </w:pPr>
      <w:r>
        <w:rPr>
          <w:rFonts w:eastAsia="仿宋_GB2312"/>
          <w:color w:val="auto"/>
          <w:szCs w:val="21"/>
        </w:rPr>
        <w:t>第3种方式：其他价格调整方式：</w:t>
      </w:r>
    </w:p>
    <w:p>
      <w:pPr>
        <w:spacing w:line="360" w:lineRule="auto"/>
        <w:ind w:firstLine="645"/>
        <w:jc w:val="left"/>
        <w:rPr>
          <w:rFonts w:eastAsia="仿宋_GB2312"/>
          <w:color w:val="auto"/>
          <w:szCs w:val="21"/>
          <w:u w:val="single"/>
        </w:rPr>
      </w:pPr>
      <w:r>
        <w:rPr>
          <w:rFonts w:hint="eastAsia" w:eastAsia="仿宋_GB2312"/>
          <w:color w:val="auto"/>
          <w:szCs w:val="21"/>
          <w:u w:val="single"/>
        </w:rPr>
        <w:t>1.允许调整的内容：钢材、水泥、商品混凝土、沥青混凝土、柴油、汽油、电线、电缆及人工市场单价。</w:t>
      </w:r>
    </w:p>
    <w:p>
      <w:pPr>
        <w:spacing w:line="360" w:lineRule="auto"/>
        <w:ind w:firstLine="645"/>
        <w:jc w:val="left"/>
        <w:rPr>
          <w:rFonts w:eastAsia="仿宋_GB2312"/>
          <w:color w:val="auto"/>
          <w:szCs w:val="21"/>
          <w:u w:val="single"/>
        </w:rPr>
      </w:pPr>
      <w:r>
        <w:rPr>
          <w:rFonts w:hint="eastAsia" w:eastAsia="仿宋_GB2312"/>
          <w:color w:val="auto"/>
          <w:szCs w:val="21"/>
          <w:u w:val="single"/>
        </w:rPr>
        <w:t>2.允许调整的范围：</w:t>
      </w:r>
    </w:p>
    <w:p>
      <w:pPr>
        <w:spacing w:line="360" w:lineRule="auto"/>
        <w:ind w:firstLine="645"/>
        <w:jc w:val="left"/>
        <w:rPr>
          <w:rFonts w:eastAsia="仿宋_GB2312"/>
          <w:color w:val="auto"/>
          <w:szCs w:val="21"/>
          <w:u w:val="single"/>
        </w:rPr>
      </w:pPr>
      <w:r>
        <w:rPr>
          <w:rFonts w:hint="eastAsia" w:eastAsia="仿宋_GB2312"/>
          <w:color w:val="auto"/>
          <w:szCs w:val="21"/>
          <w:u w:val="single"/>
        </w:rPr>
        <w:t>若有效施工期间的金华造价信息平均价与承包人投标报价基期信息价涨跌幅度在±5%以上时，超过部分予以调整。因承包人原因工期延误造成材料价格的上涨不予调整。</w:t>
      </w:r>
    </w:p>
    <w:p>
      <w:pPr>
        <w:spacing w:line="360" w:lineRule="auto"/>
        <w:ind w:firstLine="645"/>
        <w:jc w:val="left"/>
        <w:rPr>
          <w:rFonts w:eastAsia="仿宋_GB2312"/>
          <w:color w:val="auto"/>
          <w:szCs w:val="21"/>
          <w:u w:val="single"/>
        </w:rPr>
      </w:pPr>
      <w:r>
        <w:rPr>
          <w:rFonts w:hint="eastAsia" w:eastAsia="仿宋_GB2312"/>
          <w:color w:val="auto"/>
          <w:szCs w:val="21"/>
          <w:u w:val="single"/>
        </w:rPr>
        <w:t>3.有效施工期的确定：</w:t>
      </w:r>
    </w:p>
    <w:p>
      <w:pPr>
        <w:spacing w:line="360" w:lineRule="auto"/>
        <w:ind w:firstLine="645"/>
        <w:jc w:val="left"/>
        <w:rPr>
          <w:rFonts w:eastAsia="仿宋_GB2312"/>
          <w:color w:val="auto"/>
          <w:szCs w:val="21"/>
          <w:u w:val="single"/>
        </w:rPr>
      </w:pPr>
      <w:r>
        <w:rPr>
          <w:rFonts w:hint="eastAsia" w:eastAsia="仿宋_GB2312"/>
          <w:color w:val="auto"/>
          <w:szCs w:val="21"/>
          <w:u w:val="single"/>
        </w:rPr>
        <w:t>①钢材、水泥、商品混凝土、柴油、汽油、电线、电缆及人工单价等按开、竣工报告所确定工期的前80%约定为有效施工期；</w:t>
      </w:r>
    </w:p>
    <w:p>
      <w:pPr>
        <w:spacing w:line="360" w:lineRule="auto"/>
        <w:ind w:firstLine="645"/>
        <w:jc w:val="left"/>
        <w:rPr>
          <w:rFonts w:eastAsia="仿宋_GB2312"/>
          <w:color w:val="auto"/>
          <w:szCs w:val="21"/>
          <w:u w:val="single"/>
        </w:rPr>
      </w:pPr>
      <w:r>
        <w:rPr>
          <w:rFonts w:hint="eastAsia" w:eastAsia="仿宋_GB2312"/>
          <w:color w:val="auto"/>
          <w:szCs w:val="21"/>
          <w:u w:val="single"/>
        </w:rPr>
        <w:t>②沥青混凝土按路面面层开始施工至竣工报告时间约定为有效施工期。</w:t>
      </w:r>
    </w:p>
    <w:p>
      <w:pPr>
        <w:spacing w:line="360" w:lineRule="auto"/>
        <w:ind w:firstLine="645"/>
        <w:jc w:val="left"/>
        <w:rPr>
          <w:rFonts w:eastAsia="仿宋_GB2312"/>
          <w:color w:val="auto"/>
          <w:szCs w:val="21"/>
          <w:u w:val="single"/>
        </w:rPr>
      </w:pPr>
      <w:r>
        <w:rPr>
          <w:rFonts w:hint="eastAsia" w:eastAsia="仿宋_GB2312"/>
          <w:color w:val="auto"/>
          <w:szCs w:val="21"/>
          <w:u w:val="single"/>
        </w:rPr>
        <w:t>上述有效施工期内，如出现工期延误，应采用不利于责任一方的材料单价。</w:t>
      </w:r>
    </w:p>
    <w:p>
      <w:pPr>
        <w:spacing w:line="360" w:lineRule="auto"/>
        <w:ind w:firstLine="645"/>
        <w:jc w:val="left"/>
        <w:rPr>
          <w:rFonts w:eastAsia="仿宋_GB2312"/>
          <w:color w:val="auto"/>
          <w:szCs w:val="21"/>
          <w:u w:val="single"/>
        </w:rPr>
      </w:pPr>
      <w:r>
        <w:rPr>
          <w:rFonts w:hint="eastAsia" w:eastAsia="仿宋_GB2312"/>
          <w:color w:val="auto"/>
          <w:szCs w:val="21"/>
          <w:u w:val="single"/>
        </w:rPr>
        <w:t>4.基准价的确定。</w:t>
      </w:r>
    </w:p>
    <w:p>
      <w:pPr>
        <w:spacing w:line="360" w:lineRule="auto"/>
        <w:ind w:firstLine="645"/>
        <w:jc w:val="left"/>
        <w:rPr>
          <w:rFonts w:eastAsia="仿宋_GB2312"/>
          <w:color w:val="auto"/>
          <w:szCs w:val="21"/>
          <w:u w:val="single"/>
        </w:rPr>
      </w:pPr>
      <w:r>
        <w:rPr>
          <w:rFonts w:hint="eastAsia" w:eastAsia="仿宋_GB2312"/>
          <w:color w:val="auto"/>
          <w:szCs w:val="21"/>
          <w:u w:val="single"/>
        </w:rPr>
        <w:t>人工</w:t>
      </w:r>
      <w:r>
        <w:rPr>
          <w:rFonts w:hint="eastAsia" w:eastAsia="仿宋_GB2312"/>
          <w:color w:val="auto"/>
          <w:szCs w:val="21"/>
          <w:u w:val="single"/>
          <w:lang w:eastAsia="zh-CN"/>
        </w:rPr>
        <w:t>按</w:t>
      </w:r>
      <w:r>
        <w:rPr>
          <w:rFonts w:hint="eastAsia" w:eastAsia="仿宋_GB2312"/>
          <w:color w:val="auto"/>
          <w:szCs w:val="21"/>
          <w:u w:val="single"/>
        </w:rPr>
        <w:t>《金华市建设工程造价信息》公布的</w:t>
      </w:r>
      <w:r>
        <w:rPr>
          <w:rFonts w:hint="eastAsia" w:eastAsia="仿宋_GB2312"/>
          <w:color w:val="auto"/>
          <w:szCs w:val="21"/>
          <w:u w:val="single"/>
          <w:lang w:val="en-US" w:eastAsia="zh-CN"/>
        </w:rPr>
        <w:t>2020</w:t>
      </w:r>
      <w:r>
        <w:rPr>
          <w:rFonts w:eastAsia="仿宋_GB2312"/>
          <w:color w:val="auto"/>
          <w:szCs w:val="21"/>
          <w:u w:val="single"/>
        </w:rPr>
        <w:t>年</w:t>
      </w:r>
      <w:r>
        <w:rPr>
          <w:rFonts w:hint="eastAsia" w:eastAsia="仿宋_GB2312"/>
          <w:color w:val="auto"/>
          <w:szCs w:val="21"/>
          <w:u w:val="single"/>
          <w:lang w:val="en-US" w:eastAsia="zh-CN"/>
        </w:rPr>
        <w:t>6月</w:t>
      </w:r>
      <w:r>
        <w:rPr>
          <w:rFonts w:hint="eastAsia" w:eastAsia="仿宋_GB2312"/>
          <w:color w:val="auto"/>
          <w:szCs w:val="21"/>
          <w:u w:val="single"/>
        </w:rPr>
        <w:t>人工信息价计算、材料</w:t>
      </w:r>
      <w:r>
        <w:rPr>
          <w:rFonts w:hint="eastAsia" w:eastAsia="仿宋_GB2312"/>
          <w:color w:val="auto"/>
          <w:szCs w:val="21"/>
          <w:u w:val="single"/>
          <w:lang w:eastAsia="zh-CN"/>
        </w:rPr>
        <w:t>以</w:t>
      </w:r>
      <w:r>
        <w:rPr>
          <w:rFonts w:hint="eastAsia" w:eastAsia="仿宋_GB2312"/>
          <w:color w:val="auto"/>
          <w:szCs w:val="21"/>
          <w:u w:val="single"/>
        </w:rPr>
        <w:t>20</w:t>
      </w:r>
      <w:r>
        <w:rPr>
          <w:rFonts w:hint="eastAsia" w:eastAsia="仿宋_GB2312"/>
          <w:color w:val="auto"/>
          <w:szCs w:val="21"/>
          <w:u w:val="single"/>
          <w:lang w:val="en-US" w:eastAsia="zh-CN"/>
        </w:rPr>
        <w:t>20</w:t>
      </w:r>
      <w:r>
        <w:rPr>
          <w:rFonts w:hint="eastAsia" w:eastAsia="仿宋_GB2312"/>
          <w:color w:val="auto"/>
          <w:szCs w:val="21"/>
          <w:u w:val="single"/>
        </w:rPr>
        <w:t>年第</w:t>
      </w:r>
      <w:r>
        <w:rPr>
          <w:rFonts w:hint="eastAsia" w:eastAsia="仿宋_GB2312"/>
          <w:color w:val="auto"/>
          <w:szCs w:val="21"/>
          <w:u w:val="single"/>
          <w:lang w:val="en-US" w:eastAsia="zh-CN"/>
        </w:rPr>
        <w:t>6</w:t>
      </w:r>
      <w:r>
        <w:rPr>
          <w:rFonts w:hint="eastAsia" w:eastAsia="仿宋_GB2312"/>
          <w:color w:val="auto"/>
          <w:szCs w:val="21"/>
          <w:u w:val="single"/>
        </w:rPr>
        <w:t>期《金华建设工程造价信息》为基期价格</w:t>
      </w:r>
      <w:r>
        <w:rPr>
          <w:rFonts w:eastAsia="仿宋_GB2312"/>
          <w:color w:val="auto"/>
          <w:szCs w:val="21"/>
        </w:rPr>
        <w:t>。</w:t>
      </w:r>
    </w:p>
    <w:bookmarkEnd w:id="84"/>
    <w:bookmarkEnd w:id="85"/>
    <w:bookmarkEnd w:id="86"/>
    <w:bookmarkEnd w:id="87"/>
    <w:bookmarkEnd w:id="88"/>
    <w:bookmarkEnd w:id="89"/>
    <w:p>
      <w:pPr>
        <w:spacing w:after="120" w:line="360" w:lineRule="auto"/>
        <w:ind w:firstLine="422" w:firstLineChars="200"/>
        <w:rPr>
          <w:b/>
          <w:color w:val="auto"/>
          <w:szCs w:val="21"/>
        </w:rPr>
      </w:pPr>
      <w:bookmarkStart w:id="196" w:name="_Toc292559916"/>
      <w:bookmarkStart w:id="197" w:name="_Toc292559411"/>
      <w:bookmarkStart w:id="198" w:name="_Toc267251461"/>
      <w:bookmarkStart w:id="199" w:name="_Toc297048392"/>
      <w:bookmarkStart w:id="200" w:name="_Toc296891034"/>
      <w:bookmarkStart w:id="201" w:name="_Toc296503206"/>
      <w:bookmarkStart w:id="202" w:name="_Toc296891246"/>
      <w:bookmarkStart w:id="203" w:name="_Toc296347205"/>
      <w:bookmarkStart w:id="204" w:name="_Toc296944545"/>
      <w:bookmarkStart w:id="205" w:name="_Toc297120506"/>
      <w:bookmarkStart w:id="206" w:name="_Toc296346707"/>
      <w:bookmarkStart w:id="207" w:name="_Toc297216212"/>
      <w:bookmarkStart w:id="208" w:name="_Toc304295580"/>
      <w:bookmarkStart w:id="209" w:name="_Toc297123553"/>
      <w:bookmarkStart w:id="210" w:name="_Toc312678041"/>
      <w:bookmarkStart w:id="211" w:name="_Toc303539160"/>
      <w:bookmarkStart w:id="212" w:name="_Toc300935003"/>
      <w:r>
        <w:rPr>
          <w:b/>
          <w:color w:val="auto"/>
          <w:szCs w:val="21"/>
        </w:rPr>
        <w:t>12.1 合</w:t>
      </w:r>
      <w:bookmarkEnd w:id="196"/>
      <w:bookmarkEnd w:id="197"/>
      <w:bookmarkEnd w:id="198"/>
      <w:r>
        <w:rPr>
          <w:b/>
          <w:color w:val="auto"/>
          <w:szCs w:val="21"/>
        </w:rPr>
        <w:t>同价</w:t>
      </w:r>
      <w:bookmarkEnd w:id="199"/>
      <w:bookmarkEnd w:id="200"/>
      <w:bookmarkEnd w:id="201"/>
      <w:bookmarkEnd w:id="202"/>
      <w:bookmarkEnd w:id="203"/>
      <w:bookmarkEnd w:id="204"/>
      <w:bookmarkEnd w:id="205"/>
      <w:bookmarkEnd w:id="206"/>
      <w:r>
        <w:rPr>
          <w:b/>
          <w:color w:val="auto"/>
          <w:szCs w:val="21"/>
        </w:rPr>
        <w:t>格形式</w:t>
      </w:r>
    </w:p>
    <w:bookmarkEnd w:id="207"/>
    <w:bookmarkEnd w:id="208"/>
    <w:bookmarkEnd w:id="209"/>
    <w:bookmarkEnd w:id="210"/>
    <w:bookmarkEnd w:id="211"/>
    <w:bookmarkEnd w:id="212"/>
    <w:p>
      <w:pPr>
        <w:spacing w:line="360" w:lineRule="auto"/>
        <w:ind w:firstLine="420" w:firstLineChars="200"/>
        <w:jc w:val="left"/>
        <w:rPr>
          <w:rFonts w:eastAsia="仿宋_GB2312"/>
          <w:color w:val="auto"/>
          <w:szCs w:val="21"/>
        </w:rPr>
      </w:pPr>
      <w:r>
        <w:rPr>
          <w:rFonts w:eastAsia="仿宋_GB2312"/>
          <w:color w:val="auto"/>
          <w:szCs w:val="21"/>
        </w:rPr>
        <w:t>1、</w:t>
      </w:r>
      <w:r>
        <w:rPr>
          <w:rFonts w:hint="eastAsia" w:eastAsia="仿宋_GB2312"/>
          <w:color w:val="auto"/>
          <w:szCs w:val="21"/>
          <w:lang w:eastAsia="zh-CN"/>
        </w:rPr>
        <w:t>固定</w:t>
      </w:r>
      <w:r>
        <w:rPr>
          <w:rFonts w:eastAsia="仿宋_GB2312"/>
          <w:color w:val="auto"/>
          <w:szCs w:val="21"/>
        </w:rPr>
        <w:t>单价合同。</w:t>
      </w:r>
    </w:p>
    <w:p>
      <w:pPr>
        <w:tabs>
          <w:tab w:val="left" w:pos="3780"/>
        </w:tabs>
        <w:spacing w:line="360" w:lineRule="auto"/>
        <w:ind w:firstLine="420" w:firstLineChars="200"/>
        <w:jc w:val="left"/>
        <w:rPr>
          <w:rFonts w:eastAsia="仿宋_GB2312"/>
          <w:color w:val="auto"/>
          <w:szCs w:val="21"/>
          <w:u w:val="single"/>
        </w:rPr>
      </w:pPr>
      <w:r>
        <w:rPr>
          <w:rFonts w:eastAsia="仿宋_GB2312"/>
          <w:color w:val="auto"/>
          <w:szCs w:val="21"/>
          <w:u w:val="single"/>
        </w:rPr>
        <w:t>12.1.1</w:t>
      </w:r>
      <w:r>
        <w:rPr>
          <w:rFonts w:hint="eastAsia" w:eastAsia="仿宋_GB2312"/>
          <w:color w:val="auto"/>
          <w:szCs w:val="21"/>
          <w:u w:val="single"/>
        </w:rPr>
        <w:t>竣工价款的结算：</w:t>
      </w:r>
    </w:p>
    <w:p>
      <w:pPr>
        <w:tabs>
          <w:tab w:val="left" w:pos="3780"/>
        </w:tabs>
        <w:spacing w:line="360" w:lineRule="auto"/>
        <w:ind w:firstLine="420" w:firstLineChars="200"/>
        <w:jc w:val="left"/>
        <w:rPr>
          <w:rFonts w:eastAsia="仿宋_GB2312"/>
          <w:color w:val="auto"/>
          <w:szCs w:val="21"/>
          <w:u w:val="single"/>
        </w:rPr>
      </w:pPr>
      <w:r>
        <w:rPr>
          <w:rFonts w:hint="eastAsia" w:eastAsia="仿宋_GB2312"/>
          <w:color w:val="auto"/>
          <w:szCs w:val="21"/>
          <w:u w:val="single"/>
        </w:rPr>
        <w:t>（</w:t>
      </w:r>
      <w:r>
        <w:rPr>
          <w:rFonts w:eastAsia="仿宋_GB2312"/>
          <w:color w:val="auto"/>
          <w:szCs w:val="21"/>
          <w:u w:val="single"/>
        </w:rPr>
        <w:t>1</w:t>
      </w:r>
      <w:r>
        <w:rPr>
          <w:rFonts w:hint="eastAsia" w:eastAsia="仿宋_GB2312"/>
          <w:color w:val="auto"/>
          <w:szCs w:val="21"/>
          <w:u w:val="single"/>
        </w:rPr>
        <w:t>）工程量确定：工程竣工结算时，根据竣工图及设计变更联系单，按照《建设工程工程量清单计价规范》（</w:t>
      </w:r>
      <w:r>
        <w:rPr>
          <w:rFonts w:eastAsia="仿宋_GB2312"/>
          <w:color w:val="auto"/>
          <w:szCs w:val="21"/>
          <w:u w:val="single"/>
        </w:rPr>
        <w:t>GB50500-2013</w:t>
      </w:r>
      <w:r>
        <w:rPr>
          <w:rFonts w:hint="eastAsia" w:eastAsia="仿宋_GB2312"/>
          <w:color w:val="auto"/>
          <w:szCs w:val="21"/>
          <w:u w:val="single"/>
        </w:rPr>
        <w:t>）、国家建设工程工程量清单计算规范（</w:t>
      </w:r>
      <w:r>
        <w:rPr>
          <w:rFonts w:eastAsia="仿宋_GB2312"/>
          <w:color w:val="auto"/>
          <w:szCs w:val="21"/>
          <w:u w:val="single"/>
        </w:rPr>
        <w:t>2013</w:t>
      </w:r>
      <w:r>
        <w:rPr>
          <w:rFonts w:hint="eastAsia" w:eastAsia="仿宋_GB2312"/>
          <w:color w:val="auto"/>
          <w:szCs w:val="21"/>
          <w:u w:val="single"/>
        </w:rPr>
        <w:t>）及浙江省补充规定的规则按实计算工程量。</w:t>
      </w:r>
    </w:p>
    <w:p>
      <w:pPr>
        <w:tabs>
          <w:tab w:val="left" w:pos="3780"/>
        </w:tabs>
        <w:spacing w:line="360" w:lineRule="auto"/>
        <w:ind w:firstLine="420" w:firstLineChars="200"/>
        <w:jc w:val="left"/>
        <w:rPr>
          <w:rFonts w:eastAsia="仿宋_GB2312"/>
          <w:color w:val="auto"/>
          <w:szCs w:val="21"/>
          <w:u w:val="single"/>
        </w:rPr>
      </w:pPr>
      <w:r>
        <w:rPr>
          <w:rFonts w:hint="eastAsia" w:eastAsia="仿宋_GB2312"/>
          <w:color w:val="auto"/>
          <w:szCs w:val="21"/>
          <w:u w:val="single"/>
        </w:rPr>
        <w:t>（</w:t>
      </w:r>
      <w:r>
        <w:rPr>
          <w:rFonts w:eastAsia="仿宋_GB2312"/>
          <w:color w:val="auto"/>
          <w:szCs w:val="21"/>
          <w:u w:val="single"/>
        </w:rPr>
        <w:t>2</w:t>
      </w:r>
      <w:r>
        <w:rPr>
          <w:rFonts w:hint="eastAsia" w:eastAsia="仿宋_GB2312"/>
          <w:color w:val="auto"/>
          <w:szCs w:val="21"/>
          <w:u w:val="single"/>
        </w:rPr>
        <w:t>）清单项目综合单价确定：</w:t>
      </w:r>
    </w:p>
    <w:p>
      <w:pPr>
        <w:tabs>
          <w:tab w:val="left" w:pos="3780"/>
        </w:tabs>
        <w:spacing w:line="360" w:lineRule="auto"/>
        <w:ind w:firstLine="420" w:firstLineChars="200"/>
        <w:jc w:val="left"/>
        <w:rPr>
          <w:rFonts w:ascii="仿宋_GB2312" w:hAnsi="宋体" w:eastAsia="仿宋_GB2312"/>
          <w:color w:val="auto"/>
          <w:szCs w:val="21"/>
          <w:u w:val="single"/>
        </w:rPr>
      </w:pPr>
      <w:r>
        <w:rPr>
          <w:rFonts w:ascii="仿宋_GB2312" w:hAnsi="宋体" w:eastAsia="仿宋_GB2312"/>
          <w:color w:val="auto"/>
          <w:szCs w:val="21"/>
          <w:u w:val="single"/>
        </w:rPr>
        <w:t>a</w:t>
      </w:r>
      <w:r>
        <w:rPr>
          <w:rFonts w:hint="eastAsia" w:ascii="仿宋_GB2312" w:hAnsi="宋体" w:eastAsia="仿宋_GB2312"/>
          <w:color w:val="auto"/>
          <w:szCs w:val="21"/>
          <w:u w:val="single"/>
        </w:rPr>
        <w:t>、如发包人提供的工程量清单项目漏项，或经发包人批准设计变更产生新的工程量清单项目，其单价按下列原则确定：</w:t>
      </w:r>
    </w:p>
    <w:p>
      <w:pPr>
        <w:tabs>
          <w:tab w:val="left" w:pos="3780"/>
        </w:tabs>
        <w:spacing w:line="360" w:lineRule="auto"/>
        <w:ind w:firstLine="420" w:firstLineChars="200"/>
        <w:jc w:val="left"/>
        <w:rPr>
          <w:rFonts w:ascii="仿宋_GB2312" w:hAnsi="宋体" w:eastAsia="仿宋_GB2312"/>
          <w:color w:val="auto"/>
          <w:szCs w:val="21"/>
          <w:u w:val="single"/>
        </w:rPr>
      </w:pPr>
      <w:r>
        <w:rPr>
          <w:rFonts w:hint="eastAsia" w:ascii="仿宋_GB2312" w:hAnsi="宋体" w:eastAsia="仿宋_GB2312"/>
          <w:color w:val="auto"/>
          <w:szCs w:val="21"/>
          <w:u w:val="single"/>
        </w:rPr>
        <w:t>（</w:t>
      </w:r>
      <w:r>
        <w:rPr>
          <w:rFonts w:ascii="仿宋_GB2312" w:hAnsi="宋体" w:eastAsia="仿宋_GB2312"/>
          <w:color w:val="auto"/>
          <w:szCs w:val="21"/>
          <w:u w:val="single"/>
        </w:rPr>
        <w:t>1</w:t>
      </w:r>
      <w:r>
        <w:rPr>
          <w:rFonts w:hint="eastAsia" w:ascii="仿宋_GB2312" w:hAnsi="宋体" w:eastAsia="仿宋_GB2312"/>
          <w:color w:val="auto"/>
          <w:szCs w:val="21"/>
          <w:u w:val="single"/>
        </w:rPr>
        <w:t>）投标报价中已有适用于漏项或变更工程的价格，按其已有的价格确定调整价款；</w:t>
      </w:r>
    </w:p>
    <w:p>
      <w:pPr>
        <w:tabs>
          <w:tab w:val="left" w:pos="3780"/>
        </w:tabs>
        <w:spacing w:line="360" w:lineRule="auto"/>
        <w:ind w:firstLine="420" w:firstLineChars="200"/>
        <w:jc w:val="left"/>
        <w:rPr>
          <w:rFonts w:ascii="仿宋_GB2312" w:hAnsi="宋体" w:eastAsia="仿宋_GB2312"/>
          <w:color w:val="auto"/>
          <w:szCs w:val="21"/>
          <w:u w:val="single"/>
        </w:rPr>
      </w:pPr>
      <w:r>
        <w:rPr>
          <w:rFonts w:hint="eastAsia" w:ascii="仿宋_GB2312" w:hAnsi="宋体" w:eastAsia="仿宋_GB2312"/>
          <w:color w:val="auto"/>
          <w:szCs w:val="21"/>
          <w:u w:val="single"/>
        </w:rPr>
        <w:t>（</w:t>
      </w:r>
      <w:r>
        <w:rPr>
          <w:rFonts w:ascii="仿宋_GB2312" w:hAnsi="宋体" w:eastAsia="仿宋_GB2312"/>
          <w:color w:val="auto"/>
          <w:szCs w:val="21"/>
          <w:u w:val="single"/>
        </w:rPr>
        <w:t>2</w:t>
      </w:r>
      <w:r>
        <w:rPr>
          <w:rFonts w:hint="eastAsia" w:ascii="仿宋_GB2312" w:hAnsi="宋体" w:eastAsia="仿宋_GB2312"/>
          <w:color w:val="auto"/>
          <w:szCs w:val="21"/>
          <w:u w:val="single"/>
        </w:rPr>
        <w:t>）投标报价中已有类似于漏项或变更工程的价格，可以参照其类似的价格确定调整价款；</w:t>
      </w:r>
    </w:p>
    <w:p>
      <w:pPr>
        <w:tabs>
          <w:tab w:val="left" w:pos="3780"/>
        </w:tabs>
        <w:spacing w:line="360" w:lineRule="auto"/>
        <w:ind w:firstLine="420" w:firstLineChars="200"/>
        <w:jc w:val="left"/>
        <w:rPr>
          <w:rFonts w:ascii="仿宋_GB2312" w:hAnsi="宋体" w:eastAsia="仿宋_GB2312"/>
          <w:color w:val="auto"/>
          <w:szCs w:val="21"/>
          <w:u w:val="single"/>
        </w:rPr>
      </w:pPr>
      <w:r>
        <w:rPr>
          <w:rFonts w:hint="eastAsia" w:ascii="仿宋_GB2312" w:hAnsi="宋体" w:eastAsia="仿宋_GB2312"/>
          <w:color w:val="auto"/>
          <w:szCs w:val="21"/>
          <w:u w:val="single"/>
        </w:rPr>
        <w:t>（</w:t>
      </w:r>
      <w:r>
        <w:rPr>
          <w:rFonts w:ascii="仿宋_GB2312" w:hAnsi="宋体" w:eastAsia="仿宋_GB2312"/>
          <w:color w:val="auto"/>
          <w:szCs w:val="21"/>
          <w:u w:val="single"/>
        </w:rPr>
        <w:t>3</w:t>
      </w:r>
      <w:r>
        <w:rPr>
          <w:rFonts w:hint="eastAsia" w:ascii="仿宋_GB2312" w:hAnsi="宋体" w:eastAsia="仿宋_GB2312"/>
          <w:color w:val="auto"/>
          <w:szCs w:val="21"/>
          <w:u w:val="single"/>
        </w:rPr>
        <w:t>）投标报价中没有适用或类似于漏项或变更工程的价格，按现行的浙江省建设工程计价依据及省市配套政策性计价文件等为合同价款调整依据</w:t>
      </w:r>
      <w:r>
        <w:rPr>
          <w:rFonts w:hint="eastAsia" w:ascii="仿宋_GB2312" w:hAnsi="宋体" w:eastAsia="仿宋_GB2312"/>
          <w:color w:val="auto"/>
          <w:szCs w:val="21"/>
          <w:u w:val="single"/>
          <w:lang w:val="en-US" w:eastAsia="zh-CN"/>
        </w:rPr>
        <w:t>,规费费率按招标控制价编制时的费率计取</w:t>
      </w:r>
      <w:r>
        <w:rPr>
          <w:rFonts w:hint="eastAsia" w:ascii="仿宋_GB2312" w:hAnsi="宋体" w:eastAsia="仿宋_GB2312"/>
          <w:color w:val="auto"/>
          <w:szCs w:val="21"/>
          <w:u w:val="single"/>
        </w:rPr>
        <w:t>。其中：企业管理费、利润费率按中值计取，税金按9.00</w:t>
      </w:r>
      <w:r>
        <w:rPr>
          <w:rFonts w:ascii="仿宋_GB2312" w:hAnsi="宋体" w:eastAsia="仿宋_GB2312"/>
          <w:color w:val="auto"/>
          <w:szCs w:val="21"/>
          <w:u w:val="single"/>
        </w:rPr>
        <w:t>%</w:t>
      </w:r>
      <w:r>
        <w:rPr>
          <w:rFonts w:hint="eastAsia" w:ascii="仿宋_GB2312" w:hAnsi="宋体" w:eastAsia="仿宋_GB2312"/>
          <w:color w:val="auto"/>
          <w:szCs w:val="21"/>
          <w:u w:val="single"/>
        </w:rPr>
        <w:t>计取，人工、材料价格按投标基期信息价（除税信息价）或签证价（明确税率）。根据上述依据计算出的价格乘以（</w:t>
      </w:r>
      <w:r>
        <w:rPr>
          <w:rFonts w:ascii="仿宋_GB2312" w:hAnsi="宋体" w:eastAsia="仿宋_GB2312"/>
          <w:color w:val="auto"/>
          <w:szCs w:val="21"/>
          <w:u w:val="single"/>
        </w:rPr>
        <w:t>1-</w:t>
      </w:r>
      <w:r>
        <w:rPr>
          <w:rFonts w:hint="eastAsia" w:ascii="仿宋_GB2312" w:hAnsi="宋体" w:eastAsia="仿宋_GB2312"/>
          <w:color w:val="auto"/>
          <w:szCs w:val="21"/>
          <w:u w:val="single"/>
        </w:rPr>
        <w:t>投标下浮率），得出的价格为漏项或变更新增项目的结算价格。投标下浮率</w:t>
      </w:r>
      <w:r>
        <w:rPr>
          <w:rFonts w:ascii="仿宋_GB2312" w:hAnsi="宋体" w:eastAsia="仿宋_GB2312"/>
          <w:color w:val="auto"/>
          <w:szCs w:val="21"/>
          <w:u w:val="single"/>
        </w:rPr>
        <w:t>=</w:t>
      </w:r>
      <w:r>
        <w:rPr>
          <w:rFonts w:hint="eastAsia" w:ascii="仿宋_GB2312" w:hAnsi="宋体" w:eastAsia="仿宋_GB2312"/>
          <w:color w:val="auto"/>
          <w:szCs w:val="21"/>
          <w:u w:val="single"/>
        </w:rPr>
        <w:t>（</w:t>
      </w:r>
      <w:r>
        <w:rPr>
          <w:rFonts w:ascii="仿宋_GB2312" w:hAnsi="宋体" w:eastAsia="仿宋_GB2312"/>
          <w:color w:val="auto"/>
          <w:szCs w:val="21"/>
          <w:u w:val="single"/>
        </w:rPr>
        <w:t>1—</w:t>
      </w:r>
      <w:r>
        <w:rPr>
          <w:rFonts w:hint="eastAsia" w:ascii="仿宋_GB2312" w:hAnsi="宋体" w:eastAsia="仿宋_GB2312"/>
          <w:color w:val="auto"/>
          <w:szCs w:val="21"/>
          <w:u w:val="single"/>
        </w:rPr>
        <w:t>中标价÷招标控制价）×</w:t>
      </w:r>
      <w:r>
        <w:rPr>
          <w:rFonts w:ascii="仿宋_GB2312" w:hAnsi="宋体" w:eastAsia="仿宋_GB2312"/>
          <w:color w:val="auto"/>
          <w:szCs w:val="21"/>
          <w:u w:val="single"/>
        </w:rPr>
        <w:t>100%</w:t>
      </w:r>
      <w:r>
        <w:rPr>
          <w:rFonts w:hint="eastAsia" w:ascii="仿宋_GB2312" w:hAnsi="宋体" w:eastAsia="仿宋_GB2312"/>
          <w:color w:val="auto"/>
          <w:szCs w:val="21"/>
          <w:u w:val="single"/>
        </w:rPr>
        <w:t>（中标价及招标控制价在计算投标下浮率时应扣除暂列金额，下同）。</w:t>
      </w:r>
    </w:p>
    <w:p>
      <w:pPr>
        <w:tabs>
          <w:tab w:val="left" w:pos="3780"/>
        </w:tabs>
        <w:spacing w:line="360" w:lineRule="auto"/>
        <w:ind w:firstLine="420" w:firstLineChars="200"/>
        <w:jc w:val="left"/>
        <w:rPr>
          <w:rFonts w:ascii="仿宋_GB2312" w:hAnsi="宋体" w:eastAsia="仿宋_GB2312"/>
          <w:color w:val="auto"/>
          <w:szCs w:val="21"/>
          <w:u w:val="single"/>
        </w:rPr>
      </w:pPr>
      <w:r>
        <w:rPr>
          <w:rFonts w:hint="eastAsia" w:ascii="仿宋_GB2312" w:hAnsi="宋体" w:eastAsia="仿宋_GB2312"/>
          <w:color w:val="auto"/>
          <w:szCs w:val="21"/>
          <w:u w:val="single"/>
        </w:rPr>
        <w:t>新增材料价格：编制招标控制价时采用的《金华市建设工程造价信息》信息期刊为准，若金华市造价信息期刊中不具有的信息价则以浙江省造价信息价为准，若在《金华市建设工程造价信息》、《浙江造价信息》均没有相关材料的价格时，该材料价格由发包人、监理人、承包人三方询价或招标确定）。</w:t>
      </w:r>
    </w:p>
    <w:p>
      <w:pPr>
        <w:tabs>
          <w:tab w:val="left" w:pos="3780"/>
        </w:tabs>
        <w:spacing w:line="360" w:lineRule="auto"/>
        <w:ind w:firstLine="420" w:firstLineChars="200"/>
        <w:jc w:val="left"/>
        <w:rPr>
          <w:rFonts w:ascii="仿宋_GB2312" w:hAnsi="宋体" w:eastAsia="仿宋_GB2312"/>
          <w:color w:val="auto"/>
          <w:szCs w:val="21"/>
          <w:u w:val="single"/>
        </w:rPr>
      </w:pPr>
      <w:r>
        <w:rPr>
          <w:rFonts w:hint="eastAsia" w:eastAsia="仿宋_GB2312"/>
          <w:color w:val="auto"/>
          <w:szCs w:val="21"/>
          <w:u w:val="single"/>
        </w:rPr>
        <w:t>签证价格在列入结算时不做下浮。</w:t>
      </w:r>
    </w:p>
    <w:p>
      <w:pPr>
        <w:tabs>
          <w:tab w:val="left" w:pos="3780"/>
        </w:tabs>
        <w:spacing w:line="360" w:lineRule="auto"/>
        <w:ind w:firstLine="420" w:firstLineChars="200"/>
        <w:jc w:val="left"/>
        <w:rPr>
          <w:rFonts w:ascii="仿宋_GB2312" w:hAnsi="宋体" w:eastAsia="仿宋_GB2312"/>
          <w:color w:val="auto"/>
          <w:szCs w:val="21"/>
          <w:u w:val="single"/>
        </w:rPr>
      </w:pPr>
      <w:r>
        <w:rPr>
          <w:rFonts w:ascii="仿宋_GB2312" w:hAnsi="宋体" w:eastAsia="仿宋_GB2312"/>
          <w:color w:val="auto"/>
          <w:szCs w:val="21"/>
          <w:u w:val="single"/>
        </w:rPr>
        <w:t>b</w:t>
      </w:r>
      <w:r>
        <w:rPr>
          <w:rFonts w:hint="eastAsia" w:ascii="仿宋_GB2312" w:hAnsi="宋体" w:eastAsia="仿宋_GB2312"/>
          <w:color w:val="auto"/>
          <w:szCs w:val="21"/>
          <w:u w:val="single"/>
        </w:rPr>
        <w:t>、投标报价中设立品牌、规格的材料设备，一般不允许施工变更，确需变更的，发包人有权审查该材料设备报价的合理性，如有异常报价的，承包人应承担相应经济责任。新增加材料设备按除税信息价（或除税市场价）乘以（</w:t>
      </w:r>
      <w:r>
        <w:rPr>
          <w:rFonts w:ascii="仿宋_GB2312" w:hAnsi="宋体" w:eastAsia="仿宋_GB2312"/>
          <w:color w:val="auto"/>
          <w:szCs w:val="21"/>
          <w:u w:val="single"/>
        </w:rPr>
        <w:t>1-</w:t>
      </w:r>
      <w:r>
        <w:rPr>
          <w:rFonts w:hint="eastAsia" w:ascii="仿宋_GB2312" w:hAnsi="宋体" w:eastAsia="仿宋_GB2312"/>
          <w:color w:val="auto"/>
          <w:szCs w:val="21"/>
          <w:u w:val="single"/>
        </w:rPr>
        <w:t>投标下浮率）进行结算。</w:t>
      </w:r>
    </w:p>
    <w:p>
      <w:pPr>
        <w:tabs>
          <w:tab w:val="left" w:pos="3780"/>
        </w:tabs>
        <w:spacing w:line="360" w:lineRule="auto"/>
        <w:ind w:firstLine="420" w:firstLineChars="200"/>
        <w:jc w:val="left"/>
        <w:rPr>
          <w:rFonts w:ascii="仿宋_GB2312" w:hAnsi="宋体" w:eastAsia="仿宋_GB2312"/>
          <w:color w:val="auto"/>
          <w:szCs w:val="21"/>
          <w:u w:val="single"/>
        </w:rPr>
      </w:pPr>
      <w:r>
        <w:rPr>
          <w:rFonts w:ascii="仿宋_GB2312" w:hAnsi="宋体" w:eastAsia="仿宋_GB2312"/>
          <w:color w:val="auto"/>
          <w:szCs w:val="21"/>
          <w:u w:val="single"/>
        </w:rPr>
        <w:t>c</w:t>
      </w:r>
      <w:r>
        <w:rPr>
          <w:rFonts w:hint="eastAsia" w:ascii="仿宋_GB2312" w:hAnsi="宋体" w:eastAsia="仿宋_GB2312"/>
          <w:color w:val="auto"/>
          <w:szCs w:val="21"/>
          <w:u w:val="single"/>
        </w:rPr>
        <w:t>、暂定综合单价按招标控制价编制口径进行组价的价格乘以（</w:t>
      </w:r>
      <w:r>
        <w:rPr>
          <w:rFonts w:ascii="仿宋_GB2312" w:hAnsi="宋体" w:eastAsia="仿宋_GB2312"/>
          <w:color w:val="auto"/>
          <w:szCs w:val="21"/>
          <w:u w:val="single"/>
        </w:rPr>
        <w:t>1—</w:t>
      </w:r>
      <w:r>
        <w:rPr>
          <w:rFonts w:hint="eastAsia" w:ascii="仿宋_GB2312" w:hAnsi="宋体" w:eastAsia="仿宋_GB2312"/>
          <w:color w:val="auto"/>
          <w:szCs w:val="21"/>
          <w:u w:val="single"/>
        </w:rPr>
        <w:t>投标下浮率）。</w:t>
      </w:r>
    </w:p>
    <w:p>
      <w:pPr>
        <w:spacing w:line="360" w:lineRule="auto"/>
        <w:ind w:firstLine="420" w:firstLineChars="200"/>
        <w:jc w:val="left"/>
        <w:rPr>
          <w:rFonts w:eastAsia="仿宋_GB2312"/>
          <w:color w:val="auto"/>
          <w:szCs w:val="21"/>
          <w:u w:val="single"/>
        </w:rPr>
      </w:pPr>
      <w:r>
        <w:rPr>
          <w:rFonts w:eastAsia="仿宋_GB2312"/>
          <w:color w:val="auto"/>
          <w:szCs w:val="21"/>
          <w:u w:val="single"/>
        </w:rPr>
        <w:t>12.1.2竣工结算在以下情况下不能调整：</w:t>
      </w:r>
    </w:p>
    <w:p>
      <w:pPr>
        <w:tabs>
          <w:tab w:val="left" w:pos="3780"/>
        </w:tabs>
        <w:spacing w:line="360" w:lineRule="auto"/>
        <w:ind w:firstLine="420" w:firstLineChars="200"/>
        <w:jc w:val="left"/>
        <w:rPr>
          <w:rFonts w:eastAsia="仿宋_GB2312"/>
          <w:color w:val="auto"/>
          <w:szCs w:val="21"/>
          <w:u w:val="single"/>
        </w:rPr>
      </w:pPr>
      <w:r>
        <w:rPr>
          <w:rFonts w:hint="eastAsia" w:eastAsia="仿宋_GB2312"/>
          <w:color w:val="auto"/>
          <w:szCs w:val="21"/>
          <w:u w:val="single"/>
        </w:rPr>
        <w:t>（</w:t>
      </w:r>
      <w:r>
        <w:rPr>
          <w:rFonts w:eastAsia="仿宋_GB2312"/>
          <w:color w:val="auto"/>
          <w:szCs w:val="21"/>
          <w:u w:val="single"/>
        </w:rPr>
        <w:t>1</w:t>
      </w:r>
      <w:r>
        <w:rPr>
          <w:rFonts w:hint="eastAsia" w:eastAsia="仿宋_GB2312"/>
          <w:color w:val="auto"/>
          <w:szCs w:val="21"/>
          <w:u w:val="single"/>
        </w:rPr>
        <w:t>）承包人为方便施工而更改施工方案或施工方法而增加的费用。</w:t>
      </w:r>
    </w:p>
    <w:p>
      <w:pPr>
        <w:tabs>
          <w:tab w:val="left" w:pos="3780"/>
        </w:tabs>
        <w:spacing w:line="360" w:lineRule="auto"/>
        <w:ind w:firstLine="420" w:firstLineChars="200"/>
        <w:jc w:val="left"/>
        <w:rPr>
          <w:rFonts w:eastAsia="仿宋_GB2312"/>
          <w:color w:val="auto"/>
          <w:szCs w:val="21"/>
          <w:u w:val="single"/>
        </w:rPr>
      </w:pPr>
      <w:r>
        <w:rPr>
          <w:rFonts w:hint="eastAsia" w:eastAsia="仿宋_GB2312"/>
          <w:color w:val="auto"/>
          <w:szCs w:val="21"/>
          <w:u w:val="single"/>
        </w:rPr>
        <w:t>（</w:t>
      </w:r>
      <w:r>
        <w:rPr>
          <w:rFonts w:eastAsia="仿宋_GB2312"/>
          <w:color w:val="auto"/>
          <w:szCs w:val="21"/>
          <w:u w:val="single"/>
        </w:rPr>
        <w:t>2</w:t>
      </w:r>
      <w:r>
        <w:rPr>
          <w:rFonts w:hint="eastAsia" w:eastAsia="仿宋_GB2312"/>
          <w:color w:val="auto"/>
          <w:szCs w:val="21"/>
          <w:u w:val="single"/>
        </w:rPr>
        <w:t>）承包人未填报单价的项目，视为其费用已包含在其他项目中，其费用不能调整；承包人未填报单价的项目，结算时有数量增减，其增减部分的费用按投标文件的组价原则结合省定额有关子项重新组价出综合单价进行调整。</w:t>
      </w:r>
    </w:p>
    <w:p>
      <w:pPr>
        <w:tabs>
          <w:tab w:val="left" w:pos="3780"/>
        </w:tabs>
        <w:spacing w:line="360" w:lineRule="auto"/>
        <w:ind w:firstLine="420" w:firstLineChars="200"/>
        <w:jc w:val="left"/>
        <w:rPr>
          <w:rFonts w:eastAsia="仿宋_GB2312"/>
          <w:color w:val="auto"/>
          <w:szCs w:val="21"/>
          <w:u w:val="single"/>
        </w:rPr>
      </w:pPr>
      <w:r>
        <w:rPr>
          <w:rFonts w:hint="eastAsia" w:eastAsia="仿宋_GB2312"/>
          <w:color w:val="auto"/>
          <w:szCs w:val="21"/>
          <w:u w:val="single"/>
        </w:rPr>
        <w:t>（</w:t>
      </w:r>
      <w:r>
        <w:rPr>
          <w:rFonts w:eastAsia="仿宋_GB2312"/>
          <w:color w:val="auto"/>
          <w:szCs w:val="21"/>
          <w:u w:val="single"/>
        </w:rPr>
        <w:t>3</w:t>
      </w:r>
      <w:r>
        <w:rPr>
          <w:rFonts w:hint="eastAsia" w:eastAsia="仿宋_GB2312"/>
          <w:color w:val="auto"/>
          <w:szCs w:val="21"/>
          <w:u w:val="single"/>
        </w:rPr>
        <w:t>）施工技术措施费中除模板、脚手架、招标文件的约定内容外按投标报价包干不得调整。</w:t>
      </w:r>
    </w:p>
    <w:p>
      <w:pPr>
        <w:spacing w:line="360" w:lineRule="auto"/>
        <w:ind w:firstLine="420" w:firstLineChars="200"/>
        <w:jc w:val="left"/>
        <w:rPr>
          <w:rFonts w:eastAsia="仿宋_GB2312"/>
          <w:color w:val="auto"/>
          <w:szCs w:val="21"/>
          <w:u w:val="single"/>
        </w:rPr>
      </w:pPr>
      <w:r>
        <w:rPr>
          <w:rFonts w:eastAsia="仿宋_GB2312"/>
          <w:color w:val="auto"/>
          <w:szCs w:val="21"/>
          <w:u w:val="single"/>
        </w:rPr>
        <w:t>12.1.3人工、材料结算价格的调整：上述11、12条款未明确之处原则执行金政发【2012】122号文件。</w:t>
      </w:r>
    </w:p>
    <w:p>
      <w:pPr>
        <w:spacing w:line="360" w:lineRule="auto"/>
        <w:ind w:firstLine="420" w:firstLineChars="200"/>
        <w:jc w:val="left"/>
        <w:rPr>
          <w:rFonts w:eastAsia="仿宋_GB2312"/>
          <w:color w:val="auto"/>
          <w:szCs w:val="21"/>
          <w:u w:val="single"/>
        </w:rPr>
      </w:pPr>
      <w:r>
        <w:rPr>
          <w:rFonts w:eastAsia="仿宋_GB2312"/>
          <w:color w:val="auto"/>
          <w:szCs w:val="21"/>
          <w:u w:val="single"/>
        </w:rPr>
        <w:t>12.1.4工程竣工结算审核追加费用：以超过</w:t>
      </w:r>
      <w:r>
        <w:rPr>
          <w:rFonts w:hint="eastAsia" w:eastAsia="仿宋_GB2312"/>
          <w:color w:val="auto"/>
          <w:szCs w:val="21"/>
          <w:u w:val="single"/>
          <w:lang w:val="en-US" w:eastAsia="zh-CN"/>
        </w:rPr>
        <w:t>8</w:t>
      </w:r>
      <w:r>
        <w:rPr>
          <w:rFonts w:eastAsia="仿宋_GB2312"/>
          <w:color w:val="auto"/>
          <w:szCs w:val="21"/>
          <w:u w:val="single"/>
        </w:rPr>
        <w:t>%以外的核减额、核增额为基数分别计取核减额追加费和核增额追加费，该两笔审核追加费用由承包人支付，</w:t>
      </w:r>
      <w:r>
        <w:rPr>
          <w:rFonts w:hint="eastAsia" w:eastAsia="仿宋_GB2312"/>
          <w:color w:val="auto"/>
          <w:szCs w:val="21"/>
          <w:u w:val="single"/>
        </w:rPr>
        <w:t>或由</w:t>
      </w:r>
      <w:r>
        <w:rPr>
          <w:rFonts w:eastAsia="仿宋_GB2312"/>
          <w:color w:val="auto"/>
          <w:szCs w:val="21"/>
          <w:u w:val="single"/>
        </w:rPr>
        <w:t>发包人从应付工程价款中代扣代缴。</w:t>
      </w:r>
    </w:p>
    <w:p>
      <w:pPr>
        <w:spacing w:line="360" w:lineRule="auto"/>
        <w:ind w:firstLine="420" w:firstLineChars="200"/>
        <w:jc w:val="left"/>
        <w:rPr>
          <w:rFonts w:eastAsia="仿宋_GB2312"/>
          <w:color w:val="auto"/>
          <w:szCs w:val="21"/>
        </w:rPr>
      </w:pPr>
      <w:r>
        <w:rPr>
          <w:rFonts w:eastAsia="仿宋_GB2312"/>
          <w:color w:val="auto"/>
          <w:szCs w:val="21"/>
        </w:rPr>
        <w:t>2、总价合同。</w:t>
      </w:r>
    </w:p>
    <w:p>
      <w:pPr>
        <w:spacing w:line="360" w:lineRule="auto"/>
        <w:ind w:firstLine="420" w:firstLineChars="200"/>
        <w:jc w:val="left"/>
        <w:rPr>
          <w:rFonts w:eastAsia="仿宋_GB2312"/>
          <w:color w:val="auto"/>
          <w:szCs w:val="21"/>
          <w:u w:val="single"/>
        </w:rPr>
      </w:pPr>
      <w:r>
        <w:rPr>
          <w:rFonts w:eastAsia="仿宋_GB2312"/>
          <w:color w:val="auto"/>
          <w:szCs w:val="21"/>
        </w:rPr>
        <w:t>总价包含的风险范围：</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u w:val="single"/>
        </w:rPr>
      </w:pPr>
      <w:r>
        <w:rPr>
          <w:rFonts w:eastAsia="仿宋_GB2312"/>
          <w:color w:val="auto"/>
          <w:szCs w:val="21"/>
        </w:rPr>
        <w:t>风险费用的计算方法：</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风险范围以外合同价格的调整方法：</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u w:val="single"/>
        </w:rPr>
      </w:pPr>
      <w:r>
        <w:rPr>
          <w:rFonts w:eastAsia="仿宋_GB2312"/>
          <w:color w:val="auto"/>
          <w:szCs w:val="21"/>
        </w:rPr>
        <w:t>3、其他价格方式：</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after="120" w:line="360" w:lineRule="auto"/>
        <w:ind w:firstLine="422" w:firstLineChars="200"/>
        <w:rPr>
          <w:b/>
          <w:color w:val="auto"/>
          <w:szCs w:val="21"/>
        </w:rPr>
      </w:pPr>
      <w:bookmarkStart w:id="213" w:name="_Toc303539161"/>
      <w:bookmarkStart w:id="214" w:name="_Toc312678042"/>
      <w:bookmarkStart w:id="215" w:name="_Toc300935004"/>
      <w:bookmarkStart w:id="216" w:name="_Toc297216213"/>
      <w:bookmarkStart w:id="217" w:name="_Toc304295581"/>
      <w:bookmarkStart w:id="218" w:name="_Toc297123554"/>
      <w:bookmarkStart w:id="219" w:name="_Toc296347206"/>
      <w:bookmarkStart w:id="220" w:name="_Toc296891247"/>
      <w:bookmarkStart w:id="221" w:name="_Toc296944546"/>
      <w:bookmarkStart w:id="222" w:name="_Toc297048393"/>
      <w:bookmarkStart w:id="223" w:name="_Toc296891035"/>
      <w:bookmarkStart w:id="224" w:name="_Toc296503207"/>
      <w:bookmarkStart w:id="225" w:name="_Toc292559412"/>
      <w:bookmarkStart w:id="226" w:name="_Toc296346708"/>
      <w:bookmarkStart w:id="227" w:name="_Toc297120507"/>
      <w:bookmarkStart w:id="228" w:name="_Toc292559917"/>
      <w:r>
        <w:rPr>
          <w:b/>
          <w:color w:val="auto"/>
          <w:szCs w:val="21"/>
        </w:rPr>
        <w:t>12.2 预付款</w:t>
      </w:r>
    </w:p>
    <w:bookmarkEnd w:id="213"/>
    <w:bookmarkEnd w:id="214"/>
    <w:bookmarkEnd w:id="215"/>
    <w:bookmarkEnd w:id="216"/>
    <w:bookmarkEnd w:id="217"/>
    <w:bookmarkEnd w:id="218"/>
    <w:p>
      <w:pPr>
        <w:spacing w:line="360" w:lineRule="auto"/>
        <w:ind w:firstLine="420" w:firstLineChars="200"/>
        <w:jc w:val="left"/>
        <w:rPr>
          <w:rFonts w:eastAsia="仿宋_GB2312"/>
          <w:color w:val="auto"/>
          <w:szCs w:val="21"/>
        </w:rPr>
      </w:pPr>
      <w:r>
        <w:rPr>
          <w:rFonts w:eastAsia="仿宋_GB2312"/>
          <w:color w:val="auto"/>
          <w:szCs w:val="21"/>
        </w:rPr>
        <w:t>12.2.1 预付款的支付</w:t>
      </w:r>
    </w:p>
    <w:p>
      <w:pPr>
        <w:spacing w:line="360" w:lineRule="auto"/>
        <w:ind w:firstLine="420" w:firstLineChars="200"/>
        <w:jc w:val="left"/>
        <w:rPr>
          <w:rFonts w:eastAsia="仿宋_GB2312"/>
          <w:color w:val="auto"/>
          <w:szCs w:val="21"/>
        </w:rPr>
      </w:pPr>
      <w:r>
        <w:rPr>
          <w:rFonts w:eastAsia="仿宋_GB2312"/>
          <w:color w:val="auto"/>
          <w:szCs w:val="21"/>
        </w:rPr>
        <w:t>预付款支付比例或金额：</w:t>
      </w:r>
      <w:r>
        <w:rPr>
          <w:rFonts w:hint="eastAsia" w:eastAsia="仿宋_GB2312"/>
          <w:color w:val="auto"/>
          <w:szCs w:val="21"/>
          <w:u w:val="single"/>
          <w:lang w:val="en-US" w:eastAsia="zh-CN"/>
        </w:rPr>
        <w:t xml:space="preserve"> 本项目无预付款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预付款支付期限：</w:t>
      </w:r>
      <w:r>
        <w:rPr>
          <w:rFonts w:eastAsia="仿宋_GB2312"/>
          <w:color w:val="auto"/>
          <w:szCs w:val="21"/>
          <w:u w:val="single"/>
        </w:rPr>
        <w:t xml:space="preserve">   </w:t>
      </w:r>
      <w:r>
        <w:rPr>
          <w:rFonts w:hint="eastAsia" w:eastAsia="仿宋_GB2312"/>
          <w:color w:val="auto"/>
          <w:szCs w:val="21"/>
          <w:u w:val="single"/>
        </w:rPr>
        <w:t>/</w:t>
      </w:r>
      <w:r>
        <w:rPr>
          <w:rFonts w:hint="eastAsia" w:eastAsia="仿宋_GB2312"/>
          <w:color w:val="auto"/>
          <w:szCs w:val="21"/>
          <w:u w:val="single"/>
          <w:lang w:val="en-US" w:eastAsia="zh-CN"/>
        </w:rPr>
        <w:t xml:space="preserve">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预付款扣回的方式：</w:t>
      </w:r>
      <w:r>
        <w:rPr>
          <w:rFonts w:hint="eastAsia" w:eastAsia="仿宋_GB2312"/>
          <w:color w:val="auto"/>
          <w:szCs w:val="21"/>
          <w:u w:val="single"/>
        </w:rPr>
        <w:t>/</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12.2.2 预付款担保</w:t>
      </w:r>
    </w:p>
    <w:p>
      <w:pPr>
        <w:spacing w:line="360" w:lineRule="auto"/>
        <w:ind w:firstLine="420" w:firstLineChars="200"/>
        <w:jc w:val="left"/>
        <w:rPr>
          <w:rFonts w:eastAsia="仿宋_GB2312"/>
          <w:color w:val="auto"/>
          <w:szCs w:val="21"/>
        </w:rPr>
      </w:pPr>
      <w:r>
        <w:rPr>
          <w:rFonts w:eastAsia="仿宋_GB2312"/>
          <w:color w:val="auto"/>
          <w:szCs w:val="21"/>
        </w:rPr>
        <w:t>承包人提交预付款担保的期限：</w:t>
      </w:r>
      <w:r>
        <w:rPr>
          <w:rFonts w:eastAsia="仿宋_GB2312"/>
          <w:color w:val="auto"/>
          <w:szCs w:val="21"/>
          <w:u w:val="single"/>
        </w:rPr>
        <w:t xml:space="preserve">          </w:t>
      </w:r>
      <w:r>
        <w:rPr>
          <w:rFonts w:hint="eastAsia" w:eastAsia="仿宋_GB2312"/>
          <w:color w:val="auto"/>
          <w:szCs w:val="21"/>
          <w:u w:val="single"/>
        </w:rPr>
        <w:t xml:space="preserve"> /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预付款担保的形式为：</w:t>
      </w:r>
      <w:r>
        <w:rPr>
          <w:rFonts w:eastAsia="仿宋_GB2312"/>
          <w:color w:val="auto"/>
          <w:szCs w:val="21"/>
          <w:u w:val="single"/>
        </w:rPr>
        <w:t xml:space="preserve">                 </w:t>
      </w:r>
      <w:r>
        <w:rPr>
          <w:rFonts w:hint="eastAsia" w:eastAsia="仿宋_GB2312"/>
          <w:color w:val="auto"/>
          <w:szCs w:val="21"/>
          <w:u w:val="single"/>
        </w:rPr>
        <w:t>/</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bookmarkEnd w:id="219"/>
    <w:bookmarkEnd w:id="220"/>
    <w:bookmarkEnd w:id="221"/>
    <w:bookmarkEnd w:id="222"/>
    <w:bookmarkEnd w:id="223"/>
    <w:bookmarkEnd w:id="224"/>
    <w:bookmarkEnd w:id="225"/>
    <w:bookmarkEnd w:id="226"/>
    <w:bookmarkEnd w:id="227"/>
    <w:bookmarkEnd w:id="228"/>
    <w:p>
      <w:pPr>
        <w:spacing w:after="120" w:line="360" w:lineRule="auto"/>
        <w:ind w:firstLine="422" w:firstLineChars="200"/>
        <w:rPr>
          <w:b/>
          <w:color w:val="auto"/>
          <w:szCs w:val="21"/>
        </w:rPr>
      </w:pPr>
      <w:r>
        <w:rPr>
          <w:b/>
          <w:color w:val="auto"/>
          <w:szCs w:val="21"/>
        </w:rPr>
        <w:t>12.3 计量</w:t>
      </w:r>
    </w:p>
    <w:p>
      <w:pPr>
        <w:spacing w:line="360" w:lineRule="auto"/>
        <w:ind w:firstLine="420" w:firstLineChars="200"/>
        <w:jc w:val="left"/>
        <w:rPr>
          <w:rFonts w:eastAsia="仿宋_GB2312"/>
          <w:color w:val="auto"/>
          <w:szCs w:val="21"/>
        </w:rPr>
      </w:pPr>
      <w:r>
        <w:rPr>
          <w:rFonts w:eastAsia="仿宋_GB2312"/>
          <w:color w:val="auto"/>
          <w:szCs w:val="21"/>
        </w:rPr>
        <w:t>12.3.1 计量原则</w:t>
      </w:r>
    </w:p>
    <w:p>
      <w:pPr>
        <w:spacing w:line="360" w:lineRule="auto"/>
        <w:ind w:firstLine="420" w:firstLineChars="200"/>
        <w:jc w:val="left"/>
        <w:rPr>
          <w:rFonts w:eastAsia="仿宋_GB2312"/>
          <w:color w:val="auto"/>
          <w:szCs w:val="21"/>
        </w:rPr>
      </w:pPr>
      <w:r>
        <w:rPr>
          <w:rFonts w:eastAsia="仿宋_GB2312"/>
          <w:color w:val="auto"/>
          <w:szCs w:val="21"/>
        </w:rPr>
        <w:t>工程量计算规则：</w:t>
      </w:r>
      <w:r>
        <w:rPr>
          <w:rFonts w:hint="eastAsia" w:eastAsia="仿宋_GB2312"/>
          <w:color w:val="auto"/>
          <w:szCs w:val="21"/>
          <w:u w:val="single"/>
        </w:rPr>
        <w:t>按《建设工程工程量清单计价规范》（GB50500-2013）、国家建设工程工程量清单计算规范（</w:t>
      </w:r>
      <w:r>
        <w:rPr>
          <w:rFonts w:eastAsia="仿宋_GB2312"/>
          <w:color w:val="auto"/>
          <w:szCs w:val="21"/>
          <w:u w:val="single"/>
        </w:rPr>
        <w:t>2013</w:t>
      </w:r>
      <w:r>
        <w:rPr>
          <w:rFonts w:hint="eastAsia" w:eastAsia="仿宋_GB2312"/>
          <w:color w:val="auto"/>
          <w:szCs w:val="21"/>
          <w:u w:val="single"/>
        </w:rPr>
        <w:t>）及浙江省补充条款的计算规则按实计算</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12.3.2 计量周期</w:t>
      </w:r>
    </w:p>
    <w:p>
      <w:pPr>
        <w:spacing w:line="360" w:lineRule="auto"/>
        <w:ind w:firstLine="420" w:firstLineChars="200"/>
        <w:jc w:val="left"/>
        <w:rPr>
          <w:rFonts w:eastAsia="仿宋_GB2312"/>
          <w:color w:val="auto"/>
          <w:szCs w:val="21"/>
        </w:rPr>
      </w:pPr>
      <w:r>
        <w:rPr>
          <w:rFonts w:eastAsia="仿宋_GB2312"/>
          <w:color w:val="auto"/>
          <w:szCs w:val="21"/>
        </w:rPr>
        <w:t>关于计量周期的约定：</w:t>
      </w:r>
      <w:r>
        <w:rPr>
          <w:rFonts w:eastAsia="仿宋_GB2312"/>
          <w:color w:val="auto"/>
          <w:szCs w:val="21"/>
          <w:u w:val="single"/>
        </w:rPr>
        <w:t xml:space="preserve">          </w:t>
      </w:r>
      <w:r>
        <w:rPr>
          <w:rFonts w:hint="eastAsia" w:eastAsia="仿宋_GB2312"/>
          <w:color w:val="auto"/>
          <w:szCs w:val="21"/>
          <w:u w:val="single"/>
        </w:rPr>
        <w:t>按通用条款</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12.3.3 单价合同的计量</w:t>
      </w:r>
    </w:p>
    <w:p>
      <w:pPr>
        <w:spacing w:line="360" w:lineRule="auto"/>
        <w:ind w:firstLine="420" w:firstLineChars="200"/>
        <w:jc w:val="left"/>
        <w:rPr>
          <w:rFonts w:eastAsia="仿宋_GB2312"/>
          <w:color w:val="auto"/>
          <w:szCs w:val="21"/>
        </w:rPr>
      </w:pPr>
      <w:r>
        <w:rPr>
          <w:rFonts w:eastAsia="仿宋_GB2312"/>
          <w:color w:val="auto"/>
          <w:szCs w:val="21"/>
        </w:rPr>
        <w:t>关于单价合同计量的约定：</w:t>
      </w:r>
      <w:r>
        <w:rPr>
          <w:rFonts w:eastAsia="仿宋_GB2312"/>
          <w:color w:val="auto"/>
          <w:szCs w:val="21"/>
          <w:u w:val="single"/>
        </w:rPr>
        <w:t xml:space="preserve">      </w:t>
      </w:r>
      <w:r>
        <w:rPr>
          <w:rFonts w:hint="eastAsia" w:eastAsia="仿宋_GB2312"/>
          <w:color w:val="auto"/>
          <w:szCs w:val="21"/>
          <w:u w:val="single"/>
        </w:rPr>
        <w:t xml:space="preserve">按通用条款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12.3.4 总价合同的计量</w:t>
      </w:r>
    </w:p>
    <w:p>
      <w:pPr>
        <w:spacing w:line="360" w:lineRule="auto"/>
        <w:ind w:firstLine="420" w:firstLineChars="200"/>
        <w:jc w:val="left"/>
        <w:rPr>
          <w:rFonts w:eastAsia="仿宋_GB2312"/>
          <w:color w:val="auto"/>
          <w:szCs w:val="21"/>
        </w:rPr>
      </w:pPr>
      <w:r>
        <w:rPr>
          <w:rFonts w:eastAsia="仿宋_GB2312"/>
          <w:color w:val="auto"/>
          <w:szCs w:val="21"/>
        </w:rPr>
        <w:t>关于总价合同计量的约定：</w:t>
      </w:r>
      <w:r>
        <w:rPr>
          <w:rFonts w:eastAsia="仿宋_GB2312"/>
          <w:color w:val="auto"/>
          <w:szCs w:val="21"/>
          <w:u w:val="single"/>
        </w:rPr>
        <w:t xml:space="preserve">              </w:t>
      </w:r>
      <w:r>
        <w:rPr>
          <w:rFonts w:hint="eastAsia" w:eastAsia="仿宋_GB2312"/>
          <w:color w:val="auto"/>
          <w:szCs w:val="21"/>
          <w:u w:val="single"/>
        </w:rPr>
        <w:t xml:space="preserve"> /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12.3.5总价合同采用支付分解表计量支付的，是否适用第</w:t>
      </w:r>
      <w:r>
        <w:rPr>
          <w:rFonts w:eastAsia="仿宋_GB2312"/>
          <w:color w:val="auto"/>
          <w:kern w:val="0"/>
          <w:szCs w:val="21"/>
        </w:rPr>
        <w:t xml:space="preserve">12.3.4 </w:t>
      </w:r>
      <w:r>
        <w:rPr>
          <w:rFonts w:eastAsia="仿宋_GB2312"/>
          <w:color w:val="auto"/>
          <w:szCs w:val="21"/>
        </w:rPr>
        <w:t>项</w:t>
      </w:r>
      <w:r>
        <w:rPr>
          <w:rFonts w:hint="eastAsia" w:eastAsia="仿宋_GB2312"/>
          <w:color w:val="auto"/>
          <w:kern w:val="0"/>
          <w:szCs w:val="21"/>
        </w:rPr>
        <w:t>〔</w:t>
      </w:r>
      <w:r>
        <w:rPr>
          <w:rFonts w:eastAsia="仿宋_GB2312"/>
          <w:color w:val="auto"/>
          <w:kern w:val="0"/>
          <w:szCs w:val="21"/>
        </w:rPr>
        <w:t>总价合同的计量</w:t>
      </w:r>
      <w:r>
        <w:rPr>
          <w:rFonts w:hint="eastAsia" w:eastAsia="仿宋_GB2312"/>
          <w:color w:val="auto"/>
          <w:kern w:val="0"/>
          <w:szCs w:val="21"/>
        </w:rPr>
        <w:t>〕</w:t>
      </w:r>
      <w:r>
        <w:rPr>
          <w:rFonts w:eastAsia="仿宋_GB2312"/>
          <w:color w:val="auto"/>
          <w:szCs w:val="21"/>
        </w:rPr>
        <w:t>约定</w:t>
      </w:r>
      <w:r>
        <w:rPr>
          <w:rFonts w:hint="eastAsia" w:eastAsia="仿宋_GB2312"/>
          <w:color w:val="auto"/>
          <w:szCs w:val="21"/>
        </w:rPr>
        <w:t>进行计量：</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12.3.6 其他价格形式合同的计量</w:t>
      </w:r>
    </w:p>
    <w:p>
      <w:pPr>
        <w:spacing w:line="360" w:lineRule="auto"/>
        <w:ind w:firstLine="420" w:firstLineChars="200"/>
        <w:jc w:val="left"/>
        <w:rPr>
          <w:rFonts w:eastAsia="仿宋_GB2312"/>
          <w:color w:val="auto"/>
          <w:szCs w:val="21"/>
          <w:u w:val="single"/>
        </w:rPr>
      </w:pPr>
      <w:r>
        <w:rPr>
          <w:rFonts w:eastAsia="仿宋_GB2312"/>
          <w:color w:val="auto"/>
          <w:szCs w:val="21"/>
        </w:rPr>
        <w:t>其他价格形式的计量方式和程序：</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 xml:space="preserve">              /                         </w:t>
      </w:r>
      <w:r>
        <w:rPr>
          <w:rFonts w:eastAsia="仿宋_GB2312"/>
          <w:color w:val="auto"/>
          <w:szCs w:val="21"/>
          <w:u w:val="single"/>
        </w:rPr>
        <w:t xml:space="preserve">      </w:t>
      </w:r>
      <w:r>
        <w:rPr>
          <w:rFonts w:eastAsia="仿宋_GB2312"/>
          <w:color w:val="auto"/>
          <w:szCs w:val="21"/>
        </w:rPr>
        <w:t>。</w:t>
      </w:r>
    </w:p>
    <w:p>
      <w:pPr>
        <w:spacing w:after="120" w:line="360" w:lineRule="auto"/>
        <w:ind w:firstLine="422" w:firstLineChars="200"/>
        <w:rPr>
          <w:b/>
          <w:color w:val="auto"/>
          <w:szCs w:val="21"/>
        </w:rPr>
      </w:pPr>
      <w:r>
        <w:rPr>
          <w:b/>
          <w:color w:val="auto"/>
          <w:szCs w:val="21"/>
        </w:rPr>
        <w:t>12.4 工程进度款支付</w:t>
      </w:r>
    </w:p>
    <w:p>
      <w:pPr>
        <w:spacing w:line="360" w:lineRule="auto"/>
        <w:ind w:firstLine="420" w:firstLineChars="200"/>
        <w:jc w:val="left"/>
        <w:rPr>
          <w:rFonts w:eastAsia="仿宋_GB2312"/>
          <w:color w:val="auto"/>
          <w:szCs w:val="21"/>
        </w:rPr>
      </w:pPr>
      <w:bookmarkStart w:id="229" w:name="_Toc297120511"/>
      <w:bookmarkStart w:id="230" w:name="_Toc297123556"/>
      <w:bookmarkStart w:id="231" w:name="_Toc296503211"/>
      <w:bookmarkStart w:id="232" w:name="_Toc296891039"/>
      <w:bookmarkStart w:id="233" w:name="_Toc296347210"/>
      <w:bookmarkStart w:id="234" w:name="_Toc300935006"/>
      <w:bookmarkStart w:id="235" w:name="_Toc296346712"/>
      <w:bookmarkStart w:id="236" w:name="_Toc297048397"/>
      <w:bookmarkStart w:id="237" w:name="_Toc296944550"/>
      <w:bookmarkStart w:id="238" w:name="_Toc303539163"/>
      <w:bookmarkStart w:id="239" w:name="_Toc297216215"/>
      <w:bookmarkStart w:id="240" w:name="_Toc292559416"/>
      <w:bookmarkStart w:id="241" w:name="_Toc292559921"/>
      <w:bookmarkStart w:id="242" w:name="_Toc296891251"/>
      <w:r>
        <w:rPr>
          <w:rFonts w:eastAsia="仿宋_GB2312"/>
          <w:color w:val="auto"/>
          <w:szCs w:val="21"/>
        </w:rPr>
        <w:t>12.4.1 付款周期</w:t>
      </w:r>
    </w:p>
    <w:p>
      <w:pPr>
        <w:spacing w:line="360" w:lineRule="auto"/>
        <w:ind w:firstLine="420" w:firstLineChars="200"/>
        <w:jc w:val="left"/>
        <w:rPr>
          <w:rFonts w:eastAsia="仿宋_GB2312"/>
          <w:i/>
          <w:iCs/>
          <w:color w:val="auto"/>
          <w:szCs w:val="21"/>
          <w:u w:val="single"/>
        </w:rPr>
      </w:pPr>
      <w:r>
        <w:rPr>
          <w:rFonts w:eastAsia="仿宋_GB2312"/>
          <w:color w:val="auto"/>
          <w:szCs w:val="21"/>
        </w:rPr>
        <w:t>关于付款周期的约定：</w:t>
      </w:r>
    </w:p>
    <w:p>
      <w:pPr>
        <w:numPr>
          <w:ilvl w:val="0"/>
          <w:numId w:val="0"/>
        </w:numPr>
        <w:spacing w:line="360" w:lineRule="auto"/>
        <w:ind w:firstLine="420" w:firstLineChars="200"/>
        <w:jc w:val="left"/>
        <w:rPr>
          <w:rFonts w:hint="eastAsia" w:eastAsia="仿宋_GB2312"/>
          <w:color w:val="auto"/>
          <w:szCs w:val="21"/>
          <w:lang w:val="en-US" w:eastAsia="zh-CN"/>
        </w:rPr>
      </w:pPr>
      <w:r>
        <w:rPr>
          <w:rFonts w:hint="eastAsia" w:eastAsia="仿宋_GB2312"/>
          <w:color w:val="auto"/>
          <w:szCs w:val="21"/>
          <w:lang w:val="en-US" w:eastAsia="zh-CN"/>
        </w:rPr>
        <w:t>（1）全部工程完工并经质量验收经验收合格后，付至合同价款的80%；</w:t>
      </w:r>
    </w:p>
    <w:p>
      <w:pPr>
        <w:numPr>
          <w:ilvl w:val="0"/>
          <w:numId w:val="0"/>
        </w:numPr>
        <w:spacing w:line="360" w:lineRule="auto"/>
        <w:ind w:firstLine="420" w:firstLineChars="200"/>
        <w:jc w:val="left"/>
        <w:rPr>
          <w:rFonts w:hint="eastAsia" w:eastAsia="仿宋_GB2312"/>
          <w:color w:val="auto"/>
          <w:szCs w:val="21"/>
          <w:lang w:val="en-US" w:eastAsia="zh-CN"/>
        </w:rPr>
      </w:pPr>
      <w:r>
        <w:rPr>
          <w:rFonts w:hint="eastAsia" w:eastAsia="仿宋_GB2312"/>
          <w:color w:val="auto"/>
          <w:szCs w:val="21"/>
          <w:lang w:val="en-US" w:eastAsia="zh-CN"/>
        </w:rPr>
        <w:t>（2）其余工程款经审计后一个月内付至审核价的95%，5%留作工程质量保证金。竣工质量验收合格一年后并按规定履行了保修责任后付清（不计利息）。</w:t>
      </w:r>
    </w:p>
    <w:p>
      <w:pPr>
        <w:numPr>
          <w:ilvl w:val="0"/>
          <w:numId w:val="0"/>
        </w:numPr>
        <w:spacing w:line="360" w:lineRule="auto"/>
        <w:ind w:firstLine="420" w:firstLineChars="200"/>
        <w:jc w:val="left"/>
        <w:rPr>
          <w:rFonts w:hint="eastAsia" w:eastAsia="仿宋_GB2312"/>
          <w:color w:val="auto"/>
          <w:szCs w:val="21"/>
        </w:rPr>
      </w:pPr>
      <w:r>
        <w:rPr>
          <w:rFonts w:hint="eastAsia" w:eastAsia="仿宋_GB2312"/>
          <w:color w:val="auto"/>
          <w:szCs w:val="21"/>
          <w:lang w:val="en-US" w:eastAsia="zh-CN"/>
        </w:rPr>
        <w:t>（3）工程变更价款在审计结束后支付。</w:t>
      </w:r>
      <w:r>
        <w:rPr>
          <w:rFonts w:hint="eastAsia" w:eastAsia="仿宋_GB2312"/>
          <w:color w:val="auto"/>
          <w:szCs w:val="21"/>
        </w:rPr>
        <w:t xml:space="preserve"> </w:t>
      </w:r>
    </w:p>
    <w:p>
      <w:pPr>
        <w:spacing w:line="360" w:lineRule="auto"/>
        <w:ind w:firstLine="420" w:firstLineChars="200"/>
        <w:jc w:val="left"/>
        <w:rPr>
          <w:rFonts w:eastAsia="仿宋_GB2312"/>
          <w:color w:val="auto"/>
          <w:szCs w:val="21"/>
        </w:rPr>
      </w:pPr>
      <w:r>
        <w:rPr>
          <w:rFonts w:eastAsia="仿宋_GB2312"/>
          <w:color w:val="auto"/>
          <w:szCs w:val="21"/>
        </w:rPr>
        <w:t>12.4.2 进度付款申请单的编制</w:t>
      </w:r>
    </w:p>
    <w:p>
      <w:pPr>
        <w:spacing w:line="360" w:lineRule="auto"/>
        <w:ind w:firstLine="420" w:firstLineChars="200"/>
        <w:jc w:val="left"/>
        <w:rPr>
          <w:rFonts w:eastAsia="仿宋_GB2312"/>
          <w:color w:val="auto"/>
          <w:szCs w:val="21"/>
          <w:u w:val="single"/>
        </w:rPr>
      </w:pPr>
      <w:r>
        <w:rPr>
          <w:rFonts w:eastAsia="仿宋_GB2312"/>
          <w:color w:val="auto"/>
          <w:szCs w:val="21"/>
        </w:rPr>
        <w:t>关于进度付款申请单编制的约定：</w:t>
      </w:r>
      <w:r>
        <w:rPr>
          <w:rFonts w:eastAsia="仿宋_GB2312"/>
          <w:color w:val="auto"/>
          <w:szCs w:val="21"/>
          <w:u w:val="single"/>
        </w:rPr>
        <w:t xml:space="preserve">     </w:t>
      </w:r>
      <w:r>
        <w:rPr>
          <w:rFonts w:hint="eastAsia" w:eastAsia="仿宋_GB2312"/>
          <w:color w:val="auto"/>
          <w:szCs w:val="21"/>
          <w:u w:val="single"/>
        </w:rPr>
        <w:t xml:space="preserve">   按通用条款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1</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eastAsia="仿宋_GB2312"/>
          <w:color w:val="auto"/>
          <w:szCs w:val="21"/>
        </w:rPr>
        <w:t>2.4.3 进度付款申请单的提交</w:t>
      </w:r>
    </w:p>
    <w:p>
      <w:pPr>
        <w:spacing w:line="360" w:lineRule="auto"/>
        <w:ind w:firstLine="420" w:firstLineChars="200"/>
        <w:jc w:val="left"/>
        <w:rPr>
          <w:rFonts w:eastAsia="仿宋_GB2312"/>
          <w:color w:val="auto"/>
          <w:szCs w:val="21"/>
        </w:rPr>
      </w:pPr>
      <w:r>
        <w:rPr>
          <w:rFonts w:eastAsia="仿宋_GB2312"/>
          <w:color w:val="auto"/>
          <w:szCs w:val="21"/>
        </w:rPr>
        <w:t>（1）单价合同进度付款申请单提交的约定</w:t>
      </w:r>
      <w:r>
        <w:rPr>
          <w:rFonts w:hint="eastAsia" w:eastAsia="仿宋_GB2312"/>
          <w:color w:val="auto"/>
          <w:szCs w:val="21"/>
        </w:rPr>
        <w:t>：</w:t>
      </w:r>
      <w:r>
        <w:rPr>
          <w:rFonts w:eastAsia="仿宋_GB2312"/>
          <w:color w:val="auto"/>
          <w:szCs w:val="21"/>
          <w:u w:val="single"/>
        </w:rPr>
        <w:t xml:space="preserve">  </w:t>
      </w:r>
      <w:r>
        <w:rPr>
          <w:rFonts w:hint="eastAsia" w:eastAsia="仿宋_GB2312"/>
          <w:color w:val="auto"/>
          <w:szCs w:val="21"/>
          <w:u w:val="single"/>
        </w:rPr>
        <w:t>每月</w:t>
      </w:r>
      <w:r>
        <w:rPr>
          <w:rFonts w:eastAsia="仿宋_GB2312"/>
          <w:color w:val="auto"/>
          <w:szCs w:val="21"/>
          <w:u w:val="single"/>
        </w:rPr>
        <w:t>25</w:t>
      </w:r>
      <w:r>
        <w:rPr>
          <w:rFonts w:hint="eastAsia" w:eastAsia="仿宋_GB2312"/>
          <w:color w:val="auto"/>
          <w:szCs w:val="21"/>
          <w:u w:val="single"/>
        </w:rPr>
        <w:t>日由承包人提供当月完成的工程数量及下月计划，经监理工程师签证后，于</w:t>
      </w:r>
      <w:r>
        <w:rPr>
          <w:rFonts w:eastAsia="仿宋_GB2312"/>
          <w:color w:val="auto"/>
          <w:szCs w:val="21"/>
          <w:u w:val="single"/>
        </w:rPr>
        <w:t>30</w:t>
      </w:r>
      <w:r>
        <w:rPr>
          <w:rFonts w:hint="eastAsia" w:eastAsia="仿宋_GB2312"/>
          <w:color w:val="auto"/>
          <w:szCs w:val="21"/>
          <w:u w:val="single"/>
        </w:rPr>
        <w:t>日报发包人</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（2）总价合同进度付款申请单提交的约定</w:t>
      </w:r>
      <w:r>
        <w:rPr>
          <w:rFonts w:hint="eastAsia" w:eastAsia="仿宋_GB2312"/>
          <w:color w:val="auto"/>
          <w:szCs w:val="21"/>
        </w:rPr>
        <w:t>：</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u w:val="single"/>
        </w:rPr>
      </w:pPr>
      <w:r>
        <w:rPr>
          <w:rFonts w:eastAsia="仿宋_GB2312"/>
          <w:color w:val="auto"/>
          <w:szCs w:val="21"/>
        </w:rPr>
        <w:t>（3）其他价格形式合同进度付款申请单提交的约定：</w:t>
      </w:r>
      <w:r>
        <w:rPr>
          <w:rFonts w:eastAsia="仿宋_GB2312"/>
          <w:color w:val="auto"/>
          <w:szCs w:val="21"/>
          <w:u w:val="single"/>
        </w:rPr>
        <w:t xml:space="preserve"> </w:t>
      </w:r>
      <w:r>
        <w:rPr>
          <w:rFonts w:hint="eastAsia" w:eastAsia="仿宋_GB2312"/>
          <w:color w:val="auto"/>
          <w:szCs w:val="21"/>
          <w:u w:val="single"/>
        </w:rPr>
        <w:t xml:space="preserve">             /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12.4.4 进度款审核和支付</w:t>
      </w:r>
    </w:p>
    <w:p>
      <w:pPr>
        <w:spacing w:line="360" w:lineRule="auto"/>
        <w:ind w:firstLine="420" w:firstLineChars="200"/>
        <w:jc w:val="left"/>
        <w:rPr>
          <w:rFonts w:eastAsia="仿宋_GB2312"/>
          <w:color w:val="auto"/>
          <w:szCs w:val="21"/>
          <w:u w:val="single"/>
        </w:rPr>
      </w:pPr>
      <w:r>
        <w:rPr>
          <w:rFonts w:eastAsia="仿宋_GB2312"/>
          <w:color w:val="auto"/>
          <w:szCs w:val="21"/>
        </w:rPr>
        <w:t>（1）监理人审查并报送发包人的期限：</w:t>
      </w:r>
      <w:r>
        <w:rPr>
          <w:rFonts w:eastAsia="仿宋_GB2312"/>
          <w:color w:val="auto"/>
          <w:szCs w:val="21"/>
          <w:u w:val="single"/>
        </w:rPr>
        <w:t xml:space="preserve">       </w:t>
      </w:r>
      <w:r>
        <w:rPr>
          <w:rFonts w:hint="eastAsia" w:eastAsia="仿宋_GB2312"/>
          <w:color w:val="auto"/>
          <w:szCs w:val="21"/>
          <w:u w:val="single"/>
        </w:rPr>
        <w:t xml:space="preserve">       按通用条款                  </w:t>
      </w:r>
      <w:r>
        <w:rPr>
          <w:rFonts w:eastAsia="仿宋_GB2312"/>
          <w:color w:val="auto"/>
          <w:szCs w:val="21"/>
        </w:rPr>
        <w:t>。</w:t>
      </w:r>
    </w:p>
    <w:p>
      <w:pPr>
        <w:spacing w:line="360" w:lineRule="auto"/>
        <w:ind w:firstLine="420" w:firstLineChars="200"/>
        <w:jc w:val="left"/>
        <w:rPr>
          <w:rFonts w:eastAsia="仿宋_GB2312"/>
          <w:color w:val="auto"/>
          <w:szCs w:val="21"/>
          <w:u w:val="single"/>
        </w:rPr>
      </w:pPr>
      <w:r>
        <w:rPr>
          <w:rFonts w:eastAsia="仿宋_GB2312"/>
          <w:color w:val="auto"/>
          <w:szCs w:val="21"/>
        </w:rPr>
        <w:t>发包人完成审批并签发进度款支付证书的期限：</w:t>
      </w:r>
      <w:r>
        <w:rPr>
          <w:rFonts w:hint="eastAsia" w:eastAsia="仿宋_GB2312"/>
          <w:color w:val="auto"/>
          <w:szCs w:val="21"/>
          <w:u w:val="single"/>
        </w:rPr>
        <w:t xml:space="preserve">          按通用条款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（2）发包人支付进度款的期限：</w:t>
      </w:r>
      <w:r>
        <w:rPr>
          <w:rFonts w:eastAsia="仿宋_GB2312"/>
          <w:color w:val="auto"/>
          <w:szCs w:val="21"/>
          <w:u w:val="single"/>
        </w:rPr>
        <w:t xml:space="preserve">           </w:t>
      </w:r>
      <w:r>
        <w:rPr>
          <w:rFonts w:hint="eastAsia" w:eastAsia="仿宋_GB2312"/>
          <w:color w:val="auto"/>
          <w:szCs w:val="21"/>
          <w:u w:val="single"/>
        </w:rPr>
        <w:t xml:space="preserve">按通用条款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line="360" w:lineRule="auto"/>
        <w:ind w:firstLine="525" w:firstLineChars="250"/>
        <w:jc w:val="left"/>
        <w:rPr>
          <w:rFonts w:eastAsia="仿宋_GB2312"/>
          <w:color w:val="auto"/>
          <w:szCs w:val="21"/>
          <w:u w:val="single"/>
        </w:rPr>
      </w:pPr>
      <w:r>
        <w:rPr>
          <w:rFonts w:eastAsia="仿宋_GB2312"/>
          <w:color w:val="auto"/>
          <w:szCs w:val="21"/>
        </w:rPr>
        <w:t>发包人逾期支付进度款的违约金的计算方式：</w:t>
      </w:r>
      <w:r>
        <w:rPr>
          <w:rFonts w:eastAsia="仿宋_GB2312"/>
          <w:color w:val="auto"/>
          <w:szCs w:val="21"/>
          <w:u w:val="single"/>
        </w:rPr>
        <w:t xml:space="preserve">      </w:t>
      </w:r>
      <w:r>
        <w:rPr>
          <w:rFonts w:hint="eastAsia" w:eastAsia="仿宋_GB2312"/>
          <w:color w:val="auto"/>
          <w:szCs w:val="21"/>
          <w:u w:val="single"/>
        </w:rPr>
        <w:t xml:space="preserve">    不支持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bookmarkEnd w:id="90"/>
    </w:p>
    <w:p>
      <w:pPr>
        <w:spacing w:after="120" w:line="360" w:lineRule="auto"/>
        <w:ind w:firstLine="422" w:firstLineChars="200"/>
        <w:rPr>
          <w:b/>
          <w:color w:val="auto"/>
          <w:szCs w:val="21"/>
        </w:rPr>
      </w:pPr>
      <w:bookmarkStart w:id="243" w:name="_Toc303539173"/>
      <w:bookmarkStart w:id="244" w:name="_Toc296347222"/>
      <w:bookmarkStart w:id="245" w:name="_Toc300935016"/>
      <w:bookmarkStart w:id="246" w:name="_Toc297123565"/>
      <w:bookmarkStart w:id="247" w:name="_Toc296944562"/>
      <w:bookmarkStart w:id="248" w:name="_Toc312678056"/>
      <w:bookmarkStart w:id="249" w:name="_Toc296891051"/>
      <w:bookmarkStart w:id="250" w:name="_Toc297048409"/>
      <w:bookmarkStart w:id="251" w:name="_Toc296346724"/>
      <w:bookmarkStart w:id="252" w:name="_Toc297216224"/>
      <w:bookmarkStart w:id="253" w:name="_Toc292559933"/>
      <w:bookmarkStart w:id="254" w:name="_Toc304295596"/>
      <w:bookmarkStart w:id="255" w:name="_Toc297120523"/>
      <w:bookmarkStart w:id="256" w:name="_Toc296503223"/>
      <w:bookmarkStart w:id="257" w:name="_Toc296891263"/>
      <w:bookmarkStart w:id="258" w:name="_Toc292559428"/>
      <w:r>
        <w:rPr>
          <w:b/>
          <w:color w:val="auto"/>
          <w:szCs w:val="21"/>
        </w:rPr>
        <w:t>13.2 竣工验收</w:t>
      </w:r>
    </w:p>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Pr>
        <w:spacing w:line="360" w:lineRule="auto"/>
        <w:ind w:firstLine="420" w:firstLineChars="200"/>
        <w:jc w:val="left"/>
        <w:rPr>
          <w:rFonts w:eastAsia="仿宋_GB2312"/>
          <w:color w:val="auto"/>
          <w:szCs w:val="21"/>
        </w:rPr>
      </w:pPr>
      <w:bookmarkStart w:id="259" w:name="_Toc280868704"/>
      <w:bookmarkStart w:id="260" w:name="_Toc280868705"/>
      <w:bookmarkStart w:id="261" w:name="_Toc280868706"/>
      <w:bookmarkStart w:id="262" w:name="_Toc280868707"/>
      <w:r>
        <w:rPr>
          <w:rFonts w:eastAsia="仿宋_GB2312"/>
          <w:color w:val="auto"/>
          <w:szCs w:val="21"/>
        </w:rPr>
        <w:t>13.2.2竣工验收程序</w:t>
      </w:r>
    </w:p>
    <w:bookmarkEnd w:id="259"/>
    <w:p>
      <w:pPr>
        <w:spacing w:line="360" w:lineRule="auto"/>
        <w:ind w:firstLine="420" w:firstLineChars="200"/>
        <w:jc w:val="left"/>
        <w:rPr>
          <w:rFonts w:eastAsia="仿宋_GB2312"/>
          <w:color w:val="auto"/>
          <w:szCs w:val="21"/>
          <w:u w:val="single"/>
        </w:rPr>
      </w:pPr>
      <w:r>
        <w:rPr>
          <w:rFonts w:eastAsia="仿宋_GB2312"/>
          <w:color w:val="auto"/>
          <w:kern w:val="0"/>
          <w:szCs w:val="21"/>
        </w:rPr>
        <w:t>关于竣工验收程序的约定：</w:t>
      </w:r>
      <w:r>
        <w:rPr>
          <w:rFonts w:eastAsia="仿宋_GB2312"/>
          <w:color w:val="auto"/>
          <w:szCs w:val="21"/>
          <w:u w:val="single"/>
        </w:rPr>
        <w:t xml:space="preserve">             </w:t>
      </w:r>
      <w:r>
        <w:rPr>
          <w:rFonts w:hint="eastAsia" w:eastAsia="仿宋_GB2312"/>
          <w:color w:val="auto"/>
          <w:szCs w:val="21"/>
          <w:u w:val="single"/>
        </w:rPr>
        <w:t xml:space="preserve">按通用条款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u w:val="single"/>
        </w:rPr>
      </w:pPr>
      <w:r>
        <w:rPr>
          <w:rFonts w:eastAsia="仿宋_GB2312"/>
          <w:color w:val="auto"/>
          <w:kern w:val="0"/>
          <w:szCs w:val="21"/>
        </w:rPr>
        <w:t>发包人不按照本项约定组织竣工验收、颁发工程接收证书的违约金的计算方法：</w:t>
      </w:r>
      <w:r>
        <w:rPr>
          <w:rFonts w:hint="eastAsia" w:eastAsia="仿宋_GB2312"/>
          <w:color w:val="auto"/>
          <w:szCs w:val="21"/>
          <w:u w:val="single"/>
        </w:rPr>
        <w:t>按通用条款</w:t>
      </w:r>
      <w:r>
        <w:rPr>
          <w:rFonts w:eastAsia="仿宋_GB2312"/>
          <w:color w:val="auto"/>
          <w:szCs w:val="21"/>
        </w:rPr>
        <w:t>。</w:t>
      </w:r>
    </w:p>
    <w:bookmarkEnd w:id="260"/>
    <w:p>
      <w:pPr>
        <w:spacing w:line="360" w:lineRule="auto"/>
        <w:ind w:firstLine="420" w:firstLineChars="200"/>
        <w:jc w:val="left"/>
        <w:rPr>
          <w:rFonts w:eastAsia="仿宋_GB2312"/>
          <w:color w:val="auto"/>
          <w:szCs w:val="21"/>
        </w:rPr>
      </w:pPr>
      <w:r>
        <w:rPr>
          <w:rFonts w:eastAsia="仿宋_GB2312"/>
          <w:color w:val="auto"/>
          <w:szCs w:val="21"/>
        </w:rPr>
        <w:t>13.2.5移交、接收全部与部分工程</w:t>
      </w:r>
    </w:p>
    <w:bookmarkEnd w:id="261"/>
    <w:p>
      <w:pPr>
        <w:spacing w:line="360" w:lineRule="auto"/>
        <w:ind w:firstLine="420" w:firstLineChars="200"/>
        <w:jc w:val="left"/>
        <w:rPr>
          <w:rFonts w:eastAsia="仿宋_GB2312"/>
          <w:color w:val="auto"/>
          <w:kern w:val="0"/>
          <w:szCs w:val="21"/>
        </w:rPr>
      </w:pPr>
      <w:r>
        <w:rPr>
          <w:rFonts w:hint="eastAsia" w:eastAsia="仿宋_GB2312"/>
          <w:color w:val="auto"/>
          <w:kern w:val="0"/>
          <w:szCs w:val="21"/>
        </w:rPr>
        <w:t>承包人向发包人移交工程的期限：</w:t>
      </w:r>
      <w:r>
        <w:rPr>
          <w:rFonts w:eastAsia="仿宋_GB2312"/>
          <w:color w:val="auto"/>
          <w:szCs w:val="21"/>
          <w:u w:val="single"/>
        </w:rPr>
        <w:t xml:space="preserve">         </w:t>
      </w:r>
      <w:r>
        <w:rPr>
          <w:rFonts w:hint="eastAsia" w:eastAsia="仿宋_GB2312"/>
          <w:color w:val="auto"/>
          <w:szCs w:val="21"/>
          <w:u w:val="single"/>
        </w:rPr>
        <w:t xml:space="preserve">按通用条款                    </w:t>
      </w:r>
      <w:r>
        <w:rPr>
          <w:rFonts w:eastAsia="仿宋_GB2312"/>
          <w:color w:val="auto"/>
          <w:szCs w:val="21"/>
          <w:u w:val="single"/>
        </w:rPr>
        <w:t xml:space="preserve"> </w:t>
      </w:r>
      <w:r>
        <w:rPr>
          <w:rFonts w:hint="eastAsia" w:eastAsia="仿宋_GB2312"/>
          <w:color w:val="auto"/>
          <w:szCs w:val="21"/>
          <w:u w:val="single"/>
        </w:rPr>
        <w:t xml:space="preserve"> </w:t>
      </w:r>
      <w:r>
        <w:rPr>
          <w:rFonts w:hint="eastAsia" w:eastAsia="仿宋_GB2312"/>
          <w:color w:val="auto"/>
          <w:szCs w:val="21"/>
        </w:rPr>
        <w:t>。</w:t>
      </w:r>
    </w:p>
    <w:p>
      <w:pPr>
        <w:spacing w:line="360" w:lineRule="auto"/>
        <w:ind w:firstLine="420" w:firstLineChars="200"/>
        <w:jc w:val="left"/>
        <w:rPr>
          <w:rFonts w:eastAsia="仿宋_GB2312"/>
          <w:color w:val="auto"/>
          <w:szCs w:val="21"/>
          <w:u w:val="single"/>
        </w:rPr>
      </w:pPr>
      <w:r>
        <w:rPr>
          <w:rFonts w:eastAsia="仿宋_GB2312"/>
          <w:color w:val="auto"/>
          <w:kern w:val="0"/>
          <w:szCs w:val="21"/>
        </w:rPr>
        <w:t>发包人未按本合同约定接收全部或部分工程的，违约金的计算方法为：</w:t>
      </w:r>
      <w:r>
        <w:rPr>
          <w:rFonts w:eastAsia="仿宋_GB2312"/>
          <w:color w:val="auto"/>
          <w:szCs w:val="21"/>
          <w:u w:val="single"/>
        </w:rPr>
        <w:t xml:space="preserve">  </w:t>
      </w:r>
      <w:r>
        <w:rPr>
          <w:rFonts w:hint="eastAsia" w:eastAsia="仿宋_GB2312"/>
          <w:color w:val="auto"/>
          <w:szCs w:val="21"/>
          <w:u w:val="single"/>
        </w:rPr>
        <w:t>按通用条款</w:t>
      </w:r>
      <w:r>
        <w:rPr>
          <w:rFonts w:eastAsia="仿宋_GB2312"/>
          <w:color w:val="auto"/>
          <w:szCs w:val="21"/>
          <w:u w:val="single"/>
        </w:rPr>
        <w:t xml:space="preserve">  </w:t>
      </w:r>
      <w:r>
        <w:rPr>
          <w:rFonts w:eastAsia="仿宋_GB2312"/>
          <w:color w:val="auto"/>
          <w:szCs w:val="21"/>
        </w:rPr>
        <w:t>。</w:t>
      </w:r>
    </w:p>
    <w:bookmarkEnd w:id="262"/>
    <w:p>
      <w:pPr>
        <w:spacing w:line="360" w:lineRule="auto"/>
        <w:ind w:firstLine="420" w:firstLineChars="200"/>
        <w:jc w:val="left"/>
        <w:rPr>
          <w:rFonts w:eastAsia="仿宋_GB2312"/>
          <w:color w:val="auto"/>
          <w:szCs w:val="21"/>
          <w:u w:val="single"/>
        </w:rPr>
      </w:pPr>
      <w:r>
        <w:rPr>
          <w:rFonts w:eastAsia="仿宋_GB2312"/>
          <w:color w:val="auto"/>
          <w:szCs w:val="21"/>
        </w:rPr>
        <w:t>承包人未按时移交工程的，违约金的计算方法为：</w:t>
      </w:r>
      <w:r>
        <w:rPr>
          <w:rFonts w:hint="eastAsia" w:eastAsia="仿宋_GB2312"/>
          <w:color w:val="auto"/>
          <w:szCs w:val="21"/>
          <w:u w:val="single"/>
        </w:rPr>
        <w:t xml:space="preserve">  每延误1天支付5000元违约金，累计不超过100000元</w:t>
      </w:r>
      <w:r>
        <w:rPr>
          <w:rFonts w:eastAsia="仿宋_GB2312"/>
          <w:color w:val="auto"/>
          <w:szCs w:val="21"/>
          <w:u w:val="single"/>
        </w:rPr>
        <w:t xml:space="preserve">   </w:t>
      </w:r>
      <w:r>
        <w:rPr>
          <w:rFonts w:eastAsia="仿宋_GB2312"/>
          <w:color w:val="auto"/>
          <w:szCs w:val="21"/>
        </w:rPr>
        <w:t>。</w:t>
      </w:r>
    </w:p>
    <w:p>
      <w:pPr>
        <w:spacing w:after="120" w:line="360" w:lineRule="auto"/>
        <w:ind w:firstLine="422" w:firstLineChars="200"/>
        <w:rPr>
          <w:b/>
          <w:color w:val="auto"/>
          <w:szCs w:val="21"/>
        </w:rPr>
      </w:pPr>
      <w:r>
        <w:rPr>
          <w:b/>
          <w:color w:val="auto"/>
          <w:szCs w:val="21"/>
        </w:rPr>
        <w:t>14.2 竣工结算审核</w:t>
      </w:r>
    </w:p>
    <w:p>
      <w:pPr>
        <w:spacing w:line="360" w:lineRule="auto"/>
        <w:ind w:firstLine="420" w:firstLineChars="200"/>
        <w:jc w:val="left"/>
        <w:rPr>
          <w:rFonts w:eastAsia="仿宋_GB2312"/>
          <w:color w:val="auto"/>
          <w:szCs w:val="21"/>
        </w:rPr>
      </w:pPr>
      <w:r>
        <w:rPr>
          <w:rFonts w:eastAsia="仿宋_GB2312"/>
          <w:color w:val="auto"/>
          <w:szCs w:val="21"/>
        </w:rPr>
        <w:t>发包人</w:t>
      </w:r>
      <w:r>
        <w:rPr>
          <w:rFonts w:hint="eastAsia" w:eastAsia="仿宋_GB2312"/>
          <w:color w:val="auto"/>
          <w:szCs w:val="21"/>
        </w:rPr>
        <w:t>审批</w:t>
      </w:r>
      <w:r>
        <w:rPr>
          <w:rFonts w:eastAsia="仿宋_GB2312"/>
          <w:color w:val="auto"/>
          <w:szCs w:val="21"/>
        </w:rPr>
        <w:t>竣工付款申请单的期限：</w:t>
      </w:r>
      <w:r>
        <w:rPr>
          <w:rFonts w:eastAsia="仿宋_GB2312"/>
          <w:color w:val="auto"/>
          <w:szCs w:val="21"/>
          <w:u w:val="single"/>
        </w:rPr>
        <w:t xml:space="preserve">     </w:t>
      </w:r>
      <w:r>
        <w:rPr>
          <w:rFonts w:hint="eastAsia" w:eastAsia="仿宋_GB2312"/>
          <w:color w:val="auto"/>
          <w:szCs w:val="21"/>
          <w:u w:val="single"/>
        </w:rPr>
        <w:t xml:space="preserve">以审计单位审核进度为准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发包人完成竣工付款的期限：</w:t>
      </w:r>
      <w:r>
        <w:rPr>
          <w:rFonts w:eastAsia="仿宋_GB2312"/>
          <w:color w:val="auto"/>
          <w:szCs w:val="21"/>
          <w:u w:val="single"/>
        </w:rPr>
        <w:t xml:space="preserve">       </w:t>
      </w:r>
      <w:r>
        <w:rPr>
          <w:rFonts w:hint="eastAsia" w:eastAsia="仿宋_GB2312"/>
          <w:color w:val="auto"/>
          <w:szCs w:val="21"/>
          <w:u w:val="single"/>
        </w:rPr>
        <w:t>按通用条款</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u w:val="single"/>
        </w:rPr>
      </w:pPr>
      <w:r>
        <w:rPr>
          <w:rFonts w:hint="eastAsia" w:eastAsia="仿宋_GB2312"/>
          <w:color w:val="auto"/>
          <w:szCs w:val="21"/>
        </w:rPr>
        <w:t>关于竣工付款证书异议部分复核的方式和程序：</w:t>
      </w:r>
      <w:r>
        <w:rPr>
          <w:rFonts w:eastAsia="仿宋_GB2312"/>
          <w:color w:val="auto"/>
          <w:szCs w:val="21"/>
          <w:u w:val="single"/>
        </w:rPr>
        <w:t xml:space="preserve">   </w:t>
      </w:r>
      <w:r>
        <w:rPr>
          <w:rFonts w:hint="eastAsia" w:eastAsia="仿宋_GB2312"/>
          <w:color w:val="auto"/>
          <w:szCs w:val="21"/>
          <w:u w:val="single"/>
        </w:rPr>
        <w:t xml:space="preserve">   按通用条款       </w:t>
      </w:r>
      <w:r>
        <w:rPr>
          <w:rFonts w:eastAsia="仿宋_GB2312"/>
          <w:color w:val="auto"/>
          <w:szCs w:val="21"/>
          <w:u w:val="single"/>
        </w:rPr>
        <w:t xml:space="preserve"> </w:t>
      </w:r>
      <w:r>
        <w:rPr>
          <w:rFonts w:eastAsia="仿宋_GB2312"/>
          <w:color w:val="auto"/>
          <w:szCs w:val="21"/>
        </w:rPr>
        <w:t>。</w:t>
      </w:r>
    </w:p>
    <w:p>
      <w:pPr>
        <w:spacing w:after="120" w:line="360" w:lineRule="auto"/>
        <w:ind w:firstLine="422" w:firstLineChars="200"/>
        <w:rPr>
          <w:b/>
          <w:color w:val="auto"/>
          <w:szCs w:val="21"/>
        </w:rPr>
      </w:pPr>
      <w:r>
        <w:rPr>
          <w:b/>
          <w:color w:val="auto"/>
          <w:szCs w:val="21"/>
        </w:rPr>
        <w:t>14.4 最终结清</w:t>
      </w:r>
    </w:p>
    <w:p>
      <w:pPr>
        <w:spacing w:line="360" w:lineRule="auto"/>
        <w:ind w:firstLine="420" w:firstLineChars="200"/>
        <w:jc w:val="left"/>
        <w:rPr>
          <w:rFonts w:eastAsia="仿宋_GB2312"/>
          <w:color w:val="auto"/>
          <w:kern w:val="0"/>
          <w:szCs w:val="21"/>
        </w:rPr>
      </w:pPr>
      <w:r>
        <w:rPr>
          <w:rFonts w:eastAsia="仿宋_GB2312"/>
          <w:color w:val="auto"/>
          <w:kern w:val="0"/>
          <w:szCs w:val="21"/>
        </w:rPr>
        <w:t>14.4.1 最终结清申请单</w:t>
      </w:r>
    </w:p>
    <w:p>
      <w:pPr>
        <w:spacing w:line="360" w:lineRule="auto"/>
        <w:ind w:firstLine="420" w:firstLineChars="200"/>
        <w:jc w:val="left"/>
        <w:rPr>
          <w:rFonts w:eastAsia="仿宋_GB2312"/>
          <w:color w:val="auto"/>
          <w:kern w:val="0"/>
          <w:szCs w:val="21"/>
        </w:rPr>
      </w:pPr>
      <w:r>
        <w:rPr>
          <w:rFonts w:eastAsia="仿宋_GB2312"/>
          <w:color w:val="auto"/>
          <w:kern w:val="0"/>
          <w:szCs w:val="21"/>
        </w:rPr>
        <w:t>承包人提交最终结清申请单的份数：</w:t>
      </w:r>
      <w:r>
        <w:rPr>
          <w:rFonts w:eastAsia="仿宋_GB2312"/>
          <w:color w:val="auto"/>
          <w:szCs w:val="21"/>
          <w:u w:val="single"/>
        </w:rPr>
        <w:t xml:space="preserve">    </w:t>
      </w:r>
      <w:r>
        <w:rPr>
          <w:rFonts w:hint="eastAsia" w:eastAsia="仿宋_GB2312"/>
          <w:color w:val="auto"/>
          <w:szCs w:val="21"/>
          <w:u w:val="single"/>
        </w:rPr>
        <w:t xml:space="preserve">一式八份 </w:t>
      </w:r>
      <w:r>
        <w:rPr>
          <w:rFonts w:eastAsia="仿宋_GB2312"/>
          <w:color w:val="auto"/>
          <w:szCs w:val="21"/>
          <w:u w:val="single"/>
        </w:rPr>
        <w:t xml:space="preserve">    </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kern w:val="0"/>
          <w:szCs w:val="21"/>
        </w:rPr>
        <w:t>承包人提交最终结算申请单的期限：</w:t>
      </w:r>
      <w:r>
        <w:rPr>
          <w:rFonts w:eastAsia="仿宋_GB2312"/>
          <w:color w:val="auto"/>
          <w:szCs w:val="21"/>
          <w:u w:val="single"/>
        </w:rPr>
        <w:t xml:space="preserve">   </w:t>
      </w:r>
      <w:r>
        <w:rPr>
          <w:rFonts w:hint="eastAsia" w:eastAsia="仿宋_GB2312"/>
          <w:color w:val="auto"/>
          <w:szCs w:val="21"/>
          <w:u w:val="single"/>
        </w:rPr>
        <w:t>按通用条款</w:t>
      </w:r>
      <w:r>
        <w:rPr>
          <w:rFonts w:eastAsia="仿宋_GB2312"/>
          <w:color w:val="auto"/>
          <w:szCs w:val="21"/>
          <w:u w:val="single"/>
        </w:rPr>
        <w:t xml:space="preserve">    </w:t>
      </w:r>
      <w:r>
        <w:rPr>
          <w:rFonts w:eastAsia="仿宋_GB2312"/>
          <w:color w:val="auto"/>
          <w:szCs w:val="21"/>
        </w:rPr>
        <w:t xml:space="preserve">。 </w:t>
      </w:r>
    </w:p>
    <w:p>
      <w:pPr>
        <w:spacing w:line="360" w:lineRule="auto"/>
        <w:ind w:firstLine="420" w:firstLineChars="200"/>
        <w:jc w:val="left"/>
        <w:rPr>
          <w:rFonts w:eastAsia="仿宋_GB2312"/>
          <w:color w:val="auto"/>
          <w:kern w:val="0"/>
          <w:szCs w:val="21"/>
        </w:rPr>
      </w:pPr>
      <w:r>
        <w:rPr>
          <w:rFonts w:eastAsia="仿宋_GB2312"/>
          <w:color w:val="auto"/>
          <w:kern w:val="0"/>
          <w:szCs w:val="21"/>
        </w:rPr>
        <w:t>14.4.2 最终结清证书和支付</w:t>
      </w:r>
    </w:p>
    <w:p>
      <w:pPr>
        <w:spacing w:line="360" w:lineRule="auto"/>
        <w:ind w:firstLine="420" w:firstLineChars="200"/>
        <w:jc w:val="left"/>
        <w:rPr>
          <w:rFonts w:eastAsia="仿宋_GB2312"/>
          <w:color w:val="auto"/>
          <w:szCs w:val="21"/>
        </w:rPr>
      </w:pPr>
      <w:r>
        <w:rPr>
          <w:rFonts w:eastAsia="仿宋_GB2312"/>
          <w:color w:val="auto"/>
          <w:szCs w:val="21"/>
        </w:rPr>
        <w:t>（1）发包人完成最终结清申请单的</w:t>
      </w:r>
      <w:r>
        <w:rPr>
          <w:rFonts w:hint="eastAsia" w:eastAsia="仿宋_GB2312"/>
          <w:color w:val="auto"/>
          <w:szCs w:val="21"/>
        </w:rPr>
        <w:t>审批</w:t>
      </w:r>
      <w:r>
        <w:rPr>
          <w:rFonts w:eastAsia="仿宋_GB2312"/>
          <w:color w:val="auto"/>
          <w:szCs w:val="21"/>
        </w:rPr>
        <w:t>并颁发最终结清证书的期限：</w:t>
      </w:r>
      <w:r>
        <w:rPr>
          <w:rFonts w:hint="eastAsia" w:eastAsia="仿宋_GB2312"/>
          <w:color w:val="auto"/>
          <w:szCs w:val="21"/>
          <w:u w:val="single"/>
        </w:rPr>
        <w:t>按发包人单位相关规定执行</w:t>
      </w:r>
      <w:r>
        <w:rPr>
          <w:rFonts w:eastAsia="仿宋_GB2312"/>
          <w:color w:val="auto"/>
          <w:szCs w:val="21"/>
        </w:rPr>
        <w:t>。</w:t>
      </w:r>
    </w:p>
    <w:p>
      <w:pPr>
        <w:spacing w:line="360" w:lineRule="auto"/>
        <w:ind w:firstLine="420" w:firstLineChars="200"/>
        <w:jc w:val="left"/>
        <w:rPr>
          <w:rFonts w:eastAsia="仿宋_GB2312"/>
          <w:color w:val="auto"/>
          <w:szCs w:val="21"/>
        </w:rPr>
      </w:pPr>
      <w:r>
        <w:rPr>
          <w:rFonts w:eastAsia="仿宋_GB2312"/>
          <w:color w:val="auto"/>
          <w:szCs w:val="21"/>
        </w:rPr>
        <w:t>（2）发包人完成支付的期限：</w:t>
      </w:r>
      <w:r>
        <w:rPr>
          <w:rFonts w:hint="eastAsia" w:eastAsia="仿宋_GB2312"/>
          <w:color w:val="auto"/>
          <w:szCs w:val="21"/>
          <w:u w:val="single"/>
        </w:rPr>
        <w:t>按发包人单位相关规定执行</w:t>
      </w:r>
      <w:r>
        <w:rPr>
          <w:rFonts w:eastAsia="仿宋_GB2312"/>
          <w:color w:val="auto"/>
          <w:szCs w:val="21"/>
        </w:rPr>
        <w:t>。</w:t>
      </w:r>
    </w:p>
    <w:p>
      <w:pPr>
        <w:spacing w:after="120" w:line="360" w:lineRule="auto"/>
        <w:ind w:firstLine="422" w:firstLineChars="200"/>
        <w:rPr>
          <w:b/>
          <w:color w:val="auto"/>
          <w:szCs w:val="21"/>
        </w:rPr>
      </w:pPr>
      <w:bookmarkStart w:id="263" w:name="_Toc267251483"/>
      <w:bookmarkStart w:id="264" w:name="_Toc267251484"/>
      <w:bookmarkStart w:id="265" w:name="_Toc267251482"/>
      <w:bookmarkStart w:id="266" w:name="_Toc267251485"/>
      <w:bookmarkStart w:id="267" w:name="_Toc267251490"/>
      <w:bookmarkStart w:id="268" w:name="_Toc267251489"/>
      <w:bookmarkStart w:id="269" w:name="_Toc267251488"/>
      <w:bookmarkStart w:id="270" w:name="_Toc267251486"/>
      <w:bookmarkStart w:id="271" w:name="_Toc267251499"/>
      <w:bookmarkStart w:id="272" w:name="_Toc267251513"/>
      <w:bookmarkStart w:id="273" w:name="_Toc267251497"/>
      <w:bookmarkStart w:id="274" w:name="_Toc267251509"/>
      <w:bookmarkStart w:id="275" w:name="_Toc267251495"/>
      <w:bookmarkStart w:id="276" w:name="_Toc267251504"/>
      <w:bookmarkStart w:id="277" w:name="_Toc267251501"/>
      <w:bookmarkStart w:id="278" w:name="_Toc267251491"/>
      <w:bookmarkStart w:id="279" w:name="_Toc267251514"/>
      <w:bookmarkStart w:id="280" w:name="_Toc267251511"/>
      <w:bookmarkStart w:id="281" w:name="_Toc267251515"/>
      <w:bookmarkStart w:id="282" w:name="_Toc267251510"/>
      <w:bookmarkStart w:id="283" w:name="_Toc267251494"/>
      <w:bookmarkStart w:id="284" w:name="_Toc267251496"/>
      <w:bookmarkStart w:id="285" w:name="_Toc267251493"/>
      <w:bookmarkStart w:id="286" w:name="_Toc267251507"/>
      <w:bookmarkStart w:id="287" w:name="_Toc267251498"/>
      <w:bookmarkStart w:id="288" w:name="_Toc267251508"/>
      <w:bookmarkStart w:id="289" w:name="_Toc267251502"/>
      <w:bookmarkStart w:id="290" w:name="_Toc267251503"/>
      <w:bookmarkStart w:id="291" w:name="_Toc267251492"/>
      <w:bookmarkStart w:id="292" w:name="_Toc267251506"/>
      <w:r>
        <w:rPr>
          <w:b/>
          <w:color w:val="auto"/>
          <w:szCs w:val="21"/>
        </w:rPr>
        <w:t>15.2缺陷责任期</w:t>
      </w:r>
      <w:bookmarkEnd w:id="263"/>
    </w:p>
    <w:p>
      <w:pPr>
        <w:spacing w:line="360" w:lineRule="auto"/>
        <w:ind w:firstLine="420" w:firstLineChars="200"/>
        <w:jc w:val="left"/>
        <w:rPr>
          <w:rFonts w:eastAsia="仿宋_GB2312"/>
          <w:color w:val="auto"/>
          <w:szCs w:val="21"/>
          <w:u w:val="single"/>
        </w:rPr>
      </w:pPr>
      <w:r>
        <w:rPr>
          <w:rFonts w:eastAsia="仿宋_GB2312"/>
          <w:color w:val="auto"/>
          <w:szCs w:val="21"/>
        </w:rPr>
        <w:t>缺陷责任期的具体期限：</w:t>
      </w:r>
      <w:r>
        <w:rPr>
          <w:rFonts w:eastAsia="仿宋_GB2312"/>
          <w:color w:val="auto"/>
          <w:szCs w:val="21"/>
          <w:u w:val="single"/>
        </w:rPr>
        <w:t xml:space="preserve">           </w:t>
      </w:r>
      <w:r>
        <w:rPr>
          <w:rFonts w:hint="eastAsia" w:eastAsia="仿宋_GB2312"/>
          <w:color w:val="auto"/>
          <w:szCs w:val="21"/>
          <w:u w:val="single"/>
        </w:rPr>
        <w:t xml:space="preserve">   24个月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eastAsia="仿宋_GB2312"/>
          <w:color w:val="auto"/>
          <w:szCs w:val="21"/>
        </w:rPr>
        <w:t>。</w:t>
      </w:r>
    </w:p>
    <w:p>
      <w:pPr>
        <w:spacing w:after="120" w:line="360" w:lineRule="auto"/>
        <w:ind w:firstLine="422" w:firstLineChars="200"/>
        <w:rPr>
          <w:b/>
          <w:color w:val="auto"/>
          <w:szCs w:val="21"/>
        </w:rPr>
      </w:pPr>
      <w:r>
        <w:rPr>
          <w:b/>
          <w:color w:val="auto"/>
          <w:szCs w:val="21"/>
        </w:rPr>
        <w:t>15.3 质量保证金</w:t>
      </w:r>
    </w:p>
    <w:p>
      <w:pPr>
        <w:spacing w:line="360" w:lineRule="auto"/>
        <w:ind w:firstLine="420" w:firstLineChars="200"/>
        <w:jc w:val="left"/>
        <w:rPr>
          <w:rFonts w:eastAsia="仿宋_GB2312"/>
          <w:color w:val="auto"/>
          <w:szCs w:val="21"/>
        </w:rPr>
      </w:pPr>
      <w:r>
        <w:rPr>
          <w:rFonts w:hint="eastAsia" w:eastAsia="仿宋_GB2312"/>
          <w:color w:val="auto"/>
          <w:szCs w:val="21"/>
        </w:rPr>
        <w:t>关于是否扣留质量保证金的约定：</w:t>
      </w:r>
      <w:r>
        <w:rPr>
          <w:rFonts w:eastAsia="仿宋_GB2312"/>
          <w:color w:val="auto"/>
          <w:szCs w:val="21"/>
          <w:u w:val="single"/>
        </w:rPr>
        <w:t xml:space="preserve">  </w:t>
      </w:r>
      <w:r>
        <w:rPr>
          <w:rFonts w:hint="eastAsia" w:eastAsia="仿宋_GB2312"/>
          <w:color w:val="auto"/>
          <w:szCs w:val="21"/>
          <w:u w:val="single"/>
        </w:rPr>
        <w:t>工程结算经有关部门审定后留审定价</w:t>
      </w:r>
      <w:r>
        <w:rPr>
          <w:rFonts w:hint="eastAsia" w:eastAsia="仿宋_GB2312"/>
          <w:color w:val="auto"/>
          <w:szCs w:val="21"/>
          <w:u w:val="single"/>
          <w:lang w:val="en-US" w:eastAsia="zh-CN"/>
        </w:rPr>
        <w:t>5</w:t>
      </w:r>
      <w:r>
        <w:rPr>
          <w:rFonts w:hint="eastAsia" w:eastAsia="仿宋_GB2312"/>
          <w:color w:val="auto"/>
          <w:szCs w:val="21"/>
          <w:u w:val="single"/>
        </w:rPr>
        <w:t>%作为质量保证金；质量保证金竣工验收合格后24个月后，若发生质量问题，扣除产生的相应费用后，无息退还</w:t>
      </w:r>
      <w:r>
        <w:rPr>
          <w:rFonts w:eastAsia="仿宋_GB2312"/>
          <w:color w:val="auto"/>
          <w:szCs w:val="21"/>
        </w:rPr>
        <w:t>。</w:t>
      </w:r>
      <w:r>
        <w:rPr>
          <w:rFonts w:hint="eastAsia" w:eastAsia="仿宋_GB2312"/>
          <w:color w:val="auto"/>
          <w:szCs w:val="21"/>
        </w:rPr>
        <w:t>在工程项目竣工前，承包人按专用合同条款第3.7条提供履约担保的，发包人不得同时预留工程质量保证金。</w:t>
      </w:r>
    </w:p>
    <w:p>
      <w:pPr>
        <w:spacing w:line="360" w:lineRule="auto"/>
        <w:ind w:firstLine="420" w:firstLineChars="200"/>
        <w:jc w:val="left"/>
        <w:rPr>
          <w:rFonts w:eastAsia="仿宋_GB2312"/>
          <w:color w:val="auto"/>
          <w:szCs w:val="21"/>
        </w:rPr>
      </w:pPr>
      <w:r>
        <w:rPr>
          <w:rFonts w:eastAsia="仿宋_GB2312"/>
          <w:color w:val="auto"/>
          <w:szCs w:val="21"/>
        </w:rPr>
        <w:t xml:space="preserve">15.3.1 </w:t>
      </w:r>
      <w:r>
        <w:rPr>
          <w:rFonts w:hint="eastAsia" w:eastAsia="仿宋_GB2312"/>
          <w:color w:val="auto"/>
          <w:szCs w:val="21"/>
        </w:rPr>
        <w:t>承包人提供</w:t>
      </w:r>
      <w:r>
        <w:rPr>
          <w:rFonts w:eastAsia="仿宋_GB2312"/>
          <w:color w:val="auto"/>
          <w:szCs w:val="21"/>
        </w:rPr>
        <w:t>质量保证金的</w:t>
      </w:r>
      <w:r>
        <w:rPr>
          <w:rFonts w:hint="eastAsia" w:eastAsia="仿宋_GB2312"/>
          <w:color w:val="auto"/>
          <w:szCs w:val="21"/>
        </w:rPr>
        <w:t>方</w:t>
      </w:r>
      <w:r>
        <w:rPr>
          <w:rFonts w:eastAsia="仿宋_GB2312"/>
          <w:color w:val="auto"/>
          <w:szCs w:val="21"/>
        </w:rPr>
        <w:t>式</w:t>
      </w:r>
    </w:p>
    <w:p>
      <w:pPr>
        <w:spacing w:line="360" w:lineRule="auto"/>
        <w:ind w:firstLine="420" w:firstLineChars="200"/>
        <w:jc w:val="left"/>
        <w:rPr>
          <w:rFonts w:eastAsia="仿宋_GB2312"/>
          <w:color w:val="auto"/>
          <w:szCs w:val="21"/>
        </w:rPr>
      </w:pPr>
      <w:r>
        <w:rPr>
          <w:rFonts w:eastAsia="仿宋_GB2312"/>
          <w:color w:val="auto"/>
          <w:szCs w:val="21"/>
        </w:rPr>
        <w:t>质量保证金采用以下第</w:t>
      </w:r>
      <w:r>
        <w:rPr>
          <w:rFonts w:eastAsia="仿宋_GB2312"/>
          <w:color w:val="auto"/>
          <w:szCs w:val="21"/>
          <w:u w:val="single"/>
        </w:rPr>
        <w:t xml:space="preserve"> </w:t>
      </w:r>
      <w:r>
        <w:rPr>
          <w:rFonts w:hint="eastAsia" w:eastAsia="仿宋_GB2312"/>
          <w:color w:val="auto"/>
          <w:szCs w:val="21"/>
          <w:u w:val="single"/>
        </w:rPr>
        <w:t xml:space="preserve"> （2） </w:t>
      </w:r>
      <w:r>
        <w:rPr>
          <w:rFonts w:eastAsia="仿宋_GB2312"/>
          <w:color w:val="auto"/>
          <w:szCs w:val="21"/>
          <w:u w:val="single"/>
        </w:rPr>
        <w:t xml:space="preserve">  </w:t>
      </w:r>
      <w:r>
        <w:rPr>
          <w:rFonts w:eastAsia="仿宋_GB2312"/>
          <w:color w:val="auto"/>
          <w:szCs w:val="21"/>
        </w:rPr>
        <w:t>种方式：</w:t>
      </w:r>
    </w:p>
    <w:p>
      <w:pPr>
        <w:autoSpaceDE w:val="0"/>
        <w:autoSpaceDN w:val="0"/>
        <w:adjustRightInd w:val="0"/>
        <w:spacing w:line="360" w:lineRule="auto"/>
        <w:ind w:firstLine="420" w:firstLineChars="200"/>
        <w:jc w:val="left"/>
        <w:rPr>
          <w:rFonts w:eastAsia="仿宋_GB2312"/>
          <w:color w:val="auto"/>
          <w:kern w:val="0"/>
          <w:szCs w:val="21"/>
        </w:rPr>
      </w:pPr>
      <w:r>
        <w:rPr>
          <w:rFonts w:eastAsia="仿宋_GB2312"/>
          <w:color w:val="auto"/>
          <w:kern w:val="0"/>
          <w:szCs w:val="21"/>
        </w:rPr>
        <w:t>（1）质量保证金保函，保证金额为：</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eastAsia="仿宋_GB2312"/>
          <w:color w:val="auto"/>
          <w:kern w:val="0"/>
          <w:szCs w:val="21"/>
        </w:rPr>
        <w:t xml:space="preserve">； </w:t>
      </w:r>
    </w:p>
    <w:p>
      <w:pPr>
        <w:autoSpaceDE w:val="0"/>
        <w:autoSpaceDN w:val="0"/>
        <w:adjustRightInd w:val="0"/>
        <w:spacing w:line="360" w:lineRule="auto"/>
        <w:ind w:firstLine="420" w:firstLineChars="200"/>
        <w:jc w:val="left"/>
        <w:rPr>
          <w:rFonts w:eastAsia="仿宋_GB2312"/>
          <w:color w:val="auto"/>
          <w:kern w:val="0"/>
          <w:szCs w:val="21"/>
        </w:rPr>
      </w:pPr>
      <w:r>
        <w:rPr>
          <w:rFonts w:eastAsia="仿宋_GB2312"/>
          <w:color w:val="auto"/>
          <w:kern w:val="0"/>
          <w:szCs w:val="21"/>
        </w:rPr>
        <w:t>（2）</w:t>
      </w:r>
      <w:r>
        <w:rPr>
          <w:rFonts w:eastAsia="仿宋_GB2312"/>
          <w:color w:val="auto"/>
          <w:kern w:val="0"/>
          <w:szCs w:val="21"/>
          <w:u w:val="single"/>
        </w:rPr>
        <w:t xml:space="preserve">   </w:t>
      </w:r>
      <w:r>
        <w:rPr>
          <w:rFonts w:hint="eastAsia" w:eastAsia="仿宋_GB2312"/>
          <w:color w:val="auto"/>
          <w:kern w:val="0"/>
          <w:szCs w:val="21"/>
          <w:u w:val="single"/>
          <w:lang w:val="en-US" w:eastAsia="zh-CN"/>
        </w:rPr>
        <w:t>5</w:t>
      </w:r>
      <w:r>
        <w:rPr>
          <w:rFonts w:eastAsia="仿宋_GB2312"/>
          <w:color w:val="auto"/>
          <w:kern w:val="0"/>
          <w:szCs w:val="21"/>
          <w:u w:val="single"/>
        </w:rPr>
        <w:t xml:space="preserve">   </w:t>
      </w:r>
      <w:r>
        <w:rPr>
          <w:rFonts w:eastAsia="仿宋_GB2312"/>
          <w:color w:val="auto"/>
          <w:kern w:val="0"/>
          <w:szCs w:val="21"/>
        </w:rPr>
        <w:t>%的工程款；</w:t>
      </w:r>
    </w:p>
    <w:p>
      <w:pPr>
        <w:autoSpaceDE w:val="0"/>
        <w:autoSpaceDN w:val="0"/>
        <w:adjustRightInd w:val="0"/>
        <w:spacing w:line="360" w:lineRule="auto"/>
        <w:ind w:firstLine="420" w:firstLineChars="200"/>
        <w:jc w:val="left"/>
        <w:rPr>
          <w:rFonts w:eastAsia="仿宋_GB2312"/>
          <w:color w:val="auto"/>
          <w:kern w:val="0"/>
          <w:szCs w:val="21"/>
        </w:rPr>
      </w:pPr>
      <w:r>
        <w:rPr>
          <w:rFonts w:eastAsia="仿宋_GB2312"/>
          <w:color w:val="auto"/>
          <w:kern w:val="0"/>
          <w:szCs w:val="21"/>
        </w:rPr>
        <w:t>（3）其他</w:t>
      </w:r>
      <w:r>
        <w:rPr>
          <w:rFonts w:hint="eastAsia" w:eastAsia="仿宋_GB2312"/>
          <w:color w:val="auto"/>
          <w:kern w:val="0"/>
          <w:szCs w:val="21"/>
        </w:rPr>
        <w:t>方</w:t>
      </w:r>
      <w:r>
        <w:rPr>
          <w:rFonts w:eastAsia="仿宋_GB2312"/>
          <w:color w:val="auto"/>
          <w:kern w:val="0"/>
          <w:szCs w:val="21"/>
        </w:rPr>
        <w:t>式:</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eastAsia="仿宋_GB2312"/>
          <w:color w:val="auto"/>
          <w:kern w:val="0"/>
          <w:szCs w:val="21"/>
        </w:rPr>
        <w:t>。</w:t>
      </w:r>
    </w:p>
    <w:p>
      <w:pPr>
        <w:spacing w:line="360" w:lineRule="auto"/>
        <w:ind w:firstLine="420" w:firstLineChars="200"/>
        <w:jc w:val="left"/>
        <w:rPr>
          <w:rFonts w:eastAsia="仿宋_GB2312"/>
          <w:color w:val="auto"/>
          <w:szCs w:val="21"/>
        </w:rPr>
      </w:pPr>
      <w:r>
        <w:rPr>
          <w:rFonts w:eastAsia="仿宋_GB2312"/>
          <w:color w:val="auto"/>
          <w:szCs w:val="21"/>
        </w:rPr>
        <w:t xml:space="preserve">15.3.2 质量保证金的扣留 </w:t>
      </w:r>
    </w:p>
    <w:p>
      <w:pPr>
        <w:spacing w:line="360" w:lineRule="auto"/>
        <w:ind w:firstLine="420" w:firstLineChars="200"/>
        <w:jc w:val="left"/>
        <w:rPr>
          <w:rFonts w:eastAsia="仿宋_GB2312"/>
          <w:color w:val="auto"/>
          <w:szCs w:val="21"/>
        </w:rPr>
      </w:pPr>
      <w:r>
        <w:rPr>
          <w:rFonts w:eastAsia="仿宋_GB2312"/>
          <w:color w:val="auto"/>
          <w:szCs w:val="21"/>
        </w:rPr>
        <w:t>质量保证金的扣留采取以下第</w:t>
      </w:r>
      <w:r>
        <w:rPr>
          <w:rFonts w:eastAsia="仿宋_GB2312"/>
          <w:color w:val="auto"/>
          <w:szCs w:val="21"/>
          <w:u w:val="single"/>
        </w:rPr>
        <w:t xml:space="preserve"> </w:t>
      </w:r>
      <w:r>
        <w:rPr>
          <w:rFonts w:hint="eastAsia" w:eastAsia="仿宋_GB2312"/>
          <w:color w:val="auto"/>
          <w:szCs w:val="21"/>
          <w:u w:val="single"/>
        </w:rPr>
        <w:t xml:space="preserve">  （2）</w:t>
      </w:r>
      <w:r>
        <w:rPr>
          <w:rFonts w:eastAsia="仿宋_GB2312"/>
          <w:color w:val="auto"/>
          <w:szCs w:val="21"/>
          <w:u w:val="single"/>
        </w:rPr>
        <w:t xml:space="preserve">  </w:t>
      </w:r>
      <w:r>
        <w:rPr>
          <w:rFonts w:eastAsia="仿宋_GB2312"/>
          <w:color w:val="auto"/>
          <w:szCs w:val="21"/>
        </w:rPr>
        <w:t>种方式：</w:t>
      </w:r>
    </w:p>
    <w:p>
      <w:pPr>
        <w:autoSpaceDE w:val="0"/>
        <w:autoSpaceDN w:val="0"/>
        <w:adjustRightInd w:val="0"/>
        <w:spacing w:line="360" w:lineRule="auto"/>
        <w:ind w:firstLine="420" w:firstLineChars="200"/>
        <w:jc w:val="left"/>
        <w:rPr>
          <w:rFonts w:eastAsia="仿宋_GB2312"/>
          <w:color w:val="auto"/>
          <w:kern w:val="0"/>
          <w:szCs w:val="21"/>
        </w:rPr>
      </w:pPr>
      <w:r>
        <w:rPr>
          <w:rFonts w:eastAsia="仿宋_GB2312"/>
          <w:color w:val="auto"/>
          <w:kern w:val="0"/>
          <w:szCs w:val="21"/>
        </w:rPr>
        <w:t>（1）在支付工程进度款时逐次扣留；</w:t>
      </w:r>
    </w:p>
    <w:p>
      <w:pPr>
        <w:autoSpaceDE w:val="0"/>
        <w:autoSpaceDN w:val="0"/>
        <w:adjustRightInd w:val="0"/>
        <w:spacing w:line="360" w:lineRule="auto"/>
        <w:ind w:firstLine="420" w:firstLineChars="200"/>
        <w:jc w:val="left"/>
        <w:rPr>
          <w:rFonts w:eastAsia="仿宋_GB2312"/>
          <w:color w:val="auto"/>
          <w:kern w:val="0"/>
          <w:szCs w:val="21"/>
        </w:rPr>
      </w:pPr>
      <w:r>
        <w:rPr>
          <w:rFonts w:eastAsia="仿宋_GB2312"/>
          <w:color w:val="auto"/>
          <w:kern w:val="0"/>
          <w:szCs w:val="21"/>
        </w:rPr>
        <w:t>（2）工程竣工结算时一次性扣留质量保证金；</w:t>
      </w:r>
    </w:p>
    <w:p>
      <w:pPr>
        <w:autoSpaceDE w:val="0"/>
        <w:autoSpaceDN w:val="0"/>
        <w:adjustRightInd w:val="0"/>
        <w:spacing w:line="360" w:lineRule="auto"/>
        <w:ind w:firstLine="420" w:firstLineChars="200"/>
        <w:jc w:val="left"/>
        <w:rPr>
          <w:rFonts w:eastAsia="仿宋_GB2312"/>
          <w:color w:val="auto"/>
          <w:kern w:val="0"/>
          <w:szCs w:val="21"/>
        </w:rPr>
      </w:pPr>
      <w:r>
        <w:rPr>
          <w:rFonts w:eastAsia="仿宋_GB2312"/>
          <w:color w:val="auto"/>
          <w:kern w:val="0"/>
          <w:szCs w:val="21"/>
        </w:rPr>
        <w:t>（3）其他扣留方式:</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eastAsia="仿宋_GB2312"/>
          <w:color w:val="auto"/>
          <w:kern w:val="0"/>
          <w:szCs w:val="21"/>
        </w:rPr>
        <w:t>。</w:t>
      </w:r>
    </w:p>
    <w:p>
      <w:pPr>
        <w:spacing w:line="360" w:lineRule="auto"/>
        <w:ind w:firstLine="420" w:firstLineChars="200"/>
        <w:jc w:val="left"/>
        <w:rPr>
          <w:rFonts w:eastAsia="仿宋_GB2312"/>
          <w:color w:val="auto"/>
          <w:kern w:val="0"/>
          <w:szCs w:val="21"/>
          <w:u w:val="single"/>
        </w:rPr>
      </w:pPr>
      <w:r>
        <w:rPr>
          <w:rFonts w:eastAsia="仿宋_GB2312"/>
          <w:color w:val="auto"/>
          <w:szCs w:val="21"/>
        </w:rPr>
        <w:t>关于质量保证金的补充约定：</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rPr>
        <w:t>。</w:t>
      </w:r>
    </w:p>
    <w:bookmarkEnd w:id="264"/>
    <w:bookmarkEnd w:id="265"/>
    <w:p>
      <w:pPr>
        <w:spacing w:after="120" w:line="360" w:lineRule="auto"/>
        <w:ind w:firstLine="422" w:firstLineChars="200"/>
        <w:rPr>
          <w:b/>
          <w:color w:val="auto"/>
          <w:szCs w:val="21"/>
        </w:rPr>
      </w:pPr>
      <w:r>
        <w:rPr>
          <w:b/>
          <w:color w:val="auto"/>
          <w:szCs w:val="21"/>
        </w:rPr>
        <w:t>15.4保修</w:t>
      </w:r>
    </w:p>
    <w:bookmarkEnd w:id="266"/>
    <w:p>
      <w:pPr>
        <w:spacing w:line="360" w:lineRule="auto"/>
        <w:ind w:firstLine="409" w:firstLineChars="195"/>
        <w:jc w:val="left"/>
        <w:rPr>
          <w:rFonts w:eastAsia="仿宋_GB2312"/>
          <w:color w:val="auto"/>
          <w:szCs w:val="21"/>
        </w:rPr>
      </w:pPr>
      <w:r>
        <w:rPr>
          <w:rFonts w:eastAsia="仿宋_GB2312"/>
          <w:color w:val="auto"/>
          <w:szCs w:val="21"/>
        </w:rPr>
        <w:t>15.4.1 保修责任</w:t>
      </w:r>
    </w:p>
    <w:p>
      <w:pPr>
        <w:spacing w:line="360" w:lineRule="auto"/>
        <w:ind w:firstLine="409" w:firstLineChars="195"/>
        <w:jc w:val="left"/>
        <w:rPr>
          <w:rFonts w:eastAsia="仿宋_GB2312"/>
          <w:color w:val="auto"/>
          <w:kern w:val="0"/>
          <w:szCs w:val="21"/>
          <w:u w:val="single"/>
        </w:rPr>
      </w:pPr>
      <w:r>
        <w:rPr>
          <w:rFonts w:eastAsia="仿宋_GB2312"/>
          <w:color w:val="auto"/>
          <w:szCs w:val="21"/>
        </w:rPr>
        <w:t>工程保修期为：</w:t>
      </w:r>
      <w:r>
        <w:rPr>
          <w:rFonts w:eastAsia="仿宋_GB2312"/>
          <w:color w:val="auto"/>
          <w:kern w:val="0"/>
          <w:szCs w:val="21"/>
          <w:u w:val="single"/>
        </w:rPr>
        <w:t xml:space="preserve"> </w:t>
      </w:r>
      <w:r>
        <w:rPr>
          <w:rFonts w:hint="eastAsia" w:eastAsia="仿宋_GB2312"/>
          <w:color w:val="auto"/>
          <w:kern w:val="0"/>
          <w:szCs w:val="21"/>
          <w:u w:val="single"/>
          <w:lang w:eastAsia="zh-CN"/>
        </w:rPr>
        <w:t>不少于</w:t>
      </w:r>
      <w:r>
        <w:rPr>
          <w:rFonts w:eastAsia="仿宋_GB2312"/>
          <w:color w:val="auto"/>
          <w:kern w:val="0"/>
          <w:szCs w:val="21"/>
          <w:u w:val="single"/>
        </w:rPr>
        <w:t xml:space="preserve"> </w:t>
      </w:r>
      <w:r>
        <w:rPr>
          <w:rFonts w:hint="eastAsia" w:eastAsia="仿宋_GB2312"/>
          <w:color w:val="auto"/>
          <w:kern w:val="0"/>
          <w:szCs w:val="21"/>
          <w:u w:val="single"/>
        </w:rPr>
        <w:t>24个月</w:t>
      </w:r>
      <w:r>
        <w:rPr>
          <w:rFonts w:eastAsia="仿宋_GB2312"/>
          <w:color w:val="auto"/>
          <w:kern w:val="0"/>
          <w:szCs w:val="21"/>
          <w:u w:val="single"/>
        </w:rPr>
        <w:t xml:space="preserve">  </w:t>
      </w:r>
      <w:r>
        <w:rPr>
          <w:rFonts w:hint="eastAsia" w:eastAsia="仿宋_GB2312"/>
          <w:color w:val="auto"/>
          <w:kern w:val="0"/>
          <w:szCs w:val="21"/>
          <w:u w:val="single"/>
          <w:lang w:eastAsia="zh-CN"/>
        </w:rPr>
        <w:t>（具体按质量保修书中的约定为准）</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eastAsia="仿宋_GB2312"/>
          <w:color w:val="auto"/>
          <w:kern w:val="0"/>
          <w:szCs w:val="21"/>
        </w:rPr>
        <w:t>。</w:t>
      </w:r>
    </w:p>
    <w:p>
      <w:pPr>
        <w:spacing w:line="360" w:lineRule="auto"/>
        <w:ind w:firstLine="409" w:firstLineChars="195"/>
        <w:jc w:val="left"/>
        <w:rPr>
          <w:rFonts w:eastAsia="仿宋_GB2312"/>
          <w:color w:val="auto"/>
          <w:szCs w:val="21"/>
        </w:rPr>
      </w:pPr>
      <w:r>
        <w:rPr>
          <w:rFonts w:eastAsia="仿宋_GB2312"/>
          <w:color w:val="auto"/>
          <w:szCs w:val="21"/>
        </w:rPr>
        <w:t>15.4.3 修复通知</w:t>
      </w:r>
    </w:p>
    <w:p>
      <w:pPr>
        <w:spacing w:line="360" w:lineRule="auto"/>
        <w:ind w:firstLine="409" w:firstLineChars="195"/>
        <w:jc w:val="left"/>
        <w:rPr>
          <w:rFonts w:eastAsia="仿宋_GB2312"/>
          <w:color w:val="auto"/>
          <w:kern w:val="0"/>
          <w:szCs w:val="21"/>
          <w:u w:val="single"/>
        </w:rPr>
      </w:pPr>
      <w:r>
        <w:rPr>
          <w:rFonts w:eastAsia="仿宋_GB2312"/>
          <w:color w:val="auto"/>
          <w:kern w:val="0"/>
          <w:szCs w:val="21"/>
        </w:rPr>
        <w:t>承包人收到保修通知并到达工程现场的合理时间：</w:t>
      </w:r>
      <w:r>
        <w:rPr>
          <w:rFonts w:eastAsia="仿宋_GB2312"/>
          <w:color w:val="auto"/>
          <w:kern w:val="0"/>
          <w:szCs w:val="21"/>
          <w:u w:val="single"/>
        </w:rPr>
        <w:t xml:space="preserve">       </w:t>
      </w:r>
      <w:r>
        <w:rPr>
          <w:rFonts w:hint="eastAsia" w:eastAsia="仿宋_GB2312"/>
          <w:color w:val="auto"/>
          <w:szCs w:val="21"/>
          <w:u w:val="single"/>
        </w:rPr>
        <w:t>按通用条款</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eastAsia="仿宋_GB2312"/>
          <w:color w:val="auto"/>
          <w:kern w:val="0"/>
          <w:szCs w:val="21"/>
        </w:rPr>
        <w:t>。</w:t>
      </w:r>
    </w:p>
    <w:bookmarkEnd w:id="267"/>
    <w:bookmarkEnd w:id="268"/>
    <w:bookmarkEnd w:id="269"/>
    <w:bookmarkEnd w:id="270"/>
    <w:p>
      <w:pPr>
        <w:spacing w:after="120" w:line="360" w:lineRule="auto"/>
        <w:ind w:firstLine="413" w:firstLineChars="196"/>
        <w:rPr>
          <w:b/>
          <w:color w:val="auto"/>
          <w:szCs w:val="21"/>
        </w:rPr>
      </w:pPr>
      <w:bookmarkStart w:id="293" w:name="_Toc280868717"/>
      <w:bookmarkStart w:id="294" w:name="_Toc280868718"/>
      <w:r>
        <w:rPr>
          <w:b/>
          <w:color w:val="auto"/>
          <w:szCs w:val="21"/>
        </w:rPr>
        <w:t>16.1 发包人违约</w:t>
      </w:r>
    </w:p>
    <w:p>
      <w:pPr>
        <w:spacing w:line="360" w:lineRule="auto"/>
        <w:ind w:firstLine="420" w:firstLineChars="200"/>
        <w:jc w:val="left"/>
        <w:rPr>
          <w:rFonts w:eastAsia="仿宋_GB2312"/>
          <w:color w:val="auto"/>
          <w:szCs w:val="21"/>
        </w:rPr>
      </w:pPr>
      <w:r>
        <w:rPr>
          <w:rFonts w:eastAsia="仿宋_GB2312"/>
          <w:color w:val="auto"/>
          <w:szCs w:val="21"/>
        </w:rPr>
        <w:t>16.1.1发包人违约的情形</w:t>
      </w:r>
    </w:p>
    <w:p>
      <w:pPr>
        <w:spacing w:line="360" w:lineRule="auto"/>
        <w:ind w:firstLine="420" w:firstLineChars="200"/>
        <w:jc w:val="left"/>
        <w:rPr>
          <w:rFonts w:eastAsia="仿宋_GB2312"/>
          <w:color w:val="auto"/>
          <w:kern w:val="0"/>
          <w:szCs w:val="21"/>
          <w:u w:val="single"/>
        </w:rPr>
      </w:pPr>
      <w:r>
        <w:rPr>
          <w:rFonts w:eastAsia="仿宋_GB2312"/>
          <w:color w:val="auto"/>
          <w:kern w:val="0"/>
          <w:szCs w:val="21"/>
        </w:rPr>
        <w:t>发包人违约的其他情形：</w:t>
      </w:r>
      <w:r>
        <w:rPr>
          <w:rFonts w:eastAsia="仿宋_GB2312"/>
          <w:color w:val="auto"/>
          <w:kern w:val="0"/>
          <w:szCs w:val="21"/>
          <w:u w:val="single"/>
        </w:rPr>
        <w:t xml:space="preserve">             </w:t>
      </w:r>
      <w:r>
        <w:rPr>
          <w:rFonts w:hint="eastAsia" w:eastAsia="仿宋_GB2312"/>
          <w:color w:val="auto"/>
          <w:szCs w:val="21"/>
          <w:u w:val="single"/>
        </w:rPr>
        <w:t>按通用条款</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eastAsia="仿宋_GB2312"/>
          <w:color w:val="auto"/>
          <w:kern w:val="0"/>
          <w:szCs w:val="21"/>
        </w:rPr>
        <w:t>。</w:t>
      </w:r>
    </w:p>
    <w:p>
      <w:pPr>
        <w:spacing w:line="360" w:lineRule="auto"/>
        <w:ind w:left="1050" w:hanging="1050" w:hangingChars="500"/>
        <w:jc w:val="left"/>
        <w:rPr>
          <w:rFonts w:eastAsia="仿宋_GB2312"/>
          <w:color w:val="auto"/>
          <w:kern w:val="0"/>
          <w:szCs w:val="21"/>
        </w:rPr>
      </w:pPr>
      <w:r>
        <w:rPr>
          <w:rFonts w:eastAsia="仿宋_GB2312"/>
          <w:color w:val="auto"/>
          <w:kern w:val="0"/>
          <w:szCs w:val="21"/>
        </w:rPr>
        <w:t xml:space="preserve">    16.1.2 发包人违约的责任</w:t>
      </w:r>
    </w:p>
    <w:p>
      <w:pPr>
        <w:spacing w:line="360" w:lineRule="auto"/>
        <w:ind w:firstLine="420" w:firstLineChars="200"/>
        <w:jc w:val="left"/>
        <w:rPr>
          <w:rFonts w:eastAsia="仿宋_GB2312"/>
          <w:color w:val="auto"/>
          <w:kern w:val="0"/>
          <w:szCs w:val="21"/>
        </w:rPr>
      </w:pPr>
      <w:r>
        <w:rPr>
          <w:rFonts w:eastAsia="仿宋_GB2312"/>
          <w:color w:val="auto"/>
          <w:kern w:val="0"/>
          <w:szCs w:val="21"/>
        </w:rPr>
        <w:t>发包人违约责任的承担方式和计算方法：</w:t>
      </w:r>
    </w:p>
    <w:p>
      <w:pPr>
        <w:spacing w:line="360" w:lineRule="auto"/>
        <w:ind w:firstLine="420" w:firstLineChars="200"/>
        <w:jc w:val="left"/>
        <w:rPr>
          <w:rFonts w:eastAsia="仿宋_GB2312"/>
          <w:color w:val="auto"/>
          <w:kern w:val="0"/>
          <w:szCs w:val="21"/>
          <w:u w:val="single"/>
        </w:rPr>
      </w:pPr>
      <w:r>
        <w:rPr>
          <w:rFonts w:eastAsia="仿宋_GB2312"/>
          <w:color w:val="auto"/>
          <w:kern w:val="0"/>
          <w:szCs w:val="21"/>
        </w:rPr>
        <w:t>（1）因发包人原因未能在计划开工日期前7天内下达开工通知的违约责任：</w:t>
      </w:r>
      <w:r>
        <w:rPr>
          <w:rFonts w:eastAsia="仿宋_GB2312"/>
          <w:color w:val="auto"/>
          <w:kern w:val="0"/>
          <w:szCs w:val="21"/>
          <w:u w:val="single"/>
        </w:rPr>
        <w:t xml:space="preserve"> </w:t>
      </w:r>
      <w:r>
        <w:rPr>
          <w:rFonts w:hint="eastAsia" w:eastAsia="仿宋_GB2312"/>
          <w:color w:val="auto"/>
          <w:kern w:val="0"/>
          <w:szCs w:val="21"/>
          <w:u w:val="single"/>
        </w:rPr>
        <w:t xml:space="preserve">     /  </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rPr>
        <w:t>。</w:t>
      </w:r>
    </w:p>
    <w:p>
      <w:pPr>
        <w:spacing w:line="360" w:lineRule="auto"/>
        <w:ind w:firstLine="420" w:firstLineChars="200"/>
        <w:jc w:val="left"/>
        <w:rPr>
          <w:rFonts w:eastAsia="仿宋_GB2312"/>
          <w:color w:val="auto"/>
          <w:kern w:val="0"/>
          <w:szCs w:val="21"/>
        </w:rPr>
      </w:pPr>
      <w:r>
        <w:rPr>
          <w:rFonts w:eastAsia="仿宋_GB2312"/>
          <w:color w:val="auto"/>
          <w:kern w:val="0"/>
          <w:szCs w:val="21"/>
        </w:rPr>
        <w:t>（2）因发包人原因未能按合同约定支付合同价款的违约责任：</w:t>
      </w:r>
      <w:r>
        <w:rPr>
          <w:rFonts w:eastAsia="仿宋_GB2312"/>
          <w:color w:val="auto"/>
          <w:kern w:val="0"/>
          <w:szCs w:val="21"/>
          <w:u w:val="single"/>
        </w:rPr>
        <w:t xml:space="preserve">       </w:t>
      </w:r>
      <w:r>
        <w:rPr>
          <w:rFonts w:hint="eastAsia" w:eastAsia="仿宋_GB2312"/>
          <w:color w:val="auto"/>
          <w:kern w:val="0"/>
          <w:szCs w:val="21"/>
          <w:u w:val="single"/>
        </w:rPr>
        <w:t xml:space="preserve">     /       </w:t>
      </w:r>
      <w:r>
        <w:rPr>
          <w:rFonts w:eastAsia="仿宋_GB2312"/>
          <w:color w:val="auto"/>
          <w:kern w:val="0"/>
          <w:szCs w:val="21"/>
          <w:u w:val="single"/>
        </w:rPr>
        <w:t xml:space="preserve">    </w:t>
      </w:r>
      <w:r>
        <w:rPr>
          <w:rFonts w:eastAsia="仿宋_GB2312"/>
          <w:color w:val="auto"/>
          <w:kern w:val="0"/>
          <w:szCs w:val="21"/>
        </w:rPr>
        <w:t>。</w:t>
      </w:r>
    </w:p>
    <w:p>
      <w:pPr>
        <w:spacing w:line="360" w:lineRule="auto"/>
        <w:ind w:firstLine="420" w:firstLineChars="200"/>
        <w:jc w:val="left"/>
        <w:rPr>
          <w:rFonts w:eastAsia="仿宋_GB2312"/>
          <w:color w:val="auto"/>
          <w:kern w:val="0"/>
          <w:szCs w:val="21"/>
          <w:u w:val="single"/>
        </w:rPr>
      </w:pPr>
      <w:r>
        <w:rPr>
          <w:rFonts w:eastAsia="仿宋_GB2312"/>
          <w:color w:val="auto"/>
          <w:kern w:val="0"/>
          <w:szCs w:val="21"/>
        </w:rPr>
        <w:t>（3）发包人违反第10.1款</w:t>
      </w:r>
      <w:r>
        <w:rPr>
          <w:rFonts w:hint="eastAsia" w:eastAsia="仿宋_GB2312"/>
          <w:color w:val="auto"/>
          <w:kern w:val="0"/>
          <w:szCs w:val="21"/>
        </w:rPr>
        <w:t>〔</w:t>
      </w:r>
      <w:r>
        <w:rPr>
          <w:rFonts w:eastAsia="仿宋_GB2312"/>
          <w:color w:val="auto"/>
          <w:kern w:val="0"/>
          <w:szCs w:val="21"/>
        </w:rPr>
        <w:t>变更的范围</w:t>
      </w:r>
      <w:r>
        <w:rPr>
          <w:rFonts w:hint="eastAsia" w:eastAsia="仿宋_GB2312"/>
          <w:color w:val="auto"/>
          <w:kern w:val="0"/>
          <w:szCs w:val="21"/>
        </w:rPr>
        <w:t>〕</w:t>
      </w:r>
      <w:r>
        <w:rPr>
          <w:rFonts w:eastAsia="仿宋_GB2312"/>
          <w:color w:val="auto"/>
          <w:kern w:val="0"/>
          <w:szCs w:val="21"/>
        </w:rPr>
        <w:t>第（2）项约定，自行实施被取消的工作或转由他人实施的违约责任：</w:t>
      </w:r>
      <w:r>
        <w:rPr>
          <w:rFonts w:eastAsia="仿宋_GB2312"/>
          <w:color w:val="auto"/>
          <w:kern w:val="0"/>
          <w:szCs w:val="21"/>
          <w:u w:val="single"/>
        </w:rPr>
        <w:t xml:space="preserve">      </w:t>
      </w:r>
      <w:r>
        <w:rPr>
          <w:rFonts w:hint="eastAsia" w:eastAsia="仿宋_GB2312"/>
          <w:color w:val="auto"/>
          <w:kern w:val="0"/>
          <w:szCs w:val="21"/>
          <w:u w:val="single"/>
        </w:rPr>
        <w:t xml:space="preserve">                /                          </w:t>
      </w:r>
      <w:r>
        <w:rPr>
          <w:rFonts w:eastAsia="仿宋_GB2312"/>
          <w:color w:val="auto"/>
          <w:kern w:val="0"/>
          <w:szCs w:val="21"/>
          <w:u w:val="single"/>
        </w:rPr>
        <w:t xml:space="preserve"> </w:t>
      </w:r>
      <w:r>
        <w:rPr>
          <w:rFonts w:eastAsia="仿宋_GB2312"/>
          <w:color w:val="auto"/>
          <w:kern w:val="0"/>
          <w:szCs w:val="21"/>
        </w:rPr>
        <w:t>。</w:t>
      </w:r>
    </w:p>
    <w:p>
      <w:pPr>
        <w:spacing w:line="360" w:lineRule="auto"/>
        <w:ind w:firstLine="420" w:firstLineChars="200"/>
        <w:jc w:val="left"/>
        <w:rPr>
          <w:rFonts w:eastAsia="仿宋_GB2312"/>
          <w:color w:val="auto"/>
          <w:kern w:val="0"/>
          <w:szCs w:val="21"/>
        </w:rPr>
      </w:pPr>
      <w:r>
        <w:rPr>
          <w:rFonts w:eastAsia="仿宋_GB2312"/>
          <w:color w:val="auto"/>
          <w:kern w:val="0"/>
          <w:szCs w:val="21"/>
        </w:rPr>
        <w:t>（4）发包人提供的材料、工程设备的规格、数量或质量不符合合同约定，或因发包人原因导致交货日期延误或交货地点变更等情况的违约责任：</w:t>
      </w:r>
      <w:r>
        <w:rPr>
          <w:rFonts w:hint="eastAsia" w:eastAsia="仿宋_GB2312"/>
          <w:color w:val="auto"/>
          <w:kern w:val="0"/>
          <w:szCs w:val="21"/>
          <w:u w:val="single"/>
        </w:rPr>
        <w:t>影响关键线路工作的工期予以顺延</w:t>
      </w:r>
      <w:r>
        <w:rPr>
          <w:rFonts w:eastAsia="仿宋_GB2312"/>
          <w:color w:val="auto"/>
          <w:kern w:val="0"/>
          <w:szCs w:val="21"/>
        </w:rPr>
        <w:t>。</w:t>
      </w:r>
    </w:p>
    <w:p>
      <w:pPr>
        <w:spacing w:line="360" w:lineRule="auto"/>
        <w:ind w:firstLine="420" w:firstLineChars="200"/>
        <w:jc w:val="left"/>
        <w:rPr>
          <w:rFonts w:eastAsia="仿宋_GB2312"/>
          <w:color w:val="auto"/>
          <w:kern w:val="0"/>
          <w:szCs w:val="21"/>
          <w:u w:val="single"/>
        </w:rPr>
      </w:pPr>
      <w:r>
        <w:rPr>
          <w:rFonts w:eastAsia="仿宋_GB2312"/>
          <w:color w:val="auto"/>
          <w:kern w:val="0"/>
          <w:szCs w:val="21"/>
        </w:rPr>
        <w:t>（5）因发包人违反合同约定造成暂停施工的违约责任：</w:t>
      </w:r>
      <w:r>
        <w:rPr>
          <w:rFonts w:eastAsia="仿宋_GB2312"/>
          <w:color w:val="auto"/>
          <w:kern w:val="0"/>
          <w:szCs w:val="21"/>
          <w:u w:val="single"/>
        </w:rPr>
        <w:t xml:space="preserve">     </w:t>
      </w:r>
      <w:r>
        <w:rPr>
          <w:rFonts w:hint="eastAsia" w:eastAsia="仿宋_GB2312"/>
          <w:color w:val="auto"/>
          <w:kern w:val="0"/>
          <w:szCs w:val="21"/>
          <w:u w:val="single"/>
        </w:rPr>
        <w:t xml:space="preserve">  工期予以顺延      </w:t>
      </w:r>
      <w:r>
        <w:rPr>
          <w:rFonts w:eastAsia="仿宋_GB2312"/>
          <w:color w:val="auto"/>
          <w:kern w:val="0"/>
          <w:szCs w:val="21"/>
          <w:u w:val="single"/>
        </w:rPr>
        <w:t xml:space="preserve"> </w:t>
      </w:r>
      <w:r>
        <w:rPr>
          <w:rFonts w:eastAsia="仿宋_GB2312"/>
          <w:color w:val="auto"/>
          <w:kern w:val="0"/>
          <w:szCs w:val="21"/>
        </w:rPr>
        <w:t>。</w:t>
      </w:r>
    </w:p>
    <w:p>
      <w:pPr>
        <w:spacing w:line="360" w:lineRule="auto"/>
        <w:ind w:firstLine="420" w:firstLineChars="200"/>
        <w:jc w:val="left"/>
        <w:rPr>
          <w:rFonts w:eastAsia="仿宋_GB2312"/>
          <w:color w:val="auto"/>
          <w:kern w:val="0"/>
          <w:szCs w:val="21"/>
        </w:rPr>
      </w:pPr>
      <w:r>
        <w:rPr>
          <w:rFonts w:eastAsia="仿宋_GB2312"/>
          <w:color w:val="auto"/>
          <w:kern w:val="0"/>
          <w:szCs w:val="21"/>
        </w:rPr>
        <w:t>（6）发包人无正当理由没有在约定期限内发出复工指示，导致承包人无法复工的违约责任：</w:t>
      </w:r>
      <w:r>
        <w:rPr>
          <w:rFonts w:hint="eastAsia" w:eastAsia="仿宋_GB2312"/>
          <w:color w:val="auto"/>
          <w:kern w:val="0"/>
          <w:szCs w:val="21"/>
          <w:u w:val="single"/>
        </w:rPr>
        <w:t>工期予以顺延</w:t>
      </w:r>
      <w:r>
        <w:rPr>
          <w:rFonts w:eastAsia="仿宋_GB2312"/>
          <w:color w:val="auto"/>
          <w:kern w:val="0"/>
          <w:szCs w:val="21"/>
        </w:rPr>
        <w:t>。</w:t>
      </w:r>
    </w:p>
    <w:p>
      <w:pPr>
        <w:spacing w:line="360" w:lineRule="auto"/>
        <w:ind w:firstLine="420" w:firstLineChars="200"/>
        <w:jc w:val="left"/>
        <w:rPr>
          <w:rFonts w:eastAsia="仿宋_GB2312"/>
          <w:color w:val="auto"/>
          <w:kern w:val="0"/>
          <w:szCs w:val="21"/>
        </w:rPr>
      </w:pPr>
      <w:r>
        <w:rPr>
          <w:rFonts w:eastAsia="仿宋_GB2312"/>
          <w:color w:val="auto"/>
          <w:kern w:val="0"/>
          <w:szCs w:val="21"/>
        </w:rPr>
        <w:t>（7）</w:t>
      </w:r>
      <w:r>
        <w:rPr>
          <w:rFonts w:hint="eastAsia" w:eastAsia="仿宋_GB2312"/>
          <w:color w:val="auto"/>
          <w:kern w:val="0"/>
          <w:szCs w:val="21"/>
        </w:rPr>
        <w:t>其他：</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rPr>
        <w:t>。</w:t>
      </w:r>
    </w:p>
    <w:p>
      <w:pPr>
        <w:spacing w:line="360" w:lineRule="auto"/>
        <w:ind w:firstLine="420" w:firstLineChars="200"/>
        <w:jc w:val="left"/>
        <w:rPr>
          <w:rFonts w:eastAsia="仿宋_GB2312"/>
          <w:color w:val="auto"/>
          <w:szCs w:val="21"/>
        </w:rPr>
      </w:pPr>
      <w:r>
        <w:rPr>
          <w:rFonts w:eastAsia="仿宋_GB2312"/>
          <w:color w:val="auto"/>
          <w:szCs w:val="21"/>
        </w:rPr>
        <w:t>16.1.3 因发包人违约解除合同</w:t>
      </w:r>
    </w:p>
    <w:p>
      <w:pPr>
        <w:autoSpaceDE w:val="0"/>
        <w:autoSpaceDN w:val="0"/>
        <w:adjustRightInd w:val="0"/>
        <w:spacing w:line="360" w:lineRule="auto"/>
        <w:ind w:firstLine="420" w:firstLineChars="200"/>
        <w:jc w:val="left"/>
        <w:rPr>
          <w:rFonts w:eastAsia="仿宋_GB2312"/>
          <w:color w:val="auto"/>
          <w:kern w:val="0"/>
          <w:szCs w:val="21"/>
        </w:rPr>
      </w:pPr>
      <w:r>
        <w:rPr>
          <w:rFonts w:eastAsia="仿宋_GB2312"/>
          <w:color w:val="auto"/>
          <w:kern w:val="0"/>
          <w:szCs w:val="21"/>
        </w:rPr>
        <w:t>承包人按16.1.1项</w:t>
      </w:r>
      <w:r>
        <w:rPr>
          <w:rFonts w:hint="eastAsia" w:eastAsia="仿宋_GB2312"/>
          <w:color w:val="auto"/>
          <w:kern w:val="0"/>
          <w:szCs w:val="21"/>
        </w:rPr>
        <w:t>〔</w:t>
      </w:r>
      <w:r>
        <w:rPr>
          <w:rFonts w:eastAsia="仿宋_GB2312"/>
          <w:color w:val="auto"/>
          <w:kern w:val="0"/>
          <w:szCs w:val="21"/>
        </w:rPr>
        <w:t>发包人违约的情形</w:t>
      </w:r>
      <w:r>
        <w:rPr>
          <w:rFonts w:hint="eastAsia" w:eastAsia="仿宋_GB2312"/>
          <w:color w:val="auto"/>
          <w:kern w:val="0"/>
          <w:szCs w:val="21"/>
        </w:rPr>
        <w:t>〕</w:t>
      </w:r>
      <w:r>
        <w:rPr>
          <w:rFonts w:eastAsia="仿宋_GB2312"/>
          <w:color w:val="auto"/>
          <w:kern w:val="0"/>
          <w:szCs w:val="21"/>
        </w:rPr>
        <w:t>约定暂停施工满</w:t>
      </w:r>
      <w:r>
        <w:rPr>
          <w:rFonts w:eastAsia="仿宋_GB2312"/>
          <w:color w:val="auto"/>
          <w:kern w:val="0"/>
          <w:szCs w:val="21"/>
          <w:u w:val="single"/>
        </w:rPr>
        <w:t xml:space="preserve">  </w:t>
      </w:r>
      <w:r>
        <w:rPr>
          <w:rFonts w:hint="eastAsia" w:eastAsia="仿宋_GB2312"/>
          <w:color w:val="auto"/>
          <w:kern w:val="0"/>
          <w:szCs w:val="21"/>
          <w:u w:val="single"/>
        </w:rPr>
        <w:t>28</w:t>
      </w:r>
      <w:r>
        <w:rPr>
          <w:rFonts w:eastAsia="仿宋_GB2312"/>
          <w:color w:val="auto"/>
          <w:kern w:val="0"/>
          <w:szCs w:val="21"/>
          <w:u w:val="single"/>
        </w:rPr>
        <w:t xml:space="preserve">  </w:t>
      </w:r>
      <w:r>
        <w:rPr>
          <w:rFonts w:eastAsia="仿宋_GB2312"/>
          <w:color w:val="auto"/>
          <w:kern w:val="0"/>
          <w:szCs w:val="21"/>
        </w:rPr>
        <w:t>天后发包人仍不纠正其违约行为并致使合同目的不能实现的，承包人有权解除合同。</w:t>
      </w:r>
    </w:p>
    <w:p>
      <w:pPr>
        <w:spacing w:after="120" w:line="360" w:lineRule="auto"/>
        <w:ind w:firstLine="422" w:firstLineChars="200"/>
        <w:rPr>
          <w:b/>
          <w:color w:val="auto"/>
          <w:szCs w:val="21"/>
        </w:rPr>
      </w:pPr>
      <w:r>
        <w:rPr>
          <w:b/>
          <w:color w:val="auto"/>
          <w:szCs w:val="21"/>
        </w:rPr>
        <w:t>16.2 承包人违约</w:t>
      </w:r>
    </w:p>
    <w:p>
      <w:pPr>
        <w:spacing w:line="360" w:lineRule="auto"/>
        <w:ind w:firstLine="420" w:firstLineChars="200"/>
        <w:jc w:val="left"/>
        <w:rPr>
          <w:rFonts w:eastAsia="仿宋_GB2312"/>
          <w:color w:val="auto"/>
          <w:kern w:val="0"/>
          <w:szCs w:val="21"/>
        </w:rPr>
      </w:pPr>
      <w:r>
        <w:rPr>
          <w:rFonts w:eastAsia="仿宋_GB2312"/>
          <w:color w:val="auto"/>
          <w:kern w:val="0"/>
          <w:szCs w:val="21"/>
        </w:rPr>
        <w:t>16.2.1 承包人违约的情形</w:t>
      </w:r>
    </w:p>
    <w:p>
      <w:pPr>
        <w:spacing w:line="360" w:lineRule="auto"/>
        <w:ind w:firstLine="420" w:firstLineChars="200"/>
        <w:jc w:val="left"/>
        <w:rPr>
          <w:rFonts w:eastAsia="仿宋_GB2312"/>
          <w:color w:val="auto"/>
          <w:kern w:val="0"/>
          <w:szCs w:val="21"/>
          <w:u w:val="single"/>
        </w:rPr>
      </w:pPr>
      <w:r>
        <w:rPr>
          <w:rFonts w:eastAsia="仿宋_GB2312"/>
          <w:color w:val="auto"/>
          <w:kern w:val="0"/>
          <w:szCs w:val="21"/>
        </w:rPr>
        <w:t>承包人违约的其他情形：</w:t>
      </w:r>
    </w:p>
    <w:p>
      <w:pPr>
        <w:spacing w:line="360" w:lineRule="auto"/>
        <w:ind w:firstLine="420" w:firstLineChars="200"/>
        <w:jc w:val="left"/>
        <w:rPr>
          <w:rFonts w:eastAsia="仿宋_GB2312"/>
          <w:color w:val="auto"/>
          <w:kern w:val="0"/>
          <w:szCs w:val="21"/>
          <w:u w:val="single"/>
        </w:rPr>
      </w:pPr>
      <w:r>
        <w:rPr>
          <w:rFonts w:hint="eastAsia" w:eastAsia="仿宋_GB2312"/>
          <w:color w:val="auto"/>
          <w:kern w:val="0"/>
          <w:szCs w:val="21"/>
          <w:u w:val="single"/>
        </w:rPr>
        <w:t>1、承包人以任何形式进行转包。</w:t>
      </w:r>
    </w:p>
    <w:p>
      <w:pPr>
        <w:spacing w:line="360" w:lineRule="auto"/>
        <w:ind w:firstLine="420" w:firstLineChars="200"/>
        <w:jc w:val="left"/>
        <w:rPr>
          <w:rFonts w:eastAsia="仿宋_GB2312"/>
          <w:color w:val="auto"/>
          <w:kern w:val="0"/>
          <w:szCs w:val="21"/>
          <w:u w:val="single"/>
        </w:rPr>
      </w:pPr>
      <w:r>
        <w:rPr>
          <w:rFonts w:hint="eastAsia" w:eastAsia="仿宋_GB2312"/>
          <w:color w:val="auto"/>
          <w:kern w:val="0"/>
          <w:szCs w:val="21"/>
          <w:u w:val="single"/>
        </w:rPr>
        <w:t>2、承包人有挂靠行为或不具备承担本项目施工能力。</w:t>
      </w:r>
    </w:p>
    <w:p>
      <w:pPr>
        <w:spacing w:line="360" w:lineRule="auto"/>
        <w:ind w:firstLine="420" w:firstLineChars="200"/>
        <w:jc w:val="left"/>
        <w:rPr>
          <w:rFonts w:eastAsia="仿宋_GB2312"/>
          <w:color w:val="auto"/>
          <w:kern w:val="0"/>
          <w:szCs w:val="21"/>
          <w:u w:val="single"/>
        </w:rPr>
      </w:pPr>
      <w:r>
        <w:rPr>
          <w:rFonts w:hint="eastAsia" w:eastAsia="仿宋_GB2312"/>
          <w:color w:val="auto"/>
          <w:kern w:val="0"/>
          <w:szCs w:val="21"/>
          <w:u w:val="single"/>
        </w:rPr>
        <w:t>3、项目经理每月出勤少于15天。</w:t>
      </w:r>
    </w:p>
    <w:p>
      <w:pPr>
        <w:spacing w:line="360" w:lineRule="auto"/>
        <w:ind w:firstLine="420" w:firstLineChars="200"/>
        <w:jc w:val="left"/>
        <w:rPr>
          <w:rFonts w:eastAsia="仿宋_GB2312"/>
          <w:color w:val="auto"/>
          <w:kern w:val="0"/>
          <w:szCs w:val="21"/>
          <w:u w:val="single"/>
        </w:rPr>
      </w:pPr>
      <w:r>
        <w:rPr>
          <w:rFonts w:hint="eastAsia" w:eastAsia="仿宋_GB2312"/>
          <w:color w:val="auto"/>
          <w:kern w:val="0"/>
          <w:szCs w:val="21"/>
          <w:u w:val="single"/>
        </w:rPr>
        <w:t>4、实际施工进度严重延期，影响进度</w:t>
      </w:r>
      <w:r>
        <w:rPr>
          <w:rFonts w:eastAsia="仿宋_GB2312"/>
          <w:color w:val="auto"/>
          <w:kern w:val="0"/>
          <w:szCs w:val="21"/>
          <w:u w:val="single"/>
        </w:rPr>
        <w:t>2</w:t>
      </w:r>
      <w:r>
        <w:rPr>
          <w:rFonts w:hint="eastAsia" w:eastAsia="仿宋_GB2312"/>
          <w:color w:val="auto"/>
          <w:kern w:val="0"/>
          <w:szCs w:val="21"/>
          <w:u w:val="single"/>
        </w:rPr>
        <w:t>0%及以上。</w:t>
      </w:r>
    </w:p>
    <w:p>
      <w:pPr>
        <w:spacing w:line="360" w:lineRule="auto"/>
        <w:ind w:firstLine="420" w:firstLineChars="200"/>
        <w:jc w:val="left"/>
        <w:rPr>
          <w:rFonts w:eastAsia="仿宋_GB2312"/>
          <w:color w:val="auto"/>
          <w:kern w:val="0"/>
          <w:szCs w:val="21"/>
          <w:u w:val="single"/>
        </w:rPr>
      </w:pPr>
      <w:r>
        <w:rPr>
          <w:rFonts w:hint="eastAsia" w:eastAsia="仿宋_GB2312"/>
          <w:color w:val="auto"/>
          <w:kern w:val="0"/>
          <w:szCs w:val="21"/>
          <w:u w:val="single"/>
        </w:rPr>
        <w:t>5、安全文明施工方面：承包人没有按</w:t>
      </w:r>
      <w:r>
        <w:rPr>
          <w:rFonts w:hint="eastAsia" w:eastAsia="仿宋_GB2312"/>
          <w:color w:val="auto"/>
          <w:kern w:val="0"/>
          <w:szCs w:val="21"/>
          <w:u w:val="single"/>
          <w:lang w:eastAsia="zh-CN"/>
        </w:rPr>
        <w:t>丽水</w:t>
      </w:r>
      <w:r>
        <w:rPr>
          <w:rFonts w:hint="eastAsia" w:eastAsia="仿宋_GB2312"/>
          <w:color w:val="auto"/>
          <w:kern w:val="0"/>
          <w:szCs w:val="21"/>
          <w:u w:val="single"/>
        </w:rPr>
        <w:t>市政府及国家有关文件规定实行安全文明施工，工程竣工时没有做到工完场清、料清、障清，违反安全文明施工方面的有关规定。</w:t>
      </w:r>
    </w:p>
    <w:p>
      <w:pPr>
        <w:spacing w:line="360" w:lineRule="auto"/>
        <w:ind w:firstLine="420" w:firstLineChars="200"/>
        <w:jc w:val="left"/>
        <w:rPr>
          <w:rFonts w:eastAsia="仿宋_GB2312"/>
          <w:color w:val="auto"/>
          <w:kern w:val="0"/>
          <w:szCs w:val="21"/>
          <w:u w:val="single"/>
        </w:rPr>
      </w:pPr>
      <w:r>
        <w:rPr>
          <w:rFonts w:hint="eastAsia" w:eastAsia="仿宋_GB2312"/>
          <w:color w:val="auto"/>
          <w:kern w:val="0"/>
          <w:szCs w:val="21"/>
          <w:u w:val="single"/>
        </w:rPr>
        <w:t>6、工程质量不能保证的，更换后的项目班子仍不能对工程有改观的</w:t>
      </w:r>
      <w:r>
        <w:rPr>
          <w:rFonts w:eastAsia="仿宋_GB2312"/>
          <w:color w:val="auto"/>
          <w:kern w:val="0"/>
          <w:szCs w:val="21"/>
          <w:u w:val="single"/>
        </w:rPr>
        <w:t>。</w:t>
      </w:r>
    </w:p>
    <w:p>
      <w:pPr>
        <w:spacing w:line="360" w:lineRule="auto"/>
        <w:ind w:firstLine="420" w:firstLineChars="200"/>
        <w:jc w:val="left"/>
        <w:rPr>
          <w:rFonts w:eastAsia="仿宋_GB2312"/>
          <w:color w:val="auto"/>
          <w:kern w:val="0"/>
          <w:szCs w:val="21"/>
        </w:rPr>
      </w:pPr>
      <w:r>
        <w:rPr>
          <w:rFonts w:eastAsia="仿宋_GB2312"/>
          <w:color w:val="auto"/>
          <w:kern w:val="0"/>
          <w:szCs w:val="21"/>
        </w:rPr>
        <w:t>16.2.2承包人违约的责任</w:t>
      </w:r>
    </w:p>
    <w:p>
      <w:pPr>
        <w:spacing w:line="360" w:lineRule="auto"/>
        <w:ind w:firstLine="420" w:firstLineChars="200"/>
        <w:jc w:val="left"/>
        <w:rPr>
          <w:rFonts w:eastAsia="仿宋_GB2312"/>
          <w:color w:val="auto"/>
          <w:kern w:val="0"/>
          <w:szCs w:val="21"/>
          <w:u w:val="single"/>
        </w:rPr>
      </w:pPr>
      <w:r>
        <w:rPr>
          <w:rFonts w:eastAsia="仿宋_GB2312"/>
          <w:color w:val="auto"/>
          <w:kern w:val="0"/>
          <w:szCs w:val="21"/>
        </w:rPr>
        <w:t>承包人违约责任的承担方式和计算方法：</w:t>
      </w:r>
    </w:p>
    <w:p>
      <w:pPr>
        <w:spacing w:line="360" w:lineRule="auto"/>
        <w:ind w:firstLine="420" w:firstLineChars="200"/>
        <w:jc w:val="left"/>
        <w:rPr>
          <w:rFonts w:eastAsia="仿宋_GB2312"/>
          <w:color w:val="auto"/>
          <w:kern w:val="0"/>
          <w:szCs w:val="21"/>
          <w:u w:val="single"/>
        </w:rPr>
      </w:pPr>
      <w:r>
        <w:rPr>
          <w:rFonts w:hint="eastAsia" w:eastAsia="仿宋_GB2312"/>
          <w:color w:val="auto"/>
          <w:kern w:val="0"/>
          <w:szCs w:val="21"/>
          <w:u w:val="single"/>
        </w:rPr>
        <w:t>1、承包人不得以任何形式转包，一经发现，发包人有权终止合同，所造成的一切损失均由承包人负责。</w:t>
      </w:r>
    </w:p>
    <w:p>
      <w:pPr>
        <w:spacing w:line="360" w:lineRule="auto"/>
        <w:ind w:firstLine="420" w:firstLineChars="200"/>
        <w:jc w:val="left"/>
        <w:rPr>
          <w:rFonts w:eastAsia="仿宋_GB2312"/>
          <w:color w:val="auto"/>
          <w:kern w:val="0"/>
          <w:szCs w:val="21"/>
          <w:u w:val="single"/>
        </w:rPr>
      </w:pPr>
      <w:r>
        <w:rPr>
          <w:rFonts w:hint="eastAsia" w:eastAsia="仿宋_GB2312"/>
          <w:color w:val="auto"/>
          <w:kern w:val="0"/>
          <w:szCs w:val="21"/>
          <w:u w:val="single"/>
        </w:rPr>
        <w:t>2、工程开工后，若发包人发现承包人有挂靠行为或不具备承担本项目施工能力，发包人有权终止本合同重新招标确定中标人，并由承包人赔偿由此引起的所有损失。</w:t>
      </w:r>
    </w:p>
    <w:p>
      <w:pPr>
        <w:spacing w:line="360" w:lineRule="auto"/>
        <w:ind w:firstLine="420" w:firstLineChars="200"/>
        <w:jc w:val="left"/>
        <w:rPr>
          <w:rFonts w:eastAsia="仿宋_GB2312"/>
          <w:color w:val="auto"/>
          <w:kern w:val="0"/>
          <w:szCs w:val="21"/>
          <w:u w:val="single"/>
        </w:rPr>
      </w:pPr>
      <w:r>
        <w:rPr>
          <w:rFonts w:hint="eastAsia" w:eastAsia="仿宋_GB2312"/>
          <w:color w:val="auto"/>
          <w:kern w:val="0"/>
          <w:szCs w:val="21"/>
          <w:u w:val="single"/>
        </w:rPr>
        <w:t>3、对项目经理每月出勤少于15天的，发包人有权单方中止合同的履行，其一切损失均由承包人承担。</w:t>
      </w:r>
    </w:p>
    <w:p>
      <w:pPr>
        <w:spacing w:line="360" w:lineRule="auto"/>
        <w:ind w:firstLine="420" w:firstLineChars="200"/>
        <w:jc w:val="left"/>
        <w:rPr>
          <w:rFonts w:eastAsia="仿宋_GB2312"/>
          <w:color w:val="auto"/>
          <w:kern w:val="0"/>
          <w:szCs w:val="21"/>
          <w:u w:val="single"/>
        </w:rPr>
      </w:pPr>
      <w:r>
        <w:rPr>
          <w:rFonts w:hint="eastAsia" w:eastAsia="仿宋_GB2312"/>
          <w:color w:val="auto"/>
          <w:kern w:val="0"/>
          <w:szCs w:val="21"/>
          <w:u w:val="single"/>
        </w:rPr>
        <w:t>4、实际施工进度严重延期，影响进度工期</w:t>
      </w:r>
      <w:r>
        <w:rPr>
          <w:rFonts w:eastAsia="仿宋_GB2312"/>
          <w:color w:val="auto"/>
          <w:kern w:val="0"/>
          <w:szCs w:val="21"/>
          <w:u w:val="single"/>
        </w:rPr>
        <w:t>2</w:t>
      </w:r>
      <w:r>
        <w:rPr>
          <w:rFonts w:hint="eastAsia" w:eastAsia="仿宋_GB2312"/>
          <w:color w:val="auto"/>
          <w:kern w:val="0"/>
          <w:szCs w:val="21"/>
          <w:u w:val="single"/>
        </w:rPr>
        <w:t>0%及以上时，发包人有权终止合同，同时不支付工程款。</w:t>
      </w:r>
    </w:p>
    <w:p>
      <w:pPr>
        <w:spacing w:line="360" w:lineRule="auto"/>
        <w:ind w:firstLine="420" w:firstLineChars="200"/>
        <w:jc w:val="left"/>
        <w:rPr>
          <w:rFonts w:eastAsia="仿宋_GB2312"/>
          <w:color w:val="auto"/>
          <w:kern w:val="0"/>
          <w:szCs w:val="21"/>
          <w:u w:val="single"/>
        </w:rPr>
      </w:pPr>
      <w:r>
        <w:rPr>
          <w:rFonts w:hint="eastAsia" w:eastAsia="仿宋_GB2312"/>
          <w:color w:val="auto"/>
          <w:kern w:val="0"/>
          <w:szCs w:val="21"/>
          <w:u w:val="single"/>
        </w:rPr>
        <w:t>5、安全文明施工方面：承包人必须按</w:t>
      </w:r>
      <w:r>
        <w:rPr>
          <w:rFonts w:hint="eastAsia" w:eastAsia="仿宋_GB2312"/>
          <w:color w:val="auto"/>
          <w:kern w:val="0"/>
          <w:szCs w:val="21"/>
          <w:u w:val="single"/>
          <w:lang w:eastAsia="zh-CN"/>
        </w:rPr>
        <w:t>丽水市政府</w:t>
      </w:r>
      <w:r>
        <w:rPr>
          <w:rFonts w:hint="eastAsia" w:eastAsia="仿宋_GB2312"/>
          <w:color w:val="auto"/>
          <w:kern w:val="0"/>
          <w:szCs w:val="21"/>
          <w:u w:val="single"/>
        </w:rPr>
        <w:t>及国家有关文件规定实行安全文明施工，工程竣工时必须做到工完场清、料清、障清，若违反安全文明施工方面的有关规定，发包人有权从履约保证金及工程款中扣除相应发生的实际费用。</w:t>
      </w:r>
    </w:p>
    <w:p>
      <w:pPr>
        <w:spacing w:line="360" w:lineRule="auto"/>
        <w:ind w:firstLine="420" w:firstLineChars="200"/>
        <w:jc w:val="left"/>
        <w:rPr>
          <w:rFonts w:eastAsia="仿宋_GB2312"/>
          <w:color w:val="auto"/>
          <w:kern w:val="0"/>
          <w:szCs w:val="21"/>
          <w:u w:val="single"/>
        </w:rPr>
      </w:pPr>
      <w:r>
        <w:rPr>
          <w:rFonts w:hint="eastAsia" w:eastAsia="仿宋_GB2312"/>
          <w:color w:val="auto"/>
          <w:kern w:val="0"/>
          <w:szCs w:val="21"/>
          <w:u w:val="single"/>
        </w:rPr>
        <w:t>6、因工程质量不能保证，经发包人对承包人作出相应处罚后责令其更换项目班子成员，承包人应无条件配合，如更换后的项目班子仍不能对工程有改观的，发包人有权单方中止合同，其一切损失均由承包人承担。</w:t>
      </w:r>
    </w:p>
    <w:p>
      <w:pPr>
        <w:spacing w:line="360" w:lineRule="auto"/>
        <w:ind w:firstLine="420" w:firstLineChars="200"/>
        <w:jc w:val="left"/>
        <w:rPr>
          <w:rFonts w:eastAsia="仿宋_GB2312"/>
          <w:color w:val="auto"/>
          <w:szCs w:val="21"/>
        </w:rPr>
      </w:pPr>
      <w:r>
        <w:rPr>
          <w:rFonts w:eastAsia="仿宋_GB2312"/>
          <w:color w:val="auto"/>
          <w:szCs w:val="21"/>
        </w:rPr>
        <w:t>16.2.3 因承包人违约解除合同</w:t>
      </w:r>
    </w:p>
    <w:p>
      <w:pPr>
        <w:spacing w:before="120" w:after="120" w:line="360" w:lineRule="auto"/>
        <w:ind w:firstLine="420" w:firstLineChars="200"/>
        <w:rPr>
          <w:rFonts w:eastAsia="仿宋_GB2312"/>
          <w:color w:val="auto"/>
          <w:kern w:val="0"/>
          <w:szCs w:val="21"/>
          <w:u w:val="single"/>
        </w:rPr>
      </w:pPr>
      <w:r>
        <w:rPr>
          <w:rFonts w:eastAsia="仿宋_GB2312"/>
          <w:color w:val="auto"/>
          <w:kern w:val="0"/>
          <w:szCs w:val="21"/>
        </w:rPr>
        <w:t>关于承包人违约解除合同的特别约定：</w:t>
      </w:r>
      <w:r>
        <w:rPr>
          <w:rFonts w:eastAsia="仿宋_GB2312"/>
          <w:color w:val="auto"/>
          <w:kern w:val="0"/>
          <w:szCs w:val="21"/>
          <w:u w:val="single"/>
        </w:rPr>
        <w:t xml:space="preserve">  </w:t>
      </w:r>
      <w:r>
        <w:rPr>
          <w:rFonts w:hint="eastAsia" w:eastAsia="仿宋_GB2312"/>
          <w:color w:val="auto"/>
          <w:kern w:val="0"/>
          <w:szCs w:val="21"/>
          <w:u w:val="single"/>
        </w:rPr>
        <w:t>因承包人原因造成本合同无法履行时，发包人有权解除或终止本合同，没收承包人全部履约保证金，由此造成的各项损失均由承包人承担</w:t>
      </w:r>
      <w:r>
        <w:rPr>
          <w:rFonts w:eastAsia="仿宋_GB2312"/>
          <w:color w:val="auto"/>
          <w:kern w:val="0"/>
          <w:szCs w:val="21"/>
          <w:u w:val="single"/>
        </w:rPr>
        <w:t xml:space="preserve">   </w:t>
      </w:r>
      <w:r>
        <w:rPr>
          <w:rFonts w:eastAsia="仿宋_GB2312"/>
          <w:color w:val="auto"/>
          <w:kern w:val="0"/>
          <w:szCs w:val="21"/>
        </w:rPr>
        <w:t>。</w:t>
      </w:r>
    </w:p>
    <w:p>
      <w:pPr>
        <w:spacing w:before="120" w:after="120" w:line="360" w:lineRule="auto"/>
        <w:ind w:firstLine="420" w:firstLineChars="200"/>
        <w:rPr>
          <w:rFonts w:eastAsia="仿宋_GB2312"/>
          <w:color w:val="auto"/>
          <w:kern w:val="0"/>
          <w:szCs w:val="21"/>
        </w:rPr>
      </w:pPr>
      <w:r>
        <w:rPr>
          <w:rFonts w:eastAsia="仿宋_GB2312"/>
          <w:color w:val="auto"/>
          <w:kern w:val="0"/>
          <w:szCs w:val="21"/>
        </w:rPr>
        <w:t>发包人</w:t>
      </w:r>
      <w:r>
        <w:rPr>
          <w:rFonts w:hint="eastAsia" w:eastAsia="仿宋_GB2312"/>
          <w:color w:val="auto"/>
          <w:kern w:val="0"/>
          <w:szCs w:val="21"/>
        </w:rPr>
        <w:t>继续</w:t>
      </w:r>
      <w:r>
        <w:rPr>
          <w:rFonts w:eastAsia="仿宋_GB2312"/>
          <w:color w:val="auto"/>
          <w:kern w:val="0"/>
          <w:szCs w:val="21"/>
        </w:rPr>
        <w:t>使用承包人在施工现场的材料、设备、临时工程、承包人文件和由承包人或以其名义编制的其他文件</w:t>
      </w:r>
      <w:r>
        <w:rPr>
          <w:rFonts w:hint="eastAsia" w:eastAsia="仿宋_GB2312"/>
          <w:color w:val="auto"/>
          <w:kern w:val="0"/>
          <w:szCs w:val="21"/>
        </w:rPr>
        <w:t>的费用承担方式</w:t>
      </w:r>
      <w:r>
        <w:rPr>
          <w:rFonts w:eastAsia="仿宋_GB2312"/>
          <w:color w:val="auto"/>
          <w:kern w:val="0"/>
          <w:szCs w:val="21"/>
        </w:rPr>
        <w:t>：</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hint="eastAsia" w:eastAsia="仿宋_GB2312"/>
          <w:color w:val="auto"/>
          <w:szCs w:val="21"/>
          <w:u w:val="single"/>
        </w:rPr>
        <w:t>按通用条款</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hint="eastAsia" w:eastAsia="仿宋_GB2312"/>
          <w:color w:val="auto"/>
          <w:kern w:val="0"/>
          <w:szCs w:val="21"/>
        </w:rPr>
        <w:t>。</w:t>
      </w:r>
    </w:p>
    <w:bookmarkEnd w:id="293"/>
    <w:bookmarkEnd w:id="294"/>
    <w:p>
      <w:pPr>
        <w:spacing w:after="120" w:line="360" w:lineRule="auto"/>
        <w:ind w:firstLine="422" w:firstLineChars="200"/>
        <w:rPr>
          <w:b/>
          <w:color w:val="auto"/>
          <w:szCs w:val="21"/>
        </w:rPr>
      </w:pPr>
      <w:r>
        <w:rPr>
          <w:b/>
          <w:color w:val="auto"/>
          <w:szCs w:val="21"/>
        </w:rPr>
        <w:t>18.1 工程保险</w:t>
      </w:r>
    </w:p>
    <w:p>
      <w:pPr>
        <w:spacing w:line="360" w:lineRule="auto"/>
        <w:ind w:firstLine="420" w:firstLineChars="200"/>
        <w:jc w:val="left"/>
        <w:rPr>
          <w:rFonts w:eastAsia="仿宋_GB2312"/>
          <w:color w:val="auto"/>
          <w:szCs w:val="21"/>
        </w:rPr>
      </w:pPr>
      <w:r>
        <w:rPr>
          <w:rFonts w:eastAsia="仿宋_GB2312"/>
          <w:color w:val="auto"/>
          <w:szCs w:val="21"/>
        </w:rPr>
        <w:t>关于工程保险的特别约定：</w:t>
      </w:r>
      <w:r>
        <w:rPr>
          <w:rFonts w:eastAsia="仿宋_GB2312"/>
          <w:color w:val="auto"/>
          <w:kern w:val="0"/>
          <w:szCs w:val="21"/>
          <w:u w:val="single"/>
        </w:rPr>
        <w:t xml:space="preserve">           </w:t>
      </w:r>
      <w:r>
        <w:rPr>
          <w:rFonts w:hint="eastAsia" w:eastAsia="仿宋_GB2312"/>
          <w:color w:val="auto"/>
          <w:szCs w:val="21"/>
          <w:u w:val="single"/>
        </w:rPr>
        <w:t>按通用条款</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eastAsia="仿宋_GB2312"/>
          <w:color w:val="auto"/>
          <w:kern w:val="0"/>
          <w:szCs w:val="21"/>
        </w:rPr>
        <w:t>。</w:t>
      </w:r>
    </w:p>
    <w:p>
      <w:pPr>
        <w:spacing w:after="120" w:line="360" w:lineRule="auto"/>
        <w:ind w:firstLine="422" w:firstLineChars="200"/>
        <w:rPr>
          <w:b/>
          <w:color w:val="auto"/>
          <w:szCs w:val="21"/>
        </w:rPr>
      </w:pPr>
      <w:r>
        <w:rPr>
          <w:b/>
          <w:color w:val="auto"/>
          <w:szCs w:val="21"/>
        </w:rPr>
        <w:t>18.3 其他保险</w:t>
      </w:r>
    </w:p>
    <w:p>
      <w:pPr>
        <w:spacing w:line="360" w:lineRule="auto"/>
        <w:ind w:firstLine="420" w:firstLineChars="200"/>
        <w:jc w:val="left"/>
        <w:rPr>
          <w:rFonts w:eastAsia="仿宋_GB2312"/>
          <w:color w:val="auto"/>
          <w:kern w:val="0"/>
          <w:szCs w:val="21"/>
        </w:rPr>
      </w:pPr>
      <w:r>
        <w:rPr>
          <w:rFonts w:eastAsia="仿宋_GB2312"/>
          <w:color w:val="auto"/>
          <w:szCs w:val="21"/>
        </w:rPr>
        <w:t>关于其他保险的约定：</w:t>
      </w:r>
      <w:r>
        <w:rPr>
          <w:rFonts w:eastAsia="仿宋_GB2312"/>
          <w:color w:val="auto"/>
          <w:kern w:val="0"/>
          <w:szCs w:val="21"/>
          <w:u w:val="single"/>
        </w:rPr>
        <w:t xml:space="preserve">             </w:t>
      </w:r>
      <w:r>
        <w:rPr>
          <w:rFonts w:hint="eastAsia" w:eastAsia="仿宋_GB2312"/>
          <w:color w:val="auto"/>
          <w:szCs w:val="21"/>
          <w:u w:val="single"/>
        </w:rPr>
        <w:t>按通用条款</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hint="eastAsia" w:eastAsia="仿宋_GB2312"/>
          <w:color w:val="auto"/>
          <w:kern w:val="0"/>
          <w:szCs w:val="21"/>
          <w:u w:val="single"/>
        </w:rPr>
        <w:t xml:space="preserve"> </w:t>
      </w:r>
      <w:r>
        <w:rPr>
          <w:rFonts w:eastAsia="仿宋_GB2312"/>
          <w:color w:val="auto"/>
          <w:kern w:val="0"/>
          <w:szCs w:val="21"/>
          <w:u w:val="single"/>
        </w:rPr>
        <w:t xml:space="preserve">     </w:t>
      </w:r>
      <w:r>
        <w:rPr>
          <w:rFonts w:eastAsia="仿宋_GB2312"/>
          <w:color w:val="auto"/>
          <w:kern w:val="0"/>
          <w:szCs w:val="21"/>
        </w:rPr>
        <w:t>。</w:t>
      </w:r>
    </w:p>
    <w:p>
      <w:pPr>
        <w:spacing w:line="360" w:lineRule="auto"/>
        <w:ind w:firstLine="420" w:firstLineChars="200"/>
        <w:jc w:val="left"/>
        <w:rPr>
          <w:rFonts w:eastAsia="仿宋_GB2312"/>
          <w:color w:val="auto"/>
          <w:szCs w:val="21"/>
          <w:u w:val="single"/>
        </w:rPr>
      </w:pPr>
      <w:r>
        <w:rPr>
          <w:rFonts w:eastAsia="仿宋_GB2312"/>
          <w:color w:val="auto"/>
          <w:szCs w:val="21"/>
        </w:rPr>
        <w:t>承包人是否应为其施工设备等办理财产保险：</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 xml:space="preserve">    </w:t>
      </w:r>
      <w:r>
        <w:rPr>
          <w:rFonts w:eastAsia="仿宋_GB2312"/>
          <w:color w:val="auto"/>
          <w:szCs w:val="21"/>
          <w:u w:val="single"/>
        </w:rPr>
        <w:t xml:space="preserve">   </w:t>
      </w:r>
      <w:r>
        <w:rPr>
          <w:rFonts w:hint="eastAsia" w:eastAsia="仿宋_GB2312"/>
          <w:color w:val="auto"/>
          <w:szCs w:val="21"/>
          <w:u w:val="single"/>
        </w:rPr>
        <w:t>是</w:t>
      </w:r>
      <w:r>
        <w:rPr>
          <w:rFonts w:eastAsia="仿宋_GB2312"/>
          <w:color w:val="auto"/>
          <w:szCs w:val="21"/>
          <w:u w:val="single"/>
        </w:rPr>
        <w:t xml:space="preserve">                      </w:t>
      </w:r>
      <w:r>
        <w:rPr>
          <w:rFonts w:eastAsia="仿宋_GB2312"/>
          <w:color w:val="auto"/>
          <w:szCs w:val="21"/>
        </w:rPr>
        <w:t>。</w:t>
      </w:r>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120" w:line="360" w:lineRule="auto"/>
        <w:ind w:firstLine="422" w:firstLineChars="200"/>
        <w:rPr>
          <w:b/>
          <w:color w:val="auto"/>
          <w:szCs w:val="21"/>
        </w:rPr>
      </w:pPr>
      <w:r>
        <w:rPr>
          <w:b/>
          <w:color w:val="auto"/>
          <w:szCs w:val="21"/>
        </w:rPr>
        <w:t>19 其他</w:t>
      </w:r>
      <w:r>
        <w:rPr>
          <w:rFonts w:hint="eastAsia"/>
          <w:b/>
          <w:color w:val="auto"/>
          <w:szCs w:val="21"/>
        </w:rPr>
        <w:t>补充说明</w:t>
      </w:r>
    </w:p>
    <w:p>
      <w:pPr>
        <w:spacing w:line="440" w:lineRule="exact"/>
        <w:ind w:firstLine="420"/>
        <w:rPr>
          <w:rFonts w:hint="eastAsia" w:eastAsia="仿宋_GB2312"/>
          <w:color w:val="auto"/>
          <w:kern w:val="0"/>
          <w:szCs w:val="21"/>
          <w:u w:val="none"/>
          <w:lang w:eastAsia="zh-CN"/>
        </w:rPr>
      </w:pPr>
      <w:r>
        <w:rPr>
          <w:rFonts w:hint="eastAsia" w:eastAsia="仿宋_GB2312"/>
          <w:color w:val="auto"/>
          <w:kern w:val="0"/>
          <w:szCs w:val="21"/>
          <w:u w:val="none"/>
          <w:lang w:val="en-US" w:eastAsia="zh-CN"/>
        </w:rPr>
        <w:t>19.1中标人须签订保密协议，否则本合同不成立</w:t>
      </w:r>
      <w:r>
        <w:rPr>
          <w:rFonts w:eastAsia="仿宋_GB2312"/>
          <w:color w:val="auto"/>
          <w:kern w:val="0"/>
          <w:szCs w:val="21"/>
          <w:u w:val="none"/>
        </w:rPr>
        <w:t xml:space="preserve"> </w:t>
      </w:r>
      <w:r>
        <w:rPr>
          <w:rFonts w:hint="eastAsia" w:eastAsia="仿宋_GB2312"/>
          <w:color w:val="auto"/>
          <w:kern w:val="0"/>
          <w:szCs w:val="21"/>
          <w:u w:val="none"/>
          <w:lang w:eastAsia="zh-CN"/>
        </w:rPr>
        <w:t>。</w:t>
      </w:r>
    </w:p>
    <w:p>
      <w:pPr>
        <w:spacing w:line="440" w:lineRule="exact"/>
        <w:ind w:firstLine="420"/>
        <w:rPr>
          <w:rFonts w:hint="eastAsia" w:eastAsia="仿宋_GB2312"/>
          <w:color w:val="auto"/>
          <w:kern w:val="0"/>
          <w:szCs w:val="21"/>
          <w:u w:val="none"/>
          <w:lang w:val="en-US" w:eastAsia="zh-CN"/>
        </w:rPr>
      </w:pPr>
      <w:r>
        <w:rPr>
          <w:rFonts w:hint="eastAsia" w:eastAsia="仿宋_GB2312"/>
          <w:color w:val="auto"/>
          <w:kern w:val="0"/>
          <w:szCs w:val="21"/>
          <w:u w:val="none"/>
          <w:lang w:val="en-US" w:eastAsia="zh-CN"/>
        </w:rPr>
        <w:t>19.2施工单位必须在工程建设发包单位指定银行开设专用账户,接受工程建设发包单位、开户银行、施工单位共同监管,有效管控工程建设资金流向流量,防止工程建设资金调整挪用;施工单位按规定开设农民工工资专用账户,专项用于支付该工程建设项目农民工工资，实行三方监管,并报工程建设项目所在地政府工程建设主管部门书面备案。</w:t>
      </w:r>
    </w:p>
    <w:p>
      <w:pPr>
        <w:spacing w:line="440" w:lineRule="exact"/>
        <w:ind w:firstLine="420"/>
        <w:rPr>
          <w:rFonts w:hint="eastAsia" w:eastAsia="仿宋_GB2312"/>
          <w:color w:val="auto"/>
          <w:kern w:val="0"/>
          <w:szCs w:val="21"/>
          <w:u w:val="none"/>
          <w:lang w:val="en-US" w:eastAsia="zh-CN"/>
        </w:rPr>
      </w:pPr>
    </w:p>
    <w:p>
      <w:pPr>
        <w:spacing w:line="440" w:lineRule="exact"/>
        <w:ind w:firstLine="420" w:firstLineChars="200"/>
        <w:rPr>
          <w:rFonts w:hint="eastAsia" w:eastAsia="仿宋_GB2312"/>
          <w:color w:val="auto"/>
          <w:szCs w:val="21"/>
          <w:lang w:eastAsia="zh-CN"/>
        </w:rPr>
      </w:pPr>
      <w:r>
        <w:rPr>
          <w:rFonts w:hint="eastAsia" w:eastAsia="仿宋_GB2312"/>
          <w:color w:val="auto"/>
          <w:szCs w:val="21"/>
          <w:lang w:eastAsia="zh-CN"/>
        </w:rPr>
        <w:t>附：保密协议（</w:t>
      </w:r>
      <w:r>
        <w:rPr>
          <w:rFonts w:hint="eastAsia" w:eastAsia="仿宋_GB2312"/>
          <w:color w:val="auto"/>
          <w:szCs w:val="21"/>
          <w:lang w:val="en-US" w:eastAsia="zh-CN"/>
        </w:rPr>
        <w:t>中标后提供</w:t>
      </w:r>
      <w:r>
        <w:rPr>
          <w:rFonts w:hint="eastAsia" w:eastAsia="仿宋_GB2312"/>
          <w:color w:val="auto"/>
          <w:szCs w:val="21"/>
          <w:lang w:eastAsia="zh-CN"/>
        </w:rPr>
        <w:t>）</w:t>
      </w:r>
    </w:p>
    <w:p>
      <w:pPr>
        <w:spacing w:line="440" w:lineRule="exact"/>
        <w:rPr>
          <w:rFonts w:eastAsia="仿宋_GB2312"/>
          <w:color w:val="auto"/>
          <w:szCs w:val="21"/>
        </w:rPr>
      </w:pPr>
    </w:p>
    <w:p>
      <w:pPr>
        <w:spacing w:line="440" w:lineRule="exact"/>
        <w:rPr>
          <w:rFonts w:eastAsia="仿宋_GB2312"/>
          <w:color w:val="auto"/>
          <w:szCs w:val="21"/>
        </w:rPr>
      </w:pPr>
    </w:p>
    <w:p>
      <w:pPr>
        <w:spacing w:line="440" w:lineRule="exact"/>
        <w:rPr>
          <w:rFonts w:eastAsia="仿宋_GB2312"/>
          <w:color w:val="auto"/>
          <w:szCs w:val="21"/>
        </w:rPr>
      </w:pPr>
    </w:p>
    <w:p>
      <w:pPr>
        <w:spacing w:line="440" w:lineRule="exact"/>
        <w:rPr>
          <w:rFonts w:eastAsia="仿宋_GB2312"/>
          <w:color w:val="auto"/>
          <w:szCs w:val="21"/>
        </w:rPr>
      </w:pPr>
    </w:p>
    <w:p>
      <w:pPr>
        <w:spacing w:line="440" w:lineRule="exact"/>
        <w:rPr>
          <w:rFonts w:eastAsia="仿宋_GB2312"/>
          <w:color w:val="auto"/>
          <w:szCs w:val="21"/>
        </w:rPr>
      </w:pPr>
    </w:p>
    <w:p>
      <w:pPr>
        <w:spacing w:line="440" w:lineRule="exact"/>
        <w:rPr>
          <w:rFonts w:eastAsia="仿宋_GB2312"/>
          <w:color w:val="FF0000"/>
          <w:szCs w:val="21"/>
        </w:rPr>
      </w:pPr>
    </w:p>
    <w:p>
      <w:pPr>
        <w:spacing w:line="440" w:lineRule="exact"/>
        <w:rPr>
          <w:rFonts w:eastAsia="仿宋_GB2312"/>
          <w:color w:val="FF0000"/>
          <w:szCs w:val="21"/>
        </w:rPr>
      </w:pPr>
    </w:p>
    <w:p>
      <w:pPr>
        <w:spacing w:line="440" w:lineRule="exact"/>
        <w:rPr>
          <w:rFonts w:eastAsia="仿宋_GB2312"/>
          <w:color w:val="FF0000"/>
          <w:szCs w:val="21"/>
        </w:rPr>
      </w:pPr>
    </w:p>
    <w:p>
      <w:pPr>
        <w:spacing w:line="440" w:lineRule="exact"/>
        <w:rPr>
          <w:rFonts w:eastAsia="仿宋_GB2312"/>
          <w:color w:val="FF0000"/>
          <w:szCs w:val="21"/>
        </w:rPr>
      </w:pPr>
    </w:p>
    <w:p>
      <w:pPr>
        <w:spacing w:line="440" w:lineRule="exact"/>
        <w:rPr>
          <w:rFonts w:eastAsia="仿宋_GB2312"/>
          <w:color w:val="FF0000"/>
          <w:szCs w:val="21"/>
        </w:rPr>
      </w:pPr>
    </w:p>
    <w:p>
      <w:pPr>
        <w:spacing w:line="440" w:lineRule="exact"/>
        <w:rPr>
          <w:rFonts w:eastAsia="仿宋_GB2312"/>
          <w:color w:val="FF0000"/>
          <w:szCs w:val="21"/>
        </w:rPr>
      </w:pPr>
    </w:p>
    <w:p>
      <w:pPr>
        <w:spacing w:line="440" w:lineRule="exact"/>
        <w:rPr>
          <w:rFonts w:eastAsia="仿宋_GB2312"/>
          <w:color w:val="FF0000"/>
          <w:szCs w:val="21"/>
        </w:rPr>
      </w:pPr>
    </w:p>
    <w:p>
      <w:pPr>
        <w:spacing w:line="440" w:lineRule="exact"/>
        <w:rPr>
          <w:rFonts w:eastAsia="仿宋_GB2312"/>
          <w:color w:val="FF0000"/>
          <w:szCs w:val="21"/>
        </w:rPr>
      </w:pPr>
    </w:p>
    <w:p>
      <w:pPr>
        <w:spacing w:line="440" w:lineRule="exact"/>
        <w:rPr>
          <w:rFonts w:eastAsia="仿宋_GB2312"/>
          <w:color w:val="FF0000"/>
          <w:szCs w:val="21"/>
        </w:rPr>
      </w:pPr>
    </w:p>
    <w:p>
      <w:pPr>
        <w:spacing w:line="440" w:lineRule="exact"/>
        <w:rPr>
          <w:rFonts w:eastAsia="仿宋_GB2312"/>
          <w:color w:val="FF0000"/>
          <w:szCs w:val="21"/>
        </w:rPr>
      </w:pPr>
    </w:p>
    <w:p>
      <w:pPr>
        <w:spacing w:line="440" w:lineRule="exact"/>
        <w:rPr>
          <w:rFonts w:eastAsia="仿宋_GB2312"/>
          <w:color w:val="FF0000"/>
          <w:szCs w:val="21"/>
        </w:rPr>
      </w:pPr>
    </w:p>
    <w:p>
      <w:pPr>
        <w:spacing w:line="440" w:lineRule="exact"/>
        <w:rPr>
          <w:rFonts w:eastAsia="仿宋_GB2312"/>
          <w:color w:val="FF0000"/>
          <w:szCs w:val="21"/>
        </w:rPr>
      </w:pPr>
    </w:p>
    <w:p>
      <w:pPr>
        <w:pStyle w:val="4"/>
        <w:jc w:val="both"/>
        <w:rPr>
          <w:rFonts w:hint="eastAsia"/>
          <w:sz w:val="28"/>
          <w:szCs w:val="28"/>
        </w:rPr>
      </w:pPr>
      <w:bookmarkStart w:id="295" w:name="_Toc530639794"/>
    </w:p>
    <w:p>
      <w:pPr>
        <w:rPr>
          <w:rFonts w:hint="eastAsia"/>
        </w:rPr>
      </w:pPr>
    </w:p>
    <w:p>
      <w:pPr>
        <w:pStyle w:val="4"/>
        <w:jc w:val="center"/>
        <w:rPr>
          <w:sz w:val="28"/>
          <w:szCs w:val="28"/>
        </w:rPr>
      </w:pPr>
      <w:r>
        <w:rPr>
          <w:rFonts w:hint="eastAsia"/>
          <w:sz w:val="28"/>
          <w:szCs w:val="28"/>
        </w:rPr>
        <w:t>建设工程施工廉政合同（示范文本）</w:t>
      </w:r>
      <w:bookmarkEnd w:id="295"/>
    </w:p>
    <w:p>
      <w:pPr>
        <w:snapToGrid w:val="0"/>
        <w:spacing w:line="540" w:lineRule="exact"/>
        <w:jc w:val="center"/>
        <w:rPr>
          <w:rFonts w:ascii="楷体_GB2312" w:eastAsia="楷体_GB2312"/>
          <w:sz w:val="32"/>
        </w:rPr>
      </w:pPr>
      <w:r>
        <w:rPr>
          <w:rFonts w:hint="eastAsia" w:ascii="楷体_GB2312" w:eastAsia="楷体_GB2312"/>
          <w:sz w:val="32"/>
        </w:rPr>
        <w:t>（试行）</w:t>
      </w:r>
    </w:p>
    <w:p>
      <w:pPr>
        <w:snapToGrid w:val="0"/>
        <w:spacing w:line="380" w:lineRule="exact"/>
        <w:ind w:firstLine="403" w:firstLineChars="192"/>
        <w:rPr>
          <w:rFonts w:hint="eastAsia" w:ascii="仿宋" w:hAnsi="仿宋" w:eastAsia="仿宋" w:cs="仿宋"/>
        </w:rPr>
      </w:pPr>
      <w:r>
        <w:rPr>
          <w:rFonts w:hint="eastAsia" w:ascii="仿宋" w:hAnsi="仿宋" w:eastAsia="仿宋" w:cs="仿宋"/>
        </w:rPr>
        <w:t>根据省建设厅、省监察厅、省人民检察院联合发《关于印发〈浙江省建设市场不良行为记录和公示办法〉的通知》（浙建监〔2006〕80号）以及建设工程管理、廉政建设的有关法规和相关文件规定，为了做好工程建设中的党风、廉政建设和反商业贿赂工作，保证工程建设高效优质完成，确保国有建设资金的安全和有效使用，以达到投资的预期效益。工程的项目发包方（以下称甲方）与承包商（以下称乙方），特订立如下合同。</w:t>
      </w:r>
    </w:p>
    <w:p>
      <w:pPr>
        <w:snapToGrid w:val="0"/>
        <w:spacing w:line="380" w:lineRule="exact"/>
        <w:ind w:firstLine="525" w:firstLineChars="250"/>
        <w:rPr>
          <w:rFonts w:hint="eastAsia" w:ascii="仿宋" w:hAnsi="仿宋" w:eastAsia="仿宋" w:cs="仿宋"/>
        </w:rPr>
      </w:pPr>
      <w:r>
        <w:rPr>
          <w:rFonts w:hint="eastAsia" w:ascii="仿宋" w:hAnsi="仿宋" w:eastAsia="仿宋" w:cs="仿宋"/>
        </w:rPr>
        <w:t>第一条 甲、乙双方的权利和义务。甲、乙双方同时做到：</w:t>
      </w:r>
    </w:p>
    <w:p>
      <w:pPr>
        <w:numPr>
          <w:ilvl w:val="0"/>
          <w:numId w:val="0"/>
        </w:numPr>
        <w:tabs>
          <w:tab w:val="left" w:pos="900"/>
          <w:tab w:val="left" w:pos="126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lang w:eastAsia="zh-CN"/>
        </w:rPr>
        <w:t>（一）</w:t>
      </w:r>
      <w:r>
        <w:rPr>
          <w:rFonts w:hint="eastAsia" w:ascii="仿宋" w:hAnsi="仿宋" w:eastAsia="仿宋" w:cs="仿宋"/>
        </w:rPr>
        <w:t>严格遵守党和国家有关法律、法规和规章以及监察、人民检察院、财政、审计、建设等部门的有关规定。严格遵守</w:t>
      </w:r>
      <w:r>
        <w:rPr>
          <w:rFonts w:hint="eastAsia" w:ascii="仿宋" w:hAnsi="仿宋" w:eastAsia="仿宋" w:cs="仿宋"/>
          <w:lang w:eastAsia="zh-CN"/>
        </w:rPr>
        <w:t>东阳</w:t>
      </w:r>
      <w:r>
        <w:rPr>
          <w:rFonts w:hint="eastAsia" w:ascii="仿宋" w:hAnsi="仿宋" w:eastAsia="仿宋" w:cs="仿宋"/>
        </w:rPr>
        <w:t>市监察、人民检察院、财政、审计、建设等部门的有关规定。双方严格执行工程的合同文件，自觉按合同办事。</w:t>
      </w:r>
    </w:p>
    <w:p>
      <w:pPr>
        <w:numPr>
          <w:ilvl w:val="0"/>
          <w:numId w:val="0"/>
        </w:num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lang w:eastAsia="zh-CN"/>
        </w:rPr>
        <w:t>（二）</w:t>
      </w:r>
      <w:r>
        <w:rPr>
          <w:rFonts w:hint="eastAsia" w:ascii="仿宋" w:hAnsi="仿宋" w:eastAsia="仿宋" w:cs="仿宋"/>
        </w:rPr>
        <w:t>双方按法定部门备案的招标文件和乙方的投标文件订立合同，并按法规规定备案，以备案合同作为双方最终结算价款的唯一依据。双方不私下签订“黑白”和“阴阳”等不良行为的合同。</w:t>
      </w:r>
    </w:p>
    <w:p>
      <w:pPr>
        <w:numPr>
          <w:ilvl w:val="0"/>
          <w:numId w:val="0"/>
        </w:num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lang w:eastAsia="zh-CN"/>
        </w:rPr>
        <w:t>（三）</w:t>
      </w:r>
      <w:r>
        <w:rPr>
          <w:rFonts w:hint="eastAsia" w:ascii="仿宋" w:hAnsi="仿宋" w:eastAsia="仿宋" w:cs="仿宋"/>
        </w:rPr>
        <w:t>双方的业务活动坚持公开、公平、公正、诚信、透明的原则（除法律认定的商业秘密和合同文件另有规定之外），不得损害国家和集体利益，不得违反工程建设法律、法规和规章以及纪检（监察）、国资、检察、财政、审计和工程建设管理的规定。</w:t>
      </w:r>
    </w:p>
    <w:p>
      <w:pPr>
        <w:numPr>
          <w:ilvl w:val="0"/>
          <w:numId w:val="0"/>
        </w:num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lang w:eastAsia="zh-CN"/>
        </w:rPr>
        <w:t>（四）</w:t>
      </w:r>
      <w:r>
        <w:rPr>
          <w:rFonts w:hint="eastAsia" w:ascii="仿宋" w:hAnsi="仿宋" w:eastAsia="仿宋" w:cs="仿宋"/>
        </w:rPr>
        <w:t>建立健全廉政建设、监督制度和处罚制度，开展廉政教育，设立廉政告示牌，公布举报电话。</w:t>
      </w:r>
    </w:p>
    <w:p>
      <w:pPr>
        <w:numPr>
          <w:ilvl w:val="0"/>
          <w:numId w:val="0"/>
        </w:numPr>
        <w:tabs>
          <w:tab w:val="left" w:pos="900"/>
          <w:tab w:val="left" w:pos="1440"/>
        </w:tabs>
        <w:snapToGrid w:val="0"/>
        <w:spacing w:line="380" w:lineRule="exact"/>
        <w:ind w:firstLine="420" w:firstLineChars="200"/>
        <w:jc w:val="left"/>
        <w:rPr>
          <w:rFonts w:hint="eastAsia" w:ascii="仿宋" w:hAnsi="仿宋" w:eastAsia="仿宋" w:cs="仿宋"/>
        </w:rPr>
      </w:pPr>
      <w:r>
        <w:rPr>
          <w:rFonts w:hint="eastAsia" w:ascii="仿宋" w:hAnsi="仿宋" w:eastAsia="仿宋" w:cs="仿宋"/>
          <w:lang w:eastAsia="zh-CN"/>
        </w:rPr>
        <w:t>（五）</w:t>
      </w:r>
      <w:r>
        <w:rPr>
          <w:rFonts w:hint="eastAsia" w:ascii="仿宋" w:hAnsi="仿宋" w:eastAsia="仿宋" w:cs="仿宋"/>
        </w:rPr>
        <w:t>发现对方在业务活动中有违反廉政规定行为时，有及时提醒对方纠正的权利和义务。</w:t>
      </w:r>
    </w:p>
    <w:p>
      <w:pPr>
        <w:numPr>
          <w:ilvl w:val="0"/>
          <w:numId w:val="0"/>
        </w:num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lang w:eastAsia="zh-CN"/>
        </w:rPr>
        <w:t>（六）</w:t>
      </w:r>
      <w:r>
        <w:rPr>
          <w:rFonts w:hint="eastAsia" w:ascii="仿宋" w:hAnsi="仿宋" w:eastAsia="仿宋" w:cs="仿宋"/>
        </w:rPr>
        <w:t>发现对方有严重违反本合同义务条款的行为时，有向其上级有关部门举报，建议给予处理并要求告知处理结果的权利。</w:t>
      </w:r>
    </w:p>
    <w:p>
      <w:pPr>
        <w:snapToGrid w:val="0"/>
        <w:spacing w:line="380" w:lineRule="exact"/>
        <w:ind w:firstLine="420" w:firstLineChars="200"/>
        <w:rPr>
          <w:rFonts w:hint="eastAsia" w:ascii="仿宋" w:hAnsi="仿宋" w:eastAsia="仿宋" w:cs="仿宋"/>
        </w:rPr>
      </w:pPr>
      <w:r>
        <w:rPr>
          <w:rFonts w:hint="eastAsia" w:ascii="仿宋" w:hAnsi="仿宋" w:eastAsia="仿宋" w:cs="仿宋"/>
        </w:rPr>
        <w:t>第二条  甲方的义务</w:t>
      </w:r>
    </w:p>
    <w:p>
      <w:pPr>
        <w:tabs>
          <w:tab w:val="left" w:pos="900"/>
          <w:tab w:val="left" w:pos="1620"/>
        </w:tabs>
        <w:snapToGrid w:val="0"/>
        <w:spacing w:line="380" w:lineRule="exact"/>
        <w:ind w:firstLine="420" w:firstLineChars="200"/>
        <w:rPr>
          <w:rFonts w:hint="eastAsia" w:ascii="仿宋" w:hAnsi="仿宋" w:eastAsia="仿宋" w:cs="仿宋"/>
        </w:rPr>
      </w:pPr>
      <w:r>
        <w:rPr>
          <w:rFonts w:hint="eastAsia" w:ascii="仿宋" w:hAnsi="仿宋" w:eastAsia="仿宋" w:cs="仿宋"/>
        </w:rPr>
        <w:t>（一）甲方及其工作人员：</w:t>
      </w:r>
    </w:p>
    <w:p>
      <w:pPr>
        <w:snapToGrid w:val="0"/>
        <w:spacing w:line="380" w:lineRule="exact"/>
        <w:ind w:firstLine="525" w:firstLineChars="250"/>
        <w:rPr>
          <w:rFonts w:hint="eastAsia" w:ascii="仿宋" w:hAnsi="仿宋" w:eastAsia="仿宋" w:cs="仿宋"/>
        </w:rPr>
      </w:pPr>
      <w:r>
        <w:rPr>
          <w:rFonts w:hint="eastAsia" w:ascii="仿宋" w:hAnsi="仿宋" w:eastAsia="仿宋" w:cs="仿宋"/>
        </w:rPr>
        <w:t>1．必须秉公办理，不准营私舞弊，不准利用职权从事各种个人有偿中介活动和安排个人施工队伍。</w:t>
      </w:r>
    </w:p>
    <w:p>
      <w:pPr>
        <w:snapToGrid w:val="0"/>
        <w:spacing w:line="380" w:lineRule="exact"/>
        <w:ind w:firstLine="525" w:firstLineChars="250"/>
        <w:rPr>
          <w:rFonts w:hint="eastAsia" w:ascii="仿宋" w:hAnsi="仿宋" w:eastAsia="仿宋" w:cs="仿宋"/>
        </w:rPr>
      </w:pPr>
      <w:r>
        <w:rPr>
          <w:rFonts w:hint="eastAsia" w:ascii="仿宋" w:hAnsi="仿宋" w:eastAsia="仿宋" w:cs="仿宋"/>
        </w:rPr>
        <w:t>2．不得索要或接受乙方的礼金、礼券、有价证券和物品，不得在乙方报销任何应由甲方或个人自身支付的费用等。</w:t>
      </w:r>
    </w:p>
    <w:p>
      <w:pPr>
        <w:snapToGrid w:val="0"/>
        <w:spacing w:line="380" w:lineRule="exact"/>
        <w:ind w:firstLine="525" w:firstLineChars="250"/>
        <w:rPr>
          <w:rFonts w:hint="eastAsia" w:ascii="仿宋" w:hAnsi="仿宋" w:eastAsia="仿宋" w:cs="仿宋"/>
        </w:rPr>
      </w:pPr>
      <w:r>
        <w:rPr>
          <w:rFonts w:hint="eastAsia" w:ascii="仿宋" w:hAnsi="仿宋" w:eastAsia="仿宋" w:cs="仿宋"/>
        </w:rPr>
        <w:t>3．不得要求或者接受乙方为其住房装修、操办婚丧嫁娶、安排配偶子女的工作以及出国出境、旅游等。</w:t>
      </w:r>
    </w:p>
    <w:p>
      <w:pPr>
        <w:snapToGrid w:val="0"/>
        <w:spacing w:line="380" w:lineRule="exact"/>
        <w:ind w:firstLine="525" w:firstLineChars="250"/>
        <w:rPr>
          <w:rFonts w:hint="eastAsia" w:ascii="仿宋" w:hAnsi="仿宋" w:eastAsia="仿宋" w:cs="仿宋"/>
        </w:rPr>
      </w:pPr>
      <w:r>
        <w:rPr>
          <w:rFonts w:hint="eastAsia" w:ascii="仿宋" w:hAnsi="仿宋" w:eastAsia="仿宋" w:cs="仿宋"/>
        </w:rPr>
        <w:t>4．不得以任何理由向乙方推荐分包单位和自定材料供应商。</w:t>
      </w:r>
    </w:p>
    <w:p>
      <w:p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rPr>
        <w:t>（二） 甲方工作人员的配偶、子女及下属单位不得从事与甲方工程有关的材料设备供应、工程分包等经济活动。</w:t>
      </w:r>
    </w:p>
    <w:p>
      <w:p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rPr>
        <w:t>（三）甲方按经过法定部门备案的合同规定支付工程款，不得有意刁难、拖欠乙方工程款，不得违反规定批拨工程建设费用等。</w:t>
      </w:r>
    </w:p>
    <w:p>
      <w:p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rPr>
        <w:t>（四）按照工程招标投标的有关法律、法规和规章以及</w:t>
      </w:r>
      <w:r>
        <w:rPr>
          <w:rFonts w:hint="eastAsia" w:ascii="仿宋" w:hAnsi="仿宋" w:eastAsia="仿宋" w:cs="仿宋"/>
          <w:lang w:eastAsia="zh-CN"/>
        </w:rPr>
        <w:t>丽水市政府</w:t>
      </w:r>
      <w:r>
        <w:rPr>
          <w:rFonts w:hint="eastAsia" w:ascii="仿宋" w:hAnsi="仿宋" w:eastAsia="仿宋" w:cs="仿宋"/>
        </w:rPr>
        <w:t>的规定，甲方不得肢解工程发包等。</w:t>
      </w:r>
    </w:p>
    <w:p>
      <w:pPr>
        <w:tabs>
          <w:tab w:val="left" w:pos="1440"/>
        </w:tabs>
        <w:snapToGrid w:val="0"/>
        <w:spacing w:line="380" w:lineRule="exact"/>
        <w:rPr>
          <w:rFonts w:hint="eastAsia" w:ascii="仿宋" w:hAnsi="仿宋" w:eastAsia="仿宋" w:cs="仿宋"/>
        </w:rPr>
      </w:pPr>
      <w:r>
        <w:rPr>
          <w:rFonts w:hint="eastAsia" w:ascii="仿宋" w:hAnsi="仿宋" w:eastAsia="仿宋" w:cs="仿宋"/>
        </w:rPr>
        <w:t>甲方原则上不设定暂定价，确需设定暂定价时，对暂定价实行：一是按建设工程招投标的法律、法规和规章规定予以公开招标：二是报请财政、审计等权限部门共同商定签证价，并形成会议纪要。甲方不得自行组织工程分包，若要设定工程分包时，必须按建设工程的法律、法规和规章规定，由乙方组织公开招标。</w:t>
      </w:r>
    </w:p>
    <w:p>
      <w:p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rPr>
        <w:t>（五）甲方不得违反建设工程的有关法律、法规和经过法定部门备案的招标文件以及合同规定：</w:t>
      </w:r>
    </w:p>
    <w:p>
      <w:pPr>
        <w:snapToGrid w:val="0"/>
        <w:spacing w:line="380" w:lineRule="exact"/>
        <w:ind w:firstLine="420" w:firstLineChars="200"/>
        <w:rPr>
          <w:rFonts w:hint="eastAsia" w:ascii="仿宋" w:hAnsi="仿宋" w:eastAsia="仿宋" w:cs="仿宋"/>
        </w:rPr>
      </w:pPr>
      <w:r>
        <w:rPr>
          <w:rFonts w:hint="eastAsia" w:ascii="仿宋" w:hAnsi="仿宋" w:eastAsia="仿宋" w:cs="仿宋"/>
        </w:rPr>
        <w:t>1．指定乙方购入用于工程的建筑材料、建筑构配件和设备或者指定生产厂、供应商。</w:t>
      </w:r>
    </w:p>
    <w:p>
      <w:pPr>
        <w:snapToGrid w:val="0"/>
        <w:spacing w:line="380" w:lineRule="exact"/>
        <w:ind w:firstLine="420" w:firstLineChars="200"/>
        <w:rPr>
          <w:rFonts w:hint="eastAsia" w:ascii="仿宋" w:hAnsi="仿宋" w:eastAsia="仿宋" w:cs="仿宋"/>
        </w:rPr>
      </w:pPr>
      <w:r>
        <w:rPr>
          <w:rFonts w:hint="eastAsia" w:ascii="仿宋" w:hAnsi="仿宋" w:eastAsia="仿宋" w:cs="仿宋"/>
        </w:rPr>
        <w:t>2．强制乙方垫付工程建设资金。</w:t>
      </w:r>
    </w:p>
    <w:p>
      <w:pPr>
        <w:snapToGrid w:val="0"/>
        <w:spacing w:line="380" w:lineRule="exact"/>
        <w:ind w:firstLine="420" w:firstLineChars="200"/>
        <w:rPr>
          <w:rFonts w:hint="eastAsia" w:ascii="仿宋" w:hAnsi="仿宋" w:eastAsia="仿宋" w:cs="仿宋"/>
        </w:rPr>
      </w:pPr>
      <w:r>
        <w:rPr>
          <w:rFonts w:hint="eastAsia" w:ascii="仿宋" w:hAnsi="仿宋" w:eastAsia="仿宋" w:cs="仿宋"/>
        </w:rPr>
        <w:t>3．甲方要求乙方提供履约保证金或者其他形式履约担保的，自身应同时向乙方提供工程款支付担保。</w:t>
      </w:r>
    </w:p>
    <w:p>
      <w:pPr>
        <w:snapToGrid w:val="0"/>
        <w:spacing w:line="380" w:lineRule="exact"/>
        <w:ind w:firstLine="420" w:firstLineChars="200"/>
        <w:rPr>
          <w:rFonts w:hint="eastAsia" w:ascii="仿宋" w:hAnsi="仿宋" w:eastAsia="仿宋" w:cs="仿宋"/>
        </w:rPr>
      </w:pPr>
      <w:r>
        <w:rPr>
          <w:rFonts w:hint="eastAsia" w:ascii="仿宋" w:hAnsi="仿宋" w:eastAsia="仿宋" w:cs="仿宋"/>
        </w:rPr>
        <w:t>4．应属甲方交纳的规费不得由乙方垫付。</w:t>
      </w:r>
    </w:p>
    <w:p>
      <w:pPr>
        <w:snapToGrid w:val="0"/>
        <w:spacing w:line="380" w:lineRule="exact"/>
        <w:ind w:firstLine="420" w:firstLineChars="200"/>
        <w:rPr>
          <w:rFonts w:hint="eastAsia" w:ascii="仿宋" w:hAnsi="仿宋" w:eastAsia="仿宋" w:cs="仿宋"/>
        </w:rPr>
      </w:pPr>
      <w:r>
        <w:rPr>
          <w:rFonts w:hint="eastAsia" w:ascii="仿宋" w:hAnsi="仿宋" w:eastAsia="仿宋" w:cs="仿宋"/>
        </w:rPr>
        <w:t>第三条 乙方义务</w:t>
      </w:r>
    </w:p>
    <w:p>
      <w:p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rPr>
        <w:t>（一）乙方不得以任何理由向甲方及其工作人员行贿或赠送礼金、礼券、有价证券和物品。</w:t>
      </w:r>
    </w:p>
    <w:p>
      <w:p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rPr>
        <w:t>（二）乙方不得以任何名义为甲方及其工作人员报销应由甲方单位或个人自身支付的任何费用。</w:t>
      </w:r>
    </w:p>
    <w:p>
      <w:p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rPr>
        <w:t>（三）乙方不得要求甲方违反规定批拨、追加工程费用等。</w:t>
      </w:r>
    </w:p>
    <w:p>
      <w:p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rPr>
        <w:t>（四）乙方不得以任何理由安排甲方工作人员参加违反规定的宴请及娱乐活动。</w:t>
      </w:r>
    </w:p>
    <w:p>
      <w:p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rPr>
        <w:t>（五）乙方不得为甲方单位和个人购置或提供通讯工具、交通工具和违反规定的高档办公用品等。</w:t>
      </w:r>
    </w:p>
    <w:p>
      <w:pPr>
        <w:snapToGrid w:val="0"/>
        <w:spacing w:line="380" w:lineRule="exact"/>
        <w:ind w:firstLine="420" w:firstLineChars="200"/>
        <w:rPr>
          <w:rFonts w:hint="eastAsia" w:ascii="仿宋" w:hAnsi="仿宋" w:eastAsia="仿宋" w:cs="仿宋"/>
        </w:rPr>
      </w:pPr>
      <w:r>
        <w:rPr>
          <w:rFonts w:hint="eastAsia" w:ascii="仿宋" w:hAnsi="仿宋" w:eastAsia="仿宋" w:cs="仿宋"/>
        </w:rPr>
        <w:t>第四条   违约责任</w:t>
      </w:r>
    </w:p>
    <w:p>
      <w:pPr>
        <w:tabs>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rPr>
        <w:t>（一）甲方及其工作人员违反本合同以上规定的，按管理权限，依据有关规定给予党纪、政纪或组织处理；涉嫌犯罪的，移送司法机关追究刑事责任；给乙方单位造成经济损失的，应给予以赔偿。</w:t>
      </w:r>
    </w:p>
    <w:p>
      <w:pPr>
        <w:tabs>
          <w:tab w:val="left" w:pos="900"/>
          <w:tab w:val="left" w:pos="1440"/>
        </w:tabs>
        <w:snapToGrid w:val="0"/>
        <w:spacing w:line="380" w:lineRule="exact"/>
        <w:ind w:firstLine="420" w:firstLineChars="200"/>
        <w:rPr>
          <w:rFonts w:hint="eastAsia" w:ascii="仿宋" w:hAnsi="仿宋" w:eastAsia="仿宋" w:cs="仿宋"/>
        </w:rPr>
      </w:pPr>
      <w:r>
        <w:rPr>
          <w:rFonts w:hint="eastAsia" w:ascii="仿宋" w:hAnsi="仿宋" w:eastAsia="仿宋" w:cs="仿宋"/>
        </w:rPr>
        <w:t>（二）乙方及其工作人员违反本合同以上规定的，按管理权限，依据有关规定给予党纪、政纪或组织处理；给甲方单位造成经济损失的，应给予以赔偿；情节严重被有关部门书面通报处理的，乙方承诺无条件接受工程建设行政主管部门给予乙方一至三年内不得参与工程建设项目投标的处罚。</w:t>
      </w:r>
    </w:p>
    <w:p>
      <w:pPr>
        <w:tabs>
          <w:tab w:val="left" w:pos="1620"/>
        </w:tabs>
        <w:snapToGrid w:val="0"/>
        <w:spacing w:line="380" w:lineRule="exact"/>
        <w:ind w:firstLine="420" w:firstLineChars="200"/>
        <w:rPr>
          <w:rFonts w:hint="eastAsia" w:ascii="仿宋" w:hAnsi="仿宋" w:eastAsia="仿宋" w:cs="仿宋"/>
        </w:rPr>
      </w:pPr>
      <w:r>
        <w:rPr>
          <w:rFonts w:hint="eastAsia" w:ascii="仿宋" w:hAnsi="仿宋" w:eastAsia="仿宋" w:cs="仿宋"/>
        </w:rPr>
        <w:t>第五条 本合同有效期限为甲乙双方签署之日起至该工程项目工程款支付完结时止。</w:t>
      </w:r>
    </w:p>
    <w:p>
      <w:pPr>
        <w:snapToGrid w:val="0"/>
        <w:spacing w:line="380" w:lineRule="exact"/>
        <w:ind w:firstLine="420" w:firstLineChars="200"/>
        <w:rPr>
          <w:rFonts w:hint="eastAsia" w:ascii="仿宋" w:hAnsi="仿宋" w:eastAsia="仿宋" w:cs="仿宋"/>
        </w:rPr>
      </w:pPr>
      <w:r>
        <w:rPr>
          <w:rFonts w:hint="eastAsia" w:ascii="仿宋" w:hAnsi="仿宋" w:eastAsia="仿宋" w:cs="仿宋"/>
        </w:rPr>
        <w:t>第六条  本合同作为本工程施工承包合同的附件，与工程施工合同具有同等的法律效力，经合同双方签署立即生效。按《浙江省招标投标条例》规定，承发包合同及附件报建设行政主管部门备案。</w:t>
      </w:r>
    </w:p>
    <w:p>
      <w:pPr>
        <w:snapToGrid w:val="0"/>
        <w:spacing w:line="380" w:lineRule="exact"/>
        <w:ind w:firstLine="420" w:firstLineChars="200"/>
        <w:rPr>
          <w:rFonts w:hint="eastAsia" w:ascii="仿宋" w:hAnsi="仿宋" w:eastAsia="仿宋" w:cs="仿宋"/>
        </w:rPr>
      </w:pPr>
      <w:r>
        <w:rPr>
          <w:rFonts w:hint="eastAsia" w:ascii="仿宋" w:hAnsi="仿宋" w:eastAsia="仿宋" w:cs="仿宋"/>
        </w:rPr>
        <w:t>第七条  本合同甲、乙双方各执一份，抄送交监察局、人民检察院、区住房和城乡建设局等部门各一份。</w:t>
      </w:r>
    </w:p>
    <w:p>
      <w:pPr>
        <w:snapToGrid w:val="0"/>
        <w:spacing w:line="380" w:lineRule="exact"/>
        <w:rPr>
          <w:rFonts w:hint="eastAsia" w:ascii="仿宋" w:hAnsi="仿宋" w:eastAsia="仿宋" w:cs="仿宋"/>
        </w:rPr>
      </w:pPr>
    </w:p>
    <w:p>
      <w:pPr>
        <w:snapToGrid w:val="0"/>
        <w:spacing w:line="380" w:lineRule="exact"/>
        <w:rPr>
          <w:rFonts w:hint="eastAsia" w:ascii="仿宋" w:hAnsi="仿宋" w:eastAsia="仿宋" w:cs="仿宋"/>
        </w:rPr>
      </w:pPr>
    </w:p>
    <w:p>
      <w:pPr>
        <w:snapToGrid w:val="0"/>
        <w:spacing w:line="380" w:lineRule="exact"/>
        <w:rPr>
          <w:rFonts w:hint="eastAsia" w:ascii="仿宋" w:hAnsi="仿宋" w:eastAsia="仿宋" w:cs="仿宋"/>
        </w:rPr>
      </w:pPr>
      <w:r>
        <w:rPr>
          <w:rFonts w:hint="eastAsia" w:ascii="仿宋" w:hAnsi="仿宋" w:eastAsia="仿宋" w:cs="仿宋"/>
        </w:rPr>
        <w:t>建设单位：（盖章）                                         乙方单位：（盖章）</w:t>
      </w:r>
    </w:p>
    <w:p>
      <w:pPr>
        <w:snapToGrid w:val="0"/>
        <w:spacing w:line="380" w:lineRule="exact"/>
        <w:rPr>
          <w:rFonts w:hint="eastAsia" w:ascii="仿宋" w:hAnsi="仿宋" w:eastAsia="仿宋" w:cs="仿宋"/>
        </w:rPr>
      </w:pPr>
      <w:r>
        <w:rPr>
          <w:rFonts w:hint="eastAsia" w:ascii="仿宋" w:hAnsi="仿宋" w:eastAsia="仿宋" w:cs="仿宋"/>
        </w:rPr>
        <w:t>法定代表人：                                               法定代表人：</w:t>
      </w:r>
    </w:p>
    <w:p>
      <w:pPr>
        <w:snapToGrid w:val="0"/>
        <w:spacing w:line="380" w:lineRule="exact"/>
        <w:rPr>
          <w:rFonts w:hint="eastAsia" w:ascii="仿宋" w:hAnsi="仿宋" w:eastAsia="仿宋" w:cs="仿宋"/>
        </w:rPr>
      </w:pPr>
      <w:r>
        <w:rPr>
          <w:rFonts w:hint="eastAsia" w:ascii="仿宋" w:hAnsi="仿宋" w:eastAsia="仿宋" w:cs="仿宋"/>
        </w:rPr>
        <w:t>地址：                                                     地址：</w:t>
      </w:r>
    </w:p>
    <w:p>
      <w:pPr>
        <w:snapToGrid w:val="0"/>
        <w:spacing w:line="380" w:lineRule="exact"/>
        <w:rPr>
          <w:rFonts w:hint="eastAsia" w:ascii="仿宋" w:hAnsi="仿宋" w:eastAsia="仿宋" w:cs="仿宋"/>
        </w:rPr>
      </w:pPr>
      <w:r>
        <w:rPr>
          <w:rFonts w:hint="eastAsia" w:ascii="仿宋" w:hAnsi="仿宋" w:eastAsia="仿宋" w:cs="仿宋"/>
        </w:rPr>
        <w:t>电话：                                                     电话：</w:t>
      </w:r>
    </w:p>
    <w:p>
      <w:pPr>
        <w:snapToGrid w:val="0"/>
        <w:spacing w:line="380" w:lineRule="exact"/>
        <w:rPr>
          <w:rFonts w:hint="eastAsia" w:ascii="仿宋" w:hAnsi="仿宋" w:eastAsia="仿宋" w:cs="仿宋"/>
        </w:rPr>
      </w:pPr>
      <w:r>
        <w:rPr>
          <w:rFonts w:hint="eastAsia" w:ascii="仿宋" w:hAnsi="仿宋" w:eastAsia="仿宋" w:cs="仿宋"/>
        </w:rPr>
        <w:t>年月日                                                     年月日</w:t>
      </w:r>
    </w:p>
    <w:p>
      <w:pPr>
        <w:snapToGrid w:val="0"/>
        <w:spacing w:line="380" w:lineRule="exact"/>
        <w:ind w:firstLine="7350" w:firstLineChars="3500"/>
        <w:rPr>
          <w:rFonts w:ascii="宋体"/>
        </w:rPr>
      </w:pPr>
    </w:p>
    <w:p>
      <w:pPr>
        <w:snapToGrid w:val="0"/>
        <w:spacing w:line="380" w:lineRule="exact"/>
        <w:ind w:firstLine="7350" w:firstLineChars="3500"/>
        <w:rPr>
          <w:rFonts w:ascii="宋体"/>
        </w:rPr>
      </w:pPr>
    </w:p>
    <w:p>
      <w:pPr>
        <w:pStyle w:val="20"/>
      </w:pPr>
    </w:p>
    <w:p>
      <w:pPr>
        <w:snapToGrid w:val="0"/>
        <w:spacing w:line="380" w:lineRule="exact"/>
        <w:ind w:firstLine="7350" w:firstLineChars="3500"/>
        <w:rPr>
          <w:rFonts w:ascii="宋体"/>
        </w:rPr>
      </w:pPr>
    </w:p>
    <w:p>
      <w:pPr>
        <w:pStyle w:val="4"/>
        <w:jc w:val="center"/>
        <w:rPr>
          <w:rFonts w:ascii="宋体"/>
          <w:b w:val="0"/>
          <w:sz w:val="28"/>
          <w:szCs w:val="28"/>
          <w:shd w:val="solid" w:color="FFFFFF" w:fill="auto"/>
        </w:rPr>
      </w:pPr>
      <w:bookmarkStart w:id="296" w:name="_Toc530639795"/>
      <w:r>
        <w:rPr>
          <w:rFonts w:hint="eastAsia"/>
          <w:sz w:val="28"/>
          <w:szCs w:val="28"/>
        </w:rPr>
        <w:t>建筑工程施工安全合同协议书</w:t>
      </w:r>
      <w:bookmarkEnd w:id="296"/>
    </w:p>
    <w:p>
      <w:pPr>
        <w:shd w:val="solid" w:color="FFFFFF" w:fill="auto"/>
        <w:autoSpaceDN w:val="0"/>
        <w:spacing w:line="420" w:lineRule="exact"/>
        <w:ind w:firstLine="420" w:firstLineChars="200"/>
        <w:rPr>
          <w:rFonts w:hint="eastAsia" w:ascii="仿宋" w:hAnsi="仿宋" w:eastAsia="仿宋" w:cs="仿宋"/>
          <w:szCs w:val="21"/>
        </w:rPr>
      </w:pPr>
      <w:r>
        <w:rPr>
          <w:rFonts w:hint="eastAsia" w:ascii="仿宋" w:hAnsi="仿宋" w:eastAsia="仿宋" w:cs="仿宋"/>
          <w:szCs w:val="21"/>
        </w:rPr>
        <w:t>为贯彻“安全第一，预防为主”方针，明确双方的安全责任，确保施工中人身、电网和设备安全，根据国家有关法律法规，经双方协商一致签订本协议。</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第一条　工程项目：</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第二条　施工地址：</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第三条　甲方安全责任</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1、开工前甲方对乙方进行施工安全技术交底。</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2、甲方应要求乙方制定施工安全措施，在开始施工前报甲方备案。</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4、甲方指派＿＿＿＿＿＿＿同志负责与乙方联系安全生产方面的工作。</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5、甲方负责签发工作票，对工作票所填写的安全措施是否正确完备负责，并履行工作票许可手续。</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6、甲方有权对乙方参与施工的人员进行安全技术知识和安全工作规程的抽考。</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8、甲方不得要求乙方违反安全管理规定进行施工。因甲方原因导致的事故由甲方承担责任。</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9、发生以下情况停工整顿，因停工造成的违约责任由乙方承担：</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（1）人身伤亡事故；</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（2）发生施工机械、生产主设备严重损坏事故；</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（3）发生火灾事故；</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（4）发生违章作业、冒险作业不听劝告的；</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（5）施工现场脏、乱、差，不能满足安全和文明施工要求的。</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第四条　乙方安全责任</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乙方作为工程项目的承包单位，对工程施工过程中发生的人身伤害、设备损坏事故承担安全责任。乙方应切实履行以下安全责任：</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1、乙方所提供的承包工程要求的相关资质</w:t>
      </w:r>
      <w:r>
        <w:rPr>
          <w:rFonts w:hint="eastAsia" w:ascii="仿宋" w:hAnsi="仿宋" w:eastAsia="仿宋" w:cs="仿宋"/>
          <w:szCs w:val="21"/>
          <w:lang w:eastAsia="zh-CN"/>
        </w:rPr>
        <w:t>凭据</w:t>
      </w:r>
      <w:r>
        <w:rPr>
          <w:rFonts w:hint="eastAsia" w:ascii="仿宋" w:hAnsi="仿宋" w:eastAsia="仿宋" w:cs="仿宋"/>
          <w:szCs w:val="21"/>
        </w:rPr>
        <w:t>应真实、合法、有效。</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3、现场施工应遵守国家和地方关于劳动安全，劳务用工法律法规及规章制度，保证其用工的合法性。乙方必须按国家有关规定，为施工人员进行人身保险，配备合格的劳动防护用品、安全用具。</w:t>
      </w:r>
    </w:p>
    <w:p>
      <w:pPr>
        <w:shd w:val="solid" w:color="FFFFFF" w:fill="auto"/>
        <w:autoSpaceDN w:val="0"/>
        <w:spacing w:line="420" w:lineRule="exact"/>
        <w:ind w:firstLine="315" w:firstLineChars="150"/>
        <w:rPr>
          <w:rFonts w:hint="eastAsia" w:ascii="仿宋" w:hAnsi="仿宋" w:eastAsia="仿宋" w:cs="仿宋"/>
          <w:szCs w:val="21"/>
        </w:rPr>
      </w:pPr>
      <w:r>
        <w:rPr>
          <w:rFonts w:hint="eastAsia" w:ascii="仿宋" w:hAnsi="仿宋" w:eastAsia="仿宋" w:cs="仿宋"/>
          <w:szCs w:val="21"/>
        </w:rPr>
        <w:t>4、施工期间，乙方应设有专职安监人员，（少于30人者设兼职）。乙方指派＿＿＿＿＿作为安全工作联系人。</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5、乙方一切施工活动，必须编制安全施工措施，施工前对全体施工人员进行全面的安全技术交底，并在整个施工过程正确、完整地执行，无措施或未交底严禁布置施工。</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6、乙方用于本工程项目的施工机械、工器具及安全防护用具的数量和质量必须满足施工需要，并经有资质检验单位检验符合安全规定，乙方对因使用工器具不当所造成的人员伤害及设备损坏负责。</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7、开工前，乙方应组织全体施工人员进行安全教育，并将参加安全教育人员名单（包括临时增补或调换人员）与考试成绩报给甲方备案。特种作业人员必须有有关部门核发的合格有效的上岗资格证书。</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开工前，乙方应到甲方办理临时出入证并佩戴出入证进入施工现场，出入证严禁转借他人。</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10、乙方施工过程中需使用电、水源，应事先与甲方取得联系，不得私拉乱接。中断作业或遇故障应立即切断有关开关。</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11、乙方施工过程中应做到工完、料尽、场地清，确保安全文明施工。</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12、乙方必须接受甲方的监督、检查，对甲方提出的安全整改意见必须及时整改。</w:t>
      </w:r>
    </w:p>
    <w:p>
      <w:pPr>
        <w:shd w:val="solid" w:color="FFFFFF" w:fill="auto"/>
        <w:autoSpaceDN w:val="0"/>
        <w:spacing w:line="420" w:lineRule="exact"/>
        <w:ind w:firstLine="420"/>
        <w:rPr>
          <w:rFonts w:hint="eastAsia" w:ascii="仿宋" w:hAnsi="仿宋" w:eastAsia="仿宋" w:cs="仿宋"/>
          <w:szCs w:val="21"/>
        </w:rPr>
      </w:pPr>
      <w:r>
        <w:rPr>
          <w:rFonts w:hint="eastAsia" w:ascii="仿宋" w:hAnsi="仿宋" w:eastAsia="仿宋" w:cs="仿宋"/>
          <w:szCs w:val="21"/>
        </w:rPr>
        <w:t>13、乙方施工过程中发生人生伤亡、电网和设备事故或危及生产运行的不安全情况，应立即报告甲方，并积极配合调查。</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shd w:val="solid" w:color="FFFFFF" w:fill="auto"/>
        <w:autoSpaceDN w:val="0"/>
        <w:spacing w:line="420" w:lineRule="exact"/>
        <w:ind w:firstLine="420"/>
        <w:rPr>
          <w:rFonts w:hint="eastAsia" w:ascii="仿宋" w:hAnsi="仿宋" w:eastAsia="仿宋" w:cs="仿宋"/>
          <w:szCs w:val="21"/>
        </w:rPr>
      </w:pPr>
      <w:r>
        <w:rPr>
          <w:rFonts w:hint="eastAsia" w:ascii="仿宋" w:hAnsi="仿宋" w:eastAsia="仿宋" w:cs="仿宋"/>
          <w:szCs w:val="21"/>
        </w:rPr>
        <w:t>乙方应将事故调查组的事故调查报告及乙方事故处理意见提交甲方备案。</w:t>
      </w:r>
    </w:p>
    <w:p>
      <w:pPr>
        <w:shd w:val="solid" w:color="FFFFFF" w:fill="auto"/>
        <w:autoSpaceDN w:val="0"/>
        <w:spacing w:line="420" w:lineRule="exact"/>
        <w:ind w:firstLine="420"/>
        <w:rPr>
          <w:rFonts w:hint="eastAsia" w:ascii="仿宋" w:hAnsi="仿宋" w:eastAsia="仿宋" w:cs="仿宋"/>
          <w:szCs w:val="21"/>
        </w:rPr>
      </w:pPr>
      <w:r>
        <w:rPr>
          <w:rFonts w:hint="eastAsia" w:ascii="仿宋" w:hAnsi="仿宋" w:eastAsia="仿宋" w:cs="仿宋"/>
          <w:szCs w:val="21"/>
        </w:rPr>
        <w:t>14、承包方根据发包方的要求在施工现场设置围墙、安全防护栏和安全警示牌。承包方对闯入施工现场的学生等与施工无关人员有及时阻止的责任。施工现场的安全问题由承包方负责。承包方遇事应主动联系发包方。</w:t>
      </w:r>
    </w:p>
    <w:p>
      <w:pPr>
        <w:shd w:val="solid" w:color="FFFFFF" w:fill="auto"/>
        <w:autoSpaceDN w:val="0"/>
        <w:spacing w:line="420" w:lineRule="exact"/>
        <w:ind w:firstLine="420"/>
        <w:rPr>
          <w:rFonts w:hint="eastAsia" w:ascii="仿宋" w:hAnsi="仿宋" w:eastAsia="仿宋" w:cs="仿宋"/>
          <w:szCs w:val="21"/>
        </w:rPr>
      </w:pPr>
      <w:r>
        <w:rPr>
          <w:rFonts w:hint="eastAsia" w:ascii="仿宋" w:hAnsi="仿宋" w:eastAsia="仿宋" w:cs="仿宋"/>
          <w:szCs w:val="21"/>
        </w:rPr>
        <w:t>第五条　甲乙双方联系方式及响应时间：甲乙双方应以工作联系单、传真、电传等书面形式送达对方。双方在接到对方的书面联系时，应于4小时内予以响应。</w:t>
      </w:r>
    </w:p>
    <w:p>
      <w:pPr>
        <w:shd w:val="solid" w:color="FFFFFF" w:fill="auto"/>
        <w:autoSpaceDN w:val="0"/>
        <w:spacing w:line="420" w:lineRule="exact"/>
        <w:ind w:firstLine="420"/>
        <w:rPr>
          <w:rFonts w:hint="eastAsia" w:ascii="仿宋" w:hAnsi="仿宋" w:eastAsia="仿宋" w:cs="仿宋"/>
          <w:szCs w:val="21"/>
        </w:rPr>
      </w:pPr>
      <w:r>
        <w:rPr>
          <w:rFonts w:hint="eastAsia" w:ascii="仿宋" w:hAnsi="仿宋" w:eastAsia="仿宋" w:cs="仿宋"/>
          <w:szCs w:val="21"/>
        </w:rPr>
        <w:t>第六条　施工安全保证金</w:t>
      </w:r>
    </w:p>
    <w:p>
      <w:pPr>
        <w:shd w:val="solid" w:color="FFFFFF" w:fill="auto"/>
        <w:autoSpaceDN w:val="0"/>
        <w:spacing w:line="420" w:lineRule="exact"/>
        <w:ind w:firstLine="420"/>
        <w:rPr>
          <w:rFonts w:hint="eastAsia" w:ascii="仿宋" w:hAnsi="仿宋" w:eastAsia="仿宋" w:cs="仿宋"/>
          <w:szCs w:val="21"/>
        </w:rPr>
      </w:pPr>
      <w:r>
        <w:rPr>
          <w:rFonts w:hint="eastAsia" w:ascii="仿宋" w:hAnsi="仿宋" w:eastAsia="仿宋" w:cs="仿宋"/>
          <w:szCs w:val="21"/>
        </w:rPr>
        <w:t>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（1）发生人身死亡事故、电网和设备重大事故，扣除全部安全保证金；</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（2）发生人身重伤事故、电网和设备事故，扣除50%安全保证金；</w:t>
      </w:r>
    </w:p>
    <w:p>
      <w:pPr>
        <w:spacing w:line="420" w:lineRule="exact"/>
        <w:ind w:firstLine="420" w:firstLineChars="200"/>
        <w:rPr>
          <w:rFonts w:hint="eastAsia" w:ascii="仿宋" w:hAnsi="仿宋" w:eastAsia="仿宋" w:cs="仿宋"/>
          <w:szCs w:val="21"/>
        </w:rPr>
      </w:pPr>
      <w:r>
        <w:rPr>
          <w:rFonts w:hint="eastAsia" w:ascii="仿宋" w:hAnsi="仿宋" w:eastAsia="仿宋" w:cs="仿宋"/>
          <w:szCs w:val="21"/>
        </w:rPr>
        <w:t>（3）乙方人员发生违章行为的经济处罚，按处罚规定从安全保证金内扣除。</w:t>
      </w:r>
    </w:p>
    <w:p>
      <w:pPr>
        <w:shd w:val="solid" w:color="FFFFFF" w:fill="auto"/>
        <w:autoSpaceDN w:val="0"/>
        <w:spacing w:line="420" w:lineRule="exact"/>
        <w:ind w:firstLine="420" w:firstLineChars="200"/>
        <w:rPr>
          <w:rFonts w:hint="eastAsia" w:ascii="仿宋" w:hAnsi="仿宋" w:eastAsia="仿宋" w:cs="仿宋"/>
          <w:szCs w:val="21"/>
        </w:rPr>
      </w:pPr>
      <w:r>
        <w:rPr>
          <w:rFonts w:hint="eastAsia" w:ascii="仿宋" w:hAnsi="仿宋" w:eastAsia="仿宋" w:cs="仿宋"/>
          <w:szCs w:val="21"/>
        </w:rPr>
        <w:t>第七条　违约责任</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1、由于甲方或乙方责任造成对方或第三方的人身伤害、设备损坏等财产损失，由责任方承担相应责任，并赔偿对方或第三方因此造成的全部损失。</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2、合同履行中，发现乙方提供的有关资质材料无效，甲方有权解除合同，并由乙方承担由此造成的一切损失。</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3、发现乙方现场作业人员有违章行为的，比照甲方有关安全生产奖惩规定对甲方职工相类似的违章行为应扣款数额，承担相应的违约金。</w:t>
      </w:r>
    </w:p>
    <w:p>
      <w:pPr>
        <w:shd w:val="solid" w:color="FFFFFF" w:fill="auto"/>
        <w:autoSpaceDN w:val="0"/>
        <w:spacing w:line="420" w:lineRule="exact"/>
        <w:rPr>
          <w:rFonts w:hint="eastAsia" w:ascii="仿宋" w:hAnsi="仿宋" w:eastAsia="仿宋" w:cs="仿宋"/>
          <w:szCs w:val="21"/>
        </w:rPr>
      </w:pPr>
      <w:r>
        <w:rPr>
          <w:rFonts w:hint="eastAsia" w:ascii="仿宋" w:hAnsi="仿宋" w:eastAsia="仿宋" w:cs="仿宋"/>
          <w:szCs w:val="21"/>
        </w:rPr>
        <w:t>　　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shd w:val="solid" w:color="FFFFFF" w:fill="auto"/>
        <w:autoSpaceDN w:val="0"/>
        <w:spacing w:line="400" w:lineRule="exact"/>
        <w:rPr>
          <w:rFonts w:hint="eastAsia" w:ascii="仿宋" w:hAnsi="仿宋" w:eastAsia="仿宋" w:cs="仿宋"/>
          <w:szCs w:val="21"/>
        </w:rPr>
      </w:pPr>
      <w:r>
        <w:rPr>
          <w:rFonts w:hint="eastAsia" w:ascii="仿宋" w:hAnsi="仿宋" w:eastAsia="仿宋" w:cs="仿宋"/>
          <w:szCs w:val="21"/>
        </w:rPr>
        <w:t>　　5、乙方人员安全工作规程抽考不合格，乙方应承担50元/人次的违约责任；特种人员无证上岗乙方应承担100元/人次的违约责任。</w:t>
      </w:r>
    </w:p>
    <w:p>
      <w:pPr>
        <w:shd w:val="solid" w:color="FFFFFF" w:fill="auto"/>
        <w:autoSpaceDN w:val="0"/>
        <w:spacing w:line="400" w:lineRule="exact"/>
        <w:rPr>
          <w:rFonts w:hint="eastAsia" w:ascii="仿宋" w:hAnsi="仿宋" w:eastAsia="仿宋" w:cs="仿宋"/>
          <w:szCs w:val="21"/>
        </w:rPr>
      </w:pPr>
      <w:r>
        <w:rPr>
          <w:rFonts w:hint="eastAsia" w:ascii="仿宋" w:hAnsi="仿宋" w:eastAsia="仿宋" w:cs="仿宋"/>
          <w:szCs w:val="21"/>
        </w:rPr>
        <w:t>　　6、乙方使用甲方提供的设施设备、工器具等造成损坏的，应照价赔偿。</w:t>
      </w:r>
    </w:p>
    <w:p>
      <w:pPr>
        <w:shd w:val="solid" w:color="FFFFFF" w:fill="auto"/>
        <w:autoSpaceDN w:val="0"/>
        <w:spacing w:line="400" w:lineRule="exact"/>
        <w:rPr>
          <w:rFonts w:hint="eastAsia" w:ascii="仿宋" w:hAnsi="仿宋" w:eastAsia="仿宋" w:cs="仿宋"/>
          <w:szCs w:val="21"/>
        </w:rPr>
      </w:pPr>
      <w:r>
        <w:rPr>
          <w:rFonts w:hint="eastAsia" w:ascii="仿宋" w:hAnsi="仿宋" w:eastAsia="仿宋" w:cs="仿宋"/>
          <w:szCs w:val="21"/>
        </w:rPr>
        <w:t>　　7、乙方人员无故到其他生产区域或擅自动用甲方的设施设备等，乙方按100元至500元/人次承担违约责任。</w:t>
      </w:r>
    </w:p>
    <w:p>
      <w:pPr>
        <w:shd w:val="solid" w:color="FFFFFF" w:fill="auto"/>
        <w:autoSpaceDN w:val="0"/>
        <w:spacing w:line="400" w:lineRule="exact"/>
        <w:rPr>
          <w:rFonts w:hint="eastAsia" w:ascii="仿宋" w:hAnsi="仿宋" w:eastAsia="仿宋" w:cs="仿宋"/>
          <w:szCs w:val="21"/>
        </w:rPr>
      </w:pPr>
      <w:r>
        <w:rPr>
          <w:rFonts w:hint="eastAsia" w:ascii="仿宋" w:hAnsi="仿宋" w:eastAsia="仿宋" w:cs="仿宋"/>
          <w:szCs w:val="21"/>
        </w:rPr>
        <w:t>　　8、乙方对甲方提出的安全整改意见不及时整改的，每逾期一天，乙方按200元至1000元/天承担违约责任。</w:t>
      </w:r>
    </w:p>
    <w:p>
      <w:pPr>
        <w:shd w:val="solid" w:color="FFFFFF" w:fill="auto"/>
        <w:autoSpaceDN w:val="0"/>
        <w:spacing w:line="400" w:lineRule="exact"/>
        <w:rPr>
          <w:rFonts w:hint="eastAsia" w:ascii="仿宋" w:hAnsi="仿宋" w:eastAsia="仿宋" w:cs="仿宋"/>
          <w:szCs w:val="21"/>
        </w:rPr>
      </w:pPr>
      <w:r>
        <w:rPr>
          <w:rFonts w:hint="eastAsia" w:ascii="仿宋" w:hAnsi="仿宋" w:eastAsia="仿宋" w:cs="仿宋"/>
          <w:szCs w:val="21"/>
        </w:rPr>
        <w:t>　　9、施工过程中发生人身伤亡、电网和设备事故有隐瞒行为的，除接受政府有关部门处理外，过错方应承担3000元至10000元/次的违约责任。</w:t>
      </w:r>
    </w:p>
    <w:p>
      <w:pPr>
        <w:shd w:val="solid" w:color="FFFFFF" w:fill="auto"/>
        <w:autoSpaceDN w:val="0"/>
        <w:spacing w:line="400" w:lineRule="exact"/>
        <w:rPr>
          <w:rFonts w:hint="eastAsia" w:ascii="仿宋" w:hAnsi="仿宋" w:eastAsia="仿宋" w:cs="仿宋"/>
          <w:szCs w:val="21"/>
        </w:rPr>
      </w:pPr>
      <w:r>
        <w:rPr>
          <w:rFonts w:hint="eastAsia" w:ascii="仿宋" w:hAnsi="仿宋" w:eastAsia="仿宋" w:cs="仿宋"/>
          <w:szCs w:val="21"/>
        </w:rPr>
        <w:t>　　第八条　甲乙双方约定的其他事项：无</w:t>
      </w:r>
    </w:p>
    <w:p>
      <w:pPr>
        <w:shd w:val="solid" w:color="FFFFFF" w:fill="auto"/>
        <w:autoSpaceDN w:val="0"/>
        <w:spacing w:line="400" w:lineRule="exact"/>
        <w:rPr>
          <w:rFonts w:hint="eastAsia" w:ascii="仿宋" w:hAnsi="仿宋" w:eastAsia="仿宋" w:cs="仿宋"/>
          <w:szCs w:val="21"/>
        </w:rPr>
      </w:pPr>
      <w:r>
        <w:rPr>
          <w:rFonts w:hint="eastAsia" w:ascii="仿宋" w:hAnsi="仿宋" w:eastAsia="仿宋" w:cs="仿宋"/>
          <w:szCs w:val="21"/>
        </w:rPr>
        <w:t>　　第九条　本协议执行过程中，如发生争议，由双方协商、调解解决；若经协商、调解不能解决争议的，任何一方可以向当地人民法院提起诉讼。</w:t>
      </w:r>
    </w:p>
    <w:p>
      <w:pPr>
        <w:shd w:val="solid" w:color="FFFFFF" w:fill="auto"/>
        <w:autoSpaceDN w:val="0"/>
        <w:spacing w:line="400" w:lineRule="exact"/>
        <w:rPr>
          <w:rFonts w:hint="eastAsia" w:ascii="仿宋" w:hAnsi="仿宋" w:eastAsia="仿宋" w:cs="仿宋"/>
          <w:szCs w:val="21"/>
        </w:rPr>
      </w:pPr>
      <w:r>
        <w:rPr>
          <w:rFonts w:hint="eastAsia" w:ascii="仿宋" w:hAnsi="仿宋" w:eastAsia="仿宋" w:cs="仿宋"/>
          <w:szCs w:val="21"/>
        </w:rPr>
        <w:t>　　第十条　甲乙双方必须严格执行本协议，本协议的法律效力独立于主合同。</w:t>
      </w:r>
    </w:p>
    <w:p>
      <w:pPr>
        <w:shd w:val="solid" w:color="FFFFFF" w:fill="auto"/>
        <w:autoSpaceDN w:val="0"/>
        <w:spacing w:line="400" w:lineRule="exact"/>
        <w:rPr>
          <w:rFonts w:hint="eastAsia" w:ascii="仿宋" w:hAnsi="仿宋" w:eastAsia="仿宋" w:cs="仿宋"/>
          <w:szCs w:val="21"/>
        </w:rPr>
      </w:pPr>
      <w:r>
        <w:rPr>
          <w:rFonts w:hint="eastAsia" w:ascii="仿宋" w:hAnsi="仿宋" w:eastAsia="仿宋" w:cs="仿宋"/>
          <w:szCs w:val="21"/>
        </w:rPr>
        <w:t>　　第十一条　本协议有效期限：自＿＿＿年＿＿＿月＿＿＿日起至＿＿＿年＿＿＿月＿＿＿日止。</w:t>
      </w:r>
    </w:p>
    <w:p>
      <w:pPr>
        <w:spacing w:line="400" w:lineRule="exact"/>
        <w:ind w:firstLine="210" w:firstLineChars="100"/>
        <w:rPr>
          <w:rFonts w:hint="eastAsia" w:ascii="宋体" w:hAnsi="宋体" w:eastAsia="宋体" w:cs="宋体"/>
          <w:szCs w:val="21"/>
        </w:rPr>
      </w:pPr>
      <w:r>
        <w:rPr>
          <w:rFonts w:hint="eastAsia" w:ascii="仿宋" w:hAnsi="仿宋" w:eastAsia="仿宋" w:cs="仿宋"/>
          <w:szCs w:val="21"/>
        </w:rPr>
        <w:t>　第十二条　本协议经双方法定代表人或委托代理人签字盖章后生效。</w:t>
      </w:r>
    </w:p>
    <w:p>
      <w:pPr>
        <w:widowControl/>
        <w:ind w:firstLine="308" w:firstLineChars="147"/>
        <w:jc w:val="left"/>
        <w:rPr>
          <w:rFonts w:ascii="Times New Roman" w:hAnsi="Times New Roman" w:eastAsia="仿宋_GB2312"/>
          <w:szCs w:val="21"/>
        </w:rPr>
      </w:pPr>
    </w:p>
    <w:p>
      <w:pPr>
        <w:widowControl/>
        <w:ind w:firstLine="308" w:firstLineChars="147"/>
        <w:jc w:val="left"/>
        <w:rPr>
          <w:rFonts w:ascii="Times New Roman" w:hAnsi="Times New Roman" w:eastAsia="仿宋_GB2312"/>
          <w:szCs w:val="21"/>
        </w:rPr>
      </w:pPr>
    </w:p>
    <w:p>
      <w:pPr>
        <w:spacing w:line="360" w:lineRule="exact"/>
        <w:jc w:val="center"/>
        <w:rPr>
          <w:rFonts w:hint="eastAsia"/>
          <w:b/>
          <w:color w:val="000000"/>
          <w:sz w:val="24"/>
        </w:rPr>
      </w:pPr>
      <w:r>
        <w:rPr>
          <w:rFonts w:hint="eastAsia"/>
          <w:b/>
          <w:color w:val="000000"/>
          <w:sz w:val="24"/>
        </w:rPr>
        <w:t>工程质量保修书</w:t>
      </w:r>
    </w:p>
    <w:p>
      <w:pPr>
        <w:spacing w:line="360" w:lineRule="exact"/>
        <w:jc w:val="center"/>
        <w:rPr>
          <w:rFonts w:eastAsia="楷体_GB2312"/>
          <w:sz w:val="26"/>
          <w:szCs w:val="26"/>
        </w:rPr>
      </w:pPr>
      <w:r>
        <w:rPr>
          <w:rFonts w:eastAsia="楷体_GB2312"/>
          <w:sz w:val="26"/>
          <w:szCs w:val="26"/>
        </w:rPr>
        <w:t>(</w:t>
      </w:r>
      <w:r>
        <w:rPr>
          <w:rFonts w:hint="eastAsia" w:eastAsia="楷体_GB2312"/>
          <w:sz w:val="26"/>
          <w:szCs w:val="26"/>
        </w:rPr>
        <w:t>示范文本</w:t>
      </w:r>
      <w:r>
        <w:rPr>
          <w:rFonts w:eastAsia="楷体_GB2312"/>
          <w:sz w:val="26"/>
          <w:szCs w:val="26"/>
        </w:rPr>
        <w:t>)</w:t>
      </w:r>
    </w:p>
    <w:p>
      <w:pPr>
        <w:spacing w:line="360" w:lineRule="exact"/>
        <w:ind w:firstLine="472" w:firstLineChars="225"/>
        <w:rPr>
          <w:rFonts w:hint="eastAsia" w:ascii="仿宋" w:hAnsi="仿宋" w:eastAsia="仿宋" w:cs="仿宋"/>
          <w:sz w:val="21"/>
          <w:szCs w:val="21"/>
          <w:u w:val="single"/>
        </w:rPr>
      </w:pPr>
      <w:r>
        <w:rPr>
          <w:rFonts w:hint="eastAsia" w:ascii="仿宋" w:hAnsi="仿宋" w:eastAsia="仿宋" w:cs="仿宋"/>
          <w:sz w:val="21"/>
          <w:szCs w:val="21"/>
        </w:rPr>
        <w:t>发包人（全称）：</w:t>
      </w:r>
      <w:r>
        <w:rPr>
          <w:rFonts w:hint="eastAsia" w:ascii="仿宋" w:hAnsi="仿宋" w:eastAsia="仿宋" w:cs="仿宋"/>
          <w:b/>
          <w:color w:val="000000"/>
          <w:sz w:val="21"/>
          <w:szCs w:val="21"/>
          <w:u w:val="single"/>
        </w:rPr>
        <w:t xml:space="preserve">                             </w:t>
      </w:r>
    </w:p>
    <w:p>
      <w:pPr>
        <w:spacing w:line="360" w:lineRule="exact"/>
        <w:ind w:firstLine="472" w:firstLineChars="225"/>
        <w:rPr>
          <w:rFonts w:hint="eastAsia" w:ascii="仿宋" w:hAnsi="仿宋" w:eastAsia="仿宋" w:cs="仿宋"/>
          <w:sz w:val="21"/>
          <w:szCs w:val="21"/>
          <w:u w:val="single"/>
        </w:rPr>
      </w:pPr>
      <w:r>
        <w:rPr>
          <w:rFonts w:hint="eastAsia" w:ascii="仿宋" w:hAnsi="仿宋" w:eastAsia="仿宋" w:cs="仿宋"/>
          <w:sz w:val="21"/>
          <w:szCs w:val="21"/>
        </w:rPr>
        <w:t>承包人（全称）：</w:t>
      </w:r>
      <w:r>
        <w:rPr>
          <w:rFonts w:hint="eastAsia" w:ascii="仿宋" w:hAnsi="仿宋" w:eastAsia="仿宋" w:cs="仿宋"/>
          <w:b/>
          <w:color w:val="000000"/>
          <w:sz w:val="21"/>
          <w:szCs w:val="21"/>
          <w:u w:val="single"/>
        </w:rPr>
        <w:t xml:space="preserve">                            </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发包人、承包人根据《中华人民共和国建筑法》、《建设工程质量管理条例》和《房屋建筑工程质量保修办法》，经协商一致，对</w:t>
      </w:r>
      <w:r>
        <w:rPr>
          <w:rFonts w:hint="eastAsia" w:ascii="仿宋" w:hAnsi="仿宋" w:eastAsia="仿宋" w:cs="仿宋"/>
          <w:b/>
          <w:color w:val="000000"/>
          <w:sz w:val="21"/>
          <w:szCs w:val="21"/>
          <w:u w:val="single"/>
        </w:rPr>
        <w:t xml:space="preserve">                  </w:t>
      </w:r>
      <w:r>
        <w:rPr>
          <w:rFonts w:hint="eastAsia" w:ascii="仿宋" w:hAnsi="仿宋" w:eastAsia="仿宋" w:cs="仿宋"/>
          <w:sz w:val="21"/>
          <w:szCs w:val="21"/>
        </w:rPr>
        <w:t>（工程全称）签定工程质量保修书。</w:t>
      </w:r>
    </w:p>
    <w:p>
      <w:pPr>
        <w:numPr>
          <w:ilvl w:val="0"/>
          <w:numId w:val="1"/>
        </w:numPr>
        <w:tabs>
          <w:tab w:val="left" w:pos="1305"/>
        </w:tabs>
        <w:spacing w:line="360" w:lineRule="exact"/>
        <w:ind w:left="1305" w:hanging="720"/>
        <w:rPr>
          <w:rFonts w:hint="eastAsia" w:ascii="仿宋" w:hAnsi="仿宋" w:eastAsia="仿宋" w:cs="仿宋"/>
          <w:sz w:val="21"/>
          <w:szCs w:val="21"/>
        </w:rPr>
      </w:pPr>
      <w:r>
        <w:rPr>
          <w:rFonts w:hint="eastAsia" w:ascii="仿宋" w:hAnsi="仿宋" w:eastAsia="仿宋" w:cs="仿宋"/>
          <w:sz w:val="21"/>
          <w:szCs w:val="21"/>
        </w:rPr>
        <w:t>工程质量保修范围和内容</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承包人在质量保修期内，按照有关法律、法规、规章的管理规定和双方约定，承担本工程质量保修责任。</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质量保修范围包括地基基础工程、主体结构工程、屋面防水工程，有防水要求的卫生间、房间和外墙面的防渗透漏，供热与供冷系统，电气管线、给排水管道，设备安装和装修工程，以及双方约定的其他项目。具体保修的内容，双方约定如下：</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u w:val="single"/>
        </w:rPr>
        <w:t xml:space="preserve"> 本合同范围内的全部工程 。</w:t>
      </w:r>
    </w:p>
    <w:p>
      <w:pPr>
        <w:numPr>
          <w:ilvl w:val="0"/>
          <w:numId w:val="1"/>
        </w:numPr>
        <w:tabs>
          <w:tab w:val="left" w:pos="1305"/>
        </w:tabs>
        <w:spacing w:line="360" w:lineRule="exact"/>
        <w:ind w:left="1305" w:hanging="720"/>
        <w:rPr>
          <w:rFonts w:hint="eastAsia" w:ascii="仿宋" w:hAnsi="仿宋" w:eastAsia="仿宋" w:cs="仿宋"/>
          <w:sz w:val="21"/>
          <w:szCs w:val="21"/>
        </w:rPr>
      </w:pPr>
      <w:r>
        <w:rPr>
          <w:rFonts w:hint="eastAsia" w:ascii="仿宋" w:hAnsi="仿宋" w:eastAsia="仿宋" w:cs="仿宋"/>
          <w:sz w:val="21"/>
          <w:szCs w:val="21"/>
        </w:rPr>
        <w:t>质量保修期</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双方根据《建设工程质量管理条例》</w:t>
      </w:r>
      <w:r>
        <w:rPr>
          <w:rFonts w:hint="eastAsia" w:ascii="仿宋" w:hAnsi="仿宋" w:eastAsia="仿宋" w:cs="仿宋"/>
          <w:color w:val="000000"/>
          <w:sz w:val="21"/>
          <w:szCs w:val="21"/>
        </w:rPr>
        <w:t>、《城市道路管理条例》</w:t>
      </w:r>
      <w:r>
        <w:rPr>
          <w:rFonts w:hint="eastAsia" w:ascii="仿宋" w:hAnsi="仿宋" w:eastAsia="仿宋" w:cs="仿宋"/>
          <w:sz w:val="21"/>
          <w:szCs w:val="21"/>
        </w:rPr>
        <w:t>及有关规定，约定本工程的质量保修期如下：</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1、地基基础工程和主体结构工程为设计文件规定的该工程合理使用年限；</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2、屋面防水工程、有防水要求的卫生间、房间和外墙面的防渗透漏为</w:t>
      </w:r>
      <w:r>
        <w:rPr>
          <w:rFonts w:hint="eastAsia" w:ascii="仿宋" w:hAnsi="仿宋" w:eastAsia="仿宋" w:cs="仿宋"/>
          <w:sz w:val="21"/>
          <w:szCs w:val="21"/>
          <w:u w:val="single"/>
        </w:rPr>
        <w:t xml:space="preserve"> 伍 </w:t>
      </w:r>
      <w:r>
        <w:rPr>
          <w:rFonts w:hint="eastAsia" w:ascii="仿宋" w:hAnsi="仿宋" w:eastAsia="仿宋" w:cs="仿宋"/>
          <w:sz w:val="21"/>
          <w:szCs w:val="21"/>
        </w:rPr>
        <w:t>年；</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3、装修工程为</w:t>
      </w:r>
      <w:r>
        <w:rPr>
          <w:rFonts w:hint="eastAsia" w:ascii="仿宋" w:hAnsi="仿宋" w:eastAsia="仿宋" w:cs="仿宋"/>
          <w:sz w:val="21"/>
          <w:szCs w:val="21"/>
          <w:u w:val="single"/>
        </w:rPr>
        <w:t xml:space="preserve">  贰  </w:t>
      </w:r>
      <w:r>
        <w:rPr>
          <w:rFonts w:hint="eastAsia" w:ascii="仿宋" w:hAnsi="仿宋" w:eastAsia="仿宋" w:cs="仿宋"/>
          <w:sz w:val="21"/>
          <w:szCs w:val="21"/>
        </w:rPr>
        <w:t>年；</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4、电气管线、给排水管道、设备安装工程为</w:t>
      </w:r>
      <w:r>
        <w:rPr>
          <w:rFonts w:hint="eastAsia" w:ascii="仿宋" w:hAnsi="仿宋" w:eastAsia="仿宋" w:cs="仿宋"/>
          <w:sz w:val="21"/>
          <w:szCs w:val="21"/>
          <w:u w:val="single"/>
        </w:rPr>
        <w:t xml:space="preserve">  贰  </w:t>
      </w:r>
      <w:r>
        <w:rPr>
          <w:rFonts w:hint="eastAsia" w:ascii="仿宋" w:hAnsi="仿宋" w:eastAsia="仿宋" w:cs="仿宋"/>
          <w:sz w:val="21"/>
          <w:szCs w:val="21"/>
        </w:rPr>
        <w:t>年；</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5、供热与供冷系统为</w:t>
      </w:r>
      <w:r>
        <w:rPr>
          <w:rFonts w:hint="eastAsia" w:ascii="仿宋" w:hAnsi="仿宋" w:eastAsia="仿宋" w:cs="仿宋"/>
          <w:sz w:val="21"/>
          <w:szCs w:val="21"/>
          <w:u w:val="single"/>
        </w:rPr>
        <w:t xml:space="preserve">  贰 </w:t>
      </w:r>
      <w:r>
        <w:rPr>
          <w:rFonts w:hint="eastAsia" w:ascii="仿宋" w:hAnsi="仿宋" w:eastAsia="仿宋" w:cs="仿宋"/>
          <w:sz w:val="21"/>
          <w:szCs w:val="21"/>
        </w:rPr>
        <w:t>个采暖期、供冷期；</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6、给排水设施、道路等配套工程为</w:t>
      </w:r>
      <w:r>
        <w:rPr>
          <w:rFonts w:hint="eastAsia" w:ascii="仿宋" w:hAnsi="仿宋" w:eastAsia="仿宋" w:cs="仿宋"/>
          <w:sz w:val="21"/>
          <w:szCs w:val="21"/>
          <w:u w:val="single"/>
        </w:rPr>
        <w:t xml:space="preserve">  贰  </w:t>
      </w:r>
      <w:r>
        <w:rPr>
          <w:rFonts w:hint="eastAsia" w:ascii="仿宋" w:hAnsi="仿宋" w:eastAsia="仿宋" w:cs="仿宋"/>
          <w:sz w:val="21"/>
          <w:szCs w:val="21"/>
        </w:rPr>
        <w:t>年；</w:t>
      </w:r>
    </w:p>
    <w:p>
      <w:pPr>
        <w:spacing w:line="360" w:lineRule="exact"/>
        <w:ind w:firstLine="472" w:firstLineChars="225"/>
        <w:rPr>
          <w:rFonts w:hint="eastAsia" w:ascii="仿宋" w:hAnsi="仿宋" w:eastAsia="仿宋" w:cs="仿宋"/>
          <w:color w:val="000000"/>
          <w:sz w:val="21"/>
          <w:szCs w:val="21"/>
          <w:u w:val="single"/>
          <w:lang w:eastAsia="zh-CN"/>
        </w:rPr>
      </w:pPr>
      <w:r>
        <w:rPr>
          <w:rFonts w:hint="eastAsia" w:ascii="仿宋" w:hAnsi="仿宋" w:eastAsia="仿宋" w:cs="仿宋"/>
          <w:sz w:val="21"/>
          <w:szCs w:val="21"/>
        </w:rPr>
        <w:t>7、其他项目保修期限约定如下：</w:t>
      </w:r>
      <w:r>
        <w:rPr>
          <w:rFonts w:hint="eastAsia" w:ascii="仿宋" w:hAnsi="仿宋" w:eastAsia="仿宋" w:cs="仿宋"/>
          <w:color w:val="000000"/>
          <w:sz w:val="21"/>
          <w:szCs w:val="21"/>
          <w:u w:val="single"/>
        </w:rPr>
        <w:t>按国家相关规定执行</w:t>
      </w:r>
      <w:r>
        <w:rPr>
          <w:rFonts w:hint="eastAsia" w:ascii="仿宋" w:hAnsi="仿宋" w:eastAsia="仿宋" w:cs="仿宋"/>
          <w:color w:val="000000"/>
          <w:sz w:val="21"/>
          <w:szCs w:val="21"/>
          <w:u w:val="none"/>
          <w:lang w:eastAsia="zh-CN"/>
        </w:rPr>
        <w:t>。</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质量保修期自工程竣工验收合格之日起计算。</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三、质量保修责任</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1、属于保修范围、内容的项目，承包人应当在接到保修通知之日起7天内派人保修。承包人不在约定期限内派人保修的，发包人可以委托他人修理。</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2、发生紧急抢修事故，承包人在接到事故通知后，应当立即到达事故现场抢修。</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exact"/>
        <w:ind w:firstLine="472" w:firstLineChars="225"/>
        <w:rPr>
          <w:rFonts w:hint="eastAsia" w:ascii="仿宋" w:hAnsi="仿宋" w:eastAsia="仿宋" w:cs="仿宋"/>
          <w:sz w:val="21"/>
          <w:szCs w:val="21"/>
        </w:rPr>
      </w:pPr>
      <w:r>
        <w:rPr>
          <w:rFonts w:hint="eastAsia" w:ascii="仿宋" w:hAnsi="仿宋" w:eastAsia="仿宋" w:cs="仿宋"/>
          <w:sz w:val="21"/>
          <w:szCs w:val="21"/>
        </w:rPr>
        <w:t>4、质量保修完成后，由发包人组织验收。</w:t>
      </w:r>
    </w:p>
    <w:p>
      <w:pPr>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四、保修费用</w:t>
      </w:r>
    </w:p>
    <w:p>
      <w:pPr>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保修费用由造成质量缺陷的责任方承担。</w:t>
      </w:r>
    </w:p>
    <w:p>
      <w:pPr>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五、其他</w:t>
      </w:r>
    </w:p>
    <w:p>
      <w:pPr>
        <w:tabs>
          <w:tab w:val="left" w:pos="780"/>
        </w:tabs>
        <w:spacing w:line="340" w:lineRule="exact"/>
        <w:ind w:firstLine="420" w:firstLineChars="200"/>
        <w:jc w:val="left"/>
        <w:rPr>
          <w:rFonts w:hint="eastAsia" w:ascii="仿宋" w:hAnsi="仿宋" w:eastAsia="仿宋" w:cs="仿宋"/>
          <w:color w:val="000000"/>
          <w:sz w:val="21"/>
          <w:szCs w:val="21"/>
          <w:u w:val="single"/>
        </w:rPr>
      </w:pPr>
      <w:r>
        <w:rPr>
          <w:rFonts w:hint="eastAsia" w:ascii="仿宋" w:hAnsi="仿宋" w:eastAsia="仿宋" w:cs="仿宋"/>
          <w:sz w:val="21"/>
          <w:szCs w:val="21"/>
        </w:rPr>
        <w:t>双方约定的其他工程质量保修事项：</w:t>
      </w:r>
      <w:r>
        <w:rPr>
          <w:rFonts w:hint="eastAsia" w:ascii="仿宋" w:hAnsi="仿宋" w:eastAsia="仿宋" w:cs="仿宋"/>
          <w:color w:val="000000"/>
          <w:sz w:val="21"/>
          <w:szCs w:val="21"/>
          <w:u w:val="single"/>
        </w:rPr>
        <w:t>扣留审定造价的</w:t>
      </w:r>
      <w:r>
        <w:rPr>
          <w:rFonts w:hint="eastAsia" w:ascii="仿宋" w:hAnsi="仿宋" w:eastAsia="仿宋" w:cs="仿宋"/>
          <w:color w:val="000000"/>
          <w:sz w:val="21"/>
          <w:szCs w:val="21"/>
          <w:u w:val="single"/>
          <w:lang w:val="en-US" w:eastAsia="zh-CN"/>
        </w:rPr>
        <w:t>5</w:t>
      </w:r>
      <w:r>
        <w:rPr>
          <w:rFonts w:hint="eastAsia" w:ascii="仿宋" w:hAnsi="仿宋" w:eastAsia="仿宋" w:cs="仿宋"/>
          <w:color w:val="000000"/>
          <w:sz w:val="21"/>
          <w:szCs w:val="21"/>
          <w:u w:val="single"/>
        </w:rPr>
        <w:t>%为质量保修金，本工程质量保证（保修）期为两年。</w:t>
      </w:r>
    </w:p>
    <w:p>
      <w:pPr>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本工程质量保修书，由施工合同发包人、承包人双方在竣工验收前共同签署，作为施工合同附件，其有效期限至保修期满。</w:t>
      </w:r>
    </w:p>
    <w:p>
      <w:pPr>
        <w:spacing w:line="360" w:lineRule="exact"/>
        <w:rPr>
          <w:rFonts w:hint="eastAsia" w:ascii="仿宋" w:hAnsi="仿宋" w:eastAsia="仿宋" w:cs="仿宋"/>
          <w:sz w:val="21"/>
          <w:szCs w:val="21"/>
        </w:rPr>
      </w:pPr>
    </w:p>
    <w:p>
      <w:pPr>
        <w:spacing w:line="360" w:lineRule="exact"/>
        <w:ind w:firstLine="735" w:firstLineChars="350"/>
        <w:rPr>
          <w:rFonts w:hint="eastAsia" w:ascii="仿宋" w:hAnsi="仿宋" w:eastAsia="仿宋" w:cs="仿宋"/>
          <w:sz w:val="21"/>
          <w:szCs w:val="21"/>
        </w:rPr>
      </w:pPr>
      <w:r>
        <w:rPr>
          <w:rFonts w:hint="eastAsia" w:ascii="仿宋" w:hAnsi="仿宋" w:eastAsia="仿宋" w:cs="仿宋"/>
          <w:sz w:val="21"/>
          <w:szCs w:val="21"/>
        </w:rPr>
        <w:t>（本页无正文）</w:t>
      </w:r>
    </w:p>
    <w:p>
      <w:pPr>
        <w:spacing w:line="360" w:lineRule="exact"/>
        <w:rPr>
          <w:rFonts w:hint="eastAsia" w:ascii="仿宋" w:hAnsi="仿宋" w:eastAsia="仿宋" w:cs="仿宋"/>
          <w:sz w:val="21"/>
          <w:szCs w:val="21"/>
        </w:rPr>
      </w:pPr>
    </w:p>
    <w:p>
      <w:pPr>
        <w:spacing w:line="360" w:lineRule="exact"/>
        <w:rPr>
          <w:rFonts w:hint="eastAsia" w:ascii="仿宋" w:hAnsi="仿宋" w:eastAsia="仿宋" w:cs="仿宋"/>
          <w:sz w:val="21"/>
          <w:szCs w:val="21"/>
        </w:rPr>
      </w:pPr>
      <w:r>
        <w:rPr>
          <w:rFonts w:hint="eastAsia" w:ascii="仿宋" w:hAnsi="仿宋" w:eastAsia="仿宋" w:cs="仿宋"/>
          <w:sz w:val="21"/>
          <w:szCs w:val="21"/>
        </w:rPr>
        <w:t xml:space="preserve"> </w:t>
      </w:r>
    </w:p>
    <w:p>
      <w:pPr>
        <w:spacing w:line="360" w:lineRule="exact"/>
        <w:rPr>
          <w:rFonts w:hint="eastAsia" w:ascii="仿宋" w:hAnsi="仿宋" w:eastAsia="仿宋" w:cs="仿宋"/>
          <w:sz w:val="21"/>
          <w:szCs w:val="21"/>
        </w:rPr>
      </w:pPr>
    </w:p>
    <w:p>
      <w:pPr>
        <w:spacing w:line="360" w:lineRule="exact"/>
        <w:rPr>
          <w:rFonts w:hint="eastAsia" w:ascii="仿宋" w:hAnsi="仿宋" w:eastAsia="仿宋" w:cs="仿宋"/>
          <w:sz w:val="21"/>
          <w:szCs w:val="21"/>
        </w:rPr>
      </w:pPr>
    </w:p>
    <w:p>
      <w:pPr>
        <w:spacing w:line="360" w:lineRule="exact"/>
        <w:rPr>
          <w:rFonts w:hint="eastAsia" w:ascii="仿宋" w:hAnsi="仿宋" w:eastAsia="仿宋" w:cs="仿宋"/>
          <w:sz w:val="21"/>
          <w:szCs w:val="21"/>
        </w:rPr>
      </w:pPr>
    </w:p>
    <w:p>
      <w:pPr>
        <w:spacing w:line="360" w:lineRule="exact"/>
        <w:rPr>
          <w:rFonts w:hint="eastAsia" w:ascii="仿宋" w:hAnsi="仿宋" w:eastAsia="仿宋" w:cs="仿宋"/>
          <w:sz w:val="21"/>
          <w:szCs w:val="21"/>
        </w:rPr>
      </w:pPr>
    </w:p>
    <w:p>
      <w:pPr>
        <w:spacing w:line="360" w:lineRule="exact"/>
        <w:ind w:firstLine="525" w:firstLineChars="250"/>
        <w:rPr>
          <w:rFonts w:hint="eastAsia" w:ascii="仿宋" w:hAnsi="仿宋" w:eastAsia="仿宋" w:cs="仿宋"/>
          <w:sz w:val="21"/>
          <w:szCs w:val="21"/>
        </w:rPr>
      </w:pPr>
      <w:r>
        <w:rPr>
          <w:rFonts w:hint="eastAsia" w:ascii="仿宋" w:hAnsi="仿宋" w:eastAsia="仿宋" w:cs="仿宋"/>
          <w:sz w:val="21"/>
          <w:szCs w:val="21"/>
        </w:rPr>
        <w:t>发包人（盖单位章）：                          承包人（盖单位章）：</w:t>
      </w:r>
    </w:p>
    <w:p>
      <w:pPr>
        <w:spacing w:line="360" w:lineRule="exact"/>
        <w:rPr>
          <w:rFonts w:hint="eastAsia" w:ascii="仿宋" w:hAnsi="仿宋" w:eastAsia="仿宋" w:cs="仿宋"/>
          <w:sz w:val="21"/>
          <w:szCs w:val="21"/>
        </w:rPr>
      </w:pPr>
    </w:p>
    <w:p>
      <w:pPr>
        <w:spacing w:line="360" w:lineRule="exact"/>
        <w:rPr>
          <w:rFonts w:hint="eastAsia" w:ascii="仿宋" w:hAnsi="仿宋" w:eastAsia="仿宋" w:cs="仿宋"/>
          <w:sz w:val="21"/>
          <w:szCs w:val="21"/>
        </w:rPr>
      </w:pPr>
    </w:p>
    <w:p>
      <w:pPr>
        <w:spacing w:line="360" w:lineRule="exact"/>
        <w:ind w:firstLine="525" w:firstLineChars="250"/>
        <w:rPr>
          <w:rFonts w:hint="eastAsia" w:ascii="仿宋" w:hAnsi="仿宋" w:eastAsia="仿宋" w:cs="仿宋"/>
          <w:sz w:val="21"/>
          <w:szCs w:val="21"/>
        </w:rPr>
      </w:pPr>
      <w:r>
        <w:rPr>
          <w:rFonts w:hint="eastAsia" w:ascii="仿宋" w:hAnsi="仿宋" w:eastAsia="仿宋" w:cs="仿宋"/>
          <w:sz w:val="21"/>
          <w:szCs w:val="21"/>
        </w:rPr>
        <w:t xml:space="preserve">法定代表人（签字）：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法定代表人（签字）：</w:t>
      </w:r>
    </w:p>
    <w:p>
      <w:pPr>
        <w:spacing w:line="360" w:lineRule="exact"/>
        <w:rPr>
          <w:rFonts w:hint="eastAsia" w:ascii="仿宋" w:hAnsi="仿宋" w:eastAsia="仿宋" w:cs="仿宋"/>
          <w:sz w:val="21"/>
          <w:szCs w:val="21"/>
        </w:rPr>
      </w:pPr>
    </w:p>
    <w:p>
      <w:pPr>
        <w:spacing w:line="360" w:lineRule="exact"/>
        <w:rPr>
          <w:rFonts w:hint="eastAsia" w:ascii="仿宋" w:hAnsi="仿宋" w:eastAsia="仿宋" w:cs="仿宋"/>
          <w:sz w:val="21"/>
          <w:szCs w:val="21"/>
        </w:rPr>
      </w:pPr>
    </w:p>
    <w:p>
      <w:pPr>
        <w:pStyle w:val="7"/>
        <w:ind w:firstLine="630" w:firstLineChars="300"/>
        <w:rPr>
          <w:rFonts w:eastAsia="仿宋_GB2312"/>
          <w:color w:val="000000"/>
          <w:szCs w:val="30"/>
        </w:rPr>
      </w:pP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日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p>
    <w:p>
      <w:pPr>
        <w:pStyle w:val="7"/>
        <w:rPr>
          <w:rFonts w:eastAsia="仿宋_GB2312"/>
          <w:color w:val="000000"/>
          <w:szCs w:val="30"/>
        </w:rPr>
      </w:pPr>
    </w:p>
    <w:p>
      <w:pPr>
        <w:pStyle w:val="7"/>
        <w:rPr>
          <w:rFonts w:eastAsia="仿宋_GB2312"/>
          <w:color w:val="000000"/>
          <w:szCs w:val="30"/>
        </w:rPr>
      </w:pPr>
    </w:p>
    <w:p>
      <w:pPr>
        <w:pStyle w:val="7"/>
        <w:rPr>
          <w:rFonts w:eastAsia="仿宋_GB2312"/>
          <w:color w:val="000000"/>
          <w:szCs w:val="30"/>
        </w:rPr>
      </w:pPr>
    </w:p>
    <w:p>
      <w:pPr>
        <w:pStyle w:val="7"/>
        <w:rPr>
          <w:rFonts w:eastAsia="仿宋_GB2312"/>
          <w:color w:val="000000"/>
          <w:szCs w:val="30"/>
        </w:rPr>
      </w:pPr>
    </w:p>
    <w:p>
      <w:pPr>
        <w:pStyle w:val="7"/>
        <w:rPr>
          <w:rFonts w:eastAsia="仿宋_GB2312"/>
          <w:color w:val="000000"/>
          <w:szCs w:val="30"/>
        </w:rPr>
      </w:pPr>
    </w:p>
    <w:p>
      <w:pPr>
        <w:pStyle w:val="7"/>
        <w:rPr>
          <w:rFonts w:eastAsia="仿宋_GB2312"/>
          <w:color w:val="000000"/>
          <w:szCs w:val="30"/>
        </w:rPr>
      </w:pPr>
    </w:p>
    <w:p>
      <w:pPr>
        <w:pStyle w:val="7"/>
        <w:rPr>
          <w:rFonts w:eastAsia="仿宋_GB2312"/>
          <w:color w:val="000000"/>
          <w:szCs w:val="30"/>
        </w:rPr>
      </w:pPr>
    </w:p>
    <w:p>
      <w:pPr>
        <w:pStyle w:val="7"/>
        <w:rPr>
          <w:rFonts w:eastAsia="仿宋_GB2312"/>
          <w:color w:val="000000"/>
          <w:szCs w:val="30"/>
        </w:rPr>
      </w:pPr>
    </w:p>
    <w:p>
      <w:pPr>
        <w:pStyle w:val="7"/>
        <w:rPr>
          <w:rFonts w:eastAsia="仿宋_GB2312"/>
          <w:color w:val="000000"/>
          <w:szCs w:val="30"/>
        </w:rPr>
      </w:pPr>
    </w:p>
    <w:p>
      <w:pPr>
        <w:pStyle w:val="20"/>
      </w:pPr>
    </w:p>
    <w:p>
      <w:pPr>
        <w:pStyle w:val="7"/>
      </w:pPr>
    </w:p>
    <w:p>
      <w:pPr>
        <w:pStyle w:val="7"/>
      </w:pPr>
    </w:p>
    <w:p>
      <w:pPr>
        <w:pStyle w:val="7"/>
      </w:pPr>
    </w:p>
    <w:p>
      <w:pPr>
        <w:pStyle w:val="7"/>
      </w:pPr>
    </w:p>
    <w:p>
      <w:pPr>
        <w:pStyle w:val="7"/>
      </w:pPr>
    </w:p>
    <w:p>
      <w:pPr>
        <w:pStyle w:val="3"/>
        <w:widowControl/>
        <w:numPr>
          <w:ilvl w:val="0"/>
          <w:numId w:val="2"/>
        </w:numPr>
        <w:spacing w:line="500" w:lineRule="exact"/>
        <w:ind w:firstLine="472" w:firstLineChars="147"/>
        <w:jc w:val="center"/>
      </w:pPr>
      <w:bookmarkStart w:id="297" w:name="_Toc15741"/>
      <w:r>
        <w:rPr>
          <w:rFonts w:hint="eastAsia" w:cs="宋体"/>
        </w:rPr>
        <w:t>工程量清单</w:t>
      </w:r>
      <w:bookmarkEnd w:id="297"/>
    </w:p>
    <w:p>
      <w:pPr>
        <w:rPr>
          <w:sz w:val="18"/>
          <w:szCs w:val="18"/>
        </w:rPr>
      </w:pPr>
    </w:p>
    <w:p>
      <w:pPr>
        <w:pStyle w:val="4"/>
        <w:jc w:val="center"/>
        <w:rPr>
          <w:rFonts w:ascii="宋体" w:hAnsi="宋体" w:cs="宋体"/>
          <w:color w:val="000000"/>
          <w:sz w:val="28"/>
          <w:szCs w:val="28"/>
        </w:rPr>
      </w:pPr>
      <w:bookmarkStart w:id="298" w:name="_Toc405807914"/>
      <w:r>
        <w:rPr>
          <w:rFonts w:hint="eastAsia" w:ascii="宋体" w:hAnsi="宋体" w:cs="宋体"/>
          <w:color w:val="000000"/>
          <w:sz w:val="28"/>
          <w:szCs w:val="28"/>
        </w:rPr>
        <w:t>1．工程量清单说明</w:t>
      </w:r>
      <w:bookmarkEnd w:id="298"/>
    </w:p>
    <w:p>
      <w:pPr>
        <w:spacing w:line="360" w:lineRule="auto"/>
        <w:ind w:firstLine="420" w:firstLineChars="200"/>
        <w:rPr>
          <w:rFonts w:ascii="宋体" w:hAnsi="宋体"/>
          <w:color w:val="000000"/>
        </w:rPr>
      </w:pPr>
      <w:r>
        <w:rPr>
          <w:rFonts w:hint="eastAsia" w:ascii="宋体" w:hAnsi="宋体"/>
          <w:color w:val="000000"/>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宋体" w:hAnsi="宋体"/>
          <w:color w:val="000000"/>
        </w:rPr>
      </w:pPr>
      <w:r>
        <w:rPr>
          <w:rFonts w:hint="eastAsia" w:ascii="宋体" w:hAnsi="宋体"/>
          <w:color w:val="000000"/>
        </w:rPr>
        <w:t>1.2 本工程量清单应与招标文件中的投标人须知、通用合同条款、专用合同条款、技术标准和要求及图纸等一起阅读和理解。</w:t>
      </w:r>
    </w:p>
    <w:p>
      <w:pPr>
        <w:spacing w:line="360" w:lineRule="auto"/>
        <w:ind w:firstLine="420" w:firstLineChars="200"/>
        <w:rPr>
          <w:rFonts w:ascii="宋体" w:hAnsi="宋体"/>
          <w:color w:val="000000"/>
        </w:rPr>
      </w:pPr>
      <w:r>
        <w:rPr>
          <w:rFonts w:hint="eastAsia" w:ascii="宋体" w:hAnsi="宋体"/>
          <w:color w:val="000000"/>
        </w:rPr>
        <w:t>1.3 本工程量清单仅是投标报价的共同基础，实际工程计量和工程价款的支付应遵循合同条款的约定和第</w:t>
      </w:r>
      <w:r>
        <w:rPr>
          <w:rFonts w:hint="eastAsia" w:ascii="宋体" w:hAnsi="宋体"/>
          <w:color w:val="000000"/>
          <w:lang w:eastAsia="zh-CN"/>
        </w:rPr>
        <w:t>七</w:t>
      </w:r>
      <w:r>
        <w:rPr>
          <w:rFonts w:hint="eastAsia" w:ascii="宋体" w:hAnsi="宋体"/>
          <w:color w:val="000000"/>
        </w:rPr>
        <w:t>章“技术标准和要求”的有关规定。</w:t>
      </w:r>
    </w:p>
    <w:p>
      <w:pPr>
        <w:pStyle w:val="4"/>
        <w:jc w:val="center"/>
        <w:rPr>
          <w:rFonts w:ascii="宋体" w:hAnsi="宋体" w:cs="宋体"/>
          <w:color w:val="000000"/>
          <w:sz w:val="28"/>
          <w:szCs w:val="28"/>
        </w:rPr>
      </w:pPr>
      <w:bookmarkStart w:id="299" w:name="_Toc405807915"/>
      <w:r>
        <w:rPr>
          <w:rFonts w:hint="eastAsia" w:ascii="宋体" w:hAnsi="宋体" w:cs="宋体"/>
          <w:color w:val="000000"/>
          <w:sz w:val="28"/>
          <w:szCs w:val="28"/>
        </w:rPr>
        <w:t>2．投标报价说明</w:t>
      </w:r>
      <w:bookmarkEnd w:id="299"/>
    </w:p>
    <w:p>
      <w:pPr>
        <w:spacing w:line="360" w:lineRule="auto"/>
        <w:ind w:firstLine="420" w:firstLineChars="200"/>
        <w:rPr>
          <w:rFonts w:ascii="宋体" w:hAnsi="宋体"/>
          <w:color w:val="000000"/>
        </w:rPr>
      </w:pPr>
      <w:r>
        <w:rPr>
          <w:rFonts w:hint="eastAsia" w:ascii="宋体" w:hAnsi="宋体"/>
          <w:color w:val="000000"/>
        </w:rPr>
        <w:t xml:space="preserve">2.1 工程量清单中的每一子目须填入单价或价格，且只允许有一个报价。 </w:t>
      </w:r>
    </w:p>
    <w:p>
      <w:pPr>
        <w:spacing w:line="360" w:lineRule="auto"/>
        <w:ind w:firstLine="420" w:firstLineChars="200"/>
        <w:rPr>
          <w:rFonts w:ascii="宋体" w:hAnsi="宋体"/>
          <w:color w:val="000000"/>
        </w:rPr>
      </w:pPr>
      <w:r>
        <w:rPr>
          <w:rFonts w:hint="eastAsia" w:ascii="宋体" w:hAnsi="宋体"/>
          <w:color w:val="000000"/>
        </w:rPr>
        <w:t xml:space="preserve">2.2 工程量清单中标价的单价或金额，应包括所需人工费、施工机械使用费、材料费、其他（运杂费、 </w:t>
      </w:r>
    </w:p>
    <w:p>
      <w:pPr>
        <w:spacing w:line="360" w:lineRule="auto"/>
        <w:ind w:firstLine="420" w:firstLineChars="200"/>
        <w:rPr>
          <w:rFonts w:ascii="宋体" w:hAnsi="宋体"/>
          <w:color w:val="000000"/>
        </w:rPr>
      </w:pPr>
      <w:r>
        <w:rPr>
          <w:rFonts w:hint="eastAsia" w:ascii="宋体" w:hAnsi="宋体"/>
          <w:color w:val="000000"/>
        </w:rPr>
        <w:t xml:space="preserve">质检费、安装费、缺陷修复费、保险费，以及合同明示或暗示的风险、责任和义务等），以及管理费、利润等。 </w:t>
      </w:r>
    </w:p>
    <w:p>
      <w:pPr>
        <w:spacing w:line="360" w:lineRule="auto"/>
        <w:ind w:firstLine="420" w:firstLineChars="200"/>
      </w:pPr>
      <w:r>
        <w:rPr>
          <w:rFonts w:hint="eastAsia" w:ascii="宋体" w:hAnsi="宋体"/>
          <w:color w:val="000000"/>
        </w:rPr>
        <w:t>2.3 工程量清单中投标人没有填入单价或价格的子目，其费用视为已分摊在工程量清单中其他相关子目的单价或价格之中。</w:t>
      </w:r>
    </w:p>
    <w:p>
      <w:pPr>
        <w:widowControl/>
        <w:numPr>
          <w:ilvl w:val="0"/>
          <w:numId w:val="3"/>
        </w:numPr>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预算编制说明</w:t>
      </w:r>
    </w:p>
    <w:p>
      <w:pPr>
        <w:pStyle w:val="6"/>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3.1工程概况</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本工程为96816部队犬舍建造，施工范围包括新建犬舍与宿舍楼及室内安装、沙地犬训练场约722m2、草皮训练场约185m2、水泥地面硬化约1174m2、新建铁艺栏杆围墙约171m、新建毛石挡墙约156m、新建排水沟约116m等。</w:t>
      </w:r>
    </w:p>
    <w:p>
      <w:pPr>
        <w:pStyle w:val="6"/>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3.2编制依据</w:t>
      </w:r>
    </w:p>
    <w:p>
      <w:pPr>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（1）施工图纸；</w:t>
      </w:r>
    </w:p>
    <w:p>
      <w:pPr>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（2）《浙江省房屋建筑与装饰工程预算定额（2018版）》；</w:t>
      </w:r>
    </w:p>
    <w:p>
      <w:pPr>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（3）《浙江省通用安装工程预算定额（2018版）》；</w:t>
      </w:r>
    </w:p>
    <w:p>
      <w:pPr>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（4）《浙江省市政工程预算定额（2018版）》；</w:t>
      </w:r>
    </w:p>
    <w:p>
      <w:pPr>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（5）《浙江省园林绿化及仿古建筑工程预算定额（2018版）》；</w:t>
      </w:r>
    </w:p>
    <w:p>
      <w:pPr>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（6）《浙江省建设工程计价规则》（2018版）；</w:t>
      </w:r>
    </w:p>
    <w:p>
      <w:pPr>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（7）《浙江省建设工程施工机械台班费用定额》（2018版）；</w:t>
      </w:r>
    </w:p>
    <w:p>
      <w:pPr>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zh-CN" w:eastAsia="zh-CN" w:bidi="ar-SA"/>
        </w:rPr>
        <w:t>（</w:t>
      </w:r>
      <w:r>
        <w:rPr>
          <w:rFonts w:hint="eastAsia" w:ascii="宋体" w:hAnsi="宋体" w:eastAsia="宋体" w:cs="宋体"/>
          <w:b w:val="0"/>
          <w:color w:val="000000"/>
          <w:kern w:val="2"/>
          <w:sz w:val="21"/>
          <w:szCs w:val="24"/>
          <w:lang w:val="en-US" w:eastAsia="zh-CN" w:bidi="ar-SA"/>
        </w:rPr>
        <w:t>8</w:t>
      </w:r>
      <w:r>
        <w:rPr>
          <w:rFonts w:hint="eastAsia" w:ascii="宋体" w:hAnsi="宋体" w:eastAsia="宋体" w:cs="宋体"/>
          <w:b w:val="0"/>
          <w:color w:val="000000"/>
          <w:kern w:val="2"/>
          <w:sz w:val="21"/>
          <w:szCs w:val="24"/>
          <w:lang w:val="zh-CN" w:eastAsia="zh-CN" w:bidi="ar-SA"/>
        </w:rPr>
        <w:t>）《颁发浙江省建设工程计价依据（2018版）的通知》（浙建建发（2018）61号）；</w:t>
      </w:r>
    </w:p>
    <w:p>
      <w:pPr>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zh-CN" w:eastAsia="zh-CN" w:bidi="ar-SA"/>
        </w:rPr>
      </w:pPr>
      <w:r>
        <w:rPr>
          <w:rFonts w:hint="eastAsia" w:ascii="宋体" w:hAnsi="宋体" w:eastAsia="宋体" w:cs="宋体"/>
          <w:b w:val="0"/>
          <w:color w:val="000000"/>
          <w:kern w:val="2"/>
          <w:sz w:val="21"/>
          <w:szCs w:val="24"/>
          <w:lang w:val="zh-CN" w:eastAsia="zh-CN" w:bidi="ar-SA"/>
        </w:rPr>
        <w:t>（</w:t>
      </w:r>
      <w:r>
        <w:rPr>
          <w:rFonts w:hint="eastAsia" w:ascii="宋体" w:hAnsi="宋体" w:eastAsia="宋体" w:cs="宋体"/>
          <w:b w:val="0"/>
          <w:color w:val="000000"/>
          <w:kern w:val="2"/>
          <w:sz w:val="21"/>
          <w:szCs w:val="24"/>
          <w:lang w:val="en-US" w:eastAsia="zh-CN" w:bidi="ar-SA"/>
        </w:rPr>
        <w:t>9</w:t>
      </w:r>
      <w:r>
        <w:rPr>
          <w:rFonts w:hint="eastAsia" w:ascii="宋体" w:hAnsi="宋体" w:eastAsia="宋体" w:cs="宋体"/>
          <w:b w:val="0"/>
          <w:color w:val="000000"/>
          <w:kern w:val="2"/>
          <w:sz w:val="21"/>
          <w:szCs w:val="24"/>
          <w:lang w:val="zh-CN" w:eastAsia="zh-CN" w:bidi="ar-SA"/>
        </w:rPr>
        <w:t>）按浙建建发[2019]92号“关于增值税调整后我省建设工程计价依据增值税税率及有关计价调整的通知”；</w:t>
      </w:r>
    </w:p>
    <w:p>
      <w:pPr>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（10）主要材料价格参照2021年第2期金华建设工程造价信息、义乌建设工程造价信息，无价材料按业主咨询价及市场价计入；</w:t>
      </w:r>
    </w:p>
    <w:p>
      <w:pPr>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（11）人工费单价按2021年第2月金华人工市场信息价计入；</w:t>
      </w:r>
    </w:p>
    <w:p>
      <w:pPr>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（12）取费依据：按《浙江省建设工程计价规则》（2018版）计取，所有弹性区间费率中限取费，规费、税金按规定计取；</w:t>
      </w:r>
    </w:p>
    <w:p>
      <w:pPr>
        <w:pStyle w:val="6"/>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3.3编制说明</w:t>
      </w:r>
    </w:p>
    <w:p>
      <w:pPr>
        <w:pStyle w:val="21"/>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（1）墙面装饰高度均按图纸高度计入，结算按实调整；</w:t>
      </w:r>
    </w:p>
    <w:p>
      <w:pPr>
        <w:pStyle w:val="21"/>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（2）基础开挖深度暂按-1.5m计入，结算时按实调整；</w:t>
      </w:r>
    </w:p>
    <w:p>
      <w:pPr>
        <w:pStyle w:val="21"/>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（3）土方开挖按三类土计入，运距按3km计入；</w:t>
      </w:r>
    </w:p>
    <w:p>
      <w:pPr>
        <w:pStyle w:val="21"/>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（4）混凝土按商品砼计入；</w:t>
      </w:r>
    </w:p>
    <w:p>
      <w:pPr>
        <w:pStyle w:val="21"/>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（5）围墙土方开挖深度暂按0.63m计入，结算时按实调整。</w:t>
      </w:r>
    </w:p>
    <w:p>
      <w:pPr>
        <w:pStyle w:val="6"/>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ascii="宋体" w:hAnsi="宋体" w:eastAsia="宋体" w:cs="宋体"/>
          <w:b w:val="0"/>
          <w:color w:val="000000"/>
          <w:kern w:val="2"/>
          <w:sz w:val="21"/>
          <w:szCs w:val="24"/>
          <w:lang w:val="en-US" w:eastAsia="zh-CN" w:bidi="ar-SA"/>
        </w:rPr>
      </w:pPr>
      <w:r>
        <w:rPr>
          <w:rFonts w:hint="eastAsia" w:ascii="宋体" w:hAnsi="宋体" w:eastAsia="宋体" w:cs="宋体"/>
          <w:b w:val="0"/>
          <w:color w:val="000000"/>
          <w:kern w:val="2"/>
          <w:sz w:val="21"/>
          <w:szCs w:val="24"/>
          <w:lang w:val="en-US" w:eastAsia="zh-CN" w:bidi="ar-SA"/>
        </w:rPr>
        <w:t>3.4暂定价</w:t>
      </w:r>
    </w:p>
    <w:tbl>
      <w:tblPr>
        <w:tblStyle w:val="14"/>
        <w:tblpPr w:leftFromText="180" w:rightFromText="180" w:vertAnchor="text" w:horzAnchor="page" w:tblpXSpec="center" w:tblpY="539"/>
        <w:tblOverlap w:val="never"/>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299"/>
        <w:gridCol w:w="750"/>
        <w:gridCol w:w="900"/>
        <w:gridCol w:w="1110"/>
        <w:gridCol w:w="117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4"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序号</w:t>
            </w:r>
          </w:p>
        </w:tc>
        <w:tc>
          <w:tcPr>
            <w:tcW w:w="3299"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材料名称、规格、型号</w:t>
            </w:r>
          </w:p>
        </w:tc>
        <w:tc>
          <w:tcPr>
            <w:tcW w:w="75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hanging="108"/>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单位</w:t>
            </w:r>
          </w:p>
        </w:tc>
        <w:tc>
          <w:tcPr>
            <w:tcW w:w="900" w:type="dxa"/>
            <w:noWrap w:val="0"/>
            <w:vAlign w:val="center"/>
          </w:tcPr>
          <w:p>
            <w:pPr>
              <w:keepNext w:val="0"/>
              <w:keepLines w:val="0"/>
              <w:pageBreakBefore w:val="0"/>
              <w:suppressLineNumbers w:val="0"/>
              <w:tabs>
                <w:tab w:val="left" w:pos="0"/>
              </w:tabs>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工程量</w:t>
            </w:r>
          </w:p>
        </w:tc>
        <w:tc>
          <w:tcPr>
            <w:tcW w:w="111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单价(元)</w:t>
            </w:r>
          </w:p>
        </w:tc>
        <w:tc>
          <w:tcPr>
            <w:tcW w:w="117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both"/>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合计（元）</w:t>
            </w:r>
          </w:p>
        </w:tc>
        <w:tc>
          <w:tcPr>
            <w:tcW w:w="1276"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24"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1</w:t>
            </w:r>
          </w:p>
        </w:tc>
        <w:tc>
          <w:tcPr>
            <w:tcW w:w="3299"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断桥：6000*600*800mm，框架由60*60mm方管焊接而成</w:t>
            </w:r>
          </w:p>
        </w:tc>
        <w:tc>
          <w:tcPr>
            <w:tcW w:w="75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firstLine="31" w:firstLineChars="15"/>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套</w:t>
            </w:r>
          </w:p>
        </w:tc>
        <w:tc>
          <w:tcPr>
            <w:tcW w:w="90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11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8000</w:t>
            </w:r>
          </w:p>
        </w:tc>
        <w:tc>
          <w:tcPr>
            <w:tcW w:w="117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8000</w:t>
            </w:r>
          </w:p>
        </w:tc>
        <w:tc>
          <w:tcPr>
            <w:tcW w:w="1276" w:type="dxa"/>
            <w:noWrap w:val="0"/>
            <w:vAlign w:val="center"/>
          </w:tcPr>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除税综合价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24"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3299"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独木桥：9000*250*1500mm，框架由60*60mm，40*60mm焊接</w:t>
            </w:r>
          </w:p>
        </w:tc>
        <w:tc>
          <w:tcPr>
            <w:tcW w:w="75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firstLine="31" w:firstLineChars="15"/>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eastAsia="zh-CN"/>
              </w:rPr>
              <w:t>套</w:t>
            </w:r>
          </w:p>
        </w:tc>
        <w:tc>
          <w:tcPr>
            <w:tcW w:w="90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11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8000</w:t>
            </w:r>
          </w:p>
        </w:tc>
        <w:tc>
          <w:tcPr>
            <w:tcW w:w="117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8000</w:t>
            </w:r>
          </w:p>
        </w:tc>
        <w:tc>
          <w:tcPr>
            <w:tcW w:w="1276"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sz w:val="21"/>
                <w:szCs w:val="21"/>
                <w:lang w:eastAsia="zh-CN"/>
              </w:rPr>
              <w:t>除税综合价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4"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3299"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高板墙：1500*1500*2000mm，高度可调，框架由60*60方管焊接而成</w:t>
            </w:r>
          </w:p>
        </w:tc>
        <w:tc>
          <w:tcPr>
            <w:tcW w:w="75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firstLine="31" w:firstLineChars="15"/>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eastAsia="zh-CN"/>
              </w:rPr>
              <w:t>套</w:t>
            </w:r>
          </w:p>
        </w:tc>
        <w:tc>
          <w:tcPr>
            <w:tcW w:w="90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11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5000</w:t>
            </w:r>
          </w:p>
        </w:tc>
        <w:tc>
          <w:tcPr>
            <w:tcW w:w="117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5000</w:t>
            </w:r>
          </w:p>
        </w:tc>
        <w:tc>
          <w:tcPr>
            <w:tcW w:w="1276"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sz w:val="21"/>
                <w:szCs w:val="21"/>
                <w:lang w:eastAsia="zh-CN"/>
              </w:rPr>
              <w:t>除税综合价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3299"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跳高架：调节高度30-230cm</w:t>
            </w:r>
          </w:p>
        </w:tc>
        <w:tc>
          <w:tcPr>
            <w:tcW w:w="75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firstLine="31" w:firstLineChars="15"/>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eastAsia="zh-CN"/>
              </w:rPr>
              <w:t>套</w:t>
            </w:r>
          </w:p>
        </w:tc>
        <w:tc>
          <w:tcPr>
            <w:tcW w:w="90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11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3000</w:t>
            </w:r>
          </w:p>
        </w:tc>
        <w:tc>
          <w:tcPr>
            <w:tcW w:w="117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3000</w:t>
            </w:r>
          </w:p>
        </w:tc>
        <w:tc>
          <w:tcPr>
            <w:tcW w:w="1276"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sz w:val="21"/>
                <w:szCs w:val="21"/>
                <w:lang w:eastAsia="zh-CN"/>
              </w:rPr>
              <w:t>除税综合价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3299"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火圈：警犬训练火圈器材</w:t>
            </w:r>
          </w:p>
        </w:tc>
        <w:tc>
          <w:tcPr>
            <w:tcW w:w="75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firstLine="31" w:firstLineChars="15"/>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eastAsia="zh-CN"/>
              </w:rPr>
              <w:t>套</w:t>
            </w:r>
          </w:p>
        </w:tc>
        <w:tc>
          <w:tcPr>
            <w:tcW w:w="90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11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2000</w:t>
            </w:r>
          </w:p>
        </w:tc>
        <w:tc>
          <w:tcPr>
            <w:tcW w:w="117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2000</w:t>
            </w:r>
          </w:p>
        </w:tc>
        <w:tc>
          <w:tcPr>
            <w:tcW w:w="1276"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sz w:val="21"/>
                <w:szCs w:val="21"/>
                <w:lang w:eastAsia="zh-CN"/>
              </w:rPr>
              <w:t>除税综合价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4"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3299"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人字板墙：4980*1500</w:t>
            </w:r>
          </w:p>
        </w:tc>
        <w:tc>
          <w:tcPr>
            <w:tcW w:w="75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firstLine="31" w:firstLineChars="15"/>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eastAsia="zh-CN"/>
              </w:rPr>
              <w:t>套</w:t>
            </w:r>
          </w:p>
        </w:tc>
        <w:tc>
          <w:tcPr>
            <w:tcW w:w="90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11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2000</w:t>
            </w:r>
          </w:p>
        </w:tc>
        <w:tc>
          <w:tcPr>
            <w:tcW w:w="117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2000</w:t>
            </w:r>
          </w:p>
        </w:tc>
        <w:tc>
          <w:tcPr>
            <w:tcW w:w="1276"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sz w:val="21"/>
                <w:szCs w:val="21"/>
                <w:lang w:eastAsia="zh-CN"/>
              </w:rPr>
              <w:t>除税综合价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4"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3299"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帆布掩体</w:t>
            </w:r>
          </w:p>
        </w:tc>
        <w:tc>
          <w:tcPr>
            <w:tcW w:w="75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firstLine="31" w:firstLineChars="15"/>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eastAsia="zh-CN"/>
              </w:rPr>
              <w:t>套</w:t>
            </w:r>
          </w:p>
        </w:tc>
        <w:tc>
          <w:tcPr>
            <w:tcW w:w="90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11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1000</w:t>
            </w:r>
          </w:p>
        </w:tc>
        <w:tc>
          <w:tcPr>
            <w:tcW w:w="117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leftChars="0" w:right="0" w:righ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1000</w:t>
            </w:r>
          </w:p>
        </w:tc>
        <w:tc>
          <w:tcPr>
            <w:tcW w:w="1276"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sz w:val="21"/>
                <w:szCs w:val="21"/>
                <w:lang w:eastAsia="zh-CN"/>
              </w:rPr>
              <w:t>除税综合价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24"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3299"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小计</w:t>
            </w:r>
          </w:p>
        </w:tc>
        <w:tc>
          <w:tcPr>
            <w:tcW w:w="75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firstLine="31" w:firstLineChars="15"/>
              <w:jc w:val="center"/>
              <w:textAlignment w:val="auto"/>
              <w:rPr>
                <w:rFonts w:hint="eastAsia" w:ascii="宋体" w:hAnsi="宋体" w:eastAsia="宋体" w:cs="宋体"/>
                <w:color w:val="000000"/>
                <w:sz w:val="21"/>
                <w:szCs w:val="21"/>
                <w:lang w:val="zh-CN"/>
              </w:rPr>
            </w:pPr>
          </w:p>
        </w:tc>
        <w:tc>
          <w:tcPr>
            <w:tcW w:w="90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p>
        </w:tc>
        <w:tc>
          <w:tcPr>
            <w:tcW w:w="111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p>
        </w:tc>
        <w:tc>
          <w:tcPr>
            <w:tcW w:w="117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29000</w:t>
            </w:r>
          </w:p>
        </w:tc>
        <w:tc>
          <w:tcPr>
            <w:tcW w:w="1276"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除税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4"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3299"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税金（9%）</w:t>
            </w:r>
          </w:p>
        </w:tc>
        <w:tc>
          <w:tcPr>
            <w:tcW w:w="75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firstLine="31" w:firstLineChars="15"/>
              <w:jc w:val="center"/>
              <w:textAlignment w:val="auto"/>
              <w:rPr>
                <w:rFonts w:hint="eastAsia" w:ascii="宋体" w:hAnsi="宋体" w:eastAsia="宋体" w:cs="宋体"/>
                <w:color w:val="000000"/>
                <w:sz w:val="21"/>
                <w:szCs w:val="21"/>
                <w:lang w:val="zh-CN"/>
              </w:rPr>
            </w:pPr>
          </w:p>
        </w:tc>
        <w:tc>
          <w:tcPr>
            <w:tcW w:w="90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p>
        </w:tc>
        <w:tc>
          <w:tcPr>
            <w:tcW w:w="111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p>
        </w:tc>
        <w:tc>
          <w:tcPr>
            <w:tcW w:w="117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2610</w:t>
            </w:r>
          </w:p>
        </w:tc>
        <w:tc>
          <w:tcPr>
            <w:tcW w:w="1276"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3299"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合计</w:t>
            </w:r>
          </w:p>
        </w:tc>
        <w:tc>
          <w:tcPr>
            <w:tcW w:w="75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firstLine="31" w:firstLineChars="15"/>
              <w:jc w:val="center"/>
              <w:textAlignment w:val="auto"/>
              <w:rPr>
                <w:rFonts w:hint="eastAsia" w:ascii="宋体" w:hAnsi="宋体" w:eastAsia="宋体" w:cs="宋体"/>
                <w:color w:val="000000"/>
                <w:sz w:val="21"/>
                <w:szCs w:val="21"/>
                <w:lang w:val="zh-CN"/>
              </w:rPr>
            </w:pPr>
          </w:p>
        </w:tc>
        <w:tc>
          <w:tcPr>
            <w:tcW w:w="90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p>
        </w:tc>
        <w:tc>
          <w:tcPr>
            <w:tcW w:w="111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p>
        </w:tc>
        <w:tc>
          <w:tcPr>
            <w:tcW w:w="1170"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31610</w:t>
            </w:r>
          </w:p>
        </w:tc>
        <w:tc>
          <w:tcPr>
            <w:tcW w:w="1276" w:type="dxa"/>
            <w:noWrap w:val="0"/>
            <w:vAlign w:val="center"/>
          </w:tcPr>
          <w:p>
            <w:pPr>
              <w:keepNext w:val="0"/>
              <w:keepLines w:val="0"/>
              <w:pageBreakBefore w:val="0"/>
              <w:suppressLineNumbers w:val="0"/>
              <w:kinsoku/>
              <w:wordWrap/>
              <w:overflowPunct/>
              <w:topLinePunct w:val="0"/>
              <w:autoSpaceDE w:val="0"/>
              <w:autoSpaceDN w:val="0"/>
              <w:bidi w:val="0"/>
              <w:snapToGrid/>
              <w:spacing w:before="0" w:beforeAutospacing="0" w:after="0" w:afterAutospacing="0" w:line="240" w:lineRule="auto"/>
              <w:ind w:left="0" w:right="0"/>
              <w:jc w:val="center"/>
              <w:textAlignment w:val="auto"/>
              <w:rPr>
                <w:rFonts w:hint="eastAsia" w:ascii="宋体" w:hAnsi="宋体" w:eastAsia="宋体" w:cs="宋体"/>
                <w:color w:val="000000"/>
                <w:sz w:val="21"/>
                <w:szCs w:val="21"/>
                <w:lang w:val="zh-CN"/>
              </w:rPr>
            </w:pPr>
          </w:p>
        </w:tc>
      </w:tr>
    </w:tbl>
    <w:p/>
    <w:p>
      <w:pPr>
        <w:widowControl/>
        <w:numPr>
          <w:ilvl w:val="0"/>
          <w:numId w:val="3"/>
        </w:numPr>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工程预算书</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【表10.2.2-12】</w:t>
      </w:r>
    </w:p>
    <w:tbl>
      <w:tblPr>
        <w:tblStyle w:val="14"/>
        <w:tblW w:w="10110" w:type="dxa"/>
        <w:tblInd w:w="93" w:type="dxa"/>
        <w:shd w:val="clear" w:color="auto" w:fill="auto"/>
        <w:tblLayout w:type="fixed"/>
        <w:tblCellMar>
          <w:top w:w="0" w:type="dxa"/>
          <w:left w:w="108" w:type="dxa"/>
          <w:bottom w:w="0" w:type="dxa"/>
          <w:right w:w="108" w:type="dxa"/>
        </w:tblCellMar>
      </w:tblPr>
      <w:tblGrid>
        <w:gridCol w:w="615"/>
        <w:gridCol w:w="74"/>
        <w:gridCol w:w="660"/>
        <w:gridCol w:w="2117"/>
        <w:gridCol w:w="568"/>
        <w:gridCol w:w="631"/>
        <w:gridCol w:w="927"/>
        <w:gridCol w:w="1423"/>
        <w:gridCol w:w="257"/>
        <w:gridCol w:w="679"/>
        <w:gridCol w:w="581"/>
        <w:gridCol w:w="394"/>
        <w:gridCol w:w="1169"/>
        <w:gridCol w:w="15"/>
      </w:tblGrid>
      <w:tr>
        <w:tblPrEx>
          <w:shd w:val="clear" w:color="auto" w:fill="auto"/>
          <w:tblCellMar>
            <w:top w:w="0" w:type="dxa"/>
            <w:left w:w="108" w:type="dxa"/>
            <w:bottom w:w="0" w:type="dxa"/>
            <w:right w:w="108" w:type="dxa"/>
          </w:tblCellMar>
        </w:tblPrEx>
        <w:trPr>
          <w:gridAfter w:val="1"/>
          <w:wAfter w:w="15" w:type="dxa"/>
          <w:trHeight w:val="90" w:hRule="atLeast"/>
        </w:trPr>
        <w:tc>
          <w:tcPr>
            <w:tcW w:w="10095"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招标控制价费用表</w:t>
            </w:r>
          </w:p>
        </w:tc>
      </w:tr>
      <w:tr>
        <w:tblPrEx>
          <w:tblCellMar>
            <w:top w:w="0" w:type="dxa"/>
            <w:left w:w="108" w:type="dxa"/>
            <w:bottom w:w="0" w:type="dxa"/>
            <w:right w:w="108" w:type="dxa"/>
          </w:tblCellMar>
        </w:tblPrEx>
        <w:trPr>
          <w:gridAfter w:val="1"/>
          <w:wAfter w:w="15" w:type="dxa"/>
          <w:trHeight w:val="435" w:hRule="atLeast"/>
        </w:trPr>
        <w:tc>
          <w:tcPr>
            <w:tcW w:w="4665" w:type="dxa"/>
            <w:gridSpan w:val="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工程名称:中国人民解放军某部队犬舍建造</w:t>
            </w:r>
          </w:p>
        </w:tc>
        <w:tc>
          <w:tcPr>
            <w:tcW w:w="927"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23"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3080" w:type="dxa"/>
            <w:gridSpan w:val="5"/>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gridAfter w:val="1"/>
          <w:wAfter w:w="15" w:type="dxa"/>
          <w:trHeight w:val="435" w:hRule="atLeast"/>
        </w:trPr>
        <w:tc>
          <w:tcPr>
            <w:tcW w:w="61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51" w:type="dxa"/>
            <w:gridSpan w:val="3"/>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1199"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261"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其中：（元）</w:t>
            </w:r>
          </w:p>
        </w:tc>
        <w:tc>
          <w:tcPr>
            <w:tcW w:w="1169"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After w:val="1"/>
          <w:wAfter w:w="15" w:type="dxa"/>
          <w:trHeight w:val="480" w:hRule="atLeast"/>
        </w:trPr>
        <w:tc>
          <w:tcPr>
            <w:tcW w:w="61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99"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4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施工基本费</w:t>
            </w:r>
          </w:p>
        </w:tc>
        <w:tc>
          <w:tcPr>
            <w:tcW w:w="93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975"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16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中国人民解放军某部队犬舍建造</w:t>
            </w:r>
          </w:p>
        </w:tc>
        <w:tc>
          <w:tcPr>
            <w:tcW w:w="119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883773.00</w:t>
            </w: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11873.15</w:t>
            </w:r>
          </w:p>
        </w:tc>
        <w:tc>
          <w:tcPr>
            <w:tcW w:w="936"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49808.13</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72972.08</w:t>
            </w: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50" w:hRule="atLeast"/>
        </w:trPr>
        <w:tc>
          <w:tcPr>
            <w:tcW w:w="6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8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w:t>
            </w:r>
          </w:p>
        </w:tc>
        <w:tc>
          <w:tcPr>
            <w:tcW w:w="119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441326.00</w:t>
            </w: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7356.96</w:t>
            </w:r>
          </w:p>
        </w:tc>
        <w:tc>
          <w:tcPr>
            <w:tcW w:w="936"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23917.09</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36439.79</w:t>
            </w: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50" w:hRule="atLeast"/>
        </w:trPr>
        <w:tc>
          <w:tcPr>
            <w:tcW w:w="6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8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w:t>
            </w:r>
          </w:p>
        </w:tc>
        <w:tc>
          <w:tcPr>
            <w:tcW w:w="119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390328.00</w:t>
            </w: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3898.96</w:t>
            </w:r>
          </w:p>
        </w:tc>
        <w:tc>
          <w:tcPr>
            <w:tcW w:w="936"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22697.49</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32228.92</w:t>
            </w: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50" w:hRule="atLeast"/>
        </w:trPr>
        <w:tc>
          <w:tcPr>
            <w:tcW w:w="6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8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犬舍安装</w:t>
            </w:r>
          </w:p>
        </w:tc>
        <w:tc>
          <w:tcPr>
            <w:tcW w:w="1199"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52119.00</w:t>
            </w: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617.23</w:t>
            </w:r>
          </w:p>
        </w:tc>
        <w:tc>
          <w:tcPr>
            <w:tcW w:w="936"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3193.55</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4303.37</w:t>
            </w: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6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51" w:type="dxa"/>
            <w:gridSpan w:val="3"/>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99"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36"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169"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5" w:type="dxa"/>
          <w:trHeight w:val="435" w:hRule="atLeast"/>
        </w:trPr>
        <w:tc>
          <w:tcPr>
            <w:tcW w:w="3466" w:type="dxa"/>
            <w:gridSpan w:val="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99"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883773</w:t>
            </w:r>
          </w:p>
        </w:tc>
        <w:tc>
          <w:tcPr>
            <w:tcW w:w="927" w:type="dxa"/>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11873.15</w:t>
            </w:r>
          </w:p>
        </w:tc>
        <w:tc>
          <w:tcPr>
            <w:tcW w:w="936"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49808.13</w:t>
            </w:r>
          </w:p>
        </w:tc>
        <w:tc>
          <w:tcPr>
            <w:tcW w:w="975"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72972.08</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25" w:hRule="atLeast"/>
        </w:trPr>
        <w:tc>
          <w:tcPr>
            <w:tcW w:w="10110" w:type="dxa"/>
            <w:gridSpan w:val="1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【表10.2.2-13】</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单位（专业）工程招标控制价费用表</w:t>
            </w:r>
          </w:p>
        </w:tc>
      </w:tr>
      <w:tr>
        <w:tblPrEx>
          <w:tblCellMar>
            <w:top w:w="0" w:type="dxa"/>
            <w:left w:w="108" w:type="dxa"/>
            <w:bottom w:w="0" w:type="dxa"/>
            <w:right w:w="108" w:type="dxa"/>
          </w:tblCellMar>
        </w:tblPrEx>
        <w:trPr>
          <w:trHeight w:val="147" w:hRule="atLeast"/>
        </w:trPr>
        <w:tc>
          <w:tcPr>
            <w:tcW w:w="4034"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工程名称:中国人民解放军某部队犬舍建造-建筑</w:t>
            </w:r>
          </w:p>
        </w:tc>
        <w:tc>
          <w:tcPr>
            <w:tcW w:w="3238"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38" w:type="dxa"/>
            <w:gridSpan w:val="5"/>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435"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34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计算公式</w:t>
            </w:r>
          </w:p>
        </w:tc>
        <w:tc>
          <w:tcPr>
            <w:tcW w:w="12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4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∑(分部分项工程量×综合单价）</w:t>
            </w:r>
          </w:p>
        </w:tc>
        <w:tc>
          <w:tcPr>
            <w:tcW w:w="12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373612.54</w:t>
            </w: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见表10.2.2-16</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6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∑分部分项（定额人工费+定额机械费）</w:t>
            </w:r>
          </w:p>
        </w:tc>
        <w:tc>
          <w:tcPr>
            <w:tcW w:w="12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92773.80</w:t>
            </w: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4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2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7356.96</w:t>
            </w: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34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∑(技措项目工程量×综合单价）</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见表10.2.2-16</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6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∑技措项目（定额人工费+定额机械费）</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34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(1.1+2.1.1)×7.93%</w:t>
            </w:r>
          </w:p>
        </w:tc>
        <w:tc>
          <w:tcPr>
            <w:tcW w:w="12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7356.96</w:t>
            </w: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见表10.2.2-20</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6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(1.1+2.1.1)×7.93%</w:t>
            </w:r>
          </w:p>
        </w:tc>
        <w:tc>
          <w:tcPr>
            <w:tcW w:w="12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7356.96</w:t>
            </w: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见表10.2.2-20</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4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（3.1+3.2+3.3+3.4）</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34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3.1.1+3.1.2+3.1.3</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66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6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标化工地增加费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660" w:type="dxa"/>
            <w:vMerge w:val="continue"/>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优质工程增加费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660" w:type="dxa"/>
            <w:vMerge w:val="continue"/>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其他暂列金额</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tblPrEx>
          <w:tblCellMar>
            <w:top w:w="0" w:type="dxa"/>
            <w:left w:w="108" w:type="dxa"/>
            <w:bottom w:w="0" w:type="dxa"/>
            <w:right w:w="108" w:type="dxa"/>
          </w:tblCellMar>
        </w:tblPrEx>
        <w:trPr>
          <w:trHeight w:val="405"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34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3.2.1+3.2.2+3.2.3</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66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6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材料（工程设备）暂估价</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(或计入综合单价)</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见表10.2.2-23</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66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见表10.2.2-24</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66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专项技术措施暂估价</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见表10.2.2-25</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34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∑计日工(暂估数量×综合单价）</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34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施工总承包服务费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3.4.1+3.4.2</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66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6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专业发包工程管理费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∑专业发包工程（暂估金额×费率）</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见表10.2.2-27</w:t>
            </w: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66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甲供材料设备管理费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甲供材料暂估金额×费率+甲供设备暂估金额×费率</w:t>
            </w:r>
          </w:p>
        </w:tc>
        <w:tc>
          <w:tcPr>
            <w:tcW w:w="126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见表10.2.2-27</w:t>
            </w:r>
          </w:p>
        </w:tc>
      </w:tr>
      <w:tr>
        <w:tblPrEx>
          <w:tblCellMar>
            <w:top w:w="0" w:type="dxa"/>
            <w:left w:w="108" w:type="dxa"/>
            <w:bottom w:w="0" w:type="dxa"/>
            <w:right w:w="108" w:type="dxa"/>
          </w:tblCellMar>
        </w:tblPrEx>
        <w:trPr>
          <w:trHeight w:val="465"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4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(1.1+2.1.1)×25.78%</w:t>
            </w:r>
          </w:p>
        </w:tc>
        <w:tc>
          <w:tcPr>
            <w:tcW w:w="12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23917.09</w:t>
            </w: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89"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4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23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(1+2+3+4)×9%</w:t>
            </w:r>
          </w:p>
        </w:tc>
        <w:tc>
          <w:tcPr>
            <w:tcW w:w="12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36439.79</w:t>
            </w:r>
          </w:p>
        </w:tc>
        <w:tc>
          <w:tcPr>
            <w:tcW w:w="1578" w:type="dxa"/>
            <w:gridSpan w:val="3"/>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trPr>
        <w:tc>
          <w:tcPr>
            <w:tcW w:w="4034" w:type="dxa"/>
            <w:gridSpan w:val="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w:t>
            </w:r>
          </w:p>
        </w:tc>
        <w:tc>
          <w:tcPr>
            <w:tcW w:w="3238" w:type="dxa"/>
            <w:gridSpan w:val="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1+2+3+4+5</w:t>
            </w:r>
          </w:p>
        </w:tc>
        <w:tc>
          <w:tcPr>
            <w:tcW w:w="1260"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441326.00</w:t>
            </w:r>
          </w:p>
        </w:tc>
        <w:tc>
          <w:tcPr>
            <w:tcW w:w="15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20"/>
        <w:sectPr>
          <w:headerReference r:id="rId7" w:type="default"/>
          <w:footerReference r:id="rId8" w:type="default"/>
          <w:pgSz w:w="11906" w:h="16838"/>
          <w:pgMar w:top="1418" w:right="1135" w:bottom="1418" w:left="1135" w:header="851" w:footer="992" w:gutter="0"/>
          <w:pgNumType w:fmt="numberInDash"/>
          <w:cols w:space="720" w:num="1"/>
          <w:docGrid w:type="lines" w:linePitch="312" w:charSpace="0"/>
        </w:sectPr>
      </w:pPr>
    </w:p>
    <w:tbl>
      <w:tblPr>
        <w:tblStyle w:val="14"/>
        <w:tblW w:w="15143" w:type="dxa"/>
        <w:jc w:val="center"/>
        <w:shd w:val="clear" w:color="auto" w:fill="auto"/>
        <w:tblLayout w:type="fixed"/>
        <w:tblCellMar>
          <w:top w:w="0" w:type="dxa"/>
          <w:left w:w="108" w:type="dxa"/>
          <w:bottom w:w="0" w:type="dxa"/>
          <w:right w:w="108" w:type="dxa"/>
        </w:tblCellMar>
      </w:tblPr>
      <w:tblGrid>
        <w:gridCol w:w="293"/>
        <w:gridCol w:w="589"/>
        <w:gridCol w:w="161"/>
        <w:gridCol w:w="1125"/>
        <w:gridCol w:w="265"/>
        <w:gridCol w:w="12"/>
        <w:gridCol w:w="203"/>
        <w:gridCol w:w="202"/>
        <w:gridCol w:w="2558"/>
        <w:gridCol w:w="840"/>
        <w:gridCol w:w="190"/>
        <w:gridCol w:w="177"/>
        <w:gridCol w:w="75"/>
        <w:gridCol w:w="75"/>
        <w:gridCol w:w="128"/>
        <w:gridCol w:w="7"/>
        <w:gridCol w:w="15"/>
        <w:gridCol w:w="150"/>
        <w:gridCol w:w="348"/>
        <w:gridCol w:w="62"/>
        <w:gridCol w:w="10"/>
        <w:gridCol w:w="98"/>
        <w:gridCol w:w="27"/>
        <w:gridCol w:w="25"/>
        <w:gridCol w:w="90"/>
        <w:gridCol w:w="68"/>
        <w:gridCol w:w="67"/>
        <w:gridCol w:w="15"/>
        <w:gridCol w:w="410"/>
        <w:gridCol w:w="133"/>
        <w:gridCol w:w="62"/>
        <w:gridCol w:w="10"/>
        <w:gridCol w:w="15"/>
        <w:gridCol w:w="255"/>
        <w:gridCol w:w="23"/>
        <w:gridCol w:w="7"/>
        <w:gridCol w:w="30"/>
        <w:gridCol w:w="113"/>
        <w:gridCol w:w="277"/>
        <w:gridCol w:w="215"/>
        <w:gridCol w:w="43"/>
        <w:gridCol w:w="207"/>
        <w:gridCol w:w="120"/>
        <w:gridCol w:w="45"/>
        <w:gridCol w:w="143"/>
        <w:gridCol w:w="7"/>
        <w:gridCol w:w="233"/>
        <w:gridCol w:w="142"/>
        <w:gridCol w:w="318"/>
        <w:gridCol w:w="147"/>
        <w:gridCol w:w="150"/>
        <w:gridCol w:w="45"/>
        <w:gridCol w:w="105"/>
        <w:gridCol w:w="53"/>
        <w:gridCol w:w="187"/>
        <w:gridCol w:w="113"/>
        <w:gridCol w:w="475"/>
        <w:gridCol w:w="87"/>
        <w:gridCol w:w="120"/>
        <w:gridCol w:w="15"/>
        <w:gridCol w:w="90"/>
        <w:gridCol w:w="68"/>
        <w:gridCol w:w="37"/>
        <w:gridCol w:w="783"/>
        <w:gridCol w:w="12"/>
        <w:gridCol w:w="5"/>
        <w:gridCol w:w="40"/>
        <w:gridCol w:w="135"/>
        <w:gridCol w:w="30"/>
        <w:gridCol w:w="23"/>
        <w:gridCol w:w="632"/>
        <w:gridCol w:w="268"/>
        <w:gridCol w:w="634"/>
        <w:gridCol w:w="56"/>
        <w:gridCol w:w="15"/>
        <w:gridCol w:w="5"/>
        <w:gridCol w:w="25"/>
        <w:gridCol w:w="20"/>
        <w:gridCol w:w="40"/>
        <w:gridCol w:w="45"/>
      </w:tblGrid>
      <w:tr>
        <w:tblPrEx>
          <w:shd w:val="clear" w:color="auto" w:fill="auto"/>
          <w:tblCellMar>
            <w:top w:w="0" w:type="dxa"/>
            <w:left w:w="108" w:type="dxa"/>
            <w:bottom w:w="0" w:type="dxa"/>
            <w:right w:w="108" w:type="dxa"/>
          </w:tblCellMar>
        </w:tblPrEx>
        <w:trPr>
          <w:gridAfter w:val="7"/>
          <w:wAfter w:w="206" w:type="dxa"/>
          <w:trHeight w:val="225" w:hRule="atLeast"/>
          <w:jc w:val="center"/>
        </w:trPr>
        <w:tc>
          <w:tcPr>
            <w:tcW w:w="6438" w:type="dxa"/>
            <w:gridSpan w:val="11"/>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975"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05" w:type="dxa"/>
            <w:gridSpan w:val="11"/>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50" w:type="dxa"/>
            <w:gridSpan w:val="11"/>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15"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75"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00"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877"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02"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645" w:hRule="atLeast"/>
          <w:jc w:val="center"/>
        </w:trPr>
        <w:tc>
          <w:tcPr>
            <w:tcW w:w="14937" w:type="dxa"/>
            <w:gridSpan w:val="7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After w:val="7"/>
          <w:wAfter w:w="206" w:type="dxa"/>
          <w:trHeight w:val="450" w:hRule="atLeast"/>
          <w:jc w:val="center"/>
        </w:trPr>
        <w:tc>
          <w:tcPr>
            <w:tcW w:w="8418" w:type="dxa"/>
            <w:gridSpan w:val="30"/>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单位(专业)工程名称:中国人民解放军某部队犬舍建造-建筑</w:t>
            </w:r>
          </w:p>
        </w:tc>
        <w:tc>
          <w:tcPr>
            <w:tcW w:w="3540" w:type="dxa"/>
            <w:gridSpan w:val="2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979" w:type="dxa"/>
            <w:gridSpan w:val="16"/>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共11页</w:t>
            </w:r>
          </w:p>
        </w:tc>
      </w:tr>
      <w:tr>
        <w:tblPrEx>
          <w:tblCellMar>
            <w:top w:w="0" w:type="dxa"/>
            <w:left w:w="108" w:type="dxa"/>
            <w:bottom w:w="0" w:type="dxa"/>
            <w:right w:w="108" w:type="dxa"/>
          </w:tblCellMar>
        </w:tblPrEx>
        <w:trPr>
          <w:gridAfter w:val="7"/>
          <w:wAfter w:w="206" w:type="dxa"/>
          <w:trHeight w:val="375" w:hRule="atLeast"/>
          <w:jc w:val="center"/>
        </w:trPr>
        <w:tc>
          <w:tcPr>
            <w:tcW w:w="882"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51" w:type="dxa"/>
            <w:gridSpan w:val="3"/>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005" w:type="dxa"/>
            <w:gridSpan w:val="6"/>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75" w:type="dxa"/>
            <w:gridSpan w:val="8"/>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05" w:type="dxa"/>
            <w:gridSpan w:val="11"/>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617" w:type="dxa"/>
            <w:gridSpan w:val="4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902"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After w:val="7"/>
          <w:wAfter w:w="206" w:type="dxa"/>
          <w:trHeight w:val="360" w:hRule="atLeast"/>
          <w:jc w:val="center"/>
        </w:trPr>
        <w:tc>
          <w:tcPr>
            <w:tcW w:w="882"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1" w:type="dxa"/>
            <w:gridSpan w:val="3"/>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5" w:type="dxa"/>
            <w:gridSpan w:val="6"/>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5" w:type="dxa"/>
            <w:gridSpan w:val="8"/>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gridSpan w:val="11"/>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215" w:type="dxa"/>
            <w:gridSpan w:val="8"/>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352" w:type="dxa"/>
            <w:gridSpan w:val="2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902"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360" w:hRule="atLeast"/>
          <w:jc w:val="center"/>
        </w:trPr>
        <w:tc>
          <w:tcPr>
            <w:tcW w:w="882"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1" w:type="dxa"/>
            <w:gridSpan w:val="3"/>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5" w:type="dxa"/>
            <w:gridSpan w:val="6"/>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5" w:type="dxa"/>
            <w:gridSpan w:val="8"/>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gridSpan w:val="8"/>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20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877" w:type="dxa"/>
            <w:gridSpan w:val="7"/>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902"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450"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1" w:type="dxa"/>
            <w:gridSpan w:val="3"/>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犬舍</w:t>
            </w:r>
          </w:p>
        </w:tc>
        <w:tc>
          <w:tcPr>
            <w:tcW w:w="975" w:type="dxa"/>
            <w:gridSpan w:val="8"/>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gridSpan w:val="11"/>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239137.26</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60205.47</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3997.57</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450"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1" w:type="dxa"/>
            <w:gridSpan w:val="3"/>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w:t>
            </w:r>
          </w:p>
        </w:tc>
        <w:tc>
          <w:tcPr>
            <w:tcW w:w="975" w:type="dxa"/>
            <w:gridSpan w:val="8"/>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gridSpan w:val="11"/>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4381.54</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683.61</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1872.28</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450"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挖掘机挖槽坑土方 装车 三类土</w:t>
            </w:r>
          </w:p>
        </w:tc>
        <w:tc>
          <w:tcPr>
            <w:tcW w:w="97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w:t>
            </w:r>
          </w:p>
        </w:tc>
        <w:tc>
          <w:tcPr>
            <w:tcW w:w="1050"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78.45</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29.91</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34.01</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450"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1-39+1-40*2换</w:t>
            </w: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自卸汽车运土 ~运距3000(m)</w:t>
            </w:r>
          </w:p>
        </w:tc>
        <w:tc>
          <w:tcPr>
            <w:tcW w:w="97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w:t>
            </w:r>
          </w:p>
        </w:tc>
        <w:tc>
          <w:tcPr>
            <w:tcW w:w="1050"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129.41</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450"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挖掘机挖槽坑土方 不装车 三类土</w:t>
            </w:r>
          </w:p>
        </w:tc>
        <w:tc>
          <w:tcPr>
            <w:tcW w:w="97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20.96</w:t>
            </w:r>
          </w:p>
        </w:tc>
        <w:tc>
          <w:tcPr>
            <w:tcW w:w="1050"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137.92</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59.53</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52.82</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450"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填土机械碾压 ~两遍</w:t>
            </w:r>
          </w:p>
        </w:tc>
        <w:tc>
          <w:tcPr>
            <w:tcW w:w="97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20.96</w:t>
            </w:r>
          </w:p>
        </w:tc>
        <w:tc>
          <w:tcPr>
            <w:tcW w:w="1050"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42.34</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10.48</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23.06</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450"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3001</w:t>
            </w: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履带式挖掘机1M3以内 场外运输费用</w:t>
            </w:r>
          </w:p>
        </w:tc>
        <w:tc>
          <w:tcPr>
            <w:tcW w:w="97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3993.42</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3993.42</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580.00</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1660.35</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450"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1" w:type="dxa"/>
            <w:gridSpan w:val="3"/>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砌筑工程</w:t>
            </w:r>
          </w:p>
        </w:tc>
        <w:tc>
          <w:tcPr>
            <w:tcW w:w="975" w:type="dxa"/>
            <w:gridSpan w:val="8"/>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gridSpan w:val="11"/>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37615.73</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7897.69</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178.08</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570"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4-6换</w:t>
            </w: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混凝土实心砖 墙厚1砖^混合砂浆 M5.0</w:t>
            </w:r>
          </w:p>
        </w:tc>
        <w:tc>
          <w:tcPr>
            <w:tcW w:w="97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w:t>
            </w:r>
          </w:p>
        </w:tc>
        <w:tc>
          <w:tcPr>
            <w:tcW w:w="1050"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520.89</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2166.90</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678.08</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26.87</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570"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4-41换</w:t>
            </w: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非黏土烧结多孔砖 墙厚1砖^混合砂浆 M5.0</w:t>
            </w:r>
          </w:p>
        </w:tc>
        <w:tc>
          <w:tcPr>
            <w:tcW w:w="97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1050"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443.83</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12160.94</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3473.22</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141.66</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465"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蒸压加气混凝土砌块 墙厚300mm以内（粘结剂）</w:t>
            </w:r>
          </w:p>
        </w:tc>
        <w:tc>
          <w:tcPr>
            <w:tcW w:w="97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53.05</w:t>
            </w:r>
          </w:p>
        </w:tc>
        <w:tc>
          <w:tcPr>
            <w:tcW w:w="1050"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438.98</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23287.89</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3746.39</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450"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1" w:type="dxa"/>
            <w:gridSpan w:val="3"/>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混凝土工程</w:t>
            </w:r>
          </w:p>
        </w:tc>
        <w:tc>
          <w:tcPr>
            <w:tcW w:w="975" w:type="dxa"/>
            <w:gridSpan w:val="8"/>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gridSpan w:val="11"/>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71748.20</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15466.30</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853.74</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480" w:hRule="atLeast"/>
          <w:jc w:val="center"/>
        </w:trPr>
        <w:tc>
          <w:tcPr>
            <w:tcW w:w="882"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51"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00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基础 垫层^非泵送商品砼C15</w:t>
            </w:r>
          </w:p>
        </w:tc>
        <w:tc>
          <w:tcPr>
            <w:tcW w:w="97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50"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465.66</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2468.00</w:t>
            </w:r>
          </w:p>
        </w:tc>
        <w:tc>
          <w:tcPr>
            <w:tcW w:w="127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232.72</w:t>
            </w:r>
          </w:p>
        </w:tc>
        <w:tc>
          <w:tcPr>
            <w:tcW w:w="120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877"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7"/>
          <w:wAfter w:w="206" w:type="dxa"/>
          <w:trHeight w:val="450" w:hRule="atLeast"/>
          <w:jc w:val="center"/>
        </w:trPr>
        <w:tc>
          <w:tcPr>
            <w:tcW w:w="9468" w:type="dxa"/>
            <w:gridSpan w:val="41"/>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215" w:type="dxa"/>
            <w:gridSpan w:val="8"/>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44465.27</w:t>
            </w:r>
          </w:p>
        </w:tc>
        <w:tc>
          <w:tcPr>
            <w:tcW w:w="1275" w:type="dxa"/>
            <w:gridSpan w:val="8"/>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8814.02</w:t>
            </w:r>
          </w:p>
        </w:tc>
        <w:tc>
          <w:tcPr>
            <w:tcW w:w="1200" w:type="dxa"/>
            <w:gridSpan w:val="7"/>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2053.81</w:t>
            </w:r>
          </w:p>
        </w:tc>
        <w:tc>
          <w:tcPr>
            <w:tcW w:w="877" w:type="dxa"/>
            <w:gridSpan w:val="7"/>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92" w:hRule="atLeast"/>
          <w:jc w:val="center"/>
        </w:trPr>
        <w:tc>
          <w:tcPr>
            <w:tcW w:w="6600" w:type="dxa"/>
            <w:gridSpan w:val="14"/>
            <w:tcBorders>
              <w:top w:val="nil"/>
              <w:left w:val="nil"/>
              <w:bottom w:val="nil"/>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900" w:type="dxa"/>
            <w:gridSpan w:val="11"/>
            <w:tcBorders>
              <w:top w:val="nil"/>
              <w:left w:val="nil"/>
              <w:bottom w:val="nil"/>
              <w:right w:val="nil"/>
            </w:tcBorders>
            <w:shd w:val="clear" w:color="auto" w:fill="FFFFFF"/>
            <w:vAlign w:val="bottom"/>
          </w:tcPr>
          <w:p>
            <w:pPr>
              <w:jc w:val="both"/>
              <w:rPr>
                <w:rFonts w:hint="eastAsia" w:ascii="宋体" w:hAnsi="宋体" w:eastAsia="宋体" w:cs="宋体"/>
                <w:i w:val="0"/>
                <w:iCs w:val="0"/>
                <w:color w:val="000000"/>
                <w:sz w:val="18"/>
                <w:szCs w:val="18"/>
                <w:u w:val="none"/>
              </w:rPr>
            </w:pPr>
          </w:p>
        </w:tc>
        <w:tc>
          <w:tcPr>
            <w:tcW w:w="990" w:type="dxa"/>
            <w:gridSpan w:val="9"/>
            <w:tcBorders>
              <w:top w:val="nil"/>
              <w:left w:val="nil"/>
              <w:bottom w:val="nil"/>
              <w:right w:val="nil"/>
            </w:tcBorders>
            <w:shd w:val="clear" w:color="auto" w:fill="FFFFFF"/>
            <w:vAlign w:val="bottom"/>
          </w:tcPr>
          <w:p>
            <w:pPr>
              <w:jc w:val="both"/>
              <w:rPr>
                <w:rFonts w:hint="eastAsia" w:ascii="宋体" w:hAnsi="宋体" w:eastAsia="宋体" w:cs="宋体"/>
                <w:i w:val="0"/>
                <w:iCs w:val="0"/>
                <w:color w:val="000000"/>
                <w:sz w:val="18"/>
                <w:szCs w:val="18"/>
                <w:u w:val="none"/>
              </w:rPr>
            </w:pPr>
          </w:p>
        </w:tc>
        <w:tc>
          <w:tcPr>
            <w:tcW w:w="1200" w:type="dxa"/>
            <w:gridSpan w:val="10"/>
            <w:tcBorders>
              <w:top w:val="nil"/>
              <w:left w:val="nil"/>
              <w:bottom w:val="nil"/>
              <w:right w:val="nil"/>
            </w:tcBorders>
            <w:shd w:val="clear" w:color="auto" w:fill="FFFFFF"/>
            <w:vAlign w:val="bottom"/>
          </w:tcPr>
          <w:p>
            <w:pPr>
              <w:jc w:val="both"/>
              <w:rPr>
                <w:rFonts w:hint="eastAsia" w:ascii="宋体" w:hAnsi="宋体" w:eastAsia="宋体" w:cs="宋体"/>
                <w:i w:val="0"/>
                <w:iCs w:val="0"/>
                <w:color w:val="000000"/>
                <w:sz w:val="18"/>
                <w:szCs w:val="18"/>
                <w:u w:val="none"/>
              </w:rPr>
            </w:pPr>
          </w:p>
        </w:tc>
        <w:tc>
          <w:tcPr>
            <w:tcW w:w="1200" w:type="dxa"/>
            <w:gridSpan w:val="9"/>
            <w:tcBorders>
              <w:top w:val="nil"/>
              <w:left w:val="nil"/>
              <w:bottom w:val="nil"/>
              <w:right w:val="nil"/>
            </w:tcBorders>
            <w:shd w:val="clear" w:color="auto" w:fill="FFFFFF"/>
            <w:vAlign w:val="bottom"/>
          </w:tcPr>
          <w:p>
            <w:pPr>
              <w:jc w:val="both"/>
              <w:rPr>
                <w:rFonts w:hint="eastAsia" w:ascii="宋体" w:hAnsi="宋体" w:eastAsia="宋体" w:cs="宋体"/>
                <w:i w:val="0"/>
                <w:iCs w:val="0"/>
                <w:color w:val="000000"/>
                <w:sz w:val="18"/>
                <w:szCs w:val="18"/>
                <w:u w:val="none"/>
              </w:rPr>
            </w:pPr>
          </w:p>
        </w:tc>
        <w:tc>
          <w:tcPr>
            <w:tcW w:w="1155" w:type="dxa"/>
            <w:gridSpan w:val="8"/>
            <w:tcBorders>
              <w:top w:val="nil"/>
              <w:left w:val="nil"/>
              <w:bottom w:val="nil"/>
              <w:right w:val="nil"/>
            </w:tcBorders>
            <w:shd w:val="clear" w:color="auto" w:fill="FFFFFF"/>
            <w:vAlign w:val="bottom"/>
          </w:tcPr>
          <w:p>
            <w:pPr>
              <w:jc w:val="both"/>
              <w:rPr>
                <w:rFonts w:hint="eastAsia" w:ascii="宋体" w:hAnsi="宋体" w:eastAsia="宋体" w:cs="宋体"/>
                <w:i w:val="0"/>
                <w:iCs w:val="0"/>
                <w:color w:val="000000"/>
                <w:sz w:val="18"/>
                <w:szCs w:val="18"/>
                <w:u w:val="none"/>
              </w:rPr>
            </w:pPr>
          </w:p>
        </w:tc>
        <w:tc>
          <w:tcPr>
            <w:tcW w:w="1065" w:type="dxa"/>
            <w:gridSpan w:val="8"/>
            <w:tcBorders>
              <w:top w:val="nil"/>
              <w:left w:val="nil"/>
              <w:bottom w:val="nil"/>
              <w:right w:val="nil"/>
            </w:tcBorders>
            <w:shd w:val="clear" w:color="auto" w:fill="FFFFFF"/>
            <w:vAlign w:val="bottom"/>
          </w:tcPr>
          <w:p>
            <w:pPr>
              <w:jc w:val="both"/>
              <w:rPr>
                <w:rFonts w:hint="eastAsia" w:ascii="宋体" w:hAnsi="宋体" w:eastAsia="宋体" w:cs="宋体"/>
                <w:i w:val="0"/>
                <w:iCs w:val="0"/>
                <w:color w:val="000000"/>
                <w:sz w:val="18"/>
                <w:szCs w:val="18"/>
                <w:u w:val="none"/>
              </w:rPr>
            </w:pPr>
          </w:p>
        </w:tc>
        <w:tc>
          <w:tcPr>
            <w:tcW w:w="900" w:type="dxa"/>
            <w:gridSpan w:val="2"/>
            <w:tcBorders>
              <w:top w:val="nil"/>
              <w:left w:val="nil"/>
              <w:bottom w:val="nil"/>
              <w:right w:val="nil"/>
            </w:tcBorders>
            <w:shd w:val="clear" w:color="auto" w:fill="FFFFFF"/>
            <w:vAlign w:val="bottom"/>
          </w:tcPr>
          <w:p>
            <w:pPr>
              <w:jc w:val="both"/>
              <w:rPr>
                <w:rFonts w:hint="eastAsia" w:ascii="宋体" w:hAnsi="宋体" w:eastAsia="宋体" w:cs="宋体"/>
                <w:i w:val="0"/>
                <w:iCs w:val="0"/>
                <w:color w:val="000000"/>
                <w:sz w:val="18"/>
                <w:szCs w:val="18"/>
                <w:u w:val="none"/>
              </w:rPr>
            </w:pPr>
          </w:p>
        </w:tc>
        <w:tc>
          <w:tcPr>
            <w:tcW w:w="735" w:type="dxa"/>
            <w:gridSpan w:val="5"/>
            <w:tcBorders>
              <w:top w:val="nil"/>
              <w:left w:val="nil"/>
              <w:bottom w:val="nil"/>
              <w:right w:val="nil"/>
            </w:tcBorders>
            <w:shd w:val="clear" w:color="auto" w:fill="FFFFFF"/>
            <w:vAlign w:val="bottom"/>
          </w:tcPr>
          <w:p>
            <w:pPr>
              <w:jc w:val="both"/>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354" w:hRule="atLeast"/>
          <w:jc w:val="center"/>
        </w:trPr>
        <w:tc>
          <w:tcPr>
            <w:tcW w:w="14745" w:type="dxa"/>
            <w:gridSpan w:val="7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8490" w:type="dxa"/>
            <w:gridSpan w:val="34"/>
            <w:tcBorders>
              <w:top w:val="nil"/>
              <w:left w:val="nil"/>
              <w:bottom w:val="nil"/>
              <w:right w:val="nil"/>
            </w:tcBorders>
            <w:shd w:val="clear" w:color="auto" w:fill="FFFFFF"/>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单位(专业)工程名称:中国人民解放军某部队犬舍建造-建筑</w:t>
            </w:r>
          </w:p>
        </w:tc>
        <w:tc>
          <w:tcPr>
            <w:tcW w:w="3555" w:type="dxa"/>
            <w:gridSpan w:val="27"/>
            <w:tcBorders>
              <w:top w:val="nil"/>
              <w:left w:val="nil"/>
              <w:bottom w:val="nil"/>
              <w:right w:val="nil"/>
            </w:tcBorders>
            <w:shd w:val="clear" w:color="auto" w:fill="FFFFFF"/>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700" w:type="dxa"/>
            <w:gridSpan w:val="15"/>
            <w:tcBorders>
              <w:top w:val="nil"/>
              <w:left w:val="nil"/>
              <w:bottom w:val="nil"/>
              <w:right w:val="nil"/>
            </w:tcBorders>
            <w:shd w:val="clear" w:color="auto" w:fill="FFFFFF"/>
            <w:vAlign w:val="bottom"/>
          </w:tcPr>
          <w:p>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共11页</w:t>
            </w: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86"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725" w:type="dxa"/>
            <w:gridSpan w:val="11"/>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00" w:type="dxa"/>
            <w:gridSpan w:val="11"/>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90" w:type="dxa"/>
            <w:gridSpan w:val="9"/>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520" w:type="dxa"/>
            <w:gridSpan w:val="3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35"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gridAfter w:val="3"/>
          <w:wBefore w:w="293" w:type="dxa"/>
          <w:wAfter w:w="105" w:type="dxa"/>
          <w:trHeight w:val="360"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86"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725"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0"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gridSpan w:val="10"/>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200" w:type="dxa"/>
            <w:gridSpan w:val="9"/>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120" w:type="dxa"/>
            <w:gridSpan w:val="18"/>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35"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86"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725"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0"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6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900"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35"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57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5-3换</w:t>
            </w:r>
          </w:p>
        </w:tc>
        <w:tc>
          <w:tcPr>
            <w:tcW w:w="472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基础 混凝土^非泵送商品混凝土C25</w:t>
            </w:r>
          </w:p>
        </w:tc>
        <w:tc>
          <w:tcPr>
            <w:tcW w:w="900"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505.19</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4486.09</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344.01</w:t>
            </w:r>
          </w:p>
        </w:tc>
        <w:tc>
          <w:tcPr>
            <w:tcW w:w="106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90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57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8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5-6换</w:t>
            </w:r>
          </w:p>
        </w:tc>
        <w:tc>
          <w:tcPr>
            <w:tcW w:w="472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矩形柱、异形柱、圆形柱浇捣^非泵送商品混凝土C25</w:t>
            </w:r>
          </w:p>
        </w:tc>
        <w:tc>
          <w:tcPr>
            <w:tcW w:w="900"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582.12</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2532.22</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429.82</w:t>
            </w:r>
          </w:p>
        </w:tc>
        <w:tc>
          <w:tcPr>
            <w:tcW w:w="106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90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57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8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5-9换</w:t>
            </w:r>
          </w:p>
        </w:tc>
        <w:tc>
          <w:tcPr>
            <w:tcW w:w="472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矩形梁、异形梁、弧形梁^非泵送商品混凝土C25</w:t>
            </w:r>
          </w:p>
        </w:tc>
        <w:tc>
          <w:tcPr>
            <w:tcW w:w="900"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527.98</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1758.17</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183.52</w:t>
            </w:r>
          </w:p>
        </w:tc>
        <w:tc>
          <w:tcPr>
            <w:tcW w:w="106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0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8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472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圈梁、过梁、拱形梁^非泵送商品砼C25</w:t>
            </w:r>
          </w:p>
        </w:tc>
        <w:tc>
          <w:tcPr>
            <w:tcW w:w="900"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595.57</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285.87</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51.43</w:t>
            </w:r>
          </w:p>
        </w:tc>
        <w:tc>
          <w:tcPr>
            <w:tcW w:w="106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w:t>
            </w:r>
          </w:p>
        </w:tc>
        <w:tc>
          <w:tcPr>
            <w:tcW w:w="90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3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8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5-16换</w:t>
            </w:r>
          </w:p>
        </w:tc>
        <w:tc>
          <w:tcPr>
            <w:tcW w:w="472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平板^非泵送商品混凝土C20</w:t>
            </w:r>
          </w:p>
        </w:tc>
        <w:tc>
          <w:tcPr>
            <w:tcW w:w="900"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9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518.45</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10970.40</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1250.13</w:t>
            </w:r>
          </w:p>
        </w:tc>
        <w:tc>
          <w:tcPr>
            <w:tcW w:w="106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15.45</w:t>
            </w:r>
          </w:p>
        </w:tc>
        <w:tc>
          <w:tcPr>
            <w:tcW w:w="90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8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472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现浇混凝土模板 基础垫层模板</w:t>
            </w:r>
          </w:p>
        </w:tc>
        <w:tc>
          <w:tcPr>
            <w:tcW w:w="900"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22.73</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47.59</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1081.72</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638.94</w:t>
            </w:r>
          </w:p>
        </w:tc>
        <w:tc>
          <w:tcPr>
            <w:tcW w:w="106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w:t>
            </w:r>
          </w:p>
        </w:tc>
        <w:tc>
          <w:tcPr>
            <w:tcW w:w="90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8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472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现浇带形基础 无梁式 复合木模</w:t>
            </w:r>
          </w:p>
        </w:tc>
        <w:tc>
          <w:tcPr>
            <w:tcW w:w="900"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70.848</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43.47</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3079.76</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1651.47</w:t>
            </w:r>
          </w:p>
        </w:tc>
        <w:tc>
          <w:tcPr>
            <w:tcW w:w="106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41.09</w:t>
            </w:r>
          </w:p>
        </w:tc>
        <w:tc>
          <w:tcPr>
            <w:tcW w:w="90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57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8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5-119</w:t>
            </w:r>
          </w:p>
        </w:tc>
        <w:tc>
          <w:tcPr>
            <w:tcW w:w="472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矩形柱 复合木模~支模高度3.6m以内</w:t>
            </w:r>
          </w:p>
        </w:tc>
        <w:tc>
          <w:tcPr>
            <w:tcW w:w="900"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68.31</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3640.24</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1930.44</w:t>
            </w:r>
          </w:p>
        </w:tc>
        <w:tc>
          <w:tcPr>
            <w:tcW w:w="106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112.03</w:t>
            </w:r>
          </w:p>
        </w:tc>
        <w:tc>
          <w:tcPr>
            <w:tcW w:w="90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57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5-131</w:t>
            </w:r>
          </w:p>
        </w:tc>
        <w:tc>
          <w:tcPr>
            <w:tcW w:w="472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矩形梁 复合木模~支模高度3.6m以内</w:t>
            </w:r>
          </w:p>
        </w:tc>
        <w:tc>
          <w:tcPr>
            <w:tcW w:w="900"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27.76</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66.45</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1844.65</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979.10</w:t>
            </w:r>
          </w:p>
        </w:tc>
        <w:tc>
          <w:tcPr>
            <w:tcW w:w="106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67.46</w:t>
            </w:r>
          </w:p>
        </w:tc>
        <w:tc>
          <w:tcPr>
            <w:tcW w:w="90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8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5-140</w:t>
            </w:r>
          </w:p>
        </w:tc>
        <w:tc>
          <w:tcPr>
            <w:tcW w:w="472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直形圈过梁 复合木模</w:t>
            </w:r>
          </w:p>
        </w:tc>
        <w:tc>
          <w:tcPr>
            <w:tcW w:w="900"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7.094</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53.47</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379.32</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231.48</w:t>
            </w:r>
          </w:p>
        </w:tc>
        <w:tc>
          <w:tcPr>
            <w:tcW w:w="106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90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0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8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5-144</w:t>
            </w:r>
          </w:p>
        </w:tc>
        <w:tc>
          <w:tcPr>
            <w:tcW w:w="472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板 复合木模~支模高度3.6m</w:t>
            </w:r>
          </w:p>
        </w:tc>
        <w:tc>
          <w:tcPr>
            <w:tcW w:w="900"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9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188.78</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47.09</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8889.65</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4190.92</w:t>
            </w:r>
          </w:p>
        </w:tc>
        <w:tc>
          <w:tcPr>
            <w:tcW w:w="106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354.91</w:t>
            </w:r>
          </w:p>
        </w:tc>
        <w:tc>
          <w:tcPr>
            <w:tcW w:w="90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39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8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472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现浇构件圆钢筋 HPB300 直径（mm以内）10</w:t>
            </w:r>
          </w:p>
        </w:tc>
        <w:tc>
          <w:tcPr>
            <w:tcW w:w="900"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9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5529.17</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165.88</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21.49</w:t>
            </w:r>
          </w:p>
        </w:tc>
        <w:tc>
          <w:tcPr>
            <w:tcW w:w="106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w:t>
            </w:r>
          </w:p>
        </w:tc>
        <w:tc>
          <w:tcPr>
            <w:tcW w:w="90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9690" w:type="dxa"/>
            <w:gridSpan w:val="4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200" w:type="dxa"/>
            <w:gridSpan w:val="9"/>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39113.97</w:t>
            </w:r>
          </w:p>
        </w:tc>
        <w:tc>
          <w:tcPr>
            <w:tcW w:w="1155" w:type="dxa"/>
            <w:gridSpan w:val="8"/>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11902.75</w:t>
            </w:r>
          </w:p>
        </w:tc>
        <w:tc>
          <w:tcPr>
            <w:tcW w:w="1065" w:type="dxa"/>
            <w:gridSpan w:val="8"/>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621.74</w:t>
            </w:r>
          </w:p>
        </w:tc>
        <w:tc>
          <w:tcPr>
            <w:tcW w:w="900" w:type="dxa"/>
            <w:gridSpan w:val="2"/>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107" w:hRule="atLeast"/>
          <w:jc w:val="center"/>
        </w:trPr>
        <w:tc>
          <w:tcPr>
            <w:tcW w:w="6397"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795"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20" w:type="dxa"/>
            <w:gridSpan w:val="1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35" w:type="dxa"/>
            <w:gridSpan w:val="11"/>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40"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00"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90" w:type="dxa"/>
            <w:gridSpan w:val="5"/>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33"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840"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330" w:hRule="atLeast"/>
          <w:jc w:val="center"/>
        </w:trPr>
        <w:tc>
          <w:tcPr>
            <w:tcW w:w="14850" w:type="dxa"/>
            <w:gridSpan w:val="7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wBefore w:w="293" w:type="dxa"/>
          <w:trHeight w:val="450" w:hRule="atLeast"/>
          <w:jc w:val="center"/>
        </w:trPr>
        <w:tc>
          <w:tcPr>
            <w:tcW w:w="8212" w:type="dxa"/>
            <w:gridSpan w:val="3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单位(专业)工程名称:中国人民解放军某部队犬舍建造-建筑</w:t>
            </w:r>
          </w:p>
        </w:tc>
        <w:tc>
          <w:tcPr>
            <w:tcW w:w="3675" w:type="dxa"/>
            <w:gridSpan w:val="2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963" w:type="dxa"/>
            <w:gridSpan w:val="20"/>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共11页</w:t>
            </w:r>
          </w:p>
        </w:tc>
      </w:tr>
      <w:tr>
        <w:tblPrEx>
          <w:tblCellMar>
            <w:top w:w="0" w:type="dxa"/>
            <w:left w:w="108" w:type="dxa"/>
            <w:bottom w:w="0" w:type="dxa"/>
            <w:right w:w="108" w:type="dxa"/>
          </w:tblCellMar>
        </w:tblPrEx>
        <w:trPr>
          <w:gridBefore w:val="1"/>
          <w:wBefore w:w="293" w:type="dxa"/>
          <w:trHeight w:val="390" w:hRule="atLeast"/>
          <w:jc w:val="center"/>
        </w:trPr>
        <w:tc>
          <w:tcPr>
            <w:tcW w:w="58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63"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245" w:type="dxa"/>
            <w:gridSpan w:val="7"/>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95" w:type="dxa"/>
            <w:gridSpan w:val="8"/>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20" w:type="dxa"/>
            <w:gridSpan w:val="1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798" w:type="dxa"/>
            <w:gridSpan w:val="3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840" w:type="dxa"/>
            <w:gridSpan w:val="8"/>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wBefore w:w="293" w:type="dxa"/>
          <w:trHeight w:val="360"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3"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45" w:type="dxa"/>
            <w:gridSpan w:val="7"/>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95" w:type="dxa"/>
            <w:gridSpan w:val="8"/>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dxa"/>
            <w:gridSpan w:val="1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1"/>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40" w:type="dxa"/>
            <w:gridSpan w:val="7"/>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323" w:type="dxa"/>
            <w:gridSpan w:val="21"/>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840" w:type="dxa"/>
            <w:gridSpan w:val="8"/>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20"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3"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45" w:type="dxa"/>
            <w:gridSpan w:val="7"/>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95" w:type="dxa"/>
            <w:gridSpan w:val="8"/>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dxa"/>
            <w:gridSpan w:val="1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gridSpan w:val="7"/>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990"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133" w:type="dxa"/>
            <w:gridSpan w:val="7"/>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840" w:type="dxa"/>
            <w:gridSpan w:val="8"/>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9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63"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现浇构件带肋钢筋 HRB400以内 直径（mm以内）10</w:t>
            </w:r>
          </w:p>
        </w:tc>
        <w:tc>
          <w:tcPr>
            <w:tcW w:w="79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20"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1335"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5483.47</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13544.17</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1470.93</w:t>
            </w:r>
          </w:p>
        </w:tc>
        <w:tc>
          <w:tcPr>
            <w:tcW w:w="990"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53.77</w:t>
            </w: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63"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现浇构件带肋钢筋 HRB400以内 直径（mm以内）18</w:t>
            </w:r>
          </w:p>
        </w:tc>
        <w:tc>
          <w:tcPr>
            <w:tcW w:w="79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20"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335"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5310.73</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13861.01</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1338.59</w:t>
            </w:r>
          </w:p>
        </w:tc>
        <w:tc>
          <w:tcPr>
            <w:tcW w:w="990"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151.59</w:t>
            </w: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0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563"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w:t>
            </w: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箍筋 带肋钢筋 HRB400以内 直径（mm以内）10</w:t>
            </w:r>
          </w:p>
        </w:tc>
        <w:tc>
          <w:tcPr>
            <w:tcW w:w="79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20"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w:t>
            </w:r>
          </w:p>
        </w:tc>
        <w:tc>
          <w:tcPr>
            <w:tcW w:w="1335"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6275.11</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2761.05</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521.31</w:t>
            </w:r>
          </w:p>
        </w:tc>
        <w:tc>
          <w:tcPr>
            <w:tcW w:w="990"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23.19</w:t>
            </w: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3"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门窗工程</w:t>
            </w:r>
          </w:p>
        </w:tc>
        <w:tc>
          <w:tcPr>
            <w:tcW w:w="795" w:type="dxa"/>
            <w:gridSpan w:val="8"/>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1"/>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45842.81</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2032.06</w:t>
            </w:r>
          </w:p>
        </w:tc>
        <w:tc>
          <w:tcPr>
            <w:tcW w:w="99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63"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除税综合价</w:t>
            </w: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防盗门900*2100</w:t>
            </w:r>
          </w:p>
        </w:tc>
        <w:tc>
          <w:tcPr>
            <w:tcW w:w="79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0"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w:t>
            </w:r>
          </w:p>
        </w:tc>
        <w:tc>
          <w:tcPr>
            <w:tcW w:w="1335"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6804.00</w:t>
            </w:r>
          </w:p>
        </w:tc>
        <w:tc>
          <w:tcPr>
            <w:tcW w:w="120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9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63"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8-122</w:t>
            </w: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不锈钢防盗格栅窗安装</w:t>
            </w:r>
          </w:p>
        </w:tc>
        <w:tc>
          <w:tcPr>
            <w:tcW w:w="79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0"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1335"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500.97</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1923.72</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90.62</w:t>
            </w:r>
          </w:p>
        </w:tc>
        <w:tc>
          <w:tcPr>
            <w:tcW w:w="99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563"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w:t>
            </w: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铝合金格栅门安装</w:t>
            </w:r>
          </w:p>
        </w:tc>
        <w:tc>
          <w:tcPr>
            <w:tcW w:w="79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0"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79.6</w:t>
            </w:r>
          </w:p>
        </w:tc>
        <w:tc>
          <w:tcPr>
            <w:tcW w:w="1335"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466.27</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37115.09</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1941.44</w:t>
            </w:r>
          </w:p>
        </w:tc>
        <w:tc>
          <w:tcPr>
            <w:tcW w:w="99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3"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水泥砂浆地面</w:t>
            </w:r>
          </w:p>
        </w:tc>
        <w:tc>
          <w:tcPr>
            <w:tcW w:w="795" w:type="dxa"/>
            <w:gridSpan w:val="8"/>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1"/>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14895.40</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3575.35</w:t>
            </w:r>
          </w:p>
        </w:tc>
        <w:tc>
          <w:tcPr>
            <w:tcW w:w="990"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417.11</w:t>
            </w: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563"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D2-68</w:t>
            </w: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路基填筑  塘渣</w:t>
            </w:r>
          </w:p>
        </w:tc>
        <w:tc>
          <w:tcPr>
            <w:tcW w:w="79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0"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43.632</w:t>
            </w:r>
          </w:p>
        </w:tc>
        <w:tc>
          <w:tcPr>
            <w:tcW w:w="1335"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93.88</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4096.17</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147.91</w:t>
            </w:r>
          </w:p>
        </w:tc>
        <w:tc>
          <w:tcPr>
            <w:tcW w:w="990"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197.65</w:t>
            </w: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563"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 干铺</w:t>
            </w:r>
          </w:p>
        </w:tc>
        <w:tc>
          <w:tcPr>
            <w:tcW w:w="79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0"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7.272</w:t>
            </w:r>
          </w:p>
        </w:tc>
        <w:tc>
          <w:tcPr>
            <w:tcW w:w="1335"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230.38</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1675.32</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388.03</w:t>
            </w:r>
          </w:p>
        </w:tc>
        <w:tc>
          <w:tcPr>
            <w:tcW w:w="990"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57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63"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5-1换</w:t>
            </w: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基础 垫层^现浇现拌混凝土 C15（40）</w:t>
            </w:r>
          </w:p>
        </w:tc>
        <w:tc>
          <w:tcPr>
            <w:tcW w:w="79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20"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11.6352</w:t>
            </w:r>
          </w:p>
        </w:tc>
        <w:tc>
          <w:tcPr>
            <w:tcW w:w="1335"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398.14</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4632.44</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510.90</w:t>
            </w:r>
          </w:p>
        </w:tc>
        <w:tc>
          <w:tcPr>
            <w:tcW w:w="990"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2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563"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11-1换</w:t>
            </w: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砂浆找平层^水泥砂浆 1:2.5~厚20mm</w:t>
            </w:r>
          </w:p>
        </w:tc>
        <w:tc>
          <w:tcPr>
            <w:tcW w:w="79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20"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145.44</w:t>
            </w:r>
          </w:p>
        </w:tc>
        <w:tc>
          <w:tcPr>
            <w:tcW w:w="1335"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20.74</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3016.43</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1455.85</w:t>
            </w:r>
          </w:p>
        </w:tc>
        <w:tc>
          <w:tcPr>
            <w:tcW w:w="990"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81.45</w:t>
            </w: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63"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4245"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现场搅拌混凝土调整费</w:t>
            </w:r>
          </w:p>
        </w:tc>
        <w:tc>
          <w:tcPr>
            <w:tcW w:w="79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1020"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1.886195</w:t>
            </w:r>
          </w:p>
        </w:tc>
        <w:tc>
          <w:tcPr>
            <w:tcW w:w="1335" w:type="dxa"/>
            <w:gridSpan w:val="11"/>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782.02</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1475.04</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1072.66</w:t>
            </w:r>
          </w:p>
        </w:tc>
        <w:tc>
          <w:tcPr>
            <w:tcW w:w="990"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122.96</w:t>
            </w:r>
          </w:p>
        </w:tc>
        <w:tc>
          <w:tcPr>
            <w:tcW w:w="1133"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9547" w:type="dxa"/>
            <w:gridSpan w:val="43"/>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140" w:type="dxa"/>
            <w:gridSpan w:val="7"/>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90904.44</w:t>
            </w:r>
          </w:p>
        </w:tc>
        <w:tc>
          <w:tcPr>
            <w:tcW w:w="1200" w:type="dxa"/>
            <w:gridSpan w:val="9"/>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8938.24</w:t>
            </w:r>
          </w:p>
        </w:tc>
        <w:tc>
          <w:tcPr>
            <w:tcW w:w="990"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645.66</w:t>
            </w:r>
          </w:p>
        </w:tc>
        <w:tc>
          <w:tcPr>
            <w:tcW w:w="1133" w:type="dxa"/>
            <w:gridSpan w:val="7"/>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340" w:hRule="atLeast"/>
          <w:jc w:val="center"/>
        </w:trPr>
        <w:tc>
          <w:tcPr>
            <w:tcW w:w="6472" w:type="dxa"/>
            <w:gridSpan w:val="1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870" w:type="dxa"/>
            <w:gridSpan w:val="10"/>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55" w:type="dxa"/>
            <w:gridSpan w:val="1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50"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40"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00"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00"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23" w:type="dxa"/>
            <w:gridSpan w:val="3"/>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95"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519" w:hRule="atLeast"/>
          <w:jc w:val="center"/>
        </w:trPr>
        <w:tc>
          <w:tcPr>
            <w:tcW w:w="14805" w:type="dxa"/>
            <w:gridSpan w:val="7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gridAfter w:val="1"/>
          <w:wBefore w:w="293" w:type="dxa"/>
          <w:wAfter w:w="45" w:type="dxa"/>
          <w:trHeight w:val="450" w:hRule="atLeast"/>
          <w:jc w:val="center"/>
        </w:trPr>
        <w:tc>
          <w:tcPr>
            <w:tcW w:w="8497" w:type="dxa"/>
            <w:gridSpan w:val="3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单位(专业)工程名称:中国人民解放军某部队犬舍建造-建筑</w:t>
            </w:r>
          </w:p>
        </w:tc>
        <w:tc>
          <w:tcPr>
            <w:tcW w:w="3390" w:type="dxa"/>
            <w:gridSpan w:val="2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918" w:type="dxa"/>
            <w:gridSpan w:val="19"/>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第4页 共11页</w:t>
            </w:r>
          </w:p>
        </w:tc>
      </w:tr>
      <w:tr>
        <w:tblPrEx>
          <w:tblCellMar>
            <w:top w:w="0" w:type="dxa"/>
            <w:left w:w="108" w:type="dxa"/>
            <w:bottom w:w="0" w:type="dxa"/>
            <w:right w:w="108" w:type="dxa"/>
          </w:tblCellMar>
        </w:tblPrEx>
        <w:trPr>
          <w:gridBefore w:val="1"/>
          <w:gridAfter w:val="1"/>
          <w:wBefore w:w="293" w:type="dxa"/>
          <w:wAfter w:w="45" w:type="dxa"/>
          <w:trHeight w:val="405" w:hRule="atLeast"/>
          <w:jc w:val="center"/>
        </w:trPr>
        <w:tc>
          <w:tcPr>
            <w:tcW w:w="58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68" w:type="dxa"/>
            <w:gridSpan w:val="6"/>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915" w:type="dxa"/>
            <w:gridSpan w:val="6"/>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0" w:type="dxa"/>
            <w:gridSpan w:val="10"/>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155" w:type="dxa"/>
            <w:gridSpan w:val="1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513" w:type="dxa"/>
            <w:gridSpan w:val="3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95" w:type="dxa"/>
            <w:gridSpan w:val="7"/>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gridAfter w:val="1"/>
          <w:wBefore w:w="293" w:type="dxa"/>
          <w:wAfter w:w="45" w:type="dxa"/>
          <w:trHeight w:val="360"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8" w:type="dxa"/>
            <w:gridSpan w:val="6"/>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15" w:type="dxa"/>
            <w:gridSpan w:val="6"/>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0"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1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gridSpan w:val="8"/>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40" w:type="dxa"/>
            <w:gridSpan w:val="7"/>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323" w:type="dxa"/>
            <w:gridSpan w:val="21"/>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95" w:type="dxa"/>
            <w:gridSpan w:val="7"/>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05"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8" w:type="dxa"/>
            <w:gridSpan w:val="6"/>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15" w:type="dxa"/>
            <w:gridSpan w:val="6"/>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0"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1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gridSpan w:val="8"/>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gridSpan w:val="7"/>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20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923"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95" w:type="dxa"/>
            <w:gridSpan w:val="7"/>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8" w:type="dxa"/>
            <w:gridSpan w:val="6"/>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白色乳胶漆内墙面</w:t>
            </w:r>
          </w:p>
        </w:tc>
        <w:tc>
          <w:tcPr>
            <w:tcW w:w="870"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gridSpan w:val="8"/>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25375.23</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14544.29</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264.28</w:t>
            </w: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57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968"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12-16+12-3*5换</w:t>
            </w: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墙面砂浆打底找平 15mm厚^水泥砂浆 1:2.5~厚度20(mm)</w:t>
            </w:r>
          </w:p>
        </w:tc>
        <w:tc>
          <w:tcPr>
            <w:tcW w:w="87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5"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447.93</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23.98</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10741.36</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5522.98</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264.28</w:t>
            </w: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68"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14-141</w:t>
            </w: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抹灰面批刮腻子（满刮两遍）</w:t>
            </w:r>
          </w:p>
        </w:tc>
        <w:tc>
          <w:tcPr>
            <w:tcW w:w="87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5"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447.93</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14.74</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6602.49</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4371.80</w:t>
            </w:r>
          </w:p>
        </w:tc>
        <w:tc>
          <w:tcPr>
            <w:tcW w:w="120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36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68"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14-128+14-129*1换</w:t>
            </w: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墙、柱、天棚面刷乳胶漆 ~遍数3</w:t>
            </w:r>
          </w:p>
        </w:tc>
        <w:tc>
          <w:tcPr>
            <w:tcW w:w="87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5"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447.93</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17.93</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8031.38</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4649.51</w:t>
            </w:r>
          </w:p>
        </w:tc>
        <w:tc>
          <w:tcPr>
            <w:tcW w:w="120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05"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8" w:type="dxa"/>
            <w:gridSpan w:val="6"/>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犬舍水泥砂浆墙面</w:t>
            </w:r>
          </w:p>
        </w:tc>
        <w:tc>
          <w:tcPr>
            <w:tcW w:w="870"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gridSpan w:val="8"/>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2900.66</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1647.83</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58.55</w:t>
            </w: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3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68"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12-1换</w:t>
            </w: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内墙砂浆抹灰 14+6mm厚^水泥砂浆 1:2.5</w:t>
            </w:r>
          </w:p>
        </w:tc>
        <w:tc>
          <w:tcPr>
            <w:tcW w:w="87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5"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92.94</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31.21</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2900.66</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1647.83</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58.55</w:t>
            </w: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375"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8" w:type="dxa"/>
            <w:gridSpan w:val="6"/>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白色乳胶漆吊顶</w:t>
            </w:r>
          </w:p>
        </w:tc>
        <w:tc>
          <w:tcPr>
            <w:tcW w:w="870"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gridSpan w:val="8"/>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8444.13</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5107.01</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67.56</w:t>
            </w: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968"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13-1换</w:t>
            </w: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天棚一般抹灰^水泥砂浆 1:2.5</w:t>
            </w:r>
          </w:p>
        </w:tc>
        <w:tc>
          <w:tcPr>
            <w:tcW w:w="87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5"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146.88</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24.82</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3645.56</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2148.85</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67.56</w:t>
            </w: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968"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14-141</w:t>
            </w: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抹灰面批刮腻子（满刮两遍）</w:t>
            </w:r>
          </w:p>
        </w:tc>
        <w:tc>
          <w:tcPr>
            <w:tcW w:w="87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5"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146.88</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14.74</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2165.01</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1433.55</w:t>
            </w:r>
          </w:p>
        </w:tc>
        <w:tc>
          <w:tcPr>
            <w:tcW w:w="120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968"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14-128+14-129*1换</w:t>
            </w: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墙、柱、天棚面刷乳胶漆 ~遍数3</w:t>
            </w:r>
          </w:p>
        </w:tc>
        <w:tc>
          <w:tcPr>
            <w:tcW w:w="87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5"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146.88</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17.93</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2633.56</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1524.61</w:t>
            </w:r>
          </w:p>
        </w:tc>
        <w:tc>
          <w:tcPr>
            <w:tcW w:w="120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8" w:type="dxa"/>
            <w:gridSpan w:val="6"/>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外墙涂料</w:t>
            </w:r>
          </w:p>
        </w:tc>
        <w:tc>
          <w:tcPr>
            <w:tcW w:w="870"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gridSpan w:val="8"/>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8897.67</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4478.57</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80.95</w:t>
            </w: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968"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12-16换</w:t>
            </w: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墙面砂浆打底找平 15mm厚^水泥砂浆 1:3</w:t>
            </w:r>
          </w:p>
        </w:tc>
        <w:tc>
          <w:tcPr>
            <w:tcW w:w="87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5"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20.85</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3444.42</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1975.79</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72.69</w:t>
            </w: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68"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w:t>
            </w: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聚合物水泥防水砂浆 ~5mm厚</w:t>
            </w:r>
          </w:p>
        </w:tc>
        <w:tc>
          <w:tcPr>
            <w:tcW w:w="87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5"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11.67</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1927.88</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665.76</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w:t>
            </w: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968"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14-146</w:t>
            </w:r>
          </w:p>
        </w:tc>
        <w:tc>
          <w:tcPr>
            <w:tcW w:w="391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外墙涂料 丙烯酸涂料</w:t>
            </w:r>
          </w:p>
        </w:tc>
        <w:tc>
          <w:tcPr>
            <w:tcW w:w="87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5"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21.34</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3525.37</w:t>
            </w:r>
          </w:p>
        </w:tc>
        <w:tc>
          <w:tcPr>
            <w:tcW w:w="120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1837.02</w:t>
            </w:r>
          </w:p>
        </w:tc>
        <w:tc>
          <w:tcPr>
            <w:tcW w:w="120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293" w:type="dxa"/>
          <w:wAfter w:w="45" w:type="dxa"/>
          <w:trHeight w:val="450" w:hRule="atLeast"/>
          <w:jc w:val="center"/>
        </w:trPr>
        <w:tc>
          <w:tcPr>
            <w:tcW w:w="9547" w:type="dxa"/>
            <w:gridSpan w:val="43"/>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140" w:type="dxa"/>
            <w:gridSpan w:val="7"/>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45617.69</w:t>
            </w:r>
          </w:p>
        </w:tc>
        <w:tc>
          <w:tcPr>
            <w:tcW w:w="1200" w:type="dxa"/>
            <w:gridSpan w:val="9"/>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25777.70</w:t>
            </w:r>
          </w:p>
        </w:tc>
        <w:tc>
          <w:tcPr>
            <w:tcW w:w="1200" w:type="dxa"/>
            <w:gridSpan w:val="9"/>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471.34</w:t>
            </w:r>
          </w:p>
        </w:tc>
        <w:tc>
          <w:tcPr>
            <w:tcW w:w="923" w:type="dxa"/>
            <w:gridSpan w:val="3"/>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9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390" w:hRule="atLeast"/>
          <w:jc w:val="center"/>
        </w:trPr>
        <w:tc>
          <w:tcPr>
            <w:tcW w:w="6322" w:type="dxa"/>
            <w:gridSpan w:val="11"/>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870"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05" w:type="dxa"/>
            <w:gridSpan w:val="11"/>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85" w:type="dxa"/>
            <w:gridSpan w:val="10"/>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55"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15"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70"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88" w:type="dxa"/>
            <w:gridSpan w:val="5"/>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840"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600" w:hRule="atLeast"/>
          <w:jc w:val="center"/>
        </w:trPr>
        <w:tc>
          <w:tcPr>
            <w:tcW w:w="14850" w:type="dxa"/>
            <w:gridSpan w:val="7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wBefore w:w="293" w:type="dxa"/>
          <w:trHeight w:val="450" w:hRule="atLeast"/>
          <w:jc w:val="center"/>
        </w:trPr>
        <w:tc>
          <w:tcPr>
            <w:tcW w:w="8197" w:type="dxa"/>
            <w:gridSpan w:val="31"/>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单位(专业)工程名称:中国人民解放军某部队犬舍建造-建筑</w:t>
            </w:r>
          </w:p>
        </w:tc>
        <w:tc>
          <w:tcPr>
            <w:tcW w:w="3555" w:type="dxa"/>
            <w:gridSpan w:val="2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098" w:type="dxa"/>
            <w:gridSpan w:val="2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第5页 共11页</w:t>
            </w:r>
          </w:p>
        </w:tc>
      </w:tr>
      <w:tr>
        <w:tblPrEx>
          <w:tblCellMar>
            <w:top w:w="0" w:type="dxa"/>
            <w:left w:w="108" w:type="dxa"/>
            <w:bottom w:w="0" w:type="dxa"/>
            <w:right w:w="108" w:type="dxa"/>
          </w:tblCellMar>
        </w:tblPrEx>
        <w:trPr>
          <w:gridBefore w:val="1"/>
          <w:wBefore w:w="293" w:type="dxa"/>
          <w:trHeight w:val="390" w:hRule="atLeast"/>
          <w:jc w:val="center"/>
        </w:trPr>
        <w:tc>
          <w:tcPr>
            <w:tcW w:w="58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66" w:type="dxa"/>
            <w:gridSpan w:val="5"/>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967" w:type="dxa"/>
            <w:gridSpan w:val="5"/>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0" w:type="dxa"/>
            <w:gridSpan w:val="9"/>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05" w:type="dxa"/>
            <w:gridSpan w:val="11"/>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813" w:type="dxa"/>
            <w:gridSpan w:val="4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840" w:type="dxa"/>
            <w:gridSpan w:val="8"/>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wBefore w:w="293" w:type="dxa"/>
          <w:trHeight w:val="360"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67"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0"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85" w:type="dxa"/>
            <w:gridSpan w:val="10"/>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55" w:type="dxa"/>
            <w:gridSpan w:val="8"/>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473" w:type="dxa"/>
            <w:gridSpan w:val="2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840" w:type="dxa"/>
            <w:gridSpan w:val="8"/>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05"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67"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0"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85"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8"/>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17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088" w:type="dxa"/>
            <w:gridSpan w:val="5"/>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840" w:type="dxa"/>
            <w:gridSpan w:val="8"/>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w:t>
            </w:r>
          </w:p>
        </w:tc>
        <w:tc>
          <w:tcPr>
            <w:tcW w:w="870"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85"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10380.64</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924.03</w:t>
            </w:r>
          </w:p>
        </w:tc>
        <w:tc>
          <w:tcPr>
            <w:tcW w:w="117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6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9-76+9-78*-5换</w:t>
            </w: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平面改性沥青防水涂料 ~厚1.5(mm)</w:t>
            </w:r>
          </w:p>
        </w:tc>
        <w:tc>
          <w:tcPr>
            <w:tcW w:w="87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178.73</w:t>
            </w:r>
          </w:p>
        </w:tc>
        <w:tc>
          <w:tcPr>
            <w:tcW w:w="1185"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26.26</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4693.45</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450.40</w:t>
            </w:r>
          </w:p>
        </w:tc>
        <w:tc>
          <w:tcPr>
            <w:tcW w:w="117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w:t>
            </w: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平面改性沥青卷材 自粘法~一层</w:t>
            </w:r>
          </w:p>
        </w:tc>
        <w:tc>
          <w:tcPr>
            <w:tcW w:w="87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178.73</w:t>
            </w:r>
          </w:p>
        </w:tc>
        <w:tc>
          <w:tcPr>
            <w:tcW w:w="1185"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31.82</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5687.19</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473.63</w:t>
            </w:r>
          </w:p>
        </w:tc>
        <w:tc>
          <w:tcPr>
            <w:tcW w:w="117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排水沟</w:t>
            </w:r>
          </w:p>
        </w:tc>
        <w:tc>
          <w:tcPr>
            <w:tcW w:w="870"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85"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4953.75</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1593.16</w:t>
            </w:r>
          </w:p>
        </w:tc>
        <w:tc>
          <w:tcPr>
            <w:tcW w:w="117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37.01</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9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4-27换</w:t>
            </w: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非黏土烧结实心砖 墙厚1砖^混合砂浆 M5.0</w:t>
            </w:r>
          </w:p>
        </w:tc>
        <w:tc>
          <w:tcPr>
            <w:tcW w:w="87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2.1216</w:t>
            </w:r>
          </w:p>
        </w:tc>
        <w:tc>
          <w:tcPr>
            <w:tcW w:w="1185"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552.72</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1172.65</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338.44</w:t>
            </w:r>
          </w:p>
        </w:tc>
        <w:tc>
          <w:tcPr>
            <w:tcW w:w="117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13.71</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8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4-29换</w:t>
            </w: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非黏土烧结实心砖 墙厚1/2砖^混合砂浆 M5.0</w:t>
            </w:r>
          </w:p>
        </w:tc>
        <w:tc>
          <w:tcPr>
            <w:tcW w:w="87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1.0608</w:t>
            </w:r>
          </w:p>
        </w:tc>
        <w:tc>
          <w:tcPr>
            <w:tcW w:w="1185"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606.71</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643.60</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216.02</w:t>
            </w:r>
          </w:p>
        </w:tc>
        <w:tc>
          <w:tcPr>
            <w:tcW w:w="117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8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12-26换</w:t>
            </w: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零星砂浆抹灰 14+6mm厚^水泥砂浆 1:3</w:t>
            </w:r>
          </w:p>
        </w:tc>
        <w:tc>
          <w:tcPr>
            <w:tcW w:w="87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24.31</w:t>
            </w:r>
          </w:p>
        </w:tc>
        <w:tc>
          <w:tcPr>
            <w:tcW w:w="1185"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53.97</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1312.01</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891.20</w:t>
            </w:r>
          </w:p>
        </w:tc>
        <w:tc>
          <w:tcPr>
            <w:tcW w:w="117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15.32</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8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5-1换</w:t>
            </w: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基础 垫层^非泵送商品混凝土 C30</w:t>
            </w:r>
          </w:p>
        </w:tc>
        <w:tc>
          <w:tcPr>
            <w:tcW w:w="87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3.3592</w:t>
            </w:r>
          </w:p>
        </w:tc>
        <w:tc>
          <w:tcPr>
            <w:tcW w:w="1185"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543.43</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1825.49</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147.50</w:t>
            </w:r>
          </w:p>
        </w:tc>
        <w:tc>
          <w:tcPr>
            <w:tcW w:w="117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2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870"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85"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3701.50</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2255.57</w:t>
            </w:r>
          </w:p>
        </w:tc>
        <w:tc>
          <w:tcPr>
            <w:tcW w:w="117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168.01</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57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混凝土结构综合脚手架 檐高7m以内 ~层高6m以内</w:t>
            </w:r>
          </w:p>
        </w:tc>
        <w:tc>
          <w:tcPr>
            <w:tcW w:w="87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178.73</w:t>
            </w:r>
          </w:p>
        </w:tc>
        <w:tc>
          <w:tcPr>
            <w:tcW w:w="1185"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20.71</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3701.50</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2255.57</w:t>
            </w:r>
          </w:p>
        </w:tc>
        <w:tc>
          <w:tcPr>
            <w:tcW w:w="117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168.01</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宿舍</w:t>
            </w:r>
          </w:p>
        </w:tc>
        <w:tc>
          <w:tcPr>
            <w:tcW w:w="870"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85"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134475.28</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34519.36</w:t>
            </w:r>
          </w:p>
        </w:tc>
        <w:tc>
          <w:tcPr>
            <w:tcW w:w="117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1313.74</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w:t>
            </w:r>
          </w:p>
        </w:tc>
        <w:tc>
          <w:tcPr>
            <w:tcW w:w="870"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11"/>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85"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367.41</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95.71</w:t>
            </w:r>
          </w:p>
        </w:tc>
        <w:tc>
          <w:tcPr>
            <w:tcW w:w="117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202.95</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396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挖掘机挖槽坑土方 装车 三类土</w:t>
            </w:r>
          </w:p>
        </w:tc>
        <w:tc>
          <w:tcPr>
            <w:tcW w:w="87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1185"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w:t>
            </w:r>
          </w:p>
        </w:tc>
        <w:tc>
          <w:tcPr>
            <w:tcW w:w="115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57.74</w:t>
            </w:r>
          </w:p>
        </w:tc>
        <w:tc>
          <w:tcPr>
            <w:tcW w:w="121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22.01</w:t>
            </w:r>
          </w:p>
        </w:tc>
        <w:tc>
          <w:tcPr>
            <w:tcW w:w="117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25.03</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293" w:type="dxa"/>
          <w:trHeight w:val="450" w:hRule="atLeast"/>
          <w:jc w:val="center"/>
        </w:trPr>
        <w:tc>
          <w:tcPr>
            <w:tcW w:w="9382" w:type="dxa"/>
            <w:gridSpan w:val="41"/>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155" w:type="dxa"/>
            <w:gridSpan w:val="8"/>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19093.63</w:t>
            </w:r>
          </w:p>
        </w:tc>
        <w:tc>
          <w:tcPr>
            <w:tcW w:w="1215" w:type="dxa"/>
            <w:gridSpan w:val="8"/>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4794.77</w:t>
            </w:r>
          </w:p>
        </w:tc>
        <w:tc>
          <w:tcPr>
            <w:tcW w:w="1170" w:type="dxa"/>
            <w:gridSpan w:val="9"/>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230.05</w:t>
            </w:r>
          </w:p>
        </w:tc>
        <w:tc>
          <w:tcPr>
            <w:tcW w:w="1088" w:type="dxa"/>
            <w:gridSpan w:val="5"/>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340" w:hRule="atLeast"/>
          <w:jc w:val="center"/>
        </w:trPr>
        <w:tc>
          <w:tcPr>
            <w:tcW w:w="6772" w:type="dxa"/>
            <w:gridSpan w:val="1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810" w:type="dxa"/>
            <w:gridSpan w:val="10"/>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45"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75" w:type="dxa"/>
            <w:gridSpan w:val="6"/>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30"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40"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50"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88" w:type="dxa"/>
            <w:gridSpan w:val="5"/>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05" w:type="dxa"/>
            <w:gridSpan w:val="3"/>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549" w:hRule="atLeast"/>
          <w:jc w:val="center"/>
        </w:trPr>
        <w:tc>
          <w:tcPr>
            <w:tcW w:w="14715" w:type="dxa"/>
            <w:gridSpan w:val="7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gridAfter w:val="5"/>
          <w:wBefore w:w="293" w:type="dxa"/>
          <w:wAfter w:w="135" w:type="dxa"/>
          <w:trHeight w:val="450" w:hRule="atLeast"/>
          <w:jc w:val="center"/>
        </w:trPr>
        <w:tc>
          <w:tcPr>
            <w:tcW w:w="8527" w:type="dxa"/>
            <w:gridSpan w:val="3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单位(专业)工程名称:中国人民解放军某部队犬舍建造-建筑</w:t>
            </w:r>
          </w:p>
        </w:tc>
        <w:tc>
          <w:tcPr>
            <w:tcW w:w="3345" w:type="dxa"/>
            <w:gridSpan w:val="2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43" w:type="dxa"/>
            <w:gridSpan w:val="16"/>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第6页 共11页</w:t>
            </w:r>
          </w:p>
        </w:tc>
      </w:tr>
      <w:tr>
        <w:tblPrEx>
          <w:tblCellMar>
            <w:top w:w="0" w:type="dxa"/>
            <w:left w:w="108" w:type="dxa"/>
            <w:bottom w:w="0" w:type="dxa"/>
            <w:right w:w="108" w:type="dxa"/>
          </w:tblCellMar>
        </w:tblPrEx>
        <w:trPr>
          <w:gridBefore w:val="1"/>
          <w:gridAfter w:val="5"/>
          <w:wBefore w:w="293" w:type="dxa"/>
          <w:wAfter w:w="135" w:type="dxa"/>
          <w:trHeight w:val="360" w:hRule="atLeast"/>
          <w:jc w:val="center"/>
        </w:trPr>
        <w:tc>
          <w:tcPr>
            <w:tcW w:w="58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66" w:type="dxa"/>
            <w:gridSpan w:val="5"/>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417" w:type="dxa"/>
            <w:gridSpan w:val="11"/>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10" w:type="dxa"/>
            <w:gridSpan w:val="10"/>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45" w:type="dxa"/>
            <w:gridSpan w:val="9"/>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83" w:type="dxa"/>
            <w:gridSpan w:val="3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05" w:type="dxa"/>
            <w:gridSpan w:val="3"/>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gridAfter w:val="5"/>
          <w:wBefore w:w="293" w:type="dxa"/>
          <w:wAfter w:w="135" w:type="dxa"/>
          <w:trHeight w:val="360"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17"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5" w:type="dxa"/>
            <w:gridSpan w:val="6"/>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230" w:type="dxa"/>
            <w:gridSpan w:val="9"/>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278" w:type="dxa"/>
            <w:gridSpan w:val="20"/>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05" w:type="dxa"/>
            <w:gridSpan w:val="3"/>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345"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17"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5" w:type="dxa"/>
            <w:gridSpan w:val="6"/>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50"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088" w:type="dxa"/>
            <w:gridSpan w:val="5"/>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05" w:type="dxa"/>
            <w:gridSpan w:val="3"/>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1-39+1-40*2换</w:t>
            </w: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自卸汽车运土 ~运距3000(m)</w:t>
            </w:r>
          </w:p>
        </w:tc>
        <w:tc>
          <w:tcPr>
            <w:tcW w:w="81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w:t>
            </w:r>
          </w:p>
        </w:tc>
        <w:tc>
          <w:tcPr>
            <w:tcW w:w="97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w:t>
            </w: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129.41</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102.04</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挖掘机挖槽坑土方 不装车 三类土</w:t>
            </w:r>
          </w:p>
        </w:tc>
        <w:tc>
          <w:tcPr>
            <w:tcW w:w="81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20.96</w:t>
            </w:r>
          </w:p>
        </w:tc>
        <w:tc>
          <w:tcPr>
            <w:tcW w:w="97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w:t>
            </w: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137.92</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59.53</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52.82</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填土机械碾压 ~两遍</w:t>
            </w:r>
          </w:p>
        </w:tc>
        <w:tc>
          <w:tcPr>
            <w:tcW w:w="81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20.96</w:t>
            </w:r>
          </w:p>
        </w:tc>
        <w:tc>
          <w:tcPr>
            <w:tcW w:w="97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42.34</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10.48</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23.06</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砌筑工程</w:t>
            </w:r>
          </w:p>
        </w:tc>
        <w:tc>
          <w:tcPr>
            <w:tcW w:w="810"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5"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18030.30</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4490.67</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148.76</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43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4-6换</w:t>
            </w: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混凝土实心砖 墙厚1砖^混合砂浆 M5.0</w:t>
            </w:r>
          </w:p>
        </w:tc>
        <w:tc>
          <w:tcPr>
            <w:tcW w:w="81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2.142</w:t>
            </w:r>
          </w:p>
        </w:tc>
        <w:tc>
          <w:tcPr>
            <w:tcW w:w="97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520.89</w:t>
            </w: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1115.75</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349.15</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13.84</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4-41换</w:t>
            </w: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非黏土烧结多孔砖 墙厚1砖^混合砂浆 M5.0</w:t>
            </w:r>
          </w:p>
        </w:tc>
        <w:tc>
          <w:tcPr>
            <w:tcW w:w="81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25.658</w:t>
            </w:r>
          </w:p>
        </w:tc>
        <w:tc>
          <w:tcPr>
            <w:tcW w:w="97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443.83</w:t>
            </w: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11387.79</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3252.41</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132.65</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49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蒸压加气混凝土砌块 墙厚300mm以内（粘结剂）</w:t>
            </w:r>
          </w:p>
        </w:tc>
        <w:tc>
          <w:tcPr>
            <w:tcW w:w="81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12.59</w:t>
            </w:r>
          </w:p>
        </w:tc>
        <w:tc>
          <w:tcPr>
            <w:tcW w:w="97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438.98</w:t>
            </w: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5526.76</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889.11</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混凝土工程</w:t>
            </w:r>
          </w:p>
        </w:tc>
        <w:tc>
          <w:tcPr>
            <w:tcW w:w="810"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5"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35191.86</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8614.31</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505.40</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43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基础 垫层^非泵送商品砼C15</w:t>
            </w:r>
          </w:p>
        </w:tc>
        <w:tc>
          <w:tcPr>
            <w:tcW w:w="81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97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465.66</w:t>
            </w: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1252.63</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118.12</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5-3换</w:t>
            </w: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基础 混凝土^非泵送商品混凝土C25</w:t>
            </w:r>
          </w:p>
        </w:tc>
        <w:tc>
          <w:tcPr>
            <w:tcW w:w="81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w:t>
            </w:r>
          </w:p>
        </w:tc>
        <w:tc>
          <w:tcPr>
            <w:tcW w:w="97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505.19</w:t>
            </w: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2278.41</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174.72</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0.99</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57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5-6换</w:t>
            </w: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矩形柱、异形柱、圆形柱浇捣^非泵送商品混凝土C25</w:t>
            </w:r>
          </w:p>
        </w:tc>
        <w:tc>
          <w:tcPr>
            <w:tcW w:w="81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97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582.12</w:t>
            </w: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1210.81</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205.52</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57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5-9换</w:t>
            </w: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矩形梁、异形梁、弧形梁^非泵送商品混凝土C25</w:t>
            </w:r>
          </w:p>
        </w:tc>
        <w:tc>
          <w:tcPr>
            <w:tcW w:w="81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97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527.98</w:t>
            </w: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992.60</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103.61</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0.68</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49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4417"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圈梁、过梁、拱形梁^非泵送商品砼C25</w:t>
            </w:r>
          </w:p>
        </w:tc>
        <w:tc>
          <w:tcPr>
            <w:tcW w:w="81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97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595.57</w:t>
            </w:r>
          </w:p>
        </w:tc>
        <w:tc>
          <w:tcPr>
            <w:tcW w:w="123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119.11</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21.43</w:t>
            </w:r>
          </w:p>
        </w:tc>
        <w:tc>
          <w:tcPr>
            <w:tcW w:w="105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1088"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5"/>
          <w:wBefore w:w="293" w:type="dxa"/>
          <w:wAfter w:w="135" w:type="dxa"/>
          <w:trHeight w:val="450" w:hRule="atLeast"/>
          <w:jc w:val="center"/>
        </w:trPr>
        <w:tc>
          <w:tcPr>
            <w:tcW w:w="9502" w:type="dxa"/>
            <w:gridSpan w:val="4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230" w:type="dxa"/>
            <w:gridSpan w:val="9"/>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24193.53</w:t>
            </w:r>
          </w:p>
        </w:tc>
        <w:tc>
          <w:tcPr>
            <w:tcW w:w="1140" w:type="dxa"/>
            <w:gridSpan w:val="7"/>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5187.77</w:t>
            </w:r>
          </w:p>
        </w:tc>
        <w:tc>
          <w:tcPr>
            <w:tcW w:w="1050" w:type="dxa"/>
            <w:gridSpan w:val="8"/>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330.96</w:t>
            </w:r>
          </w:p>
        </w:tc>
        <w:tc>
          <w:tcPr>
            <w:tcW w:w="1088" w:type="dxa"/>
            <w:gridSpan w:val="5"/>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390" w:hRule="atLeast"/>
          <w:jc w:val="center"/>
        </w:trPr>
        <w:tc>
          <w:tcPr>
            <w:tcW w:w="6607" w:type="dxa"/>
            <w:gridSpan w:val="1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825"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65" w:type="dxa"/>
            <w:gridSpan w:val="11"/>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00" w:type="dxa"/>
            <w:gridSpan w:val="10"/>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40"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35" w:type="dxa"/>
            <w:gridSpan w:val="6"/>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85"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53"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35" w:type="dxa"/>
            <w:gridSpan w:val="5"/>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615" w:hRule="atLeast"/>
          <w:jc w:val="center"/>
        </w:trPr>
        <w:tc>
          <w:tcPr>
            <w:tcW w:w="14745" w:type="dxa"/>
            <w:gridSpan w:val="7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8497" w:type="dxa"/>
            <w:gridSpan w:val="3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单位(专业)工程名称:中国人民解放军某部队犬舍建造-建筑</w:t>
            </w:r>
          </w:p>
        </w:tc>
        <w:tc>
          <w:tcPr>
            <w:tcW w:w="3375" w:type="dxa"/>
            <w:gridSpan w:val="2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73" w:type="dxa"/>
            <w:gridSpan w:val="18"/>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第7页 共11页</w:t>
            </w:r>
          </w:p>
        </w:tc>
      </w:tr>
      <w:tr>
        <w:tblPrEx>
          <w:tblCellMar>
            <w:top w:w="0" w:type="dxa"/>
            <w:left w:w="108" w:type="dxa"/>
            <w:bottom w:w="0" w:type="dxa"/>
            <w:right w:w="108" w:type="dxa"/>
          </w:tblCellMar>
        </w:tblPrEx>
        <w:trPr>
          <w:gridBefore w:val="1"/>
          <w:gridAfter w:val="3"/>
          <w:wBefore w:w="293" w:type="dxa"/>
          <w:wAfter w:w="105" w:type="dxa"/>
          <w:trHeight w:val="375" w:hRule="atLeast"/>
          <w:jc w:val="center"/>
        </w:trPr>
        <w:tc>
          <w:tcPr>
            <w:tcW w:w="58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66" w:type="dxa"/>
            <w:gridSpan w:val="5"/>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252" w:type="dxa"/>
            <w:gridSpan w:val="9"/>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25" w:type="dxa"/>
            <w:gridSpan w:val="9"/>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65" w:type="dxa"/>
            <w:gridSpan w:val="11"/>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513" w:type="dxa"/>
            <w:gridSpan w:val="3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35"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gridAfter w:val="3"/>
          <w:wBefore w:w="293" w:type="dxa"/>
          <w:wAfter w:w="105" w:type="dxa"/>
          <w:trHeight w:val="360"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52"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5"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65"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gridSpan w:val="10"/>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40" w:type="dxa"/>
            <w:gridSpan w:val="7"/>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173" w:type="dxa"/>
            <w:gridSpan w:val="19"/>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35"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05"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52"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5"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65" w:type="dxa"/>
            <w:gridSpan w:val="11"/>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gridSpan w:val="7"/>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18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953"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35"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8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5-16换</w:t>
            </w: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平板^非泵送商品混凝土C20</w:t>
            </w:r>
          </w:p>
        </w:tc>
        <w:tc>
          <w:tcPr>
            <w:tcW w:w="82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14.05</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518.45</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7284.22</w:t>
            </w:r>
          </w:p>
        </w:tc>
        <w:tc>
          <w:tcPr>
            <w:tcW w:w="103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830.07</w:t>
            </w:r>
          </w:p>
        </w:tc>
        <w:tc>
          <w:tcPr>
            <w:tcW w:w="118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现浇混凝土模板 基础垫层模板</w:t>
            </w:r>
          </w:p>
        </w:tc>
        <w:tc>
          <w:tcPr>
            <w:tcW w:w="82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11.95</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47.59</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568.70</w:t>
            </w:r>
          </w:p>
        </w:tc>
        <w:tc>
          <w:tcPr>
            <w:tcW w:w="103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335.91</w:t>
            </w:r>
          </w:p>
        </w:tc>
        <w:tc>
          <w:tcPr>
            <w:tcW w:w="118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10.99</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现浇带形基础 无梁式 复合木模</w:t>
            </w:r>
          </w:p>
        </w:tc>
        <w:tc>
          <w:tcPr>
            <w:tcW w:w="82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43.47</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1595.35</w:t>
            </w:r>
          </w:p>
        </w:tc>
        <w:tc>
          <w:tcPr>
            <w:tcW w:w="103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855.48</w:t>
            </w:r>
          </w:p>
        </w:tc>
        <w:tc>
          <w:tcPr>
            <w:tcW w:w="118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21.29</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51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5-119</w:t>
            </w: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矩形柱 复合木模~支模高度3.6m以内</w:t>
            </w:r>
          </w:p>
        </w:tc>
        <w:tc>
          <w:tcPr>
            <w:tcW w:w="82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1779.89</w:t>
            </w:r>
          </w:p>
        </w:tc>
        <w:tc>
          <w:tcPr>
            <w:tcW w:w="103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943.88</w:t>
            </w:r>
          </w:p>
        </w:tc>
        <w:tc>
          <w:tcPr>
            <w:tcW w:w="118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54.78</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9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5-131</w:t>
            </w: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矩形梁 复合木模~支模高度3.6m以内</w:t>
            </w:r>
          </w:p>
        </w:tc>
        <w:tc>
          <w:tcPr>
            <w:tcW w:w="82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11.415</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66.45</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758.53</w:t>
            </w:r>
          </w:p>
        </w:tc>
        <w:tc>
          <w:tcPr>
            <w:tcW w:w="103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402.61</w:t>
            </w:r>
          </w:p>
        </w:tc>
        <w:tc>
          <w:tcPr>
            <w:tcW w:w="118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27.74</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5-140</w:t>
            </w: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直形圈过梁 复合木模</w:t>
            </w:r>
          </w:p>
        </w:tc>
        <w:tc>
          <w:tcPr>
            <w:tcW w:w="82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53.47</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187.15</w:t>
            </w:r>
          </w:p>
        </w:tc>
        <w:tc>
          <w:tcPr>
            <w:tcW w:w="103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114.21</w:t>
            </w:r>
          </w:p>
        </w:tc>
        <w:tc>
          <w:tcPr>
            <w:tcW w:w="118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57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5-144</w:t>
            </w: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板 复合木模~支模高度3.6m</w:t>
            </w:r>
          </w:p>
        </w:tc>
        <w:tc>
          <w:tcPr>
            <w:tcW w:w="82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155.09</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47.09</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7303.19</w:t>
            </w:r>
          </w:p>
        </w:tc>
        <w:tc>
          <w:tcPr>
            <w:tcW w:w="103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3443.00</w:t>
            </w:r>
          </w:p>
        </w:tc>
        <w:tc>
          <w:tcPr>
            <w:tcW w:w="118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291.57</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6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现浇构件圆钢筋 HPB300 直径（mm以内）10</w:t>
            </w:r>
          </w:p>
        </w:tc>
        <w:tc>
          <w:tcPr>
            <w:tcW w:w="82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0.0367</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5529.17</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202.92</w:t>
            </w:r>
          </w:p>
        </w:tc>
        <w:tc>
          <w:tcPr>
            <w:tcW w:w="103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26.29</w:t>
            </w:r>
          </w:p>
        </w:tc>
        <w:tc>
          <w:tcPr>
            <w:tcW w:w="118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3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现浇构件带肋钢筋 HRB400以内 直径（mm以内）10</w:t>
            </w:r>
          </w:p>
        </w:tc>
        <w:tc>
          <w:tcPr>
            <w:tcW w:w="82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5483.47</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3180.41</w:t>
            </w:r>
          </w:p>
        </w:tc>
        <w:tc>
          <w:tcPr>
            <w:tcW w:w="103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345.40</w:t>
            </w:r>
          </w:p>
        </w:tc>
        <w:tc>
          <w:tcPr>
            <w:tcW w:w="118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12.63</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6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现浇构件带肋钢筋 HRB400以内 直径（mm以内）18</w:t>
            </w:r>
          </w:p>
        </w:tc>
        <w:tc>
          <w:tcPr>
            <w:tcW w:w="82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5310.73</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5735.59</w:t>
            </w:r>
          </w:p>
        </w:tc>
        <w:tc>
          <w:tcPr>
            <w:tcW w:w="103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553.90</w:t>
            </w:r>
          </w:p>
        </w:tc>
        <w:tc>
          <w:tcPr>
            <w:tcW w:w="118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62.73</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51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w:t>
            </w: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箍筋 带肋钢筋 HRB400以内 直径（mm以内）10</w:t>
            </w:r>
          </w:p>
        </w:tc>
        <w:tc>
          <w:tcPr>
            <w:tcW w:w="82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6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0.1183</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6275.11</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742.35</w:t>
            </w:r>
          </w:p>
        </w:tc>
        <w:tc>
          <w:tcPr>
            <w:tcW w:w="103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140.16</w:t>
            </w:r>
          </w:p>
        </w:tc>
        <w:tc>
          <w:tcPr>
            <w:tcW w:w="118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门窗工程</w:t>
            </w:r>
          </w:p>
        </w:tc>
        <w:tc>
          <w:tcPr>
            <w:tcW w:w="825"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65" w:type="dxa"/>
            <w:gridSpan w:val="11"/>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12197.56</w:t>
            </w:r>
          </w:p>
        </w:tc>
        <w:tc>
          <w:tcPr>
            <w:tcW w:w="1035"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485.10</w:t>
            </w:r>
          </w:p>
        </w:tc>
        <w:tc>
          <w:tcPr>
            <w:tcW w:w="1185"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除税综合价</w:t>
            </w:r>
          </w:p>
        </w:tc>
        <w:tc>
          <w:tcPr>
            <w:tcW w:w="4252"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防盗门900*2400</w:t>
            </w:r>
          </w:p>
        </w:tc>
        <w:tc>
          <w:tcPr>
            <w:tcW w:w="82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5" w:type="dxa"/>
            <w:gridSpan w:val="11"/>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1200" w:type="dxa"/>
            <w:gridSpan w:val="10"/>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5184.00</w:t>
            </w:r>
          </w:p>
        </w:tc>
        <w:tc>
          <w:tcPr>
            <w:tcW w:w="1035"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85"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9697" w:type="dxa"/>
            <w:gridSpan w:val="4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140" w:type="dxa"/>
            <w:gridSpan w:val="7"/>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34522.30</w:t>
            </w:r>
          </w:p>
        </w:tc>
        <w:tc>
          <w:tcPr>
            <w:tcW w:w="1035" w:type="dxa"/>
            <w:gridSpan w:val="6"/>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7990.91</w:t>
            </w:r>
          </w:p>
        </w:tc>
        <w:tc>
          <w:tcPr>
            <w:tcW w:w="1185" w:type="dxa"/>
            <w:gridSpan w:val="9"/>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501.12</w:t>
            </w:r>
          </w:p>
        </w:tc>
        <w:tc>
          <w:tcPr>
            <w:tcW w:w="953" w:type="dxa"/>
            <w:gridSpan w:val="4"/>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390" w:hRule="atLeast"/>
          <w:jc w:val="center"/>
        </w:trPr>
        <w:tc>
          <w:tcPr>
            <w:tcW w:w="6622" w:type="dxa"/>
            <w:gridSpan w:val="1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945" w:type="dxa"/>
            <w:gridSpan w:val="10"/>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00"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30" w:type="dxa"/>
            <w:gridSpan w:val="1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40"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40"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80"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53"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69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645" w:hRule="atLeast"/>
          <w:jc w:val="center"/>
        </w:trPr>
        <w:tc>
          <w:tcPr>
            <w:tcW w:w="14700" w:type="dxa"/>
            <w:gridSpan w:val="7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gridAfter w:val="6"/>
          <w:wBefore w:w="293" w:type="dxa"/>
          <w:wAfter w:w="150" w:type="dxa"/>
          <w:trHeight w:val="450" w:hRule="atLeast"/>
          <w:jc w:val="center"/>
        </w:trPr>
        <w:tc>
          <w:tcPr>
            <w:tcW w:w="8467" w:type="dxa"/>
            <w:gridSpan w:val="3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单位(专业)工程名称:中国人民解放军某部队犬舍建造-建筑</w:t>
            </w:r>
          </w:p>
        </w:tc>
        <w:tc>
          <w:tcPr>
            <w:tcW w:w="3510" w:type="dxa"/>
            <w:gridSpan w:val="2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723" w:type="dxa"/>
            <w:gridSpan w:val="1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第8页 共11页</w:t>
            </w:r>
          </w:p>
        </w:tc>
      </w:tr>
      <w:tr>
        <w:tblPrEx>
          <w:tblCellMar>
            <w:top w:w="0" w:type="dxa"/>
            <w:left w:w="108" w:type="dxa"/>
            <w:bottom w:w="0" w:type="dxa"/>
            <w:right w:w="108" w:type="dxa"/>
          </w:tblCellMar>
        </w:tblPrEx>
        <w:trPr>
          <w:gridBefore w:val="1"/>
          <w:gridAfter w:val="6"/>
          <w:wBefore w:w="293" w:type="dxa"/>
          <w:wAfter w:w="150" w:type="dxa"/>
          <w:trHeight w:val="390" w:hRule="atLeast"/>
          <w:jc w:val="center"/>
        </w:trPr>
        <w:tc>
          <w:tcPr>
            <w:tcW w:w="58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66" w:type="dxa"/>
            <w:gridSpan w:val="5"/>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267" w:type="dxa"/>
            <w:gridSpan w:val="10"/>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45" w:type="dxa"/>
            <w:gridSpan w:val="10"/>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00" w:type="dxa"/>
            <w:gridSpan w:val="7"/>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543" w:type="dxa"/>
            <w:gridSpan w:val="3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690"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gridAfter w:val="6"/>
          <w:wBefore w:w="293" w:type="dxa"/>
          <w:wAfter w:w="150" w:type="dxa"/>
          <w:trHeight w:val="360"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67"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gridSpan w:val="7"/>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gridSpan w:val="1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40" w:type="dxa"/>
            <w:gridSpan w:val="7"/>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173" w:type="dxa"/>
            <w:gridSpan w:val="19"/>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690"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390"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67"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gridSpan w:val="7"/>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gridSpan w:val="1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gridSpan w:val="7"/>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8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953"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690"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8-111</w:t>
            </w: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铝合金平开窗安装</w:t>
            </w:r>
          </w:p>
        </w:tc>
        <w:tc>
          <w:tcPr>
            <w:tcW w:w="94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230" w:type="dxa"/>
            <w:gridSpan w:val="1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354.22</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7013.56</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485.10</w:t>
            </w:r>
          </w:p>
        </w:tc>
        <w:tc>
          <w:tcPr>
            <w:tcW w:w="1080"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卫生间地面</w:t>
            </w:r>
          </w:p>
        </w:tc>
        <w:tc>
          <w:tcPr>
            <w:tcW w:w="945"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gridSpan w:val="7"/>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gridSpan w:val="1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5904.66</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1082.09</w:t>
            </w:r>
          </w:p>
        </w:tc>
        <w:tc>
          <w:tcPr>
            <w:tcW w:w="108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36.57</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D2-68</w:t>
            </w: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路基填筑  塘渣</w:t>
            </w:r>
          </w:p>
        </w:tc>
        <w:tc>
          <w:tcPr>
            <w:tcW w:w="94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30" w:type="dxa"/>
            <w:gridSpan w:val="1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93.88</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619.61</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22.37</w:t>
            </w:r>
          </w:p>
        </w:tc>
        <w:tc>
          <w:tcPr>
            <w:tcW w:w="108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29.90</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 干铺</w:t>
            </w:r>
          </w:p>
        </w:tc>
        <w:tc>
          <w:tcPr>
            <w:tcW w:w="94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30" w:type="dxa"/>
            <w:gridSpan w:val="1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230.38</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253.42</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58.70</w:t>
            </w:r>
          </w:p>
        </w:tc>
        <w:tc>
          <w:tcPr>
            <w:tcW w:w="108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43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5-1换</w:t>
            </w: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基础 垫层^现浇现拌混凝土 C15（40）</w:t>
            </w:r>
          </w:p>
        </w:tc>
        <w:tc>
          <w:tcPr>
            <w:tcW w:w="94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230" w:type="dxa"/>
            <w:gridSpan w:val="1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398.14</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700.73</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77.28</w:t>
            </w:r>
          </w:p>
        </w:tc>
        <w:tc>
          <w:tcPr>
            <w:tcW w:w="108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w:t>
            </w: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平面聚氨酯防水涂料 ~1.5mm厚</w:t>
            </w:r>
          </w:p>
        </w:tc>
        <w:tc>
          <w:tcPr>
            <w:tcW w:w="94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54.58</w:t>
            </w:r>
          </w:p>
        </w:tc>
        <w:tc>
          <w:tcPr>
            <w:tcW w:w="1230" w:type="dxa"/>
            <w:gridSpan w:val="1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33.58</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1832.80</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162.10</w:t>
            </w:r>
          </w:p>
        </w:tc>
        <w:tc>
          <w:tcPr>
            <w:tcW w:w="1080" w:type="dxa"/>
            <w:gridSpan w:val="7"/>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64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11-44换</w:t>
            </w: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地砖楼地面（干混砂浆铺贴） 周长1200mm以内 密缝 ^干硬水泥砂浆 1∶3</w:t>
            </w:r>
          </w:p>
        </w:tc>
        <w:tc>
          <w:tcPr>
            <w:tcW w:w="94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30" w:type="dxa"/>
            <w:gridSpan w:val="1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113.55</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2498.10</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761.64</w:t>
            </w:r>
          </w:p>
        </w:tc>
        <w:tc>
          <w:tcPr>
            <w:tcW w:w="108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房间地面</w:t>
            </w:r>
          </w:p>
        </w:tc>
        <w:tc>
          <w:tcPr>
            <w:tcW w:w="945"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gridSpan w:val="7"/>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gridSpan w:val="1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13796.25</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2897.25</w:t>
            </w:r>
          </w:p>
        </w:tc>
        <w:tc>
          <w:tcPr>
            <w:tcW w:w="108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109.72</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D2-68</w:t>
            </w: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路基填筑  塘渣</w:t>
            </w:r>
          </w:p>
        </w:tc>
        <w:tc>
          <w:tcPr>
            <w:tcW w:w="94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230" w:type="dxa"/>
            <w:gridSpan w:val="1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93.88</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1858.82</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67.12</w:t>
            </w:r>
          </w:p>
        </w:tc>
        <w:tc>
          <w:tcPr>
            <w:tcW w:w="108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89.69</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39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 干铺</w:t>
            </w:r>
          </w:p>
        </w:tc>
        <w:tc>
          <w:tcPr>
            <w:tcW w:w="94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30" w:type="dxa"/>
            <w:gridSpan w:val="1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230.38</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760.25</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176.09</w:t>
            </w:r>
          </w:p>
        </w:tc>
        <w:tc>
          <w:tcPr>
            <w:tcW w:w="108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43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5-1换</w:t>
            </w: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 基础 垫层^现浇现拌混凝土 C15（40）</w:t>
            </w:r>
          </w:p>
        </w:tc>
        <w:tc>
          <w:tcPr>
            <w:tcW w:w="94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1230" w:type="dxa"/>
            <w:gridSpan w:val="1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398.14</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2102.18</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231.84</w:t>
            </w:r>
          </w:p>
        </w:tc>
        <w:tc>
          <w:tcPr>
            <w:tcW w:w="108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66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11-47换</w:t>
            </w: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地砖楼地面（干混砂浆铺贴） 周长2400mm以外 密缝^干硬水泥砂浆 1∶3</w:t>
            </w:r>
          </w:p>
        </w:tc>
        <w:tc>
          <w:tcPr>
            <w:tcW w:w="94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30" w:type="dxa"/>
            <w:gridSpan w:val="1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137.50</w:t>
            </w: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9075.00</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2422.20</w:t>
            </w:r>
          </w:p>
        </w:tc>
        <w:tc>
          <w:tcPr>
            <w:tcW w:w="108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67"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白色乳胶漆内墙面</w:t>
            </w:r>
          </w:p>
        </w:tc>
        <w:tc>
          <w:tcPr>
            <w:tcW w:w="945"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gridSpan w:val="7"/>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0" w:type="dxa"/>
            <w:gridSpan w:val="1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9543.26</w:t>
            </w:r>
          </w:p>
        </w:tc>
        <w:tc>
          <w:tcPr>
            <w:tcW w:w="11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5469.89</w:t>
            </w:r>
          </w:p>
        </w:tc>
        <w:tc>
          <w:tcPr>
            <w:tcW w:w="1080"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99.39</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6"/>
          <w:wBefore w:w="293" w:type="dxa"/>
          <w:wAfter w:w="150" w:type="dxa"/>
          <w:trHeight w:val="405" w:hRule="atLeast"/>
          <w:jc w:val="center"/>
        </w:trPr>
        <w:tc>
          <w:tcPr>
            <w:tcW w:w="9697" w:type="dxa"/>
            <w:gridSpan w:val="45"/>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140" w:type="dxa"/>
            <w:gridSpan w:val="7"/>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26714.47</w:t>
            </w:r>
          </w:p>
        </w:tc>
        <w:tc>
          <w:tcPr>
            <w:tcW w:w="1140" w:type="dxa"/>
            <w:gridSpan w:val="8"/>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4464.44</w:t>
            </w:r>
          </w:p>
        </w:tc>
        <w:tc>
          <w:tcPr>
            <w:tcW w:w="1080" w:type="dxa"/>
            <w:gridSpan w:val="7"/>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146.29</w:t>
            </w:r>
          </w:p>
        </w:tc>
        <w:tc>
          <w:tcPr>
            <w:tcW w:w="953" w:type="dxa"/>
            <w:gridSpan w:val="4"/>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390" w:hRule="atLeast"/>
          <w:jc w:val="center"/>
        </w:trPr>
        <w:tc>
          <w:tcPr>
            <w:tcW w:w="7182" w:type="dxa"/>
            <w:gridSpan w:val="1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810"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25" w:type="dxa"/>
            <w:gridSpan w:val="10"/>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55"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05"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05"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75" w:type="dxa"/>
            <w:gridSpan w:val="5"/>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53"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35" w:type="dxa"/>
            <w:gridSpan w:val="5"/>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600" w:hRule="atLeast"/>
          <w:jc w:val="center"/>
        </w:trPr>
        <w:tc>
          <w:tcPr>
            <w:tcW w:w="14745" w:type="dxa"/>
            <w:gridSpan w:val="7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8917" w:type="dxa"/>
            <w:gridSpan w:val="38"/>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单位(专业)工程名称:中国人民解放军某部队犬舍建造-建筑</w:t>
            </w:r>
          </w:p>
        </w:tc>
        <w:tc>
          <w:tcPr>
            <w:tcW w:w="3165" w:type="dxa"/>
            <w:gridSpan w:val="2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663" w:type="dxa"/>
            <w:gridSpan w:val="14"/>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第9页 共11页</w:t>
            </w:r>
          </w:p>
        </w:tc>
      </w:tr>
      <w:tr>
        <w:tblPrEx>
          <w:tblCellMar>
            <w:top w:w="0" w:type="dxa"/>
            <w:left w:w="108" w:type="dxa"/>
            <w:bottom w:w="0" w:type="dxa"/>
            <w:right w:w="108" w:type="dxa"/>
          </w:tblCellMar>
        </w:tblPrEx>
        <w:trPr>
          <w:gridBefore w:val="1"/>
          <w:gridAfter w:val="3"/>
          <w:wBefore w:w="293" w:type="dxa"/>
          <w:wAfter w:w="105" w:type="dxa"/>
          <w:trHeight w:val="405" w:hRule="atLeast"/>
          <w:jc w:val="center"/>
        </w:trPr>
        <w:tc>
          <w:tcPr>
            <w:tcW w:w="58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66" w:type="dxa"/>
            <w:gridSpan w:val="5"/>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827" w:type="dxa"/>
            <w:gridSpan w:val="13"/>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10" w:type="dxa"/>
            <w:gridSpan w:val="9"/>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25" w:type="dxa"/>
            <w:gridSpan w:val="10"/>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93" w:type="dxa"/>
            <w:gridSpan w:val="3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35"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gridAfter w:val="3"/>
          <w:wBefore w:w="293" w:type="dxa"/>
          <w:wAfter w:w="105" w:type="dxa"/>
          <w:trHeight w:val="360"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27" w:type="dxa"/>
            <w:gridSpan w:val="13"/>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9"/>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05" w:type="dxa"/>
            <w:gridSpan w:val="7"/>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933" w:type="dxa"/>
            <w:gridSpan w:val="17"/>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35"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05" w:hRule="atLeast"/>
          <w:jc w:val="center"/>
        </w:trPr>
        <w:tc>
          <w:tcPr>
            <w:tcW w:w="5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27" w:type="dxa"/>
            <w:gridSpan w:val="13"/>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0"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dxa"/>
            <w:gridSpan w:val="10"/>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7"/>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975"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953"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35"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3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12-16+12-3*5换</w:t>
            </w: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墙面砂浆打底找平 15mm厚^水泥砂浆 1:2.5~厚度20(mm)</w:t>
            </w:r>
          </w:p>
        </w:tc>
        <w:tc>
          <w:tcPr>
            <w:tcW w:w="81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168.46</w:t>
            </w:r>
          </w:p>
        </w:tc>
        <w:tc>
          <w:tcPr>
            <w:tcW w:w="115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23.98</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4039.67</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2077.11</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99.39</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14-141</w:t>
            </w: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抹灰面批刮腻子（满刮两遍）</w:t>
            </w:r>
          </w:p>
        </w:tc>
        <w:tc>
          <w:tcPr>
            <w:tcW w:w="81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168.46</w:t>
            </w:r>
          </w:p>
        </w:tc>
        <w:tc>
          <w:tcPr>
            <w:tcW w:w="115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14.74</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2483.10</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1644.17</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534"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14-128+14-129*1换</w:t>
            </w: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墙、柱、天棚面刷乳胶漆 ~遍数3</w:t>
            </w:r>
          </w:p>
        </w:tc>
        <w:tc>
          <w:tcPr>
            <w:tcW w:w="81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168.46</w:t>
            </w:r>
          </w:p>
        </w:tc>
        <w:tc>
          <w:tcPr>
            <w:tcW w:w="115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17.93</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3020.49</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1748.61</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卫生间墙面</w:t>
            </w:r>
          </w:p>
        </w:tc>
        <w:tc>
          <w:tcPr>
            <w:tcW w:w="810"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3969.87</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1650.37</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19.43</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3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12-16+12-3*5换</w:t>
            </w: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墙面砂浆打底找平 15mm厚^水泥砂浆 1:2.5~厚度20(mm)</w:t>
            </w:r>
          </w:p>
        </w:tc>
        <w:tc>
          <w:tcPr>
            <w:tcW w:w="81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30.36</w:t>
            </w:r>
          </w:p>
        </w:tc>
        <w:tc>
          <w:tcPr>
            <w:tcW w:w="115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23.98</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728.03</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374.34</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17.91</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2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w:t>
            </w: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墙面（干混砂浆）粘贴瓷砖^DP M20 周长1200mm以上</w:t>
            </w:r>
          </w:p>
        </w:tc>
        <w:tc>
          <w:tcPr>
            <w:tcW w:w="81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30.36</w:t>
            </w:r>
          </w:p>
        </w:tc>
        <w:tc>
          <w:tcPr>
            <w:tcW w:w="115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106.78</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3241.84</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1276.03</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375"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卫生间吊顶</w:t>
            </w:r>
          </w:p>
        </w:tc>
        <w:tc>
          <w:tcPr>
            <w:tcW w:w="810"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1922.14</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162.58</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13-44</w:t>
            </w: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天棚铝合金方板面层 嵌入式</w:t>
            </w:r>
          </w:p>
        </w:tc>
        <w:tc>
          <w:tcPr>
            <w:tcW w:w="81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5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87.37</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1922.14</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162.58</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36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白色乳胶漆吊顶</w:t>
            </w:r>
          </w:p>
        </w:tc>
        <w:tc>
          <w:tcPr>
            <w:tcW w:w="810"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4776.42</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2533.74</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轻钢龙骨（U38型）吊顶 平面</w:t>
            </w:r>
          </w:p>
        </w:tc>
        <w:tc>
          <w:tcPr>
            <w:tcW w:w="81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5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34.73</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2292.18</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1261.92</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w:t>
            </w: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天棚石膏板平面基层 安在U形轻钢龙骨上</w:t>
            </w:r>
          </w:p>
        </w:tc>
        <w:tc>
          <w:tcPr>
            <w:tcW w:w="81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5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23.75</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1567.50</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715.44</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14-100</w:t>
            </w: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板缝贴胶带、点锈</w:t>
            </w:r>
          </w:p>
        </w:tc>
        <w:tc>
          <w:tcPr>
            <w:tcW w:w="81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5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332.64</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147.84</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05" w:hRule="atLeast"/>
          <w:jc w:val="center"/>
        </w:trPr>
        <w:tc>
          <w:tcPr>
            <w:tcW w:w="5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76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14-130</w:t>
            </w: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墙、柱、天棚面刷涂料 ~二遍</w:t>
            </w:r>
          </w:p>
        </w:tc>
        <w:tc>
          <w:tcPr>
            <w:tcW w:w="81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5"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55"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584.10</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408.54</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450" w:hRule="atLeast"/>
          <w:jc w:val="center"/>
        </w:trPr>
        <w:tc>
          <w:tcPr>
            <w:tcW w:w="5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66" w:type="dxa"/>
            <w:gridSpan w:val="5"/>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27" w:type="dxa"/>
            <w:gridSpan w:val="1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踢脚线</w:t>
            </w:r>
          </w:p>
        </w:tc>
        <w:tc>
          <w:tcPr>
            <w:tcW w:w="810"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25" w:type="dxa"/>
            <w:gridSpan w:val="10"/>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1331.97</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569.56</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0.91</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3"/>
          <w:wBefore w:w="293" w:type="dxa"/>
          <w:wAfter w:w="105" w:type="dxa"/>
          <w:trHeight w:val="390" w:hRule="atLeast"/>
          <w:jc w:val="center"/>
        </w:trPr>
        <w:tc>
          <w:tcPr>
            <w:tcW w:w="10072" w:type="dxa"/>
            <w:gridSpan w:val="4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05" w:type="dxa"/>
            <w:gridSpan w:val="7"/>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20211.69</w:t>
            </w:r>
          </w:p>
        </w:tc>
        <w:tc>
          <w:tcPr>
            <w:tcW w:w="1005" w:type="dxa"/>
            <w:gridSpan w:val="8"/>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9816.58</w:t>
            </w:r>
          </w:p>
        </w:tc>
        <w:tc>
          <w:tcPr>
            <w:tcW w:w="975"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118.82</w:t>
            </w:r>
          </w:p>
        </w:tc>
        <w:tc>
          <w:tcPr>
            <w:tcW w:w="953" w:type="dxa"/>
            <w:gridSpan w:val="4"/>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390" w:hRule="atLeast"/>
          <w:jc w:val="center"/>
        </w:trPr>
        <w:tc>
          <w:tcPr>
            <w:tcW w:w="7317" w:type="dxa"/>
            <w:gridSpan w:val="2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870"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45"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40"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05" w:type="dxa"/>
            <w:gridSpan w:val="7"/>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05" w:type="dxa"/>
            <w:gridSpan w:val="8"/>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75" w:type="dxa"/>
            <w:gridSpan w:val="5"/>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53"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55" w:type="dxa"/>
            <w:gridSpan w:val="6"/>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675" w:hRule="atLeast"/>
          <w:jc w:val="center"/>
        </w:trPr>
        <w:tc>
          <w:tcPr>
            <w:tcW w:w="14765" w:type="dxa"/>
            <w:gridSpan w:val="7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gridAfter w:val="2"/>
          <w:wBefore w:w="293" w:type="dxa"/>
          <w:wAfter w:w="85" w:type="dxa"/>
          <w:trHeight w:val="450" w:hRule="atLeast"/>
          <w:jc w:val="center"/>
        </w:trPr>
        <w:tc>
          <w:tcPr>
            <w:tcW w:w="9132" w:type="dxa"/>
            <w:gridSpan w:val="39"/>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单位(专业)工程名称:96816部队犬舍建造-建筑</w:t>
            </w:r>
          </w:p>
        </w:tc>
        <w:tc>
          <w:tcPr>
            <w:tcW w:w="2950" w:type="dxa"/>
            <w:gridSpan w:val="2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683" w:type="dxa"/>
            <w:gridSpan w:val="15"/>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第10页 共11页</w:t>
            </w:r>
          </w:p>
        </w:tc>
      </w:tr>
      <w:tr>
        <w:tblPrEx>
          <w:tblCellMar>
            <w:top w:w="0" w:type="dxa"/>
            <w:left w:w="108" w:type="dxa"/>
            <w:bottom w:w="0" w:type="dxa"/>
            <w:right w:w="108" w:type="dxa"/>
          </w:tblCellMar>
        </w:tblPrEx>
        <w:trPr>
          <w:gridBefore w:val="1"/>
          <w:gridAfter w:val="2"/>
          <w:wBefore w:w="293" w:type="dxa"/>
          <w:wAfter w:w="85" w:type="dxa"/>
          <w:trHeight w:val="390" w:hRule="atLeast"/>
          <w:jc w:val="center"/>
        </w:trPr>
        <w:tc>
          <w:tcPr>
            <w:tcW w:w="75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5"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962" w:type="dxa"/>
            <w:gridSpan w:val="16"/>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0" w:type="dxa"/>
            <w:gridSpan w:val="8"/>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45" w:type="dxa"/>
            <w:gridSpan w:val="9"/>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878" w:type="dxa"/>
            <w:gridSpan w:val="3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55" w:type="dxa"/>
            <w:gridSpan w:val="6"/>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gridAfter w:val="2"/>
          <w:wBefore w:w="293" w:type="dxa"/>
          <w:wAfter w:w="85" w:type="dxa"/>
          <w:trHeight w:val="36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62" w:type="dxa"/>
            <w:gridSpan w:val="16"/>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0" w:type="dxa"/>
            <w:gridSpan w:val="8"/>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0" w:type="dxa"/>
            <w:gridSpan w:val="8"/>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05" w:type="dxa"/>
            <w:gridSpan w:val="7"/>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933" w:type="dxa"/>
            <w:gridSpan w:val="17"/>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55" w:type="dxa"/>
            <w:gridSpan w:val="6"/>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05"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62" w:type="dxa"/>
            <w:gridSpan w:val="16"/>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70" w:type="dxa"/>
            <w:gridSpan w:val="8"/>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0" w:type="dxa"/>
            <w:gridSpan w:val="8"/>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7"/>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975"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953"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55" w:type="dxa"/>
            <w:gridSpan w:val="6"/>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8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6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11-97换</w:t>
            </w: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陶瓷地面砖踢脚线 干混砂浆铺贴^干硬水泥砂浆 1∶3</w:t>
            </w:r>
          </w:p>
        </w:tc>
        <w:tc>
          <w:tcPr>
            <w:tcW w:w="870"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w:t>
            </w:r>
          </w:p>
        </w:tc>
        <w:tc>
          <w:tcPr>
            <w:tcW w:w="9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146.21</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1331.97</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569.56</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0.91</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36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外墙涂料</w:t>
            </w:r>
          </w:p>
        </w:tc>
        <w:tc>
          <w:tcPr>
            <w:tcW w:w="870" w:type="dxa"/>
            <w:gridSpan w:val="8"/>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0" w:type="dxa"/>
            <w:gridSpan w:val="8"/>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7734.29</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3893.00</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70.36</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6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12-16换</w:t>
            </w: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墙面砂浆打底找平 15mm厚^水泥砂浆 1:3</w:t>
            </w:r>
          </w:p>
        </w:tc>
        <w:tc>
          <w:tcPr>
            <w:tcW w:w="870"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143.6</w:t>
            </w:r>
          </w:p>
        </w:tc>
        <w:tc>
          <w:tcPr>
            <w:tcW w:w="9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20.85</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2994.06</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1717.46</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63.18</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6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w:t>
            </w: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聚合物水泥防水砂浆 ~5mm厚</w:t>
            </w:r>
          </w:p>
        </w:tc>
        <w:tc>
          <w:tcPr>
            <w:tcW w:w="870"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143.6</w:t>
            </w:r>
          </w:p>
        </w:tc>
        <w:tc>
          <w:tcPr>
            <w:tcW w:w="9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11.67</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1675.81</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578.71</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6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14-146</w:t>
            </w: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外墙涂料 丙烯酸涂料</w:t>
            </w:r>
          </w:p>
        </w:tc>
        <w:tc>
          <w:tcPr>
            <w:tcW w:w="870"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143.6</w:t>
            </w:r>
          </w:p>
        </w:tc>
        <w:tc>
          <w:tcPr>
            <w:tcW w:w="9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21.34</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3064.42</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1596.83</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w:t>
            </w:r>
          </w:p>
        </w:tc>
        <w:tc>
          <w:tcPr>
            <w:tcW w:w="870" w:type="dxa"/>
            <w:gridSpan w:val="8"/>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0" w:type="dxa"/>
            <w:gridSpan w:val="8"/>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7378.26</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656.78</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35"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6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9-76+9-78*-5换</w:t>
            </w: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平面改性沥青防水涂料 ~厚1.5(mm)</w:t>
            </w:r>
          </w:p>
        </w:tc>
        <w:tc>
          <w:tcPr>
            <w:tcW w:w="870"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127.036</w:t>
            </w:r>
          </w:p>
        </w:tc>
        <w:tc>
          <w:tcPr>
            <w:tcW w:w="9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26.26</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3335.97</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320.13</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6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w:t>
            </w: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平面改性沥青卷材 自粘法~一层</w:t>
            </w:r>
          </w:p>
        </w:tc>
        <w:tc>
          <w:tcPr>
            <w:tcW w:w="870"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127.036</w:t>
            </w:r>
          </w:p>
        </w:tc>
        <w:tc>
          <w:tcPr>
            <w:tcW w:w="9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31.82</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4042.29</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336.65</w:t>
            </w: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870" w:type="dxa"/>
            <w:gridSpan w:val="8"/>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0" w:type="dxa"/>
            <w:gridSpan w:val="8"/>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2630.92</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1603.19</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119.41</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35"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混凝土结构综合脚手架 檐高7m以内 ~层高6m以内</w:t>
            </w:r>
          </w:p>
        </w:tc>
        <w:tc>
          <w:tcPr>
            <w:tcW w:w="870"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127.036</w:t>
            </w:r>
          </w:p>
        </w:tc>
        <w:tc>
          <w:tcPr>
            <w:tcW w:w="9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20.71</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2630.92</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1603.19</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119.41</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870" w:type="dxa"/>
            <w:gridSpan w:val="8"/>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9"/>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0" w:type="dxa"/>
            <w:gridSpan w:val="8"/>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9700.11</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315.12</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0.84</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6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17-170</w:t>
            </w: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地砖面层大便坑（10只）</w:t>
            </w:r>
          </w:p>
        </w:tc>
        <w:tc>
          <w:tcPr>
            <w:tcW w:w="870"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272.29</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544.58</w:t>
            </w:r>
          </w:p>
        </w:tc>
        <w:tc>
          <w:tcPr>
            <w:tcW w:w="1005"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219.16</w:t>
            </w:r>
          </w:p>
        </w:tc>
        <w:tc>
          <w:tcPr>
            <w:tcW w:w="975" w:type="dxa"/>
            <w:gridSpan w:val="5"/>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0.84</w:t>
            </w: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05"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6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除税综合价</w:t>
            </w: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卫生间成品隔断</w:t>
            </w:r>
          </w:p>
        </w:tc>
        <w:tc>
          <w:tcPr>
            <w:tcW w:w="870"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9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1360.80</w:t>
            </w:r>
          </w:p>
        </w:tc>
        <w:tc>
          <w:tcPr>
            <w:tcW w:w="1005" w:type="dxa"/>
            <w:gridSpan w:val="8"/>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6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除税综合价</w:t>
            </w:r>
          </w:p>
        </w:tc>
        <w:tc>
          <w:tcPr>
            <w:tcW w:w="4962"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卫生间淋浴房</w:t>
            </w:r>
          </w:p>
        </w:tc>
        <w:tc>
          <w:tcPr>
            <w:tcW w:w="870" w:type="dxa"/>
            <w:gridSpan w:val="8"/>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45"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w:t>
            </w:r>
          </w:p>
        </w:tc>
        <w:tc>
          <w:tcPr>
            <w:tcW w:w="940" w:type="dxa"/>
            <w:gridSpan w:val="8"/>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1005" w:type="dxa"/>
            <w:gridSpan w:val="7"/>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4340.00</w:t>
            </w:r>
          </w:p>
        </w:tc>
        <w:tc>
          <w:tcPr>
            <w:tcW w:w="1005" w:type="dxa"/>
            <w:gridSpan w:val="8"/>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75"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3"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293" w:type="dxa"/>
          <w:wAfter w:w="85" w:type="dxa"/>
          <w:trHeight w:val="390" w:hRule="atLeast"/>
          <w:jc w:val="center"/>
        </w:trPr>
        <w:tc>
          <w:tcPr>
            <w:tcW w:w="10072" w:type="dxa"/>
            <w:gridSpan w:val="4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05" w:type="dxa"/>
            <w:gridSpan w:val="7"/>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25320.82</w:t>
            </w:r>
          </w:p>
        </w:tc>
        <w:tc>
          <w:tcPr>
            <w:tcW w:w="1005" w:type="dxa"/>
            <w:gridSpan w:val="8"/>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6941.69</w:t>
            </w:r>
          </w:p>
        </w:tc>
        <w:tc>
          <w:tcPr>
            <w:tcW w:w="975"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191.52</w:t>
            </w:r>
          </w:p>
        </w:tc>
        <w:tc>
          <w:tcPr>
            <w:tcW w:w="953" w:type="dxa"/>
            <w:gridSpan w:val="4"/>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390" w:hRule="atLeast"/>
          <w:jc w:val="center"/>
        </w:trPr>
        <w:tc>
          <w:tcPr>
            <w:tcW w:w="511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84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35" w:type="dxa"/>
            <w:gridSpan w:val="1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50" w:type="dxa"/>
            <w:gridSpan w:val="16"/>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90"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60" w:type="dxa"/>
            <w:gridSpan w:val="9"/>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692" w:type="dxa"/>
            <w:gridSpan w:val="10"/>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28" w:type="dxa"/>
            <w:gridSpan w:val="6"/>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10"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690" w:hRule="atLeast"/>
          <w:jc w:val="center"/>
        </w:trPr>
        <w:tc>
          <w:tcPr>
            <w:tcW w:w="14720" w:type="dxa"/>
            <w:gridSpan w:val="7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7290" w:type="dxa"/>
            <w:gridSpan w:val="21"/>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单位(专业)工程名称:中国人民解放军某部队犬舍建造-建筑</w:t>
            </w:r>
          </w:p>
        </w:tc>
        <w:tc>
          <w:tcPr>
            <w:tcW w:w="3900" w:type="dxa"/>
            <w:gridSpan w:val="3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530" w:type="dxa"/>
            <w:gridSpan w:val="20"/>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第11页 共11页</w:t>
            </w:r>
          </w:p>
        </w:tc>
      </w:tr>
      <w:tr>
        <w:tblPrEx>
          <w:tblCellMar>
            <w:top w:w="0" w:type="dxa"/>
            <w:left w:w="108" w:type="dxa"/>
            <w:bottom w:w="0" w:type="dxa"/>
            <w:right w:w="108" w:type="dxa"/>
          </w:tblCellMar>
        </w:tblPrEx>
        <w:trPr>
          <w:gridBefore w:val="1"/>
          <w:gridAfter w:val="4"/>
          <w:wBefore w:w="293" w:type="dxa"/>
          <w:wAfter w:w="130" w:type="dxa"/>
          <w:trHeight w:val="390" w:hRule="atLeast"/>
          <w:jc w:val="center"/>
        </w:trPr>
        <w:tc>
          <w:tcPr>
            <w:tcW w:w="75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5"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6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4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335" w:type="dxa"/>
            <w:gridSpan w:val="1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6720" w:type="dxa"/>
            <w:gridSpan w:val="5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10" w:type="dxa"/>
            <w:gridSpan w:val="4"/>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gridAfter w:val="4"/>
          <w:wBefore w:w="293" w:type="dxa"/>
          <w:wAfter w:w="130" w:type="dxa"/>
          <w:trHeight w:val="36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16"/>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290" w:type="dxa"/>
            <w:gridSpan w:val="9"/>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080" w:type="dxa"/>
            <w:gridSpan w:val="25"/>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10"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35"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16"/>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0" w:type="dxa"/>
            <w:gridSpan w:val="9"/>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gridSpan w:val="9"/>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692"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128" w:type="dxa"/>
            <w:gridSpan w:val="6"/>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10"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6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15-102</w:t>
            </w:r>
          </w:p>
        </w:tc>
        <w:tc>
          <w:tcPr>
            <w:tcW w:w="27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无框镜面玻璃安装</w:t>
            </w:r>
          </w:p>
        </w:tc>
        <w:tc>
          <w:tcPr>
            <w:tcW w:w="8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335"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2.856</w:t>
            </w:r>
          </w:p>
        </w:tc>
        <w:tc>
          <w:tcPr>
            <w:tcW w:w="1350" w:type="dxa"/>
            <w:gridSpan w:val="1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159.22</w:t>
            </w:r>
          </w:p>
        </w:tc>
        <w:tc>
          <w:tcPr>
            <w:tcW w:w="129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454.73</w:t>
            </w:r>
          </w:p>
        </w:tc>
        <w:tc>
          <w:tcPr>
            <w:tcW w:w="126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95.96</w:t>
            </w:r>
          </w:p>
        </w:tc>
        <w:tc>
          <w:tcPr>
            <w:tcW w:w="1692"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28"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6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除税综合价</w:t>
            </w:r>
          </w:p>
        </w:tc>
        <w:tc>
          <w:tcPr>
            <w:tcW w:w="27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成品洗漱台</w:t>
            </w:r>
          </w:p>
        </w:tc>
        <w:tc>
          <w:tcPr>
            <w:tcW w:w="8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gridSpan w:val="1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gridSpan w:val="1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129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126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92"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28"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1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92"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28"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1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92"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28"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1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92"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28"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1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92"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28"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1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92"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28"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1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92"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28"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1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92"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28"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1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92"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28"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1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1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9"/>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92"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28"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50" w:hRule="atLeast"/>
          <w:jc w:val="center"/>
        </w:trPr>
        <w:tc>
          <w:tcPr>
            <w:tcW w:w="8640" w:type="dxa"/>
            <w:gridSpan w:val="3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29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3454.73</w:t>
            </w:r>
          </w:p>
        </w:tc>
        <w:tc>
          <w:tcPr>
            <w:tcW w:w="1260" w:type="dxa"/>
            <w:gridSpan w:val="9"/>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95.96</w:t>
            </w:r>
          </w:p>
        </w:tc>
        <w:tc>
          <w:tcPr>
            <w:tcW w:w="1692" w:type="dxa"/>
            <w:gridSpan w:val="10"/>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28"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4"/>
          <w:wBefore w:w="293" w:type="dxa"/>
          <w:wAfter w:w="130" w:type="dxa"/>
          <w:trHeight w:val="435" w:hRule="atLeast"/>
          <w:jc w:val="center"/>
        </w:trPr>
        <w:tc>
          <w:tcPr>
            <w:tcW w:w="8640" w:type="dxa"/>
            <w:gridSpan w:val="3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90" w:type="dxa"/>
            <w:gridSpan w:val="9"/>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373612.54</w:t>
            </w:r>
          </w:p>
        </w:tc>
        <w:tc>
          <w:tcPr>
            <w:tcW w:w="1260" w:type="dxa"/>
            <w:gridSpan w:val="9"/>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94724.83</w:t>
            </w:r>
          </w:p>
        </w:tc>
        <w:tc>
          <w:tcPr>
            <w:tcW w:w="1692" w:type="dxa"/>
            <w:gridSpan w:val="10"/>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5311.31</w:t>
            </w:r>
          </w:p>
        </w:tc>
        <w:tc>
          <w:tcPr>
            <w:tcW w:w="1128" w:type="dxa"/>
            <w:gridSpan w:val="6"/>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7"/>
        <w:sectPr>
          <w:pgSz w:w="16838" w:h="11906" w:orient="landscape"/>
          <w:pgMar w:top="1135" w:right="1418" w:bottom="1135" w:left="1418" w:header="851" w:footer="992" w:gutter="0"/>
          <w:pgNumType w:fmt="numberInDash"/>
          <w:cols w:space="720" w:num="1"/>
          <w:docGrid w:type="lines" w:linePitch="312" w:charSpace="0"/>
        </w:sectPr>
      </w:pPr>
    </w:p>
    <w:tbl>
      <w:tblPr>
        <w:tblStyle w:val="14"/>
        <w:tblW w:w="10155" w:type="dxa"/>
        <w:tblInd w:w="93" w:type="dxa"/>
        <w:shd w:val="clear" w:color="auto" w:fill="auto"/>
        <w:tblLayout w:type="autofit"/>
        <w:tblCellMar>
          <w:top w:w="0" w:type="dxa"/>
          <w:left w:w="108" w:type="dxa"/>
          <w:bottom w:w="0" w:type="dxa"/>
          <w:right w:w="108" w:type="dxa"/>
        </w:tblCellMar>
      </w:tblPr>
      <w:tblGrid>
        <w:gridCol w:w="585"/>
        <w:gridCol w:w="2880"/>
        <w:gridCol w:w="990"/>
        <w:gridCol w:w="1035"/>
        <w:gridCol w:w="1500"/>
        <w:gridCol w:w="1440"/>
        <w:gridCol w:w="1725"/>
      </w:tblGrid>
      <w:tr>
        <w:tblPrEx>
          <w:shd w:val="clear" w:color="auto" w:fill="auto"/>
          <w:tblCellMar>
            <w:top w:w="0" w:type="dxa"/>
            <w:left w:w="108" w:type="dxa"/>
            <w:bottom w:w="0" w:type="dxa"/>
            <w:right w:w="108" w:type="dxa"/>
          </w:tblCellMar>
        </w:tblPrEx>
        <w:trPr>
          <w:trHeight w:val="360" w:hRule="atLeast"/>
        </w:trPr>
        <w:tc>
          <w:tcPr>
            <w:tcW w:w="3465"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【表10.2.2-29】</w:t>
            </w:r>
          </w:p>
        </w:tc>
        <w:tc>
          <w:tcPr>
            <w:tcW w:w="99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50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4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0" w:hRule="atLeast"/>
        </w:trPr>
        <w:tc>
          <w:tcPr>
            <w:tcW w:w="10155"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主要工日一览表</w:t>
            </w:r>
          </w:p>
        </w:tc>
      </w:tr>
      <w:tr>
        <w:tblPrEx>
          <w:tblCellMar>
            <w:top w:w="0" w:type="dxa"/>
            <w:left w:w="108" w:type="dxa"/>
            <w:bottom w:w="0" w:type="dxa"/>
            <w:right w:w="108" w:type="dxa"/>
          </w:tblCellMar>
        </w:tblPrEx>
        <w:trPr>
          <w:trHeight w:val="450" w:hRule="atLeast"/>
        </w:trPr>
        <w:tc>
          <w:tcPr>
            <w:tcW w:w="4455"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w:t>
            </w:r>
          </w:p>
        </w:tc>
        <w:tc>
          <w:tcPr>
            <w:tcW w:w="2535"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165"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工日名称（类别）</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5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4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72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一类人工</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199.26</w:t>
            </w: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二类人工</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328.063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47569.14</w:t>
            </w: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三类人工</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279.483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46953.14</w:t>
            </w: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auto"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auto"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auto" w:sz="4" w:space="0"/>
              <w:left w:val="single" w:color="000000"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8"/>
      </w:pPr>
    </w:p>
    <w:p/>
    <w:tbl>
      <w:tblPr>
        <w:tblStyle w:val="14"/>
        <w:tblW w:w="10155" w:type="dxa"/>
        <w:tblInd w:w="93" w:type="dxa"/>
        <w:shd w:val="clear" w:color="auto" w:fill="auto"/>
        <w:tblLayout w:type="fixed"/>
        <w:tblCellMar>
          <w:top w:w="0" w:type="dxa"/>
          <w:left w:w="108" w:type="dxa"/>
          <w:bottom w:w="0" w:type="dxa"/>
          <w:right w:w="108" w:type="dxa"/>
        </w:tblCellMar>
      </w:tblPr>
      <w:tblGrid>
        <w:gridCol w:w="465"/>
        <w:gridCol w:w="195"/>
        <w:gridCol w:w="3090"/>
        <w:gridCol w:w="177"/>
        <w:gridCol w:w="573"/>
        <w:gridCol w:w="372"/>
        <w:gridCol w:w="918"/>
        <w:gridCol w:w="222"/>
        <w:gridCol w:w="1230"/>
        <w:gridCol w:w="183"/>
        <w:gridCol w:w="1365"/>
        <w:gridCol w:w="42"/>
        <w:gridCol w:w="1323"/>
      </w:tblGrid>
      <w:tr>
        <w:tblPrEx>
          <w:shd w:val="clear" w:color="auto" w:fill="auto"/>
          <w:tblCellMar>
            <w:top w:w="0" w:type="dxa"/>
            <w:left w:w="108" w:type="dxa"/>
            <w:bottom w:w="0" w:type="dxa"/>
            <w:right w:w="108" w:type="dxa"/>
          </w:tblCellMar>
        </w:tblPrEx>
        <w:trPr>
          <w:trHeight w:val="270" w:hRule="atLeast"/>
        </w:trPr>
        <w:tc>
          <w:tcPr>
            <w:tcW w:w="3927"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【表10.2.2-31】</w:t>
            </w:r>
          </w:p>
        </w:tc>
        <w:tc>
          <w:tcPr>
            <w:tcW w:w="94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4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3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590" w:type="dxa"/>
            <w:gridSpan w:val="3"/>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23"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95" w:hRule="atLeast"/>
        </w:trPr>
        <w:tc>
          <w:tcPr>
            <w:tcW w:w="10155"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主要材料和工程设备一览表</w:t>
            </w:r>
          </w:p>
        </w:tc>
      </w:tr>
      <w:tr>
        <w:tblPrEx>
          <w:tblCellMar>
            <w:top w:w="0" w:type="dxa"/>
            <w:left w:w="108" w:type="dxa"/>
            <w:bottom w:w="0" w:type="dxa"/>
            <w:right w:w="108" w:type="dxa"/>
          </w:tblCellMar>
        </w:tblPrEx>
        <w:trPr>
          <w:trHeight w:val="315" w:hRule="atLeast"/>
        </w:trPr>
        <w:tc>
          <w:tcPr>
            <w:tcW w:w="6012" w:type="dxa"/>
            <w:gridSpan w:val="8"/>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w:t>
            </w:r>
          </w:p>
        </w:tc>
        <w:tc>
          <w:tcPr>
            <w:tcW w:w="1230"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590" w:type="dxa"/>
            <w:gridSpan w:val="3"/>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1323"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名称、规格、型号</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4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2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590"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复合硅酸盐水泥PC 32.5R综合</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19.894</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普通硅酸盐水泥PO 42.5综合</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16998.688</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8601.34</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白色硅酸盐水泥425#、二级白度</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17.131</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黄砂机制砂</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73.306</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9823.00</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碎石综合</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44.175</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90.41</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3993.86</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塘渣</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143.006</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41.22</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5894.71</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65"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非粘土烧结页岩多孔砖240×115×90</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千块</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17.881</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11694.17</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非粘土烧结实心砖240×115×53</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千块</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880.65</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混凝土实心砖240×115×53 MU10</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千块</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3.383</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1505.44</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蒸压砂加气混凝土砌块B06 A3.5</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66.297</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21148.74</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非泵送商品混凝土C15</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8.232</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3301.03</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非泵送商品混凝土C20</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35.563</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15363.22</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非泵送商品混凝土C25</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5.949</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2683.00</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非泵送商品混凝土C30</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3.393</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1621.85</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瓷砖300*600*8</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31.271</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1563.55</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地砖300×300*10</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22.660</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1359.60</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地砖300×300*10</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2.140</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107.00</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地砖800×800*10</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68.640</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5491.20</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纸面石膏板1200×2400×9.5</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70.620</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613.69</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65"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铝合金方板(配套)300*300*0.6</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23.100</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74.13</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1712.40</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乳胶漆</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330.191</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3734.46</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卫生间成品隔断</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7.560</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1360.80</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卫生间淋浴房</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8.680</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4340.00</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26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成品洗漱台</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3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159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132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267" w:type="dxa"/>
            <w:gridSpan w:val="2"/>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防盗门900*2100</w:t>
            </w:r>
          </w:p>
        </w:tc>
        <w:tc>
          <w:tcPr>
            <w:tcW w:w="945" w:type="dxa"/>
            <w:gridSpan w:val="2"/>
            <w:tcBorders>
              <w:top w:val="single" w:color="000000"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40" w:type="dxa"/>
            <w:gridSpan w:val="2"/>
            <w:tcBorders>
              <w:top w:val="single" w:color="000000" w:sz="4" w:space="0"/>
              <w:left w:val="single" w:color="000000" w:sz="4" w:space="0"/>
              <w:bottom w:val="single" w:color="auto"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11.340</w:t>
            </w:r>
          </w:p>
        </w:tc>
        <w:tc>
          <w:tcPr>
            <w:tcW w:w="1230" w:type="dxa"/>
            <w:tcBorders>
              <w:top w:val="single" w:color="000000" w:sz="4" w:space="0"/>
              <w:left w:val="single" w:color="000000" w:sz="4" w:space="0"/>
              <w:bottom w:val="single" w:color="auto"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590" w:type="dxa"/>
            <w:gridSpan w:val="3"/>
            <w:tcBorders>
              <w:top w:val="single" w:color="000000" w:sz="4" w:space="0"/>
              <w:left w:val="single" w:color="000000" w:sz="4" w:space="0"/>
              <w:bottom w:val="single" w:color="auto"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6804.00</w:t>
            </w:r>
          </w:p>
        </w:tc>
        <w:tc>
          <w:tcPr>
            <w:tcW w:w="1323"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gridSpan w:val="2"/>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267" w:type="dxa"/>
            <w:gridSpan w:val="2"/>
            <w:tcBorders>
              <w:top w:val="single" w:color="auto" w:sz="4" w:space="0"/>
              <w:left w:val="single" w:color="000000"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防盗门900*2400</w:t>
            </w:r>
          </w:p>
        </w:tc>
        <w:tc>
          <w:tcPr>
            <w:tcW w:w="945" w:type="dxa"/>
            <w:gridSpan w:val="2"/>
            <w:tcBorders>
              <w:top w:val="single" w:color="auto" w:sz="4" w:space="0"/>
              <w:left w:val="single" w:color="000000" w:sz="4" w:space="0"/>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40" w:type="dxa"/>
            <w:gridSpan w:val="2"/>
            <w:tcBorders>
              <w:top w:val="single" w:color="auto" w:sz="4" w:space="0"/>
              <w:left w:val="single" w:color="000000" w:sz="4" w:space="0"/>
              <w:bottom w:val="single" w:color="auto"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8.640</w:t>
            </w:r>
          </w:p>
        </w:tc>
        <w:tc>
          <w:tcPr>
            <w:tcW w:w="1230" w:type="dxa"/>
            <w:tcBorders>
              <w:top w:val="single" w:color="auto" w:sz="4" w:space="0"/>
              <w:left w:val="single" w:color="000000" w:sz="4" w:space="0"/>
              <w:bottom w:val="single" w:color="auto"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w:t>
            </w:r>
          </w:p>
        </w:tc>
        <w:tc>
          <w:tcPr>
            <w:tcW w:w="1590" w:type="dxa"/>
            <w:gridSpan w:val="3"/>
            <w:tcBorders>
              <w:top w:val="single" w:color="auto" w:sz="4" w:space="0"/>
              <w:left w:val="single" w:color="000000" w:sz="4" w:space="0"/>
              <w:bottom w:val="single" w:color="auto"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5184.00</w:t>
            </w:r>
          </w:p>
        </w:tc>
        <w:tc>
          <w:tcPr>
            <w:tcW w:w="1323" w:type="dxa"/>
            <w:tcBorders>
              <w:top w:val="single" w:color="auto" w:sz="4" w:space="0"/>
              <w:left w:val="single" w:color="000000"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45" w:hRule="atLeast"/>
        </w:trPr>
        <w:tc>
          <w:tcPr>
            <w:tcW w:w="3750"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【表10.2.2-32】</w:t>
            </w:r>
          </w:p>
        </w:tc>
        <w:tc>
          <w:tcPr>
            <w:tcW w:w="75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9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635" w:type="dxa"/>
            <w:gridSpan w:val="3"/>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6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10155"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主要机械台班一览表</w:t>
            </w:r>
          </w:p>
        </w:tc>
      </w:tr>
      <w:tr>
        <w:tblPrEx>
          <w:tblCellMar>
            <w:top w:w="0" w:type="dxa"/>
            <w:left w:w="108" w:type="dxa"/>
            <w:bottom w:w="0" w:type="dxa"/>
            <w:right w:w="108" w:type="dxa"/>
          </w:tblCellMar>
        </w:tblPrEx>
        <w:trPr>
          <w:trHeight w:val="450" w:hRule="atLeast"/>
        </w:trPr>
        <w:tc>
          <w:tcPr>
            <w:tcW w:w="4500"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工程名称:建筑</w:t>
            </w:r>
          </w:p>
        </w:tc>
        <w:tc>
          <w:tcPr>
            <w:tcW w:w="1290"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635" w:type="dxa"/>
            <w:gridSpan w:val="3"/>
            <w:tcBorders>
              <w:top w:val="nil"/>
              <w:left w:val="nil"/>
              <w:bottom w:val="nil"/>
              <w:right w:val="nil"/>
            </w:tcBorders>
            <w:shd w:val="clear" w:color="auto" w:fill="FFFFFF"/>
            <w:vAlign w:val="bottom"/>
          </w:tcPr>
          <w:p>
            <w:pPr>
              <w:jc w:val="right"/>
              <w:rPr>
                <w:rFonts w:hint="eastAsia" w:ascii="Arial" w:hAnsi="Arial" w:cs="Arial"/>
                <w:i w:val="0"/>
                <w:iCs w:val="0"/>
                <w:color w:val="000000"/>
                <w:sz w:val="18"/>
                <w:szCs w:val="18"/>
                <w:u w:val="none"/>
              </w:rPr>
            </w:pPr>
          </w:p>
        </w:tc>
        <w:tc>
          <w:tcPr>
            <w:tcW w:w="2730"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机械名称、规格、型号</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9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63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履带式推土机75kW</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0.209</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698.14</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145.91</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履带式推土机90kW</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0.015</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794.46</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11.92</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履带式单斗液压挖掘机1m3</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0.652</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999.24</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651.50</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钢轮内燃压路机15t</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0.358</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595.73</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213.27</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电动夯实机250N·m</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0.467</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25.67</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11.99</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载货汽车4t</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2.579</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415.81</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1072.37</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自卸汽车15t</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0.234</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874.12</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204.54</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平板拖车组40t</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1160.73</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1160.73</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洒水车4000L</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482.58</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双锥反转出料混凝土搅拌机500L</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0.566</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217.31</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123.00</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灰浆搅拌机200L</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6.571</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163.85</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1076.66</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干混砂浆罐式搅拌机20000L</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0.245</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钢筋调直机14mm</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1.013</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36.64</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37.12</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钢筋切断机40mm</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0.818</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38.51</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钢筋弯曲机40mm</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2.588</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24.66</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63.82</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木工圆锯机500mm</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2.893</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23.84</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68.97</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直流弧焊机32kW</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1.661</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82.61</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137.22</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对焊机75kV·A</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0.406</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100.21</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40.69</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电焊条烘干箱45×35×45cm3</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0.166</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混凝土振捣器平板式</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3.204</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38.74</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混凝土振捣器插入式</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3.448</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13.93</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28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汽车式起重机5t</w:t>
            </w:r>
          </w:p>
        </w:tc>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129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0.386</w:t>
            </w:r>
          </w:p>
        </w:tc>
        <w:tc>
          <w:tcPr>
            <w:tcW w:w="16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402.86</w:t>
            </w:r>
          </w:p>
        </w:tc>
        <w:tc>
          <w:tcPr>
            <w:tcW w:w="13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155.50</w:t>
            </w:r>
          </w:p>
        </w:tc>
        <w:tc>
          <w:tcPr>
            <w:tcW w:w="1365"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285" w:type="dxa"/>
            <w:gridSpan w:val="2"/>
            <w:tcBorders>
              <w:top w:val="single" w:color="000000"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gridSpan w:val="2"/>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0" w:type="dxa"/>
            <w:gridSpan w:val="2"/>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35" w:type="dxa"/>
            <w:gridSpan w:val="3"/>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46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285" w:type="dxa"/>
            <w:gridSpan w:val="2"/>
            <w:tcBorders>
              <w:top w:val="single" w:color="auto"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gridSpan w:val="2"/>
            <w:tcBorders>
              <w:top w:val="single" w:color="auto"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0" w:type="dxa"/>
            <w:gridSpan w:val="2"/>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35" w:type="dxa"/>
            <w:gridSpan w:val="3"/>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gridSpan w:val="2"/>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20"/>
      </w:pPr>
    </w:p>
    <w:tbl>
      <w:tblPr>
        <w:tblStyle w:val="14"/>
        <w:tblW w:w="10110" w:type="dxa"/>
        <w:tblInd w:w="93" w:type="dxa"/>
        <w:shd w:val="clear" w:color="auto" w:fill="auto"/>
        <w:tblLayout w:type="fixed"/>
        <w:tblCellMar>
          <w:top w:w="0" w:type="dxa"/>
          <w:left w:w="108" w:type="dxa"/>
          <w:bottom w:w="0" w:type="dxa"/>
          <w:right w:w="108" w:type="dxa"/>
        </w:tblCellMar>
      </w:tblPr>
      <w:tblGrid>
        <w:gridCol w:w="666"/>
        <w:gridCol w:w="666"/>
        <w:gridCol w:w="2730"/>
        <w:gridCol w:w="3540"/>
        <w:gridCol w:w="1095"/>
        <w:gridCol w:w="1413"/>
      </w:tblGrid>
      <w:tr>
        <w:tblPrEx>
          <w:shd w:val="clear" w:color="auto" w:fill="auto"/>
          <w:tblCellMar>
            <w:top w:w="0" w:type="dxa"/>
            <w:left w:w="108" w:type="dxa"/>
            <w:bottom w:w="0" w:type="dxa"/>
            <w:right w:w="108" w:type="dxa"/>
          </w:tblCellMar>
        </w:tblPrEx>
        <w:trPr>
          <w:trHeight w:val="300" w:hRule="atLeast"/>
        </w:trPr>
        <w:tc>
          <w:tcPr>
            <w:tcW w:w="4062"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【表10.2.2-13】</w:t>
            </w:r>
          </w:p>
        </w:tc>
        <w:tc>
          <w:tcPr>
            <w:tcW w:w="354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13"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10" w:hRule="atLeast"/>
        </w:trPr>
        <w:tc>
          <w:tcPr>
            <w:tcW w:w="1011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单位（专业）工程招标控制价费用表</w:t>
            </w:r>
          </w:p>
        </w:tc>
      </w:tr>
      <w:tr>
        <w:tblPrEx>
          <w:tblCellMar>
            <w:top w:w="0" w:type="dxa"/>
            <w:left w:w="108" w:type="dxa"/>
            <w:bottom w:w="0" w:type="dxa"/>
            <w:right w:w="108" w:type="dxa"/>
          </w:tblCellMar>
        </w:tblPrEx>
        <w:trPr>
          <w:trHeight w:val="240" w:hRule="atLeast"/>
        </w:trPr>
        <w:tc>
          <w:tcPr>
            <w:tcW w:w="4062"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工程名称:中国人民解放军某部队犬舍建造-园林</w:t>
            </w:r>
          </w:p>
        </w:tc>
        <w:tc>
          <w:tcPr>
            <w:tcW w:w="3540"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508"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39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3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计算公式</w:t>
            </w:r>
          </w:p>
        </w:tc>
        <w:tc>
          <w:tcPr>
            <w:tcW w:w="10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∑(分部分项工程量×综合单价）</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331502.68</w:t>
            </w: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见表10.2.2-16</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∑分部分项（定额人工费+定额机械费）</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73288.64</w:t>
            </w:r>
          </w:p>
        </w:tc>
        <w:tc>
          <w:tcPr>
            <w:tcW w:w="141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3898.96</w:t>
            </w:r>
          </w:p>
        </w:tc>
        <w:tc>
          <w:tcPr>
            <w:tcW w:w="141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3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∑(技措项目工程量×综合单价）</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见表10.2.2-16</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∑技措项目（定额人工费+定额机械费）</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3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(1.1+2.1.1)×5.32%</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3898.96</w:t>
            </w: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见表10.2.2-20</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(1.1+2.1.1)×5.32%</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3898.96</w:t>
            </w: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见表10.2.2-20</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（3.1+3.2+3.3+3.4）</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3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3.1.1+3.1.2+3.1.3</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66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标化工地增加费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666" w:type="dxa"/>
            <w:vMerge w:val="continue"/>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优质工程增加费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666" w:type="dxa"/>
            <w:vMerge w:val="continue"/>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其他暂列金额</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3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3.2.1+3.2.2+3.2.3</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66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材料（工程设备）暂估价</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(或计入综合单价)</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见表10.2.2-23</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66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见表10.2.2-24</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66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专项技术措施暂估价</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见表10.2.2-25</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3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∑计日工(暂估数量×综合单价）</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3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施工总承包服务费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3.4.1+3.4.2</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66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专业发包工程管理费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∑专业发包工程（暂估金额×费率）</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见表10.2.2-27</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66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甲供材料设备管理费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甲供材料暂估金额×费率+甲供设备暂估金额×费率</w:t>
            </w:r>
          </w:p>
        </w:tc>
        <w:tc>
          <w:tcPr>
            <w:tcW w:w="109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见表10.2.2-27</w:t>
            </w:r>
          </w:p>
        </w:tc>
      </w:tr>
      <w:tr>
        <w:tblPrEx>
          <w:tblCellMar>
            <w:top w:w="0" w:type="dxa"/>
            <w:left w:w="108" w:type="dxa"/>
            <w:bottom w:w="0" w:type="dxa"/>
            <w:right w:w="108" w:type="dxa"/>
          </w:tblCellMar>
        </w:tblPrEx>
        <w:trPr>
          <w:trHeight w:val="46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(1.1+2.1.1)×30.97%</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22697.49</w:t>
            </w:r>
          </w:p>
        </w:tc>
        <w:tc>
          <w:tcPr>
            <w:tcW w:w="141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(1+2+3+4)×9%</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32228.92</w:t>
            </w:r>
          </w:p>
        </w:tc>
        <w:tc>
          <w:tcPr>
            <w:tcW w:w="1413"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55" w:hRule="atLeast"/>
        </w:trPr>
        <w:tc>
          <w:tcPr>
            <w:tcW w:w="4062" w:type="dxa"/>
            <w:gridSpan w:val="3"/>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w:t>
            </w:r>
          </w:p>
        </w:tc>
        <w:tc>
          <w:tcPr>
            <w:tcW w:w="354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1+2+3+4+5</w:t>
            </w:r>
          </w:p>
        </w:tc>
        <w:tc>
          <w:tcPr>
            <w:tcW w:w="109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390328.00</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7"/>
        <w:sectPr>
          <w:pgSz w:w="11906" w:h="16838"/>
          <w:pgMar w:top="1418" w:right="1135" w:bottom="1418" w:left="1135" w:header="851" w:footer="992" w:gutter="0"/>
          <w:pgNumType w:fmt="numberInDash"/>
          <w:cols w:space="720" w:num="1"/>
          <w:docGrid w:type="lines" w:linePitch="312" w:charSpace="0"/>
        </w:sectPr>
      </w:pPr>
    </w:p>
    <w:tbl>
      <w:tblPr>
        <w:tblStyle w:val="14"/>
        <w:tblW w:w="14792" w:type="dxa"/>
        <w:jc w:val="center"/>
        <w:shd w:val="clear" w:color="auto" w:fill="auto"/>
        <w:tblLayout w:type="fixed"/>
        <w:tblCellMar>
          <w:top w:w="0" w:type="dxa"/>
          <w:left w:w="108" w:type="dxa"/>
          <w:bottom w:w="0" w:type="dxa"/>
          <w:right w:w="108" w:type="dxa"/>
        </w:tblCellMar>
      </w:tblPr>
      <w:tblGrid>
        <w:gridCol w:w="738"/>
        <w:gridCol w:w="2137"/>
        <w:gridCol w:w="3675"/>
        <w:gridCol w:w="990"/>
        <w:gridCol w:w="1035"/>
        <w:gridCol w:w="1080"/>
        <w:gridCol w:w="1170"/>
        <w:gridCol w:w="1140"/>
        <w:gridCol w:w="1065"/>
        <w:gridCol w:w="1019"/>
        <w:gridCol w:w="743"/>
      </w:tblGrid>
      <w:tr>
        <w:tblPrEx>
          <w:shd w:val="clear" w:color="auto" w:fill="auto"/>
          <w:tblCellMar>
            <w:top w:w="0" w:type="dxa"/>
            <w:left w:w="108" w:type="dxa"/>
            <w:bottom w:w="0" w:type="dxa"/>
            <w:right w:w="108" w:type="dxa"/>
          </w:tblCellMar>
        </w:tblPrEx>
        <w:trPr>
          <w:trHeight w:val="300" w:hRule="atLeast"/>
          <w:jc w:val="center"/>
        </w:trPr>
        <w:tc>
          <w:tcPr>
            <w:tcW w:w="6550"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99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19"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43"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65" w:hRule="atLeast"/>
          <w:jc w:val="center"/>
        </w:trPr>
        <w:tc>
          <w:tcPr>
            <w:tcW w:w="14792"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trHeight w:val="240" w:hRule="atLeast"/>
          <w:jc w:val="center"/>
        </w:trPr>
        <w:tc>
          <w:tcPr>
            <w:tcW w:w="8575"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单位(专业)工程名称:中国人民解放军某部队犬舍建造-园林</w:t>
            </w:r>
          </w:p>
        </w:tc>
        <w:tc>
          <w:tcPr>
            <w:tcW w:w="339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27"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共5页</w:t>
            </w:r>
          </w:p>
        </w:tc>
      </w:tr>
      <w:tr>
        <w:tblPrEx>
          <w:tblCellMar>
            <w:top w:w="0" w:type="dxa"/>
            <w:left w:w="108" w:type="dxa"/>
            <w:bottom w:w="0" w:type="dxa"/>
            <w:right w:w="108" w:type="dxa"/>
          </w:tblCellMar>
        </w:tblPrEx>
        <w:trPr>
          <w:trHeight w:val="450" w:hRule="atLeast"/>
          <w:jc w:val="center"/>
        </w:trPr>
        <w:tc>
          <w:tcPr>
            <w:tcW w:w="73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3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367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9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3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474"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43"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73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3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67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7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224"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4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3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67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01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4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3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沙地犬训练场</w:t>
            </w: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38975.43</w:t>
            </w:r>
          </w:p>
        </w:tc>
        <w:tc>
          <w:tcPr>
            <w:tcW w:w="114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79.48</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903.21</w:t>
            </w: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D2-121*2+2-122*-15换</w:t>
            </w: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砂底层  人机配合~厚25(cm)</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722.57</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53.94</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38975.43</w:t>
            </w:r>
          </w:p>
        </w:tc>
        <w:tc>
          <w:tcPr>
            <w:tcW w:w="114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79.48</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903.21</w:t>
            </w: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3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草皮犬训练场</w:t>
            </w: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3472.15</w:t>
            </w:r>
          </w:p>
        </w:tc>
        <w:tc>
          <w:tcPr>
            <w:tcW w:w="114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1124.65</w:t>
            </w:r>
          </w:p>
        </w:tc>
        <w:tc>
          <w:tcPr>
            <w:tcW w:w="1065"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栽植草皮满铺</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185.28</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18.74</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3472.15</w:t>
            </w:r>
          </w:p>
        </w:tc>
        <w:tc>
          <w:tcPr>
            <w:tcW w:w="114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1124.65</w:t>
            </w:r>
          </w:p>
        </w:tc>
        <w:tc>
          <w:tcPr>
            <w:tcW w:w="1065"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3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水泥地面</w:t>
            </w: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62109.44</w:t>
            </w:r>
          </w:p>
        </w:tc>
        <w:tc>
          <w:tcPr>
            <w:tcW w:w="114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11560.22</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945.54</w:t>
            </w: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60" w:hRule="atLeast"/>
          <w:jc w:val="center"/>
        </w:trPr>
        <w:tc>
          <w:tcPr>
            <w:tcW w:w="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D2-213+2-214*-5换</w:t>
            </w: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  道路混凝土~厚度15(cm)^现浇现拌混凝土 C25（40）</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822.206</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75.54</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62109.44</w:t>
            </w:r>
          </w:p>
        </w:tc>
        <w:tc>
          <w:tcPr>
            <w:tcW w:w="114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11560.22</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945.54</w:t>
            </w: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3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节点①-台阶</w:t>
            </w: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17812.44</w:t>
            </w:r>
          </w:p>
        </w:tc>
        <w:tc>
          <w:tcPr>
            <w:tcW w:w="114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3002.27</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38.47</w:t>
            </w: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A17-187换</w:t>
            </w: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混凝土台阶^非泵送商品混凝土 C25</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32.88</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259.73</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8539.92</w:t>
            </w:r>
          </w:p>
        </w:tc>
        <w:tc>
          <w:tcPr>
            <w:tcW w:w="114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3002.27</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38.47</w:t>
            </w: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除税综合价</w:t>
            </w: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铁艺大门5120*2400（样式甲方自定)</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12.288</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2949.12</w:t>
            </w:r>
          </w:p>
        </w:tc>
        <w:tc>
          <w:tcPr>
            <w:tcW w:w="114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除税综合价</w:t>
            </w: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铁艺大门4000*2400（样式甲方自定)</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2304.00</w:t>
            </w:r>
          </w:p>
        </w:tc>
        <w:tc>
          <w:tcPr>
            <w:tcW w:w="114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除税综合价</w:t>
            </w: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铁艺栏杆H1800mm</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44.66</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4019.40</w:t>
            </w:r>
          </w:p>
        </w:tc>
        <w:tc>
          <w:tcPr>
            <w:tcW w:w="114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13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节点②-铁艺围墙</w:t>
            </w: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73451.44</w:t>
            </w:r>
          </w:p>
        </w:tc>
        <w:tc>
          <w:tcPr>
            <w:tcW w:w="114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21751.58</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1105.47</w:t>
            </w: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36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挖掘机一般开挖三类土</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23.9904</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121.63</w:t>
            </w:r>
          </w:p>
        </w:tc>
        <w:tc>
          <w:tcPr>
            <w:tcW w:w="114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44.38</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51.10</w:t>
            </w:r>
          </w:p>
        </w:tc>
        <w:tc>
          <w:tcPr>
            <w:tcW w:w="1019"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9655"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170"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122491.09</w:t>
            </w:r>
          </w:p>
        </w:tc>
        <w:tc>
          <w:tcPr>
            <w:tcW w:w="1140"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15811.00</w:t>
            </w:r>
          </w:p>
        </w:tc>
        <w:tc>
          <w:tcPr>
            <w:tcW w:w="106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1938.32</w:t>
            </w:r>
          </w:p>
        </w:tc>
        <w:tc>
          <w:tcPr>
            <w:tcW w:w="1019"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8"/>
      </w:pPr>
    </w:p>
    <w:tbl>
      <w:tblPr>
        <w:tblStyle w:val="14"/>
        <w:tblW w:w="15142" w:type="dxa"/>
        <w:jc w:val="center"/>
        <w:shd w:val="clear" w:color="auto" w:fill="auto"/>
        <w:tblLayout w:type="fixed"/>
        <w:tblCellMar>
          <w:top w:w="0" w:type="dxa"/>
          <w:left w:w="108" w:type="dxa"/>
          <w:bottom w:w="0" w:type="dxa"/>
          <w:right w:w="108" w:type="dxa"/>
        </w:tblCellMar>
      </w:tblPr>
      <w:tblGrid>
        <w:gridCol w:w="372"/>
        <w:gridCol w:w="378"/>
        <w:gridCol w:w="372"/>
        <w:gridCol w:w="1233"/>
        <w:gridCol w:w="372"/>
        <w:gridCol w:w="2760"/>
        <w:gridCol w:w="840"/>
        <w:gridCol w:w="606"/>
        <w:gridCol w:w="422"/>
        <w:gridCol w:w="225"/>
        <w:gridCol w:w="82"/>
        <w:gridCol w:w="276"/>
        <w:gridCol w:w="257"/>
        <w:gridCol w:w="270"/>
        <w:gridCol w:w="547"/>
        <w:gridCol w:w="21"/>
        <w:gridCol w:w="122"/>
        <w:gridCol w:w="240"/>
        <w:gridCol w:w="598"/>
        <w:gridCol w:w="182"/>
        <w:gridCol w:w="127"/>
        <w:gridCol w:w="83"/>
        <w:gridCol w:w="613"/>
        <w:gridCol w:w="317"/>
        <w:gridCol w:w="150"/>
        <w:gridCol w:w="97"/>
        <w:gridCol w:w="576"/>
        <w:gridCol w:w="212"/>
        <w:gridCol w:w="150"/>
        <w:gridCol w:w="427"/>
        <w:gridCol w:w="171"/>
        <w:gridCol w:w="317"/>
        <w:gridCol w:w="595"/>
        <w:gridCol w:w="372"/>
        <w:gridCol w:w="395"/>
        <w:gridCol w:w="335"/>
        <w:gridCol w:w="15"/>
        <w:gridCol w:w="15"/>
      </w:tblGrid>
      <w:tr>
        <w:tblPrEx>
          <w:shd w:val="clear" w:color="auto" w:fill="auto"/>
          <w:tblCellMar>
            <w:top w:w="0" w:type="dxa"/>
            <w:left w:w="108" w:type="dxa"/>
            <w:bottom w:w="0" w:type="dxa"/>
            <w:right w:w="108" w:type="dxa"/>
          </w:tblCellMar>
        </w:tblPrEx>
        <w:trPr>
          <w:gridAfter w:val="3"/>
          <w:wAfter w:w="365" w:type="dxa"/>
          <w:trHeight w:val="285" w:hRule="atLeast"/>
          <w:jc w:val="center"/>
        </w:trPr>
        <w:tc>
          <w:tcPr>
            <w:tcW w:w="6933"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1005"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95"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60" w:type="dxa"/>
            <w:gridSpan w:val="3"/>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05"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40"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60"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12"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67"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585" w:hRule="atLeast"/>
          <w:jc w:val="center"/>
        </w:trPr>
        <w:tc>
          <w:tcPr>
            <w:tcW w:w="14777" w:type="dxa"/>
            <w:gridSpan w:val="3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After w:val="3"/>
          <w:wAfter w:w="365" w:type="dxa"/>
          <w:trHeight w:val="225" w:hRule="atLeast"/>
          <w:jc w:val="center"/>
        </w:trPr>
        <w:tc>
          <w:tcPr>
            <w:tcW w:w="9033" w:type="dxa"/>
            <w:gridSpan w:val="1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单位(专业)工程名称:中国人民解放军某部队犬舍建造-园林</w:t>
            </w:r>
          </w:p>
        </w:tc>
        <w:tc>
          <w:tcPr>
            <w:tcW w:w="3105" w:type="dxa"/>
            <w:gridSpan w:val="11"/>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639" w:type="dxa"/>
            <w:gridSpan w:val="8"/>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共5页</w:t>
            </w:r>
          </w:p>
        </w:tc>
      </w:tr>
      <w:tr>
        <w:tblPrEx>
          <w:tblCellMar>
            <w:top w:w="0" w:type="dxa"/>
            <w:left w:w="108" w:type="dxa"/>
            <w:bottom w:w="0" w:type="dxa"/>
            <w:right w:w="108" w:type="dxa"/>
          </w:tblCellMar>
        </w:tblPrEx>
        <w:trPr>
          <w:gridAfter w:val="3"/>
          <w:wAfter w:w="365" w:type="dxa"/>
          <w:trHeight w:val="390" w:hRule="atLeast"/>
          <w:jc w:val="center"/>
        </w:trPr>
        <w:tc>
          <w:tcPr>
            <w:tcW w:w="75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5"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578"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05"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095"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977" w:type="dxa"/>
            <w:gridSpan w:val="1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67"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After w:val="3"/>
          <w:wAfter w:w="365" w:type="dxa"/>
          <w:trHeight w:val="36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578"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9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60" w:type="dxa"/>
            <w:gridSpan w:val="3"/>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05"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012" w:type="dxa"/>
            <w:gridSpan w:val="10"/>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6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39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578"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9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60" w:type="dxa"/>
            <w:gridSpan w:val="3"/>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96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912"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6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4-101</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装载机装土</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23.9904</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47.50</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c>
          <w:tcPr>
            <w:tcW w:w="96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27.59</w:t>
            </w: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4-102+4-103*2换</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自卸汽车~运距3000(m)</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23.9904</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293.88</w:t>
            </w:r>
          </w:p>
        </w:tc>
        <w:tc>
          <w:tcPr>
            <w:tcW w:w="1140"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6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231.99</w:t>
            </w: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4-116</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基础垫层 碎石干铺</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215.29</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678.16</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124.65</w:t>
            </w:r>
          </w:p>
        </w:tc>
        <w:tc>
          <w:tcPr>
            <w:tcW w:w="96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57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素混凝土垫层 ^现浇现拌混凝土C15(40)</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10.64</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475.20</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5056.13</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984.41</w:t>
            </w:r>
          </w:p>
        </w:tc>
        <w:tc>
          <w:tcPr>
            <w:tcW w:w="96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110.98</w:t>
            </w: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57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10-1换</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素混凝土垫层 ^现浇现拌混凝土 C25（40）</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507.00</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10114.65</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1845.77</w:t>
            </w:r>
          </w:p>
        </w:tc>
        <w:tc>
          <w:tcPr>
            <w:tcW w:w="96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50.40</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3083.47</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1428.55</w:t>
            </w:r>
          </w:p>
        </w:tc>
        <w:tc>
          <w:tcPr>
            <w:tcW w:w="96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56.29</w:t>
            </w: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砖砌外墙1砖半</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33.18084</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546.72</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18140.63</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5832.20</w:t>
            </w:r>
          </w:p>
        </w:tc>
        <w:tc>
          <w:tcPr>
            <w:tcW w:w="96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212.03</w:t>
            </w: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矩形砖柱（周长：m）1.8以内</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11.699251</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621.60</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7272.25</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2771.90</w:t>
            </w:r>
          </w:p>
        </w:tc>
        <w:tc>
          <w:tcPr>
            <w:tcW w:w="96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51.71</w:t>
            </w: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混凝土实心砖零星砌体现拌砂浆</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0.503194</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644.52</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324.32</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128.09</w:t>
            </w:r>
          </w:p>
        </w:tc>
        <w:tc>
          <w:tcPr>
            <w:tcW w:w="96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A12-16+12-3*3换</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墙面砂浆打底找平 15mm厚^水泥砂浆 1:3~厚度18(mm)</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236.754</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23.01</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5447.71</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2883.66</w:t>
            </w:r>
          </w:p>
        </w:tc>
        <w:tc>
          <w:tcPr>
            <w:tcW w:w="96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125.48</w:t>
            </w: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A14-141</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抹灰面批刮腻子（满刮两遍）</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236.754</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3596.29</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2310.72</w:t>
            </w:r>
          </w:p>
        </w:tc>
        <w:tc>
          <w:tcPr>
            <w:tcW w:w="960"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A14-146</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外墙涂料 丙烯酸涂料</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236.754</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5173.07</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2632.70</w:t>
            </w:r>
          </w:p>
        </w:tc>
        <w:tc>
          <w:tcPr>
            <w:tcW w:w="960"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675"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6-24换</w:t>
            </w:r>
          </w:p>
        </w:tc>
        <w:tc>
          <w:tcPr>
            <w:tcW w:w="457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楼地面块料面层 花岗岩（大理石）面层板厚3cm以内^水泥砂浆 1∶3</w:t>
            </w:r>
          </w:p>
        </w:tc>
        <w:tc>
          <w:tcPr>
            <w:tcW w:w="100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9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39.501</w:t>
            </w:r>
          </w:p>
        </w:tc>
        <w:tc>
          <w:tcPr>
            <w:tcW w:w="96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84.27</w:t>
            </w:r>
          </w:p>
        </w:tc>
        <w:tc>
          <w:tcPr>
            <w:tcW w:w="100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3328.75</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754.47</w:t>
            </w:r>
          </w:p>
        </w:tc>
        <w:tc>
          <w:tcPr>
            <w:tcW w:w="96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24.10</w:t>
            </w:r>
          </w:p>
        </w:tc>
        <w:tc>
          <w:tcPr>
            <w:tcW w:w="912"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3"/>
          <w:wAfter w:w="365" w:type="dxa"/>
          <w:trHeight w:val="450" w:hRule="atLeast"/>
          <w:jc w:val="center"/>
        </w:trPr>
        <w:tc>
          <w:tcPr>
            <w:tcW w:w="9993" w:type="dxa"/>
            <w:gridSpan w:val="19"/>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0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62556.81</w:t>
            </w:r>
          </w:p>
        </w:tc>
        <w:tc>
          <w:tcPr>
            <w:tcW w:w="1140"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21707.20</w:t>
            </w:r>
          </w:p>
        </w:tc>
        <w:tc>
          <w:tcPr>
            <w:tcW w:w="960"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1054.37</w:t>
            </w:r>
          </w:p>
        </w:tc>
        <w:tc>
          <w:tcPr>
            <w:tcW w:w="912" w:type="dxa"/>
            <w:gridSpan w:val="2"/>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280" w:hRule="atLeast"/>
          <w:jc w:val="center"/>
        </w:trPr>
        <w:tc>
          <w:tcPr>
            <w:tcW w:w="7208" w:type="dxa"/>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885"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30"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90"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80" w:type="dxa"/>
            <w:gridSpan w:val="3"/>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35"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15" w:type="dxa"/>
            <w:gridSpan w:val="3"/>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67"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60"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540" w:hRule="atLeast"/>
          <w:jc w:val="center"/>
        </w:trPr>
        <w:tc>
          <w:tcPr>
            <w:tcW w:w="14770" w:type="dxa"/>
            <w:gridSpan w:val="3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wBefore w:w="372" w:type="dxa"/>
          <w:trHeight w:val="300" w:hRule="atLeast"/>
          <w:jc w:val="center"/>
        </w:trPr>
        <w:tc>
          <w:tcPr>
            <w:tcW w:w="9023" w:type="dxa"/>
            <w:gridSpan w:val="1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单位(专业)工程名称:中国人民解放军某部队犬舍建造-园林</w:t>
            </w:r>
          </w:p>
        </w:tc>
        <w:tc>
          <w:tcPr>
            <w:tcW w:w="3105" w:type="dxa"/>
            <w:gridSpan w:val="11"/>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642" w:type="dxa"/>
            <w:gridSpan w:val="9"/>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共5页</w:t>
            </w:r>
          </w:p>
        </w:tc>
      </w:tr>
      <w:tr>
        <w:tblPrEx>
          <w:tblCellMar>
            <w:top w:w="0" w:type="dxa"/>
            <w:left w:w="108" w:type="dxa"/>
            <w:bottom w:w="0" w:type="dxa"/>
            <w:right w:w="108" w:type="dxa"/>
          </w:tblCellMar>
        </w:tblPrEx>
        <w:trPr>
          <w:gridBefore w:val="1"/>
          <w:wBefore w:w="372" w:type="dxa"/>
          <w:trHeight w:val="390" w:hRule="atLeast"/>
          <w:jc w:val="center"/>
        </w:trPr>
        <w:tc>
          <w:tcPr>
            <w:tcW w:w="75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5"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853" w:type="dxa"/>
            <w:gridSpan w:val="5"/>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85"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30"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987" w:type="dxa"/>
            <w:gridSpan w:val="1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60" w:type="dxa"/>
            <w:gridSpan w:val="4"/>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wBefore w:w="372" w:type="dxa"/>
          <w:trHeight w:val="36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53"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0"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0"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80" w:type="dxa"/>
            <w:gridSpan w:val="3"/>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917" w:type="dxa"/>
            <w:gridSpan w:val="9"/>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60"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39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53" w:type="dxa"/>
            <w:gridSpan w:val="5"/>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0"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0"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gridSpan w:val="3"/>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91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967"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60" w:type="dxa"/>
            <w:gridSpan w:val="4"/>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除税综合价</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围墙栏杆H1630mm</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10773.00</w:t>
            </w:r>
          </w:p>
        </w:tc>
        <w:tc>
          <w:tcPr>
            <w:tcW w:w="103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15"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节点④-围墙</w:t>
            </w:r>
          </w:p>
        </w:tc>
        <w:tc>
          <w:tcPr>
            <w:tcW w:w="88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0"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718.86</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264.93</w:t>
            </w:r>
          </w:p>
        </w:tc>
        <w:tc>
          <w:tcPr>
            <w:tcW w:w="91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12.92</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挖掘机一般开挖三类土</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0.756</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91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4-101</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装载机装土</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w:t>
            </w:r>
          </w:p>
        </w:tc>
        <w:tc>
          <w:tcPr>
            <w:tcW w:w="91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4-102+4-103*2换</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自卸汽车~运距3000(m)</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03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1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回填土机械夯实</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0.466</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91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4-116</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基础垫层 碎石干铺</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215.29</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91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39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素混凝土垫层 ^现浇现拌混凝土C15(40)</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475.20</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91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0.83</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10-1换</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素混凝土垫层 ^现浇现拌混凝土 C25（40）</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507.00</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76.05</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w:t>
            </w:r>
          </w:p>
        </w:tc>
        <w:tc>
          <w:tcPr>
            <w:tcW w:w="91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50.40</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46.37</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21.48</w:t>
            </w:r>
          </w:p>
        </w:tc>
        <w:tc>
          <w:tcPr>
            <w:tcW w:w="91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0.85</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砖基础240×115×53</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0.072</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486.76</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35.05</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91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砖砌外墙1砖</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0.5832</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543.91</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317.21</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102.51</w:t>
            </w:r>
          </w:p>
        </w:tc>
        <w:tc>
          <w:tcPr>
            <w:tcW w:w="91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A14-141</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抹灰面批刮腻子（满刮两遍）</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15.19</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73.82</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47.43</w:t>
            </w:r>
          </w:p>
        </w:tc>
        <w:tc>
          <w:tcPr>
            <w:tcW w:w="915"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A14-146</w:t>
            </w:r>
          </w:p>
        </w:tc>
        <w:tc>
          <w:tcPr>
            <w:tcW w:w="485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外墙涂料 丙烯酸涂料</w:t>
            </w:r>
          </w:p>
        </w:tc>
        <w:tc>
          <w:tcPr>
            <w:tcW w:w="88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3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w:t>
            </w:r>
          </w:p>
        </w:tc>
        <w:tc>
          <w:tcPr>
            <w:tcW w:w="99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w:t>
            </w:r>
          </w:p>
        </w:tc>
        <w:tc>
          <w:tcPr>
            <w:tcW w:w="108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106.19</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54.04</w:t>
            </w:r>
          </w:p>
        </w:tc>
        <w:tc>
          <w:tcPr>
            <w:tcW w:w="915"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372" w:type="dxa"/>
          <w:trHeight w:val="450" w:hRule="atLeast"/>
          <w:jc w:val="center"/>
        </w:trPr>
        <w:tc>
          <w:tcPr>
            <w:tcW w:w="10013" w:type="dxa"/>
            <w:gridSpan w:val="21"/>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80" w:type="dxa"/>
            <w:gridSpan w:val="3"/>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11491.86</w:t>
            </w:r>
          </w:p>
        </w:tc>
        <w:tc>
          <w:tcPr>
            <w:tcW w:w="103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264.93</w:t>
            </w:r>
          </w:p>
        </w:tc>
        <w:tc>
          <w:tcPr>
            <w:tcW w:w="915" w:type="dxa"/>
            <w:gridSpan w:val="3"/>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12.92</w:t>
            </w:r>
          </w:p>
        </w:tc>
        <w:tc>
          <w:tcPr>
            <w:tcW w:w="967" w:type="dxa"/>
            <w:gridSpan w:val="2"/>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295" w:hRule="atLeast"/>
          <w:jc w:val="center"/>
        </w:trPr>
        <w:tc>
          <w:tcPr>
            <w:tcW w:w="6983"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840"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60"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20" w:type="dxa"/>
            <w:gridSpan w:val="3"/>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40"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35"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65"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67"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45" w:type="dxa"/>
            <w:gridSpan w:val="3"/>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570" w:hRule="atLeast"/>
          <w:jc w:val="center"/>
        </w:trPr>
        <w:tc>
          <w:tcPr>
            <w:tcW w:w="14755" w:type="dxa"/>
            <w:gridSpan w:val="3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gridAfter w:val="1"/>
          <w:wBefore w:w="372" w:type="dxa"/>
          <w:wAfter w:w="15" w:type="dxa"/>
          <w:trHeight w:val="270" w:hRule="atLeast"/>
          <w:jc w:val="center"/>
        </w:trPr>
        <w:tc>
          <w:tcPr>
            <w:tcW w:w="8783" w:type="dxa"/>
            <w:gridSpan w:val="1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单位(专业)工程名称:中国人民解放军某部队犬舍建造-园林</w:t>
            </w:r>
          </w:p>
        </w:tc>
        <w:tc>
          <w:tcPr>
            <w:tcW w:w="3195" w:type="dxa"/>
            <w:gridSpan w:val="11"/>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777" w:type="dxa"/>
            <w:gridSpan w:val="9"/>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第4页 共5页</w:t>
            </w:r>
          </w:p>
        </w:tc>
      </w:tr>
      <w:tr>
        <w:tblPrEx>
          <w:tblCellMar>
            <w:top w:w="0" w:type="dxa"/>
            <w:left w:w="108" w:type="dxa"/>
            <w:bottom w:w="0" w:type="dxa"/>
            <w:right w:w="108" w:type="dxa"/>
          </w:tblCellMar>
        </w:tblPrEx>
        <w:trPr>
          <w:gridBefore w:val="1"/>
          <w:gridAfter w:val="1"/>
          <w:wBefore w:w="372" w:type="dxa"/>
          <w:wAfter w:w="15" w:type="dxa"/>
          <w:trHeight w:val="360" w:hRule="atLeast"/>
          <w:jc w:val="center"/>
        </w:trPr>
        <w:tc>
          <w:tcPr>
            <w:tcW w:w="75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5"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628"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40"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60"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227" w:type="dxa"/>
            <w:gridSpan w:val="1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45" w:type="dxa"/>
            <w:gridSpan w:val="3"/>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gridAfter w:val="1"/>
          <w:wBefore w:w="372" w:type="dxa"/>
          <w:wAfter w:w="15" w:type="dxa"/>
          <w:trHeight w:val="36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628"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60"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dxa"/>
            <w:gridSpan w:val="3"/>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40"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067" w:type="dxa"/>
            <w:gridSpan w:val="10"/>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45" w:type="dxa"/>
            <w:gridSpan w:val="3"/>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405"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628"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60"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dxa"/>
            <w:gridSpan w:val="3"/>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6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967"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45" w:type="dxa"/>
            <w:gridSpan w:val="3"/>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62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节点⑤-⑨-挡墙</w:t>
            </w:r>
          </w:p>
        </w:tc>
        <w:tc>
          <w:tcPr>
            <w:tcW w:w="840"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60"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82707.61</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31524.96</w:t>
            </w:r>
          </w:p>
        </w:tc>
        <w:tc>
          <w:tcPr>
            <w:tcW w:w="106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588.11</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462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矩形砖柱（周长：m）1.8以内</w:t>
            </w:r>
          </w:p>
        </w:tc>
        <w:tc>
          <w:tcPr>
            <w:tcW w:w="84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6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133.056</w:t>
            </w:r>
          </w:p>
        </w:tc>
        <w:tc>
          <w:tcPr>
            <w:tcW w:w="102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621.60</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82707.61</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31524.96</w:t>
            </w:r>
          </w:p>
        </w:tc>
        <w:tc>
          <w:tcPr>
            <w:tcW w:w="106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588.11</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62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节点⑦-⑨-排水沟</w:t>
            </w:r>
          </w:p>
        </w:tc>
        <w:tc>
          <w:tcPr>
            <w:tcW w:w="840"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60"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17655.31</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5513.56</w:t>
            </w:r>
          </w:p>
        </w:tc>
        <w:tc>
          <w:tcPr>
            <w:tcW w:w="106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282.10</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57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10-1换</w:t>
            </w:r>
          </w:p>
        </w:tc>
        <w:tc>
          <w:tcPr>
            <w:tcW w:w="462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素混凝土垫层 ^现浇现拌混凝土 C30（40）</w:t>
            </w:r>
          </w:p>
        </w:tc>
        <w:tc>
          <w:tcPr>
            <w:tcW w:w="84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6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10.9134</w:t>
            </w:r>
          </w:p>
        </w:tc>
        <w:tc>
          <w:tcPr>
            <w:tcW w:w="102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518.69</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5660.67</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1009.71</w:t>
            </w:r>
          </w:p>
        </w:tc>
        <w:tc>
          <w:tcPr>
            <w:tcW w:w="106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113.83</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462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砖砌外墙1砖</w:t>
            </w:r>
          </w:p>
        </w:tc>
        <w:tc>
          <w:tcPr>
            <w:tcW w:w="84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6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16.7184</w:t>
            </w:r>
          </w:p>
        </w:tc>
        <w:tc>
          <w:tcPr>
            <w:tcW w:w="102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543.91</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9093.30</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2938.59</w:t>
            </w:r>
          </w:p>
        </w:tc>
        <w:tc>
          <w:tcPr>
            <w:tcW w:w="106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106.83</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w:t>
            </w:r>
          </w:p>
        </w:tc>
        <w:tc>
          <w:tcPr>
            <w:tcW w:w="462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一般抹灰 砖墙、砌块墙水泥砂浆~20mm厚</w:t>
            </w:r>
          </w:p>
        </w:tc>
        <w:tc>
          <w:tcPr>
            <w:tcW w:w="84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97.524</w:t>
            </w:r>
          </w:p>
        </w:tc>
        <w:tc>
          <w:tcPr>
            <w:tcW w:w="102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29.75</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2901.34</w:t>
            </w:r>
          </w:p>
        </w:tc>
        <w:tc>
          <w:tcPr>
            <w:tcW w:w="103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1565.26</w:t>
            </w:r>
          </w:p>
        </w:tc>
        <w:tc>
          <w:tcPr>
            <w:tcW w:w="106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61.44</w:t>
            </w: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62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840"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60"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dxa"/>
            <w:gridSpan w:val="3"/>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34600.00</w:t>
            </w:r>
          </w:p>
        </w:tc>
        <w:tc>
          <w:tcPr>
            <w:tcW w:w="103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除税综合价</w:t>
            </w:r>
          </w:p>
        </w:tc>
        <w:tc>
          <w:tcPr>
            <w:tcW w:w="462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成品5m3玻璃钢化粪池</w:t>
            </w:r>
          </w:p>
        </w:tc>
        <w:tc>
          <w:tcPr>
            <w:tcW w:w="84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6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5600.00</w:t>
            </w:r>
          </w:p>
        </w:tc>
        <w:tc>
          <w:tcPr>
            <w:tcW w:w="103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暂定除税综合价</w:t>
            </w:r>
          </w:p>
        </w:tc>
        <w:tc>
          <w:tcPr>
            <w:tcW w:w="462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断桥：6000*600*800mm，框架由60*60mm方管焊接而成</w:t>
            </w:r>
          </w:p>
        </w:tc>
        <w:tc>
          <w:tcPr>
            <w:tcW w:w="84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w:t>
            </w:r>
          </w:p>
        </w:tc>
        <w:tc>
          <w:tcPr>
            <w:tcW w:w="103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66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暂定除税综合价</w:t>
            </w:r>
          </w:p>
        </w:tc>
        <w:tc>
          <w:tcPr>
            <w:tcW w:w="462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独木桥：9000*250*1500mm，框架由60*60mm，40*60mm焊接</w:t>
            </w:r>
          </w:p>
        </w:tc>
        <w:tc>
          <w:tcPr>
            <w:tcW w:w="84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w:t>
            </w:r>
          </w:p>
        </w:tc>
        <w:tc>
          <w:tcPr>
            <w:tcW w:w="103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705"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暂定除税综合价</w:t>
            </w:r>
          </w:p>
        </w:tc>
        <w:tc>
          <w:tcPr>
            <w:tcW w:w="462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高板墙：1500*1500*2000mm，高度可调，框架由60*60方管焊接而成</w:t>
            </w:r>
          </w:p>
        </w:tc>
        <w:tc>
          <w:tcPr>
            <w:tcW w:w="84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c>
          <w:tcPr>
            <w:tcW w:w="103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暂定除税综合价</w:t>
            </w:r>
          </w:p>
        </w:tc>
        <w:tc>
          <w:tcPr>
            <w:tcW w:w="4628"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跳高架：调节高度30-230cm</w:t>
            </w:r>
          </w:p>
        </w:tc>
        <w:tc>
          <w:tcPr>
            <w:tcW w:w="84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60"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114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103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67"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1"/>
          <w:wBefore w:w="372" w:type="dxa"/>
          <w:wAfter w:w="15" w:type="dxa"/>
          <w:trHeight w:val="450" w:hRule="atLeast"/>
          <w:jc w:val="center"/>
        </w:trPr>
        <w:tc>
          <w:tcPr>
            <w:tcW w:w="9803" w:type="dxa"/>
            <w:gridSpan w:val="19"/>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140"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129962.92</w:t>
            </w:r>
          </w:p>
        </w:tc>
        <w:tc>
          <w:tcPr>
            <w:tcW w:w="103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37038.52</w:t>
            </w:r>
          </w:p>
        </w:tc>
        <w:tc>
          <w:tcPr>
            <w:tcW w:w="106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870.21</w:t>
            </w:r>
          </w:p>
        </w:tc>
        <w:tc>
          <w:tcPr>
            <w:tcW w:w="967" w:type="dxa"/>
            <w:gridSpan w:val="2"/>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300" w:hRule="atLeast"/>
          <w:jc w:val="center"/>
        </w:trPr>
        <w:tc>
          <w:tcPr>
            <w:tcW w:w="5115"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84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35"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50"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90" w:type="dxa"/>
            <w:gridSpan w:val="6"/>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60" w:type="dxa"/>
            <w:gridSpan w:val="5"/>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65"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55" w:type="dxa"/>
            <w:gridSpan w:val="4"/>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3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390" w:hRule="atLeast"/>
          <w:jc w:val="center"/>
        </w:trPr>
        <w:tc>
          <w:tcPr>
            <w:tcW w:w="14740" w:type="dxa"/>
            <w:gridSpan w:val="3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gridAfter w:val="2"/>
          <w:wBefore w:w="372" w:type="dxa"/>
          <w:wAfter w:w="30" w:type="dxa"/>
          <w:trHeight w:val="255" w:hRule="atLeast"/>
          <w:jc w:val="center"/>
        </w:trPr>
        <w:tc>
          <w:tcPr>
            <w:tcW w:w="7290" w:type="dxa"/>
            <w:gridSpan w:val="10"/>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单位(专业)工程名称:中国人民解放军某部队犬舍建造-园林</w:t>
            </w:r>
          </w:p>
        </w:tc>
        <w:tc>
          <w:tcPr>
            <w:tcW w:w="3900" w:type="dxa"/>
            <w:gridSpan w:val="1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550" w:type="dxa"/>
            <w:gridSpan w:val="10"/>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第5页 共5页</w:t>
            </w: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75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5"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6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4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335"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6720" w:type="dxa"/>
            <w:gridSpan w:val="2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30"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gridAfter w:val="2"/>
          <w:wBefore w:w="372" w:type="dxa"/>
          <w:wAfter w:w="30" w:type="dxa"/>
          <w:trHeight w:val="36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4"/>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290" w:type="dxa"/>
            <w:gridSpan w:val="6"/>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080" w:type="dxa"/>
            <w:gridSpan w:val="1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30"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4"/>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0" w:type="dxa"/>
            <w:gridSpan w:val="6"/>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36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455"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30"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暂定除税综合价</w:t>
            </w:r>
          </w:p>
        </w:tc>
        <w:tc>
          <w:tcPr>
            <w:tcW w:w="27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火圈：警犬训练火圈器材</w:t>
            </w:r>
          </w:p>
        </w:tc>
        <w:tc>
          <w:tcPr>
            <w:tcW w:w="8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1290"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126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暂定除税综合价</w:t>
            </w:r>
          </w:p>
        </w:tc>
        <w:tc>
          <w:tcPr>
            <w:tcW w:w="27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人字板墙：4980*1500</w:t>
            </w:r>
          </w:p>
        </w:tc>
        <w:tc>
          <w:tcPr>
            <w:tcW w:w="8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1290"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126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57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暂定除税综合价</w:t>
            </w:r>
          </w:p>
        </w:tc>
        <w:tc>
          <w:tcPr>
            <w:tcW w:w="27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帆布掩体</w:t>
            </w:r>
          </w:p>
        </w:tc>
        <w:tc>
          <w:tcPr>
            <w:tcW w:w="8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gridSpan w:val="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290"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26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gridSpan w:val="4"/>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90" w:type="dxa"/>
            <w:gridSpan w:val="6"/>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50" w:hRule="atLeast"/>
          <w:jc w:val="center"/>
        </w:trPr>
        <w:tc>
          <w:tcPr>
            <w:tcW w:w="8640" w:type="dxa"/>
            <w:gridSpan w:val="14"/>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290" w:type="dxa"/>
            <w:gridSpan w:val="6"/>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c>
          <w:tcPr>
            <w:tcW w:w="1260" w:type="dxa"/>
            <w:gridSpan w:val="5"/>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36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55" w:type="dxa"/>
            <w:gridSpan w:val="4"/>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gridAfter w:val="2"/>
          <w:wBefore w:w="372" w:type="dxa"/>
          <w:wAfter w:w="30" w:type="dxa"/>
          <w:trHeight w:val="405" w:hRule="atLeast"/>
          <w:jc w:val="center"/>
        </w:trPr>
        <w:tc>
          <w:tcPr>
            <w:tcW w:w="8640" w:type="dxa"/>
            <w:gridSpan w:val="14"/>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90" w:type="dxa"/>
            <w:gridSpan w:val="6"/>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331502.68</w:t>
            </w:r>
          </w:p>
        </w:tc>
        <w:tc>
          <w:tcPr>
            <w:tcW w:w="1260" w:type="dxa"/>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74821.65</w:t>
            </w:r>
          </w:p>
        </w:tc>
        <w:tc>
          <w:tcPr>
            <w:tcW w:w="136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3875.82</w:t>
            </w:r>
          </w:p>
        </w:tc>
        <w:tc>
          <w:tcPr>
            <w:tcW w:w="1455" w:type="dxa"/>
            <w:gridSpan w:val="4"/>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7"/>
        <w:sectPr>
          <w:pgSz w:w="16838" w:h="11906" w:orient="landscape"/>
          <w:pgMar w:top="1135" w:right="1418" w:bottom="1135" w:left="1418" w:header="851" w:footer="992" w:gutter="0"/>
          <w:pgNumType w:fmt="numberInDash"/>
          <w:cols w:space="720" w:num="1"/>
          <w:docGrid w:type="lines" w:linePitch="312" w:charSpace="0"/>
        </w:sectPr>
      </w:pPr>
    </w:p>
    <w:tbl>
      <w:tblPr>
        <w:tblStyle w:val="14"/>
        <w:tblW w:w="10155" w:type="dxa"/>
        <w:tblInd w:w="93" w:type="dxa"/>
        <w:shd w:val="clear" w:color="auto" w:fill="auto"/>
        <w:tblLayout w:type="autofit"/>
        <w:tblCellMar>
          <w:top w:w="0" w:type="dxa"/>
          <w:left w:w="108" w:type="dxa"/>
          <w:bottom w:w="0" w:type="dxa"/>
          <w:right w:w="108" w:type="dxa"/>
        </w:tblCellMar>
      </w:tblPr>
      <w:tblGrid>
        <w:gridCol w:w="585"/>
        <w:gridCol w:w="2880"/>
        <w:gridCol w:w="990"/>
        <w:gridCol w:w="1035"/>
        <w:gridCol w:w="1500"/>
        <w:gridCol w:w="1440"/>
        <w:gridCol w:w="1725"/>
      </w:tblGrid>
      <w:tr>
        <w:tblPrEx>
          <w:shd w:val="clear" w:color="auto" w:fill="auto"/>
          <w:tblCellMar>
            <w:top w:w="0" w:type="dxa"/>
            <w:left w:w="108" w:type="dxa"/>
            <w:bottom w:w="0" w:type="dxa"/>
            <w:right w:w="108" w:type="dxa"/>
          </w:tblCellMar>
        </w:tblPrEx>
        <w:trPr>
          <w:trHeight w:val="360" w:hRule="atLeast"/>
        </w:trPr>
        <w:tc>
          <w:tcPr>
            <w:tcW w:w="3465"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【表10.2.2-29】</w:t>
            </w:r>
          </w:p>
        </w:tc>
        <w:tc>
          <w:tcPr>
            <w:tcW w:w="99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50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4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0" w:hRule="atLeast"/>
        </w:trPr>
        <w:tc>
          <w:tcPr>
            <w:tcW w:w="10155"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主要工日一览表</w:t>
            </w:r>
          </w:p>
        </w:tc>
      </w:tr>
      <w:tr>
        <w:tblPrEx>
          <w:tblCellMar>
            <w:top w:w="0" w:type="dxa"/>
            <w:left w:w="108" w:type="dxa"/>
            <w:bottom w:w="0" w:type="dxa"/>
            <w:right w:w="108" w:type="dxa"/>
          </w:tblCellMar>
        </w:tblPrEx>
        <w:trPr>
          <w:trHeight w:val="450" w:hRule="atLeast"/>
        </w:trPr>
        <w:tc>
          <w:tcPr>
            <w:tcW w:w="4455"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工程名称:园林</w:t>
            </w:r>
          </w:p>
        </w:tc>
        <w:tc>
          <w:tcPr>
            <w:tcW w:w="2535"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165"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工日名称（类别）</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5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4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72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一类人工</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1185.23</w:t>
            </w: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二类人工</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427.167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61939.22</w:t>
            </w: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三类人工</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69.627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11697.34</w:t>
            </w: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8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auto"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auto"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auto" w:sz="4" w:space="0"/>
              <w:left w:val="single" w:color="000000"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8"/>
      </w:pPr>
    </w:p>
    <w:tbl>
      <w:tblPr>
        <w:tblStyle w:val="14"/>
        <w:tblW w:w="10155" w:type="dxa"/>
        <w:tblInd w:w="93" w:type="dxa"/>
        <w:shd w:val="clear" w:color="auto" w:fill="auto"/>
        <w:tblLayout w:type="fixed"/>
        <w:tblCellMar>
          <w:top w:w="0" w:type="dxa"/>
          <w:left w:w="108" w:type="dxa"/>
          <w:bottom w:w="0" w:type="dxa"/>
          <w:right w:w="108" w:type="dxa"/>
        </w:tblCellMar>
      </w:tblPr>
      <w:tblGrid>
        <w:gridCol w:w="660"/>
        <w:gridCol w:w="2787"/>
        <w:gridCol w:w="1110"/>
        <w:gridCol w:w="1155"/>
        <w:gridCol w:w="1260"/>
        <w:gridCol w:w="1443"/>
        <w:gridCol w:w="1740"/>
      </w:tblGrid>
      <w:tr>
        <w:tblPrEx>
          <w:shd w:val="clear" w:color="auto" w:fill="auto"/>
          <w:tblCellMar>
            <w:top w:w="0" w:type="dxa"/>
            <w:left w:w="108" w:type="dxa"/>
            <w:bottom w:w="0" w:type="dxa"/>
            <w:right w:w="108" w:type="dxa"/>
          </w:tblCellMar>
        </w:tblPrEx>
        <w:trPr>
          <w:trHeight w:val="330" w:hRule="atLeast"/>
        </w:trPr>
        <w:tc>
          <w:tcPr>
            <w:tcW w:w="3447"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【表10.2.2-31】</w:t>
            </w:r>
          </w:p>
        </w:tc>
        <w:tc>
          <w:tcPr>
            <w:tcW w:w="111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5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43"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74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0" w:hRule="atLeast"/>
        </w:trPr>
        <w:tc>
          <w:tcPr>
            <w:tcW w:w="10155"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主要材料和工程设备一览表</w:t>
            </w:r>
          </w:p>
        </w:tc>
      </w:tr>
      <w:tr>
        <w:tblPrEx>
          <w:tblCellMar>
            <w:top w:w="0" w:type="dxa"/>
            <w:left w:w="108" w:type="dxa"/>
            <w:bottom w:w="0" w:type="dxa"/>
            <w:right w:w="108" w:type="dxa"/>
          </w:tblCellMar>
        </w:tblPrEx>
        <w:trPr>
          <w:trHeight w:val="570" w:hRule="atLeast"/>
        </w:trPr>
        <w:tc>
          <w:tcPr>
            <w:tcW w:w="5712"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工程名称:园林</w:t>
            </w:r>
          </w:p>
        </w:tc>
        <w:tc>
          <w:tcPr>
            <w:tcW w:w="1260"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443" w:type="dxa"/>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1740"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名称、规格、型号</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44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复合硅酸盐水泥PC 32.5R综合</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4.347</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普通硅酸盐水泥PO 42.5综合</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59748.304</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30232.64</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白色硅酸盐水泥425#、二级白度</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3.950</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黄砂毛砂</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319.376</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117.30</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37462.80</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黄砂机制砂</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203.190</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134.00</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27227.46</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碎石综合</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217.664</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90.41</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19679.00</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碎石40—60</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4.961</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90.41</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448.52</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混凝土实心砖240×115×53</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千块</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106.260</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445.00</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47285.70</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混凝土实心砖240×115×53 MU10</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千块</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0.276</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445.00</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122.82</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非泵送商品混凝土C25</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6.938</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451.00</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3129.04</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芝麻灰花岗岩20厚</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40.291</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49.56</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1996.82</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成品5m3玻璃钢化粪池</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5600.00</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8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果岭草</w:t>
            </w:r>
          </w:p>
        </w:tc>
        <w:tc>
          <w:tcPr>
            <w:tcW w:w="11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5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185.280</w:t>
            </w:r>
          </w:p>
        </w:tc>
        <w:tc>
          <w:tcPr>
            <w:tcW w:w="12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w:t>
            </w:r>
          </w:p>
        </w:tc>
        <w:tc>
          <w:tcPr>
            <w:tcW w:w="1443"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1997.32</w:t>
            </w: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8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8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8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8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8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8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8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8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87" w:type="dxa"/>
            <w:tcBorders>
              <w:top w:val="single" w:color="000000"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6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87" w:type="dxa"/>
            <w:tcBorders>
              <w:top w:val="single" w:color="auto"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110" w:type="dxa"/>
            <w:tcBorders>
              <w:top w:val="single" w:color="auto"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60" w:type="dxa"/>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43" w:type="dxa"/>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tcBorders>
              <w:top w:val="single" w:color="auto" w:sz="4" w:space="0"/>
              <w:left w:val="single" w:color="000000"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7"/>
      </w:pPr>
    </w:p>
    <w:tbl>
      <w:tblPr>
        <w:tblStyle w:val="14"/>
        <w:tblW w:w="10155" w:type="dxa"/>
        <w:tblInd w:w="93" w:type="dxa"/>
        <w:shd w:val="clear" w:color="auto" w:fill="auto"/>
        <w:tblLayout w:type="autofit"/>
        <w:tblCellMar>
          <w:top w:w="0" w:type="dxa"/>
          <w:left w:w="108" w:type="dxa"/>
          <w:bottom w:w="0" w:type="dxa"/>
          <w:right w:w="108" w:type="dxa"/>
        </w:tblCellMar>
      </w:tblPr>
      <w:tblGrid>
        <w:gridCol w:w="612"/>
        <w:gridCol w:w="3138"/>
        <w:gridCol w:w="750"/>
        <w:gridCol w:w="1290"/>
        <w:gridCol w:w="1635"/>
        <w:gridCol w:w="1365"/>
        <w:gridCol w:w="1365"/>
      </w:tblGrid>
      <w:tr>
        <w:tblPrEx>
          <w:shd w:val="clear" w:color="auto" w:fill="auto"/>
          <w:tblCellMar>
            <w:top w:w="0" w:type="dxa"/>
            <w:left w:w="108" w:type="dxa"/>
            <w:bottom w:w="0" w:type="dxa"/>
            <w:right w:w="108" w:type="dxa"/>
          </w:tblCellMar>
        </w:tblPrEx>
        <w:trPr>
          <w:trHeight w:val="345" w:hRule="atLeast"/>
        </w:trPr>
        <w:tc>
          <w:tcPr>
            <w:tcW w:w="3750"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【表10.2.2-32】</w:t>
            </w:r>
          </w:p>
        </w:tc>
        <w:tc>
          <w:tcPr>
            <w:tcW w:w="75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6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10155"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主要机械台班一览表</w:t>
            </w:r>
          </w:p>
        </w:tc>
      </w:tr>
      <w:tr>
        <w:tblPrEx>
          <w:tblCellMar>
            <w:top w:w="0" w:type="dxa"/>
            <w:left w:w="108" w:type="dxa"/>
            <w:bottom w:w="0" w:type="dxa"/>
            <w:right w:w="108" w:type="dxa"/>
          </w:tblCellMar>
        </w:tblPrEx>
        <w:trPr>
          <w:trHeight w:val="450" w:hRule="atLeast"/>
        </w:trPr>
        <w:tc>
          <w:tcPr>
            <w:tcW w:w="450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工程名称:园林</w:t>
            </w:r>
          </w:p>
        </w:tc>
        <w:tc>
          <w:tcPr>
            <w:tcW w:w="1290"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635" w:type="dxa"/>
            <w:tcBorders>
              <w:top w:val="nil"/>
              <w:left w:val="nil"/>
              <w:bottom w:val="nil"/>
              <w:right w:val="nil"/>
            </w:tcBorders>
            <w:shd w:val="clear" w:color="auto" w:fill="FFFFFF"/>
            <w:vAlign w:val="bottom"/>
          </w:tcPr>
          <w:p>
            <w:pPr>
              <w:jc w:val="right"/>
              <w:rPr>
                <w:rFonts w:hint="eastAsia" w:ascii="Arial" w:hAnsi="Arial" w:cs="Arial"/>
                <w:i w:val="0"/>
                <w:iCs w:val="0"/>
                <w:color w:val="000000"/>
                <w:sz w:val="18"/>
                <w:szCs w:val="18"/>
                <w:u w:val="none"/>
              </w:rPr>
            </w:pPr>
          </w:p>
        </w:tc>
        <w:tc>
          <w:tcPr>
            <w:tcW w:w="2730"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机械名称、规格、型号</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6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履带式推土机90kW</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794.46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平地机90kW</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617.64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481.76</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轮胎式装载机1m3</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563.46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28.17</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履带式单斗液压挖掘机1m3</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999.24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47.96</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钢轮内燃压路机8t</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386.69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424.59</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电动夯实机250N·m</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载货汽车4t</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415.81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34.10</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自卸汽车8t</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571.94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234.50</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涡浆式混凝土搅拌机500L</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282.53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400.91</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双锥反转出料混凝土搅拌机500L</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217.31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812.09</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灰浆搅拌机200L</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163.85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1201.68</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木工圆锯机500mm</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36.79</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水泥混凝土真空吸水机</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48.41</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混凝土振捣器平板式</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83.52</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1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混凝土振捣器插入式</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33.38</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3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3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3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3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3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3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3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38" w:type="dxa"/>
            <w:tcBorders>
              <w:top w:val="single" w:color="000000"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612"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38" w:type="dxa"/>
            <w:tcBorders>
              <w:top w:val="single" w:color="auto"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auto"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7"/>
      </w:pPr>
    </w:p>
    <w:tbl>
      <w:tblPr>
        <w:tblStyle w:val="14"/>
        <w:tblW w:w="10110" w:type="dxa"/>
        <w:tblInd w:w="93" w:type="dxa"/>
        <w:shd w:val="clear" w:color="auto" w:fill="auto"/>
        <w:tblLayout w:type="fixed"/>
        <w:tblCellMar>
          <w:top w:w="0" w:type="dxa"/>
          <w:left w:w="108" w:type="dxa"/>
          <w:bottom w:w="0" w:type="dxa"/>
          <w:right w:w="108" w:type="dxa"/>
        </w:tblCellMar>
      </w:tblPr>
      <w:tblGrid>
        <w:gridCol w:w="666"/>
        <w:gridCol w:w="681"/>
        <w:gridCol w:w="3015"/>
        <w:gridCol w:w="3255"/>
        <w:gridCol w:w="1065"/>
        <w:gridCol w:w="1428"/>
      </w:tblGrid>
      <w:tr>
        <w:tblPrEx>
          <w:shd w:val="clear" w:color="auto" w:fill="auto"/>
          <w:tblCellMar>
            <w:top w:w="0" w:type="dxa"/>
            <w:left w:w="108" w:type="dxa"/>
            <w:bottom w:w="0" w:type="dxa"/>
            <w:right w:w="108" w:type="dxa"/>
          </w:tblCellMar>
        </w:tblPrEx>
        <w:trPr>
          <w:trHeight w:val="360" w:hRule="atLeast"/>
        </w:trPr>
        <w:tc>
          <w:tcPr>
            <w:tcW w:w="4362"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【表10.2.2-13】</w:t>
            </w:r>
          </w:p>
        </w:tc>
        <w:tc>
          <w:tcPr>
            <w:tcW w:w="32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28"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95" w:hRule="atLeast"/>
        </w:trPr>
        <w:tc>
          <w:tcPr>
            <w:tcW w:w="1011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单位（专业）工程招标控制价费用表</w:t>
            </w:r>
          </w:p>
        </w:tc>
      </w:tr>
      <w:tr>
        <w:tblPrEx>
          <w:tblCellMar>
            <w:top w:w="0" w:type="dxa"/>
            <w:left w:w="108" w:type="dxa"/>
            <w:bottom w:w="0" w:type="dxa"/>
            <w:right w:w="108" w:type="dxa"/>
          </w:tblCellMar>
        </w:tblPrEx>
        <w:trPr>
          <w:trHeight w:val="165" w:hRule="atLeast"/>
        </w:trPr>
        <w:tc>
          <w:tcPr>
            <w:tcW w:w="4362"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工程名称:中国人民解放军某部队犬舍建造-犬舍安装</w:t>
            </w:r>
          </w:p>
        </w:tc>
        <w:tc>
          <w:tcPr>
            <w:tcW w:w="3255"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493"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58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6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计算公式</w:t>
            </w:r>
          </w:p>
        </w:tc>
        <w:tc>
          <w:tcPr>
            <w:tcW w:w="1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∑(分部分项工程量×综合单价）</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44004.41</w:t>
            </w: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见表10.2.2-16</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8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30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∑分部分项（定额人工费+定额机械费）</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10426.22</w:t>
            </w:r>
          </w:p>
        </w:tc>
        <w:tc>
          <w:tcPr>
            <w:tcW w:w="1428"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617.23</w:t>
            </w:r>
          </w:p>
        </w:tc>
        <w:tc>
          <w:tcPr>
            <w:tcW w:w="1428"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6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∑(技措项目工程量×综合单价）</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见表10.2.2-16</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68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30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∑技措项目（定额人工费+定额机械费）</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6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(1.1+2.1.1)×5.92%</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617.23</w:t>
            </w: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见表10.2.2-20</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68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30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(1.1+2.1.1)×5.92%</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617.23</w:t>
            </w: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见表10.2.2-20</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6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（3.1+3.2+3.3+3.4）</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6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3.1.1+3.1.2+3.1.3</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68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30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标化工地增加费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681" w:type="dxa"/>
            <w:vMerge w:val="continue"/>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优质工程增加费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681" w:type="dxa"/>
            <w:vMerge w:val="continue"/>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30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其他暂列金额</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见表10.2.2-22</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6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3.2.1+3.2.2+3.2.3</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68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30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材料（工程设备）暂估价</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(或计入综合单价)</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见表10.2.2-23</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68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见表10.2.2-24</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68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专项技术措施暂估价</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见表10.2.2-25</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6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∑计日工(暂估数量×综合单价）</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6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施工总承包服务费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3.4.1+3.4.2</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见表10.2.2-21</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68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30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专业发包工程管理费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∑专业发包工程（暂估金额×费率）</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见表10.2.2-27</w:t>
            </w: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68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甲供材料设备管理费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甲供材料暂估金额×费率+甲供设备暂估金额×费率</w:t>
            </w:r>
          </w:p>
        </w:tc>
        <w:tc>
          <w:tcPr>
            <w:tcW w:w="1065" w:type="dxa"/>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见表10.2.2-27</w:t>
            </w:r>
          </w:p>
        </w:tc>
      </w:tr>
      <w:tr>
        <w:tblPrEx>
          <w:tblCellMar>
            <w:top w:w="0" w:type="dxa"/>
            <w:left w:w="108" w:type="dxa"/>
            <w:bottom w:w="0" w:type="dxa"/>
            <w:right w:w="108" w:type="dxa"/>
          </w:tblCellMar>
        </w:tblPrEx>
        <w:trPr>
          <w:trHeight w:val="46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6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(1.1+2.1.1)×30.63%</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3193.55</w:t>
            </w:r>
          </w:p>
        </w:tc>
        <w:tc>
          <w:tcPr>
            <w:tcW w:w="1428"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69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2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(1+2+3+4)×9%</w:t>
            </w:r>
          </w:p>
        </w:tc>
        <w:tc>
          <w:tcPr>
            <w:tcW w:w="106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4303.37</w:t>
            </w:r>
          </w:p>
        </w:tc>
        <w:tc>
          <w:tcPr>
            <w:tcW w:w="1428"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55" w:hRule="atLeast"/>
        </w:trPr>
        <w:tc>
          <w:tcPr>
            <w:tcW w:w="4362" w:type="dxa"/>
            <w:gridSpan w:val="3"/>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w:t>
            </w:r>
          </w:p>
        </w:tc>
        <w:tc>
          <w:tcPr>
            <w:tcW w:w="325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1+2+3+4+5</w:t>
            </w:r>
          </w:p>
        </w:tc>
        <w:tc>
          <w:tcPr>
            <w:tcW w:w="106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52119.00</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20"/>
        <w:sectPr>
          <w:pgSz w:w="11906" w:h="16838"/>
          <w:pgMar w:top="1418" w:right="1135" w:bottom="1418" w:left="1135" w:header="851" w:footer="992" w:gutter="0"/>
          <w:pgNumType w:fmt="numberInDash"/>
          <w:cols w:space="720" w:num="1"/>
          <w:docGrid w:type="lines" w:linePitch="312" w:charSpace="0"/>
        </w:sectPr>
      </w:pPr>
    </w:p>
    <w:tbl>
      <w:tblPr>
        <w:tblStyle w:val="14"/>
        <w:tblW w:w="14747" w:type="dxa"/>
        <w:jc w:val="center"/>
        <w:shd w:val="clear" w:color="auto" w:fill="auto"/>
        <w:tblLayout w:type="fixed"/>
        <w:tblCellMar>
          <w:top w:w="0" w:type="dxa"/>
          <w:left w:w="108" w:type="dxa"/>
          <w:bottom w:w="0" w:type="dxa"/>
          <w:right w:w="108" w:type="dxa"/>
        </w:tblCellMar>
      </w:tblPr>
      <w:tblGrid>
        <w:gridCol w:w="750"/>
        <w:gridCol w:w="1503"/>
        <w:gridCol w:w="4830"/>
        <w:gridCol w:w="855"/>
        <w:gridCol w:w="900"/>
        <w:gridCol w:w="1110"/>
        <w:gridCol w:w="990"/>
        <w:gridCol w:w="1125"/>
        <w:gridCol w:w="1020"/>
        <w:gridCol w:w="927"/>
        <w:gridCol w:w="737"/>
      </w:tblGrid>
      <w:tr>
        <w:tblPrEx>
          <w:shd w:val="clear" w:color="auto" w:fill="auto"/>
          <w:tblCellMar>
            <w:top w:w="0" w:type="dxa"/>
            <w:left w:w="108" w:type="dxa"/>
            <w:bottom w:w="0" w:type="dxa"/>
            <w:right w:w="108" w:type="dxa"/>
          </w:tblCellMar>
        </w:tblPrEx>
        <w:trPr>
          <w:trHeight w:val="300" w:hRule="atLeast"/>
          <w:jc w:val="center"/>
        </w:trPr>
        <w:tc>
          <w:tcPr>
            <w:tcW w:w="7083"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85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9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2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27"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37"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04" w:hRule="atLeast"/>
          <w:jc w:val="center"/>
        </w:trPr>
        <w:tc>
          <w:tcPr>
            <w:tcW w:w="14747"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trHeight w:val="345" w:hRule="atLeast"/>
          <w:jc w:val="center"/>
        </w:trPr>
        <w:tc>
          <w:tcPr>
            <w:tcW w:w="8838"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单位(专业)工程名称:中国人民解放军某部队犬舍建造-犬舍安装</w:t>
            </w:r>
          </w:p>
        </w:tc>
        <w:tc>
          <w:tcPr>
            <w:tcW w:w="3225"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684"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共7页</w:t>
            </w:r>
          </w:p>
        </w:tc>
      </w:tr>
      <w:tr>
        <w:tblPrEx>
          <w:tblCellMar>
            <w:top w:w="0" w:type="dxa"/>
            <w:left w:w="108" w:type="dxa"/>
            <w:bottom w:w="0" w:type="dxa"/>
            <w:right w:w="108" w:type="dxa"/>
          </w:tblCellMar>
        </w:tblPrEx>
        <w:trPr>
          <w:trHeight w:val="450" w:hRule="atLeast"/>
          <w:jc w:val="center"/>
        </w:trPr>
        <w:tc>
          <w:tcPr>
            <w:tcW w:w="75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03"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83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5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0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172"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37"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7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03"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3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99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072"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3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03"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3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92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3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0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8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犬舍电气</w:t>
            </w:r>
          </w:p>
        </w:tc>
        <w:tc>
          <w:tcPr>
            <w:tcW w:w="85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19137.75</w:t>
            </w:r>
          </w:p>
        </w:tc>
        <w:tc>
          <w:tcPr>
            <w:tcW w:w="112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4572.33</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223.47</w:t>
            </w:r>
          </w:p>
        </w:tc>
        <w:tc>
          <w:tcPr>
            <w:tcW w:w="927"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4-11-81</w:t>
            </w:r>
          </w:p>
        </w:tc>
        <w:tc>
          <w:tcPr>
            <w:tcW w:w="48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砖、混凝土结构暗配焊接钢管 公称直径（DN）≤40</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33.11</w:t>
            </w:r>
          </w:p>
        </w:tc>
        <w:tc>
          <w:tcPr>
            <w:tcW w:w="99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3311.00</w:t>
            </w:r>
          </w:p>
        </w:tc>
        <w:tc>
          <w:tcPr>
            <w:tcW w:w="112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1128.00</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w:t>
            </w:r>
          </w:p>
        </w:tc>
        <w:tc>
          <w:tcPr>
            <w:tcW w:w="927"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4-11-145</w:t>
            </w:r>
          </w:p>
        </w:tc>
        <w:tc>
          <w:tcPr>
            <w:tcW w:w="48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砖、混凝土结构暗配刚性阻燃管 公称直径（mm）25</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226.29</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w:t>
            </w:r>
          </w:p>
        </w:tc>
        <w:tc>
          <w:tcPr>
            <w:tcW w:w="99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1977.77</w:t>
            </w:r>
          </w:p>
        </w:tc>
        <w:tc>
          <w:tcPr>
            <w:tcW w:w="112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1013.78</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6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4-8-88*J0.4换</w:t>
            </w:r>
          </w:p>
        </w:tc>
        <w:tc>
          <w:tcPr>
            <w:tcW w:w="48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电缆 （截面mm2以下）35`10mm2以下三芯及以上电力电缆敷设</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39.73</w:t>
            </w:r>
          </w:p>
        </w:tc>
        <w:tc>
          <w:tcPr>
            <w:tcW w:w="99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3973.00</w:t>
            </w:r>
          </w:p>
        </w:tc>
        <w:tc>
          <w:tcPr>
            <w:tcW w:w="112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183.00</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27"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7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4-8-99*J0.3换</w:t>
            </w:r>
          </w:p>
        </w:tc>
        <w:tc>
          <w:tcPr>
            <w:tcW w:w="48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户内干包式电力电缆头制作、安装 干包终端头（1kV以下截面mm2以下）35`10mm2及以下三芯及以上电缆头制安</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27.40</w:t>
            </w:r>
          </w:p>
        </w:tc>
        <w:tc>
          <w:tcPr>
            <w:tcW w:w="99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54.80</w:t>
            </w:r>
          </w:p>
        </w:tc>
        <w:tc>
          <w:tcPr>
            <w:tcW w:w="112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18.62</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4-12-5</w:t>
            </w:r>
          </w:p>
        </w:tc>
        <w:tc>
          <w:tcPr>
            <w:tcW w:w="48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穿照明线 铜芯导线截面（mm2以内）2.5</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548.92</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99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1487.57</w:t>
            </w:r>
          </w:p>
        </w:tc>
        <w:tc>
          <w:tcPr>
            <w:tcW w:w="112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362.29</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4-12-5</w:t>
            </w:r>
          </w:p>
        </w:tc>
        <w:tc>
          <w:tcPr>
            <w:tcW w:w="48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穿照明线 铜芯导线截面（mm2以内）2.5</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122.82</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99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350.04</w:t>
            </w:r>
          </w:p>
        </w:tc>
        <w:tc>
          <w:tcPr>
            <w:tcW w:w="112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81.06</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4-4-16</w:t>
            </w:r>
          </w:p>
        </w:tc>
        <w:tc>
          <w:tcPr>
            <w:tcW w:w="48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成套配电箱安装 悬挂式半周长1.5m</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1450.59</w:t>
            </w:r>
          </w:p>
        </w:tc>
        <w:tc>
          <w:tcPr>
            <w:tcW w:w="99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1450.59</w:t>
            </w:r>
          </w:p>
        </w:tc>
        <w:tc>
          <w:tcPr>
            <w:tcW w:w="112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174.00</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4-13-206</w:t>
            </w:r>
          </w:p>
        </w:tc>
        <w:tc>
          <w:tcPr>
            <w:tcW w:w="48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600*600平板灯  LED 32W</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218.28</w:t>
            </w:r>
          </w:p>
        </w:tc>
        <w:tc>
          <w:tcPr>
            <w:tcW w:w="99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3929.04</w:t>
            </w:r>
          </w:p>
        </w:tc>
        <w:tc>
          <w:tcPr>
            <w:tcW w:w="112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408.78</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4-13-301</w:t>
            </w:r>
          </w:p>
        </w:tc>
        <w:tc>
          <w:tcPr>
            <w:tcW w:w="48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一位单极开关 10A ~250V</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14.58</w:t>
            </w:r>
          </w:p>
        </w:tc>
        <w:tc>
          <w:tcPr>
            <w:tcW w:w="99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262.44</w:t>
            </w:r>
          </w:p>
        </w:tc>
        <w:tc>
          <w:tcPr>
            <w:tcW w:w="112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127.98</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0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4-13-301</w:t>
            </w:r>
          </w:p>
        </w:tc>
        <w:tc>
          <w:tcPr>
            <w:tcW w:w="48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三位单极开关 10A ~250V</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17.82</w:t>
            </w:r>
          </w:p>
        </w:tc>
        <w:tc>
          <w:tcPr>
            <w:tcW w:w="99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35.64</w:t>
            </w:r>
          </w:p>
        </w:tc>
        <w:tc>
          <w:tcPr>
            <w:tcW w:w="112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14.22</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27"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9948"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990"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16831.89</w:t>
            </w:r>
          </w:p>
        </w:tc>
        <w:tc>
          <w:tcPr>
            <w:tcW w:w="112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3511.73</w:t>
            </w:r>
          </w:p>
        </w:tc>
        <w:tc>
          <w:tcPr>
            <w:tcW w:w="1020"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c>
          <w:tcPr>
            <w:tcW w:w="927"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7"/>
      </w:pPr>
    </w:p>
    <w:p>
      <w:pPr>
        <w:pStyle w:val="8"/>
      </w:pPr>
    </w:p>
    <w:p/>
    <w:tbl>
      <w:tblPr>
        <w:tblStyle w:val="14"/>
        <w:tblW w:w="14792" w:type="dxa"/>
        <w:jc w:val="center"/>
        <w:shd w:val="clear" w:color="auto" w:fill="auto"/>
        <w:tblLayout w:type="fixed"/>
        <w:tblCellMar>
          <w:top w:w="0" w:type="dxa"/>
          <w:left w:w="108" w:type="dxa"/>
          <w:bottom w:w="0" w:type="dxa"/>
          <w:right w:w="108" w:type="dxa"/>
        </w:tblCellMar>
      </w:tblPr>
      <w:tblGrid>
        <w:gridCol w:w="93"/>
        <w:gridCol w:w="657"/>
        <w:gridCol w:w="93"/>
        <w:gridCol w:w="1512"/>
        <w:gridCol w:w="93"/>
        <w:gridCol w:w="4357"/>
        <w:gridCol w:w="659"/>
        <w:gridCol w:w="436"/>
        <w:gridCol w:w="509"/>
        <w:gridCol w:w="391"/>
        <w:gridCol w:w="539"/>
        <w:gridCol w:w="616"/>
        <w:gridCol w:w="224"/>
        <w:gridCol w:w="871"/>
        <w:gridCol w:w="134"/>
        <w:gridCol w:w="901"/>
        <w:gridCol w:w="179"/>
        <w:gridCol w:w="796"/>
        <w:gridCol w:w="164"/>
        <w:gridCol w:w="786"/>
        <w:gridCol w:w="93"/>
        <w:gridCol w:w="659"/>
        <w:gridCol w:w="30"/>
      </w:tblGrid>
      <w:tr>
        <w:tblPrEx>
          <w:shd w:val="clear" w:color="auto" w:fill="auto"/>
          <w:tblCellMar>
            <w:top w:w="0" w:type="dxa"/>
            <w:left w:w="108" w:type="dxa"/>
            <w:bottom w:w="0" w:type="dxa"/>
            <w:right w:w="108" w:type="dxa"/>
          </w:tblCellMar>
        </w:tblPrEx>
        <w:trPr>
          <w:gridAfter w:val="1"/>
          <w:wAfter w:w="30" w:type="dxa"/>
          <w:trHeight w:val="315" w:hRule="atLeast"/>
          <w:jc w:val="center"/>
        </w:trPr>
        <w:tc>
          <w:tcPr>
            <w:tcW w:w="6805" w:type="dxa"/>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109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0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5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9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3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7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5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52"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549" w:hRule="atLeast"/>
          <w:jc w:val="center"/>
        </w:trPr>
        <w:tc>
          <w:tcPr>
            <w:tcW w:w="14762" w:type="dxa"/>
            <w:gridSpan w:val="2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After w:val="1"/>
          <w:wAfter w:w="30" w:type="dxa"/>
          <w:trHeight w:val="315" w:hRule="atLeast"/>
          <w:jc w:val="center"/>
        </w:trPr>
        <w:tc>
          <w:tcPr>
            <w:tcW w:w="8800" w:type="dxa"/>
            <w:gridSpan w:val="10"/>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单位(专业)工程名称:中国人民解放军某部队犬舍建造-犬舍安装</w:t>
            </w:r>
          </w:p>
        </w:tc>
        <w:tc>
          <w:tcPr>
            <w:tcW w:w="3285" w:type="dxa"/>
            <w:gridSpan w:val="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677" w:type="dxa"/>
            <w:gridSpan w:val="6"/>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共7页</w:t>
            </w:r>
          </w:p>
        </w:tc>
      </w:tr>
      <w:tr>
        <w:tblPrEx>
          <w:tblCellMar>
            <w:top w:w="0" w:type="dxa"/>
            <w:left w:w="108" w:type="dxa"/>
            <w:bottom w:w="0" w:type="dxa"/>
            <w:right w:w="108" w:type="dxa"/>
          </w:tblCellMar>
        </w:tblPrEx>
        <w:trPr>
          <w:gridAfter w:val="1"/>
          <w:wAfter w:w="30" w:type="dxa"/>
          <w:trHeight w:val="450" w:hRule="atLeast"/>
          <w:jc w:val="center"/>
        </w:trPr>
        <w:tc>
          <w:tcPr>
            <w:tcW w:w="75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5"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45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95"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0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210"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52"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After w:val="1"/>
          <w:wAfter w:w="30" w:type="dxa"/>
          <w:trHeight w:val="36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95"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960" w:type="dxa"/>
            <w:gridSpan w:val="6"/>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52"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5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9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97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950"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52"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4-13-323</w:t>
            </w: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普通插座(二眼+三眼) 16A ~250V</w:t>
            </w:r>
          </w:p>
        </w:tc>
        <w:tc>
          <w:tcPr>
            <w:tcW w:w="109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18.38</w:t>
            </w: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147.04</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67.04</w:t>
            </w: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4-11-212</w:t>
            </w: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暗装接线盒</w:t>
            </w:r>
          </w:p>
        </w:tc>
        <w:tc>
          <w:tcPr>
            <w:tcW w:w="109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106.92</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53.82</w:t>
            </w: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4-11-211</w:t>
            </w: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开关盒、插座盒安装</w:t>
            </w:r>
          </w:p>
        </w:tc>
        <w:tc>
          <w:tcPr>
            <w:tcW w:w="109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158.76</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88.20</w:t>
            </w: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4-9-42</w:t>
            </w: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避雷网安装 沿混凝土块敷设</w:t>
            </w:r>
          </w:p>
        </w:tc>
        <w:tc>
          <w:tcPr>
            <w:tcW w:w="109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69.28</w:t>
            </w:r>
          </w:p>
        </w:tc>
        <w:tc>
          <w:tcPr>
            <w:tcW w:w="11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15.59</w:t>
            </w: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1080.08</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402.52</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55.42</w:t>
            </w: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4-9-40</w:t>
            </w: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避雷引下线敷设 利用建筑结构钢筋引下</w:t>
            </w:r>
          </w:p>
        </w:tc>
        <w:tc>
          <w:tcPr>
            <w:tcW w:w="109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1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12.83</w:t>
            </w: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92.38</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39.17</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28.30</w:t>
            </w: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35"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4-9-44</w:t>
            </w: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避雷网安装 均压环敷设利用圈梁钢筋</w:t>
            </w:r>
          </w:p>
        </w:tc>
        <w:tc>
          <w:tcPr>
            <w:tcW w:w="109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64.32</w:t>
            </w:r>
          </w:p>
        </w:tc>
        <w:tc>
          <w:tcPr>
            <w:tcW w:w="11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337.04</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162.09</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68.82</w:t>
            </w: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4-9-41</w:t>
            </w: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避雷引下线敷设 断接卡子制作安装</w:t>
            </w:r>
          </w:p>
        </w:tc>
        <w:tc>
          <w:tcPr>
            <w:tcW w:w="109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34.17</w:t>
            </w: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68.34</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48.72</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4-11-207</w:t>
            </w: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接线箱暗装半周长（mm）≤700</w:t>
            </w:r>
          </w:p>
        </w:tc>
        <w:tc>
          <w:tcPr>
            <w:tcW w:w="109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81.87</w:t>
            </w: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81.87</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47.63</w:t>
            </w:r>
          </w:p>
        </w:tc>
        <w:tc>
          <w:tcPr>
            <w:tcW w:w="975"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35"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4-9-60*J0.5换</w:t>
            </w: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接地跨接线安装 接地跨接线`基价乘0.5;</w:t>
            </w:r>
          </w:p>
        </w:tc>
        <w:tc>
          <w:tcPr>
            <w:tcW w:w="109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9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w:t>
            </w: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8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4-14-12</w:t>
            </w: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送配电装置系统调试 1kV以下交流供电(综  合)</w:t>
            </w:r>
          </w:p>
        </w:tc>
        <w:tc>
          <w:tcPr>
            <w:tcW w:w="109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226.67</w:t>
            </w: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226.67</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147.90</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23.28</w:t>
            </w: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犬舍给排水</w:t>
            </w:r>
          </w:p>
        </w:tc>
        <w:tc>
          <w:tcPr>
            <w:tcW w:w="109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55"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2843.30</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1049.58</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57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10-1-229</w:t>
            </w: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室内塑料给水管（热熔连接） 公称直径 （mm以内）15</w:t>
            </w:r>
          </w:p>
        </w:tc>
        <w:tc>
          <w:tcPr>
            <w:tcW w:w="109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300.51</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140.28</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57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10-1-230</w:t>
            </w:r>
          </w:p>
        </w:tc>
        <w:tc>
          <w:tcPr>
            <w:tcW w:w="44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室内塑料给水管（热熔连接） 公称直径 （mm以内）20</w:t>
            </w:r>
          </w:p>
        </w:tc>
        <w:tc>
          <w:tcPr>
            <w:tcW w:w="109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23.24</w:t>
            </w:r>
          </w:p>
        </w:tc>
        <w:tc>
          <w:tcPr>
            <w:tcW w:w="11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16.71</w:t>
            </w:r>
          </w:p>
        </w:tc>
        <w:tc>
          <w:tcPr>
            <w:tcW w:w="109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388.34</w:t>
            </w:r>
          </w:p>
        </w:tc>
        <w:tc>
          <w:tcPr>
            <w:tcW w:w="103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174.53</w:t>
            </w:r>
          </w:p>
        </w:tc>
        <w:tc>
          <w:tcPr>
            <w:tcW w:w="9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95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30" w:type="dxa"/>
          <w:trHeight w:val="450" w:hRule="atLeast"/>
          <w:jc w:val="center"/>
        </w:trPr>
        <w:tc>
          <w:tcPr>
            <w:tcW w:w="9955" w:type="dxa"/>
            <w:gridSpan w:val="1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95"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2994.71</w:t>
            </w:r>
          </w:p>
        </w:tc>
        <w:tc>
          <w:tcPr>
            <w:tcW w:w="1035"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1375.41</w:t>
            </w:r>
          </w:p>
        </w:tc>
        <w:tc>
          <w:tcPr>
            <w:tcW w:w="975"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181.34</w:t>
            </w:r>
          </w:p>
        </w:tc>
        <w:tc>
          <w:tcPr>
            <w:tcW w:w="950" w:type="dxa"/>
            <w:gridSpan w:val="2"/>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325" w:hRule="atLeast"/>
          <w:jc w:val="center"/>
        </w:trPr>
        <w:tc>
          <w:tcPr>
            <w:tcW w:w="7371" w:type="dxa"/>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94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3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84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0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8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6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879"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689"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540" w:hRule="atLeast"/>
          <w:jc w:val="center"/>
        </w:trPr>
        <w:tc>
          <w:tcPr>
            <w:tcW w:w="14699" w:type="dxa"/>
            <w:gridSpan w:val="2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gridBefore w:val="1"/>
          <w:wBefore w:w="93" w:type="dxa"/>
          <w:trHeight w:val="300" w:hRule="atLeast"/>
          <w:jc w:val="center"/>
        </w:trPr>
        <w:tc>
          <w:tcPr>
            <w:tcW w:w="9246" w:type="dxa"/>
            <w:gridSpan w:val="10"/>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单位(专业)工程名称:中国人民解放军某部队犬舍建造-犬舍安装</w:t>
            </w:r>
          </w:p>
        </w:tc>
        <w:tc>
          <w:tcPr>
            <w:tcW w:w="2925" w:type="dxa"/>
            <w:gridSpan w:val="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528" w:type="dxa"/>
            <w:gridSpan w:val="6"/>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共7页</w:t>
            </w:r>
          </w:p>
        </w:tc>
      </w:tr>
      <w:tr>
        <w:tblPrEx>
          <w:tblCellMar>
            <w:top w:w="0" w:type="dxa"/>
            <w:left w:w="108" w:type="dxa"/>
            <w:bottom w:w="0" w:type="dxa"/>
            <w:right w:w="108" w:type="dxa"/>
          </w:tblCellMar>
        </w:tblPrEx>
        <w:trPr>
          <w:gridBefore w:val="1"/>
          <w:wBefore w:w="93" w:type="dxa"/>
          <w:trHeight w:val="450" w:hRule="atLeast"/>
          <w:jc w:val="center"/>
        </w:trPr>
        <w:tc>
          <w:tcPr>
            <w:tcW w:w="75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5"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5016"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45"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3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764" w:type="dxa"/>
            <w:gridSpan w:val="10"/>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689"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Before w:val="1"/>
          <w:wBefore w:w="93" w:type="dxa"/>
          <w:trHeight w:val="36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6"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05" w:type="dxa"/>
            <w:gridSpan w:val="2"/>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919" w:type="dxa"/>
            <w:gridSpan w:val="6"/>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689"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450" w:hRule="atLeast"/>
          <w:jc w:val="center"/>
        </w:trPr>
        <w:tc>
          <w:tcPr>
            <w:tcW w:w="75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6"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4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gridSpan w:val="2"/>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96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879"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689"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48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10-1-231</w:t>
            </w:r>
          </w:p>
        </w:tc>
        <w:tc>
          <w:tcPr>
            <w:tcW w:w="501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室内塑料给水管（热熔连接） 公称直径 （mm以内）25</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18.59</w:t>
            </w:r>
          </w:p>
        </w:tc>
        <w:tc>
          <w:tcPr>
            <w:tcW w:w="8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w:t>
            </w:r>
          </w:p>
        </w:tc>
        <w:tc>
          <w:tcPr>
            <w:tcW w:w="100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401.54</w:t>
            </w:r>
          </w:p>
        </w:tc>
        <w:tc>
          <w:tcPr>
            <w:tcW w:w="10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155.23</w:t>
            </w:r>
          </w:p>
        </w:tc>
        <w:tc>
          <w:tcPr>
            <w:tcW w:w="9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879"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435"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10-8-31</w:t>
            </w:r>
          </w:p>
        </w:tc>
        <w:tc>
          <w:tcPr>
            <w:tcW w:w="501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管道消毒、冲洗 公称直径 （mm以内）50</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62.83</w:t>
            </w:r>
          </w:p>
        </w:tc>
        <w:tc>
          <w:tcPr>
            <w:tcW w:w="8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w:t>
            </w:r>
          </w:p>
        </w:tc>
        <w:tc>
          <w:tcPr>
            <w:tcW w:w="100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38.33</w:t>
            </w:r>
          </w:p>
        </w:tc>
        <w:tc>
          <w:tcPr>
            <w:tcW w:w="10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20.73</w:t>
            </w:r>
          </w:p>
        </w:tc>
        <w:tc>
          <w:tcPr>
            <w:tcW w:w="96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9"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435"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10-1-278</w:t>
            </w:r>
          </w:p>
        </w:tc>
        <w:tc>
          <w:tcPr>
            <w:tcW w:w="501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室内塑料排水管（粘接） 公称直径 （mm以内）100</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23.69</w:t>
            </w:r>
          </w:p>
        </w:tc>
        <w:tc>
          <w:tcPr>
            <w:tcW w:w="8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44.21</w:t>
            </w:r>
          </w:p>
        </w:tc>
        <w:tc>
          <w:tcPr>
            <w:tcW w:w="100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1047.33</w:t>
            </w:r>
          </w:p>
        </w:tc>
        <w:tc>
          <w:tcPr>
            <w:tcW w:w="10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309.87</w:t>
            </w:r>
          </w:p>
        </w:tc>
        <w:tc>
          <w:tcPr>
            <w:tcW w:w="96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9"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42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10-1-280</w:t>
            </w:r>
          </w:p>
        </w:tc>
        <w:tc>
          <w:tcPr>
            <w:tcW w:w="501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室内塑料排水管（粘接） 公称直径 （mm以内）200</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8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96.99</w:t>
            </w:r>
          </w:p>
        </w:tc>
        <w:tc>
          <w:tcPr>
            <w:tcW w:w="100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286.12</w:t>
            </w:r>
          </w:p>
        </w:tc>
        <w:tc>
          <w:tcPr>
            <w:tcW w:w="10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72.51</w:t>
            </w:r>
          </w:p>
        </w:tc>
        <w:tc>
          <w:tcPr>
            <w:tcW w:w="96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9"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465"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10-2-221</w:t>
            </w:r>
          </w:p>
        </w:tc>
        <w:tc>
          <w:tcPr>
            <w:tcW w:w="501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螺纹水表组成安装 公称直径（mm以内）25</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93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140.89</w:t>
            </w:r>
          </w:p>
        </w:tc>
        <w:tc>
          <w:tcPr>
            <w:tcW w:w="100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140.89</w:t>
            </w:r>
          </w:p>
        </w:tc>
        <w:tc>
          <w:tcPr>
            <w:tcW w:w="10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33.93</w:t>
            </w:r>
          </w:p>
        </w:tc>
        <w:tc>
          <w:tcPr>
            <w:tcW w:w="9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0.73</w:t>
            </w:r>
          </w:p>
        </w:tc>
        <w:tc>
          <w:tcPr>
            <w:tcW w:w="879"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10-3-81</w:t>
            </w:r>
          </w:p>
        </w:tc>
        <w:tc>
          <w:tcPr>
            <w:tcW w:w="501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地漏安装 公称直径（mm以内）100</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3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w:t>
            </w:r>
          </w:p>
        </w:tc>
        <w:tc>
          <w:tcPr>
            <w:tcW w:w="100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240.24</w:t>
            </w:r>
          </w:p>
        </w:tc>
        <w:tc>
          <w:tcPr>
            <w:tcW w:w="10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142.50</w:t>
            </w:r>
          </w:p>
        </w:tc>
        <w:tc>
          <w:tcPr>
            <w:tcW w:w="96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9"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宿舍电气</w:t>
            </w:r>
          </w:p>
        </w:tc>
        <w:tc>
          <w:tcPr>
            <w:tcW w:w="945"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15835.41</w:t>
            </w:r>
          </w:p>
        </w:tc>
        <w:tc>
          <w:tcPr>
            <w:tcW w:w="10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3848.66</w:t>
            </w:r>
          </w:p>
        </w:tc>
        <w:tc>
          <w:tcPr>
            <w:tcW w:w="9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190.09</w:t>
            </w:r>
          </w:p>
        </w:tc>
        <w:tc>
          <w:tcPr>
            <w:tcW w:w="879"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48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4-11-81</w:t>
            </w:r>
          </w:p>
        </w:tc>
        <w:tc>
          <w:tcPr>
            <w:tcW w:w="501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砖、混凝土结构暗配焊接钢管 公称直径（DN）≤40</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33.11</w:t>
            </w:r>
          </w:p>
        </w:tc>
        <w:tc>
          <w:tcPr>
            <w:tcW w:w="100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3311.00</w:t>
            </w:r>
          </w:p>
        </w:tc>
        <w:tc>
          <w:tcPr>
            <w:tcW w:w="10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1128.00</w:t>
            </w:r>
          </w:p>
        </w:tc>
        <w:tc>
          <w:tcPr>
            <w:tcW w:w="9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w:t>
            </w:r>
          </w:p>
        </w:tc>
        <w:tc>
          <w:tcPr>
            <w:tcW w:w="879"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42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4-11-145</w:t>
            </w:r>
          </w:p>
        </w:tc>
        <w:tc>
          <w:tcPr>
            <w:tcW w:w="501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砖、混凝土结构暗配刚性阻燃管 公称直径（mm）25</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138.96</w:t>
            </w:r>
          </w:p>
        </w:tc>
        <w:tc>
          <w:tcPr>
            <w:tcW w:w="8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w:t>
            </w:r>
          </w:p>
        </w:tc>
        <w:tc>
          <w:tcPr>
            <w:tcW w:w="100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1214.51</w:t>
            </w:r>
          </w:p>
        </w:tc>
        <w:tc>
          <w:tcPr>
            <w:tcW w:w="10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622.54</w:t>
            </w:r>
          </w:p>
        </w:tc>
        <w:tc>
          <w:tcPr>
            <w:tcW w:w="960"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9"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450"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4-11-9</w:t>
            </w:r>
          </w:p>
        </w:tc>
        <w:tc>
          <w:tcPr>
            <w:tcW w:w="501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砖、混凝土结构暗配JDG管 公称直径（mm）25</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28.44</w:t>
            </w:r>
          </w:p>
        </w:tc>
        <w:tc>
          <w:tcPr>
            <w:tcW w:w="8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00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398.16</w:t>
            </w:r>
          </w:p>
        </w:tc>
        <w:tc>
          <w:tcPr>
            <w:tcW w:w="10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158.41</w:t>
            </w:r>
          </w:p>
        </w:tc>
        <w:tc>
          <w:tcPr>
            <w:tcW w:w="9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879"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765" w:hRule="atLeast"/>
          <w:jc w:val="center"/>
        </w:trPr>
        <w:tc>
          <w:tcPr>
            <w:tcW w:w="75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0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4-8-88*J0.4换</w:t>
            </w:r>
          </w:p>
        </w:tc>
        <w:tc>
          <w:tcPr>
            <w:tcW w:w="5016"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铜芯电力电缆敷设 电缆 （截面mm2以下）35`10mm2以下三芯及以上电力电缆敷设</w:t>
            </w:r>
          </w:p>
        </w:tc>
        <w:tc>
          <w:tcPr>
            <w:tcW w:w="9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3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39.73</w:t>
            </w:r>
          </w:p>
        </w:tc>
        <w:tc>
          <w:tcPr>
            <w:tcW w:w="100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3973.00</w:t>
            </w:r>
          </w:p>
        </w:tc>
        <w:tc>
          <w:tcPr>
            <w:tcW w:w="10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183.00</w:t>
            </w:r>
          </w:p>
        </w:tc>
        <w:tc>
          <w:tcPr>
            <w:tcW w:w="96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79" w:type="dxa"/>
            <w:gridSpan w:val="2"/>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89"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Before w:val="1"/>
          <w:wBefore w:w="93" w:type="dxa"/>
          <w:trHeight w:val="450" w:hRule="atLeast"/>
          <w:jc w:val="center"/>
        </w:trPr>
        <w:tc>
          <w:tcPr>
            <w:tcW w:w="10086" w:type="dxa"/>
            <w:gridSpan w:val="1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05"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11051.12</w:t>
            </w:r>
          </w:p>
        </w:tc>
        <w:tc>
          <w:tcPr>
            <w:tcW w:w="1080"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2826.72</w:t>
            </w:r>
          </w:p>
        </w:tc>
        <w:tc>
          <w:tcPr>
            <w:tcW w:w="960"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51.76</w:t>
            </w:r>
          </w:p>
        </w:tc>
        <w:tc>
          <w:tcPr>
            <w:tcW w:w="879" w:type="dxa"/>
            <w:gridSpan w:val="2"/>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7"/>
      </w:pPr>
    </w:p>
    <w:p>
      <w:pPr>
        <w:pStyle w:val="8"/>
      </w:pPr>
    </w:p>
    <w:tbl>
      <w:tblPr>
        <w:tblStyle w:val="14"/>
        <w:tblW w:w="14837" w:type="dxa"/>
        <w:jc w:val="center"/>
        <w:shd w:val="clear" w:color="auto" w:fill="auto"/>
        <w:tblLayout w:type="fixed"/>
        <w:tblCellMar>
          <w:top w:w="0" w:type="dxa"/>
          <w:left w:w="108" w:type="dxa"/>
          <w:bottom w:w="0" w:type="dxa"/>
          <w:right w:w="108" w:type="dxa"/>
        </w:tblCellMar>
      </w:tblPr>
      <w:tblGrid>
        <w:gridCol w:w="750"/>
        <w:gridCol w:w="1605"/>
        <w:gridCol w:w="4698"/>
        <w:gridCol w:w="795"/>
        <w:gridCol w:w="975"/>
        <w:gridCol w:w="1020"/>
        <w:gridCol w:w="1110"/>
        <w:gridCol w:w="1035"/>
        <w:gridCol w:w="1020"/>
        <w:gridCol w:w="1002"/>
        <w:gridCol w:w="827"/>
      </w:tblGrid>
      <w:tr>
        <w:tblPrEx>
          <w:shd w:val="clear" w:color="auto" w:fill="auto"/>
          <w:tblCellMar>
            <w:top w:w="0" w:type="dxa"/>
            <w:left w:w="108" w:type="dxa"/>
            <w:bottom w:w="0" w:type="dxa"/>
            <w:right w:w="108" w:type="dxa"/>
          </w:tblCellMar>
        </w:tblPrEx>
        <w:trPr>
          <w:trHeight w:val="345" w:hRule="atLeast"/>
          <w:jc w:val="center"/>
        </w:trPr>
        <w:tc>
          <w:tcPr>
            <w:tcW w:w="7053"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79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02"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827"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55" w:hRule="atLeast"/>
          <w:jc w:val="center"/>
        </w:trPr>
        <w:tc>
          <w:tcPr>
            <w:tcW w:w="14837"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trHeight w:val="330" w:hRule="atLeast"/>
          <w:jc w:val="center"/>
        </w:trPr>
        <w:tc>
          <w:tcPr>
            <w:tcW w:w="8823"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单位(专业)工程名称:中国人民解放军某部队犬舍建造-犬舍安装</w:t>
            </w:r>
          </w:p>
        </w:tc>
        <w:tc>
          <w:tcPr>
            <w:tcW w:w="3165"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49"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第4页 共7页</w:t>
            </w:r>
          </w:p>
        </w:tc>
      </w:tr>
      <w:tr>
        <w:tblPrEx>
          <w:tblCellMar>
            <w:top w:w="0" w:type="dxa"/>
            <w:left w:w="108" w:type="dxa"/>
            <w:bottom w:w="0" w:type="dxa"/>
            <w:right w:w="108" w:type="dxa"/>
          </w:tblCellMar>
        </w:tblPrEx>
        <w:trPr>
          <w:trHeight w:val="390" w:hRule="atLeast"/>
          <w:jc w:val="center"/>
        </w:trPr>
        <w:tc>
          <w:tcPr>
            <w:tcW w:w="75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69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9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7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18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827"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7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69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1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057"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82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jc w:val="center"/>
        </w:trPr>
        <w:tc>
          <w:tcPr>
            <w:tcW w:w="7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69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00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82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3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4-8-99*J0.3换</w:t>
            </w:r>
          </w:p>
        </w:tc>
        <w:tc>
          <w:tcPr>
            <w:tcW w:w="46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户内干包式电力电缆头制作、安装 干包终端头（1kV以下截面mm2以下）35`10mm2及以下三芯及以上电缆头制安</w:t>
            </w:r>
          </w:p>
        </w:tc>
        <w:tc>
          <w:tcPr>
            <w:tcW w:w="7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27.40</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54.80</w:t>
            </w:r>
          </w:p>
        </w:tc>
        <w:tc>
          <w:tcPr>
            <w:tcW w:w="103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18.62</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4-12-5</w:t>
            </w:r>
          </w:p>
        </w:tc>
        <w:tc>
          <w:tcPr>
            <w:tcW w:w="46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穿照明线 铜芯导线截面（mm2以内）2.5</w:t>
            </w:r>
          </w:p>
        </w:tc>
        <w:tc>
          <w:tcPr>
            <w:tcW w:w="7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344.38</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933.27</w:t>
            </w:r>
          </w:p>
        </w:tc>
        <w:tc>
          <w:tcPr>
            <w:tcW w:w="103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227.29</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4-12-5</w:t>
            </w:r>
          </w:p>
        </w:tc>
        <w:tc>
          <w:tcPr>
            <w:tcW w:w="46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穿照明线 铜芯导线截面（mm2以内）2.5</w:t>
            </w:r>
          </w:p>
        </w:tc>
        <w:tc>
          <w:tcPr>
            <w:tcW w:w="7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245.10</w:t>
            </w:r>
          </w:p>
        </w:tc>
        <w:tc>
          <w:tcPr>
            <w:tcW w:w="103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56.76</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4-12-6</w:t>
            </w:r>
          </w:p>
        </w:tc>
        <w:tc>
          <w:tcPr>
            <w:tcW w:w="46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穿照明线 铜芯导线截面（mm2以内）4</w:t>
            </w:r>
          </w:p>
        </w:tc>
        <w:tc>
          <w:tcPr>
            <w:tcW w:w="7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62.88</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227.63</w:t>
            </w:r>
          </w:p>
        </w:tc>
        <w:tc>
          <w:tcPr>
            <w:tcW w:w="103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37.73</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4-12-6</w:t>
            </w:r>
          </w:p>
        </w:tc>
        <w:tc>
          <w:tcPr>
            <w:tcW w:w="46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穿照明线 铜芯导线截面（mm2以内）4</w:t>
            </w:r>
          </w:p>
        </w:tc>
        <w:tc>
          <w:tcPr>
            <w:tcW w:w="7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31.44</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3.82</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120.10</w:t>
            </w:r>
          </w:p>
        </w:tc>
        <w:tc>
          <w:tcPr>
            <w:tcW w:w="103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18.86</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4-4-16</w:t>
            </w:r>
          </w:p>
        </w:tc>
        <w:tc>
          <w:tcPr>
            <w:tcW w:w="46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成套配电箱安装 悬挂式半周长1.5m</w:t>
            </w:r>
          </w:p>
        </w:tc>
        <w:tc>
          <w:tcPr>
            <w:tcW w:w="7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1450.59</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1450.59</w:t>
            </w:r>
          </w:p>
        </w:tc>
        <w:tc>
          <w:tcPr>
            <w:tcW w:w="103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174.00</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4-13-206</w:t>
            </w:r>
          </w:p>
        </w:tc>
        <w:tc>
          <w:tcPr>
            <w:tcW w:w="46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600*600平板灯  LED 32W</w:t>
            </w:r>
          </w:p>
        </w:tc>
        <w:tc>
          <w:tcPr>
            <w:tcW w:w="7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218.28</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1746.24</w:t>
            </w:r>
          </w:p>
        </w:tc>
        <w:tc>
          <w:tcPr>
            <w:tcW w:w="103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181.68</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4-13-301</w:t>
            </w:r>
          </w:p>
        </w:tc>
        <w:tc>
          <w:tcPr>
            <w:tcW w:w="46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二位单极开关 10A ~250V</w:t>
            </w:r>
          </w:p>
        </w:tc>
        <w:tc>
          <w:tcPr>
            <w:tcW w:w="7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16.33</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97.98</w:t>
            </w:r>
          </w:p>
        </w:tc>
        <w:tc>
          <w:tcPr>
            <w:tcW w:w="103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42.66</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4-13-323</w:t>
            </w:r>
          </w:p>
        </w:tc>
        <w:tc>
          <w:tcPr>
            <w:tcW w:w="46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普通插座(二眼+三眼) 16A ~250V</w:t>
            </w:r>
          </w:p>
        </w:tc>
        <w:tc>
          <w:tcPr>
            <w:tcW w:w="7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18.38</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183.80</w:t>
            </w:r>
          </w:p>
        </w:tc>
        <w:tc>
          <w:tcPr>
            <w:tcW w:w="103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83.80</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4-13-323</w:t>
            </w:r>
          </w:p>
        </w:tc>
        <w:tc>
          <w:tcPr>
            <w:tcW w:w="46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空调插座(二眼+三眼) 16A ~250V (带开关)</w:t>
            </w:r>
          </w:p>
        </w:tc>
        <w:tc>
          <w:tcPr>
            <w:tcW w:w="7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w:t>
            </w:r>
          </w:p>
        </w:tc>
        <w:tc>
          <w:tcPr>
            <w:tcW w:w="103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16.76</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4-11-212</w:t>
            </w:r>
          </w:p>
        </w:tc>
        <w:tc>
          <w:tcPr>
            <w:tcW w:w="46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暗装接线盒</w:t>
            </w:r>
          </w:p>
        </w:tc>
        <w:tc>
          <w:tcPr>
            <w:tcW w:w="7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47.52</w:t>
            </w:r>
          </w:p>
        </w:tc>
        <w:tc>
          <w:tcPr>
            <w:tcW w:w="103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23.92</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4-11-211</w:t>
            </w:r>
          </w:p>
        </w:tc>
        <w:tc>
          <w:tcPr>
            <w:tcW w:w="46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开关盒、插座盒安装</w:t>
            </w:r>
          </w:p>
        </w:tc>
        <w:tc>
          <w:tcPr>
            <w:tcW w:w="79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102.06</w:t>
            </w:r>
          </w:p>
        </w:tc>
        <w:tc>
          <w:tcPr>
            <w:tcW w:w="103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56.70</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9843"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110"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5249.11</w:t>
            </w:r>
          </w:p>
        </w:tc>
        <w:tc>
          <w:tcPr>
            <w:tcW w:w="103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938.78</w:t>
            </w:r>
          </w:p>
        </w:tc>
        <w:tc>
          <w:tcPr>
            <w:tcW w:w="1020"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
      <w:pPr>
        <w:pStyle w:val="7"/>
      </w:pPr>
    </w:p>
    <w:tbl>
      <w:tblPr>
        <w:tblStyle w:val="14"/>
        <w:tblW w:w="14717" w:type="dxa"/>
        <w:jc w:val="center"/>
        <w:shd w:val="clear" w:color="auto" w:fill="auto"/>
        <w:tblLayout w:type="fixed"/>
        <w:tblCellMar>
          <w:top w:w="0" w:type="dxa"/>
          <w:left w:w="108" w:type="dxa"/>
          <w:bottom w:w="0" w:type="dxa"/>
          <w:right w:w="108" w:type="dxa"/>
        </w:tblCellMar>
      </w:tblPr>
      <w:tblGrid>
        <w:gridCol w:w="750"/>
        <w:gridCol w:w="1605"/>
        <w:gridCol w:w="4623"/>
        <w:gridCol w:w="900"/>
        <w:gridCol w:w="915"/>
        <w:gridCol w:w="1080"/>
        <w:gridCol w:w="1095"/>
        <w:gridCol w:w="1020"/>
        <w:gridCol w:w="1020"/>
        <w:gridCol w:w="1002"/>
        <w:gridCol w:w="707"/>
      </w:tblGrid>
      <w:tr>
        <w:tblPrEx>
          <w:shd w:val="clear" w:color="auto" w:fill="auto"/>
          <w:tblCellMar>
            <w:top w:w="0" w:type="dxa"/>
            <w:left w:w="108" w:type="dxa"/>
            <w:bottom w:w="0" w:type="dxa"/>
            <w:right w:w="108" w:type="dxa"/>
          </w:tblCellMar>
        </w:tblPrEx>
        <w:trPr>
          <w:trHeight w:val="300" w:hRule="atLeast"/>
          <w:jc w:val="center"/>
        </w:trPr>
        <w:tc>
          <w:tcPr>
            <w:tcW w:w="6978"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90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02"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07"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30" w:hRule="atLeast"/>
          <w:jc w:val="center"/>
        </w:trPr>
        <w:tc>
          <w:tcPr>
            <w:tcW w:w="14717"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trHeight w:val="360" w:hRule="atLeast"/>
          <w:jc w:val="center"/>
        </w:trPr>
        <w:tc>
          <w:tcPr>
            <w:tcW w:w="8793"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单位(专业)工程名称:中国人民解放军某部队犬舍建造-犬舍安装</w:t>
            </w:r>
          </w:p>
        </w:tc>
        <w:tc>
          <w:tcPr>
            <w:tcW w:w="3195"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729"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第5页 共7页</w:t>
            </w:r>
          </w:p>
        </w:tc>
      </w:tr>
      <w:tr>
        <w:tblPrEx>
          <w:tblCellMar>
            <w:top w:w="0" w:type="dxa"/>
            <w:left w:w="108" w:type="dxa"/>
            <w:bottom w:w="0" w:type="dxa"/>
            <w:right w:w="108" w:type="dxa"/>
          </w:tblCellMar>
        </w:tblPrEx>
        <w:trPr>
          <w:trHeight w:val="375" w:hRule="atLeast"/>
          <w:jc w:val="center"/>
        </w:trPr>
        <w:tc>
          <w:tcPr>
            <w:tcW w:w="75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623"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0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1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217"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07"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7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623"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09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3042"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0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5" w:hRule="atLeast"/>
          <w:jc w:val="center"/>
        </w:trPr>
        <w:tc>
          <w:tcPr>
            <w:tcW w:w="7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623"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0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00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0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4-9-42</w:t>
            </w: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避雷网安装 沿混凝土块敷设</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50.36</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15.59</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785.11</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292.59</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40.29</w:t>
            </w: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4-9-40</w:t>
            </w: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避雷引下线敷设 利用建筑结构钢筋引下</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12.83</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92.38</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39.17</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28.30</w:t>
            </w: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4-9-44</w:t>
            </w: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避雷网安装 均压环敷设利用圈梁钢筋</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237.90</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114.41</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48.58</w:t>
            </w: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4-9-59</w:t>
            </w: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接地母线敷设 户外铜接地绞线敷设</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38.12</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190.60</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124.00</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4-9-41</w:t>
            </w: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避雷引下线敷设 断接卡子制作安装</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34.17</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68.34</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48.72</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4-11-207</w:t>
            </w: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接线箱暗装半周长（mm）≤700</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81.87</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81.87</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47.63</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4-9-60*J0.5换</w:t>
            </w: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接地跨接线安装 接地跨接线`基价乘0.5;</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w:t>
            </w: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4-14-12</w:t>
            </w: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送配电装置系统调试 1kV以下交流供电(综  合)</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226.67</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226.67</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147.90</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23.28</w:t>
            </w: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宿舍弱电</w:t>
            </w:r>
          </w:p>
        </w:tc>
        <w:tc>
          <w:tcPr>
            <w:tcW w:w="9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1552.73</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396.60</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9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4-11-145</w:t>
            </w: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砖、混凝土结构暗配刚性阻燃管 公称直径（mm）25</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35.31</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18.10</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9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4-11-144</w:t>
            </w: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砖、混凝土结构暗配刚性阻燃管 公称直径（mm）20</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37.09</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21.17</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5-2-13</w:t>
            </w: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 UTP6</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26.24</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103.39</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23.09</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0.52</w:t>
            </w: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5-2-39</w:t>
            </w:r>
          </w:p>
        </w:tc>
        <w:tc>
          <w:tcPr>
            <w:tcW w:w="46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电话插座</w:t>
            </w:r>
          </w:p>
        </w:tc>
        <w:tc>
          <w:tcPr>
            <w:tcW w:w="9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14.83</w:t>
            </w:r>
          </w:p>
        </w:tc>
        <w:tc>
          <w:tcPr>
            <w:tcW w:w="109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29.66</w:t>
            </w:r>
          </w:p>
        </w:tc>
        <w:tc>
          <w:tcPr>
            <w:tcW w:w="102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c>
          <w:tcPr>
            <w:tcW w:w="102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02"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9873"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09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1895.08</w:t>
            </w:r>
          </w:p>
        </w:tc>
        <w:tc>
          <w:tcPr>
            <w:tcW w:w="1020"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887.25</w:t>
            </w:r>
          </w:p>
        </w:tc>
        <w:tc>
          <w:tcPr>
            <w:tcW w:w="1020"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141.62</w:t>
            </w:r>
          </w:p>
        </w:tc>
        <w:tc>
          <w:tcPr>
            <w:tcW w:w="1002"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8"/>
      </w:pPr>
    </w:p>
    <w:p/>
    <w:tbl>
      <w:tblPr>
        <w:tblStyle w:val="14"/>
        <w:tblW w:w="14725" w:type="dxa"/>
        <w:jc w:val="center"/>
        <w:shd w:val="clear" w:color="auto" w:fill="auto"/>
        <w:tblLayout w:type="fixed"/>
        <w:tblCellMar>
          <w:top w:w="0" w:type="dxa"/>
          <w:left w:w="108" w:type="dxa"/>
          <w:bottom w:w="0" w:type="dxa"/>
          <w:right w:w="108" w:type="dxa"/>
        </w:tblCellMar>
      </w:tblPr>
      <w:tblGrid>
        <w:gridCol w:w="750"/>
        <w:gridCol w:w="1605"/>
        <w:gridCol w:w="4702"/>
        <w:gridCol w:w="1005"/>
        <w:gridCol w:w="855"/>
        <w:gridCol w:w="1110"/>
        <w:gridCol w:w="1170"/>
        <w:gridCol w:w="975"/>
        <w:gridCol w:w="960"/>
        <w:gridCol w:w="878"/>
        <w:gridCol w:w="715"/>
      </w:tblGrid>
      <w:tr>
        <w:tblPrEx>
          <w:shd w:val="clear" w:color="auto" w:fill="auto"/>
          <w:tblCellMar>
            <w:top w:w="0" w:type="dxa"/>
            <w:left w:w="108" w:type="dxa"/>
            <w:bottom w:w="0" w:type="dxa"/>
            <w:right w:w="108" w:type="dxa"/>
          </w:tblCellMar>
        </w:tblPrEx>
        <w:trPr>
          <w:trHeight w:val="330" w:hRule="atLeast"/>
          <w:jc w:val="center"/>
        </w:trPr>
        <w:tc>
          <w:tcPr>
            <w:tcW w:w="7057"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100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878"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1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0" w:hRule="atLeast"/>
          <w:jc w:val="center"/>
        </w:trPr>
        <w:tc>
          <w:tcPr>
            <w:tcW w:w="14725"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trHeight w:val="270" w:hRule="atLeast"/>
          <w:jc w:val="center"/>
        </w:trPr>
        <w:tc>
          <w:tcPr>
            <w:tcW w:w="8917"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单位(专业)工程名称:中国人民解放军某部队犬舍建造-犬舍安装</w:t>
            </w:r>
          </w:p>
        </w:tc>
        <w:tc>
          <w:tcPr>
            <w:tcW w:w="3255"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553"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第6页 共7页</w:t>
            </w:r>
          </w:p>
        </w:tc>
      </w:tr>
      <w:tr>
        <w:tblPrEx>
          <w:tblCellMar>
            <w:top w:w="0" w:type="dxa"/>
            <w:left w:w="108" w:type="dxa"/>
            <w:bottom w:w="0" w:type="dxa"/>
            <w:right w:w="108" w:type="dxa"/>
          </w:tblCellMar>
        </w:tblPrEx>
        <w:trPr>
          <w:trHeight w:val="450" w:hRule="atLeast"/>
          <w:jc w:val="center"/>
        </w:trPr>
        <w:tc>
          <w:tcPr>
            <w:tcW w:w="75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470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0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5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509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1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7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70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7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2813"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1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70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9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87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1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5-2-39</w:t>
            </w: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电视插座</w:t>
            </w:r>
          </w:p>
        </w:tc>
        <w:tc>
          <w:tcPr>
            <w:tcW w:w="10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23.48</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w:t>
            </w:r>
          </w:p>
        </w:tc>
        <w:tc>
          <w:tcPr>
            <w:tcW w:w="96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4-2-81</w:t>
            </w: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8口路由器</w:t>
            </w:r>
          </w:p>
        </w:tc>
        <w:tc>
          <w:tcPr>
            <w:tcW w:w="10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710.00</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710.00</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118.47</w:t>
            </w:r>
          </w:p>
        </w:tc>
        <w:tc>
          <w:tcPr>
            <w:tcW w:w="9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5-8-11</w:t>
            </w: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家居智能布线箱暗装</w:t>
            </w:r>
          </w:p>
        </w:tc>
        <w:tc>
          <w:tcPr>
            <w:tcW w:w="10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383.05</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383.05</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24.22</w:t>
            </w:r>
          </w:p>
        </w:tc>
        <w:tc>
          <w:tcPr>
            <w:tcW w:w="96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5-2-66</w:t>
            </w: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试运行</w:t>
            </w:r>
          </w:p>
        </w:tc>
        <w:tc>
          <w:tcPr>
            <w:tcW w:w="10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230.75</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230.75</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177.63</w:t>
            </w:r>
          </w:p>
        </w:tc>
        <w:tc>
          <w:tcPr>
            <w:tcW w:w="96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宿舍给排水</w:t>
            </w:r>
          </w:p>
        </w:tc>
        <w:tc>
          <w:tcPr>
            <w:tcW w:w="100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4635.22</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879.80</w:t>
            </w:r>
          </w:p>
        </w:tc>
        <w:tc>
          <w:tcPr>
            <w:tcW w:w="9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10-1-229</w:t>
            </w: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室内塑料给水管（热熔连接） 公称直径 （mm以内）15</w:t>
            </w:r>
          </w:p>
        </w:tc>
        <w:tc>
          <w:tcPr>
            <w:tcW w:w="10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9.45</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135.23</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63.13</w:t>
            </w:r>
          </w:p>
        </w:tc>
        <w:tc>
          <w:tcPr>
            <w:tcW w:w="9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10-1-230</w:t>
            </w: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室内塑料给水管（热熔连接） 公称直径 （mm以内）20</w:t>
            </w:r>
          </w:p>
        </w:tc>
        <w:tc>
          <w:tcPr>
            <w:tcW w:w="10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16.71</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67.01</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w:t>
            </w:r>
          </w:p>
        </w:tc>
        <w:tc>
          <w:tcPr>
            <w:tcW w:w="9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w:t>
            </w: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10-1-231</w:t>
            </w: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室内塑料给水管（热熔连接） 公称直径 （mm以内）25</w:t>
            </w:r>
          </w:p>
        </w:tc>
        <w:tc>
          <w:tcPr>
            <w:tcW w:w="10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215.14</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83.17</w:t>
            </w:r>
          </w:p>
        </w:tc>
        <w:tc>
          <w:tcPr>
            <w:tcW w:w="96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10-8-31</w:t>
            </w: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管道消毒、冲洗 公称直径 （mm以内）50</w:t>
            </w:r>
          </w:p>
        </w:tc>
        <w:tc>
          <w:tcPr>
            <w:tcW w:w="10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23.42</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14.29</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7.73</w:t>
            </w:r>
          </w:p>
        </w:tc>
        <w:tc>
          <w:tcPr>
            <w:tcW w:w="96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10-1-276</w:t>
            </w: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室内塑料排水管（粘接） 公称直径 （mm以内）50</w:t>
            </w:r>
          </w:p>
        </w:tc>
        <w:tc>
          <w:tcPr>
            <w:tcW w:w="10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41.27</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18.59</w:t>
            </w:r>
          </w:p>
        </w:tc>
        <w:tc>
          <w:tcPr>
            <w:tcW w:w="96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6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10-1-277</w:t>
            </w: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室内塑料排水管（粘接） 公称直径 （mm以内）75</w:t>
            </w:r>
          </w:p>
        </w:tc>
        <w:tc>
          <w:tcPr>
            <w:tcW w:w="10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28.15</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122.45</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46.94</w:t>
            </w:r>
          </w:p>
        </w:tc>
        <w:tc>
          <w:tcPr>
            <w:tcW w:w="96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6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10-1-278</w:t>
            </w: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室内塑料排水管（粘接） 公称直径 （mm以内）100</w:t>
            </w:r>
          </w:p>
        </w:tc>
        <w:tc>
          <w:tcPr>
            <w:tcW w:w="10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44.21</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460.23</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136.16</w:t>
            </w:r>
          </w:p>
        </w:tc>
        <w:tc>
          <w:tcPr>
            <w:tcW w:w="96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95"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10-1-280</w:t>
            </w:r>
          </w:p>
        </w:tc>
        <w:tc>
          <w:tcPr>
            <w:tcW w:w="470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室内塑料排水管（粘接） 公称直径 （mm以内）200</w:t>
            </w:r>
          </w:p>
        </w:tc>
        <w:tc>
          <w:tcPr>
            <w:tcW w:w="10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w:t>
            </w:r>
          </w:p>
        </w:tc>
        <w:tc>
          <w:tcPr>
            <w:tcW w:w="111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96.99</w:t>
            </w:r>
          </w:p>
        </w:tc>
        <w:tc>
          <w:tcPr>
            <w:tcW w:w="1170"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655.65</w:t>
            </w:r>
          </w:p>
        </w:tc>
        <w:tc>
          <w:tcPr>
            <w:tcW w:w="975" w:type="dxa"/>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166.16</w:t>
            </w:r>
          </w:p>
        </w:tc>
        <w:tc>
          <w:tcPr>
            <w:tcW w:w="960"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878" w:type="dxa"/>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027"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170"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3058.55</w:t>
            </w:r>
          </w:p>
        </w:tc>
        <w:tc>
          <w:tcPr>
            <w:tcW w:w="97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879.28</w:t>
            </w:r>
          </w:p>
        </w:tc>
        <w:tc>
          <w:tcPr>
            <w:tcW w:w="960"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878" w:type="dxa"/>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7"/>
      </w:pPr>
    </w:p>
    <w:tbl>
      <w:tblPr>
        <w:tblStyle w:val="14"/>
        <w:tblW w:w="14732" w:type="dxa"/>
        <w:jc w:val="center"/>
        <w:shd w:val="clear" w:color="auto" w:fill="auto"/>
        <w:tblLayout w:type="autofit"/>
        <w:tblCellMar>
          <w:top w:w="0" w:type="dxa"/>
          <w:left w:w="108" w:type="dxa"/>
          <w:bottom w:w="0" w:type="dxa"/>
          <w:right w:w="108" w:type="dxa"/>
        </w:tblCellMar>
      </w:tblPr>
      <w:tblGrid>
        <w:gridCol w:w="750"/>
        <w:gridCol w:w="1605"/>
        <w:gridCol w:w="2760"/>
        <w:gridCol w:w="840"/>
        <w:gridCol w:w="1335"/>
        <w:gridCol w:w="1350"/>
        <w:gridCol w:w="1290"/>
        <w:gridCol w:w="1260"/>
        <w:gridCol w:w="1365"/>
        <w:gridCol w:w="1455"/>
        <w:gridCol w:w="722"/>
      </w:tblGrid>
      <w:tr>
        <w:tblPrEx>
          <w:shd w:val="clear" w:color="auto" w:fill="auto"/>
          <w:tblCellMar>
            <w:top w:w="0" w:type="dxa"/>
            <w:left w:w="108" w:type="dxa"/>
            <w:bottom w:w="0" w:type="dxa"/>
            <w:right w:w="108" w:type="dxa"/>
          </w:tblCellMar>
        </w:tblPrEx>
        <w:trPr>
          <w:trHeight w:val="345" w:hRule="atLeast"/>
          <w:jc w:val="center"/>
        </w:trPr>
        <w:tc>
          <w:tcPr>
            <w:tcW w:w="5115"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【表10.2.2-16】</w:t>
            </w:r>
          </w:p>
        </w:tc>
        <w:tc>
          <w:tcPr>
            <w:tcW w:w="84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5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6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6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722"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15" w:hRule="atLeast"/>
          <w:jc w:val="center"/>
        </w:trPr>
        <w:tc>
          <w:tcPr>
            <w:tcW w:w="14732"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分部分项工程清单与计价表</w:t>
            </w:r>
          </w:p>
        </w:tc>
      </w:tr>
      <w:tr>
        <w:tblPrEx>
          <w:tblCellMar>
            <w:top w:w="0" w:type="dxa"/>
            <w:left w:w="108" w:type="dxa"/>
            <w:bottom w:w="0" w:type="dxa"/>
            <w:right w:w="108" w:type="dxa"/>
          </w:tblCellMar>
        </w:tblPrEx>
        <w:trPr>
          <w:trHeight w:val="450" w:hRule="atLeast"/>
          <w:jc w:val="center"/>
        </w:trPr>
        <w:tc>
          <w:tcPr>
            <w:tcW w:w="7290"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单位(专业)工程名称:中国人民解放军某部队犬舍建造-犬舍安装</w:t>
            </w:r>
          </w:p>
        </w:tc>
        <w:tc>
          <w:tcPr>
            <w:tcW w:w="390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542"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第7页 共7页</w:t>
            </w:r>
          </w:p>
        </w:tc>
      </w:tr>
      <w:tr>
        <w:tblPrEx>
          <w:tblCellMar>
            <w:top w:w="0" w:type="dxa"/>
            <w:left w:w="108" w:type="dxa"/>
            <w:bottom w:w="0" w:type="dxa"/>
            <w:right w:w="108" w:type="dxa"/>
          </w:tblCellMar>
        </w:tblPrEx>
        <w:trPr>
          <w:trHeight w:val="450" w:hRule="atLeast"/>
          <w:jc w:val="center"/>
        </w:trPr>
        <w:tc>
          <w:tcPr>
            <w:tcW w:w="75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0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76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4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33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6720"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 额  (元)</w:t>
            </w:r>
          </w:p>
        </w:tc>
        <w:tc>
          <w:tcPr>
            <w:tcW w:w="722"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7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29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080"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72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机械费</w:t>
            </w:r>
          </w:p>
        </w:tc>
        <w:tc>
          <w:tcPr>
            <w:tcW w:w="14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72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10-2-221</w:t>
            </w:r>
          </w:p>
        </w:tc>
        <w:tc>
          <w:tcPr>
            <w:tcW w:w="27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螺纹水表组成安装 公称直径（mm以内）25</w:t>
            </w:r>
          </w:p>
        </w:tc>
        <w:tc>
          <w:tcPr>
            <w:tcW w:w="8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140.89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140.89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0.73</w:t>
            </w: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10-3-81</w:t>
            </w:r>
          </w:p>
        </w:tc>
        <w:tc>
          <w:tcPr>
            <w:tcW w:w="27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地漏安装 公称直径（mm以内）100</w:t>
            </w:r>
          </w:p>
        </w:tc>
        <w:tc>
          <w:tcPr>
            <w:tcW w:w="8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71.25</w:t>
            </w: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10-3-17*J0.8换</w:t>
            </w:r>
          </w:p>
        </w:tc>
        <w:tc>
          <w:tcPr>
            <w:tcW w:w="27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洗脸盆 台下式冷热水`台式洗脸盆（冷水）安装</w:t>
            </w:r>
          </w:p>
        </w:tc>
        <w:tc>
          <w:tcPr>
            <w:tcW w:w="8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3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372.93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1491.72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119.16</w:t>
            </w: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10-3-32</w:t>
            </w:r>
          </w:p>
        </w:tc>
        <w:tc>
          <w:tcPr>
            <w:tcW w:w="27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蹲式大便器安装 脚踏开关</w:t>
            </w:r>
          </w:p>
        </w:tc>
        <w:tc>
          <w:tcPr>
            <w:tcW w:w="8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73.38</w:t>
            </w: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6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10-3-49</w:t>
            </w:r>
          </w:p>
        </w:tc>
        <w:tc>
          <w:tcPr>
            <w:tcW w:w="27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成套淋浴器 手动开关冷热水</w:t>
            </w:r>
          </w:p>
        </w:tc>
        <w:tc>
          <w:tcPr>
            <w:tcW w:w="8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205.59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30.08</w:t>
            </w: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640"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2923.95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327.80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0.73</w:t>
            </w:r>
          </w:p>
        </w:tc>
        <w:tc>
          <w:tcPr>
            <w:tcW w:w="0" w:type="auto"/>
            <w:tcBorders>
              <w:top w:val="single" w:color="000000" w:sz="4" w:space="0"/>
              <w:left w:val="single" w:color="000000" w:sz="4" w:space="0"/>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10" w:hRule="atLeast"/>
          <w:jc w:val="center"/>
        </w:trPr>
        <w:tc>
          <w:tcPr>
            <w:tcW w:w="8640"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44004.41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10746.97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428.43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8"/>
        <w:sectPr>
          <w:pgSz w:w="16838" w:h="11906" w:orient="landscape"/>
          <w:pgMar w:top="1135" w:right="1418" w:bottom="1135" w:left="1418" w:header="851" w:footer="992" w:gutter="0"/>
          <w:pgNumType w:fmt="numberInDash"/>
          <w:cols w:space="720" w:num="1"/>
          <w:docGrid w:type="lines" w:linePitch="312" w:charSpace="0"/>
        </w:sectPr>
      </w:pPr>
    </w:p>
    <w:tbl>
      <w:tblPr>
        <w:tblStyle w:val="14"/>
        <w:tblW w:w="10155" w:type="dxa"/>
        <w:jc w:val="center"/>
        <w:shd w:val="clear" w:color="auto" w:fill="auto"/>
        <w:tblLayout w:type="autofit"/>
        <w:tblCellMar>
          <w:top w:w="0" w:type="dxa"/>
          <w:left w:w="108" w:type="dxa"/>
          <w:bottom w:w="0" w:type="dxa"/>
          <w:right w:w="108" w:type="dxa"/>
        </w:tblCellMar>
      </w:tblPr>
      <w:tblGrid>
        <w:gridCol w:w="585"/>
        <w:gridCol w:w="2880"/>
        <w:gridCol w:w="990"/>
        <w:gridCol w:w="1035"/>
        <w:gridCol w:w="1500"/>
        <w:gridCol w:w="1440"/>
        <w:gridCol w:w="1725"/>
      </w:tblGrid>
      <w:tr>
        <w:tblPrEx>
          <w:shd w:val="clear" w:color="auto" w:fill="auto"/>
          <w:tblCellMar>
            <w:top w:w="0" w:type="dxa"/>
            <w:left w:w="108" w:type="dxa"/>
            <w:bottom w:w="0" w:type="dxa"/>
            <w:right w:w="108" w:type="dxa"/>
          </w:tblCellMar>
        </w:tblPrEx>
        <w:trPr>
          <w:trHeight w:val="360" w:hRule="atLeast"/>
          <w:jc w:val="center"/>
        </w:trPr>
        <w:tc>
          <w:tcPr>
            <w:tcW w:w="3465"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【表10.2.2-29】</w:t>
            </w:r>
          </w:p>
        </w:tc>
        <w:tc>
          <w:tcPr>
            <w:tcW w:w="99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50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4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0" w:hRule="atLeast"/>
          <w:jc w:val="center"/>
        </w:trPr>
        <w:tc>
          <w:tcPr>
            <w:tcW w:w="10155"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主要工日一览表</w:t>
            </w:r>
          </w:p>
        </w:tc>
      </w:tr>
      <w:tr>
        <w:tblPrEx>
          <w:tblCellMar>
            <w:top w:w="0" w:type="dxa"/>
            <w:left w:w="108" w:type="dxa"/>
            <w:bottom w:w="0" w:type="dxa"/>
            <w:right w:w="108" w:type="dxa"/>
          </w:tblCellMar>
        </w:tblPrEx>
        <w:trPr>
          <w:trHeight w:val="450" w:hRule="atLeast"/>
          <w:jc w:val="center"/>
        </w:trPr>
        <w:tc>
          <w:tcPr>
            <w:tcW w:w="4455"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工程名称:犬舍安装</w:t>
            </w:r>
          </w:p>
        </w:tc>
        <w:tc>
          <w:tcPr>
            <w:tcW w:w="2535"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165"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450" w:hRule="atLeast"/>
          <w:jc w:val="center"/>
        </w:trPr>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工日名称（类别）</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5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4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72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二类人工</w:t>
            </w:r>
          </w:p>
        </w:tc>
        <w:tc>
          <w:tcPr>
            <w:tcW w:w="9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工日</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74.088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10742.76</w:t>
            </w: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000000"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585"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80" w:type="dxa"/>
            <w:tcBorders>
              <w:top w:val="single" w:color="auto"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auto"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25" w:type="dxa"/>
            <w:tcBorders>
              <w:top w:val="single" w:color="auto" w:sz="4" w:space="0"/>
              <w:left w:val="single" w:color="000000"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
      <w:pPr>
        <w:pStyle w:val="7"/>
      </w:pPr>
    </w:p>
    <w:p/>
    <w:tbl>
      <w:tblPr>
        <w:tblStyle w:val="14"/>
        <w:tblW w:w="10167" w:type="dxa"/>
        <w:jc w:val="center"/>
        <w:shd w:val="clear" w:color="auto" w:fill="auto"/>
        <w:tblLayout w:type="fixed"/>
        <w:tblCellMar>
          <w:top w:w="0" w:type="dxa"/>
          <w:left w:w="108" w:type="dxa"/>
          <w:bottom w:w="0" w:type="dxa"/>
          <w:right w:w="108" w:type="dxa"/>
        </w:tblCellMar>
      </w:tblPr>
      <w:tblGrid>
        <w:gridCol w:w="660"/>
        <w:gridCol w:w="2577"/>
        <w:gridCol w:w="1008"/>
        <w:gridCol w:w="12"/>
        <w:gridCol w:w="930"/>
        <w:gridCol w:w="93"/>
        <w:gridCol w:w="1152"/>
        <w:gridCol w:w="303"/>
        <w:gridCol w:w="972"/>
        <w:gridCol w:w="708"/>
        <w:gridCol w:w="402"/>
        <w:gridCol w:w="1338"/>
        <w:gridCol w:w="12"/>
      </w:tblGrid>
      <w:tr>
        <w:tblPrEx>
          <w:shd w:val="clear" w:color="auto" w:fill="auto"/>
          <w:tblCellMar>
            <w:top w:w="0" w:type="dxa"/>
            <w:left w:w="108" w:type="dxa"/>
            <w:bottom w:w="0" w:type="dxa"/>
            <w:right w:w="108" w:type="dxa"/>
          </w:tblCellMar>
        </w:tblPrEx>
        <w:trPr>
          <w:trHeight w:val="240" w:hRule="atLeast"/>
          <w:jc w:val="center"/>
        </w:trPr>
        <w:tc>
          <w:tcPr>
            <w:tcW w:w="4257"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【表10.2.2-31】</w:t>
            </w:r>
          </w:p>
        </w:tc>
        <w:tc>
          <w:tcPr>
            <w:tcW w:w="93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4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7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11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5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80" w:hRule="atLeast"/>
          <w:jc w:val="center"/>
        </w:trPr>
        <w:tc>
          <w:tcPr>
            <w:tcW w:w="10167" w:type="dxa"/>
            <w:gridSpan w:val="1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主要材料和工程设备一览表</w:t>
            </w:r>
          </w:p>
        </w:tc>
      </w:tr>
      <w:tr>
        <w:tblPrEx>
          <w:tblCellMar>
            <w:top w:w="0" w:type="dxa"/>
            <w:left w:w="108" w:type="dxa"/>
            <w:bottom w:w="0" w:type="dxa"/>
            <w:right w:w="108" w:type="dxa"/>
          </w:tblCellMar>
        </w:tblPrEx>
        <w:trPr>
          <w:trHeight w:val="195" w:hRule="atLeast"/>
          <w:jc w:val="center"/>
        </w:trPr>
        <w:tc>
          <w:tcPr>
            <w:tcW w:w="6432" w:type="dxa"/>
            <w:gridSpan w:val="7"/>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工程名称:犬舍安装</w:t>
            </w:r>
          </w:p>
        </w:tc>
        <w:tc>
          <w:tcPr>
            <w:tcW w:w="1275"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110" w:type="dxa"/>
            <w:gridSpan w:val="2"/>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1350"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共2页</w:t>
            </w:r>
          </w:p>
        </w:tc>
      </w:tr>
      <w:tr>
        <w:tblPrEx>
          <w:tblCellMar>
            <w:top w:w="0" w:type="dxa"/>
            <w:left w:w="108" w:type="dxa"/>
            <w:bottom w:w="0" w:type="dxa"/>
            <w:right w:w="108" w:type="dxa"/>
          </w:tblCellMar>
        </w:tblPrEx>
        <w:trPr>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名称、规格、型号</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4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27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11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复合硅酸盐水泥PC 32.5R综合</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7.465</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普通硅酸盐水泥PO 42.5综合</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274.538</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138.92</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黄砂毛砂</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0.018</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117.30</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5"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黄砂机制砂</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1.733</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134.00</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232.22</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地漏DN100</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78.54</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双管成品淋浴器（含固定件）含成套配件</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碳素结构钢焊接钢管SC40</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206.000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15.43</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3178.58</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PPRDN15</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30.937</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97.45</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PPRDN20</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27.686</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116.28</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PPRDN25</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29.006</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197.82</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PVCDN50</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5"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PVCDN75</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4.263</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35.72</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45"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PVCDN100</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29.326</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469.22</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PVCDN200</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9.225</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46.64</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430.25</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5"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闸阀DN25</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32.52</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65.69</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洗脸盆含成套配件</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1292.80</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瓷蹲式大便器含成套配件</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606.00</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5"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螺纹水表DN25</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56.85</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113.70</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600*600平板灯 LED 32W</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26.260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185.00</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4858.10</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一位单极开关10A ~250V</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18.360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83.72</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2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三位单极开关10A ~250V</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7.74</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15.79</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二位单极开关10A ~250V</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38.37</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普通插座(二眼+三眼)16A ~250V</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18.360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126.68</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空调插座(二眼+三眼) 16A ~250V (带开关)</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17.34</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铜芯塑料绝缘线BVR4</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34.584</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95.11</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5"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铜芯塑料绝缘线BV4</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69.168</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178.25</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铜芯塑料绝缘线BV2.5</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1036.228</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1648.64</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597"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铜芯塑料绝缘线BVR2.5</w:t>
            </w:r>
          </w:p>
        </w:tc>
        <w:tc>
          <w:tcPr>
            <w:tcW w:w="9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242.231</w:t>
            </w:r>
          </w:p>
        </w:tc>
        <w:tc>
          <w:tcPr>
            <w:tcW w:w="127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11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415.67</w:t>
            </w:r>
          </w:p>
        </w:tc>
        <w:tc>
          <w:tcPr>
            <w:tcW w:w="1350" w:type="dxa"/>
            <w:gridSpan w:val="2"/>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6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597" w:type="dxa"/>
            <w:gridSpan w:val="3"/>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双绞线缆UTP6</w:t>
            </w:r>
          </w:p>
        </w:tc>
        <w:tc>
          <w:tcPr>
            <w:tcW w:w="93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45"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27.552</w:t>
            </w:r>
          </w:p>
        </w:tc>
        <w:tc>
          <w:tcPr>
            <w:tcW w:w="1275"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10" w:type="dxa"/>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330" w:hRule="atLeast"/>
          <w:jc w:val="center"/>
        </w:trPr>
        <w:tc>
          <w:tcPr>
            <w:tcW w:w="3237"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【表10.2.2-31】</w:t>
            </w:r>
          </w:p>
        </w:tc>
        <w:tc>
          <w:tcPr>
            <w:tcW w:w="1008"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035" w:type="dxa"/>
            <w:gridSpan w:val="3"/>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5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68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740"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900" w:hRule="atLeast"/>
          <w:jc w:val="center"/>
        </w:trPr>
        <w:tc>
          <w:tcPr>
            <w:tcW w:w="10155"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主要材料和工程设备一览表</w:t>
            </w:r>
          </w:p>
        </w:tc>
      </w:tr>
      <w:tr>
        <w:tblPrEx>
          <w:tblCellMar>
            <w:top w:w="0" w:type="dxa"/>
            <w:left w:w="108" w:type="dxa"/>
            <w:bottom w:w="0" w:type="dxa"/>
            <w:right w:w="108" w:type="dxa"/>
          </w:tblCellMar>
        </w:tblPrEx>
        <w:trPr>
          <w:gridAfter w:val="1"/>
          <w:wAfter w:w="12" w:type="dxa"/>
          <w:trHeight w:val="570" w:hRule="atLeast"/>
          <w:jc w:val="center"/>
        </w:trPr>
        <w:tc>
          <w:tcPr>
            <w:tcW w:w="5280" w:type="dxa"/>
            <w:gridSpan w:val="6"/>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工程名称:犬舍安装</w:t>
            </w:r>
          </w:p>
        </w:tc>
        <w:tc>
          <w:tcPr>
            <w:tcW w:w="1455"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680" w:type="dxa"/>
            <w:gridSpan w:val="2"/>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18"/>
                <w:szCs w:val="18"/>
                <w:u w:val="none"/>
              </w:rPr>
            </w:pPr>
          </w:p>
        </w:tc>
        <w:tc>
          <w:tcPr>
            <w:tcW w:w="1740"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共2页</w:t>
            </w: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名称、规格、型号</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35" w:type="dxa"/>
            <w:gridSpan w:val="3"/>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455"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680"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电力电缆YJV-1.0kV-5x10</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202.000</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36.77</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7426.53</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刚性阻燃管DN20</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5.342</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7.48</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刚性阻燃管DN25</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391.447</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798.55</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JDG电线套管(镀锌)DN25</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29.293</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152.03</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塑料接线盒</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73.440</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80.05</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局部等电位箱LEB</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3.665</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15.21</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镀锌圆钢φ12</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125.622</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737.78</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弱电箱</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电视插座</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13.41</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电话插座</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9.70</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19.59</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铜接地线BVR6</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19.45</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8口路由器</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550.00</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550.00</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57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成套配电箱AL</w:t>
            </w:r>
          </w:p>
        </w:tc>
        <w:tc>
          <w:tcPr>
            <w:tcW w:w="10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35" w:type="dxa"/>
            <w:gridSpan w:val="3"/>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455"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1680" w:type="dxa"/>
            <w:gridSpan w:val="2"/>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2400.00</w:t>
            </w: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gridSpan w:val="2"/>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3"/>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gridSpan w:val="2"/>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gridAfter w:val="1"/>
          <w:wAfter w:w="12" w:type="dxa"/>
          <w:trHeight w:val="450" w:hRule="atLeast"/>
          <w:jc w:val="center"/>
        </w:trPr>
        <w:tc>
          <w:tcPr>
            <w:tcW w:w="66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577" w:type="dxa"/>
            <w:tcBorders>
              <w:top w:val="single" w:color="auto"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08" w:type="dxa"/>
            <w:tcBorders>
              <w:top w:val="single" w:color="auto"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35" w:type="dxa"/>
            <w:gridSpan w:val="3"/>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55" w:type="dxa"/>
            <w:gridSpan w:val="2"/>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80" w:type="dxa"/>
            <w:gridSpan w:val="2"/>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740" w:type="dxa"/>
            <w:gridSpan w:val="2"/>
            <w:tcBorders>
              <w:top w:val="single" w:color="auto" w:sz="4" w:space="0"/>
              <w:left w:val="single" w:color="000000" w:sz="4" w:space="0"/>
              <w:bottom w:val="single" w:color="auto" w:sz="4" w:space="0"/>
              <w:right w:val="single" w:color="auto"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8"/>
      </w:pPr>
    </w:p>
    <w:p/>
    <w:tbl>
      <w:tblPr>
        <w:tblStyle w:val="14"/>
        <w:tblW w:w="10155" w:type="dxa"/>
        <w:jc w:val="center"/>
        <w:shd w:val="clear" w:color="auto" w:fill="auto"/>
        <w:tblLayout w:type="autofit"/>
        <w:tblCellMar>
          <w:top w:w="0" w:type="dxa"/>
          <w:left w:w="108" w:type="dxa"/>
          <w:bottom w:w="0" w:type="dxa"/>
          <w:right w:w="108" w:type="dxa"/>
        </w:tblCellMar>
      </w:tblPr>
      <w:tblGrid>
        <w:gridCol w:w="642"/>
        <w:gridCol w:w="3108"/>
        <w:gridCol w:w="750"/>
        <w:gridCol w:w="1290"/>
        <w:gridCol w:w="1635"/>
        <w:gridCol w:w="1365"/>
        <w:gridCol w:w="1365"/>
      </w:tblGrid>
      <w:tr>
        <w:tblPrEx>
          <w:shd w:val="clear" w:color="auto" w:fill="auto"/>
          <w:tblCellMar>
            <w:top w:w="0" w:type="dxa"/>
            <w:left w:w="108" w:type="dxa"/>
            <w:bottom w:w="0" w:type="dxa"/>
            <w:right w:w="108" w:type="dxa"/>
          </w:tblCellMar>
        </w:tblPrEx>
        <w:trPr>
          <w:trHeight w:val="345" w:hRule="atLeast"/>
          <w:jc w:val="center"/>
        </w:trPr>
        <w:tc>
          <w:tcPr>
            <w:tcW w:w="3750"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【表10.2.2-32】</w:t>
            </w:r>
          </w:p>
        </w:tc>
        <w:tc>
          <w:tcPr>
            <w:tcW w:w="75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6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jc w:val="center"/>
        </w:trPr>
        <w:tc>
          <w:tcPr>
            <w:tcW w:w="10155"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主要机械台班一览表</w:t>
            </w:r>
          </w:p>
        </w:tc>
      </w:tr>
      <w:tr>
        <w:tblPrEx>
          <w:tblCellMar>
            <w:top w:w="0" w:type="dxa"/>
            <w:left w:w="108" w:type="dxa"/>
            <w:bottom w:w="0" w:type="dxa"/>
            <w:right w:w="108" w:type="dxa"/>
          </w:tblCellMar>
        </w:tblPrEx>
        <w:trPr>
          <w:trHeight w:val="450" w:hRule="atLeast"/>
          <w:jc w:val="center"/>
        </w:trPr>
        <w:tc>
          <w:tcPr>
            <w:tcW w:w="450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工程名称:犬舍安装</w:t>
            </w:r>
          </w:p>
        </w:tc>
        <w:tc>
          <w:tcPr>
            <w:tcW w:w="1290"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635" w:type="dxa"/>
            <w:tcBorders>
              <w:top w:val="nil"/>
              <w:left w:val="nil"/>
              <w:bottom w:val="nil"/>
              <w:right w:val="nil"/>
            </w:tcBorders>
            <w:shd w:val="clear" w:color="auto" w:fill="FFFFFF"/>
            <w:vAlign w:val="bottom"/>
          </w:tcPr>
          <w:p>
            <w:pPr>
              <w:jc w:val="right"/>
              <w:rPr>
                <w:rFonts w:hint="eastAsia" w:ascii="Arial" w:hAnsi="Arial" w:cs="Arial"/>
                <w:i w:val="0"/>
                <w:iCs w:val="0"/>
                <w:color w:val="000000"/>
                <w:sz w:val="18"/>
                <w:szCs w:val="18"/>
                <w:u w:val="none"/>
              </w:rPr>
            </w:pPr>
          </w:p>
        </w:tc>
        <w:tc>
          <w:tcPr>
            <w:tcW w:w="2730"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机械名称、规格、型号</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 量</w:t>
            </w:r>
          </w:p>
        </w:tc>
        <w:tc>
          <w:tcPr>
            <w:tcW w:w="16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电能校验仪 ST9040</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22.43</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电压、电流互感升流器 HJ-12E</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数字万用表 F-87</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笔记本电脑</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电缆测试仪</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对讲机（一对）</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其他机械费</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汽车式起重机8t</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702.61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载货汽车5t</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427.31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台式钻床16mm</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管子切断套丝机159mm</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0.63</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钢材电动煨弯机500以内mm</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试压泵3MPa</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10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弧焊机 综合</w:t>
            </w:r>
          </w:p>
        </w:tc>
        <w:tc>
          <w:tcPr>
            <w:tcW w:w="7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台班</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349.46</w:t>
            </w: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0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0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0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0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0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0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0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0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08" w:type="dxa"/>
            <w:tcBorders>
              <w:top w:val="single" w:color="000000"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642"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108" w:type="dxa"/>
            <w:tcBorders>
              <w:top w:val="single" w:color="auto" w:sz="4" w:space="0"/>
              <w:left w:val="single" w:color="000000" w:sz="4" w:space="0"/>
              <w:bottom w:val="single" w:color="auto" w:sz="4" w:space="0"/>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750" w:type="dxa"/>
            <w:tcBorders>
              <w:top w:val="single" w:color="auto" w:sz="4" w:space="0"/>
              <w:left w:val="single" w:color="000000" w:sz="4" w:space="0"/>
              <w:bottom w:val="single" w:color="auto"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auto"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7"/>
      </w:pPr>
    </w:p>
    <w:p/>
    <w:p>
      <w:pPr>
        <w:widowControl/>
        <w:numPr>
          <w:ilvl w:val="0"/>
          <w:numId w:val="2"/>
        </w:numPr>
        <w:ind w:firstLine="457" w:firstLineChars="147"/>
        <w:jc w:val="center"/>
        <w:rPr>
          <w:rFonts w:ascii="宋体" w:hAnsi="宋体" w:eastAsia="宋体" w:cs="宋体"/>
          <w:b/>
          <w:color w:val="000000"/>
          <w:kern w:val="0"/>
          <w:sz w:val="31"/>
          <w:szCs w:val="31"/>
        </w:rPr>
      </w:pPr>
      <w:r>
        <w:rPr>
          <w:rFonts w:hint="eastAsia" w:ascii="宋体" w:hAnsi="宋体" w:eastAsia="宋体" w:cs="宋体"/>
          <w:b/>
          <w:color w:val="000000"/>
          <w:kern w:val="0"/>
          <w:sz w:val="31"/>
          <w:szCs w:val="31"/>
        </w:rPr>
        <w:t>图纸</w:t>
      </w:r>
    </w:p>
    <w:p>
      <w:pPr>
        <w:pStyle w:val="20"/>
        <w:tabs>
          <w:tab w:val="left" w:pos="0"/>
        </w:tabs>
      </w:pPr>
    </w:p>
    <w:p>
      <w:pPr>
        <w:jc w:val="center"/>
      </w:pPr>
      <w:r>
        <w:rPr>
          <w:rFonts w:hint="eastAsia" w:ascii="Times New Roman" w:hAnsi="Times New Roman"/>
          <w:lang w:val="en-US" w:eastAsia="zh-CN"/>
        </w:rPr>
        <w:t xml:space="preserve">   </w:t>
      </w:r>
      <w:r>
        <w:rPr>
          <w:rFonts w:hint="eastAsia" w:ascii="Times New Roman" w:hAnsi="Times New Roman" w:eastAsiaTheme="minorEastAsia"/>
          <w:lang w:eastAsia="zh-CN"/>
        </w:rPr>
        <w:drawing>
          <wp:inline distT="0" distB="0" distL="114300" distR="114300">
            <wp:extent cx="6116320" cy="7849235"/>
            <wp:effectExtent l="0" t="0" r="17780" b="18415"/>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pic:cNvPicPr>
                      <a:picLocks noChangeAspect="1"/>
                    </pic:cNvPicPr>
                  </pic:nvPicPr>
                  <pic:blipFill>
                    <a:blip r:embed="rId10"/>
                    <a:stretch>
                      <a:fillRect/>
                    </a:stretch>
                  </pic:blipFill>
                  <pic:spPr>
                    <a:xfrm>
                      <a:off x="0" y="0"/>
                      <a:ext cx="6116320" cy="7849235"/>
                    </a:xfrm>
                    <a:prstGeom prst="rect">
                      <a:avLst/>
                    </a:prstGeom>
                  </pic:spPr>
                </pic:pic>
              </a:graphicData>
            </a:graphic>
          </wp:inline>
        </w:drawing>
      </w:r>
    </w:p>
    <w:p>
      <w:pPr>
        <w:widowControl/>
        <w:jc w:val="center"/>
      </w:pPr>
      <w:r>
        <w:rPr>
          <w:rFonts w:hint="eastAsia" w:ascii="宋体" w:hAnsi="宋体" w:eastAsia="宋体" w:cs="宋体"/>
          <w:b/>
          <w:color w:val="000000"/>
          <w:kern w:val="0"/>
          <w:sz w:val="31"/>
          <w:szCs w:val="31"/>
        </w:rPr>
        <w:t>第七章 技术标准和要求</w:t>
      </w:r>
    </w:p>
    <w:p>
      <w:pPr>
        <w:widowControl/>
        <w:spacing w:line="500" w:lineRule="exact"/>
        <w:jc w:val="left"/>
      </w:pPr>
      <w:r>
        <w:rPr>
          <w:rFonts w:hint="eastAsia" w:ascii="宋体" w:hAnsi="宋体" w:eastAsia="宋体" w:cs="宋体"/>
          <w:color w:val="000000"/>
          <w:kern w:val="0"/>
          <w:szCs w:val="21"/>
        </w:rPr>
        <w:t xml:space="preserve">本招标项目的材料、设备、施工须达到下列标准和要求： </w:t>
      </w:r>
    </w:p>
    <w:p>
      <w:pPr>
        <w:widowControl/>
        <w:spacing w:line="500" w:lineRule="exact"/>
        <w:jc w:val="left"/>
      </w:pP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 xml:space="preserve">、本项目设计文件要求。 </w:t>
      </w:r>
    </w:p>
    <w:p>
      <w:pPr>
        <w:widowControl/>
        <w:spacing w:line="500" w:lineRule="exact"/>
        <w:jc w:val="left"/>
      </w:pP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 xml:space="preserve">、国家或浙江省级、行业建设主管部门颁发的现行工程建设标准、规范、文件要求。 </w:t>
      </w:r>
    </w:p>
    <w:p>
      <w:pPr>
        <w:widowControl/>
        <w:spacing w:line="500" w:lineRule="exact"/>
        <w:jc w:val="left"/>
      </w:pPr>
      <w:r>
        <w:rPr>
          <w:rFonts w:ascii="Times New Roman" w:hAnsi="Times New Roman" w:eastAsia="宋体" w:cs="Times New Roman"/>
          <w:color w:val="000000"/>
          <w:kern w:val="0"/>
          <w:szCs w:val="21"/>
        </w:rPr>
        <w:t>3</w:t>
      </w:r>
      <w:r>
        <w:rPr>
          <w:rFonts w:hint="eastAsia" w:ascii="宋体" w:hAnsi="宋体" w:eastAsia="宋体" w:cs="宋体"/>
          <w:color w:val="000000"/>
          <w:kern w:val="0"/>
          <w:szCs w:val="21"/>
        </w:rPr>
        <w:t>、</w:t>
      </w:r>
      <w:r>
        <w:rPr>
          <w:rFonts w:hint="eastAsia" w:ascii="宋体" w:hAnsi="宋体" w:eastAsia="宋体" w:cs="宋体"/>
          <w:color w:val="000000"/>
          <w:kern w:val="0"/>
          <w:szCs w:val="21"/>
          <w:lang w:eastAsia="zh-CN"/>
        </w:rPr>
        <w:t>金华市</w:t>
      </w:r>
      <w:r>
        <w:rPr>
          <w:rFonts w:hint="eastAsia" w:ascii="宋体" w:hAnsi="宋体" w:eastAsia="宋体" w:cs="宋体"/>
          <w:color w:val="000000"/>
          <w:kern w:val="0"/>
          <w:szCs w:val="21"/>
        </w:rPr>
        <w:t>级政府、</w:t>
      </w:r>
      <w:r>
        <w:rPr>
          <w:rFonts w:hint="eastAsia" w:ascii="宋体" w:hAnsi="宋体" w:eastAsia="宋体" w:cs="宋体"/>
          <w:color w:val="000000"/>
          <w:kern w:val="0"/>
          <w:szCs w:val="21"/>
          <w:lang w:eastAsia="zh-CN"/>
        </w:rPr>
        <w:t>金华市</w:t>
      </w:r>
      <w:r>
        <w:rPr>
          <w:rFonts w:hint="eastAsia" w:ascii="宋体" w:hAnsi="宋体" w:eastAsia="宋体" w:cs="宋体"/>
          <w:color w:val="000000"/>
          <w:kern w:val="0"/>
          <w:szCs w:val="21"/>
        </w:rPr>
        <w:t xml:space="preserve">级行业建设主管部门颁发的现行相关工程建设文件要求。 </w:t>
      </w:r>
    </w:p>
    <w:p>
      <w:pPr>
        <w:widowControl/>
        <w:spacing w:line="500" w:lineRule="exact"/>
        <w:jc w:val="left"/>
      </w:pPr>
      <w:r>
        <w:rPr>
          <w:rFonts w:ascii="Times New Roman" w:hAnsi="Times New Roman" w:eastAsia="宋体" w:cs="Times New Roman"/>
          <w:color w:val="000000"/>
          <w:kern w:val="0"/>
          <w:szCs w:val="21"/>
        </w:rPr>
        <w:t>4</w:t>
      </w:r>
      <w:r>
        <w:rPr>
          <w:rFonts w:hint="eastAsia" w:ascii="宋体" w:hAnsi="宋体" w:eastAsia="宋体" w:cs="宋体"/>
          <w:color w:val="000000"/>
          <w:kern w:val="0"/>
          <w:szCs w:val="21"/>
        </w:rPr>
        <w:t>、</w:t>
      </w:r>
      <w:r>
        <w:rPr>
          <w:rFonts w:hint="eastAsia" w:ascii="宋体" w:hAnsi="宋体" w:eastAsia="宋体" w:cs="宋体"/>
          <w:color w:val="000000"/>
          <w:kern w:val="0"/>
          <w:szCs w:val="21"/>
          <w:lang w:eastAsia="zh-CN"/>
        </w:rPr>
        <w:t>金华市其他县、市、区</w:t>
      </w:r>
      <w:r>
        <w:rPr>
          <w:rFonts w:hint="eastAsia" w:ascii="宋体" w:hAnsi="宋体" w:eastAsia="宋体" w:cs="宋体"/>
          <w:color w:val="000000"/>
          <w:kern w:val="0"/>
          <w:szCs w:val="21"/>
        </w:rPr>
        <w:t>级政府、</w:t>
      </w:r>
      <w:r>
        <w:rPr>
          <w:rFonts w:hint="eastAsia" w:ascii="宋体" w:hAnsi="宋体" w:eastAsia="宋体" w:cs="宋体"/>
          <w:color w:val="000000"/>
          <w:kern w:val="0"/>
          <w:szCs w:val="21"/>
          <w:lang w:eastAsia="zh-CN"/>
        </w:rPr>
        <w:t>金华市其他县、市、区</w:t>
      </w:r>
      <w:r>
        <w:rPr>
          <w:rFonts w:hint="eastAsia" w:ascii="宋体" w:hAnsi="宋体" w:eastAsia="宋体" w:cs="宋体"/>
          <w:color w:val="000000"/>
          <w:kern w:val="0"/>
          <w:szCs w:val="21"/>
        </w:rPr>
        <w:t xml:space="preserve">级行业建设主管部门颁发的现行相关工程建设文件要求。 </w:t>
      </w:r>
    </w:p>
    <w:p>
      <w:pPr>
        <w:widowControl/>
        <w:spacing w:line="500" w:lineRule="exact"/>
        <w:jc w:val="left"/>
      </w:pPr>
      <w:r>
        <w:rPr>
          <w:rFonts w:ascii="Times New Roman" w:hAnsi="Times New Roman" w:eastAsia="宋体" w:cs="Times New Roman"/>
          <w:color w:val="000000"/>
          <w:kern w:val="0"/>
          <w:szCs w:val="21"/>
        </w:rPr>
        <w:t>5</w:t>
      </w:r>
      <w:r>
        <w:rPr>
          <w:rFonts w:hint="eastAsia" w:ascii="宋体" w:hAnsi="宋体" w:eastAsia="宋体" w:cs="宋体"/>
          <w:color w:val="000000"/>
          <w:kern w:val="0"/>
          <w:szCs w:val="21"/>
        </w:rPr>
        <w:t>、其它：</w:t>
      </w:r>
      <w:r>
        <w:rPr>
          <w:rFonts w:ascii="Times New Roman" w:hAnsi="Times New Roman" w:eastAsia="宋体" w:cs="Times New Roman"/>
          <w:color w:val="000000"/>
          <w:kern w:val="0"/>
          <w:szCs w:val="21"/>
          <w:u w:val="single"/>
        </w:rPr>
        <w:t xml:space="preserve"> / </w:t>
      </w:r>
      <w:r>
        <w:rPr>
          <w:rFonts w:hint="eastAsia" w:ascii="宋体" w:hAnsi="宋体" w:eastAsia="宋体" w:cs="宋体"/>
          <w:color w:val="000000"/>
          <w:kern w:val="0"/>
          <w:szCs w:val="21"/>
        </w:rPr>
        <w:t>。</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8"/>
      </w:pPr>
    </w:p>
    <w:p/>
    <w:p>
      <w:pPr>
        <w:pStyle w:val="7"/>
      </w:pPr>
    </w:p>
    <w:p>
      <w:pPr>
        <w:pStyle w:val="8"/>
      </w:pPr>
    </w:p>
    <w:p/>
    <w:p>
      <w:pPr>
        <w:pStyle w:val="7"/>
      </w:pPr>
    </w:p>
    <w:p>
      <w:pPr>
        <w:pStyle w:val="8"/>
      </w:pPr>
    </w:p>
    <w:p/>
    <w:p>
      <w:pPr>
        <w:widowControl/>
        <w:jc w:val="center"/>
        <w:rPr>
          <w:rFonts w:hint="eastAsia" w:ascii="宋体" w:hAnsi="宋体" w:eastAsia="宋体" w:cs="宋体"/>
          <w:b/>
          <w:color w:val="000000"/>
          <w:kern w:val="0"/>
          <w:sz w:val="31"/>
          <w:szCs w:val="31"/>
        </w:rPr>
      </w:pPr>
    </w:p>
    <w:p>
      <w:pPr>
        <w:widowControl/>
        <w:jc w:val="center"/>
      </w:pPr>
      <w:r>
        <w:rPr>
          <w:rFonts w:hint="eastAsia" w:ascii="宋体" w:hAnsi="宋体" w:eastAsia="宋体" w:cs="宋体"/>
          <w:b/>
          <w:color w:val="000000"/>
          <w:kern w:val="0"/>
          <w:sz w:val="31"/>
          <w:szCs w:val="31"/>
        </w:rPr>
        <w:t>第八章 投标文件</w:t>
      </w:r>
      <w:r>
        <w:rPr>
          <w:rFonts w:hint="eastAsia" w:ascii="宋体" w:hAnsi="宋体" w:eastAsia="宋体" w:cs="宋体"/>
          <w:b/>
          <w:color w:val="000000"/>
          <w:kern w:val="0"/>
          <w:sz w:val="31"/>
          <w:szCs w:val="31"/>
          <w:lang w:eastAsia="zh-CN"/>
        </w:rPr>
        <w:t>内容及</w:t>
      </w:r>
      <w:r>
        <w:rPr>
          <w:rFonts w:hint="eastAsia" w:ascii="宋体" w:hAnsi="宋体" w:eastAsia="宋体" w:cs="宋体"/>
          <w:b/>
          <w:color w:val="000000"/>
          <w:kern w:val="0"/>
          <w:sz w:val="31"/>
          <w:szCs w:val="31"/>
        </w:rPr>
        <w:t>格式</w:t>
      </w:r>
    </w:p>
    <w:p>
      <w:pPr>
        <w:pStyle w:val="3"/>
        <w:jc w:val="center"/>
        <w:rPr>
          <w:rFonts w:hint="eastAsia"/>
          <w:b w:val="0"/>
          <w:bCs w:val="0"/>
          <w:sz w:val="36"/>
          <w:szCs w:val="36"/>
          <w:highlight w:val="none"/>
        </w:rPr>
      </w:pPr>
    </w:p>
    <w:p>
      <w:pPr>
        <w:pStyle w:val="3"/>
        <w:jc w:val="center"/>
        <w:rPr>
          <w:rFonts w:hint="eastAsia" w:ascii="宋体" w:hAnsi="宋体"/>
          <w:bCs w:val="0"/>
          <w:sz w:val="28"/>
          <w:szCs w:val="28"/>
          <w:highlight w:val="none"/>
        </w:rPr>
      </w:pPr>
      <w:r>
        <w:rPr>
          <w:rFonts w:hint="eastAsia"/>
          <w:b w:val="0"/>
          <w:bCs w:val="0"/>
          <w:sz w:val="36"/>
          <w:szCs w:val="36"/>
          <w:highlight w:val="none"/>
        </w:rPr>
        <w:t>目 录</w:t>
      </w:r>
    </w:p>
    <w:p>
      <w:pPr>
        <w:spacing w:line="520" w:lineRule="exact"/>
        <w:ind w:left="360"/>
        <w:rPr>
          <w:rFonts w:hint="eastAsia" w:ascii="宋体" w:hAnsi="宋体"/>
          <w:bCs/>
          <w:sz w:val="28"/>
          <w:szCs w:val="28"/>
          <w:highlight w:val="none"/>
        </w:rPr>
      </w:pPr>
      <w:r>
        <w:rPr>
          <w:rFonts w:hint="eastAsia" w:ascii="宋体" w:hAnsi="宋体"/>
          <w:bCs/>
          <w:sz w:val="28"/>
          <w:szCs w:val="28"/>
          <w:highlight w:val="none"/>
        </w:rPr>
        <w:t>1、投标文件封面(见附件1)</w:t>
      </w:r>
    </w:p>
    <w:p>
      <w:pPr>
        <w:spacing w:line="520" w:lineRule="exact"/>
        <w:ind w:left="360"/>
        <w:rPr>
          <w:rFonts w:hint="eastAsia" w:ascii="宋体" w:hAnsi="宋体"/>
          <w:bCs/>
          <w:sz w:val="28"/>
          <w:szCs w:val="28"/>
          <w:highlight w:val="none"/>
        </w:rPr>
      </w:pPr>
      <w:r>
        <w:rPr>
          <w:rFonts w:hint="eastAsia" w:ascii="宋体" w:hAnsi="宋体"/>
          <w:bCs/>
          <w:sz w:val="28"/>
          <w:szCs w:val="28"/>
          <w:highlight w:val="none"/>
        </w:rPr>
        <w:t>2、投标报价书(见附件2)</w:t>
      </w:r>
    </w:p>
    <w:p>
      <w:pPr>
        <w:spacing w:line="520" w:lineRule="exact"/>
        <w:ind w:left="360"/>
        <w:rPr>
          <w:rFonts w:hint="eastAsia" w:ascii="宋体" w:hAnsi="宋体"/>
          <w:bCs/>
          <w:sz w:val="28"/>
          <w:szCs w:val="28"/>
          <w:highlight w:val="none"/>
        </w:rPr>
      </w:pPr>
      <w:r>
        <w:rPr>
          <w:rFonts w:hint="eastAsia" w:ascii="宋体" w:hAnsi="宋体"/>
          <w:bCs/>
          <w:sz w:val="28"/>
          <w:szCs w:val="28"/>
          <w:highlight w:val="none"/>
        </w:rPr>
        <w:t>3、法定代表人授权委托书(见附件3，后附交易员证复印件)</w:t>
      </w:r>
    </w:p>
    <w:p>
      <w:pPr>
        <w:spacing w:line="520" w:lineRule="exact"/>
        <w:ind w:left="360"/>
        <w:rPr>
          <w:rFonts w:hint="eastAsia" w:ascii="宋体" w:hAnsi="宋体"/>
          <w:bCs/>
          <w:sz w:val="28"/>
          <w:szCs w:val="28"/>
          <w:highlight w:val="none"/>
        </w:rPr>
      </w:pPr>
      <w:r>
        <w:rPr>
          <w:rFonts w:hint="eastAsia" w:ascii="宋体" w:hAnsi="宋体"/>
          <w:bCs/>
          <w:sz w:val="28"/>
          <w:szCs w:val="28"/>
          <w:highlight w:val="none"/>
        </w:rPr>
        <w:t>4、</w:t>
      </w:r>
      <w:r>
        <w:rPr>
          <w:rFonts w:ascii="宋体" w:hAnsi="宋体"/>
          <w:bCs/>
          <w:sz w:val="28"/>
          <w:szCs w:val="28"/>
          <w:highlight w:val="none"/>
        </w:rPr>
        <w:t>项目经理简历表</w:t>
      </w:r>
      <w:r>
        <w:rPr>
          <w:rFonts w:hint="eastAsia" w:ascii="宋体" w:hAnsi="宋体"/>
          <w:bCs/>
          <w:sz w:val="28"/>
          <w:szCs w:val="28"/>
          <w:highlight w:val="none"/>
        </w:rPr>
        <w:t>(见附件4)</w:t>
      </w:r>
    </w:p>
    <w:p>
      <w:pPr>
        <w:spacing w:line="520" w:lineRule="exact"/>
        <w:ind w:left="360"/>
        <w:rPr>
          <w:rFonts w:hint="eastAsia" w:ascii="宋体" w:hAnsi="宋体"/>
          <w:bCs/>
          <w:sz w:val="28"/>
          <w:szCs w:val="28"/>
          <w:highlight w:val="none"/>
        </w:rPr>
      </w:pPr>
      <w:r>
        <w:rPr>
          <w:rFonts w:hint="eastAsia" w:ascii="宋体" w:hAnsi="宋体"/>
          <w:bCs/>
          <w:sz w:val="28"/>
          <w:szCs w:val="28"/>
          <w:highlight w:val="none"/>
        </w:rPr>
        <w:t>5、投标承诺书(见附件5)</w:t>
      </w:r>
    </w:p>
    <w:p>
      <w:pPr>
        <w:spacing w:line="520" w:lineRule="exact"/>
        <w:ind w:left="360"/>
        <w:rPr>
          <w:rFonts w:hint="eastAsia" w:ascii="宋体" w:hAnsi="宋体"/>
          <w:bCs/>
          <w:sz w:val="28"/>
          <w:szCs w:val="28"/>
          <w:highlight w:val="none"/>
        </w:rPr>
      </w:pPr>
      <w:r>
        <w:rPr>
          <w:rFonts w:hint="eastAsia" w:ascii="宋体" w:hAnsi="宋体"/>
          <w:bCs/>
          <w:sz w:val="28"/>
          <w:szCs w:val="28"/>
          <w:highlight w:val="none"/>
        </w:rPr>
        <w:t>6、</w:t>
      </w:r>
      <w:r>
        <w:rPr>
          <w:rFonts w:hint="eastAsia" w:ascii="宋体" w:hAnsi="宋体"/>
          <w:sz w:val="28"/>
          <w:szCs w:val="28"/>
          <w:highlight w:val="none"/>
        </w:rPr>
        <w:t>投标人基本情况表</w:t>
      </w:r>
      <w:r>
        <w:rPr>
          <w:rFonts w:hint="eastAsia" w:ascii="宋体" w:hAnsi="宋体"/>
          <w:bCs/>
          <w:sz w:val="28"/>
          <w:szCs w:val="28"/>
          <w:highlight w:val="none"/>
        </w:rPr>
        <w:t>(见附件6)</w:t>
      </w:r>
    </w:p>
    <w:p>
      <w:pPr>
        <w:spacing w:line="520" w:lineRule="exact"/>
        <w:rPr>
          <w:rFonts w:hint="eastAsia" w:ascii="宋体" w:hAnsi="宋体"/>
          <w:b/>
          <w:sz w:val="28"/>
          <w:szCs w:val="28"/>
          <w:highlight w:val="none"/>
        </w:rPr>
      </w:pPr>
    </w:p>
    <w:p>
      <w:pPr>
        <w:spacing w:line="520" w:lineRule="exact"/>
        <w:rPr>
          <w:rFonts w:hint="eastAsia" w:ascii="宋体" w:hAnsi="宋体"/>
          <w:b/>
          <w:sz w:val="28"/>
          <w:szCs w:val="28"/>
          <w:highlight w:val="none"/>
        </w:rPr>
      </w:pPr>
      <w:r>
        <w:rPr>
          <w:rFonts w:hint="eastAsia" w:ascii="宋体" w:hAnsi="宋体"/>
          <w:b/>
          <w:sz w:val="28"/>
          <w:szCs w:val="28"/>
          <w:highlight w:val="none"/>
        </w:rPr>
        <w:t>注：投标文件无论正本副本，每页上都须加盖投标人公章，并按格式要求签字。</w:t>
      </w:r>
    </w:p>
    <w:p>
      <w:pPr>
        <w:rPr>
          <w:rFonts w:hint="eastAsia" w:cs="宋体"/>
          <w:sz w:val="30"/>
          <w:szCs w:val="30"/>
        </w:rPr>
      </w:pPr>
    </w:p>
    <w:p>
      <w:pPr>
        <w:pStyle w:val="20"/>
        <w:rPr>
          <w:rFonts w:hint="eastAsia" w:cs="宋体"/>
          <w:sz w:val="30"/>
          <w:szCs w:val="30"/>
        </w:rPr>
      </w:pPr>
    </w:p>
    <w:p>
      <w:pPr>
        <w:pStyle w:val="7"/>
        <w:rPr>
          <w:rFonts w:hint="eastAsia" w:cs="宋体"/>
          <w:sz w:val="30"/>
          <w:szCs w:val="30"/>
        </w:rPr>
      </w:pPr>
    </w:p>
    <w:p>
      <w:pPr>
        <w:pStyle w:val="7"/>
        <w:rPr>
          <w:rFonts w:hint="eastAsia" w:cs="宋体"/>
          <w:sz w:val="30"/>
          <w:szCs w:val="30"/>
        </w:rPr>
      </w:pPr>
    </w:p>
    <w:p>
      <w:pPr>
        <w:pStyle w:val="7"/>
        <w:rPr>
          <w:rFonts w:hint="eastAsia" w:cs="宋体"/>
          <w:sz w:val="30"/>
          <w:szCs w:val="30"/>
        </w:rPr>
      </w:pPr>
    </w:p>
    <w:p>
      <w:pPr>
        <w:rPr>
          <w:rFonts w:hint="eastAsia" w:cs="宋体"/>
          <w:sz w:val="30"/>
          <w:szCs w:val="30"/>
        </w:rPr>
      </w:pPr>
    </w:p>
    <w:p>
      <w:pPr>
        <w:pStyle w:val="20"/>
        <w:rPr>
          <w:rFonts w:hint="eastAsia" w:cs="宋体"/>
          <w:sz w:val="30"/>
          <w:szCs w:val="30"/>
        </w:rPr>
      </w:pPr>
    </w:p>
    <w:p>
      <w:pPr>
        <w:pStyle w:val="5"/>
        <w:widowControl/>
        <w:jc w:val="center"/>
        <w:rPr>
          <w:rFonts w:hint="eastAsia" w:cs="宋体"/>
          <w:sz w:val="30"/>
          <w:szCs w:val="30"/>
        </w:rPr>
      </w:pPr>
    </w:p>
    <w:p>
      <w:pPr>
        <w:rPr>
          <w:rFonts w:hint="eastAsia" w:cs="宋体"/>
          <w:sz w:val="30"/>
          <w:szCs w:val="30"/>
        </w:rPr>
      </w:pPr>
    </w:p>
    <w:p>
      <w:pPr>
        <w:pStyle w:val="20"/>
        <w:rPr>
          <w:rFonts w:hint="eastAsia" w:cs="宋体"/>
          <w:sz w:val="30"/>
          <w:szCs w:val="30"/>
        </w:rPr>
      </w:pPr>
    </w:p>
    <w:p>
      <w:pPr>
        <w:pStyle w:val="7"/>
        <w:rPr>
          <w:rFonts w:hint="eastAsia" w:cs="宋体"/>
          <w:sz w:val="30"/>
          <w:szCs w:val="30"/>
        </w:rPr>
      </w:pPr>
    </w:p>
    <w:p>
      <w:pPr>
        <w:pStyle w:val="7"/>
        <w:rPr>
          <w:rFonts w:hint="eastAsia" w:cs="宋体"/>
          <w:sz w:val="30"/>
          <w:szCs w:val="30"/>
        </w:rPr>
      </w:pPr>
    </w:p>
    <w:p>
      <w:pPr>
        <w:pStyle w:val="7"/>
        <w:rPr>
          <w:rFonts w:hint="eastAsia" w:cs="宋体"/>
          <w:sz w:val="30"/>
          <w:szCs w:val="30"/>
        </w:rPr>
      </w:pPr>
    </w:p>
    <w:p>
      <w:pPr>
        <w:spacing w:line="360" w:lineRule="auto"/>
        <w:rPr>
          <w:rFonts w:hint="eastAsia" w:ascii="宋体" w:hAnsi="宋体"/>
          <w:b/>
          <w:highlight w:val="none"/>
        </w:rPr>
      </w:pPr>
      <w:r>
        <w:rPr>
          <w:rFonts w:hint="eastAsia" w:ascii="宋体" w:hAnsi="宋体"/>
          <w:b/>
          <w:highlight w:val="none"/>
        </w:rPr>
        <w:t>附件1：</w:t>
      </w:r>
    </w:p>
    <w:p>
      <w:pPr>
        <w:pStyle w:val="7"/>
      </w:pPr>
    </w:p>
    <w:p>
      <w:pPr>
        <w:pStyle w:val="10"/>
        <w:spacing w:line="264" w:lineRule="auto"/>
        <w:jc w:val="center"/>
        <w:rPr>
          <w:rFonts w:hAnsi="宋体" w:cs="Arial"/>
          <w:kern w:val="0"/>
          <w:sz w:val="28"/>
          <w:szCs w:val="28"/>
          <w:highlight w:val="none"/>
          <w:u w:val="single"/>
        </w:rPr>
      </w:pPr>
    </w:p>
    <w:p>
      <w:pPr>
        <w:pStyle w:val="10"/>
        <w:spacing w:line="264" w:lineRule="auto"/>
        <w:jc w:val="center"/>
        <w:rPr>
          <w:rFonts w:hint="eastAsia" w:ascii="宋体" w:hAnsi="宋体" w:eastAsia="宋体" w:cs="宋体"/>
          <w:b/>
          <w:bCs/>
          <w:color w:val="000000"/>
          <w:kern w:val="0"/>
          <w:sz w:val="48"/>
          <w:szCs w:val="48"/>
          <w:u w:val="single"/>
          <w:lang w:eastAsia="zh-CN"/>
        </w:rPr>
      </w:pPr>
      <w:r>
        <w:rPr>
          <w:rFonts w:hint="eastAsia" w:ascii="宋体" w:hAnsi="宋体" w:eastAsia="宋体" w:cs="宋体"/>
          <w:b/>
          <w:bCs/>
          <w:color w:val="000000"/>
          <w:kern w:val="0"/>
          <w:sz w:val="48"/>
          <w:szCs w:val="48"/>
          <w:u w:val="single"/>
          <w:lang w:eastAsia="zh-CN"/>
        </w:rPr>
        <w:t>中国人民解放军某部队犬舍建造工程</w:t>
      </w:r>
    </w:p>
    <w:p>
      <w:pPr>
        <w:pStyle w:val="10"/>
        <w:spacing w:line="264" w:lineRule="auto"/>
        <w:jc w:val="center"/>
        <w:rPr>
          <w:rFonts w:ascii="Times New Roman" w:hAnsi="Times New Roman" w:eastAsia="黑体"/>
          <w:b/>
          <w:sz w:val="72"/>
          <w:szCs w:val="72"/>
          <w:highlight w:val="none"/>
        </w:rPr>
      </w:pPr>
      <w:r>
        <w:rPr>
          <w:rFonts w:ascii="Times New Roman" w:hAnsi="Times New Roman" w:eastAsia="黑体"/>
          <w:b/>
          <w:sz w:val="72"/>
          <w:szCs w:val="72"/>
          <w:highlight w:val="none"/>
        </w:rPr>
        <w:t>施 工 投 标 文 件</w:t>
      </w:r>
    </w:p>
    <w:p>
      <w:pPr>
        <w:pStyle w:val="10"/>
        <w:spacing w:line="264" w:lineRule="auto"/>
        <w:jc w:val="center"/>
        <w:rPr>
          <w:rFonts w:ascii="Times New Roman" w:hAnsi="Times New Roman" w:eastAsia="黑体"/>
          <w:sz w:val="28"/>
          <w:highlight w:val="none"/>
        </w:rPr>
      </w:pPr>
    </w:p>
    <w:p>
      <w:pPr>
        <w:pStyle w:val="10"/>
        <w:spacing w:line="264" w:lineRule="auto"/>
        <w:jc w:val="center"/>
        <w:rPr>
          <w:rFonts w:ascii="Times New Roman" w:hAnsi="Times New Roman" w:eastAsia="黑体"/>
          <w:sz w:val="28"/>
          <w:highlight w:val="none"/>
        </w:rPr>
      </w:pPr>
      <w:r>
        <w:rPr>
          <w:rFonts w:ascii="黑体" w:eastAsia="黑体"/>
          <w:sz w:val="28"/>
          <w:highlight w:val="none"/>
        </w:rPr>
        <w:t>招标项目</w:t>
      </w:r>
      <w:r>
        <w:rPr>
          <w:rFonts w:ascii="黑体" w:hAnsi="黑体" w:eastAsia="黑体" w:cs="黑体"/>
          <w:sz w:val="28"/>
          <w:highlight w:val="none"/>
        </w:rPr>
        <w:t>编号：</w:t>
      </w:r>
      <w:r>
        <w:rPr>
          <w:rFonts w:hint="default" w:ascii="黑体" w:eastAsia="黑体"/>
          <w:sz w:val="28"/>
          <w:highlight w:val="none"/>
          <w:lang w:val="en-US" w:eastAsia="zh-CN"/>
        </w:rPr>
        <w:t>JCZFCG2021-Q51-A199</w:t>
      </w:r>
    </w:p>
    <w:p>
      <w:pPr>
        <w:pStyle w:val="10"/>
        <w:spacing w:line="264" w:lineRule="auto"/>
        <w:jc w:val="center"/>
        <w:rPr>
          <w:rFonts w:ascii="Times New Roman" w:hAnsi="Times New Roman" w:eastAsia="黑体"/>
          <w:sz w:val="72"/>
          <w:highlight w:val="none"/>
        </w:rPr>
      </w:pPr>
    </w:p>
    <w:p>
      <w:pPr>
        <w:pStyle w:val="10"/>
        <w:spacing w:line="264" w:lineRule="auto"/>
        <w:jc w:val="center"/>
        <w:rPr>
          <w:rFonts w:ascii="Times New Roman" w:hAnsi="Times New Roman" w:eastAsia="黑体"/>
          <w:sz w:val="72"/>
          <w:highlight w:val="none"/>
        </w:rPr>
      </w:pPr>
    </w:p>
    <w:p>
      <w:pPr>
        <w:pStyle w:val="10"/>
        <w:spacing w:line="264" w:lineRule="auto"/>
        <w:jc w:val="center"/>
        <w:rPr>
          <w:rFonts w:ascii="Times New Roman" w:hAnsi="Times New Roman" w:eastAsia="黑体"/>
          <w:sz w:val="72"/>
          <w:highlight w:val="none"/>
        </w:rPr>
      </w:pPr>
    </w:p>
    <w:p>
      <w:pPr>
        <w:pStyle w:val="10"/>
        <w:spacing w:line="264" w:lineRule="auto"/>
        <w:jc w:val="center"/>
        <w:rPr>
          <w:rFonts w:ascii="Times New Roman" w:hAnsi="Times New Roman" w:eastAsia="黑体"/>
          <w:sz w:val="72"/>
          <w:highlight w:val="none"/>
        </w:rPr>
      </w:pPr>
    </w:p>
    <w:p>
      <w:pPr>
        <w:pStyle w:val="10"/>
        <w:spacing w:line="840" w:lineRule="auto"/>
        <w:rPr>
          <w:rFonts w:ascii="Times New Roman" w:hAnsi="Times New Roman" w:eastAsia="楷体_GB2312"/>
          <w:sz w:val="30"/>
          <w:highlight w:val="none"/>
        </w:rPr>
      </w:pPr>
    </w:p>
    <w:p>
      <w:pPr>
        <w:pStyle w:val="10"/>
        <w:spacing w:line="840" w:lineRule="auto"/>
        <w:ind w:firstLine="600" w:firstLineChars="200"/>
        <w:rPr>
          <w:rFonts w:ascii="Times New Roman" w:hAnsi="Times New Roman" w:eastAsia="楷体_GB2312"/>
          <w:sz w:val="30"/>
          <w:highlight w:val="none"/>
        </w:rPr>
      </w:pPr>
      <w:r>
        <w:rPr>
          <w:rFonts w:ascii="Times New Roman" w:hAnsi="Times New Roman" w:eastAsia="楷体_GB2312"/>
          <w:sz w:val="30"/>
          <w:highlight w:val="none"/>
        </w:rPr>
        <w:t>投   标   人（盖章）：</w:t>
      </w:r>
    </w:p>
    <w:p>
      <w:pPr>
        <w:pStyle w:val="10"/>
        <w:spacing w:line="840" w:lineRule="auto"/>
        <w:ind w:firstLine="600" w:firstLineChars="200"/>
        <w:rPr>
          <w:rFonts w:ascii="Times New Roman" w:hAnsi="Times New Roman" w:eastAsia="楷体_GB2312"/>
          <w:sz w:val="30"/>
          <w:highlight w:val="none"/>
        </w:rPr>
      </w:pPr>
      <w:r>
        <w:rPr>
          <w:rFonts w:ascii="Times New Roman" w:hAnsi="Times New Roman" w:eastAsia="楷体_GB2312"/>
          <w:sz w:val="30"/>
          <w:highlight w:val="none"/>
        </w:rPr>
        <w:t>法定代表人或交易员（签字）：</w:t>
      </w:r>
    </w:p>
    <w:p>
      <w:pPr>
        <w:pStyle w:val="10"/>
        <w:spacing w:line="840" w:lineRule="auto"/>
        <w:ind w:firstLine="600" w:firstLineChars="200"/>
        <w:rPr>
          <w:rFonts w:ascii="Times New Roman" w:hAnsi="Times New Roman" w:eastAsia="楷体_GB2312"/>
          <w:sz w:val="30"/>
          <w:highlight w:val="none"/>
        </w:rPr>
      </w:pPr>
      <w:r>
        <w:rPr>
          <w:rFonts w:ascii="Times New Roman" w:hAnsi="Times New Roman" w:eastAsia="楷体_GB2312"/>
          <w:sz w:val="30"/>
          <w:highlight w:val="none"/>
        </w:rPr>
        <w:t>日期：__________年__________月____________日</w:t>
      </w: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b/>
          <w:highlight w:val="none"/>
        </w:rPr>
      </w:pPr>
    </w:p>
    <w:p>
      <w:pPr>
        <w:spacing w:line="360" w:lineRule="auto"/>
        <w:rPr>
          <w:rFonts w:ascii="宋体" w:hAnsi="宋体"/>
          <w:b/>
          <w:highlight w:val="none"/>
        </w:rPr>
      </w:pPr>
      <w:r>
        <w:rPr>
          <w:rFonts w:hint="eastAsia" w:ascii="宋体" w:hAnsi="宋体"/>
          <w:b/>
          <w:highlight w:val="none"/>
        </w:rPr>
        <w:t>附件2：</w:t>
      </w:r>
    </w:p>
    <w:p>
      <w:pPr>
        <w:pStyle w:val="10"/>
        <w:spacing w:line="264" w:lineRule="auto"/>
        <w:jc w:val="center"/>
        <w:rPr>
          <w:rFonts w:hAnsi="宋体" w:cs="Arial"/>
          <w:b/>
          <w:bCs/>
          <w:kern w:val="0"/>
          <w:sz w:val="36"/>
          <w:szCs w:val="36"/>
          <w:highlight w:val="none"/>
        </w:rPr>
      </w:pPr>
      <w:r>
        <w:rPr>
          <w:rFonts w:hint="eastAsia" w:hAnsi="宋体" w:cs="Arial"/>
          <w:b/>
          <w:bCs/>
          <w:kern w:val="0"/>
          <w:sz w:val="36"/>
          <w:szCs w:val="36"/>
          <w:highlight w:val="none"/>
          <w:u w:val="single"/>
          <w:lang w:eastAsia="zh-CN"/>
        </w:rPr>
        <w:t>中国人民解放军某部队犬舍建造工程</w:t>
      </w:r>
      <w:r>
        <w:rPr>
          <w:rFonts w:hAnsi="宋体" w:cs="Arial"/>
          <w:b/>
          <w:bCs/>
          <w:kern w:val="0"/>
          <w:sz w:val="36"/>
          <w:szCs w:val="36"/>
          <w:highlight w:val="none"/>
        </w:rPr>
        <w:t>投标报价书</w:t>
      </w:r>
    </w:p>
    <w:p>
      <w:pPr>
        <w:spacing w:line="520" w:lineRule="exact"/>
        <w:jc w:val="center"/>
        <w:rPr>
          <w:rFonts w:hint="eastAsia" w:ascii="宋体" w:hAnsi="宋体"/>
          <w:b/>
          <w:sz w:val="44"/>
          <w:highlight w:val="none"/>
        </w:rPr>
      </w:pPr>
    </w:p>
    <w:p>
      <w:pPr>
        <w:spacing w:line="520" w:lineRule="exact"/>
        <w:ind w:right="-510"/>
        <w:rPr>
          <w:rFonts w:hint="eastAsia" w:ascii="宋体" w:hAnsi="宋体"/>
          <w:highlight w:val="none"/>
        </w:rPr>
      </w:pPr>
      <w:r>
        <w:rPr>
          <w:rFonts w:hint="eastAsia" w:ascii="宋体" w:hAnsi="宋体"/>
          <w:b/>
          <w:highlight w:val="none"/>
          <w:u w:val="single"/>
        </w:rPr>
        <w:t xml:space="preserve">                        </w:t>
      </w:r>
      <w:r>
        <w:rPr>
          <w:rFonts w:hint="eastAsia" w:ascii="宋体" w:hAnsi="宋体"/>
          <w:b/>
          <w:highlight w:val="none"/>
        </w:rPr>
        <w:t>：（建设单位）</w:t>
      </w:r>
    </w:p>
    <w:p>
      <w:pPr>
        <w:spacing w:line="520" w:lineRule="exact"/>
        <w:ind w:right="-510" w:firstLine="420" w:firstLineChars="200"/>
        <w:rPr>
          <w:rFonts w:hint="eastAsia" w:ascii="宋体" w:hAnsi="宋体"/>
          <w:highlight w:val="none"/>
        </w:rPr>
      </w:pPr>
      <w:r>
        <w:rPr>
          <w:rFonts w:hint="eastAsia" w:ascii="宋体" w:hAnsi="宋体"/>
          <w:highlight w:val="none"/>
        </w:rPr>
        <w:t>1、我方已全面阅读和研究了</w:t>
      </w:r>
      <w:r>
        <w:rPr>
          <w:rFonts w:hint="eastAsia" w:ascii="宋体" w:hAnsi="宋体"/>
          <w:highlight w:val="none"/>
          <w:u w:val="single"/>
        </w:rPr>
        <w:t xml:space="preserve">                          </w:t>
      </w:r>
      <w:r>
        <w:rPr>
          <w:rFonts w:hint="eastAsia" w:ascii="宋体" w:hAnsi="宋体"/>
          <w:highlight w:val="none"/>
        </w:rPr>
        <w:t>工程施工招标文件；并经过现场踏勘，澄清疑问，充分理解并掌握了本工程招标的全部有关情况。现经我方认真分析研究，同意接受招标文件的全部要约条件，并按此确定本工程投标的各项承诺内容，以本投标书向你发包的工程进行投标。投标总报价为人民币（大写）</w:t>
      </w:r>
      <w:r>
        <w:rPr>
          <w:rFonts w:hint="eastAsia" w:ascii="宋体" w:hAnsi="宋体"/>
          <w:highlight w:val="none"/>
          <w:u w:val="single"/>
        </w:rPr>
        <w:t xml:space="preserve">                 </w:t>
      </w:r>
      <w:r>
        <w:rPr>
          <w:rFonts w:hint="eastAsia" w:ascii="宋体" w:hAnsi="宋体"/>
          <w:highlight w:val="none"/>
        </w:rPr>
        <w:t>元（￥</w:t>
      </w:r>
      <w:r>
        <w:rPr>
          <w:rFonts w:hint="eastAsia" w:ascii="宋体" w:hAnsi="宋体"/>
          <w:highlight w:val="none"/>
          <w:u w:val="single"/>
        </w:rPr>
        <w:t xml:space="preserve">       </w:t>
      </w:r>
      <w:r>
        <w:rPr>
          <w:rFonts w:hint="eastAsia" w:ascii="宋体" w:hAnsi="宋体"/>
          <w:highlight w:val="none"/>
        </w:rPr>
        <w:t>），工期为</w:t>
      </w:r>
      <w:r>
        <w:rPr>
          <w:rFonts w:hint="eastAsia" w:ascii="宋体" w:hAnsi="宋体"/>
          <w:highlight w:val="none"/>
          <w:u w:val="single"/>
        </w:rPr>
        <w:t xml:space="preserve">         </w:t>
      </w:r>
      <w:r>
        <w:rPr>
          <w:rFonts w:hint="eastAsia" w:ascii="宋体" w:hAnsi="宋体"/>
          <w:highlight w:val="none"/>
        </w:rPr>
        <w:t xml:space="preserve">，质量目标为 </w:t>
      </w:r>
      <w:r>
        <w:rPr>
          <w:rFonts w:hint="eastAsia" w:ascii="宋体" w:hAnsi="宋体"/>
          <w:highlight w:val="none"/>
          <w:u w:val="single"/>
        </w:rPr>
        <w:t xml:space="preserve">          </w:t>
      </w:r>
      <w:r>
        <w:rPr>
          <w:rFonts w:hint="eastAsia" w:ascii="宋体" w:hAnsi="宋体"/>
          <w:highlight w:val="none"/>
        </w:rPr>
        <w:t>。项目经理为</w:t>
      </w:r>
      <w:r>
        <w:rPr>
          <w:rFonts w:hint="eastAsia" w:ascii="宋体" w:hAnsi="宋体"/>
          <w:highlight w:val="none"/>
          <w:u w:val="single"/>
        </w:rPr>
        <w:t xml:space="preserve">                  </w:t>
      </w:r>
      <w:r>
        <w:rPr>
          <w:rFonts w:hint="eastAsia" w:ascii="宋体" w:hAnsi="宋体"/>
          <w:highlight w:val="none"/>
        </w:rPr>
        <w:t xml:space="preserve">（身份证号码 </w:t>
      </w:r>
      <w:r>
        <w:rPr>
          <w:rFonts w:hint="eastAsia" w:ascii="宋体" w:hAnsi="宋体"/>
          <w:highlight w:val="none"/>
          <w:u w:val="single"/>
        </w:rPr>
        <w:t xml:space="preserve">                                </w:t>
      </w:r>
      <w:r>
        <w:rPr>
          <w:rFonts w:hint="eastAsia" w:ascii="宋体" w:hAnsi="宋体"/>
          <w:highlight w:val="none"/>
        </w:rPr>
        <w:t>）。</w:t>
      </w:r>
    </w:p>
    <w:p>
      <w:pPr>
        <w:spacing w:line="520" w:lineRule="exact"/>
        <w:ind w:right="-510" w:firstLine="420" w:firstLineChars="200"/>
        <w:rPr>
          <w:rFonts w:hint="eastAsia" w:ascii="宋体" w:hAnsi="宋体"/>
          <w:highlight w:val="none"/>
        </w:rPr>
      </w:pPr>
      <w:r>
        <w:rPr>
          <w:rFonts w:hint="eastAsia" w:ascii="宋体" w:hAnsi="宋体"/>
          <w:highlight w:val="none"/>
        </w:rPr>
        <w:t>2、我方承诺在投标有效期内不修改、撤销投标文件。</w:t>
      </w:r>
    </w:p>
    <w:p>
      <w:pPr>
        <w:spacing w:line="520" w:lineRule="exact"/>
        <w:ind w:right="-510" w:firstLine="420" w:firstLineChars="200"/>
        <w:rPr>
          <w:rFonts w:hint="eastAsia" w:ascii="宋体" w:hAnsi="宋体"/>
          <w:highlight w:val="none"/>
        </w:rPr>
      </w:pPr>
      <w:r>
        <w:rPr>
          <w:rFonts w:hint="eastAsia" w:ascii="宋体" w:hAnsi="宋体"/>
          <w:highlight w:val="none"/>
        </w:rPr>
        <w:t>3、随同本投标书提交投标保证金一份，金额为人民币（大写）</w:t>
      </w:r>
      <w:r>
        <w:rPr>
          <w:rFonts w:hint="eastAsia" w:ascii="宋体" w:hAnsi="宋体"/>
          <w:highlight w:val="none"/>
          <w:u w:val="single"/>
        </w:rPr>
        <w:t xml:space="preserve">      （</w:t>
      </w:r>
      <w:r>
        <w:rPr>
          <w:rFonts w:hint="eastAsia" w:ascii="宋体" w:hAnsi="宋体"/>
          <w:highlight w:val="none"/>
        </w:rPr>
        <w:t>元）（￥</w:t>
      </w:r>
      <w:r>
        <w:rPr>
          <w:rFonts w:hint="eastAsia" w:ascii="宋体" w:hAnsi="宋体"/>
          <w:highlight w:val="none"/>
          <w:u w:val="single"/>
        </w:rPr>
        <w:t xml:space="preserve">       </w:t>
      </w:r>
      <w:r>
        <w:rPr>
          <w:rFonts w:hint="eastAsia" w:ascii="宋体" w:hAnsi="宋体"/>
          <w:highlight w:val="none"/>
        </w:rPr>
        <w:t>）。</w:t>
      </w:r>
    </w:p>
    <w:p>
      <w:pPr>
        <w:spacing w:line="520" w:lineRule="exact"/>
        <w:ind w:right="-510" w:firstLine="420" w:firstLineChars="200"/>
        <w:rPr>
          <w:rFonts w:hint="eastAsia" w:ascii="宋体" w:hAnsi="宋体"/>
          <w:highlight w:val="none"/>
        </w:rPr>
      </w:pPr>
      <w:r>
        <w:rPr>
          <w:rFonts w:hint="eastAsia" w:ascii="宋体" w:hAnsi="宋体"/>
          <w:highlight w:val="none"/>
        </w:rPr>
        <w:t>4、如我方中标：</w:t>
      </w:r>
    </w:p>
    <w:p>
      <w:pPr>
        <w:spacing w:line="520" w:lineRule="exact"/>
        <w:ind w:right="-510" w:firstLine="420" w:firstLineChars="200"/>
        <w:rPr>
          <w:rFonts w:hint="eastAsia" w:ascii="宋体" w:hAnsi="宋体"/>
          <w:highlight w:val="none"/>
        </w:rPr>
      </w:pPr>
      <w:r>
        <w:rPr>
          <w:rFonts w:hint="eastAsia" w:ascii="宋体" w:hAnsi="宋体"/>
          <w:highlight w:val="none"/>
        </w:rPr>
        <w:t>（1）在接到你方发出的中标通知书后，按中标通知书规定的期限与你方签订合同。</w:t>
      </w:r>
    </w:p>
    <w:p>
      <w:pPr>
        <w:spacing w:line="520" w:lineRule="exact"/>
        <w:ind w:right="-510" w:firstLine="420" w:firstLineChars="200"/>
        <w:rPr>
          <w:rFonts w:hint="eastAsia" w:ascii="宋体" w:hAnsi="宋体"/>
          <w:highlight w:val="none"/>
        </w:rPr>
      </w:pPr>
      <w:r>
        <w:rPr>
          <w:rFonts w:hint="eastAsia" w:ascii="宋体" w:hAnsi="宋体"/>
          <w:highlight w:val="none"/>
        </w:rPr>
        <w:t>（2）我方承诺按招标文件规定向你方提交履约保证金。</w:t>
      </w:r>
    </w:p>
    <w:p>
      <w:pPr>
        <w:spacing w:line="520" w:lineRule="exact"/>
        <w:ind w:right="-510" w:firstLine="360"/>
        <w:rPr>
          <w:rFonts w:hint="eastAsia" w:ascii="宋体" w:hAnsi="宋体"/>
          <w:highlight w:val="none"/>
        </w:rPr>
      </w:pPr>
      <w:r>
        <w:rPr>
          <w:rFonts w:hint="eastAsia" w:ascii="宋体" w:hAnsi="宋体"/>
          <w:highlight w:val="none"/>
        </w:rPr>
        <w:t xml:space="preserve"> （3）我方承诺在合同约定的期限内完成并移交全部合同工程。</w:t>
      </w:r>
    </w:p>
    <w:p>
      <w:pPr>
        <w:spacing w:line="520" w:lineRule="exact"/>
        <w:ind w:right="-510" w:firstLine="480"/>
        <w:rPr>
          <w:rFonts w:hint="eastAsia" w:ascii="宋体" w:hAnsi="宋体"/>
          <w:highlight w:val="none"/>
        </w:rPr>
      </w:pPr>
      <w:r>
        <w:rPr>
          <w:rFonts w:hint="eastAsia" w:ascii="宋体" w:hAnsi="宋体"/>
          <w:highlight w:val="none"/>
        </w:rPr>
        <w:t>5、我方在此声明，所提交的投标文件及有关资料内容完整、真实和准确，且不存在第二章“投标人须知”第1.4.2条规定的任何一种情形。</w:t>
      </w:r>
    </w:p>
    <w:p>
      <w:pPr>
        <w:spacing w:line="520" w:lineRule="exact"/>
        <w:ind w:right="-510" w:firstLine="480"/>
        <w:rPr>
          <w:rFonts w:hint="eastAsia" w:ascii="宋体" w:hAnsi="宋体"/>
          <w:highlight w:val="none"/>
        </w:rPr>
      </w:pPr>
    </w:p>
    <w:p>
      <w:pPr>
        <w:spacing w:line="520" w:lineRule="exact"/>
        <w:ind w:right="-510" w:firstLine="630" w:firstLineChars="300"/>
        <w:rPr>
          <w:rFonts w:hint="eastAsia" w:ascii="宋体" w:hAnsi="宋体"/>
          <w:highlight w:val="none"/>
        </w:rPr>
      </w:pPr>
      <w:r>
        <w:rPr>
          <w:rFonts w:hint="eastAsia" w:ascii="宋体" w:hAnsi="宋体"/>
          <w:highlight w:val="none"/>
        </w:rPr>
        <w:t xml:space="preserve">联系地址：                                 邮编：   </w:t>
      </w:r>
    </w:p>
    <w:p>
      <w:pPr>
        <w:spacing w:line="520" w:lineRule="exact"/>
        <w:ind w:right="-510" w:firstLine="630" w:firstLineChars="300"/>
        <w:rPr>
          <w:rFonts w:hint="eastAsia" w:ascii="宋体" w:hAnsi="宋体"/>
          <w:highlight w:val="none"/>
        </w:rPr>
      </w:pPr>
      <w:r>
        <w:rPr>
          <w:rFonts w:hint="eastAsia" w:ascii="宋体" w:hAnsi="宋体"/>
          <w:highlight w:val="none"/>
        </w:rPr>
        <w:t xml:space="preserve">联系人：                                   电话： </w:t>
      </w:r>
    </w:p>
    <w:p>
      <w:pPr>
        <w:spacing w:line="520" w:lineRule="exact"/>
        <w:ind w:right="-510" w:firstLine="630" w:firstLineChars="300"/>
        <w:rPr>
          <w:rFonts w:hint="eastAsia" w:ascii="宋体" w:hAnsi="宋体"/>
          <w:highlight w:val="none"/>
        </w:rPr>
      </w:pPr>
      <w:r>
        <w:rPr>
          <w:rFonts w:hint="eastAsia" w:ascii="宋体" w:hAnsi="宋体"/>
          <w:highlight w:val="none"/>
        </w:rPr>
        <w:t xml:space="preserve">开户银行：                                 帐号：   </w:t>
      </w:r>
    </w:p>
    <w:p>
      <w:pPr>
        <w:spacing w:line="520" w:lineRule="exact"/>
        <w:ind w:right="-510" w:firstLine="539" w:firstLineChars="257"/>
        <w:rPr>
          <w:rFonts w:hint="eastAsia" w:ascii="宋体" w:hAnsi="宋体"/>
          <w:highlight w:val="none"/>
        </w:rPr>
      </w:pPr>
      <w:r>
        <w:rPr>
          <w:rFonts w:hint="eastAsia" w:ascii="宋体" w:hAnsi="宋体"/>
          <w:highlight w:val="none"/>
        </w:rPr>
        <w:t>投标单位（章）           法定代表人或交易员（签字、盖章）</w:t>
      </w:r>
    </w:p>
    <w:p>
      <w:pPr>
        <w:spacing w:line="520" w:lineRule="exact"/>
        <w:ind w:right="-510" w:firstLine="539" w:firstLineChars="257"/>
        <w:rPr>
          <w:rFonts w:hint="eastAsia" w:ascii="宋体" w:hAnsi="宋体"/>
          <w:highlight w:val="none"/>
        </w:rPr>
      </w:pPr>
    </w:p>
    <w:p>
      <w:pPr>
        <w:spacing w:line="520" w:lineRule="exact"/>
        <w:ind w:left="840" w:leftChars="400" w:right="450" w:firstLine="4515" w:firstLineChars="2150"/>
        <w:rPr>
          <w:rFonts w:hint="eastAsia" w:ascii="宋体" w:hAnsi="宋体"/>
          <w:highlight w:val="none"/>
        </w:rPr>
      </w:pPr>
      <w:r>
        <w:rPr>
          <w:rFonts w:hint="eastAsia" w:ascii="宋体" w:hAnsi="宋体"/>
          <w:highlight w:val="none"/>
        </w:rPr>
        <w:t>2021年  月   日</w:t>
      </w:r>
    </w:p>
    <w:p>
      <w:pPr>
        <w:rPr>
          <w:rFonts w:ascii="宋体" w:hAnsi="宋体"/>
          <w:b/>
          <w:highlight w:val="none"/>
        </w:rPr>
      </w:pPr>
    </w:p>
    <w:p>
      <w:pPr>
        <w:rPr>
          <w:rFonts w:ascii="宋体" w:hAnsi="宋体"/>
          <w:b/>
          <w:highlight w:val="none"/>
        </w:rPr>
      </w:pPr>
    </w:p>
    <w:p>
      <w:pPr>
        <w:rPr>
          <w:rFonts w:ascii="宋体" w:hAnsi="宋体"/>
          <w:b/>
          <w:highlight w:val="none"/>
        </w:rPr>
      </w:pPr>
    </w:p>
    <w:p>
      <w:pPr>
        <w:rPr>
          <w:rFonts w:ascii="宋体" w:hAnsi="宋体"/>
          <w:b/>
          <w:highlight w:val="none"/>
        </w:rPr>
      </w:pPr>
    </w:p>
    <w:p>
      <w:pPr>
        <w:rPr>
          <w:rFonts w:ascii="宋体" w:hAnsi="宋体"/>
          <w:b/>
          <w:highlight w:val="none"/>
        </w:rPr>
      </w:pPr>
    </w:p>
    <w:p>
      <w:pPr>
        <w:rPr>
          <w:rFonts w:hint="eastAsia" w:ascii="宋体" w:hAnsi="宋体"/>
          <w:highlight w:val="none"/>
        </w:rPr>
      </w:pPr>
      <w:r>
        <w:rPr>
          <w:rFonts w:ascii="宋体" w:hAnsi="宋体"/>
          <w:b/>
          <w:highlight w:val="none"/>
        </w:rPr>
        <w:t>附件3</w:t>
      </w:r>
      <w:r>
        <w:rPr>
          <w:rFonts w:hint="eastAsia" w:ascii="宋体" w:hAnsi="宋体"/>
          <w:highlight w:val="none"/>
        </w:rPr>
        <w:t>：</w:t>
      </w:r>
    </w:p>
    <w:p>
      <w:pPr>
        <w:jc w:val="center"/>
        <w:rPr>
          <w:rFonts w:hint="eastAsia" w:cs="宋体-18030"/>
          <w:b/>
          <w:bCs/>
          <w:sz w:val="28"/>
          <w:highlight w:val="none"/>
        </w:rPr>
      </w:pPr>
      <w:r>
        <w:rPr>
          <w:rFonts w:hint="eastAsia" w:eastAsia="宋体-18030" w:cs="宋体-18030"/>
          <w:b/>
          <w:bCs/>
          <w:sz w:val="44"/>
          <w:highlight w:val="none"/>
        </w:rPr>
        <w:t>法定代表人授权委托书(二)</w:t>
      </w:r>
    </w:p>
    <w:p>
      <w:pPr>
        <w:rPr>
          <w:rFonts w:hint="eastAsia" w:cs="宋体-18030"/>
          <w:sz w:val="28"/>
          <w:highlight w:val="none"/>
        </w:rPr>
      </w:pPr>
    </w:p>
    <w:p>
      <w:pPr>
        <w:ind w:firstLine="600" w:firstLineChars="200"/>
        <w:rPr>
          <w:rFonts w:hint="eastAsia" w:ascii="宋体" w:hAnsi="宋体" w:cs="宋体-18030"/>
          <w:sz w:val="30"/>
          <w:highlight w:val="none"/>
        </w:rPr>
      </w:pPr>
      <w:r>
        <w:rPr>
          <w:rFonts w:hint="eastAsia" w:ascii="宋体" w:hAnsi="宋体" w:cs="宋体-18030"/>
          <w:sz w:val="30"/>
          <w:highlight w:val="none"/>
        </w:rPr>
        <w:t>授权委托书声明：我</w:t>
      </w:r>
      <w:r>
        <w:rPr>
          <w:rFonts w:hint="eastAsia" w:ascii="宋体" w:hAnsi="宋体" w:cs="宋体-18030"/>
          <w:sz w:val="30"/>
          <w:highlight w:val="none"/>
          <w:u w:val="single"/>
        </w:rPr>
        <w:t xml:space="preserve">         </w:t>
      </w:r>
      <w:r>
        <w:rPr>
          <w:rFonts w:hint="eastAsia" w:ascii="宋体" w:hAnsi="宋体" w:cs="宋体-18030"/>
          <w:sz w:val="30"/>
          <w:highlight w:val="none"/>
        </w:rPr>
        <w:t>（姓名）系</w:t>
      </w:r>
      <w:r>
        <w:rPr>
          <w:rFonts w:hint="eastAsia" w:ascii="宋体" w:hAnsi="宋体" w:cs="宋体-18030"/>
          <w:sz w:val="30"/>
          <w:highlight w:val="none"/>
          <w:u w:val="single"/>
        </w:rPr>
        <w:t>______________                            __________________</w:t>
      </w:r>
      <w:r>
        <w:rPr>
          <w:rFonts w:hint="eastAsia" w:ascii="宋体" w:hAnsi="宋体" w:cs="宋体-18030"/>
          <w:sz w:val="30"/>
          <w:highlight w:val="none"/>
        </w:rPr>
        <w:t>（单位）法定代表人，现授权委托本单位的</w:t>
      </w:r>
      <w:r>
        <w:rPr>
          <w:rFonts w:hint="eastAsia" w:ascii="宋体" w:hAnsi="宋体" w:cs="宋体-18030"/>
          <w:sz w:val="30"/>
          <w:highlight w:val="none"/>
          <w:u w:val="single"/>
        </w:rPr>
        <w:t>_______________</w:t>
      </w:r>
      <w:r>
        <w:rPr>
          <w:rFonts w:hint="eastAsia" w:ascii="宋体" w:hAnsi="宋体" w:cs="宋体-18030"/>
          <w:sz w:val="30"/>
          <w:highlight w:val="none"/>
        </w:rPr>
        <w:t>（姓名）</w:t>
      </w:r>
      <w:r>
        <w:rPr>
          <w:rFonts w:hint="eastAsia" w:ascii="宋体" w:hAnsi="宋体" w:cs="宋体-18030"/>
          <w:sz w:val="30"/>
          <w:highlight w:val="none"/>
          <w:u w:val="single"/>
        </w:rPr>
        <w:t>____________________________</w:t>
      </w:r>
      <w:r>
        <w:rPr>
          <w:rFonts w:hint="eastAsia" w:ascii="宋体" w:hAnsi="宋体" w:cs="宋体-18030"/>
          <w:sz w:val="30"/>
          <w:highlight w:val="none"/>
        </w:rPr>
        <w:t>(身份证号) 为我公司驻东阳市公共资源交易中心专职交易员；授权委托本单位的</w:t>
      </w:r>
      <w:r>
        <w:rPr>
          <w:rFonts w:hint="eastAsia" w:ascii="宋体" w:hAnsi="宋体" w:cs="宋体-18030"/>
          <w:sz w:val="30"/>
          <w:highlight w:val="none"/>
          <w:u w:val="single"/>
        </w:rPr>
        <w:t>_____________</w:t>
      </w:r>
      <w:r>
        <w:rPr>
          <w:rFonts w:hint="eastAsia" w:ascii="宋体" w:hAnsi="宋体" w:cs="宋体-18030"/>
          <w:sz w:val="30"/>
          <w:highlight w:val="none"/>
        </w:rPr>
        <w:t>（姓名）</w:t>
      </w:r>
      <w:r>
        <w:rPr>
          <w:rFonts w:hint="eastAsia" w:ascii="宋体" w:hAnsi="宋体" w:cs="宋体-18030"/>
          <w:sz w:val="30"/>
          <w:highlight w:val="none"/>
          <w:u w:val="single"/>
        </w:rPr>
        <w:t>____________________________</w:t>
      </w:r>
      <w:r>
        <w:rPr>
          <w:rFonts w:hint="eastAsia" w:ascii="宋体" w:hAnsi="宋体" w:cs="宋体-18030"/>
          <w:sz w:val="30"/>
          <w:highlight w:val="none"/>
        </w:rPr>
        <w:t>(身份证号)为我公司驻东阳市公共资源交易中心备用交易员，以本公司的名义参加投标交易活动并办理相关手续。交易员在交易活动中所签署的一切文件和处理与之相关的一切事务我均予以承认。</w:t>
      </w:r>
      <w:r>
        <w:rPr>
          <w:rFonts w:hint="eastAsia" w:cs="宋体-18030"/>
          <w:sz w:val="28"/>
          <w:highlight w:val="none"/>
        </w:rPr>
        <w:t>有效期限从</w:t>
      </w:r>
      <w:r>
        <w:rPr>
          <w:rFonts w:hint="eastAsia" w:cs="宋体-18030"/>
          <w:sz w:val="28"/>
          <w:highlight w:val="none"/>
          <w:u w:val="single"/>
        </w:rPr>
        <w:t xml:space="preserve">      </w:t>
      </w:r>
      <w:r>
        <w:rPr>
          <w:rFonts w:hint="eastAsia" w:cs="宋体-18030"/>
          <w:sz w:val="28"/>
          <w:highlight w:val="none"/>
        </w:rPr>
        <w:t>年</w:t>
      </w:r>
      <w:r>
        <w:rPr>
          <w:rFonts w:hint="eastAsia" w:cs="宋体-18030"/>
          <w:sz w:val="28"/>
          <w:highlight w:val="none"/>
          <w:u w:val="single"/>
        </w:rPr>
        <w:t xml:space="preserve">    </w:t>
      </w:r>
      <w:r>
        <w:rPr>
          <w:rFonts w:hint="eastAsia" w:cs="宋体-18030"/>
          <w:sz w:val="28"/>
          <w:highlight w:val="none"/>
        </w:rPr>
        <w:t>月</w:t>
      </w:r>
      <w:r>
        <w:rPr>
          <w:rFonts w:hint="eastAsia" w:cs="宋体-18030"/>
          <w:sz w:val="28"/>
          <w:highlight w:val="none"/>
          <w:u w:val="single"/>
        </w:rPr>
        <w:t xml:space="preserve">    </w:t>
      </w:r>
      <w:r>
        <w:rPr>
          <w:rFonts w:hint="eastAsia" w:cs="宋体-18030"/>
          <w:sz w:val="28"/>
          <w:highlight w:val="none"/>
        </w:rPr>
        <w:t>日至</w:t>
      </w:r>
      <w:r>
        <w:rPr>
          <w:rFonts w:hint="eastAsia" w:cs="宋体-18030"/>
          <w:sz w:val="28"/>
          <w:highlight w:val="none"/>
          <w:u w:val="single"/>
        </w:rPr>
        <w:t xml:space="preserve">      </w:t>
      </w:r>
      <w:r>
        <w:rPr>
          <w:rFonts w:hint="eastAsia" w:cs="宋体-18030"/>
          <w:sz w:val="28"/>
          <w:highlight w:val="none"/>
        </w:rPr>
        <w:t>年</w:t>
      </w:r>
      <w:r>
        <w:rPr>
          <w:rFonts w:hint="eastAsia" w:cs="宋体-18030"/>
          <w:sz w:val="28"/>
          <w:highlight w:val="none"/>
          <w:u w:val="single"/>
        </w:rPr>
        <w:t xml:space="preserve">    </w:t>
      </w:r>
      <w:r>
        <w:rPr>
          <w:rFonts w:hint="eastAsia" w:cs="宋体-18030"/>
          <w:sz w:val="28"/>
          <w:highlight w:val="none"/>
        </w:rPr>
        <w:t>月</w:t>
      </w:r>
      <w:r>
        <w:rPr>
          <w:rFonts w:hint="eastAsia" w:cs="宋体-18030"/>
          <w:sz w:val="28"/>
          <w:highlight w:val="none"/>
          <w:u w:val="single"/>
        </w:rPr>
        <w:t xml:space="preserve">    </w:t>
      </w:r>
      <w:r>
        <w:rPr>
          <w:rFonts w:hint="eastAsia" w:cs="宋体-18030"/>
          <w:sz w:val="28"/>
          <w:highlight w:val="none"/>
        </w:rPr>
        <w:t>日止。</w:t>
      </w:r>
    </w:p>
    <w:p>
      <w:pPr>
        <w:ind w:firstLine="1200" w:firstLineChars="400"/>
        <w:rPr>
          <w:rFonts w:hint="eastAsia" w:ascii="宋体" w:hAnsi="宋体" w:cs="宋体-18030"/>
          <w:sz w:val="30"/>
          <w:highlight w:val="none"/>
        </w:rPr>
      </w:pPr>
      <w:r>
        <w:rPr>
          <w:rFonts w:hint="eastAsia" w:ascii="宋体" w:hAnsi="宋体" w:cs="宋体-18030"/>
          <w:sz w:val="30"/>
          <w:highlight w:val="none"/>
        </w:rPr>
        <w:t>特此委托</w:t>
      </w:r>
    </w:p>
    <w:p>
      <w:pPr>
        <w:ind w:firstLine="570"/>
        <w:rPr>
          <w:rFonts w:hint="eastAsia" w:ascii="宋体" w:hAnsi="宋体" w:cs="宋体-18030"/>
          <w:sz w:val="30"/>
          <w:highlight w:val="none"/>
        </w:rPr>
      </w:pPr>
    </w:p>
    <w:p>
      <w:pPr>
        <w:ind w:firstLine="570"/>
        <w:rPr>
          <w:rFonts w:hint="eastAsia" w:ascii="宋体" w:hAnsi="宋体" w:cs="宋体-18030"/>
          <w:sz w:val="30"/>
          <w:highlight w:val="none"/>
        </w:rPr>
      </w:pPr>
      <w:r>
        <w:rPr>
          <w:rFonts w:hint="eastAsia" w:ascii="宋体" w:hAnsi="宋体" w:cs="宋体-18030"/>
          <w:sz w:val="30"/>
          <w:highlight w:val="none"/>
        </w:rPr>
        <w:t xml:space="preserve">                        申请单位：（企业公章）</w:t>
      </w:r>
    </w:p>
    <w:p>
      <w:pPr>
        <w:ind w:firstLine="570"/>
        <w:rPr>
          <w:rFonts w:hint="eastAsia" w:ascii="宋体" w:hAnsi="宋体" w:cs="宋体-18030"/>
          <w:sz w:val="30"/>
          <w:highlight w:val="none"/>
        </w:rPr>
      </w:pPr>
    </w:p>
    <w:p>
      <w:pPr>
        <w:ind w:firstLine="570"/>
        <w:rPr>
          <w:rFonts w:hint="eastAsia" w:ascii="宋体" w:hAnsi="宋体" w:cs="宋体-18030"/>
          <w:sz w:val="30"/>
          <w:highlight w:val="none"/>
        </w:rPr>
      </w:pPr>
      <w:r>
        <w:rPr>
          <w:rFonts w:hint="eastAsia" w:ascii="宋体" w:hAnsi="宋体" w:cs="宋体-18030"/>
          <w:sz w:val="30"/>
          <w:highlight w:val="none"/>
        </w:rPr>
        <w:t xml:space="preserve">                        法定代表人：      （签字、盖章）</w:t>
      </w:r>
    </w:p>
    <w:p>
      <w:pPr>
        <w:rPr>
          <w:rFonts w:hint="eastAsia" w:ascii="宋体" w:hAnsi="宋体" w:cs="宋体-18030"/>
          <w:sz w:val="30"/>
          <w:highlight w:val="none"/>
        </w:rPr>
      </w:pPr>
    </w:p>
    <w:p>
      <w:pPr>
        <w:ind w:firstLine="570"/>
        <w:rPr>
          <w:rFonts w:hint="eastAsia" w:ascii="宋体" w:hAnsi="宋体" w:cs="宋体-18030"/>
          <w:sz w:val="30"/>
          <w:highlight w:val="none"/>
        </w:rPr>
      </w:pPr>
      <w:r>
        <w:rPr>
          <w:rFonts w:hint="eastAsia" w:ascii="宋体" w:hAnsi="宋体" w:cs="宋体-18030"/>
          <w:sz w:val="30"/>
          <w:highlight w:val="none"/>
        </w:rPr>
        <w:t xml:space="preserve">                               年     月     日</w:t>
      </w:r>
    </w:p>
    <w:p>
      <w:pPr>
        <w:ind w:firstLine="570"/>
        <w:rPr>
          <w:rFonts w:hint="eastAsia" w:ascii="仿宋_GB2312" w:hAnsi="宋体" w:eastAsia="仿宋_GB2312" w:cs="宋体-18030"/>
          <w:szCs w:val="21"/>
          <w:highlight w:val="none"/>
        </w:rPr>
      </w:pPr>
    </w:p>
    <w:p>
      <w:pPr>
        <w:spacing w:line="360" w:lineRule="auto"/>
        <w:ind w:firstLine="570"/>
        <w:rPr>
          <w:rFonts w:hint="eastAsia" w:ascii="仿宋_GB2312" w:eastAsia="仿宋_GB2312"/>
          <w:szCs w:val="21"/>
          <w:highlight w:val="none"/>
        </w:rPr>
      </w:pPr>
      <w:r>
        <w:rPr>
          <w:rFonts w:hint="eastAsia" w:ascii="仿宋_GB2312" w:hAnsi="宋体" w:eastAsia="仿宋_GB2312" w:cs="宋体-18030"/>
          <w:szCs w:val="21"/>
          <w:highlight w:val="none"/>
        </w:rPr>
        <w:t>注：1、此页为</w:t>
      </w:r>
      <w:r>
        <w:rPr>
          <w:rFonts w:hint="eastAsia" w:ascii="仿宋_GB2312" w:eastAsia="仿宋_GB2312"/>
          <w:szCs w:val="21"/>
          <w:highlight w:val="none"/>
        </w:rPr>
        <w:t>“东阳市工程建设项目交易席位和交易员申请表”中的法定代表人授权委托书（二）的复制样张；</w:t>
      </w:r>
    </w:p>
    <w:p>
      <w:pPr>
        <w:spacing w:line="360" w:lineRule="auto"/>
        <w:ind w:firstLine="840" w:firstLineChars="400"/>
        <w:rPr>
          <w:rFonts w:hint="eastAsia" w:ascii="仿宋_GB2312" w:eastAsia="仿宋_GB2312"/>
          <w:szCs w:val="21"/>
          <w:highlight w:val="none"/>
        </w:rPr>
      </w:pPr>
      <w:r>
        <w:rPr>
          <w:rFonts w:hint="eastAsia" w:ascii="仿宋_GB2312" w:eastAsia="仿宋_GB2312"/>
          <w:szCs w:val="21"/>
          <w:highlight w:val="none"/>
        </w:rPr>
        <w:t>2、投标人提交此材料的扫描件时，应与已提交的“东阳市工程建设项目交易席位和交易员申请表”中的内容相一致。</w:t>
      </w:r>
    </w:p>
    <w:p>
      <w:pPr>
        <w:ind w:firstLine="570"/>
        <w:rPr>
          <w:rFonts w:hint="eastAsia" w:ascii="仿宋_GB2312" w:eastAsia="仿宋_GB2312"/>
          <w:szCs w:val="21"/>
          <w:highlight w:val="none"/>
        </w:rPr>
      </w:pPr>
    </w:p>
    <w:p>
      <w:pPr>
        <w:spacing w:line="360" w:lineRule="auto"/>
        <w:rPr>
          <w:rFonts w:hint="eastAsia" w:ascii="宋体" w:hAnsi="宋体"/>
          <w:b/>
          <w:highlight w:val="none"/>
        </w:rPr>
      </w:pPr>
      <w:r>
        <w:rPr>
          <w:rFonts w:hint="eastAsia" w:ascii="宋体" w:hAnsi="宋体"/>
          <w:b/>
          <w:highlight w:val="none"/>
        </w:rPr>
        <w:t>附件4：</w:t>
      </w:r>
    </w:p>
    <w:p>
      <w:pPr>
        <w:spacing w:line="360" w:lineRule="auto"/>
        <w:jc w:val="center"/>
        <w:rPr>
          <w:rFonts w:ascii="宋体" w:hAnsi="宋体"/>
          <w:b/>
          <w:highlight w:val="none"/>
        </w:rPr>
      </w:pPr>
      <w:r>
        <w:rPr>
          <w:b/>
          <w:sz w:val="32"/>
          <w:szCs w:val="32"/>
          <w:highlight w:val="none"/>
        </w:rPr>
        <w:t>项目经理简历表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42"/>
        <w:gridCol w:w="1599"/>
        <w:gridCol w:w="1110"/>
        <w:gridCol w:w="889"/>
        <w:gridCol w:w="537"/>
        <w:gridCol w:w="1258"/>
        <w:gridCol w:w="353"/>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5" w:type="dxa"/>
            <w:gridSpan w:val="2"/>
            <w:noWrap w:val="0"/>
            <w:vAlign w:val="center"/>
          </w:tcPr>
          <w:p>
            <w:pPr>
              <w:spacing w:line="360" w:lineRule="auto"/>
              <w:jc w:val="center"/>
              <w:rPr>
                <w:rFonts w:hint="eastAsia" w:ascii="宋体" w:hAnsi="宋体"/>
                <w:highlight w:val="none"/>
              </w:rPr>
            </w:pPr>
            <w:r>
              <w:rPr>
                <w:rFonts w:hint="eastAsia" w:ascii="宋体" w:hAnsi="宋体"/>
                <w:highlight w:val="none"/>
              </w:rPr>
              <w:t>姓名</w:t>
            </w:r>
          </w:p>
        </w:tc>
        <w:tc>
          <w:tcPr>
            <w:tcW w:w="1599" w:type="dxa"/>
            <w:noWrap w:val="0"/>
            <w:vAlign w:val="top"/>
          </w:tcPr>
          <w:p>
            <w:pPr>
              <w:spacing w:line="360" w:lineRule="auto"/>
              <w:rPr>
                <w:rFonts w:hint="eastAsia" w:ascii="宋体" w:hAnsi="宋体"/>
                <w:highlight w:val="none"/>
              </w:rPr>
            </w:pPr>
          </w:p>
        </w:tc>
        <w:tc>
          <w:tcPr>
            <w:tcW w:w="1110" w:type="dxa"/>
            <w:noWrap w:val="0"/>
            <w:vAlign w:val="center"/>
          </w:tcPr>
          <w:p>
            <w:pPr>
              <w:spacing w:line="360" w:lineRule="auto"/>
              <w:jc w:val="center"/>
              <w:rPr>
                <w:rFonts w:hint="eastAsia" w:ascii="宋体" w:hAnsi="宋体"/>
                <w:highlight w:val="none"/>
              </w:rPr>
            </w:pPr>
            <w:r>
              <w:rPr>
                <w:rFonts w:hint="eastAsia" w:ascii="宋体" w:hAnsi="宋体"/>
                <w:highlight w:val="none"/>
              </w:rPr>
              <w:t>年龄</w:t>
            </w:r>
          </w:p>
        </w:tc>
        <w:tc>
          <w:tcPr>
            <w:tcW w:w="1426" w:type="dxa"/>
            <w:gridSpan w:val="2"/>
            <w:noWrap w:val="0"/>
            <w:vAlign w:val="top"/>
          </w:tcPr>
          <w:p>
            <w:pPr>
              <w:spacing w:line="360" w:lineRule="auto"/>
              <w:rPr>
                <w:rFonts w:hint="eastAsia" w:ascii="宋体" w:hAnsi="宋体"/>
                <w:highlight w:val="none"/>
              </w:rPr>
            </w:pPr>
          </w:p>
        </w:tc>
        <w:tc>
          <w:tcPr>
            <w:tcW w:w="1611" w:type="dxa"/>
            <w:gridSpan w:val="2"/>
            <w:noWrap w:val="0"/>
            <w:vAlign w:val="center"/>
          </w:tcPr>
          <w:p>
            <w:pPr>
              <w:spacing w:line="360" w:lineRule="auto"/>
              <w:jc w:val="center"/>
              <w:rPr>
                <w:rFonts w:hint="eastAsia" w:ascii="宋体" w:hAnsi="宋体"/>
                <w:highlight w:val="none"/>
              </w:rPr>
            </w:pPr>
            <w:r>
              <w:rPr>
                <w:rFonts w:hint="eastAsia" w:ascii="宋体" w:hAnsi="宋体"/>
                <w:highlight w:val="none"/>
              </w:rPr>
              <w:t>身份证号</w:t>
            </w:r>
          </w:p>
        </w:tc>
        <w:tc>
          <w:tcPr>
            <w:tcW w:w="2140" w:type="dxa"/>
            <w:noWrap w:val="0"/>
            <w:vAlign w:val="top"/>
          </w:tcPr>
          <w:p>
            <w:pPr>
              <w:spacing w:line="360" w:lineRule="auto"/>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5" w:type="dxa"/>
            <w:gridSpan w:val="2"/>
            <w:noWrap w:val="0"/>
            <w:vAlign w:val="center"/>
          </w:tcPr>
          <w:p>
            <w:pPr>
              <w:spacing w:line="360" w:lineRule="auto"/>
              <w:jc w:val="center"/>
              <w:rPr>
                <w:rFonts w:hint="eastAsia" w:ascii="宋体" w:hAnsi="宋体"/>
                <w:highlight w:val="none"/>
              </w:rPr>
            </w:pPr>
            <w:r>
              <w:rPr>
                <w:rFonts w:hint="eastAsia" w:ascii="宋体" w:hAnsi="宋体"/>
                <w:highlight w:val="none"/>
              </w:rPr>
              <w:t>职称</w:t>
            </w:r>
          </w:p>
        </w:tc>
        <w:tc>
          <w:tcPr>
            <w:tcW w:w="1599" w:type="dxa"/>
            <w:noWrap w:val="0"/>
            <w:vAlign w:val="top"/>
          </w:tcPr>
          <w:p>
            <w:pPr>
              <w:spacing w:line="360" w:lineRule="auto"/>
              <w:rPr>
                <w:rFonts w:hint="eastAsia" w:ascii="宋体" w:hAnsi="宋体"/>
                <w:highlight w:val="none"/>
              </w:rPr>
            </w:pPr>
          </w:p>
        </w:tc>
        <w:tc>
          <w:tcPr>
            <w:tcW w:w="1110" w:type="dxa"/>
            <w:noWrap w:val="0"/>
            <w:vAlign w:val="center"/>
          </w:tcPr>
          <w:p>
            <w:pPr>
              <w:spacing w:line="360" w:lineRule="auto"/>
              <w:jc w:val="center"/>
              <w:rPr>
                <w:rFonts w:hint="eastAsia" w:ascii="宋体" w:hAnsi="宋体"/>
                <w:highlight w:val="none"/>
              </w:rPr>
            </w:pPr>
            <w:r>
              <w:rPr>
                <w:rFonts w:hint="eastAsia" w:ascii="宋体" w:hAnsi="宋体"/>
                <w:highlight w:val="none"/>
              </w:rPr>
              <w:t>职务</w:t>
            </w:r>
          </w:p>
        </w:tc>
        <w:tc>
          <w:tcPr>
            <w:tcW w:w="1426" w:type="dxa"/>
            <w:gridSpan w:val="2"/>
            <w:noWrap w:val="0"/>
            <w:vAlign w:val="top"/>
          </w:tcPr>
          <w:p>
            <w:pPr>
              <w:spacing w:line="360" w:lineRule="auto"/>
              <w:rPr>
                <w:rFonts w:hint="eastAsia" w:ascii="宋体" w:hAnsi="宋体"/>
                <w:highlight w:val="none"/>
              </w:rPr>
            </w:pPr>
          </w:p>
        </w:tc>
        <w:tc>
          <w:tcPr>
            <w:tcW w:w="1611" w:type="dxa"/>
            <w:gridSpan w:val="2"/>
            <w:noWrap w:val="0"/>
            <w:vAlign w:val="center"/>
          </w:tcPr>
          <w:p>
            <w:pPr>
              <w:spacing w:line="360" w:lineRule="auto"/>
              <w:jc w:val="center"/>
              <w:rPr>
                <w:rFonts w:hint="eastAsia" w:ascii="宋体" w:hAnsi="宋体"/>
                <w:highlight w:val="none"/>
              </w:rPr>
            </w:pPr>
            <w:r>
              <w:rPr>
                <w:rFonts w:hint="eastAsia" w:ascii="宋体" w:hAnsi="宋体"/>
                <w:highlight w:val="none"/>
              </w:rPr>
              <w:t>学历</w:t>
            </w:r>
          </w:p>
        </w:tc>
        <w:tc>
          <w:tcPr>
            <w:tcW w:w="2140" w:type="dxa"/>
            <w:noWrap w:val="0"/>
            <w:vAlign w:val="top"/>
          </w:tcPr>
          <w:p>
            <w:pPr>
              <w:spacing w:line="360" w:lineRule="auto"/>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625" w:type="dxa"/>
            <w:gridSpan w:val="2"/>
            <w:noWrap w:val="0"/>
            <w:vAlign w:val="center"/>
          </w:tcPr>
          <w:p>
            <w:pPr>
              <w:spacing w:line="360" w:lineRule="auto"/>
              <w:jc w:val="center"/>
              <w:rPr>
                <w:rFonts w:hint="eastAsia" w:ascii="宋体" w:hAnsi="宋体"/>
                <w:highlight w:val="none"/>
              </w:rPr>
            </w:pPr>
            <w:r>
              <w:rPr>
                <w:rFonts w:hint="eastAsia" w:ascii="宋体" w:hAnsi="宋体"/>
                <w:highlight w:val="none"/>
              </w:rPr>
              <w:t>毕业时间、学校、专业</w:t>
            </w:r>
          </w:p>
        </w:tc>
        <w:tc>
          <w:tcPr>
            <w:tcW w:w="4135" w:type="dxa"/>
            <w:gridSpan w:val="4"/>
            <w:noWrap w:val="0"/>
            <w:vAlign w:val="top"/>
          </w:tcPr>
          <w:p>
            <w:pPr>
              <w:spacing w:line="360" w:lineRule="auto"/>
              <w:ind w:firstLine="525" w:firstLineChars="250"/>
              <w:rPr>
                <w:rFonts w:hint="eastAsia" w:ascii="宋体" w:hAnsi="宋体"/>
                <w:highlight w:val="none"/>
              </w:rPr>
            </w:pPr>
          </w:p>
        </w:tc>
        <w:tc>
          <w:tcPr>
            <w:tcW w:w="1611" w:type="dxa"/>
            <w:gridSpan w:val="2"/>
            <w:noWrap w:val="0"/>
            <w:vAlign w:val="top"/>
          </w:tcPr>
          <w:p>
            <w:pPr>
              <w:spacing w:line="360" w:lineRule="auto"/>
              <w:jc w:val="center"/>
              <w:rPr>
                <w:rFonts w:hint="eastAsia" w:ascii="宋体" w:hAnsi="宋体"/>
                <w:highlight w:val="none"/>
              </w:rPr>
            </w:pPr>
            <w:r>
              <w:rPr>
                <w:rFonts w:hint="eastAsia" w:ascii="宋体" w:hAnsi="宋体"/>
                <w:highlight w:val="none"/>
              </w:rPr>
              <w:t>拟在本</w:t>
            </w:r>
          </w:p>
          <w:p>
            <w:pPr>
              <w:spacing w:line="360" w:lineRule="auto"/>
              <w:jc w:val="center"/>
              <w:rPr>
                <w:rFonts w:hint="eastAsia" w:ascii="宋体" w:hAnsi="宋体"/>
                <w:highlight w:val="none"/>
              </w:rPr>
            </w:pPr>
            <w:r>
              <w:rPr>
                <w:rFonts w:hint="eastAsia" w:ascii="宋体" w:hAnsi="宋体"/>
                <w:highlight w:val="none"/>
              </w:rPr>
              <w:t>合同任职</w:t>
            </w:r>
          </w:p>
        </w:tc>
        <w:tc>
          <w:tcPr>
            <w:tcW w:w="2140" w:type="dxa"/>
            <w:noWrap w:val="0"/>
            <w:vAlign w:val="top"/>
          </w:tcPr>
          <w:p>
            <w:pPr>
              <w:spacing w:line="360" w:lineRule="auto"/>
              <w:ind w:firstLine="525" w:firstLineChars="250"/>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511" w:type="dxa"/>
            <w:gridSpan w:val="9"/>
            <w:noWrap w:val="0"/>
            <w:vAlign w:val="top"/>
          </w:tcPr>
          <w:p>
            <w:pPr>
              <w:spacing w:line="360" w:lineRule="auto"/>
              <w:rPr>
                <w:rFonts w:hint="eastAsia" w:ascii="宋体" w:hAnsi="宋体"/>
                <w:highlight w:val="none"/>
              </w:rPr>
            </w:pPr>
            <w:r>
              <w:rPr>
                <w:rFonts w:hint="eastAsia" w:ascii="宋体" w:hAnsi="宋体"/>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83" w:type="dxa"/>
            <w:noWrap w:val="0"/>
            <w:vAlign w:val="center"/>
          </w:tcPr>
          <w:p>
            <w:pPr>
              <w:spacing w:line="360" w:lineRule="auto"/>
              <w:jc w:val="center"/>
              <w:rPr>
                <w:rFonts w:hint="eastAsia" w:ascii="宋体" w:hAnsi="宋体"/>
                <w:highlight w:val="none"/>
              </w:rPr>
            </w:pPr>
            <w:r>
              <w:rPr>
                <w:rFonts w:hint="eastAsia" w:ascii="宋体" w:hAnsi="宋体"/>
                <w:highlight w:val="none"/>
              </w:rPr>
              <w:t>时间</w:t>
            </w:r>
          </w:p>
        </w:tc>
        <w:tc>
          <w:tcPr>
            <w:tcW w:w="3940" w:type="dxa"/>
            <w:gridSpan w:val="4"/>
            <w:noWrap w:val="0"/>
            <w:vAlign w:val="center"/>
          </w:tcPr>
          <w:p>
            <w:pPr>
              <w:spacing w:line="360" w:lineRule="auto"/>
              <w:jc w:val="center"/>
              <w:rPr>
                <w:rFonts w:hint="eastAsia" w:ascii="宋体" w:hAnsi="宋体"/>
                <w:highlight w:val="none"/>
              </w:rPr>
            </w:pPr>
            <w:r>
              <w:rPr>
                <w:rFonts w:hint="eastAsia" w:ascii="宋体" w:hAnsi="宋体"/>
                <w:highlight w:val="none"/>
              </w:rPr>
              <w:t>参加过的类似项目</w:t>
            </w:r>
          </w:p>
        </w:tc>
        <w:tc>
          <w:tcPr>
            <w:tcW w:w="1795" w:type="dxa"/>
            <w:gridSpan w:val="2"/>
            <w:noWrap w:val="0"/>
            <w:vAlign w:val="center"/>
          </w:tcPr>
          <w:p>
            <w:pPr>
              <w:spacing w:line="360" w:lineRule="auto"/>
              <w:jc w:val="center"/>
              <w:rPr>
                <w:rFonts w:hint="eastAsia" w:ascii="宋体" w:hAnsi="宋体"/>
                <w:highlight w:val="none"/>
              </w:rPr>
            </w:pPr>
            <w:r>
              <w:rPr>
                <w:rFonts w:hint="eastAsia" w:ascii="宋体" w:hAnsi="宋体"/>
                <w:highlight w:val="none"/>
              </w:rPr>
              <w:t>担任职务</w:t>
            </w:r>
          </w:p>
        </w:tc>
        <w:tc>
          <w:tcPr>
            <w:tcW w:w="2493" w:type="dxa"/>
            <w:gridSpan w:val="2"/>
            <w:noWrap w:val="0"/>
            <w:vAlign w:val="center"/>
          </w:tcPr>
          <w:p>
            <w:pPr>
              <w:spacing w:line="360" w:lineRule="auto"/>
              <w:jc w:val="center"/>
              <w:rPr>
                <w:rFonts w:hint="eastAsia" w:ascii="宋体" w:hAnsi="宋体"/>
                <w:highlight w:val="none"/>
              </w:rPr>
            </w:pPr>
            <w:r>
              <w:rPr>
                <w:rFonts w:hint="eastAsia" w:ascii="宋体" w:hAnsi="宋体"/>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83" w:type="dxa"/>
            <w:noWrap w:val="0"/>
            <w:vAlign w:val="top"/>
          </w:tcPr>
          <w:p>
            <w:pPr>
              <w:spacing w:line="360" w:lineRule="auto"/>
              <w:rPr>
                <w:rFonts w:hint="eastAsia" w:ascii="宋体" w:hAnsi="宋体"/>
                <w:highlight w:val="none"/>
              </w:rPr>
            </w:pPr>
          </w:p>
        </w:tc>
        <w:tc>
          <w:tcPr>
            <w:tcW w:w="3940" w:type="dxa"/>
            <w:gridSpan w:val="4"/>
            <w:noWrap w:val="0"/>
            <w:vAlign w:val="top"/>
          </w:tcPr>
          <w:p>
            <w:pPr>
              <w:spacing w:line="360" w:lineRule="auto"/>
              <w:rPr>
                <w:rFonts w:hint="eastAsia" w:ascii="宋体" w:hAnsi="宋体"/>
                <w:highlight w:val="none"/>
              </w:rPr>
            </w:pPr>
          </w:p>
        </w:tc>
        <w:tc>
          <w:tcPr>
            <w:tcW w:w="1795" w:type="dxa"/>
            <w:gridSpan w:val="2"/>
            <w:noWrap w:val="0"/>
            <w:vAlign w:val="top"/>
          </w:tcPr>
          <w:p>
            <w:pPr>
              <w:spacing w:line="360" w:lineRule="auto"/>
              <w:rPr>
                <w:rFonts w:hint="eastAsia" w:ascii="宋体" w:hAnsi="宋体"/>
                <w:highlight w:val="none"/>
              </w:rPr>
            </w:pPr>
          </w:p>
        </w:tc>
        <w:tc>
          <w:tcPr>
            <w:tcW w:w="2493" w:type="dxa"/>
            <w:gridSpan w:val="2"/>
            <w:noWrap w:val="0"/>
            <w:vAlign w:val="top"/>
          </w:tcPr>
          <w:p>
            <w:pPr>
              <w:spacing w:line="360" w:lineRule="auto"/>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83" w:type="dxa"/>
            <w:noWrap w:val="0"/>
            <w:vAlign w:val="top"/>
          </w:tcPr>
          <w:p>
            <w:pPr>
              <w:spacing w:line="360" w:lineRule="auto"/>
              <w:rPr>
                <w:rFonts w:hint="eastAsia" w:ascii="宋体" w:hAnsi="宋体"/>
                <w:highlight w:val="none"/>
              </w:rPr>
            </w:pPr>
          </w:p>
        </w:tc>
        <w:tc>
          <w:tcPr>
            <w:tcW w:w="3940" w:type="dxa"/>
            <w:gridSpan w:val="4"/>
            <w:noWrap w:val="0"/>
            <w:vAlign w:val="top"/>
          </w:tcPr>
          <w:p>
            <w:pPr>
              <w:spacing w:line="360" w:lineRule="auto"/>
              <w:rPr>
                <w:rFonts w:hint="eastAsia" w:ascii="宋体" w:hAnsi="宋体"/>
                <w:highlight w:val="none"/>
              </w:rPr>
            </w:pPr>
          </w:p>
        </w:tc>
        <w:tc>
          <w:tcPr>
            <w:tcW w:w="1795" w:type="dxa"/>
            <w:gridSpan w:val="2"/>
            <w:noWrap w:val="0"/>
            <w:vAlign w:val="top"/>
          </w:tcPr>
          <w:p>
            <w:pPr>
              <w:spacing w:line="360" w:lineRule="auto"/>
              <w:rPr>
                <w:rFonts w:hint="eastAsia" w:ascii="宋体" w:hAnsi="宋体"/>
                <w:highlight w:val="none"/>
              </w:rPr>
            </w:pPr>
          </w:p>
        </w:tc>
        <w:tc>
          <w:tcPr>
            <w:tcW w:w="2493" w:type="dxa"/>
            <w:gridSpan w:val="2"/>
            <w:noWrap w:val="0"/>
            <w:vAlign w:val="top"/>
          </w:tcPr>
          <w:p>
            <w:pPr>
              <w:spacing w:line="360" w:lineRule="auto"/>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83" w:type="dxa"/>
            <w:noWrap w:val="0"/>
            <w:vAlign w:val="top"/>
          </w:tcPr>
          <w:p>
            <w:pPr>
              <w:spacing w:line="360" w:lineRule="auto"/>
              <w:rPr>
                <w:rFonts w:hint="eastAsia" w:ascii="宋体" w:hAnsi="宋体"/>
                <w:highlight w:val="none"/>
              </w:rPr>
            </w:pPr>
          </w:p>
        </w:tc>
        <w:tc>
          <w:tcPr>
            <w:tcW w:w="3940" w:type="dxa"/>
            <w:gridSpan w:val="4"/>
            <w:noWrap w:val="0"/>
            <w:vAlign w:val="top"/>
          </w:tcPr>
          <w:p>
            <w:pPr>
              <w:spacing w:line="360" w:lineRule="auto"/>
              <w:rPr>
                <w:rFonts w:hint="eastAsia" w:ascii="宋体" w:hAnsi="宋体"/>
                <w:highlight w:val="none"/>
              </w:rPr>
            </w:pPr>
          </w:p>
        </w:tc>
        <w:tc>
          <w:tcPr>
            <w:tcW w:w="1795" w:type="dxa"/>
            <w:gridSpan w:val="2"/>
            <w:noWrap w:val="0"/>
            <w:vAlign w:val="top"/>
          </w:tcPr>
          <w:p>
            <w:pPr>
              <w:spacing w:line="360" w:lineRule="auto"/>
              <w:rPr>
                <w:rFonts w:hint="eastAsia" w:ascii="宋体" w:hAnsi="宋体"/>
                <w:highlight w:val="none"/>
              </w:rPr>
            </w:pPr>
          </w:p>
        </w:tc>
        <w:tc>
          <w:tcPr>
            <w:tcW w:w="2493" w:type="dxa"/>
            <w:gridSpan w:val="2"/>
            <w:noWrap w:val="0"/>
            <w:vAlign w:val="top"/>
          </w:tcPr>
          <w:p>
            <w:pPr>
              <w:spacing w:line="360" w:lineRule="auto"/>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83" w:type="dxa"/>
            <w:noWrap w:val="0"/>
            <w:vAlign w:val="top"/>
          </w:tcPr>
          <w:p>
            <w:pPr>
              <w:spacing w:line="360" w:lineRule="auto"/>
              <w:rPr>
                <w:rFonts w:hint="eastAsia" w:ascii="宋体" w:hAnsi="宋体"/>
                <w:highlight w:val="none"/>
              </w:rPr>
            </w:pPr>
          </w:p>
        </w:tc>
        <w:tc>
          <w:tcPr>
            <w:tcW w:w="3940" w:type="dxa"/>
            <w:gridSpan w:val="4"/>
            <w:noWrap w:val="0"/>
            <w:vAlign w:val="top"/>
          </w:tcPr>
          <w:p>
            <w:pPr>
              <w:spacing w:line="360" w:lineRule="auto"/>
              <w:rPr>
                <w:rFonts w:hint="eastAsia" w:ascii="宋体" w:hAnsi="宋体"/>
                <w:highlight w:val="none"/>
              </w:rPr>
            </w:pPr>
          </w:p>
        </w:tc>
        <w:tc>
          <w:tcPr>
            <w:tcW w:w="1795" w:type="dxa"/>
            <w:gridSpan w:val="2"/>
            <w:noWrap w:val="0"/>
            <w:vAlign w:val="top"/>
          </w:tcPr>
          <w:p>
            <w:pPr>
              <w:spacing w:line="360" w:lineRule="auto"/>
              <w:rPr>
                <w:rFonts w:hint="eastAsia" w:ascii="宋体" w:hAnsi="宋体"/>
                <w:highlight w:val="none"/>
              </w:rPr>
            </w:pPr>
          </w:p>
        </w:tc>
        <w:tc>
          <w:tcPr>
            <w:tcW w:w="2493" w:type="dxa"/>
            <w:gridSpan w:val="2"/>
            <w:noWrap w:val="0"/>
            <w:vAlign w:val="top"/>
          </w:tcPr>
          <w:p>
            <w:pPr>
              <w:spacing w:line="360" w:lineRule="auto"/>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83" w:type="dxa"/>
            <w:noWrap w:val="0"/>
            <w:vAlign w:val="top"/>
          </w:tcPr>
          <w:p>
            <w:pPr>
              <w:spacing w:line="360" w:lineRule="auto"/>
              <w:rPr>
                <w:rFonts w:hint="eastAsia" w:ascii="宋体" w:hAnsi="宋体"/>
                <w:highlight w:val="none"/>
              </w:rPr>
            </w:pPr>
          </w:p>
        </w:tc>
        <w:tc>
          <w:tcPr>
            <w:tcW w:w="3940" w:type="dxa"/>
            <w:gridSpan w:val="4"/>
            <w:noWrap w:val="0"/>
            <w:vAlign w:val="top"/>
          </w:tcPr>
          <w:p>
            <w:pPr>
              <w:spacing w:line="360" w:lineRule="auto"/>
              <w:rPr>
                <w:rFonts w:hint="eastAsia" w:ascii="宋体" w:hAnsi="宋体"/>
                <w:highlight w:val="none"/>
              </w:rPr>
            </w:pPr>
          </w:p>
        </w:tc>
        <w:tc>
          <w:tcPr>
            <w:tcW w:w="1795" w:type="dxa"/>
            <w:gridSpan w:val="2"/>
            <w:noWrap w:val="0"/>
            <w:vAlign w:val="top"/>
          </w:tcPr>
          <w:p>
            <w:pPr>
              <w:spacing w:line="360" w:lineRule="auto"/>
              <w:rPr>
                <w:rFonts w:hint="eastAsia" w:ascii="宋体" w:hAnsi="宋体"/>
                <w:highlight w:val="none"/>
              </w:rPr>
            </w:pPr>
          </w:p>
        </w:tc>
        <w:tc>
          <w:tcPr>
            <w:tcW w:w="2493" w:type="dxa"/>
            <w:gridSpan w:val="2"/>
            <w:noWrap w:val="0"/>
            <w:vAlign w:val="top"/>
          </w:tcPr>
          <w:p>
            <w:pPr>
              <w:spacing w:line="360" w:lineRule="auto"/>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283" w:type="dxa"/>
            <w:noWrap w:val="0"/>
            <w:vAlign w:val="top"/>
          </w:tcPr>
          <w:p>
            <w:pPr>
              <w:spacing w:line="360" w:lineRule="auto"/>
              <w:rPr>
                <w:rFonts w:hint="eastAsia" w:ascii="宋体" w:hAnsi="宋体"/>
                <w:highlight w:val="none"/>
              </w:rPr>
            </w:pPr>
          </w:p>
        </w:tc>
        <w:tc>
          <w:tcPr>
            <w:tcW w:w="3940" w:type="dxa"/>
            <w:gridSpan w:val="4"/>
            <w:noWrap w:val="0"/>
            <w:vAlign w:val="top"/>
          </w:tcPr>
          <w:p>
            <w:pPr>
              <w:spacing w:line="360" w:lineRule="auto"/>
              <w:rPr>
                <w:rFonts w:hint="eastAsia" w:ascii="宋体" w:hAnsi="宋体"/>
                <w:highlight w:val="none"/>
              </w:rPr>
            </w:pPr>
          </w:p>
        </w:tc>
        <w:tc>
          <w:tcPr>
            <w:tcW w:w="1795" w:type="dxa"/>
            <w:gridSpan w:val="2"/>
            <w:noWrap w:val="0"/>
            <w:vAlign w:val="top"/>
          </w:tcPr>
          <w:p>
            <w:pPr>
              <w:spacing w:line="360" w:lineRule="auto"/>
              <w:rPr>
                <w:rFonts w:hint="eastAsia" w:ascii="宋体" w:hAnsi="宋体"/>
                <w:highlight w:val="none"/>
              </w:rPr>
            </w:pPr>
          </w:p>
        </w:tc>
        <w:tc>
          <w:tcPr>
            <w:tcW w:w="2493" w:type="dxa"/>
            <w:gridSpan w:val="2"/>
            <w:noWrap w:val="0"/>
            <w:vAlign w:val="top"/>
          </w:tcPr>
          <w:p>
            <w:pPr>
              <w:spacing w:line="360" w:lineRule="auto"/>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3" w:type="dxa"/>
            <w:noWrap w:val="0"/>
            <w:vAlign w:val="top"/>
          </w:tcPr>
          <w:p>
            <w:pPr>
              <w:spacing w:line="360" w:lineRule="auto"/>
              <w:rPr>
                <w:rFonts w:hint="eastAsia" w:ascii="宋体" w:hAnsi="宋体"/>
                <w:highlight w:val="none"/>
              </w:rPr>
            </w:pPr>
          </w:p>
        </w:tc>
        <w:tc>
          <w:tcPr>
            <w:tcW w:w="3940" w:type="dxa"/>
            <w:gridSpan w:val="4"/>
            <w:noWrap w:val="0"/>
            <w:vAlign w:val="top"/>
          </w:tcPr>
          <w:p>
            <w:pPr>
              <w:spacing w:line="360" w:lineRule="auto"/>
              <w:rPr>
                <w:rFonts w:hint="eastAsia" w:ascii="宋体" w:hAnsi="宋体"/>
                <w:highlight w:val="none"/>
              </w:rPr>
            </w:pPr>
          </w:p>
        </w:tc>
        <w:tc>
          <w:tcPr>
            <w:tcW w:w="1795" w:type="dxa"/>
            <w:gridSpan w:val="2"/>
            <w:noWrap w:val="0"/>
            <w:vAlign w:val="top"/>
          </w:tcPr>
          <w:p>
            <w:pPr>
              <w:spacing w:line="360" w:lineRule="auto"/>
              <w:rPr>
                <w:rFonts w:hint="eastAsia" w:ascii="宋体" w:hAnsi="宋体"/>
                <w:highlight w:val="none"/>
              </w:rPr>
            </w:pPr>
          </w:p>
        </w:tc>
        <w:tc>
          <w:tcPr>
            <w:tcW w:w="2493" w:type="dxa"/>
            <w:gridSpan w:val="2"/>
            <w:noWrap w:val="0"/>
            <w:vAlign w:val="top"/>
          </w:tcPr>
          <w:p>
            <w:pPr>
              <w:spacing w:line="360" w:lineRule="auto"/>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83" w:type="dxa"/>
            <w:noWrap w:val="0"/>
            <w:vAlign w:val="top"/>
          </w:tcPr>
          <w:p>
            <w:pPr>
              <w:spacing w:line="360" w:lineRule="auto"/>
              <w:rPr>
                <w:rFonts w:hint="eastAsia" w:ascii="宋体" w:hAnsi="宋体"/>
                <w:highlight w:val="none"/>
              </w:rPr>
            </w:pPr>
          </w:p>
        </w:tc>
        <w:tc>
          <w:tcPr>
            <w:tcW w:w="3940" w:type="dxa"/>
            <w:gridSpan w:val="4"/>
            <w:noWrap w:val="0"/>
            <w:vAlign w:val="top"/>
          </w:tcPr>
          <w:p>
            <w:pPr>
              <w:spacing w:line="360" w:lineRule="auto"/>
              <w:rPr>
                <w:rFonts w:hint="eastAsia" w:ascii="宋体" w:hAnsi="宋体"/>
                <w:highlight w:val="none"/>
              </w:rPr>
            </w:pPr>
          </w:p>
        </w:tc>
        <w:tc>
          <w:tcPr>
            <w:tcW w:w="1795" w:type="dxa"/>
            <w:gridSpan w:val="2"/>
            <w:noWrap w:val="0"/>
            <w:vAlign w:val="top"/>
          </w:tcPr>
          <w:p>
            <w:pPr>
              <w:spacing w:line="360" w:lineRule="auto"/>
              <w:rPr>
                <w:rFonts w:hint="eastAsia" w:ascii="宋体" w:hAnsi="宋体"/>
                <w:highlight w:val="none"/>
              </w:rPr>
            </w:pPr>
          </w:p>
        </w:tc>
        <w:tc>
          <w:tcPr>
            <w:tcW w:w="2493" w:type="dxa"/>
            <w:gridSpan w:val="2"/>
            <w:noWrap w:val="0"/>
            <w:vAlign w:val="top"/>
          </w:tcPr>
          <w:p>
            <w:pPr>
              <w:spacing w:line="360" w:lineRule="auto"/>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83" w:type="dxa"/>
            <w:noWrap w:val="0"/>
            <w:vAlign w:val="top"/>
          </w:tcPr>
          <w:p>
            <w:pPr>
              <w:spacing w:line="360" w:lineRule="auto"/>
              <w:rPr>
                <w:rFonts w:hint="eastAsia" w:ascii="宋体" w:hAnsi="宋体"/>
                <w:highlight w:val="none"/>
              </w:rPr>
            </w:pPr>
          </w:p>
        </w:tc>
        <w:tc>
          <w:tcPr>
            <w:tcW w:w="3940" w:type="dxa"/>
            <w:gridSpan w:val="4"/>
            <w:noWrap w:val="0"/>
            <w:vAlign w:val="top"/>
          </w:tcPr>
          <w:p>
            <w:pPr>
              <w:spacing w:line="360" w:lineRule="auto"/>
              <w:rPr>
                <w:rFonts w:hint="eastAsia" w:ascii="宋体" w:hAnsi="宋体"/>
                <w:highlight w:val="none"/>
              </w:rPr>
            </w:pPr>
          </w:p>
        </w:tc>
        <w:tc>
          <w:tcPr>
            <w:tcW w:w="1795" w:type="dxa"/>
            <w:gridSpan w:val="2"/>
            <w:noWrap w:val="0"/>
            <w:vAlign w:val="top"/>
          </w:tcPr>
          <w:p>
            <w:pPr>
              <w:spacing w:line="360" w:lineRule="auto"/>
              <w:rPr>
                <w:rFonts w:hint="eastAsia" w:ascii="宋体" w:hAnsi="宋体"/>
                <w:highlight w:val="none"/>
              </w:rPr>
            </w:pPr>
          </w:p>
        </w:tc>
        <w:tc>
          <w:tcPr>
            <w:tcW w:w="2493" w:type="dxa"/>
            <w:gridSpan w:val="2"/>
            <w:noWrap w:val="0"/>
            <w:vAlign w:val="top"/>
          </w:tcPr>
          <w:p>
            <w:pPr>
              <w:spacing w:line="360" w:lineRule="auto"/>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83" w:type="dxa"/>
            <w:noWrap w:val="0"/>
            <w:vAlign w:val="top"/>
          </w:tcPr>
          <w:p>
            <w:pPr>
              <w:spacing w:line="360" w:lineRule="auto"/>
              <w:rPr>
                <w:rFonts w:hint="eastAsia" w:ascii="宋体" w:hAnsi="宋体"/>
                <w:highlight w:val="none"/>
              </w:rPr>
            </w:pPr>
          </w:p>
        </w:tc>
        <w:tc>
          <w:tcPr>
            <w:tcW w:w="3940" w:type="dxa"/>
            <w:gridSpan w:val="4"/>
            <w:noWrap w:val="0"/>
            <w:vAlign w:val="top"/>
          </w:tcPr>
          <w:p>
            <w:pPr>
              <w:spacing w:line="360" w:lineRule="auto"/>
              <w:rPr>
                <w:rFonts w:hint="eastAsia" w:ascii="宋体" w:hAnsi="宋体"/>
                <w:highlight w:val="none"/>
              </w:rPr>
            </w:pPr>
          </w:p>
        </w:tc>
        <w:tc>
          <w:tcPr>
            <w:tcW w:w="1795" w:type="dxa"/>
            <w:gridSpan w:val="2"/>
            <w:noWrap w:val="0"/>
            <w:vAlign w:val="top"/>
          </w:tcPr>
          <w:p>
            <w:pPr>
              <w:spacing w:line="360" w:lineRule="auto"/>
              <w:rPr>
                <w:rFonts w:hint="eastAsia" w:ascii="宋体" w:hAnsi="宋体"/>
                <w:highlight w:val="none"/>
              </w:rPr>
            </w:pPr>
          </w:p>
        </w:tc>
        <w:tc>
          <w:tcPr>
            <w:tcW w:w="2493" w:type="dxa"/>
            <w:gridSpan w:val="2"/>
            <w:noWrap w:val="0"/>
            <w:vAlign w:val="top"/>
          </w:tcPr>
          <w:p>
            <w:pPr>
              <w:spacing w:line="360" w:lineRule="auto"/>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83" w:type="dxa"/>
            <w:noWrap w:val="0"/>
            <w:vAlign w:val="top"/>
          </w:tcPr>
          <w:p>
            <w:pPr>
              <w:spacing w:line="360" w:lineRule="auto"/>
              <w:rPr>
                <w:rFonts w:hint="eastAsia" w:ascii="宋体" w:hAnsi="宋体"/>
                <w:highlight w:val="none"/>
              </w:rPr>
            </w:pPr>
          </w:p>
        </w:tc>
        <w:tc>
          <w:tcPr>
            <w:tcW w:w="3940" w:type="dxa"/>
            <w:gridSpan w:val="4"/>
            <w:noWrap w:val="0"/>
            <w:vAlign w:val="top"/>
          </w:tcPr>
          <w:p>
            <w:pPr>
              <w:spacing w:line="360" w:lineRule="auto"/>
              <w:rPr>
                <w:rFonts w:hint="eastAsia" w:ascii="宋体" w:hAnsi="宋体"/>
                <w:highlight w:val="none"/>
              </w:rPr>
            </w:pPr>
          </w:p>
        </w:tc>
        <w:tc>
          <w:tcPr>
            <w:tcW w:w="1795" w:type="dxa"/>
            <w:gridSpan w:val="2"/>
            <w:noWrap w:val="0"/>
            <w:vAlign w:val="top"/>
          </w:tcPr>
          <w:p>
            <w:pPr>
              <w:spacing w:line="360" w:lineRule="auto"/>
              <w:rPr>
                <w:rFonts w:hint="eastAsia" w:ascii="宋体" w:hAnsi="宋体"/>
                <w:highlight w:val="none"/>
              </w:rPr>
            </w:pPr>
          </w:p>
        </w:tc>
        <w:tc>
          <w:tcPr>
            <w:tcW w:w="2493" w:type="dxa"/>
            <w:gridSpan w:val="2"/>
            <w:noWrap w:val="0"/>
            <w:vAlign w:val="top"/>
          </w:tcPr>
          <w:p>
            <w:pPr>
              <w:spacing w:line="360" w:lineRule="auto"/>
              <w:rPr>
                <w:rFonts w:hint="eastAsia" w:ascii="宋体" w:hAnsi="宋体"/>
                <w:highlight w:val="none"/>
              </w:rPr>
            </w:pPr>
          </w:p>
        </w:tc>
      </w:tr>
    </w:tbl>
    <w:p>
      <w:pPr>
        <w:spacing w:line="360" w:lineRule="auto"/>
        <w:rPr>
          <w:rFonts w:hint="eastAsia" w:ascii="宋体" w:hAnsi="宋体"/>
          <w:bCs/>
          <w:highlight w:val="none"/>
        </w:rPr>
      </w:pPr>
      <w:r>
        <w:rPr>
          <w:rFonts w:hint="eastAsia" w:ascii="宋体" w:hAnsi="宋体"/>
          <w:szCs w:val="21"/>
          <w:highlight w:val="none"/>
        </w:rPr>
        <w:t>注：项目经理简历表后应附：</w:t>
      </w:r>
      <w:r>
        <w:rPr>
          <w:rFonts w:hint="eastAsia"/>
          <w:szCs w:val="21"/>
          <w:highlight w:val="none"/>
          <w:u w:val="single"/>
        </w:rPr>
        <w:t>注册（资质）证书</w:t>
      </w:r>
      <w:r>
        <w:rPr>
          <w:rFonts w:hint="eastAsia"/>
          <w:szCs w:val="21"/>
          <w:highlight w:val="none"/>
        </w:rPr>
        <w:t>、</w:t>
      </w:r>
      <w:r>
        <w:rPr>
          <w:rFonts w:hint="eastAsia"/>
          <w:szCs w:val="21"/>
          <w:highlight w:val="none"/>
          <w:u w:val="single"/>
        </w:rPr>
        <w:t>身份证</w:t>
      </w:r>
      <w:r>
        <w:rPr>
          <w:rFonts w:hint="eastAsia"/>
          <w:szCs w:val="21"/>
          <w:highlight w:val="none"/>
        </w:rPr>
        <w:t>、</w:t>
      </w:r>
      <w:r>
        <w:rPr>
          <w:rFonts w:hint="eastAsia"/>
          <w:szCs w:val="21"/>
          <w:highlight w:val="none"/>
          <w:u w:val="single"/>
        </w:rPr>
        <w:t>劳动合同关系</w:t>
      </w:r>
      <w:r>
        <w:rPr>
          <w:rFonts w:hint="eastAsia" w:ascii="宋体" w:hAnsi="宋体"/>
          <w:szCs w:val="21"/>
          <w:highlight w:val="none"/>
        </w:rPr>
        <w:t>、</w:t>
      </w:r>
      <w:r>
        <w:rPr>
          <w:rFonts w:hint="eastAsia" w:ascii="宋体" w:hAnsi="宋体"/>
          <w:szCs w:val="21"/>
          <w:highlight w:val="none"/>
          <w:u w:val="single"/>
        </w:rPr>
        <w:t>最近</w:t>
      </w:r>
      <w:r>
        <w:rPr>
          <w:rFonts w:ascii="Arial" w:hAnsi="Arial" w:cs="Arial"/>
          <w:szCs w:val="21"/>
          <w:highlight w:val="none"/>
          <w:u w:val="single"/>
          <w:shd w:val="clear" w:color="auto" w:fill="FFFFFF"/>
        </w:rPr>
        <w:t>连续</w:t>
      </w:r>
      <w:r>
        <w:rPr>
          <w:rFonts w:hint="eastAsia" w:ascii="宋体" w:hAnsi="宋体"/>
          <w:szCs w:val="21"/>
          <w:highlight w:val="none"/>
          <w:u w:val="single"/>
        </w:rPr>
        <w:t>三个月（202</w:t>
      </w:r>
      <w:r>
        <w:rPr>
          <w:rFonts w:hint="eastAsia" w:ascii="宋体" w:hAnsi="宋体"/>
          <w:szCs w:val="21"/>
          <w:highlight w:val="none"/>
          <w:u w:val="single"/>
          <w:lang w:val="en-US" w:eastAsia="zh-CN"/>
        </w:rPr>
        <w:t>1</w:t>
      </w:r>
      <w:r>
        <w:rPr>
          <w:rFonts w:hint="eastAsia" w:ascii="宋体" w:hAnsi="宋体"/>
          <w:szCs w:val="21"/>
          <w:highlight w:val="none"/>
          <w:u w:val="single"/>
        </w:rPr>
        <w:t>年</w:t>
      </w:r>
      <w:r>
        <w:rPr>
          <w:rFonts w:hint="eastAsia" w:ascii="宋体" w:hAnsi="宋体"/>
          <w:szCs w:val="21"/>
          <w:highlight w:val="none"/>
          <w:u w:val="single"/>
          <w:lang w:val="en-US" w:eastAsia="zh-CN"/>
        </w:rPr>
        <w:t>5</w:t>
      </w:r>
      <w:r>
        <w:rPr>
          <w:rFonts w:hint="eastAsia" w:ascii="宋体" w:hAnsi="宋体"/>
          <w:szCs w:val="21"/>
          <w:highlight w:val="none"/>
          <w:u w:val="single"/>
        </w:rPr>
        <w:t>月、202</w:t>
      </w:r>
      <w:r>
        <w:rPr>
          <w:rFonts w:hint="eastAsia" w:ascii="宋体" w:hAnsi="宋体"/>
          <w:szCs w:val="21"/>
          <w:highlight w:val="none"/>
          <w:u w:val="single"/>
          <w:lang w:val="en-US" w:eastAsia="zh-CN"/>
        </w:rPr>
        <w:t>1</w:t>
      </w:r>
      <w:r>
        <w:rPr>
          <w:rFonts w:hint="eastAsia" w:ascii="宋体" w:hAnsi="宋体"/>
          <w:szCs w:val="21"/>
          <w:highlight w:val="none"/>
          <w:u w:val="single"/>
        </w:rPr>
        <w:t>年</w:t>
      </w:r>
      <w:r>
        <w:rPr>
          <w:rFonts w:hint="eastAsia" w:ascii="宋体" w:hAnsi="宋体"/>
          <w:szCs w:val="21"/>
          <w:highlight w:val="none"/>
          <w:u w:val="single"/>
          <w:lang w:val="en-US" w:eastAsia="zh-CN"/>
        </w:rPr>
        <w:t>6</w:t>
      </w:r>
      <w:r>
        <w:rPr>
          <w:rFonts w:hint="eastAsia" w:ascii="宋体" w:hAnsi="宋体"/>
          <w:szCs w:val="21"/>
          <w:highlight w:val="none"/>
          <w:u w:val="single"/>
        </w:rPr>
        <w:t>月、202</w:t>
      </w:r>
      <w:r>
        <w:rPr>
          <w:rFonts w:hint="eastAsia" w:ascii="宋体" w:hAnsi="宋体"/>
          <w:szCs w:val="21"/>
          <w:highlight w:val="none"/>
          <w:u w:val="single"/>
          <w:lang w:val="en-US" w:eastAsia="zh-CN"/>
        </w:rPr>
        <w:t>1</w:t>
      </w:r>
      <w:r>
        <w:rPr>
          <w:rFonts w:hint="eastAsia" w:ascii="宋体" w:hAnsi="宋体"/>
          <w:szCs w:val="21"/>
          <w:highlight w:val="none"/>
          <w:u w:val="single"/>
        </w:rPr>
        <w:t>年</w:t>
      </w:r>
      <w:r>
        <w:rPr>
          <w:rFonts w:hint="eastAsia" w:ascii="宋体" w:hAnsi="宋体"/>
          <w:szCs w:val="21"/>
          <w:highlight w:val="none"/>
          <w:u w:val="single"/>
          <w:lang w:val="en-US" w:eastAsia="zh-CN"/>
        </w:rPr>
        <w:t>7</w:t>
      </w:r>
      <w:r>
        <w:rPr>
          <w:rFonts w:hint="eastAsia" w:ascii="宋体" w:hAnsi="宋体"/>
          <w:szCs w:val="21"/>
          <w:highlight w:val="none"/>
          <w:u w:val="single"/>
        </w:rPr>
        <w:t>月）的养老保险</w:t>
      </w:r>
      <w:r>
        <w:rPr>
          <w:rStyle w:val="18"/>
          <w:rFonts w:ascii="Arial" w:hAnsi="Arial" w:cs="Arial"/>
          <w:i w:val="0"/>
          <w:iCs w:val="0"/>
          <w:sz w:val="24"/>
          <w:szCs w:val="24"/>
          <w:highlight w:val="none"/>
          <w:u w:val="single"/>
          <w:shd w:val="clear" w:color="auto" w:fill="FFFFFF"/>
          <w:lang w:eastAsia="zh-CN"/>
        </w:rPr>
        <w:t>缴费证明</w:t>
      </w:r>
      <w:r>
        <w:rPr>
          <w:rFonts w:hint="eastAsia" w:hAnsi="宋体"/>
          <w:bCs/>
          <w:highlight w:val="none"/>
        </w:rPr>
        <w:t>（可提供浙江政务服务网查询打印的社会保险参保证明（需带二维码及浙江省社会保险电子专用章）</w:t>
      </w:r>
    </w:p>
    <w:p>
      <w:pPr>
        <w:spacing w:line="360" w:lineRule="auto"/>
        <w:rPr>
          <w:rFonts w:hint="eastAsia" w:ascii="宋体" w:hAnsi="宋体"/>
          <w:highlight w:val="none"/>
        </w:rPr>
      </w:pPr>
    </w:p>
    <w:p>
      <w:pPr>
        <w:spacing w:line="360" w:lineRule="auto"/>
        <w:rPr>
          <w:rFonts w:hint="eastAsia" w:ascii="宋体" w:hAnsi="宋体"/>
          <w:b/>
          <w:highlight w:val="none"/>
        </w:rPr>
      </w:pPr>
    </w:p>
    <w:p>
      <w:pPr>
        <w:spacing w:line="360" w:lineRule="auto"/>
        <w:rPr>
          <w:rFonts w:hint="eastAsia" w:ascii="宋体" w:hAnsi="宋体"/>
          <w:b/>
          <w:highlight w:val="none"/>
        </w:rPr>
      </w:pPr>
    </w:p>
    <w:p>
      <w:pPr>
        <w:spacing w:line="360" w:lineRule="auto"/>
        <w:rPr>
          <w:rFonts w:hint="eastAsia" w:ascii="宋体" w:hAnsi="宋体"/>
          <w:b/>
          <w:highlight w:val="none"/>
        </w:rPr>
      </w:pPr>
    </w:p>
    <w:p>
      <w:pPr>
        <w:spacing w:line="360" w:lineRule="auto"/>
        <w:rPr>
          <w:rFonts w:hint="eastAsia" w:ascii="宋体" w:hAnsi="宋体"/>
          <w:b/>
          <w:highlight w:val="none"/>
        </w:rPr>
      </w:pPr>
    </w:p>
    <w:p>
      <w:pPr>
        <w:spacing w:line="360" w:lineRule="auto"/>
        <w:rPr>
          <w:rFonts w:hint="eastAsia" w:ascii="宋体" w:hAnsi="宋体"/>
          <w:b/>
          <w:highlight w:val="none"/>
        </w:rPr>
      </w:pPr>
      <w:r>
        <w:rPr>
          <w:rFonts w:hint="eastAsia" w:ascii="宋体" w:hAnsi="宋体"/>
          <w:b/>
          <w:highlight w:val="none"/>
        </w:rPr>
        <w:t>附件5：</w:t>
      </w:r>
    </w:p>
    <w:p>
      <w:pPr>
        <w:spacing w:line="360" w:lineRule="auto"/>
        <w:ind w:firstLine="723" w:firstLineChars="200"/>
        <w:jc w:val="center"/>
        <w:rPr>
          <w:rFonts w:hAnsi="宋体"/>
          <w:b/>
          <w:sz w:val="36"/>
          <w:szCs w:val="36"/>
          <w:highlight w:val="none"/>
        </w:rPr>
      </w:pPr>
      <w:r>
        <w:rPr>
          <w:rFonts w:hAnsi="宋体"/>
          <w:b/>
          <w:sz w:val="36"/>
          <w:szCs w:val="36"/>
          <w:highlight w:val="none"/>
        </w:rPr>
        <w:t>投标承诺书</w:t>
      </w:r>
    </w:p>
    <w:p>
      <w:pPr>
        <w:adjustRightInd w:val="0"/>
        <w:snapToGrid w:val="0"/>
        <w:spacing w:line="360" w:lineRule="auto"/>
        <w:rPr>
          <w:rFonts w:hint="eastAsia" w:hAnsi="宋体"/>
          <w:highlight w:val="none"/>
        </w:rPr>
      </w:pPr>
    </w:p>
    <w:p>
      <w:pPr>
        <w:pStyle w:val="10"/>
        <w:spacing w:line="264" w:lineRule="auto"/>
        <w:rPr>
          <w:rFonts w:hAnsi="宋体"/>
          <w:b/>
          <w:bCs/>
          <w:sz w:val="52"/>
          <w:szCs w:val="52"/>
          <w:highlight w:val="none"/>
          <w:u w:val="single"/>
        </w:rPr>
      </w:pPr>
      <w:r>
        <w:rPr>
          <w:rFonts w:hAnsi="宋体"/>
          <w:b/>
          <w:szCs w:val="24"/>
          <w:highlight w:val="none"/>
        </w:rPr>
        <w:t>项目名称：</w:t>
      </w:r>
      <w:r>
        <w:rPr>
          <w:rFonts w:hint="eastAsia" w:hAnsi="宋体"/>
          <w:b/>
          <w:szCs w:val="24"/>
          <w:highlight w:val="none"/>
          <w:u w:val="single"/>
          <w:lang w:eastAsia="zh-CN"/>
        </w:rPr>
        <w:t>中国人民解放军某部队犬舍建造工程</w:t>
      </w:r>
    </w:p>
    <w:p>
      <w:pPr>
        <w:pStyle w:val="10"/>
        <w:spacing w:line="420" w:lineRule="exact"/>
        <w:ind w:firstLine="420" w:firstLineChars="200"/>
        <w:rPr>
          <w:rFonts w:hAnsi="宋体"/>
          <w:highlight w:val="none"/>
        </w:rPr>
      </w:pPr>
      <w:r>
        <w:rPr>
          <w:rFonts w:hAnsi="宋体"/>
          <w:highlight w:val="none"/>
        </w:rPr>
        <w:t>本单位已详细阅读上述工程施工之招标文件，现自愿就参加上述工程投标有关事项向招标单位郑重承诺如下：</w:t>
      </w:r>
    </w:p>
    <w:p>
      <w:pPr>
        <w:pStyle w:val="10"/>
        <w:spacing w:line="420" w:lineRule="exact"/>
        <w:ind w:firstLine="480"/>
        <w:rPr>
          <w:rFonts w:hAnsi="宋体"/>
          <w:highlight w:val="none"/>
        </w:rPr>
      </w:pPr>
      <w:r>
        <w:rPr>
          <w:rFonts w:hAnsi="宋体"/>
          <w:highlight w:val="none"/>
        </w:rPr>
        <w:t>1.遵守中华人民共和国、浙江省、东阳市有关招标投标的法律法规规定，自觉维护建筑市场正常秩序。若有违反，同意被废除投标资格并接受处罚。</w:t>
      </w:r>
    </w:p>
    <w:p>
      <w:pPr>
        <w:pStyle w:val="10"/>
        <w:spacing w:line="420" w:lineRule="exact"/>
        <w:ind w:firstLine="480"/>
        <w:rPr>
          <w:rFonts w:hAnsi="宋体"/>
          <w:highlight w:val="none"/>
        </w:rPr>
      </w:pPr>
      <w:r>
        <w:rPr>
          <w:rFonts w:hAnsi="宋体"/>
          <w:highlight w:val="none"/>
        </w:rPr>
        <w:t>2.遵守各项管理制度，自觉维护招投标工作秩序。若有违反，同意被废除投标资格并接受处罚。</w:t>
      </w:r>
    </w:p>
    <w:p>
      <w:pPr>
        <w:pStyle w:val="10"/>
        <w:spacing w:line="420" w:lineRule="exact"/>
        <w:ind w:firstLine="480"/>
        <w:rPr>
          <w:rFonts w:hAnsi="宋体"/>
          <w:highlight w:val="none"/>
        </w:rPr>
      </w:pPr>
      <w:r>
        <w:rPr>
          <w:rFonts w:hAnsi="宋体"/>
          <w:highlight w:val="none"/>
        </w:rPr>
        <w:t>3.服从招标有关议程事项安排，服从招标有关会议现场纪律。若有违反，同意被废除投标资格并接受处罚。</w:t>
      </w:r>
    </w:p>
    <w:p>
      <w:pPr>
        <w:pStyle w:val="10"/>
        <w:spacing w:line="420" w:lineRule="exact"/>
        <w:ind w:firstLine="480"/>
        <w:rPr>
          <w:rFonts w:hAnsi="宋体"/>
          <w:highlight w:val="none"/>
        </w:rPr>
      </w:pPr>
      <w:r>
        <w:rPr>
          <w:rFonts w:hAnsi="宋体"/>
          <w:highlight w:val="none"/>
        </w:rPr>
        <w:t>4.接受招标文件全部条款及内容，未经招标单位允许，不对招标文件条款及内容提出异议。若有违反，同意被废除投标资格并接受处罚。</w:t>
      </w:r>
    </w:p>
    <w:p>
      <w:pPr>
        <w:pStyle w:val="10"/>
        <w:spacing w:line="420" w:lineRule="exact"/>
        <w:ind w:firstLine="480"/>
        <w:rPr>
          <w:rFonts w:hAnsi="宋体"/>
          <w:highlight w:val="none"/>
        </w:rPr>
      </w:pPr>
      <w:r>
        <w:rPr>
          <w:rFonts w:hAnsi="宋体"/>
          <w:highlight w:val="none"/>
        </w:rPr>
        <w:t>5.保证投标文件内容无任何虚假。若评标过程中查有虚假，同意作无效投标文件处理并被没收投标保证金，若中标之后查有虚假，同意被废除授标并被没收投标保证金。</w:t>
      </w:r>
    </w:p>
    <w:p>
      <w:pPr>
        <w:pStyle w:val="10"/>
        <w:spacing w:line="420" w:lineRule="exact"/>
        <w:ind w:firstLine="480"/>
        <w:rPr>
          <w:rFonts w:hAnsi="宋体"/>
          <w:highlight w:val="none"/>
        </w:rPr>
      </w:pPr>
      <w:r>
        <w:rPr>
          <w:rFonts w:hAnsi="宋体"/>
          <w:highlight w:val="none"/>
        </w:rPr>
        <w:t>6.保证投标文件不存在低于成本的恶意报价行为。</w:t>
      </w:r>
    </w:p>
    <w:p>
      <w:pPr>
        <w:pStyle w:val="10"/>
        <w:spacing w:line="420" w:lineRule="exact"/>
        <w:ind w:firstLine="480"/>
        <w:rPr>
          <w:rFonts w:hAnsi="宋体"/>
          <w:highlight w:val="none"/>
        </w:rPr>
      </w:pPr>
      <w:r>
        <w:rPr>
          <w:rFonts w:hAnsi="宋体"/>
          <w:highlight w:val="none"/>
        </w:rPr>
        <w:t>7.保证无论中标与否，均不向招标单位查询追问原因。</w:t>
      </w:r>
    </w:p>
    <w:p>
      <w:pPr>
        <w:pStyle w:val="10"/>
        <w:spacing w:line="420" w:lineRule="exact"/>
        <w:ind w:firstLine="480"/>
        <w:rPr>
          <w:rFonts w:hAnsi="宋体"/>
          <w:highlight w:val="none"/>
        </w:rPr>
      </w:pPr>
      <w:r>
        <w:rPr>
          <w:rFonts w:hAnsi="宋体"/>
          <w:highlight w:val="none"/>
        </w:rPr>
        <w:t>8.保证按照招标文件及中标通知书规定商签施工合同及提交履约保证。如有违反，同意接受招标单位违约处罚并被没收投标保证金。</w:t>
      </w:r>
    </w:p>
    <w:p>
      <w:pPr>
        <w:pStyle w:val="10"/>
        <w:spacing w:line="420" w:lineRule="exact"/>
        <w:ind w:firstLine="480"/>
        <w:rPr>
          <w:rFonts w:hAnsi="宋体"/>
          <w:highlight w:val="none"/>
        </w:rPr>
      </w:pPr>
      <w:r>
        <w:rPr>
          <w:rFonts w:hAnsi="宋体"/>
          <w:highlight w:val="none"/>
        </w:rPr>
        <w:t>9.保证中标之后不转包及使用挂靠施工队伍，若有分包将征得建设单位同意。</w:t>
      </w:r>
    </w:p>
    <w:p>
      <w:pPr>
        <w:pStyle w:val="10"/>
        <w:spacing w:line="420" w:lineRule="exact"/>
        <w:ind w:firstLine="480"/>
        <w:rPr>
          <w:rFonts w:hAnsi="宋体"/>
          <w:highlight w:val="none"/>
        </w:rPr>
      </w:pPr>
      <w:r>
        <w:rPr>
          <w:rFonts w:hAnsi="宋体"/>
          <w:highlight w:val="none"/>
        </w:rPr>
        <w:t>10.保证中标之后密切配合建设单位开展工作，服从建设单位驻现场代表或监理人员的管理。</w:t>
      </w:r>
    </w:p>
    <w:p>
      <w:pPr>
        <w:pStyle w:val="10"/>
        <w:spacing w:line="420" w:lineRule="exact"/>
        <w:ind w:firstLine="480"/>
        <w:rPr>
          <w:rFonts w:hAnsi="宋体"/>
          <w:highlight w:val="none"/>
        </w:rPr>
      </w:pPr>
      <w:r>
        <w:rPr>
          <w:rFonts w:hAnsi="宋体"/>
          <w:highlight w:val="none"/>
        </w:rPr>
        <w:t>11.保证按照招标文件及施工合同约定原则处理造价调整事宜，不会发生签署施工合同之后恶意提高造价的行为，在投标期间或履约合同期间，因纠纷被法院等执行的其一切后果自负。</w:t>
      </w:r>
    </w:p>
    <w:p>
      <w:pPr>
        <w:pStyle w:val="10"/>
        <w:spacing w:line="420" w:lineRule="exact"/>
        <w:outlineLvl w:val="0"/>
        <w:rPr>
          <w:rFonts w:hAnsi="宋体"/>
          <w:highlight w:val="none"/>
        </w:rPr>
      </w:pPr>
    </w:p>
    <w:p>
      <w:pPr>
        <w:pStyle w:val="10"/>
        <w:spacing w:line="420" w:lineRule="exact"/>
        <w:ind w:firstLine="480"/>
        <w:outlineLvl w:val="0"/>
        <w:rPr>
          <w:rFonts w:hAnsi="宋体"/>
          <w:highlight w:val="none"/>
        </w:rPr>
      </w:pPr>
    </w:p>
    <w:p>
      <w:pPr>
        <w:pStyle w:val="10"/>
        <w:spacing w:line="420" w:lineRule="exact"/>
        <w:ind w:firstLine="480"/>
        <w:outlineLvl w:val="0"/>
        <w:rPr>
          <w:rFonts w:hAnsi="宋体"/>
          <w:highlight w:val="none"/>
        </w:rPr>
      </w:pPr>
    </w:p>
    <w:p>
      <w:pPr>
        <w:pStyle w:val="10"/>
        <w:spacing w:line="420" w:lineRule="exact"/>
        <w:ind w:firstLine="840" w:firstLineChars="400"/>
        <w:outlineLvl w:val="0"/>
        <w:rPr>
          <w:rFonts w:hAnsi="宋体"/>
          <w:highlight w:val="none"/>
        </w:rPr>
      </w:pPr>
      <w:r>
        <w:rPr>
          <w:rFonts w:hAnsi="宋体"/>
          <w:highlight w:val="none"/>
        </w:rPr>
        <w:t>投标单位（盖章）：           法定代表人或交易员（签名）：</w:t>
      </w:r>
    </w:p>
    <w:p>
      <w:pPr>
        <w:pStyle w:val="10"/>
        <w:spacing w:line="420" w:lineRule="exact"/>
        <w:ind w:firstLine="480"/>
        <w:rPr>
          <w:rFonts w:hAnsi="宋体"/>
          <w:highlight w:val="none"/>
        </w:rPr>
      </w:pPr>
    </w:p>
    <w:p>
      <w:pPr>
        <w:pStyle w:val="10"/>
        <w:spacing w:line="420" w:lineRule="exact"/>
        <w:ind w:firstLine="480"/>
        <w:rPr>
          <w:rFonts w:hAnsi="宋体"/>
          <w:highlight w:val="none"/>
          <w:u w:val="single"/>
        </w:rPr>
      </w:pPr>
      <w:r>
        <w:rPr>
          <w:rFonts w:hAnsi="宋体"/>
          <w:highlight w:val="none"/>
        </w:rPr>
        <w:t xml:space="preserve">                                                 </w:t>
      </w:r>
      <w:r>
        <w:rPr>
          <w:rFonts w:hAnsi="宋体"/>
          <w:highlight w:val="none"/>
          <w:u w:val="single"/>
        </w:rPr>
        <w:t xml:space="preserve">      </w:t>
      </w:r>
      <w:r>
        <w:rPr>
          <w:rFonts w:hAnsi="宋体"/>
          <w:highlight w:val="none"/>
        </w:rPr>
        <w:t>年</w:t>
      </w:r>
      <w:r>
        <w:rPr>
          <w:rFonts w:hAnsi="宋体"/>
          <w:highlight w:val="none"/>
          <w:u w:val="single"/>
        </w:rPr>
        <w:t xml:space="preserve">    </w:t>
      </w:r>
      <w:r>
        <w:rPr>
          <w:rFonts w:hAnsi="宋体"/>
          <w:highlight w:val="none"/>
        </w:rPr>
        <w:t>月</w:t>
      </w:r>
      <w:r>
        <w:rPr>
          <w:rFonts w:hAnsi="宋体"/>
          <w:highlight w:val="none"/>
          <w:u w:val="single"/>
        </w:rPr>
        <w:t xml:space="preserve">    </w:t>
      </w:r>
      <w:r>
        <w:rPr>
          <w:rFonts w:hAnsi="宋体"/>
          <w:highlight w:val="none"/>
        </w:rPr>
        <w:t>日</w:t>
      </w:r>
    </w:p>
    <w:p>
      <w:pPr>
        <w:spacing w:line="360" w:lineRule="auto"/>
        <w:rPr>
          <w:rFonts w:hint="eastAsia" w:ascii="宋体" w:hAnsi="宋体"/>
          <w:b/>
          <w:highlight w:val="none"/>
        </w:rPr>
      </w:pPr>
    </w:p>
    <w:p>
      <w:pPr>
        <w:spacing w:line="360" w:lineRule="auto"/>
        <w:rPr>
          <w:rFonts w:hint="eastAsia" w:ascii="宋体" w:hAnsi="宋体"/>
          <w:b/>
          <w:highlight w:val="none"/>
        </w:rPr>
      </w:pPr>
    </w:p>
    <w:p>
      <w:pPr>
        <w:spacing w:line="360" w:lineRule="auto"/>
        <w:rPr>
          <w:rFonts w:hint="eastAsia" w:ascii="宋体" w:hAnsi="宋体"/>
          <w:b/>
          <w:highlight w:val="none"/>
        </w:rPr>
      </w:pPr>
    </w:p>
    <w:p>
      <w:pPr>
        <w:spacing w:line="360" w:lineRule="auto"/>
        <w:rPr>
          <w:rFonts w:hint="eastAsia" w:ascii="宋体" w:hAnsi="宋体"/>
          <w:b/>
          <w:highlight w:val="none"/>
        </w:rPr>
      </w:pPr>
    </w:p>
    <w:p>
      <w:pPr>
        <w:spacing w:line="360" w:lineRule="auto"/>
        <w:rPr>
          <w:rFonts w:ascii="宋体" w:hAnsi="宋体"/>
          <w:b/>
          <w:highlight w:val="none"/>
        </w:rPr>
      </w:pPr>
      <w:r>
        <w:rPr>
          <w:rFonts w:hint="eastAsia" w:ascii="宋体" w:hAnsi="宋体"/>
          <w:b/>
          <w:highlight w:val="none"/>
        </w:rPr>
        <w:t>附件6：</w:t>
      </w:r>
    </w:p>
    <w:p>
      <w:pPr>
        <w:spacing w:line="520" w:lineRule="exact"/>
        <w:ind w:left="360"/>
        <w:jc w:val="center"/>
        <w:rPr>
          <w:rFonts w:ascii="宋体" w:hAnsi="宋体"/>
          <w:b/>
          <w:sz w:val="32"/>
          <w:szCs w:val="32"/>
          <w:highlight w:val="none"/>
        </w:rPr>
      </w:pPr>
      <w:r>
        <w:rPr>
          <w:b/>
          <w:sz w:val="32"/>
          <w:szCs w:val="32"/>
          <w:highlight w:val="none"/>
        </w:rPr>
        <w:t>投标人基本情况表</w:t>
      </w:r>
    </w:p>
    <w:tbl>
      <w:tblPr>
        <w:tblStyle w:val="14"/>
        <w:tblpPr w:leftFromText="180" w:rightFromText="180" w:vertAnchor="text" w:horzAnchor="margin" w:tblpY="3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065"/>
        <w:gridCol w:w="1773"/>
        <w:gridCol w:w="709"/>
        <w:gridCol w:w="528"/>
        <w:gridCol w:w="1077"/>
        <w:gridCol w:w="173"/>
        <w:gridCol w:w="718"/>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50" w:type="dxa"/>
            <w:noWrap w:val="0"/>
            <w:vAlign w:val="top"/>
          </w:tcPr>
          <w:p>
            <w:pPr>
              <w:spacing w:line="360" w:lineRule="auto"/>
              <w:rPr>
                <w:rFonts w:hint="eastAsia" w:ascii="宋体" w:hAnsi="宋体"/>
                <w:szCs w:val="21"/>
                <w:highlight w:val="none"/>
              </w:rPr>
            </w:pPr>
            <w:r>
              <w:rPr>
                <w:rFonts w:hint="eastAsia" w:ascii="宋体" w:hAnsi="宋体"/>
                <w:szCs w:val="21"/>
                <w:highlight w:val="none"/>
              </w:rPr>
              <w:t>投标人名称</w:t>
            </w:r>
          </w:p>
        </w:tc>
        <w:tc>
          <w:tcPr>
            <w:tcW w:w="7450" w:type="dxa"/>
            <w:gridSpan w:val="8"/>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50" w:type="dxa"/>
            <w:noWrap w:val="0"/>
            <w:vAlign w:val="top"/>
          </w:tcPr>
          <w:p>
            <w:pPr>
              <w:spacing w:line="360" w:lineRule="auto"/>
              <w:rPr>
                <w:rFonts w:hint="eastAsia" w:ascii="宋体" w:hAnsi="宋体"/>
                <w:szCs w:val="21"/>
                <w:highlight w:val="none"/>
              </w:rPr>
            </w:pPr>
            <w:r>
              <w:rPr>
                <w:rFonts w:hint="eastAsia" w:ascii="宋体" w:hAnsi="宋体"/>
                <w:szCs w:val="21"/>
                <w:highlight w:val="none"/>
              </w:rPr>
              <w:t>注册地址</w:t>
            </w:r>
          </w:p>
        </w:tc>
        <w:tc>
          <w:tcPr>
            <w:tcW w:w="4075" w:type="dxa"/>
            <w:gridSpan w:val="4"/>
            <w:noWrap w:val="0"/>
            <w:vAlign w:val="top"/>
          </w:tcPr>
          <w:p>
            <w:pPr>
              <w:spacing w:line="360" w:lineRule="auto"/>
              <w:rPr>
                <w:rFonts w:hint="eastAsia" w:ascii="宋体" w:hAnsi="宋体"/>
                <w:szCs w:val="21"/>
                <w:highlight w:val="none"/>
              </w:rPr>
            </w:pPr>
          </w:p>
        </w:tc>
        <w:tc>
          <w:tcPr>
            <w:tcW w:w="1077" w:type="dxa"/>
            <w:noWrap w:val="0"/>
            <w:vAlign w:val="top"/>
          </w:tcPr>
          <w:p>
            <w:pPr>
              <w:spacing w:line="360" w:lineRule="auto"/>
              <w:rPr>
                <w:rFonts w:hint="eastAsia" w:ascii="宋体" w:hAnsi="宋体"/>
                <w:szCs w:val="21"/>
                <w:highlight w:val="none"/>
              </w:rPr>
            </w:pPr>
            <w:r>
              <w:rPr>
                <w:rFonts w:hint="eastAsia" w:ascii="宋体" w:hAnsi="宋体"/>
                <w:szCs w:val="21"/>
                <w:highlight w:val="none"/>
              </w:rPr>
              <w:t>邮政编码</w:t>
            </w:r>
          </w:p>
        </w:tc>
        <w:tc>
          <w:tcPr>
            <w:tcW w:w="2298" w:type="dxa"/>
            <w:gridSpan w:val="3"/>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50" w:type="dxa"/>
            <w:vMerge w:val="restart"/>
            <w:noWrap w:val="0"/>
            <w:vAlign w:val="center"/>
          </w:tcPr>
          <w:p>
            <w:pPr>
              <w:spacing w:line="360" w:lineRule="auto"/>
              <w:jc w:val="left"/>
              <w:rPr>
                <w:rFonts w:hint="eastAsia" w:ascii="宋体" w:hAnsi="宋体"/>
                <w:szCs w:val="21"/>
                <w:highlight w:val="none"/>
              </w:rPr>
            </w:pPr>
            <w:r>
              <w:rPr>
                <w:rFonts w:hint="eastAsia" w:ascii="宋体" w:hAnsi="宋体"/>
                <w:szCs w:val="21"/>
                <w:highlight w:val="none"/>
              </w:rPr>
              <w:t>联系方式</w:t>
            </w:r>
          </w:p>
        </w:tc>
        <w:tc>
          <w:tcPr>
            <w:tcW w:w="1065" w:type="dxa"/>
            <w:noWrap w:val="0"/>
            <w:vAlign w:val="top"/>
          </w:tcPr>
          <w:p>
            <w:pPr>
              <w:spacing w:line="360" w:lineRule="auto"/>
              <w:rPr>
                <w:rFonts w:hint="eastAsia" w:ascii="宋体" w:hAnsi="宋体"/>
                <w:szCs w:val="21"/>
                <w:highlight w:val="none"/>
              </w:rPr>
            </w:pPr>
            <w:r>
              <w:rPr>
                <w:rFonts w:hint="eastAsia" w:ascii="宋体" w:hAnsi="宋体"/>
                <w:szCs w:val="21"/>
                <w:highlight w:val="none"/>
              </w:rPr>
              <w:t>联系人</w:t>
            </w:r>
          </w:p>
        </w:tc>
        <w:tc>
          <w:tcPr>
            <w:tcW w:w="3010" w:type="dxa"/>
            <w:gridSpan w:val="3"/>
            <w:noWrap w:val="0"/>
            <w:vAlign w:val="top"/>
          </w:tcPr>
          <w:p>
            <w:pPr>
              <w:spacing w:line="360" w:lineRule="auto"/>
              <w:rPr>
                <w:rFonts w:hint="eastAsia" w:ascii="宋体" w:hAnsi="宋体"/>
                <w:szCs w:val="21"/>
                <w:highlight w:val="none"/>
              </w:rPr>
            </w:pPr>
          </w:p>
        </w:tc>
        <w:tc>
          <w:tcPr>
            <w:tcW w:w="1077" w:type="dxa"/>
            <w:noWrap w:val="0"/>
            <w:vAlign w:val="top"/>
          </w:tcPr>
          <w:p>
            <w:pPr>
              <w:spacing w:line="360" w:lineRule="auto"/>
              <w:rPr>
                <w:rFonts w:hint="eastAsia" w:ascii="宋体" w:hAnsi="宋体"/>
                <w:szCs w:val="21"/>
                <w:highlight w:val="none"/>
              </w:rPr>
            </w:pPr>
            <w:r>
              <w:rPr>
                <w:rFonts w:hint="eastAsia" w:ascii="宋体" w:hAnsi="宋体"/>
                <w:szCs w:val="21"/>
                <w:highlight w:val="none"/>
              </w:rPr>
              <w:t>电话</w:t>
            </w:r>
          </w:p>
        </w:tc>
        <w:tc>
          <w:tcPr>
            <w:tcW w:w="2298" w:type="dxa"/>
            <w:gridSpan w:val="3"/>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0" w:type="dxa"/>
            <w:vMerge w:val="continue"/>
            <w:noWrap w:val="0"/>
            <w:vAlign w:val="top"/>
          </w:tcPr>
          <w:p>
            <w:pPr>
              <w:spacing w:line="360" w:lineRule="auto"/>
              <w:rPr>
                <w:rFonts w:hint="eastAsia" w:ascii="宋体" w:hAnsi="宋体"/>
                <w:szCs w:val="21"/>
                <w:highlight w:val="none"/>
              </w:rPr>
            </w:pPr>
          </w:p>
        </w:tc>
        <w:tc>
          <w:tcPr>
            <w:tcW w:w="1065" w:type="dxa"/>
            <w:noWrap w:val="0"/>
            <w:vAlign w:val="top"/>
          </w:tcPr>
          <w:p>
            <w:pPr>
              <w:spacing w:line="360" w:lineRule="auto"/>
              <w:rPr>
                <w:rFonts w:hint="eastAsia" w:ascii="宋体" w:hAnsi="宋体"/>
                <w:szCs w:val="21"/>
                <w:highlight w:val="none"/>
              </w:rPr>
            </w:pPr>
            <w:r>
              <w:rPr>
                <w:rFonts w:hint="eastAsia" w:ascii="宋体" w:hAnsi="宋体"/>
                <w:szCs w:val="21"/>
                <w:highlight w:val="none"/>
              </w:rPr>
              <w:t>传真</w:t>
            </w:r>
          </w:p>
        </w:tc>
        <w:tc>
          <w:tcPr>
            <w:tcW w:w="3010" w:type="dxa"/>
            <w:gridSpan w:val="3"/>
            <w:noWrap w:val="0"/>
            <w:vAlign w:val="top"/>
          </w:tcPr>
          <w:p>
            <w:pPr>
              <w:spacing w:line="360" w:lineRule="auto"/>
              <w:rPr>
                <w:rFonts w:hint="eastAsia" w:ascii="宋体" w:hAnsi="宋体"/>
                <w:szCs w:val="21"/>
                <w:highlight w:val="none"/>
              </w:rPr>
            </w:pPr>
          </w:p>
        </w:tc>
        <w:tc>
          <w:tcPr>
            <w:tcW w:w="1077" w:type="dxa"/>
            <w:noWrap w:val="0"/>
            <w:vAlign w:val="top"/>
          </w:tcPr>
          <w:p>
            <w:pPr>
              <w:spacing w:line="360" w:lineRule="auto"/>
              <w:rPr>
                <w:rFonts w:hint="eastAsia" w:ascii="宋体" w:hAnsi="宋体"/>
                <w:szCs w:val="21"/>
                <w:highlight w:val="none"/>
              </w:rPr>
            </w:pPr>
            <w:r>
              <w:rPr>
                <w:rFonts w:hint="eastAsia" w:ascii="宋体" w:hAnsi="宋体"/>
                <w:szCs w:val="21"/>
                <w:highlight w:val="none"/>
              </w:rPr>
              <w:t>网址</w:t>
            </w:r>
          </w:p>
        </w:tc>
        <w:tc>
          <w:tcPr>
            <w:tcW w:w="2298" w:type="dxa"/>
            <w:gridSpan w:val="3"/>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0" w:type="dxa"/>
            <w:noWrap w:val="0"/>
            <w:vAlign w:val="top"/>
          </w:tcPr>
          <w:p>
            <w:pPr>
              <w:spacing w:line="360" w:lineRule="auto"/>
              <w:rPr>
                <w:rFonts w:hint="eastAsia" w:ascii="宋体" w:hAnsi="宋体"/>
                <w:szCs w:val="21"/>
                <w:highlight w:val="none"/>
              </w:rPr>
            </w:pPr>
            <w:r>
              <w:rPr>
                <w:rFonts w:hint="eastAsia" w:ascii="宋体" w:hAnsi="宋体"/>
                <w:szCs w:val="21"/>
                <w:highlight w:val="none"/>
              </w:rPr>
              <w:t>组织结构</w:t>
            </w:r>
          </w:p>
        </w:tc>
        <w:tc>
          <w:tcPr>
            <w:tcW w:w="7450" w:type="dxa"/>
            <w:gridSpan w:val="8"/>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50" w:type="dxa"/>
            <w:noWrap w:val="0"/>
            <w:vAlign w:val="top"/>
          </w:tcPr>
          <w:p>
            <w:pPr>
              <w:spacing w:line="360" w:lineRule="auto"/>
              <w:rPr>
                <w:rFonts w:hint="eastAsia" w:ascii="宋体" w:hAnsi="宋体"/>
                <w:szCs w:val="21"/>
                <w:highlight w:val="none"/>
              </w:rPr>
            </w:pPr>
            <w:r>
              <w:rPr>
                <w:rFonts w:hint="eastAsia" w:ascii="宋体" w:hAnsi="宋体"/>
                <w:szCs w:val="21"/>
                <w:highlight w:val="none"/>
              </w:rPr>
              <w:t>法定代表人</w:t>
            </w:r>
          </w:p>
        </w:tc>
        <w:tc>
          <w:tcPr>
            <w:tcW w:w="1065" w:type="dxa"/>
            <w:noWrap w:val="0"/>
            <w:vAlign w:val="top"/>
          </w:tcPr>
          <w:p>
            <w:pPr>
              <w:spacing w:line="360" w:lineRule="auto"/>
              <w:rPr>
                <w:rFonts w:hint="eastAsia" w:ascii="宋体" w:hAnsi="宋体"/>
                <w:szCs w:val="21"/>
                <w:highlight w:val="none"/>
              </w:rPr>
            </w:pPr>
            <w:r>
              <w:rPr>
                <w:rFonts w:hint="eastAsia" w:ascii="宋体" w:hAnsi="宋体"/>
                <w:szCs w:val="21"/>
                <w:highlight w:val="none"/>
              </w:rPr>
              <w:t>姓名</w:t>
            </w:r>
          </w:p>
        </w:tc>
        <w:tc>
          <w:tcPr>
            <w:tcW w:w="1773" w:type="dxa"/>
            <w:noWrap w:val="0"/>
            <w:vAlign w:val="top"/>
          </w:tcPr>
          <w:p>
            <w:pPr>
              <w:spacing w:line="360" w:lineRule="auto"/>
              <w:rPr>
                <w:rFonts w:hint="eastAsia" w:ascii="宋体" w:hAnsi="宋体"/>
                <w:szCs w:val="21"/>
                <w:highlight w:val="none"/>
              </w:rPr>
            </w:pPr>
          </w:p>
        </w:tc>
        <w:tc>
          <w:tcPr>
            <w:tcW w:w="1237" w:type="dxa"/>
            <w:gridSpan w:val="2"/>
            <w:noWrap w:val="0"/>
            <w:vAlign w:val="top"/>
          </w:tcPr>
          <w:p>
            <w:pPr>
              <w:spacing w:line="360" w:lineRule="auto"/>
              <w:rPr>
                <w:rFonts w:hint="eastAsia" w:ascii="宋体" w:hAnsi="宋体"/>
                <w:szCs w:val="21"/>
                <w:highlight w:val="none"/>
              </w:rPr>
            </w:pPr>
            <w:r>
              <w:rPr>
                <w:rFonts w:hint="eastAsia" w:ascii="宋体" w:hAnsi="宋体"/>
                <w:szCs w:val="21"/>
                <w:highlight w:val="none"/>
              </w:rPr>
              <w:t>技术职称</w:t>
            </w:r>
          </w:p>
        </w:tc>
        <w:tc>
          <w:tcPr>
            <w:tcW w:w="1250" w:type="dxa"/>
            <w:gridSpan w:val="2"/>
            <w:noWrap w:val="0"/>
            <w:vAlign w:val="top"/>
          </w:tcPr>
          <w:p>
            <w:pPr>
              <w:spacing w:line="360" w:lineRule="auto"/>
              <w:rPr>
                <w:rFonts w:hint="eastAsia" w:ascii="宋体" w:hAnsi="宋体"/>
                <w:szCs w:val="21"/>
                <w:highlight w:val="none"/>
              </w:rPr>
            </w:pPr>
          </w:p>
        </w:tc>
        <w:tc>
          <w:tcPr>
            <w:tcW w:w="718" w:type="dxa"/>
            <w:noWrap w:val="0"/>
            <w:vAlign w:val="top"/>
          </w:tcPr>
          <w:p>
            <w:pPr>
              <w:spacing w:line="360" w:lineRule="auto"/>
              <w:rPr>
                <w:rFonts w:hint="eastAsia" w:ascii="宋体" w:hAnsi="宋体"/>
                <w:szCs w:val="21"/>
                <w:highlight w:val="none"/>
              </w:rPr>
            </w:pPr>
            <w:r>
              <w:rPr>
                <w:rFonts w:hint="eastAsia" w:ascii="宋体" w:hAnsi="宋体"/>
                <w:szCs w:val="21"/>
                <w:highlight w:val="none"/>
              </w:rPr>
              <w:t>电话</w:t>
            </w:r>
          </w:p>
        </w:tc>
        <w:tc>
          <w:tcPr>
            <w:tcW w:w="1407" w:type="dxa"/>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50" w:type="dxa"/>
            <w:noWrap w:val="0"/>
            <w:vAlign w:val="top"/>
          </w:tcPr>
          <w:p>
            <w:pPr>
              <w:spacing w:line="360" w:lineRule="auto"/>
              <w:rPr>
                <w:rFonts w:hint="eastAsia" w:ascii="宋体" w:hAnsi="宋体"/>
                <w:szCs w:val="21"/>
                <w:highlight w:val="none"/>
              </w:rPr>
            </w:pPr>
            <w:r>
              <w:rPr>
                <w:rFonts w:hint="eastAsia" w:ascii="宋体" w:hAnsi="宋体"/>
                <w:szCs w:val="21"/>
                <w:highlight w:val="none"/>
              </w:rPr>
              <w:t>技术负责人</w:t>
            </w:r>
          </w:p>
        </w:tc>
        <w:tc>
          <w:tcPr>
            <w:tcW w:w="1065" w:type="dxa"/>
            <w:noWrap w:val="0"/>
            <w:vAlign w:val="top"/>
          </w:tcPr>
          <w:p>
            <w:pPr>
              <w:spacing w:line="360" w:lineRule="auto"/>
              <w:rPr>
                <w:rFonts w:hint="eastAsia" w:ascii="宋体" w:hAnsi="宋体"/>
                <w:szCs w:val="21"/>
                <w:highlight w:val="none"/>
              </w:rPr>
            </w:pPr>
            <w:r>
              <w:rPr>
                <w:rFonts w:hint="eastAsia" w:ascii="宋体" w:hAnsi="宋体"/>
                <w:szCs w:val="21"/>
                <w:highlight w:val="none"/>
              </w:rPr>
              <w:t>姓名</w:t>
            </w:r>
          </w:p>
        </w:tc>
        <w:tc>
          <w:tcPr>
            <w:tcW w:w="1773" w:type="dxa"/>
            <w:noWrap w:val="0"/>
            <w:vAlign w:val="top"/>
          </w:tcPr>
          <w:p>
            <w:pPr>
              <w:spacing w:line="360" w:lineRule="auto"/>
              <w:rPr>
                <w:rFonts w:hint="eastAsia" w:ascii="宋体" w:hAnsi="宋体"/>
                <w:szCs w:val="21"/>
                <w:highlight w:val="none"/>
              </w:rPr>
            </w:pPr>
          </w:p>
        </w:tc>
        <w:tc>
          <w:tcPr>
            <w:tcW w:w="1237" w:type="dxa"/>
            <w:gridSpan w:val="2"/>
            <w:noWrap w:val="0"/>
            <w:vAlign w:val="top"/>
          </w:tcPr>
          <w:p>
            <w:pPr>
              <w:spacing w:line="360" w:lineRule="auto"/>
              <w:rPr>
                <w:rFonts w:hint="eastAsia" w:ascii="宋体" w:hAnsi="宋体"/>
                <w:szCs w:val="21"/>
                <w:highlight w:val="none"/>
              </w:rPr>
            </w:pPr>
            <w:r>
              <w:rPr>
                <w:rFonts w:hint="eastAsia" w:ascii="宋体" w:hAnsi="宋体"/>
                <w:szCs w:val="21"/>
                <w:highlight w:val="none"/>
              </w:rPr>
              <w:t>技术职称</w:t>
            </w:r>
          </w:p>
        </w:tc>
        <w:tc>
          <w:tcPr>
            <w:tcW w:w="1250" w:type="dxa"/>
            <w:gridSpan w:val="2"/>
            <w:noWrap w:val="0"/>
            <w:vAlign w:val="top"/>
          </w:tcPr>
          <w:p>
            <w:pPr>
              <w:spacing w:line="360" w:lineRule="auto"/>
              <w:rPr>
                <w:rFonts w:hint="eastAsia" w:ascii="宋体" w:hAnsi="宋体"/>
                <w:szCs w:val="21"/>
                <w:highlight w:val="none"/>
              </w:rPr>
            </w:pPr>
          </w:p>
        </w:tc>
        <w:tc>
          <w:tcPr>
            <w:tcW w:w="718" w:type="dxa"/>
            <w:noWrap w:val="0"/>
            <w:vAlign w:val="top"/>
          </w:tcPr>
          <w:p>
            <w:pPr>
              <w:spacing w:line="360" w:lineRule="auto"/>
              <w:rPr>
                <w:rFonts w:hint="eastAsia" w:ascii="宋体" w:hAnsi="宋体"/>
                <w:szCs w:val="21"/>
                <w:highlight w:val="none"/>
              </w:rPr>
            </w:pPr>
            <w:r>
              <w:rPr>
                <w:rFonts w:hint="eastAsia" w:ascii="宋体" w:hAnsi="宋体"/>
                <w:szCs w:val="21"/>
                <w:highlight w:val="none"/>
              </w:rPr>
              <w:t>电话</w:t>
            </w:r>
          </w:p>
        </w:tc>
        <w:tc>
          <w:tcPr>
            <w:tcW w:w="1407" w:type="dxa"/>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0" w:type="dxa"/>
            <w:noWrap w:val="0"/>
            <w:vAlign w:val="top"/>
          </w:tcPr>
          <w:p>
            <w:pPr>
              <w:spacing w:line="360" w:lineRule="auto"/>
              <w:rPr>
                <w:rFonts w:hint="eastAsia" w:ascii="宋体" w:hAnsi="宋体"/>
                <w:szCs w:val="21"/>
                <w:highlight w:val="none"/>
              </w:rPr>
            </w:pPr>
            <w:r>
              <w:rPr>
                <w:rFonts w:hint="eastAsia" w:ascii="宋体" w:hAnsi="宋体"/>
                <w:szCs w:val="21"/>
                <w:highlight w:val="none"/>
              </w:rPr>
              <w:t>成立时间</w:t>
            </w:r>
          </w:p>
        </w:tc>
        <w:tc>
          <w:tcPr>
            <w:tcW w:w="2838" w:type="dxa"/>
            <w:gridSpan w:val="2"/>
            <w:noWrap w:val="0"/>
            <w:vAlign w:val="top"/>
          </w:tcPr>
          <w:p>
            <w:pPr>
              <w:spacing w:line="360" w:lineRule="auto"/>
              <w:rPr>
                <w:rFonts w:hint="eastAsia" w:ascii="宋体" w:hAnsi="宋体"/>
                <w:szCs w:val="21"/>
                <w:highlight w:val="none"/>
              </w:rPr>
            </w:pPr>
          </w:p>
        </w:tc>
        <w:tc>
          <w:tcPr>
            <w:tcW w:w="4612" w:type="dxa"/>
            <w:gridSpan w:val="6"/>
            <w:noWrap w:val="0"/>
            <w:vAlign w:val="top"/>
          </w:tcPr>
          <w:p>
            <w:pPr>
              <w:spacing w:line="360" w:lineRule="auto"/>
              <w:rPr>
                <w:rFonts w:hint="eastAsia" w:ascii="宋体" w:hAnsi="宋体"/>
                <w:szCs w:val="21"/>
                <w:highlight w:val="none"/>
              </w:rPr>
            </w:pPr>
            <w:r>
              <w:rPr>
                <w:rFonts w:hint="eastAsia" w:ascii="宋体" w:hAnsi="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50" w:type="dxa"/>
            <w:noWrap w:val="0"/>
            <w:vAlign w:val="top"/>
          </w:tcPr>
          <w:p>
            <w:pPr>
              <w:spacing w:line="360" w:lineRule="auto"/>
              <w:rPr>
                <w:rFonts w:hint="eastAsia" w:ascii="宋体" w:hAnsi="宋体"/>
                <w:szCs w:val="21"/>
                <w:highlight w:val="none"/>
              </w:rPr>
            </w:pPr>
            <w:r>
              <w:rPr>
                <w:rFonts w:hint="eastAsia" w:ascii="宋体" w:hAnsi="宋体"/>
                <w:szCs w:val="21"/>
                <w:highlight w:val="none"/>
              </w:rPr>
              <w:t>企业资质等级</w:t>
            </w:r>
          </w:p>
        </w:tc>
        <w:tc>
          <w:tcPr>
            <w:tcW w:w="2838" w:type="dxa"/>
            <w:gridSpan w:val="2"/>
            <w:noWrap w:val="0"/>
            <w:vAlign w:val="top"/>
          </w:tcPr>
          <w:p>
            <w:pPr>
              <w:spacing w:line="360" w:lineRule="auto"/>
              <w:rPr>
                <w:rFonts w:hint="eastAsia" w:ascii="宋体" w:hAnsi="宋体"/>
                <w:szCs w:val="21"/>
                <w:highlight w:val="none"/>
              </w:rPr>
            </w:pPr>
          </w:p>
        </w:tc>
        <w:tc>
          <w:tcPr>
            <w:tcW w:w="709" w:type="dxa"/>
            <w:vMerge w:val="restar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其中</w:t>
            </w:r>
          </w:p>
        </w:tc>
        <w:tc>
          <w:tcPr>
            <w:tcW w:w="1778" w:type="dxa"/>
            <w:gridSpan w:val="3"/>
            <w:noWrap w:val="0"/>
            <w:vAlign w:val="top"/>
          </w:tcPr>
          <w:p>
            <w:pPr>
              <w:spacing w:line="360" w:lineRule="auto"/>
              <w:rPr>
                <w:rFonts w:hint="eastAsia" w:ascii="宋体" w:hAnsi="宋体"/>
                <w:szCs w:val="21"/>
                <w:highlight w:val="none"/>
              </w:rPr>
            </w:pPr>
            <w:r>
              <w:rPr>
                <w:rFonts w:hint="eastAsia" w:ascii="宋体" w:hAnsi="宋体"/>
                <w:szCs w:val="21"/>
                <w:highlight w:val="none"/>
              </w:rPr>
              <w:t>项目经理</w:t>
            </w:r>
          </w:p>
        </w:tc>
        <w:tc>
          <w:tcPr>
            <w:tcW w:w="2125" w:type="dxa"/>
            <w:gridSpan w:val="2"/>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50" w:type="dxa"/>
            <w:noWrap w:val="0"/>
            <w:vAlign w:val="top"/>
          </w:tcPr>
          <w:p>
            <w:pPr>
              <w:spacing w:line="360" w:lineRule="auto"/>
              <w:rPr>
                <w:rFonts w:hint="eastAsia" w:ascii="宋体" w:hAnsi="宋体"/>
                <w:szCs w:val="21"/>
                <w:highlight w:val="none"/>
              </w:rPr>
            </w:pPr>
            <w:r>
              <w:rPr>
                <w:rFonts w:hint="eastAsia" w:ascii="宋体" w:hAnsi="宋体"/>
                <w:szCs w:val="21"/>
                <w:highlight w:val="none"/>
              </w:rPr>
              <w:t>营业执照号</w:t>
            </w:r>
          </w:p>
        </w:tc>
        <w:tc>
          <w:tcPr>
            <w:tcW w:w="2838" w:type="dxa"/>
            <w:gridSpan w:val="2"/>
            <w:noWrap w:val="0"/>
            <w:vAlign w:val="top"/>
          </w:tcPr>
          <w:p>
            <w:pPr>
              <w:spacing w:line="360" w:lineRule="auto"/>
              <w:rPr>
                <w:rFonts w:hint="eastAsia" w:ascii="宋体" w:hAnsi="宋体"/>
                <w:szCs w:val="21"/>
                <w:highlight w:val="none"/>
              </w:rPr>
            </w:pPr>
          </w:p>
        </w:tc>
        <w:tc>
          <w:tcPr>
            <w:tcW w:w="709" w:type="dxa"/>
            <w:vMerge w:val="continue"/>
            <w:noWrap w:val="0"/>
            <w:vAlign w:val="top"/>
          </w:tcPr>
          <w:p>
            <w:pPr>
              <w:spacing w:line="360" w:lineRule="auto"/>
              <w:rPr>
                <w:rFonts w:hint="eastAsia" w:ascii="宋体" w:hAnsi="宋体"/>
                <w:szCs w:val="21"/>
                <w:highlight w:val="none"/>
              </w:rPr>
            </w:pPr>
          </w:p>
        </w:tc>
        <w:tc>
          <w:tcPr>
            <w:tcW w:w="1778" w:type="dxa"/>
            <w:gridSpan w:val="3"/>
            <w:noWrap w:val="0"/>
            <w:vAlign w:val="top"/>
          </w:tcPr>
          <w:p>
            <w:pPr>
              <w:spacing w:line="360" w:lineRule="auto"/>
              <w:rPr>
                <w:rFonts w:hint="eastAsia" w:ascii="宋体" w:hAnsi="宋体"/>
                <w:szCs w:val="21"/>
                <w:highlight w:val="none"/>
              </w:rPr>
            </w:pPr>
            <w:r>
              <w:rPr>
                <w:rFonts w:hint="eastAsia" w:ascii="宋体" w:hAnsi="宋体"/>
                <w:szCs w:val="21"/>
                <w:highlight w:val="none"/>
              </w:rPr>
              <w:t>高级职称人员</w:t>
            </w:r>
          </w:p>
        </w:tc>
        <w:tc>
          <w:tcPr>
            <w:tcW w:w="2125" w:type="dxa"/>
            <w:gridSpan w:val="2"/>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50" w:type="dxa"/>
            <w:noWrap w:val="0"/>
            <w:vAlign w:val="top"/>
          </w:tcPr>
          <w:p>
            <w:pPr>
              <w:spacing w:line="360" w:lineRule="auto"/>
              <w:rPr>
                <w:rFonts w:hint="eastAsia" w:ascii="宋体" w:hAnsi="宋体"/>
                <w:szCs w:val="21"/>
                <w:highlight w:val="none"/>
              </w:rPr>
            </w:pPr>
            <w:r>
              <w:rPr>
                <w:rFonts w:hint="eastAsia" w:ascii="宋体" w:hAnsi="宋体"/>
                <w:szCs w:val="21"/>
                <w:highlight w:val="none"/>
              </w:rPr>
              <w:t>注册资金</w:t>
            </w:r>
          </w:p>
        </w:tc>
        <w:tc>
          <w:tcPr>
            <w:tcW w:w="2838" w:type="dxa"/>
            <w:gridSpan w:val="2"/>
            <w:noWrap w:val="0"/>
            <w:vAlign w:val="top"/>
          </w:tcPr>
          <w:p>
            <w:pPr>
              <w:spacing w:line="360" w:lineRule="auto"/>
              <w:rPr>
                <w:rFonts w:hint="eastAsia" w:ascii="宋体" w:hAnsi="宋体"/>
                <w:szCs w:val="21"/>
                <w:highlight w:val="none"/>
              </w:rPr>
            </w:pPr>
          </w:p>
        </w:tc>
        <w:tc>
          <w:tcPr>
            <w:tcW w:w="709" w:type="dxa"/>
            <w:vMerge w:val="continue"/>
            <w:noWrap w:val="0"/>
            <w:vAlign w:val="top"/>
          </w:tcPr>
          <w:p>
            <w:pPr>
              <w:spacing w:line="360" w:lineRule="auto"/>
              <w:rPr>
                <w:rFonts w:hint="eastAsia" w:ascii="宋体" w:hAnsi="宋体"/>
                <w:szCs w:val="21"/>
                <w:highlight w:val="none"/>
              </w:rPr>
            </w:pPr>
          </w:p>
        </w:tc>
        <w:tc>
          <w:tcPr>
            <w:tcW w:w="1778" w:type="dxa"/>
            <w:gridSpan w:val="3"/>
            <w:noWrap w:val="0"/>
            <w:vAlign w:val="top"/>
          </w:tcPr>
          <w:p>
            <w:pPr>
              <w:spacing w:line="360" w:lineRule="auto"/>
              <w:rPr>
                <w:rFonts w:hint="eastAsia" w:ascii="宋体" w:hAnsi="宋体"/>
                <w:szCs w:val="21"/>
                <w:highlight w:val="none"/>
              </w:rPr>
            </w:pPr>
            <w:r>
              <w:rPr>
                <w:rFonts w:hint="eastAsia" w:ascii="宋体" w:hAnsi="宋体"/>
                <w:szCs w:val="21"/>
                <w:highlight w:val="none"/>
              </w:rPr>
              <w:t>中级职称人员</w:t>
            </w:r>
          </w:p>
        </w:tc>
        <w:tc>
          <w:tcPr>
            <w:tcW w:w="2125" w:type="dxa"/>
            <w:gridSpan w:val="2"/>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50" w:type="dxa"/>
            <w:noWrap w:val="0"/>
            <w:vAlign w:val="top"/>
          </w:tcPr>
          <w:p>
            <w:pPr>
              <w:spacing w:line="360" w:lineRule="auto"/>
              <w:rPr>
                <w:rFonts w:hint="eastAsia" w:ascii="宋体" w:hAnsi="宋体"/>
                <w:szCs w:val="21"/>
                <w:highlight w:val="none"/>
              </w:rPr>
            </w:pPr>
            <w:r>
              <w:rPr>
                <w:rFonts w:hint="eastAsia" w:ascii="宋体" w:hAnsi="宋体"/>
                <w:szCs w:val="21"/>
                <w:highlight w:val="none"/>
              </w:rPr>
              <w:t>开户银行</w:t>
            </w:r>
          </w:p>
        </w:tc>
        <w:tc>
          <w:tcPr>
            <w:tcW w:w="2838" w:type="dxa"/>
            <w:gridSpan w:val="2"/>
            <w:noWrap w:val="0"/>
            <w:vAlign w:val="top"/>
          </w:tcPr>
          <w:p>
            <w:pPr>
              <w:spacing w:line="360" w:lineRule="auto"/>
              <w:rPr>
                <w:rFonts w:hint="eastAsia" w:ascii="宋体" w:hAnsi="宋体"/>
                <w:szCs w:val="21"/>
                <w:highlight w:val="none"/>
              </w:rPr>
            </w:pPr>
          </w:p>
        </w:tc>
        <w:tc>
          <w:tcPr>
            <w:tcW w:w="709" w:type="dxa"/>
            <w:vMerge w:val="continue"/>
            <w:noWrap w:val="0"/>
            <w:vAlign w:val="top"/>
          </w:tcPr>
          <w:p>
            <w:pPr>
              <w:spacing w:line="360" w:lineRule="auto"/>
              <w:rPr>
                <w:rFonts w:hint="eastAsia" w:ascii="宋体" w:hAnsi="宋体"/>
                <w:szCs w:val="21"/>
                <w:highlight w:val="none"/>
              </w:rPr>
            </w:pPr>
          </w:p>
        </w:tc>
        <w:tc>
          <w:tcPr>
            <w:tcW w:w="1778" w:type="dxa"/>
            <w:gridSpan w:val="3"/>
            <w:noWrap w:val="0"/>
            <w:vAlign w:val="top"/>
          </w:tcPr>
          <w:p>
            <w:pPr>
              <w:spacing w:line="360" w:lineRule="auto"/>
              <w:rPr>
                <w:rFonts w:hint="eastAsia" w:ascii="宋体" w:hAnsi="宋体"/>
                <w:szCs w:val="21"/>
                <w:highlight w:val="none"/>
              </w:rPr>
            </w:pPr>
            <w:r>
              <w:rPr>
                <w:rFonts w:hint="eastAsia" w:ascii="宋体" w:hAnsi="宋体"/>
                <w:szCs w:val="21"/>
                <w:highlight w:val="none"/>
              </w:rPr>
              <w:t>初级职称人员</w:t>
            </w:r>
          </w:p>
        </w:tc>
        <w:tc>
          <w:tcPr>
            <w:tcW w:w="2125" w:type="dxa"/>
            <w:gridSpan w:val="2"/>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50" w:type="dxa"/>
            <w:noWrap w:val="0"/>
            <w:vAlign w:val="top"/>
          </w:tcPr>
          <w:p>
            <w:pPr>
              <w:spacing w:line="360" w:lineRule="auto"/>
              <w:rPr>
                <w:rFonts w:hint="eastAsia" w:ascii="宋体" w:hAnsi="宋体"/>
                <w:szCs w:val="21"/>
                <w:highlight w:val="none"/>
              </w:rPr>
            </w:pPr>
            <w:r>
              <w:rPr>
                <w:rFonts w:hint="eastAsia" w:ascii="宋体" w:hAnsi="宋体"/>
                <w:szCs w:val="21"/>
                <w:highlight w:val="none"/>
              </w:rPr>
              <w:t>账号</w:t>
            </w:r>
          </w:p>
        </w:tc>
        <w:tc>
          <w:tcPr>
            <w:tcW w:w="2838" w:type="dxa"/>
            <w:gridSpan w:val="2"/>
            <w:noWrap w:val="0"/>
            <w:vAlign w:val="top"/>
          </w:tcPr>
          <w:p>
            <w:pPr>
              <w:spacing w:line="360" w:lineRule="auto"/>
              <w:rPr>
                <w:rFonts w:hint="eastAsia" w:ascii="宋体" w:hAnsi="宋体"/>
                <w:szCs w:val="21"/>
                <w:highlight w:val="none"/>
              </w:rPr>
            </w:pPr>
          </w:p>
        </w:tc>
        <w:tc>
          <w:tcPr>
            <w:tcW w:w="709" w:type="dxa"/>
            <w:vMerge w:val="continue"/>
            <w:noWrap w:val="0"/>
            <w:vAlign w:val="top"/>
          </w:tcPr>
          <w:p>
            <w:pPr>
              <w:spacing w:line="360" w:lineRule="auto"/>
              <w:rPr>
                <w:rFonts w:hint="eastAsia" w:ascii="宋体" w:hAnsi="宋体"/>
                <w:szCs w:val="21"/>
                <w:highlight w:val="none"/>
              </w:rPr>
            </w:pPr>
          </w:p>
        </w:tc>
        <w:tc>
          <w:tcPr>
            <w:tcW w:w="1778" w:type="dxa"/>
            <w:gridSpan w:val="3"/>
            <w:noWrap w:val="0"/>
            <w:vAlign w:val="top"/>
          </w:tcPr>
          <w:p>
            <w:pPr>
              <w:spacing w:line="360" w:lineRule="auto"/>
              <w:rPr>
                <w:rFonts w:hint="eastAsia" w:ascii="宋体" w:hAnsi="宋体"/>
                <w:szCs w:val="21"/>
                <w:highlight w:val="none"/>
              </w:rPr>
            </w:pPr>
            <w:r>
              <w:rPr>
                <w:rFonts w:hint="eastAsia" w:ascii="宋体" w:hAnsi="宋体"/>
                <w:szCs w:val="21"/>
                <w:highlight w:val="none"/>
              </w:rPr>
              <w:t>技工</w:t>
            </w:r>
          </w:p>
        </w:tc>
        <w:tc>
          <w:tcPr>
            <w:tcW w:w="2125" w:type="dxa"/>
            <w:gridSpan w:val="2"/>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950" w:type="dxa"/>
            <w:noWrap w:val="0"/>
            <w:vAlign w:val="top"/>
          </w:tcPr>
          <w:p>
            <w:pPr>
              <w:spacing w:line="360" w:lineRule="auto"/>
              <w:rPr>
                <w:rFonts w:hint="eastAsia" w:ascii="宋体" w:hAnsi="宋体"/>
                <w:szCs w:val="21"/>
                <w:highlight w:val="none"/>
              </w:rPr>
            </w:pPr>
            <w:r>
              <w:rPr>
                <w:rFonts w:hint="eastAsia" w:ascii="宋体" w:hAnsi="宋体"/>
                <w:szCs w:val="21"/>
                <w:highlight w:val="none"/>
              </w:rPr>
              <w:t>经营范围备注</w:t>
            </w:r>
          </w:p>
        </w:tc>
        <w:tc>
          <w:tcPr>
            <w:tcW w:w="7450" w:type="dxa"/>
            <w:gridSpan w:val="8"/>
            <w:noWrap w:val="0"/>
            <w:vAlign w:val="top"/>
          </w:tcPr>
          <w:p>
            <w:pPr>
              <w:spacing w:line="360" w:lineRule="auto"/>
              <w:ind w:firstLine="420" w:firstLineChars="200"/>
              <w:rPr>
                <w:rFonts w:hint="eastAsia" w:ascii="宋体" w:hAnsi="宋体"/>
                <w:szCs w:val="21"/>
                <w:highlight w:val="none"/>
              </w:rPr>
            </w:pPr>
          </w:p>
        </w:tc>
      </w:tr>
    </w:tbl>
    <w:p>
      <w:pPr>
        <w:widowControl/>
        <w:adjustRightInd w:val="0"/>
        <w:snapToGrid w:val="0"/>
        <w:spacing w:line="360" w:lineRule="exact"/>
        <w:ind w:left="288" w:leftChars="137"/>
        <w:jc w:val="left"/>
        <w:rPr>
          <w:highlight w:val="none"/>
        </w:rPr>
      </w:pPr>
      <w:r>
        <w:rPr>
          <w:rFonts w:hint="eastAsia" w:ascii="宋体" w:hAnsi="宋体"/>
          <w:szCs w:val="21"/>
          <w:highlight w:val="none"/>
        </w:rPr>
        <w:t>注：本表后应附：投标人营业执照副本、资质证书副本、安全生产许可证、</w:t>
      </w:r>
      <w:r>
        <w:rPr>
          <w:rFonts w:hint="eastAsia"/>
          <w:szCs w:val="21"/>
          <w:highlight w:val="none"/>
        </w:rPr>
        <w:t>企业安全生产考核证A类证（法定代表人、企业负责人、企业技术负责人、企业分管安全生产的负责人）</w:t>
      </w:r>
      <w:r>
        <w:rPr>
          <w:rFonts w:hint="eastAsia" w:ascii="宋体" w:hAnsi="宋体"/>
          <w:szCs w:val="21"/>
          <w:highlight w:val="none"/>
        </w:rPr>
        <w:t>扫描件</w:t>
      </w:r>
      <w:r>
        <w:rPr>
          <w:rFonts w:hint="eastAsia"/>
          <w:szCs w:val="21"/>
          <w:highlight w:val="none"/>
        </w:rPr>
        <w:t>和企业分管安全生产负责人任职文件或聘书</w:t>
      </w:r>
      <w:r>
        <w:rPr>
          <w:rFonts w:hint="eastAsia" w:ascii="宋体" w:hAnsi="宋体"/>
          <w:szCs w:val="21"/>
          <w:highlight w:val="none"/>
        </w:rPr>
        <w:t>扫描件</w:t>
      </w:r>
      <w:r>
        <w:rPr>
          <w:rFonts w:hint="eastAsia"/>
          <w:szCs w:val="21"/>
          <w:highlight w:val="none"/>
        </w:rPr>
        <w:t>。</w:t>
      </w:r>
    </w:p>
    <w:p>
      <w:pPr>
        <w:spacing w:line="520" w:lineRule="exact"/>
        <w:jc w:val="right"/>
      </w:pPr>
    </w:p>
    <w:p>
      <w:pPr>
        <w:pStyle w:val="7"/>
      </w:pPr>
    </w:p>
    <w:p>
      <w:pPr>
        <w:pStyle w:val="7"/>
        <w:rPr>
          <w:rFonts w:ascii="宋体" w:hAnsi="宋体" w:cs="宋体"/>
          <w:color w:val="000000"/>
          <w:sz w:val="21"/>
          <w:szCs w:val="21"/>
        </w:rPr>
      </w:pPr>
    </w:p>
    <w:sectPr>
      <w:pgSz w:w="11905" w:h="16838"/>
      <w:pgMar w:top="1157" w:right="1349" w:bottom="1157" w:left="1349"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0001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320" w:firstLineChars="2400"/>
    </w:pPr>
    <w:r>
      <w:rPr>
        <w:rFonts w:hint="eastAsia"/>
      </w:rPr>
      <w:t>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271B0"/>
    <w:multiLevelType w:val="multilevel"/>
    <w:tmpl w:val="895271B0"/>
    <w:lvl w:ilvl="0" w:tentative="0">
      <w:start w:val="5"/>
      <w:numFmt w:val="chineseCounting"/>
      <w:suff w:val="space"/>
      <w:lvlText w:val="第%1章"/>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A"/>
    <w:multiLevelType w:val="singleLevel"/>
    <w:tmpl w:val="0000000A"/>
    <w:lvl w:ilvl="0" w:tentative="0">
      <w:start w:val="1"/>
      <w:numFmt w:val="chineseCounting"/>
      <w:suff w:val="nothing"/>
      <w:lvlText w:val="%1、"/>
      <w:lvlJc w:val="left"/>
    </w:lvl>
  </w:abstractNum>
  <w:abstractNum w:abstractNumId="2">
    <w:nsid w:val="04FFEA19"/>
    <w:multiLevelType w:val="singleLevel"/>
    <w:tmpl w:val="04FFEA19"/>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09"/>
    <w:rsid w:val="000019F9"/>
    <w:rsid w:val="0010372D"/>
    <w:rsid w:val="001154DC"/>
    <w:rsid w:val="001532F3"/>
    <w:rsid w:val="00186EB9"/>
    <w:rsid w:val="001A651B"/>
    <w:rsid w:val="0020511B"/>
    <w:rsid w:val="00387773"/>
    <w:rsid w:val="004B608C"/>
    <w:rsid w:val="0052661E"/>
    <w:rsid w:val="005C5F25"/>
    <w:rsid w:val="006C5FAF"/>
    <w:rsid w:val="0073054E"/>
    <w:rsid w:val="007D7986"/>
    <w:rsid w:val="00911B6C"/>
    <w:rsid w:val="009B1616"/>
    <w:rsid w:val="00A174FA"/>
    <w:rsid w:val="00A23B42"/>
    <w:rsid w:val="00A55106"/>
    <w:rsid w:val="00B06909"/>
    <w:rsid w:val="00B5029C"/>
    <w:rsid w:val="00BD0CE6"/>
    <w:rsid w:val="00BF02FF"/>
    <w:rsid w:val="00D821B3"/>
    <w:rsid w:val="00E10BB8"/>
    <w:rsid w:val="00F469A4"/>
    <w:rsid w:val="00F77A04"/>
    <w:rsid w:val="017C229C"/>
    <w:rsid w:val="01C7625A"/>
    <w:rsid w:val="025E7EF8"/>
    <w:rsid w:val="02891F83"/>
    <w:rsid w:val="02DD4BF2"/>
    <w:rsid w:val="032F4B09"/>
    <w:rsid w:val="032F5805"/>
    <w:rsid w:val="03BF5B27"/>
    <w:rsid w:val="03D239CC"/>
    <w:rsid w:val="03E14F8A"/>
    <w:rsid w:val="03F42F21"/>
    <w:rsid w:val="04286746"/>
    <w:rsid w:val="048263B9"/>
    <w:rsid w:val="04C068B9"/>
    <w:rsid w:val="05221790"/>
    <w:rsid w:val="05414C34"/>
    <w:rsid w:val="05B256D2"/>
    <w:rsid w:val="06356C77"/>
    <w:rsid w:val="06843903"/>
    <w:rsid w:val="06971CAD"/>
    <w:rsid w:val="06A51935"/>
    <w:rsid w:val="07E16C5E"/>
    <w:rsid w:val="07F778A5"/>
    <w:rsid w:val="08801BC0"/>
    <w:rsid w:val="08A45D9B"/>
    <w:rsid w:val="08F87DBE"/>
    <w:rsid w:val="09052B2C"/>
    <w:rsid w:val="09072511"/>
    <w:rsid w:val="099445B8"/>
    <w:rsid w:val="09C05A61"/>
    <w:rsid w:val="0A080E7B"/>
    <w:rsid w:val="0A0A1E8A"/>
    <w:rsid w:val="0A7D7C39"/>
    <w:rsid w:val="0AA71146"/>
    <w:rsid w:val="0B747F70"/>
    <w:rsid w:val="0BB75390"/>
    <w:rsid w:val="0BE00890"/>
    <w:rsid w:val="0C062C63"/>
    <w:rsid w:val="0CE76671"/>
    <w:rsid w:val="0CF361B1"/>
    <w:rsid w:val="0D054FAC"/>
    <w:rsid w:val="0D576759"/>
    <w:rsid w:val="0E5814D3"/>
    <w:rsid w:val="0E89447F"/>
    <w:rsid w:val="0E9D19D5"/>
    <w:rsid w:val="0F3E032A"/>
    <w:rsid w:val="0F500EE9"/>
    <w:rsid w:val="0F625AB7"/>
    <w:rsid w:val="0FD67DD7"/>
    <w:rsid w:val="102F5C0C"/>
    <w:rsid w:val="103E3DB3"/>
    <w:rsid w:val="10430984"/>
    <w:rsid w:val="104745E8"/>
    <w:rsid w:val="106319E0"/>
    <w:rsid w:val="10EF5362"/>
    <w:rsid w:val="11770B6C"/>
    <w:rsid w:val="118D4661"/>
    <w:rsid w:val="12195E10"/>
    <w:rsid w:val="12212F4B"/>
    <w:rsid w:val="1233472E"/>
    <w:rsid w:val="12674A0B"/>
    <w:rsid w:val="12DC5E4A"/>
    <w:rsid w:val="132072B9"/>
    <w:rsid w:val="13D970C3"/>
    <w:rsid w:val="15106AF1"/>
    <w:rsid w:val="1514584E"/>
    <w:rsid w:val="154A0385"/>
    <w:rsid w:val="15BD2498"/>
    <w:rsid w:val="15C156C9"/>
    <w:rsid w:val="16384F80"/>
    <w:rsid w:val="16472B81"/>
    <w:rsid w:val="167323DF"/>
    <w:rsid w:val="16B26535"/>
    <w:rsid w:val="16C54333"/>
    <w:rsid w:val="172E0A28"/>
    <w:rsid w:val="173C56DA"/>
    <w:rsid w:val="173D5F91"/>
    <w:rsid w:val="18393E3A"/>
    <w:rsid w:val="18516CF0"/>
    <w:rsid w:val="18B36C82"/>
    <w:rsid w:val="18F96E72"/>
    <w:rsid w:val="19F140E5"/>
    <w:rsid w:val="1A060BFA"/>
    <w:rsid w:val="1A3D621E"/>
    <w:rsid w:val="1AA45162"/>
    <w:rsid w:val="1AD47034"/>
    <w:rsid w:val="1AEF06EF"/>
    <w:rsid w:val="1AFB40B6"/>
    <w:rsid w:val="1B0072B0"/>
    <w:rsid w:val="1B2A5068"/>
    <w:rsid w:val="1C8000FA"/>
    <w:rsid w:val="1C9D7FEF"/>
    <w:rsid w:val="1D091364"/>
    <w:rsid w:val="1D281F9B"/>
    <w:rsid w:val="1D7936B4"/>
    <w:rsid w:val="1D8B4E7E"/>
    <w:rsid w:val="1DFB6A36"/>
    <w:rsid w:val="1E0B54D1"/>
    <w:rsid w:val="1E1E6F4C"/>
    <w:rsid w:val="1E413E3A"/>
    <w:rsid w:val="1E7440D0"/>
    <w:rsid w:val="1E803621"/>
    <w:rsid w:val="1ECA7CC7"/>
    <w:rsid w:val="1F1338F9"/>
    <w:rsid w:val="211463BA"/>
    <w:rsid w:val="216E6D0F"/>
    <w:rsid w:val="22312A77"/>
    <w:rsid w:val="228C3C8F"/>
    <w:rsid w:val="22BC6A2B"/>
    <w:rsid w:val="22E14F42"/>
    <w:rsid w:val="23AF60D7"/>
    <w:rsid w:val="2415057B"/>
    <w:rsid w:val="24453C97"/>
    <w:rsid w:val="24EB5A3D"/>
    <w:rsid w:val="25187CEB"/>
    <w:rsid w:val="25492BF3"/>
    <w:rsid w:val="25F65F66"/>
    <w:rsid w:val="2624414E"/>
    <w:rsid w:val="2628639C"/>
    <w:rsid w:val="2760062A"/>
    <w:rsid w:val="279B75E2"/>
    <w:rsid w:val="27BC6A7E"/>
    <w:rsid w:val="280D0C5E"/>
    <w:rsid w:val="286C7A30"/>
    <w:rsid w:val="28756174"/>
    <w:rsid w:val="29037B7C"/>
    <w:rsid w:val="294502A4"/>
    <w:rsid w:val="29493390"/>
    <w:rsid w:val="296D3759"/>
    <w:rsid w:val="2A2C6ED8"/>
    <w:rsid w:val="2A3B1CD8"/>
    <w:rsid w:val="2ADE2531"/>
    <w:rsid w:val="2B1A696A"/>
    <w:rsid w:val="2B2E69CE"/>
    <w:rsid w:val="2B773AA9"/>
    <w:rsid w:val="2BCA305A"/>
    <w:rsid w:val="2CA86B38"/>
    <w:rsid w:val="2D071C45"/>
    <w:rsid w:val="2D2C34C1"/>
    <w:rsid w:val="2D550E01"/>
    <w:rsid w:val="2D637EB9"/>
    <w:rsid w:val="2D906EAA"/>
    <w:rsid w:val="2DB97991"/>
    <w:rsid w:val="2DEF1180"/>
    <w:rsid w:val="2E4E69FC"/>
    <w:rsid w:val="2EAB7366"/>
    <w:rsid w:val="2EE12C33"/>
    <w:rsid w:val="2FD61967"/>
    <w:rsid w:val="30775F3D"/>
    <w:rsid w:val="30C33AFF"/>
    <w:rsid w:val="30C37C45"/>
    <w:rsid w:val="31926F6C"/>
    <w:rsid w:val="31DD2FE7"/>
    <w:rsid w:val="32B310B5"/>
    <w:rsid w:val="32B31B84"/>
    <w:rsid w:val="33B00E46"/>
    <w:rsid w:val="33C94F05"/>
    <w:rsid w:val="348B6A9C"/>
    <w:rsid w:val="348F3E8F"/>
    <w:rsid w:val="34C31EAB"/>
    <w:rsid w:val="350D5A3F"/>
    <w:rsid w:val="35F86EF0"/>
    <w:rsid w:val="36063622"/>
    <w:rsid w:val="36ED5248"/>
    <w:rsid w:val="37163CD8"/>
    <w:rsid w:val="3728222A"/>
    <w:rsid w:val="37367749"/>
    <w:rsid w:val="38E019D2"/>
    <w:rsid w:val="397C4F81"/>
    <w:rsid w:val="39BC0143"/>
    <w:rsid w:val="3A222BE8"/>
    <w:rsid w:val="3A3318F7"/>
    <w:rsid w:val="3AD53C94"/>
    <w:rsid w:val="3AFD7FFC"/>
    <w:rsid w:val="3B9B68D8"/>
    <w:rsid w:val="3C022341"/>
    <w:rsid w:val="3C571B03"/>
    <w:rsid w:val="3D397F59"/>
    <w:rsid w:val="3D734584"/>
    <w:rsid w:val="3D735EC5"/>
    <w:rsid w:val="3D8175B5"/>
    <w:rsid w:val="3D8B22CF"/>
    <w:rsid w:val="3DA41532"/>
    <w:rsid w:val="3F844F35"/>
    <w:rsid w:val="3FCF5382"/>
    <w:rsid w:val="3FF16F1E"/>
    <w:rsid w:val="40817843"/>
    <w:rsid w:val="41962E52"/>
    <w:rsid w:val="41E621D0"/>
    <w:rsid w:val="42387A1D"/>
    <w:rsid w:val="424F1B9C"/>
    <w:rsid w:val="42565FE0"/>
    <w:rsid w:val="433B61F6"/>
    <w:rsid w:val="43AB60BA"/>
    <w:rsid w:val="43CB5366"/>
    <w:rsid w:val="44B619E0"/>
    <w:rsid w:val="44BF0820"/>
    <w:rsid w:val="44F04B09"/>
    <w:rsid w:val="454D026C"/>
    <w:rsid w:val="45677187"/>
    <w:rsid w:val="457F724D"/>
    <w:rsid w:val="4589776C"/>
    <w:rsid w:val="46FD346C"/>
    <w:rsid w:val="475070A8"/>
    <w:rsid w:val="47E141EE"/>
    <w:rsid w:val="47EB490F"/>
    <w:rsid w:val="47EB6CA3"/>
    <w:rsid w:val="48182732"/>
    <w:rsid w:val="482C7D28"/>
    <w:rsid w:val="48E87A9E"/>
    <w:rsid w:val="49120402"/>
    <w:rsid w:val="498B5DB2"/>
    <w:rsid w:val="499D4993"/>
    <w:rsid w:val="49D26601"/>
    <w:rsid w:val="4A66142D"/>
    <w:rsid w:val="4AC421FB"/>
    <w:rsid w:val="4B272E12"/>
    <w:rsid w:val="4BCD6469"/>
    <w:rsid w:val="4BD3195D"/>
    <w:rsid w:val="4C474598"/>
    <w:rsid w:val="4C4749EF"/>
    <w:rsid w:val="4CD344B4"/>
    <w:rsid w:val="4D2948FF"/>
    <w:rsid w:val="4D3B386D"/>
    <w:rsid w:val="4DAA6549"/>
    <w:rsid w:val="4DEC5CBA"/>
    <w:rsid w:val="4E422A96"/>
    <w:rsid w:val="4E5066B4"/>
    <w:rsid w:val="4EA81A1C"/>
    <w:rsid w:val="4EC10187"/>
    <w:rsid w:val="50FF4510"/>
    <w:rsid w:val="51176337"/>
    <w:rsid w:val="51A00962"/>
    <w:rsid w:val="51C40050"/>
    <w:rsid w:val="51DB1E81"/>
    <w:rsid w:val="5215673C"/>
    <w:rsid w:val="52161D94"/>
    <w:rsid w:val="52EE1272"/>
    <w:rsid w:val="52FE2E53"/>
    <w:rsid w:val="53453167"/>
    <w:rsid w:val="536520B6"/>
    <w:rsid w:val="53CC46F4"/>
    <w:rsid w:val="53E136B7"/>
    <w:rsid w:val="54163D77"/>
    <w:rsid w:val="5518553F"/>
    <w:rsid w:val="556A6A85"/>
    <w:rsid w:val="55B35333"/>
    <w:rsid w:val="55B9367F"/>
    <w:rsid w:val="55DF7FD4"/>
    <w:rsid w:val="569415B4"/>
    <w:rsid w:val="57FE5221"/>
    <w:rsid w:val="58662960"/>
    <w:rsid w:val="586B0B06"/>
    <w:rsid w:val="586B1FDA"/>
    <w:rsid w:val="58874A1A"/>
    <w:rsid w:val="590B686D"/>
    <w:rsid w:val="590E4179"/>
    <w:rsid w:val="59157161"/>
    <w:rsid w:val="59C849BA"/>
    <w:rsid w:val="59D82A46"/>
    <w:rsid w:val="59FD2A14"/>
    <w:rsid w:val="5A3E161E"/>
    <w:rsid w:val="5AB35459"/>
    <w:rsid w:val="5B1936C9"/>
    <w:rsid w:val="5B6818D8"/>
    <w:rsid w:val="5B785392"/>
    <w:rsid w:val="5BC67C52"/>
    <w:rsid w:val="5BE80CEB"/>
    <w:rsid w:val="5BF72501"/>
    <w:rsid w:val="5C1E4EEB"/>
    <w:rsid w:val="5C9D04FF"/>
    <w:rsid w:val="5D4C62F1"/>
    <w:rsid w:val="5F02390B"/>
    <w:rsid w:val="5FC149A0"/>
    <w:rsid w:val="5FF25D3E"/>
    <w:rsid w:val="601B6FA8"/>
    <w:rsid w:val="613804B0"/>
    <w:rsid w:val="61386837"/>
    <w:rsid w:val="620915A8"/>
    <w:rsid w:val="624C3671"/>
    <w:rsid w:val="625B26F1"/>
    <w:rsid w:val="638C5806"/>
    <w:rsid w:val="64076D30"/>
    <w:rsid w:val="64797B40"/>
    <w:rsid w:val="64AC5980"/>
    <w:rsid w:val="64B77BB7"/>
    <w:rsid w:val="65821FCD"/>
    <w:rsid w:val="65853304"/>
    <w:rsid w:val="658F14AB"/>
    <w:rsid w:val="65A96139"/>
    <w:rsid w:val="65E149A7"/>
    <w:rsid w:val="6680629A"/>
    <w:rsid w:val="67034301"/>
    <w:rsid w:val="679908B0"/>
    <w:rsid w:val="67CA06D3"/>
    <w:rsid w:val="67D74E7D"/>
    <w:rsid w:val="680652FA"/>
    <w:rsid w:val="683E1A11"/>
    <w:rsid w:val="685B073F"/>
    <w:rsid w:val="68A84783"/>
    <w:rsid w:val="69B534AF"/>
    <w:rsid w:val="69FC34C0"/>
    <w:rsid w:val="6A0E4F39"/>
    <w:rsid w:val="6A451418"/>
    <w:rsid w:val="6AB403F9"/>
    <w:rsid w:val="6AF9690C"/>
    <w:rsid w:val="6B344E17"/>
    <w:rsid w:val="6C0D7732"/>
    <w:rsid w:val="6C420AD2"/>
    <w:rsid w:val="6C4A1653"/>
    <w:rsid w:val="6DC80A23"/>
    <w:rsid w:val="6DF306D1"/>
    <w:rsid w:val="6E3F0F29"/>
    <w:rsid w:val="6F1A6757"/>
    <w:rsid w:val="6F235C8D"/>
    <w:rsid w:val="6F2D68C4"/>
    <w:rsid w:val="6F9A35F1"/>
    <w:rsid w:val="6FFC2C25"/>
    <w:rsid w:val="7007605A"/>
    <w:rsid w:val="70173B01"/>
    <w:rsid w:val="70AE607C"/>
    <w:rsid w:val="70B27779"/>
    <w:rsid w:val="717D56D8"/>
    <w:rsid w:val="71937E97"/>
    <w:rsid w:val="73041C69"/>
    <w:rsid w:val="731859D8"/>
    <w:rsid w:val="732522D1"/>
    <w:rsid w:val="73454749"/>
    <w:rsid w:val="735D4A90"/>
    <w:rsid w:val="73E056CB"/>
    <w:rsid w:val="74BE6201"/>
    <w:rsid w:val="74F3417A"/>
    <w:rsid w:val="75231414"/>
    <w:rsid w:val="75354F46"/>
    <w:rsid w:val="75C855E6"/>
    <w:rsid w:val="7713250D"/>
    <w:rsid w:val="77A35241"/>
    <w:rsid w:val="77CA5EBD"/>
    <w:rsid w:val="780D0D86"/>
    <w:rsid w:val="7876375C"/>
    <w:rsid w:val="78A12A83"/>
    <w:rsid w:val="793000EB"/>
    <w:rsid w:val="794F1A32"/>
    <w:rsid w:val="79824F0E"/>
    <w:rsid w:val="79877190"/>
    <w:rsid w:val="79FA16BD"/>
    <w:rsid w:val="7A25209F"/>
    <w:rsid w:val="7AB25A44"/>
    <w:rsid w:val="7AE44FCF"/>
    <w:rsid w:val="7B18426A"/>
    <w:rsid w:val="7BC76D39"/>
    <w:rsid w:val="7BDD34FE"/>
    <w:rsid w:val="7BFB2942"/>
    <w:rsid w:val="7C3B5658"/>
    <w:rsid w:val="7DDF21EA"/>
    <w:rsid w:val="7E037E1F"/>
    <w:rsid w:val="7E5322D1"/>
    <w:rsid w:val="7E917661"/>
    <w:rsid w:val="7F172C11"/>
    <w:rsid w:val="7F605152"/>
    <w:rsid w:val="7FE1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ascii="Times New Roman" w:hAnsi="Times New Roman" w:eastAsia="宋体" w:cs="Times New Roman"/>
      <w:b/>
      <w:bCs/>
      <w:kern w:val="44"/>
      <w:sz w:val="32"/>
      <w:szCs w:val="44"/>
    </w:rPr>
  </w:style>
  <w:style w:type="paragraph" w:styleId="2">
    <w:name w:val="heading 2"/>
    <w:basedOn w:val="1"/>
    <w:next w:val="1"/>
    <w:semiHidden/>
    <w:unhideWhenUsed/>
    <w:qFormat/>
    <w:uiPriority w:val="9"/>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rFonts w:ascii="Times New Roman" w:hAnsi="Times New Roman" w:eastAsia="宋体" w:cs="Times New Roman"/>
      <w:b/>
      <w:bCs/>
      <w:sz w:val="24"/>
      <w:szCs w:val="32"/>
    </w:rPr>
  </w:style>
  <w:style w:type="paragraph" w:styleId="5">
    <w:name w:val="heading 4"/>
    <w:basedOn w:val="1"/>
    <w:next w:val="1"/>
    <w:qFormat/>
    <w:uiPriority w:val="0"/>
    <w:pPr>
      <w:keepNext/>
      <w:keepLines/>
      <w:spacing w:line="360" w:lineRule="auto"/>
      <w:outlineLvl w:val="3"/>
    </w:pPr>
    <w:rPr>
      <w:rFonts w:ascii="Arial" w:hAnsi="Arial" w:eastAsia="宋体" w:cs="Times New Roman"/>
      <w:b/>
      <w:szCs w:val="28"/>
    </w:rPr>
  </w:style>
  <w:style w:type="paragraph" w:styleId="6">
    <w:name w:val="heading 6"/>
    <w:basedOn w:val="1"/>
    <w:next w:val="1"/>
    <w:unhideWhenUsed/>
    <w:qFormat/>
    <w:uiPriority w:val="0"/>
    <w:pPr>
      <w:keepNext/>
      <w:keepLines/>
      <w:spacing w:before="240" w:after="64" w:line="312" w:lineRule="auto"/>
      <w:outlineLvl w:val="5"/>
    </w:pPr>
    <w:rPr>
      <w:rFonts w:ascii="Arial" w:hAnsi="Arial" w:eastAsia="黑体"/>
      <w:b/>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Body Text"/>
    <w:basedOn w:val="1"/>
    <w:next w:val="8"/>
    <w:qFormat/>
    <w:uiPriority w:val="0"/>
    <w:pPr>
      <w:spacing w:line="520" w:lineRule="exact"/>
    </w:pPr>
    <w:rPr>
      <w:rFonts w:ascii="Calibri" w:hAnsi="Calibri" w:eastAsia="宋体" w:cs="Times New Roman"/>
      <w:kern w:val="0"/>
      <w:sz w:val="28"/>
      <w:szCs w:val="20"/>
    </w:rPr>
  </w:style>
  <w:style w:type="paragraph" w:styleId="8">
    <w:name w:val="toc 2"/>
    <w:basedOn w:val="1"/>
    <w:next w:val="1"/>
    <w:semiHidden/>
    <w:unhideWhenUsed/>
    <w:qFormat/>
    <w:uiPriority w:val="99"/>
    <w:pPr>
      <w:ind w:left="200" w:leftChars="200"/>
    </w:pPr>
    <w:rPr>
      <w:szCs w:val="20"/>
    </w:rPr>
  </w:style>
  <w:style w:type="paragraph" w:styleId="9">
    <w:name w:val="Body Text Indent"/>
    <w:basedOn w:val="1"/>
    <w:qFormat/>
    <w:uiPriority w:val="0"/>
    <w:pPr>
      <w:spacing w:line="520" w:lineRule="atLeast"/>
      <w:ind w:left="134" w:firstLine="480"/>
    </w:pPr>
    <w:rPr>
      <w:sz w:val="24"/>
    </w:rPr>
  </w:style>
  <w:style w:type="paragraph" w:styleId="10">
    <w:name w:val="Plain Text"/>
    <w:basedOn w:val="1"/>
    <w:next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Emphasis"/>
    <w:basedOn w:val="16"/>
    <w:qFormat/>
    <w:uiPriority w:val="20"/>
    <w:rPr>
      <w:i/>
      <w:iCs/>
    </w:rPr>
  </w:style>
  <w:style w:type="paragraph" w:customStyle="1" w:styleId="19">
    <w:name w:val="章正文"/>
    <w:basedOn w:val="1"/>
    <w:qFormat/>
    <w:uiPriority w:val="99"/>
    <w:pPr>
      <w:spacing w:beforeLines="50" w:after="120" w:line="300" w:lineRule="auto"/>
      <w:ind w:firstLine="480"/>
    </w:pPr>
    <w:rPr>
      <w:rFonts w:ascii="Helvetica" w:hAnsi="Helvetica"/>
      <w:kern w:val="0"/>
      <w:sz w:val="24"/>
    </w:rPr>
  </w:style>
  <w:style w:type="paragraph" w:customStyle="1" w:styleId="20">
    <w:name w:val="表格文字"/>
    <w:basedOn w:val="1"/>
    <w:next w:val="7"/>
    <w:qFormat/>
    <w:uiPriority w:val="0"/>
    <w:pPr>
      <w:adjustRightInd w:val="0"/>
      <w:spacing w:line="420" w:lineRule="atLeast"/>
      <w:textAlignment w:val="baseline"/>
    </w:pPr>
  </w:style>
  <w:style w:type="paragraph" w:styleId="21">
    <w:name w:val="List Paragraph"/>
    <w:basedOn w:val="1"/>
    <w:qFormat/>
    <w:uiPriority w:val="34"/>
    <w:pPr>
      <w:ind w:firstLine="420" w:firstLineChars="200"/>
    </w:pPr>
    <w:rPr>
      <w:rFonts w:ascii="Calibri" w:hAnsi="Calibri" w:eastAsia="宋体" w:cs="Times New Roman"/>
    </w:rPr>
  </w:style>
  <w:style w:type="paragraph" w:customStyle="1" w:styleId="2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
    <w:name w:val="_Style 4"/>
    <w:basedOn w:val="3"/>
    <w:next w:val="1"/>
    <w:qFormat/>
    <w:uiPriority w:val="0"/>
    <w:pPr>
      <w:outlineLvl w:val="9"/>
    </w:pPr>
    <w:rPr>
      <w:rFonts w:ascii="Calibri" w:hAnsi="Calibri"/>
    </w:rPr>
  </w:style>
  <w:style w:type="character" w:customStyle="1" w:styleId="24">
    <w:name w:val="正文文本 Char1"/>
    <w:qFormat/>
    <w:uiPriority w:val="0"/>
    <w:rPr>
      <w:rFonts w:ascii="Times New Roman" w:hAnsi="Times New Roman" w:eastAsia="宋体" w:cs="Times New Roman"/>
      <w:sz w:val="28"/>
      <w:szCs w:val="24"/>
    </w:rPr>
  </w:style>
  <w:style w:type="paragraph" w:customStyle="1" w:styleId="25">
    <w:name w:val="Body text|1"/>
    <w:basedOn w:val="1"/>
    <w:qFormat/>
    <w:uiPriority w:val="0"/>
    <w:pPr>
      <w:widowControl w:val="0"/>
      <w:shd w:val="clear" w:color="auto" w:fill="auto"/>
      <w:spacing w:line="377" w:lineRule="auto"/>
      <w:ind w:firstLine="400"/>
    </w:pPr>
    <w:rPr>
      <w:rFonts w:ascii="宋体" w:hAnsi="宋体" w:eastAsia="宋体" w:cs="宋体"/>
      <w:sz w:val="30"/>
      <w:szCs w:val="30"/>
      <w:u w:val="none"/>
      <w:shd w:val="clear" w:color="auto" w:fill="auto"/>
      <w:lang w:val="zh-TW" w:eastAsia="zh-TW" w:bidi="zh-TW"/>
    </w:rPr>
  </w:style>
  <w:style w:type="character" w:customStyle="1" w:styleId="26">
    <w:name w:val="正文文本 Char"/>
    <w:qFormat/>
    <w:uiPriority w:val="0"/>
    <w:rPr>
      <w:rFonts w:ascii="Times New Roman" w:hAnsi="Times New Roman" w:eastAsia="宋体" w:cs="Times New Roman"/>
      <w:sz w:val="28"/>
      <w:szCs w:val="24"/>
    </w:rPr>
  </w:style>
  <w:style w:type="character" w:customStyle="1" w:styleId="27">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28">
    <w:name w:val="p0"/>
    <w:basedOn w:val="1"/>
    <w:qFormat/>
    <w:uiPriority w:val="0"/>
    <w:pPr>
      <w:widowControl/>
    </w:pPr>
    <w:rPr>
      <w:kern w:val="0"/>
      <w:sz w:val="32"/>
      <w:szCs w:val="32"/>
    </w:rPr>
  </w:style>
  <w:style w:type="paragraph" w:customStyle="1" w:styleId="29">
    <w:name w:val="xl24"/>
    <w:basedOn w:val="1"/>
    <w:qFormat/>
    <w:uiPriority w:val="0"/>
    <w:pPr>
      <w:widowControl/>
      <w:spacing w:before="100" w:beforeLines="0" w:beforeAutospacing="1" w:after="100" w:afterLines="0" w:afterAutospacing="1"/>
      <w:jc w:val="center"/>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54E45-ADCF-49B5-B775-89FBCB2FDF1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10931</Words>
  <Characters>62313</Characters>
  <Lines>519</Lines>
  <Paragraphs>146</Paragraphs>
  <TotalTime>23</TotalTime>
  <ScaleCrop>false</ScaleCrop>
  <LinksUpToDate>false</LinksUpToDate>
  <CharactersWithSpaces>73098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张晓亮</cp:lastModifiedBy>
  <cp:lastPrinted>2020-07-28T00:42:00Z</cp:lastPrinted>
  <dcterms:modified xsi:type="dcterms:W3CDTF">2021-08-20T01:55:24Z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F108D18F38984D1A8D3A728DA7289E6D</vt:lpwstr>
  </property>
</Properties>
</file>